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63FE" w:rsidRPr="001F3B65" w:rsidP="00D816A1" w14:paraId="6D102B62" w14:textId="77777777">
      <w:pPr>
        <w:pStyle w:val="Heading1"/>
        <w:ind w:left="0" w:firstLine="0"/>
        <w:jc w:val="center"/>
        <w:rPr>
          <w:color w:val="000000"/>
        </w:rPr>
      </w:pPr>
      <w:r w:rsidRPr="001F3B65">
        <w:rPr>
          <w:color w:val="000000"/>
        </w:rPr>
        <w:t>Supporting Statement for Paperwork Reduction Act Submissions</w:t>
      </w:r>
    </w:p>
    <w:p w:rsidR="003A63FE" w:rsidRPr="001F3B65" w:rsidP="00D816A1" w14:paraId="205D3435" w14:textId="77777777">
      <w:pPr>
        <w:jc w:val="center"/>
        <w:rPr>
          <w:b/>
          <w:color w:val="000000"/>
          <w:sz w:val="24"/>
        </w:rPr>
      </w:pPr>
      <w:r w:rsidRPr="001F3B65">
        <w:rPr>
          <w:b/>
          <w:color w:val="000000"/>
          <w:sz w:val="24"/>
        </w:rPr>
        <w:t xml:space="preserve">Land </w:t>
      </w:r>
      <w:r w:rsidRPr="001F3B65">
        <w:rPr>
          <w:b/>
          <w:color w:val="000000"/>
          <w:sz w:val="24"/>
        </w:rPr>
        <w:t xml:space="preserve">Survey </w:t>
      </w:r>
      <w:r w:rsidRPr="001F3B65">
        <w:rPr>
          <w:b/>
          <w:color w:val="000000"/>
          <w:sz w:val="24"/>
        </w:rPr>
        <w:t>Report for Insured Multifamily Projects</w:t>
      </w:r>
    </w:p>
    <w:p w:rsidR="003A63FE" w:rsidRPr="001F3B65" w:rsidP="00D816A1" w14:paraId="32A8946B" w14:textId="77777777">
      <w:pPr>
        <w:pStyle w:val="Heading2"/>
        <w:rPr>
          <w:color w:val="000000"/>
        </w:rPr>
      </w:pPr>
      <w:r w:rsidRPr="001F3B65">
        <w:rPr>
          <w:color w:val="000000"/>
        </w:rPr>
        <w:t>OMB Control Number 2502-0010</w:t>
      </w:r>
    </w:p>
    <w:p w:rsidR="003A63FE" w:rsidRPr="001F3B65" w:rsidP="00D816A1" w14:paraId="0852AB6F" w14:textId="77777777">
      <w:pPr>
        <w:jc w:val="center"/>
        <w:rPr>
          <w:bCs/>
          <w:color w:val="000000"/>
          <w:sz w:val="24"/>
        </w:rPr>
      </w:pPr>
      <w:r w:rsidRPr="001F3B65">
        <w:rPr>
          <w:bCs/>
          <w:color w:val="000000"/>
          <w:sz w:val="24"/>
        </w:rPr>
        <w:t>(Form HUD-</w:t>
      </w:r>
      <w:r w:rsidRPr="001F3B65" w:rsidR="008E0681">
        <w:rPr>
          <w:bCs/>
          <w:color w:val="000000"/>
          <w:sz w:val="24"/>
        </w:rPr>
        <w:t>92457</w:t>
      </w:r>
      <w:r w:rsidRPr="001F3B65">
        <w:rPr>
          <w:bCs/>
          <w:color w:val="000000"/>
          <w:sz w:val="24"/>
        </w:rPr>
        <w:t>)</w:t>
      </w:r>
    </w:p>
    <w:p w:rsidR="003A63FE" w:rsidRPr="001F3B65" w14:paraId="66877DA4" w14:textId="77777777">
      <w:pPr>
        <w:jc w:val="center"/>
        <w:rPr>
          <w:b/>
          <w:color w:val="000000"/>
          <w:sz w:val="24"/>
        </w:rPr>
      </w:pPr>
    </w:p>
    <w:p w:rsidR="003A63FE" w:rsidRPr="001F3B65" w14:paraId="76EBDEE2" w14:textId="77777777">
      <w:pPr>
        <w:rPr>
          <w:b/>
          <w:color w:val="000000"/>
          <w:sz w:val="22"/>
        </w:rPr>
      </w:pPr>
      <w:r w:rsidRPr="001F3B65">
        <w:rPr>
          <w:b/>
          <w:color w:val="000000"/>
          <w:sz w:val="22"/>
        </w:rPr>
        <w:t>A.</w:t>
      </w:r>
      <w:r w:rsidRPr="001F3B65">
        <w:rPr>
          <w:b/>
          <w:color w:val="000000"/>
          <w:sz w:val="22"/>
        </w:rPr>
        <w:tab/>
        <w:t>Justification:</w:t>
      </w:r>
    </w:p>
    <w:p w:rsidR="003A63FE" w:rsidRPr="001F3B65" w14:paraId="51D269EE" w14:textId="77777777">
      <w:pPr>
        <w:rPr>
          <w:b/>
          <w:color w:val="000000"/>
          <w:sz w:val="22"/>
        </w:rPr>
      </w:pPr>
    </w:p>
    <w:p w:rsidR="00964DBF" w:rsidRPr="001F3B65" w:rsidP="00964DBF" w14:paraId="1036A39C" w14:textId="77777777">
      <w:pPr>
        <w:numPr>
          <w:ilvl w:val="0"/>
          <w:numId w:val="18"/>
        </w:numPr>
        <w:rPr>
          <w:color w:val="000000"/>
          <w:sz w:val="22"/>
        </w:rPr>
      </w:pPr>
      <w:r w:rsidRPr="001F3B65">
        <w:rPr>
          <w:color w:val="000000"/>
          <w:sz w:val="22"/>
        </w:rPr>
        <w:t>Section 203(a) of the National Housing Act (12 U.S.C. 1709</w:t>
      </w:r>
      <w:r w:rsidRPr="001F3B65" w:rsidR="00D86351">
        <w:rPr>
          <w:color w:val="000000"/>
          <w:sz w:val="22"/>
        </w:rPr>
        <w:t>(a)</w:t>
      </w:r>
      <w:r w:rsidRPr="001F3B65">
        <w:rPr>
          <w:color w:val="000000"/>
          <w:sz w:val="22"/>
        </w:rPr>
        <w:t>) authorizes the Secretary of HUD, upon application by the mortgagee, to insure any mortgage offered, which is eligible for FHA insurance, and upon such terms as the Secretary may prescribe, to make commitments for insuring such mortgages prior to the date of their execution or disbursement thereon.  Additionally, 24 CFR Part 200.61(b) states, “Title evidence for the Commissioner’s examination shall include a lender’s title insurance policy, which title policy provides survey coverage based on a survey acceptable to the title company and the Commissioner; or as the Commissioner may otherwise require, in accordance with terms, conditions, and standards established by the Commissioner.”</w:t>
      </w:r>
    </w:p>
    <w:p w:rsidR="00964DBF" w:rsidRPr="001F3B65" w:rsidP="00964DBF" w14:paraId="1B2F4A7A" w14:textId="77777777">
      <w:pPr>
        <w:ind w:left="360"/>
        <w:rPr>
          <w:color w:val="000000"/>
          <w:sz w:val="22"/>
        </w:rPr>
      </w:pPr>
    </w:p>
    <w:p w:rsidR="003A63FE" w:rsidRPr="001F3B65" w:rsidP="00964DBF" w14:paraId="0048E3A5" w14:textId="77777777">
      <w:pPr>
        <w:ind w:left="360"/>
        <w:rPr>
          <w:color w:val="000000"/>
          <w:sz w:val="22"/>
        </w:rPr>
      </w:pPr>
      <w:r w:rsidRPr="001F3B65">
        <w:rPr>
          <w:color w:val="000000"/>
          <w:sz w:val="22"/>
        </w:rPr>
        <w:t>A land survey and related information are necessary to secure a marketable title and title insurance for the property that provides security for project mortgage insurance furnished under FHA multifamily programs.  The information provided on form HUD-</w:t>
      </w:r>
      <w:r w:rsidRPr="001F3B65" w:rsidR="008E0681">
        <w:rPr>
          <w:color w:val="000000"/>
          <w:sz w:val="22"/>
        </w:rPr>
        <w:t>92457</w:t>
      </w:r>
      <w:r w:rsidRPr="001F3B65">
        <w:rPr>
          <w:color w:val="000000"/>
          <w:sz w:val="22"/>
        </w:rPr>
        <w:t xml:space="preserve"> is required to adequately describe the property to ensure compliance with various regulatory provisions, e.g., flood hazard requirements, and to help determine the suitability and value of the property for the intended purpose.  The information also provides necessary engineering data for project design for proposed construction projects.  Form HUD-</w:t>
      </w:r>
      <w:r w:rsidRPr="001F3B65" w:rsidR="008E0681">
        <w:rPr>
          <w:color w:val="000000"/>
          <w:sz w:val="22"/>
        </w:rPr>
        <w:t>92457</w:t>
      </w:r>
      <w:r w:rsidRPr="001F3B65">
        <w:rPr>
          <w:color w:val="000000"/>
          <w:sz w:val="22"/>
        </w:rPr>
        <w:t xml:space="preserve"> includes the standards of performance for conducting the survey and preparing the maps of the survey.  It also identifies data that must be addressed to meet program requirements and provides a vehicle for the surveyor to certify compliance with applicable survey and reporting requirements.</w:t>
      </w:r>
    </w:p>
    <w:p w:rsidR="003A63FE" w:rsidRPr="001F3B65" w14:paraId="0751E2B3" w14:textId="77777777">
      <w:pPr>
        <w:jc w:val="both"/>
        <w:rPr>
          <w:color w:val="000000"/>
          <w:sz w:val="22"/>
        </w:rPr>
      </w:pPr>
    </w:p>
    <w:p w:rsidR="003A63FE" w:rsidRPr="001F3B65" w14:paraId="6B729184" w14:textId="77777777">
      <w:pPr>
        <w:numPr>
          <w:ilvl w:val="0"/>
          <w:numId w:val="18"/>
        </w:numPr>
        <w:rPr>
          <w:color w:val="000000"/>
          <w:sz w:val="22"/>
        </w:rPr>
      </w:pPr>
      <w:r w:rsidRPr="001F3B65">
        <w:rPr>
          <w:color w:val="000000"/>
          <w:sz w:val="22"/>
        </w:rPr>
        <w:t>The required information is prepared by a private, registered civil engineer or land surveyor for the project owner/mortgagor and submitted via form HUD-</w:t>
      </w:r>
      <w:r w:rsidRPr="001F3B65" w:rsidR="008E0681">
        <w:rPr>
          <w:color w:val="000000"/>
          <w:sz w:val="22"/>
        </w:rPr>
        <w:t>92457</w:t>
      </w:r>
      <w:r w:rsidRPr="001F3B65">
        <w:rPr>
          <w:color w:val="000000"/>
          <w:sz w:val="22"/>
        </w:rPr>
        <w:t xml:space="preserve"> in conjunction with the application for mortgage insurance</w:t>
      </w:r>
      <w:r w:rsidRPr="001F3B65" w:rsidR="005D02B1">
        <w:rPr>
          <w:color w:val="000000"/>
          <w:sz w:val="22"/>
        </w:rPr>
        <w:t>, form HUD-92013 – (Application for Multifamily Housing Project)</w:t>
      </w:r>
      <w:r w:rsidRPr="001F3B65">
        <w:rPr>
          <w:color w:val="000000"/>
          <w:sz w:val="22"/>
        </w:rPr>
        <w:t xml:space="preserve"> during the firm commitment and initial endorsement of the loan for multifamily projects.  </w:t>
      </w:r>
      <w:r w:rsidRPr="001F3B65" w:rsidR="005D02B1">
        <w:rPr>
          <w:color w:val="000000"/>
          <w:sz w:val="22"/>
        </w:rPr>
        <w:t xml:space="preserve">The information on both forms is used by HUD to analyze specific information to determine feasibility of a proposed multifamily project and mortgagor/contractor acceptability such as location and description of the property and land. </w:t>
      </w:r>
      <w:r w:rsidRPr="001F3B65">
        <w:rPr>
          <w:color w:val="000000"/>
          <w:sz w:val="22"/>
        </w:rPr>
        <w:t>This ensures the integrity of property lines and that there are no changes involving possible encroachments to property lines, title lines, and lines of actual possession between the firm commitment and initial endorsement period.  Form HUD-</w:t>
      </w:r>
      <w:r w:rsidRPr="001F3B65" w:rsidR="008E0681">
        <w:rPr>
          <w:color w:val="000000"/>
          <w:sz w:val="22"/>
        </w:rPr>
        <w:t>92457</w:t>
      </w:r>
      <w:r w:rsidRPr="001F3B65">
        <w:rPr>
          <w:color w:val="000000"/>
          <w:sz w:val="22"/>
        </w:rPr>
        <w:t xml:space="preserve"> must be submitted 30 days before the initial closing by a licensed surveyor and bearing the surveyor’s professional seal.  </w:t>
      </w:r>
    </w:p>
    <w:p w:rsidR="00AE0BB1" w:rsidRPr="001F3B65" w:rsidP="00AE0BB1" w14:paraId="25456EC7" w14:textId="77777777">
      <w:pPr>
        <w:rPr>
          <w:color w:val="000000"/>
          <w:sz w:val="22"/>
        </w:rPr>
      </w:pPr>
    </w:p>
    <w:p w:rsidR="003A63FE" w:rsidRPr="001F3B65" w:rsidP="00AE0BB1" w14:paraId="73B7A055" w14:textId="77777777">
      <w:pPr>
        <w:ind w:left="360"/>
        <w:rPr>
          <w:color w:val="000000"/>
          <w:sz w:val="22"/>
        </w:rPr>
      </w:pPr>
      <w:r w:rsidRPr="001F3B65">
        <w:rPr>
          <w:color w:val="000000"/>
          <w:sz w:val="22"/>
        </w:rPr>
        <w:t>For proposed construction projects, form HUD-</w:t>
      </w:r>
      <w:r w:rsidRPr="001F3B65" w:rsidR="008E0681">
        <w:rPr>
          <w:color w:val="000000"/>
          <w:sz w:val="22"/>
        </w:rPr>
        <w:t>92457</w:t>
      </w:r>
      <w:r w:rsidRPr="001F3B65">
        <w:rPr>
          <w:color w:val="000000"/>
          <w:sz w:val="22"/>
        </w:rPr>
        <w:t xml:space="preserve"> is also submitted in conjunction with project construction drawings and specifications submitted for review, and on occasion during construction.  Page one of the </w:t>
      </w:r>
      <w:r w:rsidRPr="001F3B65" w:rsidR="00B26CFB">
        <w:rPr>
          <w:color w:val="000000"/>
          <w:sz w:val="22"/>
        </w:rPr>
        <w:t>forms</w:t>
      </w:r>
      <w:r w:rsidRPr="001F3B65">
        <w:rPr>
          <w:color w:val="000000"/>
          <w:sz w:val="22"/>
        </w:rPr>
        <w:t xml:space="preserve"> </w:t>
      </w:r>
      <w:r w:rsidRPr="001F3B65">
        <w:rPr>
          <w:color w:val="000000"/>
          <w:sz w:val="22"/>
        </w:rPr>
        <w:t>define</w:t>
      </w:r>
      <w:r w:rsidRPr="001F3B65">
        <w:rPr>
          <w:color w:val="000000"/>
          <w:sz w:val="22"/>
        </w:rPr>
        <w:t xml:space="preserve"> the standards of performance for the survey, the purpose for the survey, and identifies the certification to be included on the survey maps.  Page 2 of the form is the Surveyor’s Report, which identifies significant site features that warrant special underwriting consideration.  The date on which the survey was </w:t>
      </w:r>
      <w:r w:rsidRPr="001F3B65">
        <w:rPr>
          <w:color w:val="000000"/>
          <w:sz w:val="22"/>
        </w:rPr>
        <w:t>made</w:t>
      </w:r>
      <w:r w:rsidRPr="001F3B65">
        <w:rPr>
          <w:color w:val="000000"/>
          <w:sz w:val="22"/>
        </w:rPr>
        <w:t xml:space="preserve"> should be recorded, as the date is needed to document subsequent surveyor site visits.  Those subsequent surveyor site visits are necessary to verify the continuing accuracy of the survey and to make sure the information is current for applications for mortgage insurance and loan closing transactions.  Form HUD-</w:t>
      </w:r>
      <w:r w:rsidRPr="001F3B65" w:rsidR="008E0681">
        <w:rPr>
          <w:color w:val="000000"/>
          <w:sz w:val="22"/>
        </w:rPr>
        <w:t>92457</w:t>
      </w:r>
      <w:r w:rsidRPr="001F3B65">
        <w:rPr>
          <w:color w:val="000000"/>
          <w:sz w:val="22"/>
        </w:rPr>
        <w:t xml:space="preserve"> provides a uniform method of acceptability for meeting program criteria to minimize risk to the insurance fund.  This information collection will also minimize the risks to the insurance fund that might arise from inadequate project land surveys and related data.</w:t>
      </w:r>
    </w:p>
    <w:p w:rsidR="003A63FE" w:rsidRPr="001F3B65" w14:paraId="668EC720" w14:textId="77777777">
      <w:pPr>
        <w:rPr>
          <w:color w:val="000000"/>
          <w:sz w:val="22"/>
        </w:rPr>
      </w:pPr>
    </w:p>
    <w:p w:rsidR="003A63FE" w:rsidRPr="001F3B65" w:rsidP="007E730A" w14:paraId="0E7A0659" w14:textId="77777777">
      <w:pPr>
        <w:numPr>
          <w:ilvl w:val="0"/>
          <w:numId w:val="18"/>
        </w:numPr>
        <w:rPr>
          <w:bCs/>
          <w:color w:val="000000"/>
          <w:sz w:val="22"/>
        </w:rPr>
      </w:pPr>
      <w:r w:rsidRPr="001F3B65">
        <w:rPr>
          <w:color w:val="000000"/>
          <w:sz w:val="22"/>
        </w:rPr>
        <w:t xml:space="preserve">While the form may be completed on-line, it must be submitted in hard copy at this time. </w:t>
      </w:r>
      <w:r w:rsidRPr="001F3B65" w:rsidR="007E730A">
        <w:rPr>
          <w:color w:val="000000"/>
          <w:sz w:val="22"/>
        </w:rPr>
        <w:t xml:space="preserve"> </w:t>
      </w:r>
      <w:r w:rsidRPr="001F3B65" w:rsidR="00B02ED2">
        <w:rPr>
          <w:color w:val="000000"/>
          <w:sz w:val="24"/>
          <w:szCs w:val="24"/>
        </w:rPr>
        <w:t>Reengineering efforts are being made to replace the DAP system, which would improve the functionality and replacement of technology, and the online implementation of automated underwriting processing from the beginning to end of completion, including the e-signatur</w:t>
      </w:r>
      <w:r w:rsidRPr="001F3B65" w:rsidR="00964DBF">
        <w:rPr>
          <w:color w:val="000000"/>
          <w:sz w:val="24"/>
          <w:szCs w:val="24"/>
        </w:rPr>
        <w:t>e.  The target date of 9/30/2018</w:t>
      </w:r>
      <w:r w:rsidRPr="001F3B65" w:rsidR="00B02ED2">
        <w:rPr>
          <w:color w:val="000000"/>
          <w:sz w:val="24"/>
          <w:szCs w:val="24"/>
        </w:rPr>
        <w:t xml:space="preserve"> was given for implementation.  The info</w:t>
      </w:r>
      <w:r w:rsidRPr="001F3B65" w:rsidR="00964DBF">
        <w:rPr>
          <w:color w:val="000000"/>
          <w:sz w:val="24"/>
          <w:szCs w:val="24"/>
        </w:rPr>
        <w:t xml:space="preserve">rmation was based on the 2014-2018 HUD’s Strategic Plan – Information Management.  </w:t>
      </w:r>
      <w:r w:rsidRPr="001F3B65" w:rsidR="00B02ED2">
        <w:rPr>
          <w:color w:val="000000"/>
          <w:sz w:val="24"/>
          <w:szCs w:val="24"/>
        </w:rPr>
        <w:t>This information was submitted to Congress.  Procurements are involved</w:t>
      </w:r>
      <w:r w:rsidRPr="001F3B65" w:rsidR="00964DBF">
        <w:rPr>
          <w:color w:val="000000"/>
          <w:sz w:val="24"/>
          <w:szCs w:val="24"/>
        </w:rPr>
        <w:t xml:space="preserve"> so the projected date is 9/2018</w:t>
      </w:r>
      <w:r w:rsidRPr="001F3B65" w:rsidR="00B02ED2">
        <w:rPr>
          <w:color w:val="000000"/>
          <w:sz w:val="24"/>
          <w:szCs w:val="24"/>
        </w:rPr>
        <w:t xml:space="preserve"> for implementation assuming </w:t>
      </w:r>
      <w:r w:rsidRPr="001F3B65" w:rsidR="007E730A">
        <w:rPr>
          <w:color w:val="000000"/>
          <w:sz w:val="24"/>
          <w:szCs w:val="24"/>
        </w:rPr>
        <w:t xml:space="preserve">all goes well with procurements.  </w:t>
      </w:r>
      <w:r w:rsidRPr="001F3B65">
        <w:rPr>
          <w:color w:val="000000"/>
          <w:sz w:val="22"/>
        </w:rPr>
        <w:t xml:space="preserve">Automation is not feasible </w:t>
      </w:r>
      <w:r w:rsidRPr="001F3B65">
        <w:rPr>
          <w:color w:val="000000"/>
          <w:sz w:val="22"/>
        </w:rPr>
        <w:t>at this time</w:t>
      </w:r>
      <w:r w:rsidRPr="001F3B65">
        <w:rPr>
          <w:color w:val="000000"/>
          <w:sz w:val="22"/>
        </w:rPr>
        <w:t xml:space="preserve"> due to the necessity to include maps/plats and construction drawings in the submission. </w:t>
      </w:r>
    </w:p>
    <w:p w:rsidR="003A63FE" w:rsidRPr="001F3B65" w14:paraId="7A523123" w14:textId="77777777">
      <w:pPr>
        <w:rPr>
          <w:bCs/>
          <w:color w:val="000000"/>
          <w:sz w:val="22"/>
        </w:rPr>
      </w:pPr>
    </w:p>
    <w:p w:rsidR="003A63FE" w:rsidRPr="001F3B65" w14:paraId="3E33FD62" w14:textId="77777777">
      <w:pPr>
        <w:numPr>
          <w:ilvl w:val="0"/>
          <w:numId w:val="18"/>
        </w:numPr>
        <w:rPr>
          <w:bCs/>
          <w:color w:val="000000"/>
          <w:sz w:val="22"/>
        </w:rPr>
      </w:pPr>
      <w:r w:rsidRPr="001F3B65">
        <w:rPr>
          <w:bCs/>
          <w:color w:val="000000"/>
          <w:sz w:val="22"/>
        </w:rPr>
        <w:t xml:space="preserve">No duplication exists.  </w:t>
      </w:r>
      <w:r w:rsidRPr="001F3B65">
        <w:rPr>
          <w:color w:val="000000"/>
          <w:sz w:val="22"/>
        </w:rPr>
        <w:t xml:space="preserve">Surveys are only submitted on multifamily construction projects.  A review of Multifamily Housing information collections confirms that no other information collection provides this </w:t>
      </w:r>
      <w:r w:rsidRPr="001F3B65">
        <w:rPr>
          <w:color w:val="000000"/>
          <w:sz w:val="22"/>
        </w:rPr>
        <w:t xml:space="preserve">particular </w:t>
      </w:r>
      <w:r w:rsidRPr="001F3B65" w:rsidR="00964DBF">
        <w:rPr>
          <w:color w:val="000000"/>
          <w:sz w:val="22"/>
        </w:rPr>
        <w:t>data</w:t>
      </w:r>
      <w:r w:rsidRPr="001F3B65" w:rsidR="00964DBF">
        <w:rPr>
          <w:color w:val="000000"/>
          <w:sz w:val="22"/>
        </w:rPr>
        <w:t>.</w:t>
      </w:r>
    </w:p>
    <w:p w:rsidR="003A63FE" w:rsidRPr="001F3B65" w14:paraId="6B8C6134" w14:textId="77777777">
      <w:pPr>
        <w:rPr>
          <w:bCs/>
          <w:color w:val="000000"/>
          <w:sz w:val="22"/>
        </w:rPr>
      </w:pPr>
    </w:p>
    <w:p w:rsidR="003A63FE" w:rsidRPr="001F3B65" w14:paraId="037A0879" w14:textId="77777777">
      <w:pPr>
        <w:numPr>
          <w:ilvl w:val="0"/>
          <w:numId w:val="18"/>
        </w:numPr>
        <w:rPr>
          <w:bCs/>
          <w:color w:val="000000"/>
          <w:sz w:val="22"/>
        </w:rPr>
      </w:pPr>
      <w:r w:rsidRPr="001F3B65">
        <w:rPr>
          <w:color w:val="000000"/>
          <w:sz w:val="22"/>
          <w:szCs w:val="24"/>
        </w:rPr>
        <w:t>The Department minimizes the burden on small businesses by requiring this information only when an application for mortgage insurance is filed.</w:t>
      </w:r>
    </w:p>
    <w:p w:rsidR="003A63FE" w:rsidRPr="001F3B65" w14:paraId="7BA3B1BE" w14:textId="77777777">
      <w:pPr>
        <w:rPr>
          <w:color w:val="000000"/>
          <w:sz w:val="22"/>
        </w:rPr>
      </w:pPr>
    </w:p>
    <w:p w:rsidR="003A63FE" w:rsidRPr="001F3B65" w14:paraId="51E6B12C" w14:textId="77777777">
      <w:pPr>
        <w:pStyle w:val="BodyTextIndent2"/>
        <w:numPr>
          <w:ilvl w:val="0"/>
          <w:numId w:val="18"/>
        </w:numPr>
        <w:rPr>
          <w:color w:val="000000"/>
          <w:sz w:val="22"/>
        </w:rPr>
      </w:pPr>
      <w:r w:rsidRPr="001F3B65">
        <w:rPr>
          <w:color w:val="000000"/>
          <w:sz w:val="22"/>
        </w:rPr>
        <w:t xml:space="preserve">The collection of this information accommodates securing marketable title and title insurance on properties for which mortgage insurance is written.  It also assists in making determinations regarding the property’s compliance with applicable program regulations, e.g., those pertaining to flood hazard, and in reaching underwriting determinations regarding property suitability and worth for the intended use.  </w:t>
      </w:r>
      <w:r w:rsidRPr="001F3B65" w:rsidR="00964DBF">
        <w:rPr>
          <w:color w:val="000000"/>
          <w:sz w:val="22"/>
        </w:rPr>
        <w:t>T</w:t>
      </w:r>
      <w:r w:rsidRPr="001F3B65">
        <w:rPr>
          <w:color w:val="000000"/>
          <w:sz w:val="22"/>
        </w:rPr>
        <w:t xml:space="preserve">he Federal program of mortgage insurance </w:t>
      </w:r>
      <w:r w:rsidRPr="001F3B65" w:rsidR="00964DBF">
        <w:rPr>
          <w:color w:val="000000"/>
          <w:sz w:val="22"/>
        </w:rPr>
        <w:t xml:space="preserve">cannot operate without this data.  </w:t>
      </w:r>
    </w:p>
    <w:p w:rsidR="003A63FE" w:rsidRPr="001F3B65" w14:paraId="1A27B53C" w14:textId="77777777">
      <w:pPr>
        <w:rPr>
          <w:color w:val="000000"/>
          <w:sz w:val="22"/>
        </w:rPr>
      </w:pPr>
    </w:p>
    <w:p w:rsidR="007E730A" w:rsidRPr="001F3B65" w:rsidP="007E730A" w14:paraId="006086E2" w14:textId="77777777">
      <w:pPr>
        <w:keepNext/>
        <w:numPr>
          <w:ilvl w:val="0"/>
          <w:numId w:val="18"/>
        </w:numPr>
        <w:textAlignment w:val="auto"/>
        <w:rPr>
          <w:b/>
          <w:bCs/>
          <w:color w:val="000000"/>
          <w:sz w:val="22"/>
        </w:rPr>
      </w:pPr>
      <w:r w:rsidRPr="001F3B65">
        <w:rPr>
          <w:b/>
          <w:bCs/>
          <w:color w:val="000000"/>
          <w:sz w:val="22"/>
        </w:rPr>
        <w:t xml:space="preserve">Explain any special circumstances that would cause an information collection to be conducted in a manner: </w:t>
      </w:r>
    </w:p>
    <w:p w:rsidR="007E730A" w:rsidRPr="001F3B65" w:rsidP="007E730A" w14:paraId="1223358A" w14:textId="77777777">
      <w:pPr>
        <w:keepNext/>
        <w:tabs>
          <w:tab w:val="left" w:pos="360"/>
        </w:tabs>
        <w:ind w:left="360"/>
        <w:rPr>
          <w:b/>
          <w:bCs/>
          <w:color w:val="000000"/>
          <w:sz w:val="22"/>
        </w:rPr>
      </w:pPr>
    </w:p>
    <w:p w:rsidR="007E730A" w:rsidRPr="001F3B65" w:rsidP="007E730A" w14:paraId="6BC9B3C4" w14:textId="77777777">
      <w:pPr>
        <w:keepNext/>
        <w:numPr>
          <w:ilvl w:val="0"/>
          <w:numId w:val="8"/>
        </w:numPr>
        <w:tabs>
          <w:tab w:val="left" w:pos="360"/>
        </w:tabs>
        <w:textAlignment w:val="auto"/>
        <w:rPr>
          <w:bCs/>
          <w:color w:val="000000"/>
          <w:sz w:val="22"/>
        </w:rPr>
      </w:pPr>
      <w:r w:rsidRPr="001F3B65">
        <w:rPr>
          <w:bCs/>
          <w:color w:val="000000"/>
          <w:sz w:val="22"/>
        </w:rPr>
        <w:t xml:space="preserve">requiring respondents to report information to the agency more than </w:t>
      </w:r>
      <w:r w:rsidRPr="001F3B65">
        <w:rPr>
          <w:bCs/>
          <w:color w:val="000000"/>
          <w:sz w:val="22"/>
        </w:rPr>
        <w:t>quarterly;</w:t>
      </w:r>
      <w:r w:rsidRPr="001F3B65">
        <w:rPr>
          <w:bCs/>
          <w:color w:val="000000"/>
          <w:sz w:val="22"/>
        </w:rPr>
        <w:t xml:space="preserve"> </w:t>
      </w:r>
    </w:p>
    <w:p w:rsidR="007E730A" w:rsidRPr="001F3B65" w:rsidP="007E730A" w14:paraId="34025D19" w14:textId="77777777">
      <w:pPr>
        <w:keepNext/>
        <w:tabs>
          <w:tab w:val="left" w:pos="360"/>
        </w:tabs>
        <w:ind w:left="504"/>
        <w:rPr>
          <w:b/>
          <w:bCs/>
          <w:color w:val="000000"/>
          <w:sz w:val="22"/>
        </w:rPr>
      </w:pPr>
      <w:r w:rsidRPr="001F3B65">
        <w:rPr>
          <w:b/>
          <w:bCs/>
          <w:color w:val="000000"/>
          <w:sz w:val="22"/>
        </w:rPr>
        <w:t>Not Applicable</w:t>
      </w:r>
    </w:p>
    <w:p w:rsidR="007E730A" w:rsidRPr="001F3B65" w:rsidP="007E730A" w14:paraId="59BA4D8A" w14:textId="77777777">
      <w:pPr>
        <w:keepNext/>
        <w:numPr>
          <w:ilvl w:val="0"/>
          <w:numId w:val="8"/>
        </w:numPr>
        <w:tabs>
          <w:tab w:val="left" w:pos="360"/>
        </w:tabs>
        <w:textAlignment w:val="auto"/>
        <w:rPr>
          <w:bCs/>
          <w:color w:val="000000"/>
          <w:sz w:val="22"/>
        </w:rPr>
      </w:pPr>
      <w:r w:rsidRPr="001F3B65">
        <w:rPr>
          <w:bCs/>
          <w:color w:val="000000"/>
          <w:sz w:val="22"/>
        </w:rPr>
        <w:t xml:space="preserve">requiring respondents to prepare a written response to a collection of information in fewer than 30 days after receipt of </w:t>
      </w:r>
      <w:r w:rsidRPr="001F3B65">
        <w:rPr>
          <w:bCs/>
          <w:color w:val="000000"/>
          <w:sz w:val="22"/>
        </w:rPr>
        <w:t>it;</w:t>
      </w:r>
      <w:r w:rsidRPr="001F3B65">
        <w:rPr>
          <w:bCs/>
          <w:color w:val="000000"/>
          <w:sz w:val="22"/>
        </w:rPr>
        <w:t xml:space="preserve"> </w:t>
      </w:r>
    </w:p>
    <w:p w:rsidR="007E730A" w:rsidRPr="001F3B65" w:rsidP="007E730A" w14:paraId="5B3D8F95" w14:textId="77777777">
      <w:pPr>
        <w:keepNext/>
        <w:tabs>
          <w:tab w:val="left" w:pos="360"/>
        </w:tabs>
        <w:ind w:left="504"/>
        <w:rPr>
          <w:b/>
          <w:bCs/>
          <w:color w:val="000000"/>
          <w:sz w:val="22"/>
        </w:rPr>
      </w:pPr>
      <w:r w:rsidRPr="001F3B65">
        <w:rPr>
          <w:b/>
          <w:bCs/>
          <w:color w:val="000000"/>
          <w:sz w:val="22"/>
        </w:rPr>
        <w:t>Not Applicable</w:t>
      </w:r>
    </w:p>
    <w:p w:rsidR="007E730A" w:rsidRPr="001F3B65" w:rsidP="007E730A" w14:paraId="63BA28E9" w14:textId="77777777">
      <w:pPr>
        <w:keepNext/>
        <w:numPr>
          <w:ilvl w:val="0"/>
          <w:numId w:val="8"/>
        </w:numPr>
        <w:tabs>
          <w:tab w:val="left" w:pos="360"/>
        </w:tabs>
        <w:textAlignment w:val="auto"/>
        <w:rPr>
          <w:bCs/>
          <w:color w:val="000000"/>
          <w:sz w:val="22"/>
        </w:rPr>
      </w:pPr>
      <w:r w:rsidRPr="001F3B65">
        <w:rPr>
          <w:bCs/>
          <w:color w:val="000000"/>
          <w:sz w:val="22"/>
        </w:rPr>
        <w:t xml:space="preserve">requiring respondents to submit more than an original and two copies of any </w:t>
      </w:r>
      <w:r w:rsidRPr="001F3B65">
        <w:rPr>
          <w:bCs/>
          <w:color w:val="000000"/>
          <w:sz w:val="22"/>
        </w:rPr>
        <w:t>document;</w:t>
      </w:r>
      <w:r w:rsidRPr="001F3B65">
        <w:rPr>
          <w:bCs/>
          <w:color w:val="000000"/>
          <w:sz w:val="22"/>
        </w:rPr>
        <w:t xml:space="preserve"> </w:t>
      </w:r>
    </w:p>
    <w:p w:rsidR="007E730A" w:rsidRPr="001F3B65" w:rsidP="007E730A" w14:paraId="77C04E0E" w14:textId="77777777">
      <w:pPr>
        <w:keepNext/>
        <w:tabs>
          <w:tab w:val="left" w:pos="360"/>
        </w:tabs>
        <w:ind w:left="504"/>
        <w:rPr>
          <w:b/>
          <w:bCs/>
          <w:color w:val="000000"/>
          <w:sz w:val="22"/>
        </w:rPr>
      </w:pPr>
      <w:r w:rsidRPr="001F3B65">
        <w:rPr>
          <w:b/>
          <w:bCs/>
          <w:color w:val="000000"/>
          <w:sz w:val="22"/>
        </w:rPr>
        <w:t>Not Applicable</w:t>
      </w:r>
    </w:p>
    <w:p w:rsidR="007E730A" w:rsidRPr="001F3B65" w:rsidP="007E730A" w14:paraId="277F6001" w14:textId="77777777">
      <w:pPr>
        <w:keepNext/>
        <w:numPr>
          <w:ilvl w:val="0"/>
          <w:numId w:val="8"/>
        </w:numPr>
        <w:tabs>
          <w:tab w:val="left" w:pos="360"/>
        </w:tabs>
        <w:textAlignment w:val="auto"/>
        <w:rPr>
          <w:bCs/>
          <w:color w:val="000000"/>
          <w:sz w:val="22"/>
        </w:rPr>
      </w:pPr>
      <w:r w:rsidRPr="001F3B65">
        <w:rPr>
          <w:bCs/>
          <w:color w:val="000000"/>
          <w:sz w:val="22"/>
        </w:rPr>
        <w:t xml:space="preserve">requiring respondents to retain records other than health, medical, government contract, grant-in-aid, or tax records for more than three </w:t>
      </w:r>
      <w:r w:rsidRPr="001F3B65">
        <w:rPr>
          <w:bCs/>
          <w:color w:val="000000"/>
          <w:sz w:val="22"/>
        </w:rPr>
        <w:t>years;</w:t>
      </w:r>
      <w:r w:rsidRPr="001F3B65">
        <w:rPr>
          <w:bCs/>
          <w:color w:val="000000"/>
          <w:sz w:val="22"/>
        </w:rPr>
        <w:t xml:space="preserve"> </w:t>
      </w:r>
    </w:p>
    <w:p w:rsidR="007E730A" w:rsidRPr="001F3B65" w:rsidP="007E730A" w14:paraId="5C92D603" w14:textId="77777777">
      <w:pPr>
        <w:keepNext/>
        <w:tabs>
          <w:tab w:val="left" w:pos="360"/>
        </w:tabs>
        <w:ind w:left="504"/>
        <w:rPr>
          <w:b/>
          <w:bCs/>
          <w:color w:val="000000"/>
          <w:sz w:val="22"/>
        </w:rPr>
      </w:pPr>
      <w:r w:rsidRPr="001F3B65">
        <w:rPr>
          <w:b/>
          <w:bCs/>
          <w:color w:val="000000"/>
          <w:sz w:val="22"/>
        </w:rPr>
        <w:t>Not Applicable</w:t>
      </w:r>
    </w:p>
    <w:p w:rsidR="007E730A" w:rsidRPr="001F3B65" w:rsidP="007E730A" w14:paraId="08290E28" w14:textId="77777777">
      <w:pPr>
        <w:keepNext/>
        <w:numPr>
          <w:ilvl w:val="0"/>
          <w:numId w:val="8"/>
        </w:numPr>
        <w:tabs>
          <w:tab w:val="left" w:pos="360"/>
        </w:tabs>
        <w:textAlignment w:val="auto"/>
        <w:rPr>
          <w:bCs/>
          <w:color w:val="000000"/>
          <w:sz w:val="22"/>
        </w:rPr>
      </w:pPr>
      <w:r w:rsidRPr="001F3B65">
        <w:rPr>
          <w:bCs/>
          <w:color w:val="000000"/>
          <w:sz w:val="22"/>
        </w:rPr>
        <w:t xml:space="preserve">in connection with a statistical survey, that is not designed to produce valid and reliable results than can be generalized to the universe of </w:t>
      </w:r>
      <w:r w:rsidRPr="001F3B65">
        <w:rPr>
          <w:bCs/>
          <w:color w:val="000000"/>
          <w:sz w:val="22"/>
        </w:rPr>
        <w:t>study;</w:t>
      </w:r>
      <w:r w:rsidRPr="001F3B65">
        <w:rPr>
          <w:bCs/>
          <w:color w:val="000000"/>
          <w:sz w:val="22"/>
        </w:rPr>
        <w:t xml:space="preserve"> </w:t>
      </w:r>
    </w:p>
    <w:p w:rsidR="007E730A" w:rsidRPr="001F3B65" w:rsidP="007E730A" w14:paraId="2A10B893" w14:textId="77777777">
      <w:pPr>
        <w:keepNext/>
        <w:tabs>
          <w:tab w:val="left" w:pos="360"/>
        </w:tabs>
        <w:ind w:left="504"/>
        <w:rPr>
          <w:b/>
          <w:bCs/>
          <w:color w:val="000000"/>
          <w:sz w:val="22"/>
        </w:rPr>
      </w:pPr>
      <w:r w:rsidRPr="001F3B65">
        <w:rPr>
          <w:b/>
          <w:bCs/>
          <w:color w:val="000000"/>
          <w:sz w:val="22"/>
        </w:rPr>
        <w:t>Not Applicable</w:t>
      </w:r>
    </w:p>
    <w:p w:rsidR="007E730A" w:rsidRPr="001F3B65" w:rsidP="007E730A" w14:paraId="5E85A10A" w14:textId="77777777">
      <w:pPr>
        <w:keepNext/>
        <w:numPr>
          <w:ilvl w:val="0"/>
          <w:numId w:val="8"/>
        </w:numPr>
        <w:tabs>
          <w:tab w:val="left" w:pos="360"/>
        </w:tabs>
        <w:textAlignment w:val="auto"/>
        <w:rPr>
          <w:bCs/>
          <w:color w:val="000000"/>
          <w:sz w:val="22"/>
        </w:rPr>
      </w:pPr>
      <w:r w:rsidRPr="001F3B65">
        <w:rPr>
          <w:bCs/>
          <w:color w:val="000000"/>
          <w:sz w:val="22"/>
        </w:rPr>
        <w:t xml:space="preserve">requiring the use of a statistical data classification that has not been reviewed and approved by </w:t>
      </w:r>
      <w:r w:rsidRPr="001F3B65">
        <w:rPr>
          <w:bCs/>
          <w:color w:val="000000"/>
          <w:sz w:val="22"/>
        </w:rPr>
        <w:t>OMB;</w:t>
      </w:r>
      <w:r w:rsidRPr="001F3B65">
        <w:rPr>
          <w:bCs/>
          <w:color w:val="000000"/>
          <w:sz w:val="22"/>
        </w:rPr>
        <w:t xml:space="preserve"> </w:t>
      </w:r>
    </w:p>
    <w:p w:rsidR="007E730A" w:rsidRPr="001F3B65" w:rsidP="007E730A" w14:paraId="477FDAF8" w14:textId="77777777">
      <w:pPr>
        <w:keepNext/>
        <w:numPr>
          <w:ilvl w:val="0"/>
          <w:numId w:val="8"/>
        </w:numPr>
        <w:tabs>
          <w:tab w:val="left" w:pos="360"/>
        </w:tabs>
        <w:textAlignment w:val="auto"/>
        <w:rPr>
          <w:b/>
          <w:bCs/>
          <w:color w:val="000000"/>
          <w:sz w:val="22"/>
        </w:rPr>
      </w:pPr>
      <w:r w:rsidRPr="001F3B65">
        <w:rPr>
          <w:b/>
          <w:bCs/>
          <w:color w:val="000000"/>
          <w:sz w:val="22"/>
        </w:rPr>
        <w:t>Not Applicable</w:t>
      </w:r>
    </w:p>
    <w:p w:rsidR="007E730A" w:rsidRPr="001F3B65" w:rsidP="007E730A" w14:paraId="0F0029DF" w14:textId="77777777">
      <w:pPr>
        <w:keepNext/>
        <w:tabs>
          <w:tab w:val="left" w:pos="360"/>
        </w:tabs>
        <w:ind w:left="504"/>
        <w:rPr>
          <w:bCs/>
          <w:color w:val="000000"/>
          <w:sz w:val="22"/>
        </w:rPr>
      </w:pPr>
      <w:r w:rsidRPr="001F3B65">
        <w:rPr>
          <w:bCs/>
          <w:color w:val="000000"/>
          <w:sz w:val="22"/>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E730A" w:rsidRPr="001F3B65" w:rsidP="007E730A" w14:paraId="14531852" w14:textId="77777777">
      <w:pPr>
        <w:keepNext/>
        <w:tabs>
          <w:tab w:val="left" w:pos="360"/>
        </w:tabs>
        <w:ind w:left="504"/>
        <w:rPr>
          <w:b/>
          <w:bCs/>
          <w:color w:val="000000"/>
          <w:sz w:val="22"/>
        </w:rPr>
      </w:pPr>
      <w:r w:rsidRPr="001F3B65">
        <w:rPr>
          <w:b/>
          <w:bCs/>
          <w:color w:val="000000"/>
          <w:sz w:val="22"/>
        </w:rPr>
        <w:t>Not Applicable</w:t>
      </w:r>
    </w:p>
    <w:p w:rsidR="007E730A" w:rsidRPr="001F3B65" w:rsidP="007E730A" w14:paraId="52D8C021" w14:textId="77777777">
      <w:pPr>
        <w:keepNext/>
        <w:numPr>
          <w:ilvl w:val="0"/>
          <w:numId w:val="8"/>
        </w:numPr>
        <w:tabs>
          <w:tab w:val="left" w:pos="360"/>
        </w:tabs>
        <w:textAlignment w:val="auto"/>
        <w:rPr>
          <w:bCs/>
          <w:color w:val="000000"/>
          <w:sz w:val="22"/>
        </w:rPr>
      </w:pPr>
      <w:r w:rsidRPr="001F3B65">
        <w:rPr>
          <w:bCs/>
          <w:color w:val="000000"/>
          <w:sz w:val="22"/>
        </w:rPr>
        <w:t>requiring respondents to submit proprietary trade secret, or other confidential information unless the agency can demonstrate that it has instituted procedures to protect the information's confidentiality to the extent permitted by law.</w:t>
      </w:r>
    </w:p>
    <w:p w:rsidR="007E730A" w:rsidRPr="001F3B65" w:rsidP="001455C7" w14:paraId="604F909F" w14:textId="77777777">
      <w:pPr>
        <w:keepNext/>
        <w:tabs>
          <w:tab w:val="left" w:pos="360"/>
        </w:tabs>
        <w:ind w:left="504"/>
        <w:textAlignment w:val="auto"/>
        <w:rPr>
          <w:b/>
          <w:bCs/>
          <w:color w:val="000000"/>
          <w:sz w:val="22"/>
        </w:rPr>
      </w:pPr>
      <w:r w:rsidRPr="001F3B65">
        <w:rPr>
          <w:b/>
          <w:bCs/>
          <w:color w:val="000000"/>
          <w:sz w:val="22"/>
        </w:rPr>
        <w:t>Not Applicable</w:t>
      </w:r>
      <w:r w:rsidRPr="001F3B65" w:rsidR="003A63FE">
        <w:rPr>
          <w:color w:val="000000"/>
          <w:sz w:val="22"/>
        </w:rPr>
        <w:t>.</w:t>
      </w:r>
      <w:r w:rsidRPr="001F3B65">
        <w:rPr>
          <w:color w:val="000000"/>
          <w:sz w:val="22"/>
        </w:rPr>
        <w:t xml:space="preserve">   </w:t>
      </w:r>
    </w:p>
    <w:p w:rsidR="003A63FE" w:rsidRPr="001F3B65" w14:paraId="676C0D69" w14:textId="77777777">
      <w:pPr>
        <w:rPr>
          <w:color w:val="000000"/>
          <w:sz w:val="22"/>
        </w:rPr>
      </w:pPr>
    </w:p>
    <w:p w:rsidR="007E730A" w:rsidRPr="001F3B65" w:rsidP="00D816A1" w14:paraId="374B5355" w14:textId="77777777">
      <w:pPr>
        <w:numPr>
          <w:ilvl w:val="0"/>
          <w:numId w:val="18"/>
        </w:numPr>
        <w:rPr>
          <w:bCs/>
          <w:color w:val="000000"/>
          <w:sz w:val="24"/>
          <w:szCs w:val="24"/>
        </w:rPr>
      </w:pPr>
      <w:r w:rsidRPr="001F3B65">
        <w:rPr>
          <w:color w:val="000000"/>
          <w:sz w:val="24"/>
          <w:szCs w:val="24"/>
        </w:rPr>
        <w:t>In accordance with 5CFR 1320.8(d), this information collection soliciting public comments was announced in the Federal Register on January 16, 2018, Volume 83, No. 10, Pages 2173.  (0) Comment received.</w:t>
      </w:r>
    </w:p>
    <w:p w:rsidR="007E730A" w:rsidRPr="001F3B65" w:rsidP="007E730A" w14:paraId="5FC8A3B7" w14:textId="77777777">
      <w:pPr>
        <w:pStyle w:val="HTMLPreformatted"/>
        <w:ind w:left="360"/>
        <w:rPr>
          <w:rFonts w:ascii="Times New Roman" w:hAnsi="Times New Roman" w:cs="Times New Roman"/>
          <w:color w:val="000000"/>
          <w:sz w:val="24"/>
          <w:szCs w:val="24"/>
        </w:rPr>
      </w:pPr>
      <w:r w:rsidRPr="001F3B65">
        <w:rPr>
          <w:rFonts w:ascii="Times New Roman" w:hAnsi="Times New Roman" w:cs="Times New Roman"/>
          <w:bCs/>
          <w:color w:val="000000"/>
          <w:sz w:val="24"/>
          <w:szCs w:val="24"/>
        </w:rPr>
        <w:t>HUD</w:t>
      </w:r>
      <w:r w:rsidRPr="001F3B65">
        <w:rPr>
          <w:rFonts w:ascii="Times New Roman" w:hAnsi="Times New Roman" w:cs="Times New Roman"/>
          <w:color w:val="000000"/>
          <w:sz w:val="24"/>
          <w:szCs w:val="24"/>
        </w:rPr>
        <w:t xml:space="preserve"> is in constant contact with lenders regarding all phases of project applications.  Ad hoc comments are taken into consideration in developing processing requirements.  Input regarding public burden was received from HUD field staff.</w:t>
      </w:r>
    </w:p>
    <w:p w:rsidR="00C177E0" w:rsidRPr="001F3B65" w:rsidP="00C177E0" w14:paraId="2F3D9A65" w14:textId="77777777">
      <w:pPr>
        <w:rPr>
          <w:bCs/>
          <w:color w:val="000000"/>
          <w:sz w:val="22"/>
          <w:szCs w:val="22"/>
        </w:rPr>
      </w:pPr>
    </w:p>
    <w:p w:rsidR="003A63FE" w:rsidRPr="001F3B65" w14:paraId="6958D248" w14:textId="77777777">
      <w:pPr>
        <w:numPr>
          <w:ilvl w:val="0"/>
          <w:numId w:val="18"/>
        </w:numPr>
        <w:rPr>
          <w:color w:val="000000"/>
          <w:sz w:val="22"/>
        </w:rPr>
      </w:pPr>
      <w:r w:rsidRPr="001F3B65">
        <w:rPr>
          <w:bCs/>
          <w:color w:val="000000"/>
          <w:sz w:val="22"/>
        </w:rPr>
        <w:t xml:space="preserve">Respondents are not </w:t>
      </w:r>
      <w:r w:rsidRPr="001F3B65">
        <w:rPr>
          <w:bCs/>
          <w:color w:val="000000"/>
          <w:sz w:val="22"/>
        </w:rPr>
        <w:t>provided</w:t>
      </w:r>
      <w:r w:rsidRPr="001F3B65">
        <w:rPr>
          <w:bCs/>
          <w:color w:val="000000"/>
          <w:sz w:val="22"/>
        </w:rPr>
        <w:t xml:space="preserve"> any payment or gifts.</w:t>
      </w:r>
    </w:p>
    <w:p w:rsidR="003A63FE" w:rsidRPr="001F3B65" w14:paraId="0F87F9D6" w14:textId="77777777">
      <w:pPr>
        <w:rPr>
          <w:color w:val="000000"/>
          <w:sz w:val="22"/>
        </w:rPr>
      </w:pPr>
    </w:p>
    <w:p w:rsidR="003A63FE" w:rsidRPr="001F3B65" w:rsidP="00D816A1" w14:paraId="6E884CDF" w14:textId="77777777">
      <w:pPr>
        <w:numPr>
          <w:ilvl w:val="0"/>
          <w:numId w:val="18"/>
        </w:numPr>
        <w:rPr>
          <w:color w:val="000000"/>
          <w:sz w:val="22"/>
        </w:rPr>
      </w:pPr>
      <w:r w:rsidRPr="001F3B65">
        <w:rPr>
          <w:color w:val="000000"/>
          <w:sz w:val="22"/>
        </w:rPr>
        <w:t>The Privacy Threshold Analysis (PTA),</w:t>
      </w:r>
      <w:r w:rsidRPr="001F3B65">
        <w:rPr>
          <w:color w:val="000000"/>
          <w:sz w:val="22"/>
        </w:rPr>
        <w:t xml:space="preserve"> is approved for this collection.</w:t>
      </w:r>
    </w:p>
    <w:p w:rsidR="003A63FE" w:rsidRPr="001F3B65" w14:paraId="7DFA07CF" w14:textId="77777777">
      <w:pPr>
        <w:rPr>
          <w:color w:val="000000"/>
          <w:sz w:val="22"/>
        </w:rPr>
      </w:pPr>
    </w:p>
    <w:p w:rsidR="003A63FE" w:rsidRPr="001F3B65" w14:paraId="7C0A99B0" w14:textId="77777777">
      <w:pPr>
        <w:pStyle w:val="BodyText"/>
        <w:numPr>
          <w:ilvl w:val="0"/>
          <w:numId w:val="18"/>
        </w:numPr>
        <w:rPr>
          <w:color w:val="000000"/>
          <w:sz w:val="22"/>
        </w:rPr>
      </w:pPr>
      <w:r w:rsidRPr="001F3B65">
        <w:rPr>
          <w:color w:val="000000"/>
          <w:sz w:val="22"/>
        </w:rPr>
        <w:t>The collection does not contain questions of a sensitive nature.</w:t>
      </w:r>
    </w:p>
    <w:p w:rsidR="003A63FE" w:rsidRPr="001F3B65" w14:paraId="3DB70121" w14:textId="77777777">
      <w:pPr>
        <w:rPr>
          <w:color w:val="000000"/>
          <w:sz w:val="22"/>
        </w:rPr>
      </w:pPr>
    </w:p>
    <w:p w:rsidR="003A63FE" w:rsidRPr="001F3B65" w14:paraId="30B32322" w14:textId="77777777">
      <w:pPr>
        <w:numPr>
          <w:ilvl w:val="0"/>
          <w:numId w:val="18"/>
        </w:numPr>
        <w:spacing w:after="120"/>
        <w:rPr>
          <w:bCs/>
          <w:color w:val="000000"/>
          <w:sz w:val="24"/>
        </w:rPr>
      </w:pPr>
      <w:r w:rsidRPr="001F3B65">
        <w:rPr>
          <w:bCs/>
          <w:color w:val="000000"/>
          <w:sz w:val="22"/>
        </w:rPr>
        <w:t>Estimate of annual burden hours and annualized cost to respondents.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
      <w:tblGrid>
        <w:gridCol w:w="2040"/>
        <w:gridCol w:w="1200"/>
        <w:gridCol w:w="1200"/>
        <w:gridCol w:w="1320"/>
        <w:gridCol w:w="1320"/>
        <w:gridCol w:w="1320"/>
        <w:gridCol w:w="1080"/>
        <w:gridCol w:w="1068"/>
      </w:tblGrid>
      <w:tr w14:paraId="44B2700F" w14:textId="77777777">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000"/>
        </w:tblPrEx>
        <w:tc>
          <w:tcPr>
            <w:tcW w:w="2040" w:type="dxa"/>
            <w:vAlign w:val="center"/>
          </w:tcPr>
          <w:p w:rsidR="003A63FE" w:rsidRPr="001F3B65" w14:paraId="6357A884" w14:textId="77777777">
            <w:pPr>
              <w:jc w:val="center"/>
              <w:rPr>
                <w:rFonts w:ascii="Helvetica" w:hAnsi="Helvetica"/>
                <w:bCs/>
                <w:color w:val="000000"/>
                <w:sz w:val="18"/>
              </w:rPr>
            </w:pPr>
            <w:r w:rsidRPr="001F3B65">
              <w:rPr>
                <w:rFonts w:ascii="Helvetica" w:hAnsi="Helvetica"/>
                <w:bCs/>
                <w:color w:val="000000"/>
                <w:sz w:val="18"/>
              </w:rPr>
              <w:t>Information Collection</w:t>
            </w:r>
          </w:p>
        </w:tc>
        <w:tc>
          <w:tcPr>
            <w:tcW w:w="1200" w:type="dxa"/>
            <w:vAlign w:val="center"/>
          </w:tcPr>
          <w:p w:rsidR="003A63FE" w:rsidRPr="001F3B65" w14:paraId="34E8AFA3" w14:textId="77777777">
            <w:pPr>
              <w:ind w:left="-108" w:right="-108"/>
              <w:jc w:val="center"/>
              <w:rPr>
                <w:rFonts w:ascii="Helvetica" w:hAnsi="Helvetica"/>
                <w:bCs/>
                <w:color w:val="000000"/>
                <w:sz w:val="18"/>
              </w:rPr>
            </w:pPr>
            <w:r w:rsidRPr="001F3B65">
              <w:rPr>
                <w:rFonts w:ascii="Helvetica" w:hAnsi="Helvetica"/>
                <w:bCs/>
                <w:color w:val="000000"/>
                <w:sz w:val="18"/>
              </w:rPr>
              <w:t>Number of Respondents</w:t>
            </w:r>
          </w:p>
        </w:tc>
        <w:tc>
          <w:tcPr>
            <w:tcW w:w="1200" w:type="dxa"/>
            <w:vAlign w:val="center"/>
          </w:tcPr>
          <w:p w:rsidR="003A63FE" w:rsidRPr="001F3B65" w14:paraId="5DA6D854" w14:textId="77777777">
            <w:pPr>
              <w:ind w:left="-108" w:right="-108"/>
              <w:jc w:val="center"/>
              <w:rPr>
                <w:rFonts w:ascii="Helvetica" w:hAnsi="Helvetica"/>
                <w:bCs/>
                <w:color w:val="000000"/>
                <w:sz w:val="18"/>
              </w:rPr>
            </w:pPr>
            <w:r w:rsidRPr="001F3B65">
              <w:rPr>
                <w:rFonts w:ascii="Helvetica" w:hAnsi="Helvetica"/>
                <w:bCs/>
                <w:color w:val="000000"/>
                <w:sz w:val="18"/>
              </w:rPr>
              <w:t>Frequency of Response</w:t>
            </w:r>
          </w:p>
        </w:tc>
        <w:tc>
          <w:tcPr>
            <w:tcW w:w="1320" w:type="dxa"/>
            <w:vAlign w:val="center"/>
          </w:tcPr>
          <w:p w:rsidR="003A63FE" w:rsidRPr="001F3B65" w14:paraId="64C5FFBB" w14:textId="77777777">
            <w:pPr>
              <w:jc w:val="center"/>
              <w:rPr>
                <w:rFonts w:ascii="Helvetica" w:hAnsi="Helvetica"/>
                <w:bCs/>
                <w:color w:val="000000"/>
                <w:sz w:val="18"/>
              </w:rPr>
            </w:pPr>
            <w:r w:rsidRPr="001F3B65">
              <w:rPr>
                <w:rFonts w:ascii="Helvetica" w:hAnsi="Helvetica"/>
                <w:bCs/>
                <w:color w:val="000000"/>
                <w:sz w:val="18"/>
              </w:rPr>
              <w:t>Responses Per Annum</w:t>
            </w:r>
          </w:p>
        </w:tc>
        <w:tc>
          <w:tcPr>
            <w:tcW w:w="1320" w:type="dxa"/>
            <w:vAlign w:val="center"/>
          </w:tcPr>
          <w:p w:rsidR="003A63FE" w:rsidRPr="001F3B65" w14:paraId="1AF09462" w14:textId="77777777">
            <w:pPr>
              <w:ind w:left="-108" w:right="-108"/>
              <w:jc w:val="center"/>
              <w:rPr>
                <w:rFonts w:ascii="Helvetica" w:hAnsi="Helvetica"/>
                <w:bCs/>
                <w:color w:val="000000"/>
                <w:sz w:val="18"/>
              </w:rPr>
            </w:pPr>
            <w:r w:rsidRPr="001F3B65">
              <w:rPr>
                <w:rFonts w:ascii="Helvetica" w:hAnsi="Helvetica"/>
                <w:bCs/>
                <w:color w:val="000000"/>
                <w:sz w:val="18"/>
              </w:rPr>
              <w:t>Burden Hr Per Response</w:t>
            </w:r>
          </w:p>
        </w:tc>
        <w:tc>
          <w:tcPr>
            <w:tcW w:w="1320" w:type="dxa"/>
            <w:vAlign w:val="center"/>
          </w:tcPr>
          <w:p w:rsidR="003A63FE" w:rsidRPr="001F3B65" w14:paraId="1A793936" w14:textId="77777777">
            <w:pPr>
              <w:ind w:left="-108" w:right="-108"/>
              <w:jc w:val="center"/>
              <w:rPr>
                <w:rFonts w:ascii="Helvetica" w:hAnsi="Helvetica"/>
                <w:bCs/>
                <w:color w:val="000000"/>
                <w:sz w:val="18"/>
              </w:rPr>
            </w:pPr>
            <w:r w:rsidRPr="001F3B65">
              <w:rPr>
                <w:rFonts w:ascii="Helvetica" w:hAnsi="Helvetica"/>
                <w:bCs/>
                <w:color w:val="000000"/>
                <w:sz w:val="18"/>
              </w:rPr>
              <w:t>Annual Burden Hrs</w:t>
            </w:r>
          </w:p>
        </w:tc>
        <w:tc>
          <w:tcPr>
            <w:tcW w:w="1080" w:type="dxa"/>
            <w:vAlign w:val="center"/>
          </w:tcPr>
          <w:p w:rsidR="003A63FE" w:rsidRPr="001F3B65" w14:paraId="37949CA4" w14:textId="77777777">
            <w:pPr>
              <w:ind w:left="-108" w:right="-108"/>
              <w:jc w:val="center"/>
              <w:rPr>
                <w:rFonts w:ascii="Helvetica" w:hAnsi="Helvetica"/>
                <w:bCs/>
                <w:color w:val="000000"/>
                <w:sz w:val="18"/>
              </w:rPr>
            </w:pPr>
            <w:r w:rsidRPr="001F3B65">
              <w:rPr>
                <w:rFonts w:ascii="Helvetica" w:hAnsi="Helvetica"/>
                <w:bCs/>
                <w:color w:val="000000"/>
                <w:sz w:val="18"/>
              </w:rPr>
              <w:t>Hrly Cost per Response</w:t>
            </w:r>
          </w:p>
        </w:tc>
        <w:tc>
          <w:tcPr>
            <w:tcW w:w="1068" w:type="dxa"/>
            <w:vAlign w:val="center"/>
          </w:tcPr>
          <w:p w:rsidR="003A63FE" w:rsidRPr="001F3B65" w14:paraId="5B4A191E" w14:textId="77777777">
            <w:pPr>
              <w:ind w:left="-108" w:right="-120"/>
              <w:jc w:val="center"/>
              <w:rPr>
                <w:rFonts w:ascii="Helvetica" w:hAnsi="Helvetica"/>
                <w:bCs/>
                <w:color w:val="000000"/>
                <w:sz w:val="18"/>
              </w:rPr>
            </w:pPr>
            <w:r w:rsidRPr="001F3B65">
              <w:rPr>
                <w:rFonts w:ascii="Helvetica" w:hAnsi="Helvetica"/>
                <w:bCs/>
                <w:color w:val="000000"/>
                <w:sz w:val="18"/>
              </w:rPr>
              <w:t>Total Annual Cost</w:t>
            </w:r>
          </w:p>
        </w:tc>
      </w:tr>
      <w:tr w14:paraId="6449279A" w14:textId="77777777">
        <w:tblPrEx>
          <w:tblW w:w="0" w:type="auto"/>
          <w:tblInd w:w="468" w:type="dxa"/>
          <w:tblLayout w:type="fixed"/>
          <w:tblCellMar>
            <w:top w:w="0" w:type="dxa"/>
            <w:bottom w:w="0" w:type="dxa"/>
          </w:tblCellMar>
          <w:tblLook w:val="0000"/>
        </w:tblPrEx>
        <w:tc>
          <w:tcPr>
            <w:tcW w:w="2040" w:type="dxa"/>
            <w:vAlign w:val="center"/>
          </w:tcPr>
          <w:p w:rsidR="003A63FE" w:rsidRPr="001F3B65" w14:paraId="0C81D954" w14:textId="77777777">
            <w:pPr>
              <w:rPr>
                <w:rFonts w:ascii="Helvetica" w:hAnsi="Helvetica"/>
                <w:bCs/>
                <w:color w:val="000000"/>
                <w:sz w:val="18"/>
              </w:rPr>
            </w:pPr>
            <w:r w:rsidRPr="001F3B65">
              <w:rPr>
                <w:rFonts w:ascii="Helvetica" w:hAnsi="Helvetica"/>
                <w:bCs/>
                <w:color w:val="000000"/>
                <w:sz w:val="18"/>
              </w:rPr>
              <w:t xml:space="preserve">HUD </w:t>
            </w:r>
            <w:r w:rsidRPr="001F3B65" w:rsidR="008E0681">
              <w:rPr>
                <w:rFonts w:ascii="Helvetica" w:hAnsi="Helvetica"/>
                <w:bCs/>
                <w:color w:val="000000"/>
                <w:sz w:val="18"/>
              </w:rPr>
              <w:t>92457</w:t>
            </w:r>
            <w:r w:rsidRPr="001F3B65">
              <w:rPr>
                <w:rFonts w:ascii="Helvetica" w:hAnsi="Helvetica"/>
                <w:bCs/>
                <w:color w:val="000000"/>
                <w:sz w:val="18"/>
              </w:rPr>
              <w:t xml:space="preserve"> &amp; Related Documents</w:t>
            </w:r>
          </w:p>
        </w:tc>
        <w:tc>
          <w:tcPr>
            <w:tcW w:w="1200" w:type="dxa"/>
            <w:vAlign w:val="center"/>
          </w:tcPr>
          <w:p w:rsidR="003A63FE" w:rsidRPr="001F3B65" w:rsidP="00B26CFB" w14:paraId="6C7B11E0" w14:textId="77777777">
            <w:pPr>
              <w:jc w:val="center"/>
              <w:rPr>
                <w:rFonts w:ascii="Helvetica" w:hAnsi="Helvetica"/>
                <w:bCs/>
                <w:color w:val="000000"/>
                <w:sz w:val="18"/>
              </w:rPr>
            </w:pPr>
            <w:r w:rsidRPr="001F3B65">
              <w:rPr>
                <w:rFonts w:ascii="Helvetica" w:hAnsi="Helvetica"/>
                <w:bCs/>
                <w:color w:val="000000"/>
                <w:sz w:val="18"/>
              </w:rPr>
              <w:t>2</w:t>
            </w:r>
            <w:r w:rsidRPr="001F3B65" w:rsidR="00964DBF">
              <w:rPr>
                <w:rFonts w:ascii="Helvetica" w:hAnsi="Helvetica"/>
                <w:bCs/>
                <w:color w:val="000000"/>
                <w:sz w:val="18"/>
              </w:rPr>
              <w:t>00</w:t>
            </w:r>
          </w:p>
        </w:tc>
        <w:tc>
          <w:tcPr>
            <w:tcW w:w="1200" w:type="dxa"/>
            <w:vAlign w:val="center"/>
          </w:tcPr>
          <w:p w:rsidR="003A63FE" w:rsidRPr="001F3B65" w14:paraId="4869BE94" w14:textId="77777777">
            <w:pPr>
              <w:jc w:val="center"/>
              <w:rPr>
                <w:rFonts w:ascii="Helvetica" w:hAnsi="Helvetica"/>
                <w:bCs/>
                <w:color w:val="000000"/>
                <w:sz w:val="18"/>
              </w:rPr>
            </w:pPr>
            <w:r w:rsidRPr="001F3B65">
              <w:rPr>
                <w:rFonts w:ascii="Helvetica" w:hAnsi="Helvetica"/>
                <w:bCs/>
                <w:color w:val="000000"/>
                <w:sz w:val="18"/>
              </w:rPr>
              <w:t>2</w:t>
            </w:r>
          </w:p>
        </w:tc>
        <w:tc>
          <w:tcPr>
            <w:tcW w:w="1320" w:type="dxa"/>
            <w:vAlign w:val="center"/>
          </w:tcPr>
          <w:p w:rsidR="003A63FE" w:rsidRPr="001F3B65" w:rsidP="00B26CFB" w14:paraId="1BC10584" w14:textId="77777777">
            <w:pPr>
              <w:jc w:val="center"/>
              <w:rPr>
                <w:rFonts w:ascii="Helvetica" w:hAnsi="Helvetica"/>
                <w:bCs/>
                <w:color w:val="000000"/>
                <w:sz w:val="18"/>
              </w:rPr>
            </w:pPr>
            <w:r w:rsidRPr="001F3B65">
              <w:rPr>
                <w:rFonts w:ascii="Helvetica" w:hAnsi="Helvetica"/>
                <w:bCs/>
                <w:color w:val="000000"/>
                <w:sz w:val="18"/>
              </w:rPr>
              <w:t>400</w:t>
            </w:r>
          </w:p>
        </w:tc>
        <w:tc>
          <w:tcPr>
            <w:tcW w:w="1320" w:type="dxa"/>
            <w:vAlign w:val="center"/>
          </w:tcPr>
          <w:p w:rsidR="003A63FE" w:rsidRPr="001F3B65" w14:paraId="56FD52F2" w14:textId="77777777">
            <w:pPr>
              <w:jc w:val="center"/>
              <w:rPr>
                <w:rFonts w:ascii="Helvetica" w:hAnsi="Helvetica"/>
                <w:bCs/>
                <w:color w:val="000000"/>
                <w:sz w:val="18"/>
              </w:rPr>
            </w:pPr>
            <w:r w:rsidRPr="001F3B65">
              <w:rPr>
                <w:rFonts w:ascii="Helvetica" w:hAnsi="Helvetica"/>
                <w:bCs/>
                <w:color w:val="000000"/>
                <w:sz w:val="18"/>
              </w:rPr>
              <w:t>0.50</w:t>
            </w:r>
          </w:p>
        </w:tc>
        <w:tc>
          <w:tcPr>
            <w:tcW w:w="1320" w:type="dxa"/>
            <w:vAlign w:val="center"/>
          </w:tcPr>
          <w:p w:rsidR="003A63FE" w:rsidRPr="001F3B65" w:rsidP="00B26CFB" w14:paraId="4F63FE61" w14:textId="77777777">
            <w:pPr>
              <w:jc w:val="center"/>
              <w:rPr>
                <w:rFonts w:ascii="Helvetica" w:hAnsi="Helvetica"/>
                <w:bCs/>
                <w:color w:val="000000"/>
                <w:sz w:val="18"/>
              </w:rPr>
            </w:pPr>
            <w:r w:rsidRPr="001F3B65">
              <w:rPr>
                <w:rFonts w:ascii="Helvetica" w:hAnsi="Helvetica"/>
                <w:bCs/>
                <w:color w:val="000000"/>
                <w:sz w:val="18"/>
              </w:rPr>
              <w:t>2</w:t>
            </w:r>
            <w:r w:rsidRPr="001F3B65" w:rsidR="00964DBF">
              <w:rPr>
                <w:rFonts w:ascii="Helvetica" w:hAnsi="Helvetica"/>
                <w:bCs/>
                <w:color w:val="000000"/>
                <w:sz w:val="18"/>
              </w:rPr>
              <w:t>00</w:t>
            </w:r>
          </w:p>
        </w:tc>
        <w:tc>
          <w:tcPr>
            <w:tcW w:w="1080" w:type="dxa"/>
            <w:vAlign w:val="center"/>
          </w:tcPr>
          <w:p w:rsidR="003A63FE" w:rsidRPr="001F3B65" w14:paraId="4A22C1BA" w14:textId="77777777">
            <w:pPr>
              <w:jc w:val="right"/>
              <w:rPr>
                <w:rFonts w:ascii="Helvetica" w:hAnsi="Helvetica"/>
                <w:bCs/>
                <w:color w:val="000000"/>
                <w:sz w:val="18"/>
              </w:rPr>
            </w:pPr>
            <w:r w:rsidRPr="001F3B65">
              <w:rPr>
                <w:rFonts w:ascii="Helvetica" w:hAnsi="Helvetica"/>
                <w:bCs/>
                <w:color w:val="000000"/>
                <w:sz w:val="18"/>
              </w:rPr>
              <w:t>$50.00</w:t>
            </w:r>
          </w:p>
        </w:tc>
        <w:tc>
          <w:tcPr>
            <w:tcW w:w="1068" w:type="dxa"/>
            <w:vAlign w:val="center"/>
          </w:tcPr>
          <w:p w:rsidR="003A63FE" w:rsidRPr="001F3B65" w:rsidP="00B26CFB" w14:paraId="326EEB64" w14:textId="77777777">
            <w:pPr>
              <w:jc w:val="right"/>
              <w:rPr>
                <w:rFonts w:ascii="Helvetica" w:hAnsi="Helvetica"/>
                <w:bCs/>
                <w:color w:val="000000"/>
                <w:sz w:val="18"/>
              </w:rPr>
            </w:pPr>
            <w:r w:rsidRPr="001F3B65">
              <w:rPr>
                <w:rFonts w:ascii="Helvetica" w:hAnsi="Helvetica"/>
                <w:bCs/>
                <w:color w:val="000000"/>
                <w:sz w:val="18"/>
              </w:rPr>
              <w:t>$</w:t>
            </w:r>
            <w:r w:rsidRPr="001F3B65" w:rsidR="009D00E2">
              <w:rPr>
                <w:rFonts w:ascii="Helvetica" w:hAnsi="Helvetica"/>
                <w:bCs/>
                <w:color w:val="000000"/>
                <w:sz w:val="18"/>
              </w:rPr>
              <w:t>10,</w:t>
            </w:r>
            <w:r w:rsidRPr="001F3B65" w:rsidR="00964DBF">
              <w:rPr>
                <w:rFonts w:ascii="Helvetica" w:hAnsi="Helvetica"/>
                <w:bCs/>
                <w:color w:val="000000"/>
                <w:sz w:val="18"/>
              </w:rPr>
              <w:t>000</w:t>
            </w:r>
          </w:p>
        </w:tc>
      </w:tr>
    </w:tbl>
    <w:p w:rsidR="003A63FE" w:rsidRPr="001F3B65" w14:paraId="65813BB3" w14:textId="77777777">
      <w:pPr>
        <w:spacing w:before="80"/>
        <w:ind w:left="360"/>
        <w:rPr>
          <w:bCs/>
          <w:color w:val="000000"/>
          <w:sz w:val="22"/>
        </w:rPr>
      </w:pPr>
      <w:r w:rsidRPr="001F3B65">
        <w:rPr>
          <w:bCs/>
          <w:color w:val="000000"/>
          <w:sz w:val="22"/>
        </w:rPr>
        <w:t>The hourly rate is an estimate based on the salaries of surveyors, architects, and project owners.</w:t>
      </w:r>
      <w:r w:rsidRPr="001F3B65" w:rsidR="00B644ED">
        <w:rPr>
          <w:bCs/>
          <w:color w:val="000000"/>
          <w:sz w:val="22"/>
        </w:rPr>
        <w:t xml:space="preserve">  </w:t>
      </w:r>
    </w:p>
    <w:p w:rsidR="00B644ED" w:rsidRPr="001F3B65" w14:paraId="29DC2C6D" w14:textId="77777777">
      <w:pPr>
        <w:spacing w:before="80"/>
        <w:ind w:left="360"/>
        <w:rPr>
          <w:bCs/>
          <w:color w:val="000000"/>
          <w:sz w:val="22"/>
        </w:rPr>
      </w:pPr>
      <w:r w:rsidRPr="001F3B65">
        <w:rPr>
          <w:bCs/>
          <w:color w:val="000000"/>
          <w:sz w:val="22"/>
        </w:rPr>
        <w:t xml:space="preserve">It is estimated that there will be approximately </w:t>
      </w:r>
      <w:r w:rsidRPr="001F3B65" w:rsidR="009D00E2">
        <w:rPr>
          <w:bCs/>
          <w:color w:val="000000"/>
          <w:sz w:val="22"/>
        </w:rPr>
        <w:t>200</w:t>
      </w:r>
      <w:r w:rsidRPr="001F3B65">
        <w:rPr>
          <w:bCs/>
          <w:color w:val="000000"/>
          <w:sz w:val="22"/>
        </w:rPr>
        <w:t xml:space="preserve"> respondents who will submit form HUD-</w:t>
      </w:r>
      <w:r w:rsidRPr="001F3B65" w:rsidR="008E0681">
        <w:rPr>
          <w:bCs/>
          <w:color w:val="000000"/>
          <w:sz w:val="22"/>
        </w:rPr>
        <w:t>92457</w:t>
      </w:r>
      <w:r w:rsidRPr="001F3B65">
        <w:rPr>
          <w:bCs/>
          <w:color w:val="000000"/>
          <w:sz w:val="22"/>
        </w:rPr>
        <w:t xml:space="preserve"> </w:t>
      </w:r>
      <w:r w:rsidRPr="001F3B65" w:rsidR="009D00E2">
        <w:rPr>
          <w:bCs/>
          <w:color w:val="000000"/>
          <w:sz w:val="22"/>
        </w:rPr>
        <w:t>at application and at closing.</w:t>
      </w:r>
      <w:r w:rsidRPr="001F3B65">
        <w:rPr>
          <w:bCs/>
          <w:color w:val="000000"/>
          <w:sz w:val="22"/>
        </w:rPr>
        <w:t xml:space="preserve">  </w:t>
      </w:r>
    </w:p>
    <w:p w:rsidR="003A63FE" w:rsidRPr="001F3B65" w14:paraId="7EA128BC" w14:textId="77777777">
      <w:pPr>
        <w:rPr>
          <w:bCs/>
          <w:color w:val="000000"/>
          <w:sz w:val="22"/>
        </w:rPr>
      </w:pPr>
    </w:p>
    <w:p w:rsidR="003A63FE" w:rsidRPr="001F3B65" w:rsidP="002224BF" w14:paraId="07A4BE05" w14:textId="77777777">
      <w:pPr>
        <w:numPr>
          <w:ilvl w:val="0"/>
          <w:numId w:val="18"/>
        </w:numPr>
        <w:rPr>
          <w:color w:val="000000"/>
          <w:sz w:val="22"/>
        </w:rPr>
      </w:pPr>
      <w:r w:rsidRPr="001F3B65">
        <w:rPr>
          <w:bCs/>
          <w:color w:val="000000"/>
          <w:sz w:val="22"/>
        </w:rPr>
        <w:t>There are no additional costs for respondents.</w:t>
      </w:r>
      <w:r w:rsidRPr="001F3B65" w:rsidR="00612720">
        <w:rPr>
          <w:bCs/>
          <w:color w:val="000000"/>
          <w:sz w:val="22"/>
        </w:rPr>
        <w:t xml:space="preserve"> </w:t>
      </w:r>
    </w:p>
    <w:p w:rsidR="002224BF" w:rsidRPr="001F3B65" w:rsidP="002224BF" w14:paraId="561A73E5" w14:textId="77777777">
      <w:pPr>
        <w:ind w:left="360"/>
        <w:rPr>
          <w:color w:val="000000"/>
          <w:sz w:val="22"/>
        </w:rPr>
      </w:pPr>
    </w:p>
    <w:p w:rsidR="007E730A" w:rsidRPr="001F3B65" w:rsidP="007E730A" w14:paraId="4FDD0D3B" w14:textId="77777777">
      <w:pPr>
        <w:spacing w:after="120"/>
        <w:ind w:left="360"/>
        <w:rPr>
          <w:bCs/>
          <w:color w:val="000000"/>
          <w:sz w:val="24"/>
        </w:rPr>
      </w:pPr>
    </w:p>
    <w:p w:rsidR="003A63FE" w:rsidRPr="001F3B65" w14:paraId="6E515FA1" w14:textId="77777777">
      <w:pPr>
        <w:numPr>
          <w:ilvl w:val="0"/>
          <w:numId w:val="18"/>
        </w:numPr>
        <w:spacing w:after="120"/>
        <w:rPr>
          <w:bCs/>
          <w:color w:val="000000"/>
          <w:sz w:val="24"/>
        </w:rPr>
      </w:pPr>
      <w:r w:rsidRPr="001F3B65">
        <w:rPr>
          <w:bCs/>
          <w:color w:val="000000"/>
          <w:sz w:val="22"/>
        </w:rPr>
        <w:t>Projected Annual Costs to Federal Government: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1964"/>
        <w:gridCol w:w="1205"/>
        <w:gridCol w:w="1176"/>
        <w:gridCol w:w="1294"/>
        <w:gridCol w:w="1286"/>
        <w:gridCol w:w="1267"/>
        <w:gridCol w:w="1066"/>
        <w:gridCol w:w="1064"/>
      </w:tblGrid>
      <w:tr w14:paraId="5A8F5D59" w14:textId="77777777">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c>
          <w:tcPr>
            <w:tcW w:w="2040" w:type="dxa"/>
            <w:vAlign w:val="center"/>
          </w:tcPr>
          <w:p w:rsidR="003A63FE" w:rsidRPr="001F3B65" w14:paraId="42CEA377" w14:textId="77777777">
            <w:pPr>
              <w:jc w:val="center"/>
              <w:rPr>
                <w:rFonts w:ascii="Helvetica" w:hAnsi="Helvetica"/>
                <w:bCs/>
                <w:color w:val="000000"/>
                <w:sz w:val="18"/>
              </w:rPr>
            </w:pPr>
            <w:r w:rsidRPr="001F3B65">
              <w:rPr>
                <w:rFonts w:ascii="Helvetica" w:hAnsi="Helvetica"/>
                <w:bCs/>
                <w:color w:val="000000"/>
                <w:sz w:val="18"/>
              </w:rPr>
              <w:t>Information Collection</w:t>
            </w:r>
          </w:p>
        </w:tc>
        <w:tc>
          <w:tcPr>
            <w:tcW w:w="1200" w:type="dxa"/>
            <w:vAlign w:val="center"/>
          </w:tcPr>
          <w:p w:rsidR="003A63FE" w:rsidRPr="001F3B65" w14:paraId="0C61EF5D" w14:textId="77777777">
            <w:pPr>
              <w:ind w:left="-72" w:right="-108"/>
              <w:jc w:val="center"/>
              <w:rPr>
                <w:rFonts w:ascii="Helvetica" w:hAnsi="Helvetica"/>
                <w:bCs/>
                <w:color w:val="000000"/>
                <w:sz w:val="18"/>
              </w:rPr>
            </w:pPr>
            <w:r w:rsidRPr="001F3B65">
              <w:rPr>
                <w:rFonts w:ascii="Helvetica" w:hAnsi="Helvetica"/>
                <w:bCs/>
                <w:color w:val="000000"/>
                <w:sz w:val="18"/>
              </w:rPr>
              <w:t>Number of Respondents</w:t>
            </w:r>
          </w:p>
        </w:tc>
        <w:tc>
          <w:tcPr>
            <w:tcW w:w="1200" w:type="dxa"/>
            <w:vAlign w:val="center"/>
          </w:tcPr>
          <w:p w:rsidR="003A63FE" w:rsidRPr="001F3B65" w14:paraId="2428822D" w14:textId="77777777">
            <w:pPr>
              <w:ind w:left="-149" w:right="-108"/>
              <w:jc w:val="center"/>
              <w:rPr>
                <w:rFonts w:ascii="Helvetica" w:hAnsi="Helvetica"/>
                <w:bCs/>
                <w:color w:val="000000"/>
                <w:sz w:val="18"/>
              </w:rPr>
            </w:pPr>
            <w:r w:rsidRPr="001F3B65">
              <w:rPr>
                <w:rFonts w:ascii="Helvetica" w:hAnsi="Helvetica"/>
                <w:bCs/>
                <w:color w:val="000000"/>
                <w:sz w:val="18"/>
              </w:rPr>
              <w:t>Frequency of Response</w:t>
            </w:r>
          </w:p>
        </w:tc>
        <w:tc>
          <w:tcPr>
            <w:tcW w:w="1320" w:type="dxa"/>
            <w:vAlign w:val="center"/>
          </w:tcPr>
          <w:p w:rsidR="003A63FE" w:rsidRPr="001F3B65" w14:paraId="4116C573" w14:textId="77777777">
            <w:pPr>
              <w:ind w:left="-108" w:right="-108"/>
              <w:jc w:val="center"/>
              <w:rPr>
                <w:rFonts w:ascii="Helvetica" w:hAnsi="Helvetica"/>
                <w:bCs/>
                <w:color w:val="000000"/>
                <w:sz w:val="18"/>
              </w:rPr>
            </w:pPr>
            <w:r w:rsidRPr="001F3B65">
              <w:rPr>
                <w:rFonts w:ascii="Helvetica" w:hAnsi="Helvetica"/>
                <w:bCs/>
                <w:color w:val="000000"/>
                <w:sz w:val="18"/>
              </w:rPr>
              <w:t>Responses Per Annum</w:t>
            </w:r>
          </w:p>
        </w:tc>
        <w:tc>
          <w:tcPr>
            <w:tcW w:w="1320" w:type="dxa"/>
            <w:vAlign w:val="center"/>
          </w:tcPr>
          <w:p w:rsidR="003A63FE" w:rsidRPr="001F3B65" w14:paraId="21A1A319" w14:textId="77777777">
            <w:pPr>
              <w:ind w:left="-108" w:right="-108"/>
              <w:jc w:val="center"/>
              <w:rPr>
                <w:rFonts w:ascii="Helvetica" w:hAnsi="Helvetica"/>
                <w:bCs/>
                <w:color w:val="000000"/>
                <w:sz w:val="18"/>
              </w:rPr>
            </w:pPr>
            <w:r w:rsidRPr="001F3B65">
              <w:rPr>
                <w:rFonts w:ascii="Helvetica" w:hAnsi="Helvetica"/>
                <w:bCs/>
                <w:color w:val="000000"/>
                <w:sz w:val="18"/>
              </w:rPr>
              <w:t>Burden Hrs Per Response</w:t>
            </w:r>
          </w:p>
        </w:tc>
        <w:tc>
          <w:tcPr>
            <w:tcW w:w="1320" w:type="dxa"/>
            <w:vAlign w:val="center"/>
          </w:tcPr>
          <w:p w:rsidR="003A63FE" w:rsidRPr="001F3B65" w14:paraId="50FAB326" w14:textId="77777777">
            <w:pPr>
              <w:ind w:left="-108" w:right="-108"/>
              <w:jc w:val="center"/>
              <w:rPr>
                <w:rFonts w:ascii="Helvetica" w:hAnsi="Helvetica"/>
                <w:bCs/>
                <w:color w:val="000000"/>
                <w:sz w:val="18"/>
              </w:rPr>
            </w:pPr>
            <w:r w:rsidRPr="001F3B65">
              <w:rPr>
                <w:rFonts w:ascii="Helvetica" w:hAnsi="Helvetica"/>
                <w:bCs/>
                <w:color w:val="000000"/>
                <w:sz w:val="18"/>
              </w:rPr>
              <w:t>Annual Burden Hours</w:t>
            </w:r>
          </w:p>
        </w:tc>
        <w:tc>
          <w:tcPr>
            <w:tcW w:w="1080" w:type="dxa"/>
            <w:vAlign w:val="center"/>
          </w:tcPr>
          <w:p w:rsidR="003A63FE" w:rsidRPr="001F3B65" w14:paraId="3CB79411" w14:textId="77777777">
            <w:pPr>
              <w:ind w:left="-108" w:right="-108"/>
              <w:jc w:val="center"/>
              <w:rPr>
                <w:rFonts w:ascii="Helvetica" w:hAnsi="Helvetica"/>
                <w:bCs/>
                <w:color w:val="000000"/>
                <w:sz w:val="18"/>
              </w:rPr>
            </w:pPr>
            <w:r w:rsidRPr="001F3B65">
              <w:rPr>
                <w:rFonts w:ascii="Helvetica" w:hAnsi="Helvetica"/>
                <w:bCs/>
                <w:color w:val="000000"/>
                <w:sz w:val="18"/>
              </w:rPr>
              <w:t>Hrly Cost per Response</w:t>
            </w:r>
          </w:p>
        </w:tc>
        <w:tc>
          <w:tcPr>
            <w:tcW w:w="1068" w:type="dxa"/>
            <w:vAlign w:val="center"/>
          </w:tcPr>
          <w:p w:rsidR="003A63FE" w:rsidRPr="001F3B65" w14:paraId="69B83327" w14:textId="77777777">
            <w:pPr>
              <w:ind w:left="-108" w:right="-120"/>
              <w:jc w:val="center"/>
              <w:rPr>
                <w:rFonts w:ascii="Helvetica" w:hAnsi="Helvetica"/>
                <w:bCs/>
                <w:color w:val="000000"/>
                <w:sz w:val="18"/>
              </w:rPr>
            </w:pPr>
            <w:r w:rsidRPr="001F3B65">
              <w:rPr>
                <w:rFonts w:ascii="Helvetica" w:hAnsi="Helvetica"/>
                <w:bCs/>
                <w:color w:val="000000"/>
                <w:sz w:val="18"/>
              </w:rPr>
              <w:t>Total Annual Cost</w:t>
            </w:r>
          </w:p>
        </w:tc>
      </w:tr>
      <w:tr w14:paraId="05E6BD3C" w14:textId="77777777" w:rsidTr="002224BF">
        <w:tblPrEx>
          <w:tblW w:w="0" w:type="auto"/>
          <w:tblInd w:w="468" w:type="dxa"/>
          <w:tblCellMar>
            <w:top w:w="0" w:type="dxa"/>
            <w:bottom w:w="0" w:type="dxa"/>
          </w:tblCellMar>
          <w:tblLook w:val="0000"/>
        </w:tblPrEx>
        <w:trPr>
          <w:trHeight w:val="410"/>
        </w:trPr>
        <w:tc>
          <w:tcPr>
            <w:tcW w:w="2040" w:type="dxa"/>
            <w:vAlign w:val="center"/>
          </w:tcPr>
          <w:p w:rsidR="003A63FE" w:rsidRPr="001F3B65" w14:paraId="48FCF4AD" w14:textId="77777777">
            <w:pPr>
              <w:rPr>
                <w:rFonts w:ascii="Helvetica" w:hAnsi="Helvetica"/>
                <w:bCs/>
                <w:color w:val="000000"/>
                <w:sz w:val="18"/>
              </w:rPr>
            </w:pPr>
            <w:r w:rsidRPr="001F3B65">
              <w:rPr>
                <w:rFonts w:ascii="Helvetica" w:hAnsi="Helvetica"/>
                <w:bCs/>
                <w:color w:val="000000"/>
                <w:sz w:val="18"/>
              </w:rPr>
              <w:t xml:space="preserve">HUD </w:t>
            </w:r>
            <w:r w:rsidRPr="001F3B65" w:rsidR="008E0681">
              <w:rPr>
                <w:rFonts w:ascii="Helvetica" w:hAnsi="Helvetica"/>
                <w:bCs/>
                <w:color w:val="000000"/>
                <w:sz w:val="18"/>
              </w:rPr>
              <w:t>92457</w:t>
            </w:r>
            <w:r w:rsidRPr="001F3B65">
              <w:rPr>
                <w:rFonts w:ascii="Helvetica" w:hAnsi="Helvetica"/>
                <w:bCs/>
                <w:color w:val="000000"/>
                <w:sz w:val="18"/>
              </w:rPr>
              <w:t xml:space="preserve"> &amp; Related Documents</w:t>
            </w:r>
          </w:p>
        </w:tc>
        <w:tc>
          <w:tcPr>
            <w:tcW w:w="1200" w:type="dxa"/>
            <w:vAlign w:val="center"/>
          </w:tcPr>
          <w:p w:rsidR="003A63FE" w:rsidRPr="001F3B65" w:rsidP="00B26CFB" w14:paraId="2B43666B" w14:textId="77777777">
            <w:pPr>
              <w:jc w:val="center"/>
              <w:rPr>
                <w:rFonts w:ascii="Helvetica" w:hAnsi="Helvetica"/>
                <w:bCs/>
                <w:color w:val="000000"/>
                <w:sz w:val="18"/>
              </w:rPr>
            </w:pPr>
            <w:r w:rsidRPr="001F3B65">
              <w:rPr>
                <w:rFonts w:ascii="Helvetica" w:hAnsi="Helvetica"/>
                <w:bCs/>
                <w:color w:val="000000"/>
                <w:sz w:val="18"/>
              </w:rPr>
              <w:t>2</w:t>
            </w:r>
            <w:r w:rsidRPr="001F3B65" w:rsidR="00964DBF">
              <w:rPr>
                <w:rFonts w:ascii="Helvetica" w:hAnsi="Helvetica"/>
                <w:bCs/>
                <w:color w:val="000000"/>
                <w:sz w:val="18"/>
              </w:rPr>
              <w:t>00</w:t>
            </w:r>
          </w:p>
        </w:tc>
        <w:tc>
          <w:tcPr>
            <w:tcW w:w="1200" w:type="dxa"/>
            <w:vAlign w:val="center"/>
          </w:tcPr>
          <w:p w:rsidR="003A63FE" w:rsidRPr="001F3B65" w14:paraId="53BCDAFB" w14:textId="77777777">
            <w:pPr>
              <w:jc w:val="center"/>
              <w:rPr>
                <w:rFonts w:ascii="Helvetica" w:hAnsi="Helvetica"/>
                <w:bCs/>
                <w:color w:val="000000"/>
                <w:sz w:val="18"/>
              </w:rPr>
            </w:pPr>
            <w:r w:rsidRPr="001F3B65">
              <w:rPr>
                <w:rFonts w:ascii="Helvetica" w:hAnsi="Helvetica"/>
                <w:bCs/>
                <w:color w:val="000000"/>
                <w:sz w:val="18"/>
              </w:rPr>
              <w:t>2</w:t>
            </w:r>
          </w:p>
        </w:tc>
        <w:tc>
          <w:tcPr>
            <w:tcW w:w="1320" w:type="dxa"/>
            <w:vAlign w:val="center"/>
          </w:tcPr>
          <w:p w:rsidR="003A63FE" w:rsidRPr="001F3B65" w:rsidP="00B26CFB" w14:paraId="0F29AD4C" w14:textId="77777777">
            <w:pPr>
              <w:jc w:val="center"/>
              <w:rPr>
                <w:rFonts w:ascii="Helvetica" w:hAnsi="Helvetica"/>
                <w:bCs/>
                <w:color w:val="000000"/>
                <w:sz w:val="18"/>
              </w:rPr>
            </w:pPr>
            <w:r w:rsidRPr="001F3B65">
              <w:rPr>
                <w:rFonts w:ascii="Helvetica" w:hAnsi="Helvetica"/>
                <w:bCs/>
                <w:color w:val="000000"/>
                <w:sz w:val="18"/>
              </w:rPr>
              <w:t>4</w:t>
            </w:r>
            <w:r w:rsidRPr="001F3B65" w:rsidR="00964DBF">
              <w:rPr>
                <w:rFonts w:ascii="Helvetica" w:hAnsi="Helvetica"/>
                <w:bCs/>
                <w:color w:val="000000"/>
                <w:sz w:val="18"/>
              </w:rPr>
              <w:t>00</w:t>
            </w:r>
          </w:p>
        </w:tc>
        <w:tc>
          <w:tcPr>
            <w:tcW w:w="1320" w:type="dxa"/>
            <w:vAlign w:val="center"/>
          </w:tcPr>
          <w:p w:rsidR="003A63FE" w:rsidRPr="001F3B65" w14:paraId="4CE9F57B" w14:textId="77777777">
            <w:pPr>
              <w:jc w:val="center"/>
              <w:rPr>
                <w:rFonts w:ascii="Helvetica" w:hAnsi="Helvetica"/>
                <w:bCs/>
                <w:color w:val="000000"/>
                <w:sz w:val="18"/>
              </w:rPr>
            </w:pPr>
            <w:r w:rsidRPr="001F3B65">
              <w:rPr>
                <w:rFonts w:ascii="Helvetica" w:hAnsi="Helvetica"/>
                <w:bCs/>
                <w:color w:val="000000"/>
                <w:sz w:val="18"/>
              </w:rPr>
              <w:t>0.16</w:t>
            </w:r>
          </w:p>
        </w:tc>
        <w:tc>
          <w:tcPr>
            <w:tcW w:w="1320" w:type="dxa"/>
            <w:vAlign w:val="center"/>
          </w:tcPr>
          <w:p w:rsidR="003A63FE" w:rsidRPr="001F3B65" w:rsidP="00B26CFB" w14:paraId="467B445A" w14:textId="77777777">
            <w:pPr>
              <w:jc w:val="center"/>
              <w:rPr>
                <w:rFonts w:ascii="Helvetica" w:hAnsi="Helvetica"/>
                <w:bCs/>
                <w:color w:val="000000"/>
                <w:sz w:val="18"/>
              </w:rPr>
            </w:pPr>
            <w:r w:rsidRPr="001F3B65">
              <w:rPr>
                <w:rFonts w:ascii="Helvetica" w:hAnsi="Helvetica"/>
                <w:bCs/>
                <w:color w:val="000000"/>
                <w:sz w:val="18"/>
              </w:rPr>
              <w:t>64</w:t>
            </w:r>
          </w:p>
        </w:tc>
        <w:tc>
          <w:tcPr>
            <w:tcW w:w="1080" w:type="dxa"/>
            <w:vAlign w:val="center"/>
          </w:tcPr>
          <w:p w:rsidR="003A63FE" w:rsidRPr="001F3B65" w:rsidP="004E1EE1" w14:paraId="01FA1447" w14:textId="77777777">
            <w:pPr>
              <w:jc w:val="right"/>
              <w:rPr>
                <w:rFonts w:ascii="Helvetica" w:hAnsi="Helvetica"/>
                <w:bCs/>
                <w:color w:val="000000"/>
                <w:sz w:val="18"/>
              </w:rPr>
            </w:pPr>
            <w:r w:rsidRPr="001F3B65">
              <w:rPr>
                <w:rFonts w:ascii="Helvetica" w:hAnsi="Helvetica"/>
                <w:bCs/>
                <w:color w:val="000000"/>
                <w:sz w:val="18"/>
              </w:rPr>
              <w:t>$</w:t>
            </w:r>
            <w:r w:rsidRPr="001F3B65" w:rsidR="004E1EE1">
              <w:rPr>
                <w:rFonts w:ascii="Helvetica" w:hAnsi="Helvetica"/>
                <w:bCs/>
                <w:color w:val="000000"/>
                <w:sz w:val="18"/>
              </w:rPr>
              <w:t>4</w:t>
            </w:r>
            <w:r w:rsidRPr="001F3B65" w:rsidR="00682863">
              <w:rPr>
                <w:rFonts w:ascii="Helvetica" w:hAnsi="Helvetica"/>
                <w:bCs/>
                <w:color w:val="000000"/>
                <w:sz w:val="18"/>
              </w:rPr>
              <w:t>4</w:t>
            </w:r>
            <w:r w:rsidRPr="001F3B65" w:rsidR="00964DBF">
              <w:rPr>
                <w:rFonts w:ascii="Helvetica" w:hAnsi="Helvetica"/>
                <w:bCs/>
                <w:color w:val="000000"/>
                <w:sz w:val="18"/>
              </w:rPr>
              <w:t>.</w:t>
            </w:r>
            <w:r w:rsidRPr="001F3B65" w:rsidR="00682863">
              <w:rPr>
                <w:rFonts w:ascii="Helvetica" w:hAnsi="Helvetica"/>
                <w:bCs/>
                <w:color w:val="000000"/>
                <w:sz w:val="18"/>
              </w:rPr>
              <w:t>28</w:t>
            </w:r>
          </w:p>
        </w:tc>
        <w:tc>
          <w:tcPr>
            <w:tcW w:w="1068" w:type="dxa"/>
            <w:vAlign w:val="center"/>
          </w:tcPr>
          <w:p w:rsidR="003A63FE" w:rsidRPr="001F3B65" w:rsidP="00B26CFB" w14:paraId="71E8AAA0" w14:textId="77777777">
            <w:pPr>
              <w:jc w:val="right"/>
              <w:rPr>
                <w:rFonts w:ascii="Helvetica" w:hAnsi="Helvetica"/>
                <w:bCs/>
                <w:color w:val="000000"/>
                <w:sz w:val="18"/>
              </w:rPr>
            </w:pPr>
            <w:r w:rsidRPr="001F3B65">
              <w:rPr>
                <w:rFonts w:ascii="Helvetica" w:hAnsi="Helvetica"/>
                <w:bCs/>
                <w:color w:val="000000"/>
                <w:sz w:val="18"/>
              </w:rPr>
              <w:t>$</w:t>
            </w:r>
            <w:r w:rsidRPr="001F3B65" w:rsidR="00682863">
              <w:rPr>
                <w:rFonts w:ascii="Helvetica" w:hAnsi="Helvetica"/>
                <w:bCs/>
                <w:color w:val="000000"/>
                <w:sz w:val="18"/>
              </w:rPr>
              <w:t>2,833.92</w:t>
            </w:r>
          </w:p>
        </w:tc>
      </w:tr>
    </w:tbl>
    <w:p w:rsidR="003A63FE" w:rsidRPr="001F3B65" w14:paraId="7FF649A3" w14:textId="77777777">
      <w:pPr>
        <w:spacing w:before="80"/>
        <w:ind w:left="360"/>
        <w:rPr>
          <w:color w:val="000000"/>
          <w:sz w:val="22"/>
        </w:rPr>
      </w:pPr>
      <w:r w:rsidRPr="001F3B65">
        <w:rPr>
          <w:color w:val="000000"/>
          <w:sz w:val="22"/>
        </w:rPr>
        <w:t>The hourly rate is based on the salary of a</w:t>
      </w:r>
      <w:r w:rsidRPr="001F3B65" w:rsidR="009D00E2">
        <w:rPr>
          <w:color w:val="000000"/>
          <w:sz w:val="22"/>
        </w:rPr>
        <w:t xml:space="preserve"> </w:t>
      </w:r>
      <w:r w:rsidRPr="001F3B65">
        <w:rPr>
          <w:color w:val="000000"/>
          <w:sz w:val="22"/>
        </w:rPr>
        <w:t>GS-12</w:t>
      </w:r>
      <w:r w:rsidRPr="001F3B65" w:rsidR="00EF64A9">
        <w:rPr>
          <w:color w:val="000000"/>
          <w:sz w:val="22"/>
        </w:rPr>
        <w:t xml:space="preserve"> step 5</w:t>
      </w:r>
      <w:r w:rsidRPr="001F3B65" w:rsidR="00964DBF">
        <w:rPr>
          <w:color w:val="000000"/>
          <w:sz w:val="22"/>
        </w:rPr>
        <w:t xml:space="preserve"> ($9</w:t>
      </w:r>
      <w:r w:rsidRPr="001F3B65" w:rsidR="00682863">
        <w:rPr>
          <w:color w:val="000000"/>
          <w:sz w:val="22"/>
        </w:rPr>
        <w:t>2</w:t>
      </w:r>
      <w:r w:rsidRPr="001F3B65" w:rsidR="00964DBF">
        <w:rPr>
          <w:color w:val="000000"/>
          <w:sz w:val="22"/>
        </w:rPr>
        <w:t>,</w:t>
      </w:r>
      <w:r w:rsidRPr="001F3B65" w:rsidR="00682863">
        <w:rPr>
          <w:color w:val="000000"/>
          <w:sz w:val="22"/>
        </w:rPr>
        <w:t>421</w:t>
      </w:r>
      <w:r w:rsidRPr="001F3B65" w:rsidR="00964DBF">
        <w:rPr>
          <w:color w:val="000000"/>
          <w:sz w:val="22"/>
        </w:rPr>
        <w:t xml:space="preserve">) </w:t>
      </w:r>
      <w:r w:rsidRPr="001F3B65">
        <w:rPr>
          <w:color w:val="000000"/>
          <w:sz w:val="22"/>
        </w:rPr>
        <w:t xml:space="preserve">for field staff review of documents.  </w:t>
      </w:r>
    </w:p>
    <w:p w:rsidR="003A63FE" w:rsidRPr="001F3B65" w14:paraId="2673DDD0" w14:textId="77777777">
      <w:pPr>
        <w:rPr>
          <w:color w:val="000000"/>
          <w:sz w:val="22"/>
        </w:rPr>
      </w:pPr>
    </w:p>
    <w:p w:rsidR="003A63FE" w:rsidRPr="001F3B65" w:rsidP="0087082B" w14:paraId="4611481C" w14:textId="77777777">
      <w:pPr>
        <w:numPr>
          <w:ilvl w:val="0"/>
          <w:numId w:val="18"/>
        </w:numPr>
        <w:rPr>
          <w:bCs/>
          <w:color w:val="000000"/>
          <w:sz w:val="22"/>
        </w:rPr>
      </w:pPr>
      <w:r w:rsidRPr="001F3B65">
        <w:rPr>
          <w:bCs/>
          <w:color w:val="000000"/>
          <w:sz w:val="22"/>
        </w:rPr>
        <w:t xml:space="preserve">Reinstatement, with change, of previously approved collection for which approval has expired. This collection is being </w:t>
      </w:r>
      <w:r w:rsidRPr="001F3B65">
        <w:rPr>
          <w:bCs/>
          <w:color w:val="000000"/>
          <w:sz w:val="22"/>
        </w:rPr>
        <w:t>discontined</w:t>
      </w:r>
      <w:r w:rsidRPr="001F3B65" w:rsidR="00594957">
        <w:rPr>
          <w:bCs/>
          <w:color w:val="000000"/>
          <w:sz w:val="22"/>
        </w:rPr>
        <w:t xml:space="preserve">.  </w:t>
      </w:r>
    </w:p>
    <w:p w:rsidR="00FF27EF" w:rsidRPr="001F3B65" w:rsidP="00FF27EF" w14:paraId="200821F5" w14:textId="77777777">
      <w:pPr>
        <w:ind w:left="360"/>
        <w:rPr>
          <w:bCs/>
          <w:color w:val="000000"/>
          <w:sz w:val="22"/>
        </w:rPr>
      </w:pPr>
    </w:p>
    <w:p w:rsidR="003A63FE" w:rsidRPr="001F3B65" w14:paraId="730B67ED" w14:textId="77777777">
      <w:pPr>
        <w:numPr>
          <w:ilvl w:val="0"/>
          <w:numId w:val="18"/>
        </w:numPr>
        <w:rPr>
          <w:b/>
          <w:color w:val="000000"/>
          <w:sz w:val="22"/>
        </w:rPr>
      </w:pPr>
      <w:r w:rsidRPr="001F3B65">
        <w:rPr>
          <w:color w:val="000000"/>
          <w:sz w:val="22"/>
        </w:rPr>
        <w:t>The collection of information is not scheduled for publication.</w:t>
      </w:r>
    </w:p>
    <w:p w:rsidR="003A63FE" w:rsidRPr="001F3B65" w14:paraId="179EEA95" w14:textId="77777777">
      <w:pPr>
        <w:rPr>
          <w:b/>
          <w:color w:val="000000"/>
          <w:sz w:val="22"/>
        </w:rPr>
      </w:pPr>
    </w:p>
    <w:p w:rsidR="003A63FE" w:rsidRPr="001F3B65" w14:paraId="469A16CB" w14:textId="77777777">
      <w:pPr>
        <w:numPr>
          <w:ilvl w:val="0"/>
          <w:numId w:val="18"/>
        </w:numPr>
        <w:rPr>
          <w:b/>
          <w:color w:val="000000"/>
          <w:sz w:val="22"/>
        </w:rPr>
      </w:pPr>
      <w:r w:rsidRPr="001F3B65">
        <w:rPr>
          <w:color w:val="000000"/>
          <w:sz w:val="22"/>
        </w:rPr>
        <w:t>HUD will not seek approval to avoid displaying the OMB expiration date.</w:t>
      </w:r>
    </w:p>
    <w:p w:rsidR="003A63FE" w:rsidRPr="001F3B65" w14:paraId="20693A39" w14:textId="77777777">
      <w:pPr>
        <w:rPr>
          <w:b/>
          <w:color w:val="000000"/>
          <w:sz w:val="22"/>
        </w:rPr>
      </w:pPr>
    </w:p>
    <w:p w:rsidR="003A63FE" w:rsidRPr="001F3B65" w14:paraId="7FEB5354" w14:textId="77777777">
      <w:pPr>
        <w:numPr>
          <w:ilvl w:val="0"/>
          <w:numId w:val="18"/>
        </w:numPr>
        <w:rPr>
          <w:color w:val="000000"/>
          <w:sz w:val="22"/>
        </w:rPr>
      </w:pPr>
      <w:r w:rsidRPr="001F3B65">
        <w:rPr>
          <w:color w:val="000000"/>
          <w:sz w:val="22"/>
        </w:rPr>
        <w:t>There are no exceptions to the C</w:t>
      </w:r>
      <w:r w:rsidRPr="001F3B65">
        <w:rPr>
          <w:color w:val="000000"/>
          <w:sz w:val="22"/>
        </w:rPr>
        <w:t xml:space="preserve">ertification </w:t>
      </w:r>
      <w:r w:rsidRPr="001F3B65">
        <w:rPr>
          <w:color w:val="000000"/>
          <w:sz w:val="22"/>
        </w:rPr>
        <w:t>Statement identified in item 19 of Form OMB 83-1.</w:t>
      </w:r>
      <w:r w:rsidRPr="001F3B65">
        <w:rPr>
          <w:color w:val="000000"/>
          <w:sz w:val="22"/>
        </w:rPr>
        <w:t xml:space="preserve">  </w:t>
      </w:r>
    </w:p>
    <w:p w:rsidR="003A63FE" w:rsidRPr="001F3B65" w14:paraId="01E8A752" w14:textId="77777777">
      <w:pPr>
        <w:rPr>
          <w:color w:val="000000"/>
          <w:sz w:val="22"/>
        </w:rPr>
      </w:pPr>
    </w:p>
    <w:p w:rsidR="003A63FE" w:rsidRPr="001F3B65" w14:paraId="5567942F" w14:textId="77777777">
      <w:pPr>
        <w:tabs>
          <w:tab w:val="left" w:pos="360"/>
        </w:tabs>
        <w:rPr>
          <w:b/>
          <w:color w:val="000000"/>
          <w:sz w:val="24"/>
          <w:u w:val="single"/>
        </w:rPr>
      </w:pPr>
      <w:r w:rsidRPr="001F3B65">
        <w:rPr>
          <w:b/>
          <w:color w:val="000000"/>
          <w:sz w:val="24"/>
        </w:rPr>
        <w:t>B.</w:t>
      </w:r>
      <w:r w:rsidRPr="001F3B65">
        <w:rPr>
          <w:b/>
          <w:color w:val="000000"/>
          <w:sz w:val="24"/>
        </w:rPr>
        <w:tab/>
        <w:t>Collection of Information Employing Statistical Methods:</w:t>
      </w:r>
    </w:p>
    <w:p w:rsidR="003A63FE" w:rsidRPr="001F3B65" w14:paraId="01ACAD0A" w14:textId="77777777">
      <w:pPr>
        <w:rPr>
          <w:b/>
          <w:color w:val="000000"/>
          <w:sz w:val="24"/>
          <w:u w:val="single"/>
        </w:rPr>
      </w:pPr>
    </w:p>
    <w:p w:rsidR="003A63FE" w:rsidRPr="001F3B65" w14:paraId="58771A92" w14:textId="77777777">
      <w:pPr>
        <w:pStyle w:val="BodyText"/>
        <w:ind w:left="360"/>
        <w:rPr>
          <w:bCs/>
          <w:color w:val="000000"/>
          <w:sz w:val="22"/>
        </w:rPr>
      </w:pPr>
      <w:r w:rsidRPr="001F3B65">
        <w:rPr>
          <w:bCs/>
          <w:color w:val="000000"/>
          <w:sz w:val="22"/>
        </w:rPr>
        <w:t>The collection of information does not employ statistical methods.</w:t>
      </w:r>
    </w:p>
    <w:sectPr>
      <w:footerReference w:type="even" r:id="rId8"/>
      <w:footerReference w:type="default" r:id="rId9"/>
      <w:pgSz w:w="12240" w:h="15840"/>
      <w:pgMar w:top="480" w:right="720" w:bottom="480" w:left="60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082B" w14:paraId="49C6F96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7082B" w14:paraId="715BD1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082B" w14:paraId="7B2798B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05BE">
      <w:rPr>
        <w:rStyle w:val="PageNumber"/>
        <w:noProof/>
      </w:rPr>
      <w:t>3</w:t>
    </w:r>
    <w:r>
      <w:rPr>
        <w:rStyle w:val="PageNumber"/>
      </w:rPr>
      <w:fldChar w:fldCharType="end"/>
    </w:r>
  </w:p>
  <w:p w:rsidR="0087082B" w14:paraId="391B5C55" w14:textId="77777777">
    <w:pPr>
      <w:pStyle w:val="Footer"/>
      <w:tabs>
        <w:tab w:val="clear" w:pos="4320"/>
        <w:tab w:val="clear" w:pos="8640"/>
        <w:tab w:val="right" w:pos="10920"/>
      </w:tabs>
      <w:spacing w:line="120" w:lineRule="exact"/>
      <w:ind w:left="-120" w:right="-120"/>
      <w:rPr>
        <w:rFonts w:ascii="Helvetica" w:hAnsi="Helvetica"/>
        <w:b/>
        <w:sz w:val="18"/>
      </w:rPr>
    </w:pPr>
  </w:p>
  <w:p w:rsidR="0087082B" w14:paraId="69B2026A" w14:textId="77777777">
    <w:pPr>
      <w:pStyle w:val="Footer"/>
      <w:tabs>
        <w:tab w:val="clear" w:pos="4320"/>
        <w:tab w:val="clear" w:pos="8640"/>
        <w:tab w:val="right" w:pos="10920"/>
      </w:tabs>
      <w:ind w:left="-120" w:righ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BE41ADC"/>
    <w:lvl w:ilvl="0">
      <w:start w:val="0"/>
      <w:numFmt w:val="decimal"/>
      <w:lvlText w:val="*"/>
      <w:lvlJc w:val="left"/>
    </w:lvl>
  </w:abstractNum>
  <w:abstractNum w:abstractNumId="1">
    <w:nsid w:val="01EA2A96"/>
    <w:multiLevelType w:val="hybridMultilevel"/>
    <w:tmpl w:val="116A96C6"/>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4C3129"/>
    <w:multiLevelType w:val="singleLevel"/>
    <w:tmpl w:val="60F280F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
    <w:nsid w:val="05746A9B"/>
    <w:multiLevelType w:val="hybridMultilevel"/>
    <w:tmpl w:val="334656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7DF21B7"/>
    <w:multiLevelType w:val="hybridMultilevel"/>
    <w:tmpl w:val="3354964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08BE1E69"/>
    <w:multiLevelType w:val="hybridMultilevel"/>
    <w:tmpl w:val="82CAFD3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ED073CA"/>
    <w:multiLevelType w:val="hybridMultilevel"/>
    <w:tmpl w:val="D0307CD4"/>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196C741C"/>
    <w:multiLevelType w:val="hybridMultilevel"/>
    <w:tmpl w:val="91CA8AB6"/>
    <w:lvl w:ilvl="0">
      <w:start w:val="8"/>
      <w:numFmt w:val="decimal"/>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9">
    <w:nsid w:val="25072D05"/>
    <w:multiLevelType w:val="hybridMultilevel"/>
    <w:tmpl w:val="CD3627E6"/>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9DD3F30"/>
    <w:multiLevelType w:val="hybridMultilevel"/>
    <w:tmpl w:val="6004D3F8"/>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2D3048F"/>
    <w:multiLevelType w:val="hybridMultilevel"/>
    <w:tmpl w:val="D3166ED8"/>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3A9A6F91"/>
    <w:multiLevelType w:val="hybridMultilevel"/>
    <w:tmpl w:val="ACB8A5E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F586486"/>
    <w:multiLevelType w:val="hybridMultilevel"/>
    <w:tmpl w:val="495E06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F5A2332"/>
    <w:multiLevelType w:val="hybridMultilevel"/>
    <w:tmpl w:val="1F06A374"/>
    <w:lvl w:ilvl="0">
      <w:start w:val="2"/>
      <w:numFmt w:val="decimal"/>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5">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nsid w:val="470C5EB1"/>
    <w:multiLevelType w:val="hybridMultilevel"/>
    <w:tmpl w:val="AAB46C1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8">
    <w:nsid w:val="5B120EF1"/>
    <w:multiLevelType w:val="hybridMultilevel"/>
    <w:tmpl w:val="B470E040"/>
    <w:lvl w:ilvl="0">
      <w:start w:val="1"/>
      <w:numFmt w:val="decimal"/>
      <w:lvlText w:val="%1."/>
      <w:lvlJc w:val="left"/>
      <w:pPr>
        <w:tabs>
          <w:tab w:val="num" w:pos="810"/>
        </w:tabs>
        <w:ind w:left="810" w:hanging="360"/>
      </w:p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9">
    <w:nsid w:val="668E2E69"/>
    <w:multiLevelType w:val="multilevel"/>
    <w:tmpl w:val="3D4C0860"/>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lvl w:ilvl="1" w:tentative="1">
      <w:start w:val="1"/>
      <w:numFmt w:val="lowerLetter"/>
      <w:pStyle w:val="Normal"/>
      <w:lvlText w:val="%2."/>
      <w:lvlJc w:val="left"/>
      <w:pPr>
        <w:tabs>
          <w:tab w:val="num" w:pos="1440"/>
        </w:tabs>
        <w:ind w:left="1440" w:hanging="360"/>
      </w:p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20">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1">
    <w:nsid w:val="7618545D"/>
    <w:multiLevelType w:val="hybridMultilevel"/>
    <w:tmpl w:val="FB2C8FC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333801387">
    <w:abstractNumId w:val="17"/>
  </w:num>
  <w:num w:numId="2" w16cid:durableId="1597404817">
    <w:abstractNumId w:val="22"/>
  </w:num>
  <w:num w:numId="3" w16cid:durableId="1967812704">
    <w:abstractNumId w:val="7"/>
  </w:num>
  <w:num w:numId="4" w16cid:durableId="1731535287">
    <w:abstractNumId w:val="20"/>
  </w:num>
  <w:num w:numId="5" w16cid:durableId="371853389">
    <w:abstractNumId w:val="15"/>
  </w:num>
  <w:num w:numId="6" w16cid:durableId="685448318">
    <w:abstractNumId w:val="1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152672550">
    <w:abstractNumId w:val="2"/>
  </w:num>
  <w:num w:numId="8" w16cid:durableId="2012097597">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1332488669">
    <w:abstractNumId w:val="21"/>
  </w:num>
  <w:num w:numId="10" w16cid:durableId="1189414044">
    <w:abstractNumId w:val="6"/>
  </w:num>
  <w:num w:numId="11" w16cid:durableId="2001345783">
    <w:abstractNumId w:val="12"/>
  </w:num>
  <w:num w:numId="12" w16cid:durableId="1543514266">
    <w:abstractNumId w:val="5"/>
  </w:num>
  <w:num w:numId="13" w16cid:durableId="1512138904">
    <w:abstractNumId w:val="9"/>
  </w:num>
  <w:num w:numId="14" w16cid:durableId="1282765276">
    <w:abstractNumId w:val="16"/>
  </w:num>
  <w:num w:numId="15" w16cid:durableId="1140416331">
    <w:abstractNumId w:val="8"/>
  </w:num>
  <w:num w:numId="16" w16cid:durableId="2043432331">
    <w:abstractNumId w:val="10"/>
  </w:num>
  <w:num w:numId="17" w16cid:durableId="548998760">
    <w:abstractNumId w:val="14"/>
  </w:num>
  <w:num w:numId="18" w16cid:durableId="1766068827">
    <w:abstractNumId w:val="11"/>
  </w:num>
  <w:num w:numId="19" w16cid:durableId="1340035355">
    <w:abstractNumId w:val="3"/>
  </w:num>
  <w:num w:numId="20" w16cid:durableId="1284574212">
    <w:abstractNumId w:val="4"/>
  </w:num>
  <w:num w:numId="21" w16cid:durableId="538204795">
    <w:abstractNumId w:val="18"/>
  </w:num>
  <w:num w:numId="22" w16cid:durableId="2046175875">
    <w:abstractNumId w:val="13"/>
  </w:num>
  <w:num w:numId="23" w16cid:durableId="304625769">
    <w:abstractNumId w:val="19"/>
  </w:num>
  <w:num w:numId="24" w16cid:durableId="1501694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A9"/>
    <w:rsid w:val="00006886"/>
    <w:rsid w:val="00007F83"/>
    <w:rsid w:val="00032797"/>
    <w:rsid w:val="00035741"/>
    <w:rsid w:val="00041E8F"/>
    <w:rsid w:val="00062FBD"/>
    <w:rsid w:val="0006796A"/>
    <w:rsid w:val="00082B78"/>
    <w:rsid w:val="000C0031"/>
    <w:rsid w:val="001455C7"/>
    <w:rsid w:val="001659EF"/>
    <w:rsid w:val="00177FB6"/>
    <w:rsid w:val="001A604B"/>
    <w:rsid w:val="001D566A"/>
    <w:rsid w:val="001D6189"/>
    <w:rsid w:val="001F3B65"/>
    <w:rsid w:val="00205330"/>
    <w:rsid w:val="00212244"/>
    <w:rsid w:val="0021416E"/>
    <w:rsid w:val="0021659E"/>
    <w:rsid w:val="002224BF"/>
    <w:rsid w:val="0025055D"/>
    <w:rsid w:val="00257A7D"/>
    <w:rsid w:val="00265370"/>
    <w:rsid w:val="002A2E04"/>
    <w:rsid w:val="002F2CEF"/>
    <w:rsid w:val="00304BCF"/>
    <w:rsid w:val="003570AB"/>
    <w:rsid w:val="003A63FE"/>
    <w:rsid w:val="003A6B5F"/>
    <w:rsid w:val="003A6DE4"/>
    <w:rsid w:val="003B047D"/>
    <w:rsid w:val="003E1149"/>
    <w:rsid w:val="003F1463"/>
    <w:rsid w:val="00414017"/>
    <w:rsid w:val="00453DC0"/>
    <w:rsid w:val="00455076"/>
    <w:rsid w:val="00486A85"/>
    <w:rsid w:val="004904EA"/>
    <w:rsid w:val="00497A22"/>
    <w:rsid w:val="004D6587"/>
    <w:rsid w:val="004E106E"/>
    <w:rsid w:val="004E1EE1"/>
    <w:rsid w:val="004E5C46"/>
    <w:rsid w:val="004F09ED"/>
    <w:rsid w:val="004F18CC"/>
    <w:rsid w:val="004F1D63"/>
    <w:rsid w:val="00525BDE"/>
    <w:rsid w:val="00533389"/>
    <w:rsid w:val="00574D62"/>
    <w:rsid w:val="00576CC2"/>
    <w:rsid w:val="00594957"/>
    <w:rsid w:val="005D02B1"/>
    <w:rsid w:val="005D2E40"/>
    <w:rsid w:val="00611F21"/>
    <w:rsid w:val="00612720"/>
    <w:rsid w:val="00617534"/>
    <w:rsid w:val="00682863"/>
    <w:rsid w:val="006B5B7F"/>
    <w:rsid w:val="006D2B62"/>
    <w:rsid w:val="006D4A63"/>
    <w:rsid w:val="006D5613"/>
    <w:rsid w:val="007658E8"/>
    <w:rsid w:val="007C0C9C"/>
    <w:rsid w:val="007E730A"/>
    <w:rsid w:val="00810A84"/>
    <w:rsid w:val="008409F3"/>
    <w:rsid w:val="0087082B"/>
    <w:rsid w:val="008A3361"/>
    <w:rsid w:val="008A6DD9"/>
    <w:rsid w:val="008E0681"/>
    <w:rsid w:val="008E7F50"/>
    <w:rsid w:val="00917572"/>
    <w:rsid w:val="00922694"/>
    <w:rsid w:val="00963639"/>
    <w:rsid w:val="00964DBF"/>
    <w:rsid w:val="009662C7"/>
    <w:rsid w:val="00971D22"/>
    <w:rsid w:val="009A3DF8"/>
    <w:rsid w:val="009B15A4"/>
    <w:rsid w:val="009B7E6E"/>
    <w:rsid w:val="009D00E2"/>
    <w:rsid w:val="009E3720"/>
    <w:rsid w:val="009E6BEE"/>
    <w:rsid w:val="00A305BE"/>
    <w:rsid w:val="00A54899"/>
    <w:rsid w:val="00A56CC2"/>
    <w:rsid w:val="00A636EA"/>
    <w:rsid w:val="00A6370A"/>
    <w:rsid w:val="00A7048A"/>
    <w:rsid w:val="00AD330E"/>
    <w:rsid w:val="00AD74CD"/>
    <w:rsid w:val="00AE0BB1"/>
    <w:rsid w:val="00AE43F9"/>
    <w:rsid w:val="00B02ED2"/>
    <w:rsid w:val="00B22435"/>
    <w:rsid w:val="00B26CFB"/>
    <w:rsid w:val="00B571DB"/>
    <w:rsid w:val="00B644ED"/>
    <w:rsid w:val="00B71E80"/>
    <w:rsid w:val="00B90230"/>
    <w:rsid w:val="00B97B17"/>
    <w:rsid w:val="00BE68B0"/>
    <w:rsid w:val="00C177E0"/>
    <w:rsid w:val="00C3789D"/>
    <w:rsid w:val="00CC2A2E"/>
    <w:rsid w:val="00CC75D8"/>
    <w:rsid w:val="00D52051"/>
    <w:rsid w:val="00D70CB0"/>
    <w:rsid w:val="00D816A1"/>
    <w:rsid w:val="00D86351"/>
    <w:rsid w:val="00DA6BD3"/>
    <w:rsid w:val="00DB1372"/>
    <w:rsid w:val="00DC4388"/>
    <w:rsid w:val="00E415F1"/>
    <w:rsid w:val="00E437F1"/>
    <w:rsid w:val="00E924F2"/>
    <w:rsid w:val="00EB1817"/>
    <w:rsid w:val="00EB21FC"/>
    <w:rsid w:val="00EF64A9"/>
    <w:rsid w:val="00F525D9"/>
    <w:rsid w:val="00FB4D70"/>
    <w:rsid w:val="00FD3414"/>
    <w:rsid w:val="00FF1D2B"/>
    <w:rsid w:val="00FF27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40114F"/>
  <w15:chartTrackingRefBased/>
  <w15:docId w15:val="{7F2E7050-7375-4628-82CE-7AD149B4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2880" w:firstLine="720"/>
      <w:jc w:val="both"/>
      <w:outlineLvl w:val="0"/>
    </w:pPr>
    <w:rPr>
      <w:b/>
      <w:sz w:val="24"/>
    </w:rPr>
  </w:style>
  <w:style w:type="paragraph" w:styleId="Heading2">
    <w:name w:val="heading 2"/>
    <w:basedOn w:val="Normal"/>
    <w:next w:val="Normal"/>
    <w:qFormat/>
    <w:pPr>
      <w:keepNext/>
      <w:jc w:val="center"/>
      <w:outlineLvl w:val="1"/>
    </w:pPr>
    <w:rPr>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sz w:val="24"/>
    </w:rPr>
  </w:style>
  <w:style w:type="paragraph" w:styleId="BodyTextIndent2">
    <w:name w:val="Body Text Indent 2"/>
    <w:basedOn w:val="Normal"/>
    <w:pPr>
      <w:ind w:left="360" w:hanging="270"/>
    </w:pPr>
    <w:rPr>
      <w:sz w:val="24"/>
    </w:rPr>
  </w:style>
  <w:style w:type="paragraph" w:styleId="BodyText">
    <w:name w:val="Body Text"/>
    <w:basedOn w:val="Normal"/>
    <w:rPr>
      <w:sz w:val="24"/>
    </w:rPr>
  </w:style>
  <w:style w:type="character" w:styleId="PageNumber">
    <w:name w:val="page number"/>
    <w:basedOn w:val="DefaultParagraphFont"/>
  </w:style>
  <w:style w:type="paragraph" w:styleId="BodyTextIndent3">
    <w:name w:val="Body Text Indent 3"/>
    <w:basedOn w:val="Normal"/>
    <w:pPr>
      <w:tabs>
        <w:tab w:val="left" w:pos="360"/>
        <w:tab w:val="left" w:pos="810"/>
      </w:tabs>
      <w:ind w:left="360" w:hanging="360"/>
    </w:pPr>
    <w:rPr>
      <w:sz w:val="24"/>
    </w:rPr>
  </w:style>
  <w:style w:type="paragraph" w:styleId="Title">
    <w:name w:val="Title"/>
    <w:basedOn w:val="Normal"/>
    <w:qFormat/>
    <w:pPr>
      <w:jc w:val="center"/>
    </w:pPr>
    <w:rPr>
      <w:rFonts w:ascii="Helvetica" w:hAnsi="Helvetica"/>
      <w:b/>
      <w:sz w:val="28"/>
    </w:rPr>
  </w:style>
  <w:style w:type="paragraph" w:styleId="BlockText">
    <w:name w:val="Block Text"/>
    <w:basedOn w:val="Normal"/>
    <w:pPr>
      <w:tabs>
        <w:tab w:val="left" w:pos="240"/>
      </w:tabs>
      <w:spacing w:after="60"/>
      <w:ind w:left="120" w:right="-120"/>
    </w:pPr>
    <w:rPr>
      <w:sz w:val="22"/>
    </w:rPr>
  </w:style>
  <w:style w:type="paragraph" w:styleId="ListParagraph">
    <w:name w:val="List Paragraph"/>
    <w:basedOn w:val="Normal"/>
    <w:uiPriority w:val="34"/>
    <w:qFormat/>
    <w:rsid w:val="00C177E0"/>
    <w:pPr>
      <w:ind w:left="720"/>
    </w:pPr>
  </w:style>
  <w:style w:type="paragraph" w:styleId="BalloonText">
    <w:name w:val="Balloon Text"/>
    <w:basedOn w:val="Normal"/>
    <w:link w:val="BalloonTextChar"/>
    <w:rsid w:val="00DC4388"/>
    <w:rPr>
      <w:rFonts w:ascii="Segoe UI" w:hAnsi="Segoe UI" w:cs="Segoe UI"/>
      <w:sz w:val="18"/>
      <w:szCs w:val="18"/>
    </w:rPr>
  </w:style>
  <w:style w:type="character" w:customStyle="1" w:styleId="BalloonTextChar">
    <w:name w:val="Balloon Text Char"/>
    <w:link w:val="BalloonText"/>
    <w:rsid w:val="00DC4388"/>
    <w:rPr>
      <w:rFonts w:ascii="Segoe UI" w:hAnsi="Segoe UI" w:cs="Segoe UI"/>
      <w:sz w:val="18"/>
      <w:szCs w:val="18"/>
    </w:rPr>
  </w:style>
  <w:style w:type="paragraph" w:styleId="HTMLPreformatted">
    <w:name w:val="HTML Preformatted"/>
    <w:basedOn w:val="Normal"/>
    <w:link w:val="HTMLPreformattedChar"/>
    <w:rsid w:val="007E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link w:val="HTMLPreformatted"/>
    <w:rsid w:val="007E730A"/>
    <w:rPr>
      <w:rFonts w:ascii="Courier New" w:eastAsia="Courier New" w:hAnsi="Courier New" w:cs="Courier New"/>
    </w:rPr>
  </w:style>
  <w:style w:type="character" w:styleId="CommentReference">
    <w:name w:val="annotation reference"/>
    <w:rsid w:val="00D86351"/>
    <w:rPr>
      <w:sz w:val="16"/>
      <w:szCs w:val="16"/>
    </w:rPr>
  </w:style>
  <w:style w:type="paragraph" w:styleId="CommentText">
    <w:name w:val="annotation text"/>
    <w:basedOn w:val="Normal"/>
    <w:link w:val="CommentTextChar"/>
    <w:rsid w:val="00D86351"/>
  </w:style>
  <w:style w:type="character" w:customStyle="1" w:styleId="CommentTextChar">
    <w:name w:val="Comment Text Char"/>
    <w:basedOn w:val="DefaultParagraphFont"/>
    <w:link w:val="CommentText"/>
    <w:rsid w:val="00D86351"/>
  </w:style>
  <w:style w:type="paragraph" w:styleId="CommentSubject">
    <w:name w:val="annotation subject"/>
    <w:basedOn w:val="CommentText"/>
    <w:next w:val="CommentText"/>
    <w:link w:val="CommentSubjectChar"/>
    <w:rsid w:val="00D86351"/>
    <w:rPr>
      <w:b/>
      <w:bCs/>
    </w:rPr>
  </w:style>
  <w:style w:type="character" w:customStyle="1" w:styleId="CommentSubjectChar">
    <w:name w:val="Comment Subject Char"/>
    <w:link w:val="CommentSubject"/>
    <w:rsid w:val="00D863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6DB33-B8D1-45B7-AECD-05ED720625AB}">
  <ds:schemaRefs>
    <ds:schemaRef ds:uri="http://schemas.microsoft.com/office/2006/metadata/longProperties"/>
  </ds:schemaRefs>
</ds:datastoreItem>
</file>

<file path=customXml/itemProps2.xml><?xml version="1.0" encoding="utf-8"?>
<ds:datastoreItem xmlns:ds="http://schemas.openxmlformats.org/officeDocument/2006/customXml" ds:itemID="{F7326A94-C98E-4EEA-A507-5AFCA585D62A}">
  <ds:schemaRefs>
    <ds:schemaRef ds:uri="http://schemas.microsoft.com/sharepoint/v3/contenttype/forms"/>
  </ds:schemaRefs>
</ds:datastoreItem>
</file>

<file path=customXml/itemProps3.xml><?xml version="1.0" encoding="utf-8"?>
<ds:datastoreItem xmlns:ds="http://schemas.openxmlformats.org/officeDocument/2006/customXml" ds:itemID="{459730A2-5721-4FA7-8B33-9F1B11D4D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D0477C-D73E-4040-B97B-39E23AD0EE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DESSESOW, CHANEEKA</dc:creator>
  <cp:lastModifiedBy>Herring, Vivian M</cp:lastModifiedBy>
  <cp:revision>2</cp:revision>
  <cp:lastPrinted>2018-03-29T20:49:00Z</cp:lastPrinted>
  <dcterms:created xsi:type="dcterms:W3CDTF">2023-10-18T13:40:00Z</dcterms:created>
  <dcterms:modified xsi:type="dcterms:W3CDTF">2023-10-18T13:40:00Z</dcterms:modified>
</cp:coreProperties>
</file>