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4D8C" w:rsidRPr="00056086" w:rsidP="00464D8C" w14:paraId="479D889B" w14:textId="77777777">
      <w:pPr>
        <w:tabs>
          <w:tab w:val="center" w:pos="4680"/>
        </w:tabs>
        <w:spacing w:before="120"/>
        <w:jc w:val="center"/>
        <w:rPr>
          <w:rFonts w:ascii="Arial" w:hAnsi="Arial" w:cs="Arial"/>
          <w:b/>
          <w:bCs/>
          <w:sz w:val="32"/>
          <w:szCs w:val="32"/>
        </w:rPr>
      </w:pPr>
      <w:r w:rsidRPr="1089E4EA">
        <w:rPr>
          <w:rFonts w:ascii="Arial" w:hAnsi="Arial" w:cs="Arial"/>
          <w:b/>
          <w:bCs/>
          <w:sz w:val="32"/>
          <w:szCs w:val="32"/>
        </w:rPr>
        <w:t xml:space="preserve">Supporting </w:t>
      </w:r>
      <w:r w:rsidRPr="1089E4EA">
        <w:rPr>
          <w:rFonts w:ascii="Arial" w:hAnsi="Arial" w:cs="Arial"/>
          <w:b/>
          <w:bCs/>
          <w:sz w:val="32"/>
          <w:szCs w:val="32"/>
        </w:rPr>
        <w:t>Statement</w:t>
      </w:r>
      <w:r w:rsidRPr="1089E4EA">
        <w:rPr>
          <w:rFonts w:ascii="Arial" w:hAnsi="Arial" w:cs="Arial"/>
          <w:b/>
          <w:bCs/>
          <w:sz w:val="32"/>
          <w:szCs w:val="32"/>
        </w:rPr>
        <w:t xml:space="preserve"> A</w:t>
      </w:r>
    </w:p>
    <w:p w:rsidR="00464D8C" w:rsidRPr="00056086" w:rsidP="00464D8C" w14:paraId="018E6B38" w14:textId="77777777">
      <w:pPr>
        <w:tabs>
          <w:tab w:val="center" w:pos="4680"/>
        </w:tabs>
        <w:spacing w:before="120"/>
        <w:jc w:val="center"/>
        <w:rPr>
          <w:rFonts w:ascii="Arial" w:hAnsi="Arial" w:cs="Arial"/>
          <w:b/>
          <w:bCs/>
          <w:sz w:val="32"/>
          <w:szCs w:val="32"/>
        </w:rPr>
      </w:pPr>
    </w:p>
    <w:p w:rsidR="00464D8C" w:rsidP="00464D8C" w14:paraId="448C996C" w14:textId="11422C4C">
      <w:pPr>
        <w:tabs>
          <w:tab w:val="center" w:pos="4680"/>
        </w:tabs>
        <w:spacing w:before="120"/>
        <w:jc w:val="center"/>
        <w:rPr>
          <w:rFonts w:ascii="Arial" w:hAnsi="Arial" w:cs="Arial"/>
          <w:b/>
          <w:bCs/>
          <w:sz w:val="32"/>
          <w:szCs w:val="32"/>
        </w:rPr>
      </w:pPr>
      <w:r w:rsidRPr="00056086">
        <w:rPr>
          <w:rFonts w:ascii="Arial" w:hAnsi="Arial" w:cs="Arial"/>
          <w:b/>
          <w:bCs/>
          <w:sz w:val="32"/>
          <w:szCs w:val="32"/>
        </w:rPr>
        <w:t>Maternal and Child Health Bureau Performance Measures for Discretionary Grant Information System</w:t>
      </w:r>
    </w:p>
    <w:p w:rsidR="00056086" w:rsidRPr="00056086" w:rsidP="00464D8C" w14:paraId="32AA1615" w14:textId="77777777">
      <w:pPr>
        <w:tabs>
          <w:tab w:val="center" w:pos="4680"/>
        </w:tabs>
        <w:spacing w:before="120"/>
        <w:jc w:val="center"/>
        <w:rPr>
          <w:rFonts w:ascii="Arial" w:hAnsi="Arial" w:cs="Arial"/>
          <w:b/>
          <w:bCs/>
          <w:sz w:val="32"/>
          <w:szCs w:val="32"/>
        </w:rPr>
      </w:pPr>
    </w:p>
    <w:p w:rsidR="00056086" w:rsidRPr="00056086" w:rsidP="00056086" w14:paraId="7622F919" w14:textId="61C6614E">
      <w:pPr>
        <w:tabs>
          <w:tab w:val="center" w:pos="4680"/>
        </w:tabs>
        <w:spacing w:before="120"/>
        <w:jc w:val="center"/>
        <w:rPr>
          <w:rFonts w:ascii="Arial" w:hAnsi="Arial" w:cs="Arial"/>
          <w:b/>
          <w:bCs/>
          <w:sz w:val="32"/>
          <w:szCs w:val="32"/>
        </w:rPr>
      </w:pPr>
      <w:r w:rsidRPr="39167B21">
        <w:rPr>
          <w:rFonts w:ascii="Arial" w:hAnsi="Arial" w:cs="Arial"/>
          <w:b/>
          <w:bCs/>
          <w:sz w:val="32"/>
          <w:szCs w:val="32"/>
        </w:rPr>
        <w:t xml:space="preserve">OMB Control No. </w:t>
      </w:r>
      <w:r w:rsidRPr="001A3487" w:rsidR="00B76B3A">
        <w:rPr>
          <w:rFonts w:ascii="Arial" w:hAnsi="Arial" w:cs="Arial"/>
          <w:b/>
          <w:bCs/>
          <w:sz w:val="32"/>
          <w:szCs w:val="32"/>
        </w:rPr>
        <w:t>0915-0298</w:t>
      </w:r>
      <w:r w:rsidRPr="001A3487">
        <w:rPr>
          <w:rFonts w:ascii="Arial" w:hAnsi="Arial" w:cs="Arial"/>
          <w:b/>
          <w:bCs/>
          <w:sz w:val="32"/>
          <w:szCs w:val="32"/>
        </w:rPr>
        <w:t>-</w:t>
      </w:r>
      <w:r w:rsidRPr="39167B21">
        <w:rPr>
          <w:rFonts w:ascii="Arial" w:hAnsi="Arial" w:cs="Arial"/>
          <w:b/>
          <w:bCs/>
          <w:sz w:val="32"/>
          <w:szCs w:val="32"/>
        </w:rPr>
        <w:t xml:space="preserve"> Revision</w:t>
      </w:r>
    </w:p>
    <w:p w:rsidR="00464D8C" w:rsidRPr="00056086" w:rsidP="00464D8C" w14:paraId="09149E8C" w14:textId="77777777">
      <w:pPr>
        <w:tabs>
          <w:tab w:val="center" w:pos="4680"/>
        </w:tabs>
        <w:spacing w:before="120"/>
        <w:jc w:val="center"/>
        <w:rPr>
          <w:rFonts w:ascii="Arial" w:hAnsi="Arial" w:cs="Arial"/>
          <w:b/>
          <w:bCs/>
          <w:sz w:val="32"/>
          <w:szCs w:val="32"/>
        </w:rPr>
      </w:pPr>
    </w:p>
    <w:p w:rsidR="00E73264" w:rsidRPr="00056086" w14:paraId="77130499" w14:textId="77777777">
      <w:pPr>
        <w:rPr>
          <w:rFonts w:ascii="Arial" w:hAnsi="Arial" w:cs="Arial"/>
          <w:sz w:val="24"/>
        </w:rPr>
      </w:pPr>
      <w:r w:rsidRPr="39167B21">
        <w:rPr>
          <w:rFonts w:ascii="Arial" w:hAnsi="Arial" w:cs="Arial"/>
          <w:b/>
          <w:bCs/>
          <w:sz w:val="24"/>
        </w:rPr>
        <w:t xml:space="preserve">Terms of Clearance: </w:t>
      </w:r>
      <w:r w:rsidRPr="39167B21">
        <w:rPr>
          <w:rFonts w:ascii="Arial" w:hAnsi="Arial" w:cs="Arial"/>
          <w:sz w:val="24"/>
        </w:rPr>
        <w:t>None</w:t>
      </w:r>
    </w:p>
    <w:p w:rsidR="39167B21" w:rsidP="39167B21" w14:paraId="2643853A" w14:textId="4247F411">
      <w:pPr>
        <w:rPr>
          <w:rFonts w:ascii="Arial" w:hAnsi="Arial" w:cs="Arial"/>
          <w:sz w:val="24"/>
        </w:rPr>
      </w:pPr>
    </w:p>
    <w:p w:rsidR="00464D8C" w:rsidRPr="00056086" w:rsidP="39167B21" w14:paraId="5FEB889B" w14:textId="43E8B4C4">
      <w:pPr>
        <w:rPr>
          <w:rFonts w:ascii="Arial" w:hAnsi="Arial" w:cs="Arial"/>
          <w:b/>
          <w:bCs/>
          <w:color w:val="2F5496" w:themeColor="accent5" w:themeShade="BF"/>
          <w:sz w:val="24"/>
          <w:u w:val="single"/>
        </w:rPr>
      </w:pPr>
      <w:r w:rsidRPr="39167B21">
        <w:rPr>
          <w:rFonts w:ascii="Arial" w:hAnsi="Arial" w:cs="Arial"/>
          <w:b/>
          <w:bCs/>
          <w:color w:val="2F5496" w:themeColor="accent5" w:themeShade="BF"/>
          <w:sz w:val="24"/>
          <w:u w:val="single"/>
        </w:rPr>
        <w:t xml:space="preserve">1. </w:t>
      </w:r>
      <w:r w:rsidRPr="39167B21">
        <w:rPr>
          <w:rFonts w:ascii="Arial" w:hAnsi="Arial" w:cs="Arial"/>
          <w:b/>
          <w:bCs/>
          <w:color w:val="2F5496" w:themeColor="accent5" w:themeShade="BF"/>
          <w:sz w:val="24"/>
          <w:u w:val="single"/>
        </w:rPr>
        <w:t>Justification</w:t>
      </w:r>
    </w:p>
    <w:p w:rsidR="39167B21" w:rsidP="39167B21" w14:paraId="5139E460" w14:textId="0E7BE80B">
      <w:pPr>
        <w:spacing w:before="120"/>
        <w:rPr>
          <w:rFonts w:ascii="Arial" w:hAnsi="Arial" w:cs="Arial"/>
          <w:b/>
          <w:bCs/>
          <w:sz w:val="24"/>
        </w:rPr>
      </w:pPr>
    </w:p>
    <w:p w:rsidR="008A62AE" w:rsidP="39167B21" w14:paraId="224657E2" w14:textId="70B4D804">
      <w:pPr>
        <w:suppressAutoHyphens/>
        <w:rPr>
          <w:sz w:val="24"/>
        </w:rPr>
      </w:pPr>
      <w:r w:rsidRPr="39167B21">
        <w:rPr>
          <w:sz w:val="24"/>
        </w:rPr>
        <w:t>The Health Resources and Services Administration (HRSA) is proposing to continue us</w:t>
      </w:r>
      <w:r w:rsidR="00B76B3A">
        <w:rPr>
          <w:sz w:val="24"/>
        </w:rPr>
        <w:t>e of</w:t>
      </w:r>
      <w:r w:rsidRPr="39167B21">
        <w:rPr>
          <w:sz w:val="24"/>
        </w:rPr>
        <w:t xml:space="preserve"> reporting requirements for grant programs administered by the Maternal and Child Health Bureau (MCHB), including national performance measures, previously approved by the Office of Management and Budget (OMB), and in accordance with the “Government Performance and Results Act (GPRA) of 1993” (Pub. L. 103-62). This Act requires the preparation of an annual performance plan covering each program activity set forth in the agency's budget, which includes establishment of measurable goals that may be reported in an annual financial statement to support the linkage of funding decisions with performance. Performance measures for MCHB discretionary grants were initially approved in January 2003, and </w:t>
      </w:r>
      <w:r w:rsidRPr="39167B21" w:rsidR="00B27EAA">
        <w:rPr>
          <w:sz w:val="24"/>
        </w:rPr>
        <w:t xml:space="preserve">have been approved several times subsequently, including significant revisions in </w:t>
      </w:r>
      <w:r w:rsidRPr="39167B21">
        <w:rPr>
          <w:sz w:val="24"/>
        </w:rPr>
        <w:t xml:space="preserve">2016 </w:t>
      </w:r>
      <w:r w:rsidRPr="39167B21" w:rsidR="00B27EAA">
        <w:rPr>
          <w:sz w:val="24"/>
        </w:rPr>
        <w:t>and minor revisions in 2019</w:t>
      </w:r>
      <w:r w:rsidRPr="39167B21" w:rsidR="00F67E12">
        <w:rPr>
          <w:sz w:val="24"/>
        </w:rPr>
        <w:t xml:space="preserve"> and 2022</w:t>
      </w:r>
      <w:r w:rsidRPr="39167B21">
        <w:rPr>
          <w:sz w:val="24"/>
        </w:rPr>
        <w:t xml:space="preserve">. </w:t>
      </w:r>
      <w:r w:rsidR="00B76B3A">
        <w:rPr>
          <w:sz w:val="24"/>
        </w:rPr>
        <w:t>A</w:t>
      </w:r>
      <w:r w:rsidRPr="39167B21">
        <w:rPr>
          <w:sz w:val="24"/>
        </w:rPr>
        <w:t xml:space="preserve">pproval from OMB is currently being sought to continue the use of performance measures with </w:t>
      </w:r>
      <w:r w:rsidRPr="39167B21" w:rsidR="00F67E12">
        <w:rPr>
          <w:sz w:val="24"/>
        </w:rPr>
        <w:t>substantive revisions</w:t>
      </w:r>
      <w:r w:rsidRPr="39167B21">
        <w:rPr>
          <w:sz w:val="24"/>
        </w:rPr>
        <w:t xml:space="preserve">. Most of these measures are specific to certain types of programs and are not required of all grantees. </w:t>
      </w:r>
      <w:r w:rsidRPr="39167B21" w:rsidR="5B64A603">
        <w:rPr>
          <w:sz w:val="24"/>
        </w:rPr>
        <w:t>Currently,</w:t>
      </w:r>
      <w:r w:rsidRPr="39167B21">
        <w:rPr>
          <w:sz w:val="24"/>
        </w:rPr>
        <w:t xml:space="preserve"> measures are categorized by domain (Adolescent Health, Capacity Building, Child Health, Children with Special Health Care Needs, </w:t>
      </w:r>
      <w:r w:rsidRPr="39167B21">
        <w:rPr>
          <w:sz w:val="24"/>
        </w:rPr>
        <w:t>Lifecourse</w:t>
      </w:r>
      <w:r w:rsidRPr="39167B21">
        <w:rPr>
          <w:sz w:val="24"/>
        </w:rPr>
        <w:t>/Crosscutting, Maternal/Women</w:t>
      </w:r>
      <w:r w:rsidRPr="39167B21" w:rsidR="00A21E71">
        <w:rPr>
          <w:sz w:val="24"/>
        </w:rPr>
        <w:t>’s</w:t>
      </w:r>
      <w:r w:rsidRPr="39167B21">
        <w:rPr>
          <w:sz w:val="24"/>
        </w:rPr>
        <w:t xml:space="preserve"> Health, and Perinatal/Infant Health). Grant programs are assigned domains based on their activities. In addition, there are three core measures and financial/demographic forms that are utilized by all grantees. </w:t>
      </w:r>
      <w:r w:rsidRPr="39167B21" w:rsidR="7F1BC3EC">
        <w:rPr>
          <w:sz w:val="24"/>
        </w:rPr>
        <w:t>Th</w:t>
      </w:r>
      <w:r w:rsidRPr="39167B21" w:rsidR="105739AC">
        <w:rPr>
          <w:sz w:val="24"/>
        </w:rPr>
        <w:t>e proposed</w:t>
      </w:r>
      <w:r w:rsidRPr="39167B21" w:rsidR="7F1BC3EC">
        <w:rPr>
          <w:sz w:val="24"/>
        </w:rPr>
        <w:t xml:space="preserve"> substantive revision </w:t>
      </w:r>
      <w:r>
        <w:rPr>
          <w:sz w:val="24"/>
        </w:rPr>
        <w:t>is meant</w:t>
      </w:r>
      <w:r w:rsidRPr="1CD79EE0">
        <w:rPr>
          <w:sz w:val="24"/>
        </w:rPr>
        <w:t xml:space="preserve"> to align data collection forms more closely with current program activities. </w:t>
      </w:r>
      <w:r w:rsidRPr="1CD79EE0">
        <w:rPr>
          <w:color w:val="000000" w:themeColor="text1"/>
          <w:sz w:val="24"/>
        </w:rPr>
        <w:t>The goals of the redesigned performance measures are to: (1) improve clarity and validity of DGIS forms, (2) increase alignment with</w:t>
      </w:r>
      <w:r w:rsidRPr="1CD79EE0" w:rsidR="4507E279">
        <w:rPr>
          <w:color w:val="000000" w:themeColor="text1"/>
          <w:sz w:val="24"/>
        </w:rPr>
        <w:t xml:space="preserve"> the </w:t>
      </w:r>
      <w:r w:rsidRPr="1CD79EE0" w:rsidR="000A1511">
        <w:rPr>
          <w:color w:val="000000" w:themeColor="text1"/>
          <w:sz w:val="24"/>
        </w:rPr>
        <w:t xml:space="preserve">MCHB </w:t>
      </w:r>
      <w:r w:rsidRPr="1CD79EE0">
        <w:rPr>
          <w:color w:val="000000" w:themeColor="text1"/>
          <w:sz w:val="24"/>
        </w:rPr>
        <w:t>Strategic Plan</w:t>
      </w:r>
      <w:r>
        <w:rPr>
          <w:color w:val="000000" w:themeColor="text1"/>
          <w:sz w:val="24"/>
        </w:rPr>
        <w:t xml:space="preserve"> and other performance measurement efforts</w:t>
      </w:r>
      <w:r w:rsidRPr="1CD79EE0">
        <w:rPr>
          <w:color w:val="000000" w:themeColor="text1"/>
          <w:sz w:val="24"/>
        </w:rPr>
        <w:t xml:space="preserve">, (3) produce timely, actionable data for program management, (4) </w:t>
      </w:r>
      <w:r w:rsidRPr="00570135" w:rsidR="00570135">
        <w:rPr>
          <w:color w:val="000000" w:themeColor="text1"/>
          <w:sz w:val="24"/>
        </w:rPr>
        <w:t>support communications about the range of HRSA’s maternal and child health programs</w:t>
      </w:r>
      <w:r w:rsidR="00570135">
        <w:rPr>
          <w:color w:val="000000" w:themeColor="text1"/>
          <w:sz w:val="24"/>
        </w:rPr>
        <w:t xml:space="preserve"> </w:t>
      </w:r>
      <w:r w:rsidRPr="1CD79EE0">
        <w:rPr>
          <w:color w:val="000000" w:themeColor="text1"/>
          <w:sz w:val="24"/>
        </w:rPr>
        <w:t>(5) reduce the number and complexity of data collection forms, and (6) improve data quality.</w:t>
      </w:r>
    </w:p>
    <w:p w:rsidR="008A62AE" w:rsidP="39167B21" w14:paraId="2A333FF3" w14:textId="77777777">
      <w:pPr>
        <w:suppressAutoHyphens/>
        <w:rPr>
          <w:sz w:val="24"/>
        </w:rPr>
      </w:pPr>
    </w:p>
    <w:p w:rsidR="00464D8C" w:rsidRPr="00056086" w:rsidP="39167B21" w14:paraId="69E49D1D" w14:textId="43602599">
      <w:pPr>
        <w:suppressAutoHyphens/>
        <w:rPr>
          <w:sz w:val="24"/>
        </w:rPr>
      </w:pPr>
      <w:r>
        <w:rPr>
          <w:sz w:val="24"/>
        </w:rPr>
        <w:t xml:space="preserve">The proposed forms are under two general groupings: central measures and program specific measures. </w:t>
      </w:r>
      <w:r w:rsidRPr="39167B21" w:rsidR="7E47652C">
        <w:rPr>
          <w:sz w:val="24"/>
        </w:rPr>
        <w:t xml:space="preserve">Redesigned forms associated with </w:t>
      </w:r>
      <w:r w:rsidR="000A1511">
        <w:rPr>
          <w:sz w:val="24"/>
        </w:rPr>
        <w:t>c</w:t>
      </w:r>
      <w:r w:rsidRPr="39167B21" w:rsidR="7E47652C">
        <w:rPr>
          <w:sz w:val="24"/>
        </w:rPr>
        <w:t xml:space="preserve">entral </w:t>
      </w:r>
      <w:r w:rsidR="000A1511">
        <w:rPr>
          <w:sz w:val="24"/>
        </w:rPr>
        <w:t>m</w:t>
      </w:r>
      <w:r w:rsidRPr="39167B21" w:rsidR="56BD4859">
        <w:rPr>
          <w:sz w:val="24"/>
        </w:rPr>
        <w:t>easures</w:t>
      </w:r>
      <w:r w:rsidRPr="39167B21" w:rsidR="7E47652C">
        <w:rPr>
          <w:sz w:val="24"/>
        </w:rPr>
        <w:t xml:space="preserve"> fall into four categories</w:t>
      </w:r>
      <w:r w:rsidR="000A1511">
        <w:rPr>
          <w:sz w:val="24"/>
        </w:rPr>
        <w:t>:</w:t>
      </w:r>
      <w:r w:rsidRPr="39167B21" w:rsidR="7E47652C">
        <w:rPr>
          <w:sz w:val="24"/>
        </w:rPr>
        <w:t xml:space="preserve"> ba</w:t>
      </w:r>
      <w:r w:rsidRPr="39167B21" w:rsidR="66B6A3C6">
        <w:rPr>
          <w:sz w:val="24"/>
        </w:rPr>
        <w:t xml:space="preserve">sic forms, topical forms, activity forms, and outcome forms. </w:t>
      </w:r>
      <w:r w:rsidR="000A1511">
        <w:rPr>
          <w:sz w:val="24"/>
        </w:rPr>
        <w:t>Certain p</w:t>
      </w:r>
      <w:r w:rsidRPr="39167B21" w:rsidR="66B6A3C6">
        <w:rPr>
          <w:sz w:val="24"/>
        </w:rPr>
        <w:t xml:space="preserve">rograms also </w:t>
      </w:r>
      <w:r w:rsidR="00B76B3A">
        <w:rPr>
          <w:sz w:val="24"/>
        </w:rPr>
        <w:t>complete</w:t>
      </w:r>
      <w:r w:rsidRPr="39167B21" w:rsidR="66B6A3C6">
        <w:rPr>
          <w:sz w:val="24"/>
        </w:rPr>
        <w:t xml:space="preserve"> relevant program</w:t>
      </w:r>
      <w:r w:rsidR="000A1511">
        <w:rPr>
          <w:sz w:val="24"/>
        </w:rPr>
        <w:t>-</w:t>
      </w:r>
      <w:r w:rsidRPr="39167B21" w:rsidR="66B6A3C6">
        <w:rPr>
          <w:sz w:val="24"/>
        </w:rPr>
        <w:t xml:space="preserve">specific forms. </w:t>
      </w:r>
      <w:r w:rsidRPr="39167B21" w:rsidR="00F26DB6">
        <w:rPr>
          <w:sz w:val="24"/>
        </w:rPr>
        <w:t>MCH</w:t>
      </w:r>
      <w:r w:rsidRPr="39167B21">
        <w:rPr>
          <w:sz w:val="24"/>
        </w:rPr>
        <w:t xml:space="preserve">B programs are authorized by Section 501 of Title V of the Social Security Act, PL 101-239 (see </w:t>
      </w:r>
      <w:r w:rsidRPr="39167B21" w:rsidR="000B0D84">
        <w:rPr>
          <w:sz w:val="24"/>
        </w:rPr>
        <w:t>A</w:t>
      </w:r>
      <w:r w:rsidRPr="39167B21">
        <w:rPr>
          <w:sz w:val="24"/>
        </w:rPr>
        <w:t xml:space="preserve">ttachment A) and are administered by HRSA’s MCHB. The Discretionary Grants Information System (DGIS) is used </w:t>
      </w:r>
      <w:r w:rsidR="000A1511">
        <w:rPr>
          <w:sz w:val="24"/>
        </w:rPr>
        <w:t xml:space="preserve">to collect performance </w:t>
      </w:r>
      <w:r w:rsidR="000A1511">
        <w:rPr>
          <w:sz w:val="24"/>
        </w:rPr>
        <w:t xml:space="preserve">measurement information </w:t>
      </w:r>
      <w:r w:rsidRPr="39167B21">
        <w:rPr>
          <w:sz w:val="24"/>
        </w:rPr>
        <w:t xml:space="preserve">for grants related to program initiatives such as those listed above. The OMB number for this activity is </w:t>
      </w:r>
      <w:r w:rsidR="00B76B3A">
        <w:rPr>
          <w:sz w:val="24"/>
        </w:rPr>
        <w:t>0915-0298</w:t>
      </w:r>
      <w:r w:rsidRPr="39167B21" w:rsidR="00B76B3A">
        <w:rPr>
          <w:sz w:val="24"/>
        </w:rPr>
        <w:t xml:space="preserve"> </w:t>
      </w:r>
      <w:r w:rsidRPr="39167B21">
        <w:rPr>
          <w:sz w:val="24"/>
        </w:rPr>
        <w:t>and the</w:t>
      </w:r>
      <w:r w:rsidRPr="39167B21" w:rsidR="003B0481">
        <w:rPr>
          <w:sz w:val="24"/>
        </w:rPr>
        <w:t xml:space="preserve"> current expiration date is </w:t>
      </w:r>
      <w:r w:rsidRPr="001A3487" w:rsidR="00B76B3A">
        <w:rPr>
          <w:sz w:val="24"/>
        </w:rPr>
        <w:t>08/31/2025</w:t>
      </w:r>
      <w:r w:rsidRPr="001A3487">
        <w:rPr>
          <w:sz w:val="24"/>
        </w:rPr>
        <w:t>.</w:t>
      </w:r>
    </w:p>
    <w:p w:rsidR="00464D8C" w:rsidRPr="00056086" w:rsidP="00464D8C" w14:paraId="026C5694" w14:textId="77777777">
      <w:pPr>
        <w:tabs>
          <w:tab w:val="left" w:pos="-720"/>
        </w:tabs>
        <w:suppressAutoHyphens/>
        <w:rPr>
          <w:sz w:val="24"/>
        </w:rPr>
      </w:pPr>
    </w:p>
    <w:p w:rsidR="00464D8C" w:rsidRPr="00056086" w:rsidP="1CD79EE0" w14:paraId="1142149B" w14:textId="69467A87">
      <w:pPr>
        <w:suppressAutoHyphens/>
        <w:rPr>
          <w:sz w:val="24"/>
        </w:rPr>
      </w:pPr>
      <w:r w:rsidRPr="1CD79EE0">
        <w:rPr>
          <w:sz w:val="24"/>
        </w:rPr>
        <w:t xml:space="preserve">Grant reporting forms and performance measures for MCHB discretionary grant programs have been designed and revised to capture information across the variety of grants. The attached common grant documents include the entire set of forms to address the range of information needed from different MCHB discretionary grant programs. However, each grantee is only required to complete forms in this package that are applicable to its </w:t>
      </w:r>
      <w:r w:rsidRPr="1CD79EE0" w:rsidR="000B0D84">
        <w:rPr>
          <w:sz w:val="24"/>
        </w:rPr>
        <w:t>activities</w:t>
      </w:r>
      <w:r w:rsidRPr="1CD79EE0">
        <w:rPr>
          <w:sz w:val="24"/>
        </w:rPr>
        <w:t xml:space="preserve">. </w:t>
      </w:r>
    </w:p>
    <w:p w:rsidR="00EF1925" w:rsidRPr="00056086" w:rsidP="00464D8C" w14:paraId="2E252442" w14:textId="61ECBB09">
      <w:pPr>
        <w:tabs>
          <w:tab w:val="left" w:pos="-720"/>
        </w:tabs>
        <w:suppressAutoHyphens/>
        <w:rPr>
          <w:sz w:val="24"/>
        </w:rPr>
      </w:pPr>
    </w:p>
    <w:p w:rsidR="00EF1925" w:rsidRPr="00056086" w:rsidP="1CD79EE0" w14:paraId="3BFDD836" w14:textId="29D023A9">
      <w:pPr>
        <w:suppressAutoHyphens/>
        <w:rPr>
          <w:sz w:val="24"/>
        </w:rPr>
      </w:pPr>
      <w:r w:rsidRPr="1CD79EE0">
        <w:rPr>
          <w:sz w:val="24"/>
        </w:rPr>
        <w:t xml:space="preserve">Requested changes to </w:t>
      </w:r>
      <w:r w:rsidR="000A1511">
        <w:rPr>
          <w:sz w:val="24"/>
        </w:rPr>
        <w:t xml:space="preserve">the </w:t>
      </w:r>
      <w:r w:rsidRPr="1CD79EE0">
        <w:rPr>
          <w:sz w:val="24"/>
        </w:rPr>
        <w:t xml:space="preserve">DGIS include </w:t>
      </w:r>
      <w:r w:rsidR="000A1511">
        <w:rPr>
          <w:sz w:val="24"/>
        </w:rPr>
        <w:t>eliminating</w:t>
      </w:r>
      <w:r w:rsidRPr="1CD79EE0" w:rsidR="000A1511">
        <w:rPr>
          <w:sz w:val="24"/>
        </w:rPr>
        <w:t xml:space="preserve"> </w:t>
      </w:r>
      <w:r w:rsidR="004B799A">
        <w:rPr>
          <w:sz w:val="24"/>
        </w:rPr>
        <w:t>5</w:t>
      </w:r>
      <w:r w:rsidR="00B05767">
        <w:rPr>
          <w:sz w:val="24"/>
        </w:rPr>
        <w:t>2</w:t>
      </w:r>
      <w:r w:rsidR="004B799A">
        <w:rPr>
          <w:sz w:val="24"/>
        </w:rPr>
        <w:t xml:space="preserve"> </w:t>
      </w:r>
      <w:r w:rsidRPr="1CD79EE0">
        <w:rPr>
          <w:sz w:val="24"/>
        </w:rPr>
        <w:t xml:space="preserve">forms, </w:t>
      </w:r>
      <w:r w:rsidRPr="1CD79EE0" w:rsidR="009C2DBC">
        <w:rPr>
          <w:sz w:val="24"/>
        </w:rPr>
        <w:t xml:space="preserve">adding </w:t>
      </w:r>
      <w:r w:rsidR="007D3D8A">
        <w:rPr>
          <w:sz w:val="24"/>
        </w:rPr>
        <w:t>25</w:t>
      </w:r>
      <w:r w:rsidRPr="1CD79EE0" w:rsidR="007D3D8A">
        <w:rPr>
          <w:sz w:val="24"/>
        </w:rPr>
        <w:t xml:space="preserve"> </w:t>
      </w:r>
      <w:r w:rsidRPr="1CD79EE0" w:rsidR="009C2DBC">
        <w:rPr>
          <w:sz w:val="24"/>
        </w:rPr>
        <w:t xml:space="preserve">forms, </w:t>
      </w:r>
      <w:r w:rsidRPr="1CD79EE0" w:rsidR="76F4DCB8">
        <w:rPr>
          <w:sz w:val="24"/>
        </w:rPr>
        <w:t xml:space="preserve">and </w:t>
      </w:r>
      <w:r w:rsidRPr="1CD79EE0">
        <w:rPr>
          <w:sz w:val="24"/>
        </w:rPr>
        <w:t xml:space="preserve">revising </w:t>
      </w:r>
      <w:r w:rsidR="004B799A">
        <w:rPr>
          <w:sz w:val="24"/>
        </w:rPr>
        <w:t>2</w:t>
      </w:r>
      <w:r w:rsidR="00B05767">
        <w:rPr>
          <w:sz w:val="24"/>
        </w:rPr>
        <w:t>3</w:t>
      </w:r>
      <w:r w:rsidRPr="1CD79EE0" w:rsidR="00083D9A">
        <w:rPr>
          <w:sz w:val="24"/>
        </w:rPr>
        <w:t xml:space="preserve"> </w:t>
      </w:r>
      <w:r w:rsidRPr="1CD79EE0">
        <w:rPr>
          <w:sz w:val="24"/>
        </w:rPr>
        <w:t xml:space="preserve">forms. </w:t>
      </w:r>
      <w:r w:rsidRPr="00B973ED" w:rsidR="00B973ED">
        <w:rPr>
          <w:sz w:val="24"/>
        </w:rPr>
        <w:t xml:space="preserve">Many of the </w:t>
      </w:r>
      <w:r w:rsidR="00B973ED">
        <w:rPr>
          <w:sz w:val="24"/>
        </w:rPr>
        <w:t xml:space="preserve">requested </w:t>
      </w:r>
      <w:r w:rsidRPr="00B973ED" w:rsidR="00B973ED">
        <w:rPr>
          <w:sz w:val="24"/>
        </w:rPr>
        <w:t xml:space="preserve">changes are a result of the redesigned categorization of measures. For example, the proposed set of activity forms capture common types of activities conducted across MCHB </w:t>
      </w:r>
      <w:r w:rsidRPr="7F4C6808" w:rsidR="00F844F6">
        <w:rPr>
          <w:sz w:val="24"/>
        </w:rPr>
        <w:t>investments and</w:t>
      </w:r>
      <w:r w:rsidRPr="00B973ED" w:rsidR="00B973ED">
        <w:rPr>
          <w:sz w:val="24"/>
        </w:rPr>
        <w:t xml:space="preserve"> replace the set of Population Domain forms (Adolescent Health, Capacity Building, Child Health, Children with Special Health Care Needs, </w:t>
      </w:r>
      <w:r w:rsidRPr="00B973ED" w:rsidR="00B973ED">
        <w:rPr>
          <w:sz w:val="24"/>
        </w:rPr>
        <w:t>Lifecourse</w:t>
      </w:r>
      <w:r w:rsidRPr="00B973ED" w:rsidR="00B973ED">
        <w:rPr>
          <w:sz w:val="24"/>
        </w:rPr>
        <w:t xml:space="preserve">/Crosscutting, Maternal/Women Health, and Perinatal/Infant Health). The proposed set of basic forms </w:t>
      </w:r>
      <w:r w:rsidRPr="7F4C6808" w:rsidR="00F844F6">
        <w:rPr>
          <w:sz w:val="24"/>
        </w:rPr>
        <w:t>consolidate</w:t>
      </w:r>
      <w:r w:rsidRPr="00B973ED" w:rsidR="00B973ED">
        <w:rPr>
          <w:sz w:val="24"/>
        </w:rPr>
        <w:t xml:space="preserve"> and simplify the set of </w:t>
      </w:r>
      <w:r w:rsidRPr="00B973ED" w:rsidR="00B973ED">
        <w:rPr>
          <w:sz w:val="24"/>
        </w:rPr>
        <w:t>Financial</w:t>
      </w:r>
      <w:r w:rsidRPr="00B973ED" w:rsidR="00B973ED">
        <w:rPr>
          <w:sz w:val="24"/>
        </w:rPr>
        <w:t xml:space="preserve"> forms (Form 1, 3, 5, 7, and 8). Other changes reflect efforts to reduce burden or the need to relocate measures from the Population Domain forms to program-specific forms (i.e., Healthy Start). </w:t>
      </w:r>
      <w:r w:rsidRPr="1CD79EE0">
        <w:rPr>
          <w:sz w:val="24"/>
        </w:rPr>
        <w:t xml:space="preserve">A crosswalk that details these changes is included as Attachment </w:t>
      </w:r>
      <w:r w:rsidRPr="1CD79EE0" w:rsidR="002748F6">
        <w:rPr>
          <w:sz w:val="24"/>
        </w:rPr>
        <w:t xml:space="preserve">B-1. </w:t>
      </w:r>
      <w:r w:rsidRPr="1CD79EE0">
        <w:rPr>
          <w:sz w:val="24"/>
        </w:rPr>
        <w:t>Below is a summary:</w:t>
      </w:r>
    </w:p>
    <w:p w:rsidR="00EF1925" w:rsidRPr="00056086" w:rsidP="00C70CDA" w14:paraId="145C5F0B" w14:textId="77777777">
      <w:pPr>
        <w:tabs>
          <w:tab w:val="left" w:pos="-720"/>
        </w:tabs>
        <w:suppressAutoHyphens/>
        <w:ind w:left="720"/>
        <w:rPr>
          <w:sz w:val="24"/>
        </w:rPr>
      </w:pPr>
    </w:p>
    <w:p w:rsidR="5F55E238" w:rsidP="39167B21" w14:paraId="21081B6E" w14:textId="6E47A30A">
      <w:pPr>
        <w:pStyle w:val="BodyText"/>
        <w:spacing w:after="0"/>
        <w:ind w:firstLine="720"/>
        <w:rPr>
          <w:color w:val="000000" w:themeColor="text1"/>
          <w:sz w:val="24"/>
        </w:rPr>
      </w:pPr>
      <w:r w:rsidRPr="39167B21">
        <w:rPr>
          <w:color w:val="000000" w:themeColor="text1"/>
          <w:sz w:val="24"/>
        </w:rPr>
        <w:t xml:space="preserve">Removing the following </w:t>
      </w:r>
      <w:r w:rsidR="004B799A">
        <w:rPr>
          <w:color w:val="000000" w:themeColor="text1"/>
          <w:sz w:val="24"/>
        </w:rPr>
        <w:t>5</w:t>
      </w:r>
      <w:r w:rsidR="00B05767">
        <w:rPr>
          <w:color w:val="000000" w:themeColor="text1"/>
          <w:sz w:val="24"/>
        </w:rPr>
        <w:t xml:space="preserve">2 </w:t>
      </w:r>
      <w:r w:rsidRPr="39167B21">
        <w:rPr>
          <w:color w:val="000000" w:themeColor="text1"/>
          <w:sz w:val="24"/>
        </w:rPr>
        <w:t xml:space="preserve">existing forms: Capacity Building (CB) 1 (State Capacity for Advancing the Health of MCH Populations), CB 3 (Impact Measurement), CB 4 (Sustainability), CB 5 (Scientific Publications), CB 6 (Products), CB 8 (Quality Improvement), Women’s/Maternal Health (WMH) 1 (Prenatal Care), WMH 2 (Perinatal/Postpartum Care), WMH 3 (Well Woman Visit/Preventive Health Care), WMH 4 (Depression Screening), Perinatal Infant Health (PIH) 1 (Safe Sleep), PIH 2 (Breast Feeding), PIH 3 (Newborn Screening), Child Health (CH) 1 (Well Child Visit), CH 2 (Quality of Well Child Visit), CH 3 (Developmental Screening), CH 4 (Injury Prevention),  Children with Special Health Care Needs (CSHCN) 1 (Family Engagement), CSHCN 2 (Access to and Use of Medical Home), CSHCN 3 (Transition to Adult Health Care), Adolescent Health (AH) 1 (Adolescent Well Visit), AH 2 (Injury Prevention), AH 3 (Screening for Major Depressive Disorder), Life Course/Cross Cutting (LC) 1 (Adequate Health Insurance Coverage), LC 2 (Tobacco and </w:t>
      </w:r>
      <w:r w:rsidRPr="39167B21">
        <w:rPr>
          <w:color w:val="000000" w:themeColor="text1"/>
          <w:sz w:val="24"/>
        </w:rPr>
        <w:t>eCigarette</w:t>
      </w:r>
      <w:r w:rsidRPr="39167B21">
        <w:rPr>
          <w:color w:val="000000" w:themeColor="text1"/>
          <w:sz w:val="24"/>
        </w:rPr>
        <w:t xml:space="preserve"> Cessation), LC 3 (Oral Health), Division of Workforce Development (Training) 01 (MCH Training Program and Healthy Tomorrows Family Member/Youth/Community Member Participation), Training 05 (Policy), Training </w:t>
      </w:r>
      <w:r w:rsidRPr="7F4C6808" w:rsidR="778355DF">
        <w:rPr>
          <w:color w:val="000000" w:themeColor="text1"/>
          <w:sz w:val="24"/>
        </w:rPr>
        <w:t xml:space="preserve">06 (Diversity of Long-Term Trainees), </w:t>
      </w:r>
      <w:r w:rsidRPr="7F4C6808">
        <w:rPr>
          <w:color w:val="000000" w:themeColor="text1"/>
          <w:sz w:val="24"/>
        </w:rPr>
        <w:t xml:space="preserve">Training </w:t>
      </w:r>
      <w:r w:rsidRPr="39167B21">
        <w:rPr>
          <w:color w:val="000000" w:themeColor="text1"/>
          <w:sz w:val="24"/>
        </w:rPr>
        <w:t xml:space="preserve">10 (Leadership), Training 11 (Work with MCH Populations), Training 12 (Interdisciplinary Practice), Emergency Medical Services for Children (EMSC) 01 (Using NEMSIS Data to Identify Pediatric Patient Care Needs), EMSC 02 (Pediatric Emergency Care Coordination), EMSC 03 (Use of Pediatric-Specific Equipment), EMSC 05 (Pediatric Traumatic Emergencies), EMSC 06 (Written Inter-facility Transfer Guidelines that Contain All the Components as per the Implementation Manual), EMSC 07 (Written Inter-facility Transfer Agreements That Covers Pediatric Patients), </w:t>
      </w:r>
      <w:r w:rsidRPr="007D3D8A" w:rsidR="007D3D8A">
        <w:rPr>
          <w:color w:val="000000" w:themeColor="text1"/>
          <w:sz w:val="24"/>
        </w:rPr>
        <w:t>Healthy Start (HS) 01 (Reproductive Life Plan), HS 02 (Usual Source of Care), HS 03 (</w:t>
      </w:r>
      <w:r w:rsidRPr="007D3D8A" w:rsidR="007D3D8A">
        <w:rPr>
          <w:color w:val="000000" w:themeColor="text1"/>
          <w:sz w:val="24"/>
        </w:rPr>
        <w:t>Interconception</w:t>
      </w:r>
      <w:r w:rsidRPr="007D3D8A" w:rsidR="007D3D8A">
        <w:rPr>
          <w:color w:val="000000" w:themeColor="text1"/>
          <w:sz w:val="24"/>
        </w:rPr>
        <w:t xml:space="preserve"> Planning), HS 05 (Father/Partner Involvement during Pregnancy), HS 06 (Father and/or Partner Involvement with Child 0-24 Months), HS 07 (Daily Reading), HS 08 (CAN Implementation), HS 09 (CAN Participation), </w:t>
      </w:r>
      <w:r w:rsidRPr="39167B21">
        <w:rPr>
          <w:color w:val="000000" w:themeColor="text1"/>
          <w:sz w:val="24"/>
        </w:rPr>
        <w:t xml:space="preserve">Form 3 (Budget Details by Types of Individuals Served), Form 5 (Number of Individuals Served (Unduplicated)), Form 7 </w:t>
      </w:r>
      <w:r w:rsidRPr="39167B21">
        <w:rPr>
          <w:color w:val="000000" w:themeColor="text1"/>
          <w:sz w:val="24"/>
        </w:rPr>
        <w:t xml:space="preserve">(Discretionary Grant Project Summary Data and Demographics), </w:t>
      </w:r>
      <w:r w:rsidRPr="004B799A" w:rsidR="004B799A">
        <w:rPr>
          <w:color w:val="000000" w:themeColor="text1"/>
          <w:sz w:val="24"/>
        </w:rPr>
        <w:t xml:space="preserve">Form 9 (Program-Specific Project Performance/Outcome Measures), </w:t>
      </w:r>
      <w:r w:rsidRPr="39167B21">
        <w:rPr>
          <w:color w:val="000000" w:themeColor="text1"/>
          <w:sz w:val="24"/>
        </w:rPr>
        <w:t>Technical Assistance/Collaboration Form</w:t>
      </w:r>
      <w:r w:rsidR="00B05767">
        <w:rPr>
          <w:color w:val="000000" w:themeColor="text1"/>
          <w:sz w:val="24"/>
        </w:rPr>
        <w:t>, and Continuing Education Form</w:t>
      </w:r>
      <w:r w:rsidR="000A1511">
        <w:rPr>
          <w:color w:val="000000" w:themeColor="text1"/>
          <w:sz w:val="24"/>
        </w:rPr>
        <w:t>.</w:t>
      </w:r>
      <w:r w:rsidRPr="39167B21">
        <w:rPr>
          <w:color w:val="000000" w:themeColor="text1"/>
          <w:sz w:val="24"/>
        </w:rPr>
        <w:t xml:space="preserve"> </w:t>
      </w:r>
    </w:p>
    <w:p w:rsidR="39167B21" w:rsidP="39167B21" w14:paraId="341462B8" w14:textId="5E7019AA">
      <w:pPr>
        <w:pStyle w:val="BodyText"/>
        <w:ind w:firstLine="720"/>
        <w:rPr>
          <w:color w:val="000000" w:themeColor="text1"/>
          <w:sz w:val="24"/>
        </w:rPr>
      </w:pPr>
    </w:p>
    <w:p w:rsidR="5F55E238" w:rsidP="39167B21" w14:paraId="5BA1D20B" w14:textId="5180759F">
      <w:pPr>
        <w:pStyle w:val="BodyText"/>
        <w:ind w:firstLine="720"/>
        <w:rPr>
          <w:color w:val="000000" w:themeColor="text1"/>
          <w:sz w:val="24"/>
        </w:rPr>
      </w:pPr>
      <w:r w:rsidRPr="39167B21">
        <w:rPr>
          <w:color w:val="000000" w:themeColor="text1"/>
          <w:sz w:val="24"/>
        </w:rPr>
        <w:t>Adding the following</w:t>
      </w:r>
      <w:r w:rsidR="000A1511">
        <w:rPr>
          <w:color w:val="000000" w:themeColor="text1"/>
          <w:sz w:val="24"/>
        </w:rPr>
        <w:t xml:space="preserve"> </w:t>
      </w:r>
      <w:r w:rsidR="007D3D8A">
        <w:rPr>
          <w:color w:val="000000" w:themeColor="text1"/>
          <w:sz w:val="24"/>
        </w:rPr>
        <w:t>25</w:t>
      </w:r>
      <w:r w:rsidRPr="39167B21">
        <w:rPr>
          <w:color w:val="000000" w:themeColor="text1"/>
          <w:sz w:val="24"/>
        </w:rPr>
        <w:t xml:space="preserve"> new forms: Direct and Enabling Services, Training and Workforce Development, Partnerships and Collaboration, Engagement of Persons with Lived Experience, Technical Assistance, Outreach and Education, Research, Guidelines and Policy, Data and Information Systems, Quality Improvement and Evaluation, Knowledge Change, Behavior Change, EMSC 10 (Prehospital Emergency Medical Services Pediatric Readiness Recognition Program), HS 10 (Prenatal Care), HS 11 (Perinatal/Postpartum Care), HS 12 (Well Woman Visit/Preventive Health Care), HS 13 (Depression Screening), HS 14 (Safe Sleep), HS 15 (Breastfeeding), HS 16 (Well Child Visit), HS 17 (Adequate Health Insurance Coverage), HS 18 (Prenatal Tobacco and </w:t>
      </w:r>
      <w:r w:rsidRPr="39167B21">
        <w:rPr>
          <w:color w:val="000000" w:themeColor="text1"/>
          <w:sz w:val="24"/>
        </w:rPr>
        <w:t>eCigarette</w:t>
      </w:r>
      <w:r w:rsidRPr="39167B21">
        <w:rPr>
          <w:color w:val="000000" w:themeColor="text1"/>
          <w:sz w:val="24"/>
        </w:rPr>
        <w:t xml:space="preserve"> Use), HS </w:t>
      </w:r>
      <w:r w:rsidR="00B973ED">
        <w:rPr>
          <w:color w:val="000000" w:themeColor="text1"/>
          <w:sz w:val="24"/>
        </w:rPr>
        <w:t>19</w:t>
      </w:r>
      <w:r w:rsidRPr="39167B21" w:rsidR="00B973ED">
        <w:rPr>
          <w:color w:val="000000" w:themeColor="text1"/>
          <w:sz w:val="24"/>
        </w:rPr>
        <w:t xml:space="preserve"> </w:t>
      </w:r>
      <w:r w:rsidRPr="39167B21">
        <w:rPr>
          <w:color w:val="000000" w:themeColor="text1"/>
          <w:sz w:val="24"/>
        </w:rPr>
        <w:t xml:space="preserve">(Low Birthweight), HS </w:t>
      </w:r>
      <w:r w:rsidRPr="39167B21" w:rsidR="00B973ED">
        <w:rPr>
          <w:color w:val="000000" w:themeColor="text1"/>
          <w:sz w:val="24"/>
        </w:rPr>
        <w:t>2</w:t>
      </w:r>
      <w:r w:rsidR="00B973ED">
        <w:rPr>
          <w:color w:val="000000" w:themeColor="text1"/>
          <w:sz w:val="24"/>
        </w:rPr>
        <w:t>0</w:t>
      </w:r>
      <w:r w:rsidRPr="39167B21" w:rsidR="00B973ED">
        <w:rPr>
          <w:color w:val="000000" w:themeColor="text1"/>
          <w:sz w:val="24"/>
        </w:rPr>
        <w:t xml:space="preserve"> </w:t>
      </w:r>
      <w:r w:rsidRPr="39167B21">
        <w:rPr>
          <w:color w:val="000000" w:themeColor="text1"/>
          <w:sz w:val="24"/>
        </w:rPr>
        <w:t xml:space="preserve">(Preterm Birth), and HS </w:t>
      </w:r>
      <w:r w:rsidRPr="39167B21" w:rsidR="00B973ED">
        <w:rPr>
          <w:color w:val="000000" w:themeColor="text1"/>
          <w:sz w:val="24"/>
        </w:rPr>
        <w:t>2</w:t>
      </w:r>
      <w:r w:rsidR="00B973ED">
        <w:rPr>
          <w:color w:val="000000" w:themeColor="text1"/>
          <w:sz w:val="24"/>
        </w:rPr>
        <w:t>1</w:t>
      </w:r>
      <w:r w:rsidRPr="39167B21" w:rsidR="00B973ED">
        <w:rPr>
          <w:color w:val="000000" w:themeColor="text1"/>
          <w:sz w:val="24"/>
        </w:rPr>
        <w:t xml:space="preserve"> </w:t>
      </w:r>
      <w:r w:rsidRPr="39167B21">
        <w:rPr>
          <w:color w:val="000000" w:themeColor="text1"/>
          <w:sz w:val="24"/>
        </w:rPr>
        <w:t>(Infant Mortality).</w:t>
      </w:r>
    </w:p>
    <w:p w:rsidR="39167B21" w:rsidP="39167B21" w14:paraId="7E77A528" w14:textId="4E09C889">
      <w:pPr>
        <w:pStyle w:val="BodyText"/>
        <w:ind w:firstLine="720"/>
        <w:rPr>
          <w:color w:val="000000" w:themeColor="text1"/>
          <w:sz w:val="24"/>
        </w:rPr>
      </w:pPr>
    </w:p>
    <w:p w:rsidR="5F55E238" w:rsidP="39167B21" w14:paraId="67BBEE35" w14:textId="1C633EA7">
      <w:pPr>
        <w:pStyle w:val="BodyText"/>
        <w:ind w:firstLine="720"/>
        <w:rPr>
          <w:color w:val="000000" w:themeColor="text1"/>
          <w:sz w:val="24"/>
        </w:rPr>
      </w:pPr>
      <w:r w:rsidRPr="39167B21">
        <w:rPr>
          <w:color w:val="000000" w:themeColor="text1"/>
          <w:sz w:val="24"/>
        </w:rPr>
        <w:t xml:space="preserve">Revising the following </w:t>
      </w:r>
      <w:r w:rsidR="004B799A">
        <w:rPr>
          <w:color w:val="000000" w:themeColor="text1"/>
          <w:sz w:val="24"/>
        </w:rPr>
        <w:t>2</w:t>
      </w:r>
      <w:r w:rsidR="00B05767">
        <w:rPr>
          <w:color w:val="000000" w:themeColor="text1"/>
          <w:sz w:val="24"/>
        </w:rPr>
        <w:t>3</w:t>
      </w:r>
      <w:r w:rsidR="004B799A">
        <w:rPr>
          <w:color w:val="000000" w:themeColor="text1"/>
          <w:sz w:val="24"/>
        </w:rPr>
        <w:t xml:space="preserve"> </w:t>
      </w:r>
      <w:r w:rsidRPr="39167B21">
        <w:rPr>
          <w:color w:val="000000" w:themeColor="text1"/>
          <w:sz w:val="24"/>
        </w:rPr>
        <w:t>existing forms: Health Equity</w:t>
      </w:r>
      <w:r w:rsidR="00710D7A">
        <w:rPr>
          <w:color w:val="000000" w:themeColor="text1"/>
          <w:sz w:val="24"/>
        </w:rPr>
        <w:t>,</w:t>
      </w:r>
      <w:r w:rsidRPr="39167B21">
        <w:rPr>
          <w:color w:val="000000" w:themeColor="text1"/>
          <w:sz w:val="24"/>
        </w:rPr>
        <w:t xml:space="preserve"> Healthy Start Site Form</w:t>
      </w:r>
      <w:r w:rsidR="00710D7A">
        <w:rPr>
          <w:color w:val="000000" w:themeColor="text1"/>
          <w:sz w:val="24"/>
        </w:rPr>
        <w:t>,</w:t>
      </w:r>
      <w:r w:rsidRPr="39167B21">
        <w:rPr>
          <w:color w:val="000000" w:themeColor="text1"/>
          <w:sz w:val="24"/>
        </w:rPr>
        <w:t xml:space="preserve"> Family to Family Form (F2F) 1</w:t>
      </w:r>
      <w:r w:rsidR="00710D7A">
        <w:rPr>
          <w:color w:val="000000" w:themeColor="text1"/>
          <w:sz w:val="24"/>
        </w:rPr>
        <w:t>,</w:t>
      </w:r>
      <w:r w:rsidRPr="39167B21">
        <w:rPr>
          <w:color w:val="000000" w:themeColor="text1"/>
          <w:sz w:val="24"/>
        </w:rPr>
        <w:t xml:space="preserve"> Financial Form (MCHB Project Budget Details)</w:t>
      </w:r>
      <w:r w:rsidR="00710D7A">
        <w:rPr>
          <w:color w:val="000000" w:themeColor="text1"/>
          <w:sz w:val="24"/>
        </w:rPr>
        <w:t>,</w:t>
      </w:r>
      <w:r w:rsidRPr="39167B21">
        <w:rPr>
          <w:color w:val="000000" w:themeColor="text1"/>
          <w:sz w:val="24"/>
        </w:rPr>
        <w:t xml:space="preserve"> Project Abstract (Maternal &amp; Child Health Discretionary Grant Project Abstract)</w:t>
      </w:r>
      <w:r w:rsidR="00710D7A">
        <w:rPr>
          <w:color w:val="000000" w:themeColor="text1"/>
          <w:sz w:val="24"/>
        </w:rPr>
        <w:t>,</w:t>
      </w:r>
      <w:r w:rsidRPr="39167B21">
        <w:rPr>
          <w:color w:val="000000" w:themeColor="text1"/>
          <w:sz w:val="24"/>
        </w:rPr>
        <w:t xml:space="preserve"> </w:t>
      </w:r>
      <w:r w:rsidRPr="130199EC" w:rsidR="00B05767">
        <w:rPr>
          <w:color w:val="000000" w:themeColor="text1"/>
          <w:sz w:val="24"/>
        </w:rPr>
        <w:t>Project Abstract-Research Projects Only</w:t>
      </w:r>
      <w:r w:rsidR="00B05767">
        <w:rPr>
          <w:color w:val="000000" w:themeColor="text1"/>
          <w:sz w:val="24"/>
        </w:rPr>
        <w:t>,</w:t>
      </w:r>
      <w:r w:rsidRPr="39167B21" w:rsidR="00B05767">
        <w:rPr>
          <w:color w:val="000000" w:themeColor="text1"/>
          <w:sz w:val="24"/>
        </w:rPr>
        <w:t xml:space="preserve"> </w:t>
      </w:r>
      <w:r w:rsidRPr="39167B21">
        <w:rPr>
          <w:color w:val="000000" w:themeColor="text1"/>
          <w:sz w:val="24"/>
        </w:rPr>
        <w:t>Form 10 (</w:t>
      </w:r>
      <w:r w:rsidR="004B799A">
        <w:rPr>
          <w:color w:val="000000" w:themeColor="text1"/>
          <w:sz w:val="24"/>
        </w:rPr>
        <w:t xml:space="preserve">Program-Specific and </w:t>
      </w:r>
      <w:r w:rsidRPr="39167B21">
        <w:rPr>
          <w:color w:val="000000" w:themeColor="text1"/>
          <w:sz w:val="24"/>
        </w:rPr>
        <w:t xml:space="preserve">Project </w:t>
      </w:r>
      <w:r w:rsidR="004B799A">
        <w:rPr>
          <w:color w:val="000000" w:themeColor="text1"/>
          <w:sz w:val="24"/>
        </w:rPr>
        <w:t>Developed</w:t>
      </w:r>
      <w:r w:rsidRPr="39167B21">
        <w:rPr>
          <w:color w:val="000000" w:themeColor="text1"/>
          <w:sz w:val="24"/>
        </w:rPr>
        <w:t xml:space="preserve"> Measure</w:t>
      </w:r>
      <w:r w:rsidR="004B799A">
        <w:rPr>
          <w:color w:val="000000" w:themeColor="text1"/>
          <w:sz w:val="24"/>
        </w:rPr>
        <w:t>s</w:t>
      </w:r>
      <w:r w:rsidRPr="39167B21">
        <w:rPr>
          <w:color w:val="000000" w:themeColor="text1"/>
          <w:sz w:val="24"/>
        </w:rPr>
        <w:t>)</w:t>
      </w:r>
      <w:r w:rsidR="00710D7A">
        <w:rPr>
          <w:color w:val="000000" w:themeColor="text1"/>
          <w:sz w:val="24"/>
        </w:rPr>
        <w:t>,</w:t>
      </w:r>
      <w:r w:rsidRPr="39167B21">
        <w:rPr>
          <w:color w:val="000000" w:themeColor="text1"/>
          <w:sz w:val="24"/>
        </w:rPr>
        <w:t xml:space="preserve"> Products, Publications, and Submissions Data Collection Form</w:t>
      </w:r>
      <w:r w:rsidR="00710D7A">
        <w:rPr>
          <w:color w:val="000000" w:themeColor="text1"/>
          <w:sz w:val="24"/>
        </w:rPr>
        <w:t>,</w:t>
      </w:r>
      <w:r w:rsidRPr="39167B21">
        <w:rPr>
          <w:color w:val="000000" w:themeColor="text1"/>
          <w:sz w:val="24"/>
        </w:rPr>
        <w:t xml:space="preserve"> Faculty and Staff Information</w:t>
      </w:r>
      <w:r w:rsidR="00710D7A">
        <w:rPr>
          <w:color w:val="000000" w:themeColor="text1"/>
          <w:sz w:val="24"/>
        </w:rPr>
        <w:t>,</w:t>
      </w:r>
      <w:r w:rsidRPr="39167B21">
        <w:rPr>
          <w:color w:val="000000" w:themeColor="text1"/>
          <w:sz w:val="24"/>
        </w:rPr>
        <w:t xml:space="preserve"> Short-Term Trainees</w:t>
      </w:r>
      <w:r w:rsidR="00710D7A">
        <w:rPr>
          <w:color w:val="000000" w:themeColor="text1"/>
          <w:sz w:val="24"/>
        </w:rPr>
        <w:t>,</w:t>
      </w:r>
      <w:r w:rsidRPr="39167B21">
        <w:rPr>
          <w:color w:val="000000" w:themeColor="text1"/>
          <w:sz w:val="24"/>
        </w:rPr>
        <w:t xml:space="preserve"> Medium-Term Trainees</w:t>
      </w:r>
      <w:r w:rsidR="00710D7A">
        <w:rPr>
          <w:color w:val="000000" w:themeColor="text1"/>
          <w:sz w:val="24"/>
        </w:rPr>
        <w:t>,</w:t>
      </w:r>
      <w:r w:rsidRPr="39167B21">
        <w:rPr>
          <w:color w:val="000000" w:themeColor="text1"/>
          <w:sz w:val="24"/>
        </w:rPr>
        <w:t xml:space="preserve"> Long-Term Trainee</w:t>
      </w:r>
      <w:r w:rsidR="00C80D59">
        <w:rPr>
          <w:color w:val="000000" w:themeColor="text1"/>
          <w:sz w:val="24"/>
        </w:rPr>
        <w:t>s</w:t>
      </w:r>
      <w:r w:rsidR="00710D7A">
        <w:rPr>
          <w:color w:val="000000" w:themeColor="text1"/>
          <w:sz w:val="24"/>
        </w:rPr>
        <w:t>,</w:t>
      </w:r>
      <w:r w:rsidRPr="39167B21">
        <w:rPr>
          <w:color w:val="000000" w:themeColor="text1"/>
          <w:sz w:val="24"/>
        </w:rPr>
        <w:t xml:space="preserve"> Former Long-Term Trainee</w:t>
      </w:r>
      <w:r w:rsidR="00C80D59">
        <w:rPr>
          <w:color w:val="000000" w:themeColor="text1"/>
          <w:sz w:val="24"/>
        </w:rPr>
        <w:t>s</w:t>
      </w:r>
      <w:r w:rsidR="00710D7A">
        <w:rPr>
          <w:color w:val="000000" w:themeColor="text1"/>
          <w:sz w:val="24"/>
        </w:rPr>
        <w:t>,</w:t>
      </w:r>
      <w:r w:rsidRPr="00083D9A" w:rsidR="00083D9A">
        <w:rPr>
          <w:color w:val="000000" w:themeColor="text1"/>
          <w:sz w:val="24"/>
        </w:rPr>
        <w:t xml:space="preserve"> </w:t>
      </w:r>
      <w:r w:rsidRPr="39167B21" w:rsidR="00083D9A">
        <w:rPr>
          <w:color w:val="000000" w:themeColor="text1"/>
          <w:sz w:val="24"/>
        </w:rPr>
        <w:t>LEAP Trainee Information</w:t>
      </w:r>
      <w:r w:rsidR="00083D9A">
        <w:rPr>
          <w:color w:val="000000" w:themeColor="text1"/>
          <w:sz w:val="24"/>
        </w:rPr>
        <w:t>,</w:t>
      </w:r>
      <w:r w:rsidRPr="39167B21">
        <w:rPr>
          <w:color w:val="000000" w:themeColor="text1"/>
          <w:sz w:val="24"/>
        </w:rPr>
        <w:t xml:space="preserve"> </w:t>
      </w:r>
      <w:r w:rsidRPr="00C80D59" w:rsidR="00C80D59">
        <w:rPr>
          <w:color w:val="000000" w:themeColor="text1"/>
          <w:sz w:val="24"/>
        </w:rPr>
        <w:t>Training 02 (MCH Training Program and Healthy Tomorrows Cultural Competence), Training 03 (Healthy Tomorrows Title V Collaboration), Training 04 (Title V Collaboration), Training 07 (MCH Pipeline Program-Work with MCH Populations), Training 08 (MCH Pipeline Program-Work with underserved or vulnerable populations), Training 09 (MCH Pipeline-Graduate Program Enrollment), Training 15 (Consultation and Training for Mental and Behavioral Health),</w:t>
      </w:r>
      <w:r w:rsidRPr="00A252C3" w:rsidR="00A252C3">
        <w:rPr>
          <w:color w:val="000000" w:themeColor="text1"/>
          <w:sz w:val="24"/>
        </w:rPr>
        <w:t xml:space="preserve"> </w:t>
      </w:r>
      <w:r w:rsidRPr="130199EC" w:rsidR="00A252C3">
        <w:rPr>
          <w:color w:val="000000" w:themeColor="text1"/>
          <w:sz w:val="24"/>
        </w:rPr>
        <w:t>HS 04 (Intimate Partner Violence</w:t>
      </w:r>
      <w:r w:rsidRPr="00C80D59" w:rsidR="00C80D59">
        <w:rPr>
          <w:color w:val="000000" w:themeColor="text1"/>
          <w:sz w:val="24"/>
        </w:rPr>
        <w:t xml:space="preserve"> </w:t>
      </w:r>
      <w:r w:rsidRPr="7F4C6808" w:rsidR="00584145">
        <w:rPr>
          <w:color w:val="000000" w:themeColor="text1"/>
          <w:sz w:val="24"/>
        </w:rPr>
        <w:t xml:space="preserve">Screening), </w:t>
      </w:r>
      <w:r w:rsidR="00C80D59">
        <w:rPr>
          <w:color w:val="000000" w:themeColor="text1"/>
          <w:sz w:val="24"/>
        </w:rPr>
        <w:t>and</w:t>
      </w:r>
      <w:r w:rsidRPr="39167B21">
        <w:rPr>
          <w:color w:val="000000" w:themeColor="text1"/>
          <w:sz w:val="24"/>
        </w:rPr>
        <w:t xml:space="preserve"> EMSC 04 (Pediatric Medical Emergencies). </w:t>
      </w:r>
    </w:p>
    <w:p w:rsidR="39167B21" w:rsidP="39167B21" w14:paraId="14BBB083" w14:textId="3E865F6B">
      <w:pPr>
        <w:pStyle w:val="BodyText"/>
        <w:ind w:firstLine="720"/>
        <w:rPr>
          <w:color w:val="000000" w:themeColor="text1"/>
          <w:sz w:val="24"/>
        </w:rPr>
      </w:pPr>
    </w:p>
    <w:p w:rsidR="5981B710" w:rsidP="130199EC" w14:paraId="0C89CA42" w14:textId="267D6053">
      <w:pPr>
        <w:pStyle w:val="BodyText"/>
        <w:ind w:firstLine="720"/>
        <w:rPr>
          <w:color w:val="000000" w:themeColor="text1"/>
          <w:sz w:val="24"/>
        </w:rPr>
      </w:pPr>
      <w:r w:rsidRPr="130199EC">
        <w:rPr>
          <w:color w:val="000000" w:themeColor="text1"/>
          <w:sz w:val="24"/>
        </w:rPr>
        <w:t>In addition, t</w:t>
      </w:r>
      <w:r w:rsidRPr="130199EC" w:rsidR="5F55E238">
        <w:rPr>
          <w:color w:val="000000" w:themeColor="text1"/>
          <w:sz w:val="24"/>
        </w:rPr>
        <w:t xml:space="preserve">he following </w:t>
      </w:r>
      <w:r w:rsidR="00B05767">
        <w:rPr>
          <w:color w:val="000000" w:themeColor="text1"/>
          <w:sz w:val="24"/>
        </w:rPr>
        <w:t>3</w:t>
      </w:r>
      <w:r w:rsidRPr="130199EC" w:rsidR="00B05767">
        <w:rPr>
          <w:color w:val="000000" w:themeColor="text1"/>
          <w:sz w:val="24"/>
        </w:rPr>
        <w:t xml:space="preserve"> </w:t>
      </w:r>
      <w:r w:rsidRPr="130199EC" w:rsidR="5F55E238">
        <w:rPr>
          <w:color w:val="000000" w:themeColor="text1"/>
          <w:sz w:val="24"/>
        </w:rPr>
        <w:t xml:space="preserve">forms are included with no </w:t>
      </w:r>
      <w:r w:rsidR="007D3D8A">
        <w:rPr>
          <w:color w:val="000000" w:themeColor="text1"/>
          <w:sz w:val="24"/>
        </w:rPr>
        <w:t xml:space="preserve">substantive </w:t>
      </w:r>
      <w:r w:rsidRPr="130199EC" w:rsidR="5F55E238">
        <w:rPr>
          <w:color w:val="000000" w:themeColor="text1"/>
          <w:sz w:val="24"/>
        </w:rPr>
        <w:t xml:space="preserve">changes from the prior approved OMB package: Training 14 (Medium-Term Trainees Skill and Knowledge), EMSC 08 (Established Permanence of EMSC), </w:t>
      </w:r>
      <w:r w:rsidR="00B05767">
        <w:rPr>
          <w:color w:val="000000" w:themeColor="text1"/>
          <w:sz w:val="24"/>
        </w:rPr>
        <w:t xml:space="preserve">and </w:t>
      </w:r>
      <w:r w:rsidRPr="130199EC" w:rsidR="5F55E238">
        <w:rPr>
          <w:color w:val="000000" w:themeColor="text1"/>
          <w:sz w:val="24"/>
        </w:rPr>
        <w:t xml:space="preserve">EMSC 09 (Established Permanence of EMSC by Integrating EMSC Priorities </w:t>
      </w:r>
      <w:r w:rsidRPr="130199EC" w:rsidR="5F55E238">
        <w:rPr>
          <w:color w:val="000000" w:themeColor="text1"/>
          <w:sz w:val="24"/>
        </w:rPr>
        <w:t>Into</w:t>
      </w:r>
      <w:r w:rsidRPr="130199EC" w:rsidR="5F55E238">
        <w:rPr>
          <w:color w:val="000000" w:themeColor="text1"/>
          <w:sz w:val="24"/>
        </w:rPr>
        <w:t xml:space="preserve"> Statutes/Regulations).</w:t>
      </w:r>
    </w:p>
    <w:p w:rsidR="39167B21" w:rsidP="39167B21" w14:paraId="3FB14603" w14:textId="5134ACB6">
      <w:pPr>
        <w:rPr>
          <w:sz w:val="24"/>
        </w:rPr>
      </w:pPr>
    </w:p>
    <w:p w:rsidR="00E65769" w:rsidRPr="00056086" w:rsidP="39167B21" w14:paraId="1BD883A8" w14:textId="6FCE8CFD">
      <w:pPr>
        <w:suppressAutoHyphens/>
        <w:rPr>
          <w:sz w:val="24"/>
        </w:rPr>
      </w:pPr>
      <w:r>
        <w:rPr>
          <w:sz w:val="24"/>
        </w:rPr>
        <w:t>Additional n</w:t>
      </w:r>
      <w:r w:rsidRPr="39167B21">
        <w:rPr>
          <w:sz w:val="24"/>
        </w:rPr>
        <w:t>on-substantive revisions include updates to terminology, goals, benchmark data sources, and significance sections included in the measures</w:t>
      </w:r>
      <w:r w:rsidRPr="39167B21" w:rsidR="004D65CF">
        <w:rPr>
          <w:sz w:val="24"/>
        </w:rPr>
        <w:t>’</w:t>
      </w:r>
      <w:r w:rsidRPr="39167B21">
        <w:rPr>
          <w:sz w:val="24"/>
        </w:rPr>
        <w:t xml:space="preserve"> </w:t>
      </w:r>
      <w:r w:rsidRPr="39167B21" w:rsidR="00384D1A">
        <w:rPr>
          <w:sz w:val="24"/>
        </w:rPr>
        <w:t>detail sheets</w:t>
      </w:r>
      <w:r w:rsidRPr="39167B21">
        <w:rPr>
          <w:sz w:val="24"/>
        </w:rPr>
        <w:t>.</w:t>
      </w:r>
    </w:p>
    <w:p w:rsidR="00464D8C" w:rsidRPr="00056086" w:rsidP="00464D8C" w14:paraId="2F1D3190" w14:textId="77777777">
      <w:pPr>
        <w:tabs>
          <w:tab w:val="left" w:pos="-720"/>
        </w:tabs>
        <w:suppressAutoHyphens/>
        <w:jc w:val="both"/>
        <w:rPr>
          <w:color w:val="000000"/>
          <w:sz w:val="24"/>
        </w:rPr>
      </w:pPr>
    </w:p>
    <w:p w:rsidR="00464D8C" w:rsidRPr="00056086" w:rsidP="00464D8C" w14:paraId="0E033516" w14:textId="40D04B04">
      <w:pPr>
        <w:pStyle w:val="Heading1"/>
        <w:tabs>
          <w:tab w:val="clear" w:pos="-720"/>
          <w:tab w:val="left" w:pos="720"/>
        </w:tabs>
        <w:ind w:left="720" w:hanging="720"/>
        <w:jc w:val="both"/>
        <w:rPr>
          <w:bCs/>
          <w:szCs w:val="24"/>
        </w:rPr>
      </w:pPr>
      <w:r w:rsidRPr="00056086">
        <w:rPr>
          <w:bCs/>
          <w:szCs w:val="24"/>
        </w:rPr>
        <w:t>History and Legislative Requirements</w:t>
      </w:r>
    </w:p>
    <w:p w:rsidR="00464D8C" w:rsidRPr="00056086" w:rsidP="00464D8C" w14:paraId="2C184351" w14:textId="77777777">
      <w:pPr>
        <w:pStyle w:val="BodyText"/>
        <w:jc w:val="both"/>
      </w:pPr>
    </w:p>
    <w:p w:rsidR="00464D8C" w:rsidRPr="00056086" w:rsidP="00464D8C" w14:paraId="39DB485A" w14:textId="77777777">
      <w:pPr>
        <w:pStyle w:val="BodyText"/>
        <w:rPr>
          <w:sz w:val="24"/>
        </w:rPr>
      </w:pPr>
      <w:r w:rsidRPr="00056086">
        <w:rPr>
          <w:sz w:val="24"/>
        </w:rPr>
        <w:t xml:space="preserve">The Maternal and Child Health Bureau evolved from the Children’s Bureau established in 1912. The enactment of Title V of the Social Security Act of 1935, specifically Section 509, which states that “the Secretary shall designate an identifiable administrative unit with expertise in maternal and child health within the Department of Health and Human Services, which … shall be responsible for … promoting coordination at the Federal level of the activities authorized </w:t>
      </w:r>
      <w:r w:rsidRPr="00056086">
        <w:rPr>
          <w:sz w:val="24"/>
        </w:rPr>
        <w:t>under this Title [V],” sanctioned the Maternal and Child Health program as well as provided the foundation and overall structure for the MCHB.</w:t>
      </w:r>
      <w:r>
        <w:rPr>
          <w:rStyle w:val="FootnoteReference"/>
          <w:sz w:val="24"/>
        </w:rPr>
        <w:footnoteReference w:id="3"/>
      </w:r>
      <w:r w:rsidRPr="00056086">
        <w:rPr>
          <w:sz w:val="24"/>
        </w:rPr>
        <w:t xml:space="preserve"> Situated within HRSA, MCHB continues to administer Title V and leads the nation in efforts to improve and promote the health of mothers and children. With the establishment of Title V, many programs aimed at extending health and welfare services to mothers and children were enacted. These programs have evolved since 1935 with passage of several legislative amendments. </w:t>
      </w:r>
    </w:p>
    <w:p w:rsidR="00464D8C" w:rsidRPr="00056086" w:rsidP="00464D8C" w14:paraId="2C737AF0" w14:textId="77777777">
      <w:pPr>
        <w:tabs>
          <w:tab w:val="left" w:pos="-720"/>
        </w:tabs>
        <w:suppressAutoHyphens/>
        <w:rPr>
          <w:sz w:val="24"/>
        </w:rPr>
      </w:pPr>
    </w:p>
    <w:p w:rsidR="00464D8C" w:rsidRPr="00056086" w:rsidP="39167B21" w14:paraId="654025A6" w14:textId="155255A9">
      <w:pPr>
        <w:suppressAutoHyphens/>
        <w:rPr>
          <w:sz w:val="24"/>
        </w:rPr>
      </w:pPr>
      <w:r w:rsidRPr="39167B21">
        <w:rPr>
          <w:sz w:val="24"/>
        </w:rPr>
        <w:t xml:space="preserve">In 1981, the Omnibus Budget Reconciliation Act of 1981 (OBRA ’81), Public Law (PL) 97-35, amended Title V of “the Social Security Act to establish a [block grant] program for maternal and child health services…by consolidating specified [categorical] programs of Federal assistance to States.” This amendment resulted in the creation of the Maternal and Child </w:t>
      </w:r>
      <w:r w:rsidRPr="39167B21" w:rsidR="000B0D84">
        <w:rPr>
          <w:sz w:val="24"/>
        </w:rPr>
        <w:t xml:space="preserve">Health (MCH) </w:t>
      </w:r>
      <w:r w:rsidRPr="39167B21">
        <w:rPr>
          <w:sz w:val="24"/>
        </w:rPr>
        <w:t xml:space="preserve">Block Grant. The categorical programs consolidated under the block grant program included: Maternal and Child Health and Children with Special Needs Services, Lead-Based Paint Poisoning Prevention Program, Genetic Disease Programs, Sudden Infant Death Syndrome Programs, Hemophilia Treatment Centers, and Adolescent Pregnancy Grants. </w:t>
      </w:r>
      <w:r w:rsidRPr="39167B21" w:rsidR="361D1314">
        <w:rPr>
          <w:sz w:val="24"/>
        </w:rPr>
        <w:t>Additionally,</w:t>
      </w:r>
      <w:r w:rsidRPr="39167B21">
        <w:rPr>
          <w:sz w:val="24"/>
        </w:rPr>
        <w:t xml:space="preserve"> OBRA ’81 authorized a set-aside of discretionary federal funds for </w:t>
      </w:r>
      <w:r w:rsidRPr="39167B21" w:rsidR="000B0D84">
        <w:rPr>
          <w:sz w:val="24"/>
        </w:rPr>
        <w:t>Special Projects of Regional and National Significance (</w:t>
      </w:r>
      <w:r w:rsidRPr="39167B21">
        <w:rPr>
          <w:sz w:val="24"/>
        </w:rPr>
        <w:t>SPRANS</w:t>
      </w:r>
      <w:r w:rsidRPr="39167B21" w:rsidR="000B0D84">
        <w:rPr>
          <w:sz w:val="24"/>
        </w:rPr>
        <w:t>)</w:t>
      </w:r>
      <w:r w:rsidRPr="39167B21">
        <w:rPr>
          <w:sz w:val="24"/>
        </w:rPr>
        <w:t xml:space="preserve"> as part of the MCH Block Grant, “by setting forth provisions concerning: (1) the allotment of such funds; (2) payments to States; (3) use of grant money” in addition to other provisions. The set-aside of federal funds permits withholding of some of the MCH Block Grant appropriations each fiscal year to support certain categorical programs.   </w:t>
      </w:r>
    </w:p>
    <w:p w:rsidR="00464D8C" w:rsidRPr="00056086" w:rsidP="00464D8C" w14:paraId="68F130B0" w14:textId="77777777">
      <w:pPr>
        <w:tabs>
          <w:tab w:val="left" w:pos="-720"/>
        </w:tabs>
        <w:suppressAutoHyphens/>
        <w:rPr>
          <w:sz w:val="24"/>
        </w:rPr>
      </w:pPr>
    </w:p>
    <w:p w:rsidR="00464D8C" w:rsidRPr="00056086" w:rsidP="39167B21" w14:paraId="07E5B28C" w14:textId="60EE863D">
      <w:pPr>
        <w:suppressAutoHyphens/>
        <w:rPr>
          <w:sz w:val="24"/>
        </w:rPr>
      </w:pPr>
      <w:r w:rsidRPr="39167B21">
        <w:rPr>
          <w:sz w:val="24"/>
        </w:rPr>
        <w:t>The Omnibus Budget Reconciliation Act of 1989 (OBRA ’89), Public Law (PL) 101-</w:t>
      </w:r>
      <w:r w:rsidRPr="39167B21" w:rsidR="6D10DB7C">
        <w:rPr>
          <w:sz w:val="24"/>
        </w:rPr>
        <w:t>239 specifically</w:t>
      </w:r>
      <w:r w:rsidRPr="39167B21">
        <w:rPr>
          <w:sz w:val="24"/>
        </w:rPr>
        <w:t xml:space="preserve"> defined two set-asides for discretionary programs, SPRANS and </w:t>
      </w:r>
      <w:r w:rsidRPr="39167B21" w:rsidR="000B0D84">
        <w:rPr>
          <w:sz w:val="24"/>
        </w:rPr>
        <w:t>Community Integrated Service Systems (</w:t>
      </w:r>
      <w:r w:rsidRPr="39167B21">
        <w:rPr>
          <w:sz w:val="24"/>
        </w:rPr>
        <w:t>CISS</w:t>
      </w:r>
      <w:r w:rsidRPr="39167B21" w:rsidR="000B0D84">
        <w:rPr>
          <w:sz w:val="24"/>
        </w:rPr>
        <w:t>)</w:t>
      </w:r>
      <w:r w:rsidRPr="39167B21">
        <w:rPr>
          <w:sz w:val="24"/>
        </w:rPr>
        <w:t xml:space="preserve">, by amending Section 502 </w:t>
      </w:r>
      <w:r w:rsidRPr="39167B21" w:rsidR="3843BC78">
        <w:rPr>
          <w:sz w:val="24"/>
        </w:rPr>
        <w:t>of Title</w:t>
      </w:r>
      <w:r w:rsidRPr="39167B21">
        <w:rPr>
          <w:sz w:val="24"/>
        </w:rPr>
        <w:t xml:space="preserve"> V to state: </w:t>
      </w:r>
    </w:p>
    <w:p w:rsidR="00464D8C" w:rsidRPr="00056086" w:rsidP="00464D8C" w14:paraId="11FF59D6" w14:textId="77777777">
      <w:pPr>
        <w:tabs>
          <w:tab w:val="left" w:pos="-720"/>
        </w:tabs>
        <w:suppressAutoHyphens/>
        <w:rPr>
          <w:sz w:val="24"/>
        </w:rPr>
      </w:pPr>
    </w:p>
    <w:p w:rsidR="00464D8C" w:rsidRPr="00056086" w:rsidP="00464D8C" w14:paraId="0C262A55" w14:textId="7637665A">
      <w:pPr>
        <w:tabs>
          <w:tab w:val="left" w:pos="-720"/>
        </w:tabs>
        <w:suppressAutoHyphens/>
        <w:ind w:left="360"/>
        <w:rPr>
          <w:sz w:val="24"/>
        </w:rPr>
      </w:pPr>
      <w:r>
        <w:rPr>
          <w:sz w:val="24"/>
        </w:rPr>
        <w:t>“</w:t>
      </w:r>
      <w:r w:rsidRPr="00056086">
        <w:rPr>
          <w:sz w:val="24"/>
        </w:rPr>
        <w:t>[The] Secretary shall retain an amount equal to 15 percent for the purpose of carrying out activities described in section 501(a) (2)</w:t>
      </w:r>
      <w:r>
        <w:rPr>
          <w:sz w:val="24"/>
        </w:rPr>
        <w:t>”</w:t>
      </w:r>
      <w:r w:rsidRPr="00056086">
        <w:rPr>
          <w:sz w:val="24"/>
        </w:rPr>
        <w:t xml:space="preserve"> and </w:t>
      </w:r>
      <w:r>
        <w:rPr>
          <w:sz w:val="24"/>
        </w:rPr>
        <w:t>“[</w:t>
      </w:r>
      <w:r w:rsidRPr="00056086">
        <w:rPr>
          <w:sz w:val="24"/>
        </w:rPr>
        <w:t>of</w:t>
      </w:r>
      <w:r>
        <w:rPr>
          <w:sz w:val="24"/>
        </w:rPr>
        <w:t>]</w:t>
      </w:r>
      <w:r w:rsidRPr="00056086">
        <w:rPr>
          <w:sz w:val="24"/>
        </w:rPr>
        <w:t xml:space="preserve"> the amounts appropriated under section </w:t>
      </w:r>
      <w:r w:rsidRPr="00056086">
        <w:rPr>
          <w:sz w:val="24"/>
        </w:rPr>
        <w:t>5</w:t>
      </w:r>
      <w:r>
        <w:rPr>
          <w:sz w:val="24"/>
        </w:rPr>
        <w:t>01</w:t>
      </w:r>
      <w:r w:rsidRPr="00056086">
        <w:rPr>
          <w:sz w:val="24"/>
        </w:rPr>
        <w:t xml:space="preserve">(a) for </w:t>
      </w:r>
      <w:r>
        <w:rPr>
          <w:sz w:val="24"/>
        </w:rPr>
        <w:t>a</w:t>
      </w:r>
      <w:r w:rsidRPr="00056086">
        <w:rPr>
          <w:sz w:val="24"/>
        </w:rPr>
        <w:t xml:space="preserve"> </w:t>
      </w:r>
      <w:r w:rsidRPr="00056086">
        <w:rPr>
          <w:sz w:val="24"/>
        </w:rPr>
        <w:t>fiscal year in excess of $600,000,000 the Secretary shall retain an amount equal to 12 ¾ percent thereof for the projects described in subparagraphs (A) through (F) of section 501(a) (3)</w:t>
      </w:r>
      <w:r>
        <w:rPr>
          <w:sz w:val="24"/>
        </w:rPr>
        <w:t>,</w:t>
      </w:r>
      <w:r w:rsidRPr="00056086">
        <w:rPr>
          <w:sz w:val="24"/>
        </w:rPr>
        <w:t xml:space="preserve">” respectively.   </w:t>
      </w:r>
    </w:p>
    <w:p w:rsidR="00464D8C" w:rsidRPr="00056086" w:rsidP="00464D8C" w14:paraId="2F32AC36" w14:textId="77777777">
      <w:pPr>
        <w:tabs>
          <w:tab w:val="left" w:pos="-720"/>
        </w:tabs>
        <w:suppressAutoHyphens/>
        <w:rPr>
          <w:sz w:val="24"/>
        </w:rPr>
      </w:pPr>
    </w:p>
    <w:p w:rsidR="00464D8C" w:rsidRPr="00056086" w:rsidP="00464D8C" w14:paraId="46056956" w14:textId="77777777">
      <w:pPr>
        <w:tabs>
          <w:tab w:val="left" w:pos="-720"/>
        </w:tabs>
        <w:suppressAutoHyphens/>
        <w:rPr>
          <w:sz w:val="24"/>
        </w:rPr>
      </w:pPr>
      <w:r w:rsidRPr="00056086">
        <w:rPr>
          <w:sz w:val="24"/>
        </w:rPr>
        <w:t>The MCH Block Grant is the base on which SPRANS and CISS grants rest. The passage of OBRA ’81 provided more discretion to states in using federal funds. State governments (the recipients of the MCH Block Grants) have the discretion to self-direct Block Grant funds to areas they identify as needing funding. The SPRANS and CISS grants, under MCHB, complement the state MCH Block Grants. They also enable MCHB to fulfill its leadership mission to facilitate research, policy, programs, and practice.</w:t>
      </w:r>
    </w:p>
    <w:p w:rsidR="00464D8C" w:rsidRPr="00056086" w:rsidP="00464D8C" w14:paraId="58A6DA4A" w14:textId="77777777">
      <w:pPr>
        <w:tabs>
          <w:tab w:val="left" w:pos="-720"/>
        </w:tabs>
        <w:suppressAutoHyphens/>
        <w:rPr>
          <w:sz w:val="24"/>
        </w:rPr>
      </w:pPr>
    </w:p>
    <w:p w:rsidR="00464D8C" w:rsidRPr="00056086" w:rsidP="39167B21" w14:paraId="14111EC1" w14:textId="072D1B43">
      <w:pPr>
        <w:suppressAutoHyphens/>
        <w:rPr>
          <w:sz w:val="24"/>
        </w:rPr>
      </w:pPr>
      <w:r w:rsidRPr="39167B21">
        <w:rPr>
          <w:sz w:val="24"/>
        </w:rPr>
        <w:t xml:space="preserve">The common performance measures used for </w:t>
      </w:r>
      <w:r w:rsidRPr="39167B21" w:rsidR="459A0E0F">
        <w:rPr>
          <w:sz w:val="24"/>
        </w:rPr>
        <w:t>discretionary</w:t>
      </w:r>
      <w:r w:rsidRPr="39167B21">
        <w:rPr>
          <w:sz w:val="24"/>
        </w:rPr>
        <w:t xml:space="preserve"> grant programs meet mandated reporting requirements. The attached forms and performance measures are intended to cover all discretionary grant programs managed by MCHB.</w:t>
      </w:r>
    </w:p>
    <w:p w:rsidR="00464D8C" w:rsidRPr="00056086" w:rsidP="00464D8C" w14:paraId="1C4DFC1B" w14:textId="77777777">
      <w:pPr>
        <w:tabs>
          <w:tab w:val="left" w:pos="6360"/>
        </w:tabs>
        <w:jc w:val="both"/>
        <w:rPr>
          <w:sz w:val="24"/>
        </w:rPr>
      </w:pPr>
      <w:r w:rsidRPr="00056086">
        <w:rPr>
          <w:sz w:val="24"/>
        </w:rPr>
        <w:tab/>
      </w:r>
    </w:p>
    <w:p w:rsidR="00464D8C" w:rsidRPr="00056086" w:rsidP="00464D8C" w14:paraId="76CD5E03" w14:textId="77777777">
      <w:pPr>
        <w:pStyle w:val="Heading1"/>
        <w:jc w:val="both"/>
        <w:rPr>
          <w:bCs/>
          <w:szCs w:val="24"/>
        </w:rPr>
      </w:pPr>
      <w:r w:rsidRPr="00056086">
        <w:rPr>
          <w:bCs/>
          <w:szCs w:val="24"/>
        </w:rPr>
        <w:t>MCHB Programs</w:t>
      </w:r>
    </w:p>
    <w:p w:rsidR="00464D8C" w:rsidRPr="00056086" w:rsidP="00464D8C" w14:paraId="3F9CA0DC" w14:textId="77777777">
      <w:pPr>
        <w:jc w:val="both"/>
        <w:rPr>
          <w:color w:val="000000"/>
          <w:sz w:val="24"/>
        </w:rPr>
      </w:pPr>
    </w:p>
    <w:p w:rsidR="00464D8C" w:rsidRPr="00056086" w:rsidP="00464D8C" w14:paraId="76D3F6DA" w14:textId="71CE1913">
      <w:pPr>
        <w:rPr>
          <w:color w:val="000000"/>
          <w:sz w:val="24"/>
        </w:rPr>
      </w:pPr>
      <w:r w:rsidRPr="586F87A3">
        <w:rPr>
          <w:color w:val="000000" w:themeColor="text1"/>
          <w:sz w:val="24"/>
        </w:rPr>
        <w:t xml:space="preserve">Programs administered by MCHB </w:t>
      </w:r>
      <w:r w:rsidRPr="586F87A3" w:rsidR="4AD3B9CC">
        <w:rPr>
          <w:color w:val="000000" w:themeColor="text1"/>
          <w:sz w:val="24"/>
        </w:rPr>
        <w:t xml:space="preserve">under the Title V Block Grant </w:t>
      </w:r>
      <w:r w:rsidRPr="586F87A3">
        <w:rPr>
          <w:color w:val="000000" w:themeColor="text1"/>
          <w:sz w:val="24"/>
        </w:rPr>
        <w:t xml:space="preserve">fall into three major categories: </w:t>
      </w:r>
    </w:p>
    <w:p w:rsidR="00464D8C" w:rsidRPr="00056086" w:rsidP="00464D8C" w14:paraId="3CB20EB8" w14:textId="77777777">
      <w:pPr>
        <w:rPr>
          <w:color w:val="000000"/>
          <w:sz w:val="24"/>
        </w:rPr>
      </w:pPr>
    </w:p>
    <w:p w:rsidR="00464D8C" w:rsidRPr="00056086" w:rsidP="00464D8C" w14:paraId="15EB76B2" w14:textId="472C4163">
      <w:pPr>
        <w:widowControl/>
        <w:numPr>
          <w:ilvl w:val="0"/>
          <w:numId w:val="21"/>
        </w:numPr>
        <w:autoSpaceDE/>
        <w:autoSpaceDN/>
        <w:adjustRightInd/>
        <w:rPr>
          <w:b/>
          <w:color w:val="000000"/>
          <w:sz w:val="24"/>
        </w:rPr>
      </w:pPr>
      <w:r w:rsidRPr="00056086">
        <w:rPr>
          <w:b/>
          <w:color w:val="000000"/>
          <w:sz w:val="24"/>
        </w:rPr>
        <w:t>The State MCH Block Grant program</w:t>
      </w:r>
      <w:r w:rsidRPr="00056086">
        <w:rPr>
          <w:color w:val="000000"/>
          <w:sz w:val="24"/>
        </w:rPr>
        <w:t xml:space="preserve">, which awards formula grants to 59 states and jurisdictions to address the health needs of mothers, infants, and children, as well as children with special health care needs in their state or </w:t>
      </w:r>
      <w:r w:rsidRPr="00056086">
        <w:rPr>
          <w:color w:val="000000"/>
          <w:sz w:val="24"/>
        </w:rPr>
        <w:t>jurisdiction;</w:t>
      </w:r>
    </w:p>
    <w:p w:rsidR="00464D8C" w:rsidRPr="00056086" w:rsidP="00464D8C" w14:paraId="053559F1" w14:textId="1B43FFC8">
      <w:pPr>
        <w:widowControl/>
        <w:numPr>
          <w:ilvl w:val="0"/>
          <w:numId w:val="21"/>
        </w:numPr>
        <w:autoSpaceDE/>
        <w:autoSpaceDN/>
        <w:adjustRightInd/>
        <w:rPr>
          <w:b/>
          <w:color w:val="000000"/>
          <w:sz w:val="24"/>
        </w:rPr>
      </w:pPr>
      <w:r w:rsidRPr="00056086">
        <w:rPr>
          <w:b/>
          <w:color w:val="000000"/>
          <w:sz w:val="24"/>
        </w:rPr>
        <w:t xml:space="preserve">Special Projects of Regional and National Significance (SPRANS) </w:t>
      </w:r>
      <w:r w:rsidRPr="00056086">
        <w:rPr>
          <w:color w:val="000000"/>
          <w:sz w:val="24"/>
        </w:rPr>
        <w:t xml:space="preserve">that address national or regional needs, priorities, or emerging issues (such as opioids, maternal mortality, </w:t>
      </w:r>
      <w:r w:rsidRPr="00056086" w:rsidR="0012601A">
        <w:rPr>
          <w:color w:val="000000"/>
          <w:sz w:val="24"/>
        </w:rPr>
        <w:t>and COVID-19</w:t>
      </w:r>
      <w:r w:rsidRPr="00056086">
        <w:rPr>
          <w:color w:val="000000"/>
          <w:sz w:val="24"/>
        </w:rPr>
        <w:t xml:space="preserve">) and demonstrate methods for improving care and outcomes for mothers and children; and </w:t>
      </w:r>
    </w:p>
    <w:p w:rsidR="00464D8C" w:rsidRPr="00056086" w:rsidP="00464D8C" w14:paraId="6AC82CC5" w14:textId="77777777">
      <w:pPr>
        <w:widowControl/>
        <w:numPr>
          <w:ilvl w:val="0"/>
          <w:numId w:val="21"/>
        </w:numPr>
        <w:autoSpaceDE/>
        <w:autoSpaceDN/>
        <w:adjustRightInd/>
        <w:rPr>
          <w:b/>
          <w:color w:val="000000"/>
          <w:sz w:val="24"/>
        </w:rPr>
      </w:pPr>
      <w:r w:rsidRPr="00056086">
        <w:rPr>
          <w:b/>
          <w:color w:val="000000"/>
          <w:sz w:val="24"/>
        </w:rPr>
        <w:t xml:space="preserve">Community Integrated Service Systems (CISS) </w:t>
      </w:r>
      <w:r w:rsidRPr="00056086">
        <w:rPr>
          <w:color w:val="000000"/>
          <w:sz w:val="24"/>
        </w:rPr>
        <w:t>grants, which help increase local service delivery capacity and form state and local comprehensive care systems for mothers and children, including children with special health care needs.</w:t>
      </w:r>
    </w:p>
    <w:p w:rsidR="00464D8C" w:rsidRPr="00056086" w:rsidP="00464D8C" w14:paraId="1C6A6094" w14:textId="77777777">
      <w:pPr>
        <w:rPr>
          <w:b/>
          <w:bCs/>
          <w:color w:val="000000"/>
          <w:sz w:val="24"/>
        </w:rPr>
      </w:pPr>
    </w:p>
    <w:p w:rsidR="00464D8C" w:rsidP="586F87A3" w14:paraId="5AB8BBAA" w14:textId="6BA83752">
      <w:pPr>
        <w:rPr>
          <w:sz w:val="24"/>
        </w:rPr>
      </w:pPr>
      <w:r w:rsidRPr="586F87A3">
        <w:rPr>
          <w:b/>
          <w:bCs/>
          <w:color w:val="000000" w:themeColor="text1"/>
          <w:sz w:val="24"/>
        </w:rPr>
        <w:t xml:space="preserve"> Other Categorical Programs: </w:t>
      </w:r>
      <w:r w:rsidRPr="586F87A3">
        <w:rPr>
          <w:color w:val="000000" w:themeColor="text1"/>
          <w:sz w:val="24"/>
        </w:rPr>
        <w:t xml:space="preserve">Additional programs administered by MCHB under authorities outlined in the Public Health Service Act include the: </w:t>
      </w:r>
    </w:p>
    <w:p w:rsidR="66AEDF11" w:rsidP="001A3487" w14:paraId="03516D79" w14:textId="2AA1D88C">
      <w:pPr>
        <w:pStyle w:val="ListParagraph"/>
        <w:numPr>
          <w:ilvl w:val="0"/>
          <w:numId w:val="47"/>
        </w:numPr>
        <w:rPr>
          <w:color w:val="000000" w:themeColor="text1"/>
          <w:sz w:val="24"/>
        </w:rPr>
      </w:pPr>
      <w:r w:rsidRPr="586F87A3">
        <w:rPr>
          <w:color w:val="000000" w:themeColor="text1"/>
          <w:sz w:val="24"/>
        </w:rPr>
        <w:t xml:space="preserve">Autism Education, Early Detection, and Intervention </w:t>
      </w:r>
      <w:r w:rsidRPr="586F87A3">
        <w:rPr>
          <w:color w:val="000000" w:themeColor="text1"/>
          <w:sz w:val="24"/>
        </w:rPr>
        <w:t>Program;</w:t>
      </w:r>
      <w:r w:rsidRPr="586F87A3">
        <w:rPr>
          <w:color w:val="000000" w:themeColor="text1"/>
          <w:sz w:val="24"/>
        </w:rPr>
        <w:t xml:space="preserve"> </w:t>
      </w:r>
    </w:p>
    <w:p w:rsidR="66AEDF11" w:rsidP="001A3487" w14:paraId="34E9BEC9" w14:textId="19B2FB11">
      <w:pPr>
        <w:pStyle w:val="ListParagraph"/>
        <w:numPr>
          <w:ilvl w:val="0"/>
          <w:numId w:val="47"/>
        </w:numPr>
        <w:rPr>
          <w:color w:val="000000" w:themeColor="text1"/>
          <w:sz w:val="24"/>
        </w:rPr>
      </w:pPr>
      <w:r w:rsidRPr="586F87A3">
        <w:rPr>
          <w:color w:val="000000" w:themeColor="text1"/>
          <w:sz w:val="24"/>
        </w:rPr>
        <w:t xml:space="preserve">Sickle Cell Disease Treatment Demonstration </w:t>
      </w:r>
      <w:r w:rsidRPr="586F87A3">
        <w:rPr>
          <w:color w:val="000000" w:themeColor="text1"/>
          <w:sz w:val="24"/>
        </w:rPr>
        <w:t>Program;</w:t>
      </w:r>
      <w:r w:rsidRPr="586F87A3">
        <w:rPr>
          <w:color w:val="000000" w:themeColor="text1"/>
          <w:sz w:val="24"/>
        </w:rPr>
        <w:t xml:space="preserve"> </w:t>
      </w:r>
    </w:p>
    <w:p w:rsidR="66AEDF11" w:rsidP="001A3487" w14:paraId="1312D749" w14:textId="478792CA">
      <w:pPr>
        <w:pStyle w:val="ListParagraph"/>
        <w:numPr>
          <w:ilvl w:val="0"/>
          <w:numId w:val="47"/>
        </w:numPr>
        <w:rPr>
          <w:color w:val="000000" w:themeColor="text1"/>
          <w:sz w:val="24"/>
        </w:rPr>
      </w:pPr>
      <w:r w:rsidRPr="586F87A3">
        <w:rPr>
          <w:color w:val="000000" w:themeColor="text1"/>
          <w:sz w:val="24"/>
        </w:rPr>
        <w:t xml:space="preserve">Early Hearing Detection and Intervention </w:t>
      </w:r>
      <w:r w:rsidRPr="586F87A3">
        <w:rPr>
          <w:color w:val="000000" w:themeColor="text1"/>
          <w:sz w:val="24"/>
        </w:rPr>
        <w:t>Program;</w:t>
      </w:r>
      <w:r w:rsidRPr="586F87A3">
        <w:rPr>
          <w:color w:val="000000" w:themeColor="text1"/>
          <w:sz w:val="24"/>
        </w:rPr>
        <w:t xml:space="preserve"> </w:t>
      </w:r>
    </w:p>
    <w:p w:rsidR="66AEDF11" w:rsidP="001A3487" w14:paraId="01B7D0FD" w14:textId="368C52BB">
      <w:pPr>
        <w:pStyle w:val="ListParagraph"/>
        <w:numPr>
          <w:ilvl w:val="0"/>
          <w:numId w:val="47"/>
        </w:numPr>
        <w:rPr>
          <w:color w:val="000000" w:themeColor="text1"/>
          <w:sz w:val="24"/>
        </w:rPr>
      </w:pPr>
      <w:r w:rsidRPr="586F87A3">
        <w:rPr>
          <w:color w:val="000000" w:themeColor="text1"/>
          <w:sz w:val="24"/>
        </w:rPr>
        <w:t xml:space="preserve">Emergency Medical Services for </w:t>
      </w:r>
      <w:r w:rsidRPr="586F87A3">
        <w:rPr>
          <w:color w:val="000000" w:themeColor="text1"/>
          <w:sz w:val="24"/>
        </w:rPr>
        <w:t>Children;</w:t>
      </w:r>
      <w:r w:rsidRPr="586F87A3">
        <w:rPr>
          <w:color w:val="000000" w:themeColor="text1"/>
          <w:sz w:val="24"/>
        </w:rPr>
        <w:t xml:space="preserve"> </w:t>
      </w:r>
    </w:p>
    <w:p w:rsidR="00E123E7" w14:paraId="3E8677DF" w14:textId="77777777">
      <w:pPr>
        <w:pStyle w:val="ListParagraph"/>
        <w:numPr>
          <w:ilvl w:val="0"/>
          <w:numId w:val="47"/>
        </w:numPr>
        <w:rPr>
          <w:color w:val="000000" w:themeColor="text1"/>
          <w:sz w:val="24"/>
        </w:rPr>
      </w:pPr>
      <w:r w:rsidRPr="586F87A3">
        <w:rPr>
          <w:color w:val="000000" w:themeColor="text1"/>
          <w:sz w:val="24"/>
        </w:rPr>
        <w:t xml:space="preserve">Healthy Start </w:t>
      </w:r>
      <w:r w:rsidRPr="586F87A3">
        <w:rPr>
          <w:color w:val="000000" w:themeColor="text1"/>
          <w:sz w:val="24"/>
        </w:rPr>
        <w:t>Program;</w:t>
      </w:r>
      <w:r w:rsidRPr="586F87A3">
        <w:rPr>
          <w:color w:val="000000" w:themeColor="text1"/>
          <w:sz w:val="24"/>
        </w:rPr>
        <w:t xml:space="preserve"> </w:t>
      </w:r>
    </w:p>
    <w:p w:rsidR="00E123E7" w14:paraId="4E518E54" w14:textId="2CF63A8A">
      <w:pPr>
        <w:pStyle w:val="ListParagraph"/>
        <w:numPr>
          <w:ilvl w:val="0"/>
          <w:numId w:val="47"/>
        </w:numPr>
        <w:rPr>
          <w:color w:val="000000" w:themeColor="text1"/>
          <w:sz w:val="24"/>
        </w:rPr>
      </w:pPr>
      <w:r w:rsidRPr="586F87A3">
        <w:rPr>
          <w:color w:val="000000" w:themeColor="text1"/>
          <w:sz w:val="24"/>
        </w:rPr>
        <w:t xml:space="preserve">Newborn and Child Screening for Heritable Disorders </w:t>
      </w:r>
      <w:r w:rsidR="001A3487">
        <w:rPr>
          <w:color w:val="000000" w:themeColor="text1"/>
          <w:sz w:val="24"/>
        </w:rPr>
        <w:t>P</w:t>
      </w:r>
      <w:r w:rsidRPr="586F87A3">
        <w:rPr>
          <w:color w:val="000000" w:themeColor="text1"/>
          <w:sz w:val="24"/>
        </w:rPr>
        <w:t>rogram;</w:t>
      </w:r>
      <w:r w:rsidRPr="586F87A3">
        <w:rPr>
          <w:color w:val="000000" w:themeColor="text1"/>
          <w:sz w:val="24"/>
        </w:rPr>
        <w:t xml:space="preserve"> </w:t>
      </w:r>
    </w:p>
    <w:p w:rsidR="66AEDF11" w:rsidP="001A3487" w14:paraId="0B3312ED" w14:textId="3EF168E2">
      <w:pPr>
        <w:pStyle w:val="ListParagraph"/>
        <w:numPr>
          <w:ilvl w:val="0"/>
          <w:numId w:val="47"/>
        </w:numPr>
        <w:rPr>
          <w:color w:val="000000" w:themeColor="text1"/>
          <w:sz w:val="24"/>
        </w:rPr>
      </w:pPr>
      <w:r w:rsidRPr="586F87A3">
        <w:rPr>
          <w:color w:val="000000" w:themeColor="text1"/>
          <w:sz w:val="24"/>
        </w:rPr>
        <w:t xml:space="preserve">Pediatric Mental Health Care Access </w:t>
      </w:r>
      <w:r w:rsidRPr="586F87A3">
        <w:rPr>
          <w:color w:val="000000" w:themeColor="text1"/>
          <w:sz w:val="24"/>
        </w:rPr>
        <w:t>Grants;</w:t>
      </w:r>
      <w:r w:rsidRPr="586F87A3">
        <w:rPr>
          <w:color w:val="000000" w:themeColor="text1"/>
          <w:sz w:val="24"/>
        </w:rPr>
        <w:t xml:space="preserve"> </w:t>
      </w:r>
    </w:p>
    <w:p w:rsidR="00C94DB0" w14:paraId="180994F4" w14:textId="77777777">
      <w:pPr>
        <w:pStyle w:val="ListParagraph"/>
        <w:numPr>
          <w:ilvl w:val="0"/>
          <w:numId w:val="47"/>
        </w:numPr>
        <w:rPr>
          <w:color w:val="000000" w:themeColor="text1"/>
          <w:sz w:val="24"/>
        </w:rPr>
      </w:pPr>
      <w:r w:rsidRPr="586F87A3">
        <w:rPr>
          <w:color w:val="000000" w:themeColor="text1"/>
          <w:sz w:val="24"/>
        </w:rPr>
        <w:t xml:space="preserve">Screening and Treatment for Maternal Mental Health and Substance Use </w:t>
      </w:r>
      <w:r w:rsidRPr="586F87A3">
        <w:rPr>
          <w:color w:val="000000" w:themeColor="text1"/>
          <w:sz w:val="24"/>
        </w:rPr>
        <w:t>Disorders;</w:t>
      </w:r>
      <w:r w:rsidRPr="586F87A3">
        <w:rPr>
          <w:color w:val="000000" w:themeColor="text1"/>
          <w:sz w:val="24"/>
        </w:rPr>
        <w:t xml:space="preserve"> </w:t>
      </w:r>
    </w:p>
    <w:p w:rsidR="66AEDF11" w:rsidP="001A3487" w14:paraId="55B97A09" w14:textId="78F988FF">
      <w:pPr>
        <w:pStyle w:val="ListParagraph"/>
        <w:numPr>
          <w:ilvl w:val="0"/>
          <w:numId w:val="47"/>
        </w:numPr>
        <w:rPr>
          <w:color w:val="000000" w:themeColor="text1"/>
          <w:sz w:val="24"/>
        </w:rPr>
      </w:pPr>
      <w:r w:rsidRPr="586F87A3">
        <w:rPr>
          <w:color w:val="000000" w:themeColor="text1"/>
          <w:sz w:val="24"/>
        </w:rPr>
        <w:t xml:space="preserve">Integrated Services for Pregnant and Postpartum </w:t>
      </w:r>
      <w:r w:rsidRPr="586F87A3">
        <w:rPr>
          <w:color w:val="000000" w:themeColor="text1"/>
          <w:sz w:val="24"/>
        </w:rPr>
        <w:t>Women;</w:t>
      </w:r>
      <w:r w:rsidRPr="586F87A3">
        <w:rPr>
          <w:color w:val="000000" w:themeColor="text1"/>
          <w:sz w:val="24"/>
        </w:rPr>
        <w:t xml:space="preserve"> </w:t>
      </w:r>
    </w:p>
    <w:p w:rsidR="66AEDF11" w:rsidP="001A3487" w14:paraId="49C533E4" w14:textId="38884447">
      <w:pPr>
        <w:pStyle w:val="ListParagraph"/>
        <w:numPr>
          <w:ilvl w:val="0"/>
          <w:numId w:val="47"/>
        </w:numPr>
        <w:rPr>
          <w:color w:val="000000" w:themeColor="text1"/>
          <w:sz w:val="24"/>
        </w:rPr>
      </w:pPr>
      <w:r w:rsidRPr="586F87A3">
        <w:rPr>
          <w:color w:val="000000" w:themeColor="text1"/>
          <w:sz w:val="24"/>
        </w:rPr>
        <w:t xml:space="preserve">Family-to-Family Health Information </w:t>
      </w:r>
      <w:r w:rsidRPr="586F87A3">
        <w:rPr>
          <w:color w:val="000000" w:themeColor="text1"/>
          <w:sz w:val="24"/>
        </w:rPr>
        <w:t>Centers;</w:t>
      </w:r>
      <w:r w:rsidRPr="586F87A3">
        <w:rPr>
          <w:color w:val="000000" w:themeColor="text1"/>
          <w:sz w:val="24"/>
        </w:rPr>
        <w:t xml:space="preserve"> </w:t>
      </w:r>
    </w:p>
    <w:p w:rsidR="66AEDF11" w:rsidP="001A3487" w14:paraId="7780BF29" w14:textId="55CCD939">
      <w:pPr>
        <w:pStyle w:val="ListParagraph"/>
        <w:numPr>
          <w:ilvl w:val="0"/>
          <w:numId w:val="47"/>
        </w:numPr>
        <w:rPr>
          <w:color w:val="000000" w:themeColor="text1"/>
          <w:sz w:val="24"/>
        </w:rPr>
      </w:pPr>
      <w:r w:rsidRPr="586F87A3">
        <w:rPr>
          <w:color w:val="000000" w:themeColor="text1"/>
          <w:sz w:val="24"/>
        </w:rPr>
        <w:t xml:space="preserve">Maternal, Infant, and Early Childhood Home Visiting Program; and </w:t>
      </w:r>
    </w:p>
    <w:p w:rsidR="66AEDF11" w:rsidP="001A3487" w14:paraId="756D1F34" w14:textId="373EA7AD">
      <w:pPr>
        <w:pStyle w:val="ListParagraph"/>
        <w:numPr>
          <w:ilvl w:val="0"/>
          <w:numId w:val="47"/>
        </w:numPr>
        <w:rPr>
          <w:color w:val="000000" w:themeColor="text1"/>
          <w:sz w:val="24"/>
        </w:rPr>
      </w:pPr>
      <w:r w:rsidRPr="586F87A3">
        <w:rPr>
          <w:color w:val="000000" w:themeColor="text1"/>
          <w:sz w:val="24"/>
        </w:rPr>
        <w:t>Poison Control Program</w:t>
      </w:r>
    </w:p>
    <w:p w:rsidR="66AEDF11" w:rsidP="001A3487" w14:paraId="49423797" w14:textId="6FC40CB9">
      <w:r>
        <w:br/>
      </w:r>
    </w:p>
    <w:p w:rsidR="586F87A3" w:rsidP="586F87A3" w14:paraId="24D417F9" w14:textId="1404C11D">
      <w:pPr>
        <w:rPr>
          <w:color w:val="000000" w:themeColor="text1"/>
          <w:sz w:val="24"/>
        </w:rPr>
      </w:pPr>
    </w:p>
    <w:p w:rsidR="00DB047E" w:rsidRPr="00056086" w:rsidP="00DB047E" w14:paraId="2F808F74" w14:textId="77777777">
      <w:pPr>
        <w:spacing w:before="100" w:beforeAutospacing="1" w:after="120"/>
        <w:rPr>
          <w:rFonts w:ascii="Segoe UI" w:hAnsi="Segoe UI" w:cs="Segoe UI"/>
          <w:sz w:val="21"/>
          <w:szCs w:val="21"/>
        </w:rPr>
      </w:pPr>
      <w:r w:rsidRPr="00056086">
        <w:rPr>
          <w:b/>
          <w:bCs/>
          <w:i/>
          <w:iCs/>
          <w:sz w:val="24"/>
        </w:rPr>
        <w:t>Special Projects of Regional and National Significance</w:t>
      </w:r>
      <w:r w:rsidRPr="00056086">
        <w:rPr>
          <w:i/>
          <w:iCs/>
          <w:szCs w:val="20"/>
        </w:rPr>
        <w:t xml:space="preserve"> </w:t>
      </w:r>
      <w:r w:rsidRPr="00056086">
        <w:rPr>
          <w:b/>
          <w:bCs/>
          <w:i/>
          <w:iCs/>
          <w:sz w:val="24"/>
        </w:rPr>
        <w:t xml:space="preserve">(SPRANS) </w:t>
      </w:r>
    </w:p>
    <w:p w:rsidR="00DB047E" w:rsidRPr="00056086" w:rsidP="00DB047E" w14:paraId="720C216A" w14:textId="77777777">
      <w:pPr>
        <w:spacing w:before="100" w:beforeAutospacing="1" w:after="120"/>
        <w:rPr>
          <w:sz w:val="24"/>
        </w:rPr>
      </w:pPr>
      <w:r w:rsidRPr="00056086">
        <w:rPr>
          <w:sz w:val="24"/>
        </w:rPr>
        <w:t>HRSA awards SPRANS grants to:</w:t>
      </w:r>
    </w:p>
    <w:p w:rsidR="00DB047E" w:rsidRPr="00056086" w:rsidP="00803DEF" w14:paraId="566ADC43" w14:textId="73846338">
      <w:pPr>
        <w:pStyle w:val="ListParagraph"/>
        <w:widowControl/>
        <w:numPr>
          <w:ilvl w:val="0"/>
          <w:numId w:val="27"/>
        </w:numPr>
        <w:autoSpaceDE/>
        <w:autoSpaceDN/>
        <w:adjustRightInd/>
        <w:spacing w:before="100" w:beforeAutospacing="1"/>
        <w:rPr>
          <w:sz w:val="24"/>
        </w:rPr>
      </w:pPr>
      <w:r w:rsidRPr="00056086">
        <w:rPr>
          <w:sz w:val="24"/>
        </w:rPr>
        <w:t xml:space="preserve">Respond to legislative set-asides and directives, including: </w:t>
      </w:r>
    </w:p>
    <w:p w:rsidR="00DB047E" w:rsidRPr="00056086" w:rsidP="00803DEF" w14:paraId="5C90E0D0" w14:textId="77777777">
      <w:pPr>
        <w:widowControl/>
        <w:numPr>
          <w:ilvl w:val="1"/>
          <w:numId w:val="27"/>
        </w:numPr>
        <w:autoSpaceDE/>
        <w:autoSpaceDN/>
        <w:adjustRightInd/>
        <w:spacing w:before="100" w:beforeAutospacing="1"/>
        <w:rPr>
          <w:sz w:val="24"/>
        </w:rPr>
      </w:pPr>
      <w:r w:rsidRPr="00056086">
        <w:rPr>
          <w:b/>
          <w:bCs/>
          <w:sz w:val="24"/>
        </w:rPr>
        <w:t>Oral Health</w:t>
      </w:r>
      <w:r w:rsidRPr="001B4BC6">
        <w:rPr>
          <w:b/>
          <w:sz w:val="24"/>
        </w:rPr>
        <w:t>:</w:t>
      </w:r>
      <w:r w:rsidRPr="00056086">
        <w:rPr>
          <w:sz w:val="24"/>
        </w:rPr>
        <w:t xml:space="preserve"> Projects to improve perinatal and oral infant health.</w:t>
      </w:r>
    </w:p>
    <w:p w:rsidR="00DB047E" w:rsidRPr="00056086" w:rsidP="00803DEF" w14:paraId="3D0D69AC" w14:textId="77777777">
      <w:pPr>
        <w:widowControl/>
        <w:numPr>
          <w:ilvl w:val="1"/>
          <w:numId w:val="27"/>
        </w:numPr>
        <w:autoSpaceDE/>
        <w:autoSpaceDN/>
        <w:adjustRightInd/>
        <w:spacing w:before="100" w:beforeAutospacing="1"/>
        <w:rPr>
          <w:sz w:val="24"/>
        </w:rPr>
      </w:pPr>
      <w:r w:rsidRPr="00056086">
        <w:rPr>
          <w:b/>
          <w:bCs/>
          <w:sz w:val="24"/>
        </w:rPr>
        <w:t>Epilepsy:</w:t>
      </w:r>
      <w:r w:rsidRPr="00056086">
        <w:rPr>
          <w:sz w:val="24"/>
        </w:rPr>
        <w:t xml:space="preserve"> Projects to improve access to quality services for children and youth with epilepsy in underserved areas.</w:t>
      </w:r>
    </w:p>
    <w:p w:rsidR="00DB047E" w:rsidRPr="00056086" w:rsidP="00803DEF" w14:paraId="469BCAB8" w14:textId="01B80B37">
      <w:pPr>
        <w:widowControl/>
        <w:numPr>
          <w:ilvl w:val="1"/>
          <w:numId w:val="27"/>
        </w:numPr>
        <w:autoSpaceDE/>
        <w:autoSpaceDN/>
        <w:adjustRightInd/>
        <w:spacing w:before="100" w:beforeAutospacing="1"/>
        <w:rPr>
          <w:sz w:val="24"/>
        </w:rPr>
      </w:pPr>
      <w:r w:rsidRPr="00056086">
        <w:rPr>
          <w:b/>
          <w:bCs/>
          <w:sz w:val="24"/>
        </w:rPr>
        <w:t xml:space="preserve">Sickle </w:t>
      </w:r>
      <w:r w:rsidR="001B4BC6">
        <w:rPr>
          <w:b/>
          <w:bCs/>
          <w:sz w:val="24"/>
        </w:rPr>
        <w:t>C</w:t>
      </w:r>
      <w:r w:rsidRPr="00056086">
        <w:rPr>
          <w:b/>
          <w:bCs/>
          <w:sz w:val="24"/>
        </w:rPr>
        <w:t xml:space="preserve">ell </w:t>
      </w:r>
      <w:r w:rsidR="001B4BC6">
        <w:rPr>
          <w:b/>
          <w:bCs/>
          <w:sz w:val="24"/>
        </w:rPr>
        <w:t>D</w:t>
      </w:r>
      <w:r w:rsidRPr="00056086">
        <w:rPr>
          <w:b/>
          <w:bCs/>
          <w:sz w:val="24"/>
        </w:rPr>
        <w:t>isease:</w:t>
      </w:r>
      <w:r w:rsidRPr="00056086">
        <w:rPr>
          <w:sz w:val="24"/>
        </w:rPr>
        <w:t xml:space="preserve"> Projects to improve care coordination for children and families affected by sickle cell disease</w:t>
      </w:r>
      <w:r w:rsidR="00392B9D">
        <w:rPr>
          <w:sz w:val="24"/>
        </w:rPr>
        <w:t>.</w:t>
      </w:r>
    </w:p>
    <w:p w:rsidR="00392B9D" w:rsidRPr="00392B9D" w:rsidP="00392B9D" w14:paraId="7A174195" w14:textId="4BFD0862">
      <w:pPr>
        <w:widowControl/>
        <w:numPr>
          <w:ilvl w:val="1"/>
          <w:numId w:val="27"/>
        </w:numPr>
        <w:autoSpaceDE/>
        <w:autoSpaceDN/>
        <w:adjustRightInd/>
        <w:spacing w:before="100" w:beforeAutospacing="1"/>
        <w:rPr>
          <w:sz w:val="24"/>
        </w:rPr>
      </w:pPr>
      <w:r w:rsidRPr="00056086">
        <w:rPr>
          <w:b/>
          <w:bCs/>
          <w:sz w:val="24"/>
        </w:rPr>
        <w:t xml:space="preserve">Fetal Alcohol Syndrome: </w:t>
      </w:r>
      <w:r w:rsidRPr="00056086">
        <w:rPr>
          <w:sz w:val="24"/>
        </w:rPr>
        <w:t>Projects to decrease the prevalence of alcohol use during pregnancy through provider and consumer education.</w:t>
      </w:r>
    </w:p>
    <w:p w:rsidR="586F87A3" w:rsidP="001A3487" w14:paraId="7794E85F" w14:textId="3AED7407">
      <w:pPr>
        <w:widowControl/>
        <w:spacing w:beforeAutospacing="1"/>
        <w:rPr>
          <w:sz w:val="24"/>
        </w:rPr>
      </w:pPr>
    </w:p>
    <w:p w:rsidR="00DB047E" w:rsidP="00803DEF" w14:paraId="228B8A2C" w14:textId="7CFDE822">
      <w:pPr>
        <w:pStyle w:val="ListParagraph"/>
        <w:widowControl/>
        <w:numPr>
          <w:ilvl w:val="0"/>
          <w:numId w:val="27"/>
        </w:numPr>
        <w:autoSpaceDE/>
        <w:autoSpaceDN/>
        <w:adjustRightInd/>
        <w:spacing w:before="100" w:beforeAutospacing="1" w:after="120"/>
        <w:rPr>
          <w:sz w:val="24"/>
        </w:rPr>
      </w:pPr>
      <w:r w:rsidRPr="00056086">
        <w:rPr>
          <w:sz w:val="24"/>
        </w:rPr>
        <w:t xml:space="preserve">Address critical and emerging issues of regional and national significance in </w:t>
      </w:r>
      <w:r w:rsidR="001B4BC6">
        <w:rPr>
          <w:sz w:val="24"/>
        </w:rPr>
        <w:t>MCH</w:t>
      </w:r>
      <w:r w:rsidRPr="00056086">
        <w:rPr>
          <w:sz w:val="24"/>
        </w:rPr>
        <w:t xml:space="preserve">, such as maternal mortality and opioids. </w:t>
      </w:r>
    </w:p>
    <w:p w:rsidR="00DB047E" w:rsidP="001A3487" w14:paraId="54ED2E74" w14:textId="1C4FEA4F">
      <w:pPr>
        <w:pStyle w:val="ListParagraph"/>
        <w:widowControl/>
        <w:numPr>
          <w:ilvl w:val="0"/>
          <w:numId w:val="34"/>
        </w:numPr>
        <w:spacing w:beforeAutospacing="1" w:after="120"/>
        <w:rPr>
          <w:color w:val="000000" w:themeColor="text1"/>
          <w:sz w:val="24"/>
        </w:rPr>
      </w:pPr>
      <w:r w:rsidRPr="586F87A3">
        <w:rPr>
          <w:b/>
          <w:bCs/>
          <w:sz w:val="24"/>
        </w:rPr>
        <w:t>Maternal M</w:t>
      </w:r>
      <w:r w:rsidRPr="586F87A3">
        <w:rPr>
          <w:b/>
          <w:bCs/>
          <w:color w:val="000000" w:themeColor="text1"/>
          <w:sz w:val="24"/>
        </w:rPr>
        <w:t>ortality:</w:t>
      </w:r>
      <w:r w:rsidRPr="586F87A3">
        <w:rPr>
          <w:color w:val="000000" w:themeColor="text1"/>
          <w:sz w:val="24"/>
        </w:rPr>
        <w:t xml:space="preserve"> HRSA supports </w:t>
      </w:r>
      <w:r w:rsidRPr="586F87A3">
        <w:rPr>
          <w:color w:val="000000" w:themeColor="text1"/>
          <w:sz w:val="24"/>
        </w:rPr>
        <w:t>a number of</w:t>
      </w:r>
      <w:r w:rsidRPr="586F87A3">
        <w:rPr>
          <w:color w:val="000000" w:themeColor="text1"/>
          <w:sz w:val="24"/>
        </w:rPr>
        <w:t xml:space="preserve"> investments with SPRANS funding that are integral to HRSA’s efforts to promote maternal health and reduce maternal mortality and morbidity. In FY 2023, HRSA continued support for the State Maternal Health Innovation Program, which supports state-specific actions that address disparities in maternal health and improve maternal health outcomes, including the prevention and reduction of maternal mortality and severe maternal morbidity.  </w:t>
      </w:r>
    </w:p>
    <w:p w:rsidR="76E9F6E4" w:rsidP="001A3487" w14:paraId="40F590E1" w14:textId="7D1C072C">
      <w:pPr>
        <w:pStyle w:val="ListParagraph"/>
        <w:numPr>
          <w:ilvl w:val="0"/>
          <w:numId w:val="34"/>
        </w:numPr>
        <w:rPr>
          <w:color w:val="000000" w:themeColor="text1"/>
          <w:sz w:val="24"/>
        </w:rPr>
      </w:pPr>
      <w:r w:rsidRPr="586F87A3">
        <w:rPr>
          <w:b/>
          <w:bCs/>
          <w:color w:val="000000" w:themeColor="text1"/>
          <w:sz w:val="24"/>
        </w:rPr>
        <w:t xml:space="preserve">Reducing Health Disparities: </w:t>
      </w:r>
      <w:r w:rsidRPr="586F87A3">
        <w:rPr>
          <w:color w:val="000000" w:themeColor="text1"/>
          <w:sz w:val="24"/>
        </w:rPr>
        <w:t xml:space="preserve">SPRANS funding has been vital to support efforts to reduce health disparities in communities across the country. The National MCH Workforce Development Center launched a new effort to help states implement, evaluate, </w:t>
      </w:r>
      <w:r w:rsidRPr="586F87A3">
        <w:rPr>
          <w:color w:val="000000" w:themeColor="text1"/>
          <w:sz w:val="24"/>
        </w:rPr>
        <w:t>sustain</w:t>
      </w:r>
      <w:r w:rsidRPr="586F87A3">
        <w:rPr>
          <w:color w:val="000000" w:themeColor="text1"/>
          <w:sz w:val="24"/>
        </w:rPr>
        <w:t xml:space="preserve"> and advance practices designed to reduce health disparities within their state/jurisdiction. SPRANS also supports a new investment to establish a research network that is comprised of and supports minority-serving institutions to study health disparities in maternal health outcomes.</w:t>
      </w:r>
    </w:p>
    <w:p w:rsidR="00056086" w:rsidP="0009304C" w14:paraId="5A1A2ECE" w14:textId="08F7D955">
      <w:pPr>
        <w:pStyle w:val="ListParagraph"/>
        <w:numPr>
          <w:ilvl w:val="0"/>
          <w:numId w:val="34"/>
        </w:numPr>
        <w:rPr>
          <w:color w:val="000000" w:themeColor="text1"/>
          <w:sz w:val="24"/>
        </w:rPr>
      </w:pPr>
      <w:r w:rsidRPr="586F87A3">
        <w:rPr>
          <w:b/>
          <w:bCs/>
          <w:color w:val="000000" w:themeColor="text1"/>
          <w:sz w:val="24"/>
        </w:rPr>
        <w:t>COVID-19:</w:t>
      </w:r>
      <w:r w:rsidRPr="586F87A3">
        <w:rPr>
          <w:i/>
          <w:iCs/>
          <w:color w:val="000000" w:themeColor="text1"/>
          <w:sz w:val="24"/>
        </w:rPr>
        <w:t xml:space="preserve"> </w:t>
      </w:r>
      <w:r w:rsidRPr="586F87A3">
        <w:rPr>
          <w:color w:val="000000" w:themeColor="text1"/>
          <w:sz w:val="24"/>
        </w:rPr>
        <w:t>SPRANS funding has been instrumental in addressing emerging public health issues that impact the MCH population, including COVID-19. The SPRANS-funded 2021 National Survey of Children’s Health (NSCH) is an annual, cross-sectional, address-based survey that collects information on the health and well-being of approximately 30,000 children ages 0-17 and related health care, family, and community-level factors. The NSCH produced actionable data, which has been made publicly available, on COVID-related issues, such as missed preventive care visits due to the coronavirus pandemic and reasons for missed care (past 12 months) and interruptions in childcare arrangements (past 12 months).</w:t>
      </w:r>
    </w:p>
    <w:p w:rsidR="0009304C" w:rsidRPr="0009304C" w:rsidP="0009304C" w14:paraId="27593FF6" w14:textId="77777777">
      <w:pPr>
        <w:pStyle w:val="ListParagraph"/>
        <w:ind w:left="1080"/>
        <w:rPr>
          <w:color w:val="000000" w:themeColor="text1"/>
          <w:sz w:val="24"/>
        </w:rPr>
      </w:pPr>
    </w:p>
    <w:p w:rsidR="00DB047E" w:rsidP="00D10F55" w14:paraId="6B015F06" w14:textId="2804AF0F">
      <w:pPr>
        <w:pStyle w:val="ListParagraph"/>
        <w:widowControl/>
        <w:numPr>
          <w:ilvl w:val="0"/>
          <w:numId w:val="27"/>
        </w:numPr>
        <w:autoSpaceDE/>
        <w:autoSpaceDN/>
        <w:adjustRightInd/>
        <w:spacing w:before="100" w:beforeAutospacing="1" w:after="120"/>
        <w:rPr>
          <w:sz w:val="24"/>
        </w:rPr>
      </w:pPr>
      <w:r w:rsidRPr="00056086">
        <w:rPr>
          <w:sz w:val="24"/>
        </w:rPr>
        <w:t xml:space="preserve">Support collaborative and innovative learning across states so programs can utilize existing best practices and evidence. </w:t>
      </w:r>
    </w:p>
    <w:p w:rsidR="00DB047E" w:rsidRPr="00056086" w:rsidP="001A3487" w14:paraId="2EA7681C" w14:textId="397523EF">
      <w:pPr>
        <w:pStyle w:val="ListParagraph"/>
        <w:widowControl/>
        <w:numPr>
          <w:ilvl w:val="1"/>
          <w:numId w:val="35"/>
        </w:numPr>
        <w:autoSpaceDE/>
        <w:autoSpaceDN/>
        <w:adjustRightInd/>
        <w:spacing w:after="160"/>
        <w:rPr>
          <w:sz w:val="24"/>
        </w:rPr>
      </w:pPr>
      <w:r w:rsidRPr="00056086">
        <w:rPr>
          <w:sz w:val="24"/>
        </w:rPr>
        <w:t xml:space="preserve">For example, SPRANS supports the National Survey of Children’s Health, which is the </w:t>
      </w:r>
      <w:r w:rsidR="00392B9D">
        <w:rPr>
          <w:sz w:val="24"/>
        </w:rPr>
        <w:t>largest</w:t>
      </w:r>
      <w:r w:rsidRPr="00056086" w:rsidR="00392B9D">
        <w:rPr>
          <w:sz w:val="24"/>
        </w:rPr>
        <w:t xml:space="preserve"> </w:t>
      </w:r>
      <w:r w:rsidRPr="00056086">
        <w:rPr>
          <w:sz w:val="24"/>
        </w:rPr>
        <w:t>annual</w:t>
      </w:r>
      <w:r w:rsidR="00392B9D">
        <w:rPr>
          <w:sz w:val="24"/>
        </w:rPr>
        <w:t>,</w:t>
      </w:r>
      <w:r w:rsidRPr="00056086">
        <w:rPr>
          <w:sz w:val="24"/>
        </w:rPr>
        <w:t xml:space="preserve"> comprehensive source of national and state-level data on key measures of child health and well-being. Findings from the </w:t>
      </w:r>
      <w:r w:rsidR="00392B9D">
        <w:rPr>
          <w:sz w:val="24"/>
        </w:rPr>
        <w:t>s</w:t>
      </w:r>
      <w:r w:rsidRPr="00056086">
        <w:rPr>
          <w:sz w:val="24"/>
        </w:rPr>
        <w:t xml:space="preserve">urvey enable HRSA and its state and federal partners to develop policies and programs </w:t>
      </w:r>
      <w:r w:rsidRPr="00056086" w:rsidR="00392B9D">
        <w:rPr>
          <w:sz w:val="24"/>
        </w:rPr>
        <w:t xml:space="preserve">that </w:t>
      </w:r>
      <w:r w:rsidRPr="00056086" w:rsidR="00943F1B">
        <w:rPr>
          <w:sz w:val="24"/>
        </w:rPr>
        <w:t>strengthen</w:t>
      </w:r>
      <w:r w:rsidRPr="00056086" w:rsidR="00392B9D">
        <w:rPr>
          <w:sz w:val="24"/>
        </w:rPr>
        <w:t xml:space="preserve"> and support families </w:t>
      </w:r>
      <w:r w:rsidRPr="00056086">
        <w:rPr>
          <w:sz w:val="24"/>
        </w:rPr>
        <w:t xml:space="preserve">informed by recent, quality data. States </w:t>
      </w:r>
      <w:r w:rsidR="00392B9D">
        <w:rPr>
          <w:sz w:val="24"/>
        </w:rPr>
        <w:t xml:space="preserve">also </w:t>
      </w:r>
      <w:r w:rsidRPr="00056086">
        <w:rPr>
          <w:sz w:val="24"/>
        </w:rPr>
        <w:t xml:space="preserve">use survey results to track and report on their </w:t>
      </w:r>
      <w:r w:rsidR="00392B9D">
        <w:rPr>
          <w:sz w:val="24"/>
        </w:rPr>
        <w:t xml:space="preserve">Title V </w:t>
      </w:r>
      <w:r w:rsidRPr="00056086">
        <w:rPr>
          <w:sz w:val="24"/>
        </w:rPr>
        <w:t>National Performance and National Outcome Measures.</w:t>
      </w:r>
    </w:p>
    <w:p w:rsidR="00DB047E" w:rsidRPr="00056086" w:rsidP="00DB047E" w14:paraId="02872BE2" w14:textId="10367033">
      <w:pPr>
        <w:spacing w:before="100" w:beforeAutospacing="1" w:after="120"/>
        <w:rPr>
          <w:rFonts w:ascii="Segoe UI" w:hAnsi="Segoe UI" w:cs="Segoe UI"/>
          <w:sz w:val="21"/>
          <w:szCs w:val="21"/>
        </w:rPr>
      </w:pPr>
      <w:r w:rsidRPr="00056086">
        <w:rPr>
          <w:sz w:val="24"/>
        </w:rPr>
        <w:t>Other examples of grants funded through SPRANS include:</w:t>
      </w:r>
      <w:r w:rsidRPr="00056086">
        <w:rPr>
          <w:sz w:val="16"/>
          <w:szCs w:val="16"/>
        </w:rPr>
        <w:t xml:space="preserve"> </w:t>
      </w:r>
    </w:p>
    <w:p w:rsidR="00DB047E" w:rsidRPr="00056086" w:rsidP="00DB047E" w14:paraId="16AB3FCA" w14:textId="77777777">
      <w:pPr>
        <w:widowControl/>
        <w:numPr>
          <w:ilvl w:val="0"/>
          <w:numId w:val="26"/>
        </w:numPr>
        <w:autoSpaceDE/>
        <w:autoSpaceDN/>
        <w:adjustRightInd/>
        <w:spacing w:before="100" w:beforeAutospacing="1" w:after="120"/>
        <w:rPr>
          <w:rFonts w:ascii="Segoe UI" w:hAnsi="Segoe UI" w:cs="Segoe UI"/>
          <w:sz w:val="21"/>
          <w:szCs w:val="21"/>
        </w:rPr>
      </w:pPr>
      <w:r w:rsidRPr="00056086">
        <w:rPr>
          <w:b/>
          <w:bCs/>
          <w:sz w:val="24"/>
        </w:rPr>
        <w:t>Genetics:</w:t>
      </w:r>
      <w:r w:rsidRPr="00056086">
        <w:rPr>
          <w:sz w:val="24"/>
        </w:rPr>
        <w:t xml:space="preserve"> Projects to improve access to genetic counseling and services for those at-risk of having a genetic condition and their families. </w:t>
      </w:r>
    </w:p>
    <w:p w:rsidR="00DB047E" w:rsidRPr="00056086" w:rsidP="00DB047E" w14:paraId="42BAF530" w14:textId="7B1CD085">
      <w:pPr>
        <w:widowControl/>
        <w:numPr>
          <w:ilvl w:val="0"/>
          <w:numId w:val="26"/>
        </w:numPr>
        <w:autoSpaceDE/>
        <w:autoSpaceDN/>
        <w:adjustRightInd/>
        <w:spacing w:before="100" w:beforeAutospacing="1" w:after="120"/>
        <w:rPr>
          <w:rFonts w:ascii="Segoe UI" w:hAnsi="Segoe UI" w:cs="Segoe UI"/>
          <w:sz w:val="21"/>
          <w:szCs w:val="21"/>
        </w:rPr>
      </w:pPr>
      <w:r w:rsidRPr="00056086">
        <w:rPr>
          <w:b/>
          <w:bCs/>
          <w:sz w:val="24"/>
        </w:rPr>
        <w:t xml:space="preserve">Hemophilia: </w:t>
      </w:r>
      <w:r w:rsidRPr="00056086">
        <w:rPr>
          <w:sz w:val="24"/>
        </w:rPr>
        <w:t>Projects to improve the quality of care in treatment centers serving patients with hemophilia and related blood disorders.</w:t>
      </w:r>
    </w:p>
    <w:p w:rsidR="00DB047E" w:rsidRPr="00056086" w:rsidP="00DB047E" w14:paraId="195D03E3" w14:textId="4CA37EE4">
      <w:pPr>
        <w:widowControl/>
        <w:numPr>
          <w:ilvl w:val="0"/>
          <w:numId w:val="26"/>
        </w:numPr>
        <w:autoSpaceDE/>
        <w:autoSpaceDN/>
        <w:adjustRightInd/>
        <w:spacing w:before="100" w:beforeAutospacing="1" w:after="120"/>
        <w:rPr>
          <w:rFonts w:ascii="Segoe UI" w:hAnsi="Segoe UI" w:cs="Segoe UI"/>
          <w:sz w:val="21"/>
          <w:szCs w:val="21"/>
        </w:rPr>
      </w:pPr>
      <w:r w:rsidRPr="00056086">
        <w:rPr>
          <w:b/>
          <w:bCs/>
          <w:sz w:val="24"/>
        </w:rPr>
        <w:t xml:space="preserve">MCH </w:t>
      </w:r>
      <w:r w:rsidR="001B4BC6">
        <w:rPr>
          <w:b/>
          <w:bCs/>
          <w:sz w:val="24"/>
        </w:rPr>
        <w:t>T</w:t>
      </w:r>
      <w:r w:rsidRPr="00056086">
        <w:rPr>
          <w:b/>
          <w:bCs/>
          <w:sz w:val="24"/>
        </w:rPr>
        <w:t>raining:</w:t>
      </w:r>
      <w:r w:rsidRPr="00056086">
        <w:rPr>
          <w:sz w:val="24"/>
        </w:rPr>
        <w:t xml:space="preserve"> Projects to support targeted interdisciplinary professional training in areas such as behavioral health, nutrition, public health, and adolescent health. </w:t>
      </w:r>
    </w:p>
    <w:p w:rsidR="00DB047E" w:rsidRPr="00056086" w:rsidP="00DB047E" w14:paraId="206ADFF4" w14:textId="76F9B8E3">
      <w:pPr>
        <w:widowControl/>
        <w:numPr>
          <w:ilvl w:val="0"/>
          <w:numId w:val="26"/>
        </w:numPr>
        <w:autoSpaceDE/>
        <w:autoSpaceDN/>
        <w:adjustRightInd/>
        <w:spacing w:before="100" w:beforeAutospacing="1" w:after="120"/>
        <w:rPr>
          <w:rFonts w:ascii="Segoe UI" w:hAnsi="Segoe UI" w:cs="Segoe UI"/>
          <w:sz w:val="21"/>
          <w:szCs w:val="21"/>
        </w:rPr>
      </w:pPr>
      <w:r w:rsidRPr="00056086">
        <w:rPr>
          <w:b/>
          <w:bCs/>
          <w:sz w:val="24"/>
        </w:rPr>
        <w:t>MCH Research and Data</w:t>
      </w:r>
      <w:r w:rsidRPr="00056086">
        <w:rPr>
          <w:sz w:val="24"/>
        </w:rPr>
        <w:t>: Projects to support translational research to advance MCH science and practice</w:t>
      </w:r>
      <w:r w:rsidR="00A64AFC">
        <w:rPr>
          <w:sz w:val="24"/>
        </w:rPr>
        <w:t>,</w:t>
      </w:r>
      <w:r w:rsidRPr="00056086">
        <w:rPr>
          <w:sz w:val="24"/>
        </w:rPr>
        <w:t xml:space="preserve"> </w:t>
      </w:r>
      <w:r w:rsidR="00A64AFC">
        <w:rPr>
          <w:sz w:val="24"/>
        </w:rPr>
        <w:t xml:space="preserve">as well as </w:t>
      </w:r>
      <w:r w:rsidRPr="00056086">
        <w:rPr>
          <w:sz w:val="24"/>
        </w:rPr>
        <w:t>capacity-building to use data to drive improvements in state Title V programs and outcomes.</w:t>
      </w:r>
    </w:p>
    <w:p w:rsidR="00056086" w:rsidP="00056086" w14:paraId="3783D6E6" w14:textId="77777777">
      <w:pPr>
        <w:pStyle w:val="BodyText"/>
        <w:rPr>
          <w:b/>
          <w:i/>
          <w:color w:val="000000"/>
          <w:sz w:val="24"/>
        </w:rPr>
      </w:pPr>
      <w:r w:rsidRPr="00056086">
        <w:rPr>
          <w:b/>
          <w:i/>
          <w:color w:val="000000"/>
          <w:sz w:val="24"/>
        </w:rPr>
        <w:br/>
        <w:t>Community Integrated Services Systems (CISS)</w:t>
      </w:r>
    </w:p>
    <w:p w:rsidR="00357A14" w:rsidP="00464D8C" w14:paraId="691B1AAB" w14:textId="593F7FEC">
      <w:pPr>
        <w:spacing w:after="120"/>
        <w:rPr>
          <w:b/>
          <w:i/>
          <w:color w:val="000000"/>
          <w:sz w:val="24"/>
        </w:rPr>
      </w:pPr>
      <w:r w:rsidRPr="586F87A3">
        <w:rPr>
          <w:color w:val="000000" w:themeColor="text1"/>
          <w:sz w:val="24"/>
        </w:rPr>
        <w:t xml:space="preserve">CISS grants are awarded on a competitive basis and support states and communities in building a comprehensive, integrated system of care to improve access and outcomes for all children, including children with special health care needs. </w:t>
      </w:r>
      <w:r w:rsidRPr="00056086">
        <w:rPr>
          <w:iCs/>
          <w:sz w:val="24"/>
        </w:rPr>
        <w:t>For example, CISS funding supports the Early Childhood Comprehensive Systems (ECCS) program to enhance state-level capacity and infrastructure for integrated maternal and early childhood systems of care that lead to improved children’s developmental health, family well-being, and increased family-centered access to care for the prenatal-to-3-year-old population. The program provides direct support and technical assistance to 20 states to build leadership capacity in early childhood systems, improve cross-sector service coordination and alignment,</w:t>
      </w:r>
      <w:r w:rsidRPr="00056086">
        <w:rPr>
          <w:iCs/>
          <w:sz w:val="24"/>
        </w:rPr>
        <w:t xml:space="preserve"> </w:t>
      </w:r>
      <w:r w:rsidRPr="00056086">
        <w:rPr>
          <w:iCs/>
          <w:sz w:val="24"/>
        </w:rPr>
        <w:t xml:space="preserve">improve policies and practices across sectors, and advance health equity and health system improvements in early childhood so that more children are thriving at age three and school-ready by age five. </w:t>
      </w:r>
      <w:r w:rsidRPr="00056086" w:rsidR="00464D8C">
        <w:rPr>
          <w:b/>
          <w:i/>
          <w:color w:val="000000"/>
          <w:sz w:val="24"/>
        </w:rPr>
        <w:br/>
      </w:r>
    </w:p>
    <w:p w:rsidR="00464D8C" w:rsidRPr="00056086" w:rsidP="00464D8C" w14:paraId="759F57E5" w14:textId="2D712813">
      <w:pPr>
        <w:spacing w:after="120"/>
        <w:rPr>
          <w:b/>
          <w:i/>
          <w:color w:val="000000"/>
          <w:sz w:val="24"/>
        </w:rPr>
      </w:pPr>
      <w:r w:rsidRPr="00056086">
        <w:rPr>
          <w:b/>
          <w:i/>
          <w:color w:val="000000"/>
          <w:sz w:val="24"/>
        </w:rPr>
        <w:t>Other Categorical Funding</w:t>
      </w:r>
    </w:p>
    <w:p w:rsidR="00464D8C" w:rsidRPr="00056086" w:rsidP="00464D8C" w14:paraId="7CFBD95C" w14:textId="77777777">
      <w:pPr>
        <w:spacing w:after="120"/>
        <w:rPr>
          <w:sz w:val="24"/>
        </w:rPr>
      </w:pPr>
      <w:r w:rsidRPr="00056086">
        <w:rPr>
          <w:sz w:val="24"/>
        </w:rPr>
        <w:t>MCHB also administers additional funding programs, which include:</w:t>
      </w:r>
    </w:p>
    <w:p w:rsidR="003C74A7" w:rsidRPr="00357A14" w:rsidP="586F87A3" w14:paraId="711EDA5E" w14:textId="4D8C8883">
      <w:pPr>
        <w:widowControl/>
        <w:numPr>
          <w:ilvl w:val="0"/>
          <w:numId w:val="33"/>
        </w:numPr>
        <w:autoSpaceDE/>
        <w:autoSpaceDN/>
        <w:adjustRightInd/>
        <w:spacing w:after="120"/>
        <w:rPr>
          <w:color w:val="000000"/>
          <w:sz w:val="24"/>
        </w:rPr>
      </w:pPr>
      <w:r w:rsidRPr="00056086">
        <w:rPr>
          <w:b/>
          <w:sz w:val="24"/>
        </w:rPr>
        <w:t xml:space="preserve">Autism: </w:t>
      </w:r>
      <w:r w:rsidRPr="00056086">
        <w:rPr>
          <w:sz w:val="24"/>
        </w:rPr>
        <w:t xml:space="preserve">The Autism and Other Developmental Disabilities </w:t>
      </w:r>
      <w:r w:rsidRPr="00056086" w:rsidR="00607E2C">
        <w:rPr>
          <w:sz w:val="24"/>
        </w:rPr>
        <w:t>P</w:t>
      </w:r>
      <w:r w:rsidRPr="00056086">
        <w:rPr>
          <w:sz w:val="24"/>
        </w:rPr>
        <w:t xml:space="preserve">rogram improves care and outcomes for children and adolescents with autism spectrum disorder and other developmental disabilities through training, advancing best practices, and service. </w:t>
      </w:r>
      <w:r w:rsidRPr="586F87A3" w:rsidR="1385AC2A">
        <w:rPr>
          <w:sz w:val="24"/>
        </w:rPr>
        <w:t>The program supports training programs, research, and state systems grants</w:t>
      </w:r>
      <w:r w:rsidRPr="586F87A3">
        <w:rPr>
          <w:sz w:val="24"/>
        </w:rPr>
        <w:t xml:space="preserve">. </w:t>
      </w:r>
    </w:p>
    <w:p w:rsidR="00464D8C" w:rsidRPr="00056086" w:rsidP="586F87A3" w14:paraId="63A888E4" w14:textId="24BF4C6E">
      <w:pPr>
        <w:widowControl/>
        <w:numPr>
          <w:ilvl w:val="0"/>
          <w:numId w:val="33"/>
        </w:numPr>
        <w:autoSpaceDE/>
        <w:autoSpaceDN/>
        <w:adjustRightInd/>
        <w:spacing w:after="120"/>
        <w:ind w:left="1080"/>
        <w:rPr>
          <w:color w:val="000000"/>
          <w:sz w:val="24"/>
        </w:rPr>
      </w:pPr>
      <w:r w:rsidRPr="39167B21">
        <w:rPr>
          <w:sz w:val="24"/>
        </w:rPr>
        <w:t>Authorizing Legislation - Public Health Service Act, Section</w:t>
      </w:r>
      <w:r w:rsidRPr="39167B21" w:rsidR="008E365E">
        <w:rPr>
          <w:sz w:val="24"/>
        </w:rPr>
        <w:t>s</w:t>
      </w:r>
      <w:r w:rsidRPr="39167B21">
        <w:rPr>
          <w:sz w:val="24"/>
        </w:rPr>
        <w:t xml:space="preserve"> 399BB</w:t>
      </w:r>
      <w:r w:rsidRPr="39167B21" w:rsidR="0003544D">
        <w:rPr>
          <w:sz w:val="24"/>
        </w:rPr>
        <w:t>-399DD</w:t>
      </w:r>
      <w:r w:rsidRPr="39167B21">
        <w:rPr>
          <w:sz w:val="24"/>
        </w:rPr>
        <w:t xml:space="preserve">, </w:t>
      </w:r>
      <w:r w:rsidRPr="39167B21" w:rsidR="00251FC6">
        <w:rPr>
          <w:sz w:val="24"/>
        </w:rPr>
        <w:t>(42. U.S.C. 280i</w:t>
      </w:r>
      <w:r w:rsidRPr="39167B21" w:rsidR="00607E2C">
        <w:rPr>
          <w:sz w:val="24"/>
        </w:rPr>
        <w:t>-</w:t>
      </w:r>
      <w:r w:rsidRPr="39167B21" w:rsidR="00251FC6">
        <w:rPr>
          <w:sz w:val="24"/>
        </w:rPr>
        <w:t xml:space="preserve">1 through 280i-4), as most recently </w:t>
      </w:r>
      <w:r w:rsidRPr="39167B21">
        <w:rPr>
          <w:sz w:val="24"/>
        </w:rPr>
        <w:t xml:space="preserve">reauthorized </w:t>
      </w:r>
      <w:r w:rsidRPr="39167B21" w:rsidR="00251FC6">
        <w:rPr>
          <w:sz w:val="24"/>
        </w:rPr>
        <w:t xml:space="preserve">and amended </w:t>
      </w:r>
      <w:r w:rsidRPr="39167B21">
        <w:rPr>
          <w:sz w:val="24"/>
        </w:rPr>
        <w:t xml:space="preserve">by </w:t>
      </w:r>
      <w:r w:rsidRPr="39167B21" w:rsidR="00251FC6">
        <w:rPr>
          <w:sz w:val="24"/>
        </w:rPr>
        <w:t>the Autism Collaboration, Accountability, Research, Education and Support Act of 2019 (</w:t>
      </w:r>
      <w:r w:rsidRPr="39167B21">
        <w:rPr>
          <w:sz w:val="24"/>
        </w:rPr>
        <w:t xml:space="preserve">Public Law </w:t>
      </w:r>
      <w:r w:rsidRPr="39167B21" w:rsidR="0003544D">
        <w:rPr>
          <w:sz w:val="24"/>
        </w:rPr>
        <w:t>116-60</w:t>
      </w:r>
      <w:r w:rsidRPr="39167B21" w:rsidR="00251FC6">
        <w:rPr>
          <w:sz w:val="24"/>
        </w:rPr>
        <w:t>)</w:t>
      </w:r>
      <w:r w:rsidRPr="39167B21" w:rsidR="0003544D">
        <w:rPr>
          <w:sz w:val="24"/>
        </w:rPr>
        <w:t xml:space="preserve">. </w:t>
      </w:r>
    </w:p>
    <w:p w:rsidR="00464D8C" w:rsidRPr="00056086" w:rsidP="586F87A3" w14:paraId="539877D5" w14:textId="62916331">
      <w:pPr>
        <w:widowControl/>
        <w:numPr>
          <w:ilvl w:val="0"/>
          <w:numId w:val="33"/>
        </w:numPr>
        <w:autoSpaceDE/>
        <w:autoSpaceDN/>
        <w:adjustRightInd/>
        <w:spacing w:after="120"/>
        <w:rPr>
          <w:color w:val="000000"/>
          <w:sz w:val="24"/>
        </w:rPr>
      </w:pPr>
      <w:r w:rsidRPr="00056086">
        <w:rPr>
          <w:b/>
          <w:sz w:val="24"/>
        </w:rPr>
        <w:t xml:space="preserve">Sickle Cell: </w:t>
      </w:r>
      <w:r w:rsidRPr="00056086">
        <w:rPr>
          <w:sz w:val="24"/>
        </w:rPr>
        <w:t>The Sickle Cell Disease Treatment Demonstration Program</w:t>
      </w:r>
      <w:r w:rsidRPr="00056086" w:rsidR="00607E2C">
        <w:rPr>
          <w:sz w:val="24"/>
        </w:rPr>
        <w:t xml:space="preserve"> </w:t>
      </w:r>
      <w:r w:rsidRPr="00056086">
        <w:rPr>
          <w:sz w:val="24"/>
        </w:rPr>
        <w:t>improves access to care and health outcomes for individuals with sickle cell disease, a genetic condition that results in abnormal red blood cells that can block blood flow to organs and tissues, causing anemia, periodic pain episodes, damage to tissues and vital organs, and increased susceptibility to infections and early death.</w:t>
      </w:r>
    </w:p>
    <w:p w:rsidR="00464D8C" w:rsidRPr="00056086" w:rsidP="586F87A3" w14:paraId="1B39FA87" w14:textId="7BE6F23C">
      <w:pPr>
        <w:widowControl/>
        <w:numPr>
          <w:ilvl w:val="0"/>
          <w:numId w:val="33"/>
        </w:numPr>
        <w:autoSpaceDE/>
        <w:autoSpaceDN/>
        <w:adjustRightInd/>
        <w:spacing w:after="120"/>
        <w:ind w:left="1080"/>
        <w:rPr>
          <w:sz w:val="24"/>
        </w:rPr>
      </w:pPr>
      <w:r w:rsidRPr="39167B21">
        <w:rPr>
          <w:sz w:val="24"/>
        </w:rPr>
        <w:t xml:space="preserve">Authorizing Legislation - </w:t>
      </w:r>
      <w:r w:rsidRPr="39167B21" w:rsidR="00251FC6">
        <w:rPr>
          <w:sz w:val="24"/>
        </w:rPr>
        <w:t xml:space="preserve">Public Health Service Act, Section 1106(b) (42 USC 300b-5) as most </w:t>
      </w:r>
      <w:r w:rsidRPr="39167B21" w:rsidR="51AE1886">
        <w:rPr>
          <w:sz w:val="24"/>
        </w:rPr>
        <w:t>recently reauthorized</w:t>
      </w:r>
      <w:r w:rsidRPr="39167B21" w:rsidR="008E365E">
        <w:rPr>
          <w:sz w:val="24"/>
        </w:rPr>
        <w:t xml:space="preserve"> </w:t>
      </w:r>
      <w:r w:rsidRPr="39167B21" w:rsidR="00251FC6">
        <w:rPr>
          <w:sz w:val="24"/>
        </w:rPr>
        <w:t xml:space="preserve">and amended </w:t>
      </w:r>
      <w:r w:rsidRPr="39167B21" w:rsidR="008E365E">
        <w:rPr>
          <w:sz w:val="24"/>
        </w:rPr>
        <w:t>by the Sickle Cell Disease and Other Heritable Blood Disorders Research, Surveillance, Prevention, and Treatment Act of 2018</w:t>
      </w:r>
      <w:r w:rsidRPr="39167B21" w:rsidR="003F3585">
        <w:rPr>
          <w:sz w:val="24"/>
        </w:rPr>
        <w:t xml:space="preserve"> (</w:t>
      </w:r>
      <w:r w:rsidRPr="39167B21" w:rsidR="008E365E">
        <w:rPr>
          <w:sz w:val="24"/>
        </w:rPr>
        <w:t>Public Law 115-327</w:t>
      </w:r>
      <w:r w:rsidRPr="39167B21" w:rsidR="003F3585">
        <w:rPr>
          <w:sz w:val="24"/>
        </w:rPr>
        <w:t>)</w:t>
      </w:r>
      <w:r w:rsidRPr="39167B21" w:rsidR="00251FC6">
        <w:rPr>
          <w:sz w:val="24"/>
        </w:rPr>
        <w:t>.</w:t>
      </w:r>
      <w:r w:rsidRPr="39167B21" w:rsidR="003F3585">
        <w:rPr>
          <w:sz w:val="24"/>
        </w:rPr>
        <w:t xml:space="preserve"> </w:t>
      </w:r>
    </w:p>
    <w:p w:rsidR="003C74A7" w:rsidRPr="00056086" w:rsidP="586F87A3" w14:paraId="6FA847FD" w14:textId="1420819C">
      <w:pPr>
        <w:widowControl/>
        <w:numPr>
          <w:ilvl w:val="0"/>
          <w:numId w:val="33"/>
        </w:numPr>
        <w:autoSpaceDE/>
        <w:autoSpaceDN/>
        <w:adjustRightInd/>
        <w:spacing w:after="120"/>
        <w:rPr>
          <w:sz w:val="24"/>
        </w:rPr>
      </w:pPr>
      <w:r w:rsidRPr="39167B21">
        <w:rPr>
          <w:b/>
          <w:bCs/>
          <w:sz w:val="24"/>
        </w:rPr>
        <w:t>Early Hearing Detection and Intervention</w:t>
      </w:r>
      <w:r w:rsidRPr="39167B21" w:rsidR="00464D8C">
        <w:rPr>
          <w:b/>
          <w:bCs/>
          <w:sz w:val="24"/>
        </w:rPr>
        <w:t>:</w:t>
      </w:r>
      <w:r w:rsidRPr="39167B21" w:rsidR="00464D8C">
        <w:rPr>
          <w:sz w:val="24"/>
        </w:rPr>
        <w:t xml:space="preserve"> The </w:t>
      </w:r>
      <w:r w:rsidRPr="39167B21">
        <w:rPr>
          <w:sz w:val="24"/>
        </w:rPr>
        <w:t xml:space="preserve">Early Hearing Detection and Intervention </w:t>
      </w:r>
      <w:r w:rsidRPr="39167B21" w:rsidR="00607E2C">
        <w:rPr>
          <w:sz w:val="24"/>
        </w:rPr>
        <w:t>P</w:t>
      </w:r>
      <w:r w:rsidRPr="39167B21">
        <w:rPr>
          <w:sz w:val="24"/>
        </w:rPr>
        <w:t xml:space="preserve">rogram </w:t>
      </w:r>
      <w:r w:rsidRPr="39167B21" w:rsidR="003747FE">
        <w:rPr>
          <w:sz w:val="24"/>
        </w:rPr>
        <w:t xml:space="preserve">supports the development of comprehensive and coordinated state and territory early hearing detection and intervention systems of care. The Early Hearing Detection and Intervention program assures that families with newborns, infants, and young children up to three years of age that are deaf or hard of hearing receive appropriate and timely services that </w:t>
      </w:r>
      <w:r w:rsidRPr="39167B21" w:rsidR="003747FE">
        <w:rPr>
          <w:sz w:val="24"/>
        </w:rPr>
        <w:t xml:space="preserve">include hearing screening, diagnosis, and early intervention. </w:t>
      </w:r>
      <w:r w:rsidRPr="39167B21" w:rsidR="00464D8C">
        <w:rPr>
          <w:sz w:val="24"/>
        </w:rPr>
        <w:t xml:space="preserve">The Children’s Health Act of 2000 (P.L. 106-310) </w:t>
      </w:r>
      <w:r w:rsidRPr="7F4C6808">
        <w:rPr>
          <w:sz w:val="24"/>
        </w:rPr>
        <w:t>initially</w:t>
      </w:r>
      <w:r w:rsidRPr="7F4C6808" w:rsidR="3929D365">
        <w:rPr>
          <w:sz w:val="24"/>
        </w:rPr>
        <w:t xml:space="preserve"> </w:t>
      </w:r>
      <w:r w:rsidRPr="39167B21" w:rsidR="00464D8C">
        <w:rPr>
          <w:sz w:val="24"/>
        </w:rPr>
        <w:t xml:space="preserve">authorized </w:t>
      </w:r>
      <w:r w:rsidRPr="39167B21" w:rsidR="5E7C2D54">
        <w:rPr>
          <w:sz w:val="24"/>
        </w:rPr>
        <w:t>the program</w:t>
      </w:r>
      <w:r w:rsidRPr="39167B21" w:rsidR="00464D8C">
        <w:rPr>
          <w:sz w:val="24"/>
        </w:rPr>
        <w:t xml:space="preserve">. </w:t>
      </w:r>
    </w:p>
    <w:p w:rsidR="00464D8C" w:rsidRPr="00056086" w:rsidP="586F87A3" w14:paraId="0D68A128" w14:textId="1C9EB34A">
      <w:pPr>
        <w:widowControl/>
        <w:numPr>
          <w:ilvl w:val="0"/>
          <w:numId w:val="33"/>
        </w:numPr>
        <w:autoSpaceDE/>
        <w:autoSpaceDN/>
        <w:adjustRightInd/>
        <w:spacing w:after="120"/>
        <w:ind w:left="1080"/>
        <w:rPr>
          <w:color w:val="000000"/>
          <w:sz w:val="24"/>
        </w:rPr>
      </w:pPr>
      <w:r w:rsidRPr="00056086">
        <w:rPr>
          <w:sz w:val="24"/>
        </w:rPr>
        <w:t>Authorizing Legislation - Public Health Service Act, Section 399M</w:t>
      </w:r>
      <w:r w:rsidRPr="00056086" w:rsidR="00251FC6">
        <w:rPr>
          <w:sz w:val="24"/>
        </w:rPr>
        <w:t xml:space="preserve"> (42 U.S.C. 280g-1),</w:t>
      </w:r>
      <w:r w:rsidRPr="00056086" w:rsidR="000F57F2">
        <w:rPr>
          <w:sz w:val="24"/>
        </w:rPr>
        <w:t xml:space="preserve"> </w:t>
      </w:r>
      <w:r w:rsidRPr="00056086">
        <w:rPr>
          <w:sz w:val="24"/>
        </w:rPr>
        <w:t xml:space="preserve">as </w:t>
      </w:r>
      <w:r w:rsidRPr="00056086" w:rsidR="00251FC6">
        <w:rPr>
          <w:sz w:val="24"/>
        </w:rPr>
        <w:t xml:space="preserve">most recently reauthorized and amended by the Early Hearing Detection and Intervention Act of </w:t>
      </w:r>
      <w:r w:rsidR="00DB68B1">
        <w:rPr>
          <w:sz w:val="24"/>
        </w:rPr>
        <w:t>2022</w:t>
      </w:r>
      <w:r w:rsidRPr="00056086" w:rsidR="00DB68B1">
        <w:rPr>
          <w:sz w:val="24"/>
        </w:rPr>
        <w:t xml:space="preserve"> </w:t>
      </w:r>
      <w:r w:rsidRPr="00056086" w:rsidR="00251FC6">
        <w:rPr>
          <w:sz w:val="24"/>
        </w:rPr>
        <w:t>(</w:t>
      </w:r>
      <w:r w:rsidRPr="00056086">
        <w:rPr>
          <w:sz w:val="24"/>
        </w:rPr>
        <w:t xml:space="preserve">Public Law </w:t>
      </w:r>
      <w:r w:rsidR="00DB68B1">
        <w:rPr>
          <w:sz w:val="24"/>
        </w:rPr>
        <w:t>117</w:t>
      </w:r>
      <w:r w:rsidRPr="00056086">
        <w:rPr>
          <w:sz w:val="24"/>
        </w:rPr>
        <w:t>-</w:t>
      </w:r>
      <w:r w:rsidR="00DB68B1">
        <w:rPr>
          <w:sz w:val="24"/>
        </w:rPr>
        <w:t>241</w:t>
      </w:r>
      <w:r w:rsidRPr="00056086" w:rsidR="00251FC6">
        <w:rPr>
          <w:sz w:val="24"/>
        </w:rPr>
        <w:t>)</w:t>
      </w:r>
      <w:r w:rsidRPr="00056086" w:rsidR="000F57F2">
        <w:rPr>
          <w:sz w:val="24"/>
        </w:rPr>
        <w:t>.</w:t>
      </w:r>
    </w:p>
    <w:p w:rsidR="00464D8C" w:rsidRPr="00056086" w:rsidP="586F87A3" w14:paraId="01FB2D4A" w14:textId="5DF05A52">
      <w:pPr>
        <w:widowControl/>
        <w:numPr>
          <w:ilvl w:val="0"/>
          <w:numId w:val="33"/>
        </w:numPr>
        <w:autoSpaceDE/>
        <w:autoSpaceDN/>
        <w:adjustRightInd/>
        <w:spacing w:after="120"/>
        <w:rPr>
          <w:color w:val="000000"/>
          <w:sz w:val="24"/>
        </w:rPr>
      </w:pPr>
      <w:r w:rsidRPr="7F4C6808">
        <w:rPr>
          <w:b/>
          <w:color w:val="000000" w:themeColor="text1"/>
          <w:sz w:val="24"/>
        </w:rPr>
        <w:t>Emergency Medical Services for Children:</w:t>
      </w:r>
      <w:r w:rsidRPr="7F4C6808">
        <w:rPr>
          <w:color w:val="000000" w:themeColor="text1"/>
          <w:sz w:val="24"/>
        </w:rPr>
        <w:t xml:space="preserve"> The Emergency Medical Services for Children (EMSC) </w:t>
      </w:r>
      <w:r w:rsidRPr="7F4C6808" w:rsidR="00607E2C">
        <w:rPr>
          <w:color w:val="000000" w:themeColor="text1"/>
          <w:sz w:val="24"/>
        </w:rPr>
        <w:t>P</w:t>
      </w:r>
      <w:r w:rsidRPr="7F4C6808">
        <w:rPr>
          <w:color w:val="000000" w:themeColor="text1"/>
          <w:sz w:val="24"/>
        </w:rPr>
        <w:t xml:space="preserve">rogram is the only federal grant program specifically focused on addressing the distinct needs of pediatric patients in emergency medical services. The EMSC </w:t>
      </w:r>
      <w:r w:rsidRPr="7F4C6808" w:rsidR="00607E2C">
        <w:rPr>
          <w:color w:val="000000" w:themeColor="text1"/>
          <w:sz w:val="24"/>
        </w:rPr>
        <w:t>P</w:t>
      </w:r>
      <w:r w:rsidRPr="7F4C6808">
        <w:rPr>
          <w:color w:val="000000" w:themeColor="text1"/>
          <w:sz w:val="24"/>
        </w:rPr>
        <w:t>rogram works to ensure that seriously sick or injured children have access to the same high-quality pediatric emergency care, no matter where they live in the United States.</w:t>
      </w:r>
    </w:p>
    <w:p w:rsidR="00464D8C" w:rsidRPr="00056086" w:rsidP="586F87A3" w14:paraId="1C051460" w14:textId="3805F6CE">
      <w:pPr>
        <w:widowControl/>
        <w:numPr>
          <w:ilvl w:val="0"/>
          <w:numId w:val="33"/>
        </w:numPr>
        <w:autoSpaceDE/>
        <w:autoSpaceDN/>
        <w:adjustRightInd/>
        <w:spacing w:after="120"/>
        <w:ind w:left="1080"/>
        <w:rPr>
          <w:color w:val="000000"/>
          <w:sz w:val="24"/>
        </w:rPr>
      </w:pPr>
      <w:r w:rsidRPr="7F4C6808">
        <w:rPr>
          <w:color w:val="000000" w:themeColor="text1"/>
          <w:sz w:val="24"/>
        </w:rPr>
        <w:t>Authorizing Legislation – Public Health Service Act, Section 1910</w:t>
      </w:r>
      <w:r w:rsidRPr="7F4C6808" w:rsidR="00251FC6">
        <w:rPr>
          <w:color w:val="000000" w:themeColor="text1"/>
          <w:sz w:val="24"/>
        </w:rPr>
        <w:t xml:space="preserve"> (42 U.S.C. 300w-9),</w:t>
      </w:r>
      <w:r w:rsidRPr="7F4C6808">
        <w:rPr>
          <w:color w:val="000000" w:themeColor="text1"/>
          <w:sz w:val="24"/>
        </w:rPr>
        <w:t xml:space="preserve"> as </w:t>
      </w:r>
      <w:r w:rsidRPr="7F4C6808" w:rsidR="00251FC6">
        <w:rPr>
          <w:color w:val="000000" w:themeColor="text1"/>
          <w:sz w:val="24"/>
        </w:rPr>
        <w:t xml:space="preserve">most recently </w:t>
      </w:r>
      <w:r w:rsidRPr="7F4C6808" w:rsidR="008E365E">
        <w:rPr>
          <w:color w:val="000000" w:themeColor="text1"/>
          <w:sz w:val="24"/>
        </w:rPr>
        <w:t>reauthorized and amended by the Emergency Medical Services for Children Reauthorization Act of 2019</w:t>
      </w:r>
      <w:r w:rsidRPr="7F4C6808" w:rsidR="003F3585">
        <w:rPr>
          <w:color w:val="000000" w:themeColor="text1"/>
          <w:sz w:val="24"/>
        </w:rPr>
        <w:t xml:space="preserve"> (</w:t>
      </w:r>
      <w:r w:rsidRPr="7F4C6808" w:rsidR="000F57F2">
        <w:rPr>
          <w:color w:val="000000" w:themeColor="text1"/>
          <w:sz w:val="24"/>
        </w:rPr>
        <w:t xml:space="preserve">Public </w:t>
      </w:r>
      <w:r w:rsidRPr="7F4C6808" w:rsidR="008E365E">
        <w:rPr>
          <w:color w:val="000000" w:themeColor="text1"/>
          <w:sz w:val="24"/>
        </w:rPr>
        <w:t>Law 116-49</w:t>
      </w:r>
      <w:r w:rsidRPr="7F4C6808" w:rsidR="003F3585">
        <w:rPr>
          <w:color w:val="000000" w:themeColor="text1"/>
          <w:sz w:val="24"/>
        </w:rPr>
        <w:t>)</w:t>
      </w:r>
      <w:r w:rsidRPr="7F4C6808" w:rsidR="000F57F2">
        <w:rPr>
          <w:color w:val="000000" w:themeColor="text1"/>
          <w:sz w:val="24"/>
        </w:rPr>
        <w:t>.</w:t>
      </w:r>
    </w:p>
    <w:p w:rsidR="00464D8C" w:rsidRPr="00056086" w:rsidP="586F87A3" w14:paraId="09EB6BF7" w14:textId="6104ACB8">
      <w:pPr>
        <w:widowControl/>
        <w:numPr>
          <w:ilvl w:val="0"/>
          <w:numId w:val="33"/>
        </w:numPr>
        <w:autoSpaceDE/>
        <w:autoSpaceDN/>
        <w:adjustRightInd/>
        <w:spacing w:after="120"/>
        <w:rPr>
          <w:color w:val="000000"/>
          <w:sz w:val="24"/>
        </w:rPr>
      </w:pPr>
      <w:r w:rsidRPr="7F4C6808">
        <w:rPr>
          <w:b/>
          <w:color w:val="000000" w:themeColor="text1"/>
          <w:sz w:val="24"/>
        </w:rPr>
        <w:t xml:space="preserve">Healthy Start: </w:t>
      </w:r>
      <w:r w:rsidRPr="7F4C6808">
        <w:rPr>
          <w:color w:val="000000" w:themeColor="text1"/>
          <w:sz w:val="24"/>
        </w:rPr>
        <w:t xml:space="preserve">The Healthy Start </w:t>
      </w:r>
      <w:r w:rsidRPr="7F4C6808" w:rsidR="00A64AFC">
        <w:rPr>
          <w:color w:val="000000" w:themeColor="text1"/>
          <w:sz w:val="24"/>
        </w:rPr>
        <w:t>P</w:t>
      </w:r>
      <w:r w:rsidRPr="7F4C6808">
        <w:rPr>
          <w:color w:val="000000" w:themeColor="text1"/>
          <w:sz w:val="24"/>
        </w:rPr>
        <w:t>rogram provides grants to support community-based strategies to reduce disparities in infant mortality and improve perinatal outcomes for women and children in high-risk communities throughout the nation. Major and persistent racial and ethnic disparities exist for infant mortality, maternal mortality, and other adverse outcomes such as preterm birth and low birth weight.</w:t>
      </w:r>
      <w:r w:rsidRPr="7F4C6808">
        <w:rPr>
          <w:b/>
          <w:color w:val="000000" w:themeColor="text1"/>
          <w:sz w:val="24"/>
        </w:rPr>
        <w:t xml:space="preserve">  </w:t>
      </w:r>
    </w:p>
    <w:p w:rsidR="00464D8C" w:rsidRPr="00056086" w:rsidP="586F87A3" w14:paraId="279998FB" w14:textId="46F441FE">
      <w:pPr>
        <w:widowControl/>
        <w:numPr>
          <w:ilvl w:val="0"/>
          <w:numId w:val="33"/>
        </w:numPr>
        <w:autoSpaceDE/>
        <w:autoSpaceDN/>
        <w:adjustRightInd/>
        <w:spacing w:after="120"/>
        <w:ind w:left="1080"/>
        <w:rPr>
          <w:color w:val="000000"/>
          <w:sz w:val="24"/>
        </w:rPr>
      </w:pPr>
      <w:r w:rsidRPr="7F4C6808">
        <w:rPr>
          <w:color w:val="000000" w:themeColor="text1"/>
          <w:sz w:val="24"/>
        </w:rPr>
        <w:t>Authorizing Legislation - Public Health Service Act, Section 330H</w:t>
      </w:r>
      <w:r w:rsidRPr="7F4C6808" w:rsidR="00251FC6">
        <w:rPr>
          <w:color w:val="000000" w:themeColor="text1"/>
          <w:sz w:val="24"/>
        </w:rPr>
        <w:t xml:space="preserve"> (42 U.S.C. 254c-8),</w:t>
      </w:r>
      <w:r w:rsidRPr="7F4C6808">
        <w:rPr>
          <w:color w:val="000000" w:themeColor="text1"/>
          <w:sz w:val="24"/>
        </w:rPr>
        <w:t xml:space="preserve"> as </w:t>
      </w:r>
      <w:r w:rsidRPr="7F4C6808" w:rsidR="00251FC6">
        <w:rPr>
          <w:color w:val="000000" w:themeColor="text1"/>
          <w:sz w:val="24"/>
        </w:rPr>
        <w:t xml:space="preserve">most </w:t>
      </w:r>
      <w:r w:rsidRPr="7F4C6808" w:rsidR="003F3585">
        <w:rPr>
          <w:color w:val="000000" w:themeColor="text1"/>
          <w:sz w:val="24"/>
        </w:rPr>
        <w:t>recently</w:t>
      </w:r>
      <w:r w:rsidRPr="7F4C6808" w:rsidR="00251FC6">
        <w:rPr>
          <w:color w:val="000000" w:themeColor="text1"/>
          <w:sz w:val="24"/>
        </w:rPr>
        <w:t xml:space="preserve"> reauthorized and</w:t>
      </w:r>
      <w:r w:rsidRPr="7F4C6808" w:rsidR="003F3585">
        <w:rPr>
          <w:color w:val="000000" w:themeColor="text1"/>
          <w:sz w:val="24"/>
        </w:rPr>
        <w:t xml:space="preserve"> amended by the Coronavirus Aid, Relief, and Economic Security (CARES) Act (Public Law 116-136)</w:t>
      </w:r>
      <w:r w:rsidR="008D335F">
        <w:rPr>
          <w:color w:val="000000" w:themeColor="text1"/>
          <w:sz w:val="24"/>
        </w:rPr>
        <w:t>.</w:t>
      </w:r>
    </w:p>
    <w:p w:rsidR="00464D8C" w:rsidRPr="00056086" w:rsidP="586F87A3" w14:paraId="4A8E9C24" w14:textId="51D77147">
      <w:pPr>
        <w:widowControl/>
        <w:numPr>
          <w:ilvl w:val="0"/>
          <w:numId w:val="33"/>
        </w:numPr>
        <w:autoSpaceDE/>
        <w:autoSpaceDN/>
        <w:adjustRightInd/>
        <w:spacing w:after="120"/>
        <w:rPr>
          <w:color w:val="000000"/>
          <w:sz w:val="24"/>
        </w:rPr>
      </w:pPr>
      <w:r w:rsidRPr="7F4C6808">
        <w:rPr>
          <w:b/>
          <w:color w:val="000000" w:themeColor="text1"/>
          <w:sz w:val="24"/>
        </w:rPr>
        <w:t xml:space="preserve">Heritable Disorders: </w:t>
      </w:r>
      <w:r w:rsidRPr="7F4C6808">
        <w:rPr>
          <w:color w:val="000000" w:themeColor="text1"/>
          <w:sz w:val="24"/>
        </w:rPr>
        <w:t xml:space="preserve">The Heritable Disorders in Newborns and Children </w:t>
      </w:r>
      <w:r w:rsidRPr="7F4C6808" w:rsidR="00607E2C">
        <w:rPr>
          <w:color w:val="000000" w:themeColor="text1"/>
          <w:sz w:val="24"/>
        </w:rPr>
        <w:t>P</w:t>
      </w:r>
      <w:r w:rsidRPr="7F4C6808">
        <w:rPr>
          <w:color w:val="000000" w:themeColor="text1"/>
          <w:sz w:val="24"/>
        </w:rPr>
        <w:t xml:space="preserve">rogram focuses on reducing the morbidity and mortality caused by heritable disorders in newborns and children by supporting state and local public health agencies’ ability to provide screening, counseling, and health care services. Four million newborns each year are screened for at least </w:t>
      </w:r>
      <w:r w:rsidRPr="7F4C6808" w:rsidR="00DE7114">
        <w:rPr>
          <w:color w:val="000000" w:themeColor="text1"/>
          <w:sz w:val="24"/>
        </w:rPr>
        <w:t xml:space="preserve">30 </w:t>
      </w:r>
      <w:r w:rsidRPr="7F4C6808">
        <w:rPr>
          <w:color w:val="000000" w:themeColor="text1"/>
          <w:sz w:val="24"/>
        </w:rPr>
        <w:t xml:space="preserve">of the 35 core conditions on the Recommended Uniform Screening Panel, a list of conditions recommended by the </w:t>
      </w:r>
      <w:r w:rsidRPr="7F4C6808" w:rsidR="00607E2C">
        <w:rPr>
          <w:color w:val="000000" w:themeColor="text1"/>
          <w:sz w:val="24"/>
        </w:rPr>
        <w:t xml:space="preserve">U.S. </w:t>
      </w:r>
      <w:r w:rsidRPr="7F4C6808">
        <w:rPr>
          <w:color w:val="000000" w:themeColor="text1"/>
          <w:sz w:val="24"/>
        </w:rPr>
        <w:t>Secretary of H</w:t>
      </w:r>
      <w:r w:rsidRPr="7F4C6808" w:rsidR="00607E2C">
        <w:rPr>
          <w:color w:val="000000" w:themeColor="text1"/>
          <w:sz w:val="24"/>
        </w:rPr>
        <w:t xml:space="preserve">ealth and </w:t>
      </w:r>
      <w:r w:rsidRPr="7F4C6808">
        <w:rPr>
          <w:color w:val="000000" w:themeColor="text1"/>
          <w:sz w:val="24"/>
        </w:rPr>
        <w:t>H</w:t>
      </w:r>
      <w:r w:rsidRPr="7F4C6808" w:rsidR="00607E2C">
        <w:rPr>
          <w:color w:val="000000" w:themeColor="text1"/>
          <w:sz w:val="24"/>
        </w:rPr>
        <w:t xml:space="preserve">uman </w:t>
      </w:r>
      <w:r w:rsidRPr="7F4C6808">
        <w:rPr>
          <w:color w:val="000000" w:themeColor="text1"/>
          <w:sz w:val="24"/>
        </w:rPr>
        <w:t>S</w:t>
      </w:r>
      <w:r w:rsidRPr="7F4C6808" w:rsidR="00607E2C">
        <w:rPr>
          <w:color w:val="000000" w:themeColor="text1"/>
          <w:sz w:val="24"/>
        </w:rPr>
        <w:t>ervices</w:t>
      </w:r>
      <w:r w:rsidRPr="7F4C6808">
        <w:rPr>
          <w:color w:val="000000" w:themeColor="text1"/>
          <w:sz w:val="24"/>
        </w:rPr>
        <w:t xml:space="preserve"> for state newborn screening programs. The Heritable Disorders in Newborns and Children </w:t>
      </w:r>
      <w:r w:rsidRPr="7F4C6808" w:rsidR="0023059D">
        <w:rPr>
          <w:color w:val="000000" w:themeColor="text1"/>
          <w:sz w:val="24"/>
        </w:rPr>
        <w:t>P</w:t>
      </w:r>
      <w:r w:rsidRPr="7F4C6808">
        <w:rPr>
          <w:color w:val="000000" w:themeColor="text1"/>
          <w:sz w:val="24"/>
        </w:rPr>
        <w:t xml:space="preserve">rogram was </w:t>
      </w:r>
      <w:r w:rsidRPr="7F4C6808" w:rsidR="65349104">
        <w:rPr>
          <w:color w:val="000000" w:themeColor="text1"/>
          <w:sz w:val="24"/>
        </w:rPr>
        <w:t xml:space="preserve">initially </w:t>
      </w:r>
      <w:r w:rsidRPr="7F4C6808">
        <w:rPr>
          <w:color w:val="000000" w:themeColor="text1"/>
          <w:sz w:val="24"/>
        </w:rPr>
        <w:t>authorized in 2000</w:t>
      </w:r>
      <w:r w:rsidRPr="7F4C6808" w:rsidR="003F3585">
        <w:rPr>
          <w:color w:val="000000" w:themeColor="text1"/>
          <w:sz w:val="24"/>
        </w:rPr>
        <w:t xml:space="preserve">. </w:t>
      </w:r>
    </w:p>
    <w:p w:rsidR="00464D8C" w:rsidRPr="00056086" w:rsidP="586F87A3" w14:paraId="5C08EB71" w14:textId="51217F18">
      <w:pPr>
        <w:widowControl/>
        <w:numPr>
          <w:ilvl w:val="0"/>
          <w:numId w:val="33"/>
        </w:numPr>
        <w:autoSpaceDE/>
        <w:autoSpaceDN/>
        <w:adjustRightInd/>
        <w:spacing w:after="120"/>
        <w:ind w:left="1080"/>
        <w:rPr>
          <w:color w:val="000000"/>
          <w:sz w:val="24"/>
        </w:rPr>
      </w:pPr>
      <w:r w:rsidRPr="7F4C6808">
        <w:rPr>
          <w:color w:val="000000" w:themeColor="text1"/>
          <w:sz w:val="24"/>
        </w:rPr>
        <w:t>Authorizing Legislation – Public Health Service Act, Section 1109-1112</w:t>
      </w:r>
      <w:r w:rsidRPr="7F4C6808" w:rsidR="00DB68B1">
        <w:rPr>
          <w:color w:val="000000" w:themeColor="text1"/>
          <w:sz w:val="24"/>
        </w:rPr>
        <w:t>,</w:t>
      </w:r>
      <w:r w:rsidRPr="7F4C6808">
        <w:rPr>
          <w:color w:val="000000" w:themeColor="text1"/>
          <w:sz w:val="24"/>
        </w:rPr>
        <w:t xml:space="preserve"> 1114</w:t>
      </w:r>
      <w:r w:rsidRPr="7F4C6808" w:rsidR="00DB68B1">
        <w:rPr>
          <w:color w:val="000000" w:themeColor="text1"/>
          <w:sz w:val="24"/>
        </w:rPr>
        <w:t>, and 11</w:t>
      </w:r>
      <w:r w:rsidRPr="7F4C6808" w:rsidR="02A7B6AD">
        <w:rPr>
          <w:color w:val="000000" w:themeColor="text1"/>
          <w:sz w:val="24"/>
        </w:rPr>
        <w:t>1</w:t>
      </w:r>
      <w:r w:rsidRPr="7F4C6808" w:rsidR="00DB68B1">
        <w:rPr>
          <w:color w:val="000000" w:themeColor="text1"/>
          <w:sz w:val="24"/>
        </w:rPr>
        <w:t>7</w:t>
      </w:r>
      <w:r w:rsidRPr="7F4C6808" w:rsidR="00251FC6">
        <w:rPr>
          <w:color w:val="000000" w:themeColor="text1"/>
          <w:sz w:val="24"/>
        </w:rPr>
        <w:t xml:space="preserve"> (42 U.S.C. 300b-8 -- 300b-11, 300b-13, and 300b-16)</w:t>
      </w:r>
      <w:r w:rsidRPr="7F4C6808">
        <w:rPr>
          <w:color w:val="000000" w:themeColor="text1"/>
          <w:sz w:val="24"/>
        </w:rPr>
        <w:t>, as</w:t>
      </w:r>
      <w:r w:rsidRPr="7F4C6808" w:rsidR="00251FC6">
        <w:rPr>
          <w:color w:val="000000" w:themeColor="text1"/>
          <w:sz w:val="24"/>
        </w:rPr>
        <w:t xml:space="preserve"> most recently</w:t>
      </w:r>
      <w:r w:rsidRPr="7F4C6808">
        <w:rPr>
          <w:color w:val="000000" w:themeColor="text1"/>
          <w:sz w:val="24"/>
        </w:rPr>
        <w:t xml:space="preserve"> </w:t>
      </w:r>
      <w:r w:rsidRPr="7F4C6808" w:rsidR="003F3585">
        <w:rPr>
          <w:color w:val="000000" w:themeColor="text1"/>
          <w:sz w:val="24"/>
        </w:rPr>
        <w:t xml:space="preserve">reauthorized and </w:t>
      </w:r>
      <w:r w:rsidRPr="7F4C6808">
        <w:rPr>
          <w:color w:val="000000" w:themeColor="text1"/>
          <w:sz w:val="24"/>
        </w:rPr>
        <w:t>amended by</w:t>
      </w:r>
      <w:r w:rsidRPr="7F4C6808" w:rsidR="00251FC6">
        <w:rPr>
          <w:color w:val="000000" w:themeColor="text1"/>
          <w:sz w:val="24"/>
        </w:rPr>
        <w:t xml:space="preserve"> the Newborn Screening Saves Lives Act of 2014 (</w:t>
      </w:r>
      <w:r w:rsidRPr="7F4C6808">
        <w:rPr>
          <w:color w:val="000000" w:themeColor="text1"/>
          <w:sz w:val="24"/>
        </w:rPr>
        <w:t>Public Law 113-240</w:t>
      </w:r>
      <w:r w:rsidRPr="7F4C6808" w:rsidR="00251FC6">
        <w:rPr>
          <w:color w:val="000000" w:themeColor="text1"/>
          <w:sz w:val="24"/>
        </w:rPr>
        <w:t>)</w:t>
      </w:r>
      <w:r w:rsidRPr="7F4C6808" w:rsidR="000F57F2">
        <w:rPr>
          <w:color w:val="000000" w:themeColor="text1"/>
          <w:sz w:val="24"/>
        </w:rPr>
        <w:t>.</w:t>
      </w:r>
    </w:p>
    <w:p w:rsidR="00464D8C" w:rsidRPr="00056086" w:rsidP="586F87A3" w14:paraId="5D3D2A23" w14:textId="5DF61E71">
      <w:pPr>
        <w:widowControl/>
        <w:numPr>
          <w:ilvl w:val="0"/>
          <w:numId w:val="33"/>
        </w:numPr>
        <w:autoSpaceDE/>
        <w:autoSpaceDN/>
        <w:adjustRightInd/>
        <w:spacing w:after="120"/>
        <w:rPr>
          <w:sz w:val="24"/>
        </w:rPr>
      </w:pPr>
      <w:r w:rsidRPr="00056086">
        <w:rPr>
          <w:b/>
          <w:sz w:val="24"/>
        </w:rPr>
        <w:t xml:space="preserve">Pediatric Mental Health Care Access: </w:t>
      </w:r>
      <w:r w:rsidRPr="00056086">
        <w:rPr>
          <w:sz w:val="24"/>
        </w:rPr>
        <w:t xml:space="preserve">The Pediatric Mental Health Care Access Program promotes behavioral health integration in pediatric primary care by supporting the development of new, or the improvement of existing, </w:t>
      </w:r>
      <w:r w:rsidRPr="00056086">
        <w:rPr>
          <w:sz w:val="24"/>
        </w:rPr>
        <w:t>statewide</w:t>
      </w:r>
      <w:r w:rsidRPr="00056086">
        <w:rPr>
          <w:sz w:val="24"/>
        </w:rPr>
        <w:t xml:space="preserve"> or regional pediatric mental health care telehealth access programs. These programs provide tele-consultation, training, technical assistance, and care coordination for pediatric primary care providers to diagnose, treat</w:t>
      </w:r>
      <w:r w:rsidRPr="00056086" w:rsidR="0023059D">
        <w:rPr>
          <w:sz w:val="24"/>
        </w:rPr>
        <w:t>,</w:t>
      </w:r>
      <w:r w:rsidRPr="00056086">
        <w:rPr>
          <w:sz w:val="24"/>
        </w:rPr>
        <w:t xml:space="preserve"> and refer children with behavioral health conditions. Th</w:t>
      </w:r>
      <w:r w:rsidRPr="00056086" w:rsidR="0023059D">
        <w:rPr>
          <w:sz w:val="24"/>
        </w:rPr>
        <w:t>e</w:t>
      </w:r>
      <w:r w:rsidRPr="00056086">
        <w:rPr>
          <w:sz w:val="24"/>
        </w:rPr>
        <w:t xml:space="preserve"> program works to address the shortages of psychiatrists, developmental-behavioral pediatricians, and other behavioral health clinicians who can identify behavioral disorders in children and adolescents and provide appropriate services through telehealth technologies that support and promote long-</w:t>
      </w:r>
      <w:r w:rsidRPr="00056086">
        <w:rPr>
          <w:sz w:val="24"/>
        </w:rPr>
        <w:t>distance clinical health care, clinical consultation, patient and professional health-related education, public health</w:t>
      </w:r>
      <w:r w:rsidR="00A64AFC">
        <w:rPr>
          <w:sz w:val="24"/>
        </w:rPr>
        <w:t>,</w:t>
      </w:r>
      <w:r w:rsidRPr="00056086">
        <w:rPr>
          <w:sz w:val="24"/>
        </w:rPr>
        <w:t xml:space="preserve"> and health administration.</w:t>
      </w:r>
    </w:p>
    <w:p w:rsidR="00464D8C" w:rsidRPr="00056086" w:rsidP="586F87A3" w14:paraId="0E8663A0" w14:textId="0D158E71">
      <w:pPr>
        <w:widowControl/>
        <w:numPr>
          <w:ilvl w:val="0"/>
          <w:numId w:val="33"/>
        </w:numPr>
        <w:autoSpaceDE/>
        <w:autoSpaceDN/>
        <w:adjustRightInd/>
        <w:spacing w:after="120"/>
        <w:ind w:left="1080"/>
        <w:rPr>
          <w:sz w:val="24"/>
        </w:rPr>
      </w:pPr>
      <w:r w:rsidRPr="00056086">
        <w:rPr>
          <w:sz w:val="24"/>
        </w:rPr>
        <w:t>Authorizing Legislation – Public Health Service Act, Section 330M (42 U.S.C. Section 254c-19) as added by the 21</w:t>
      </w:r>
      <w:r w:rsidRPr="00056086">
        <w:rPr>
          <w:sz w:val="24"/>
          <w:vertAlign w:val="superscript"/>
        </w:rPr>
        <w:t>st</w:t>
      </w:r>
      <w:r w:rsidRPr="00056086">
        <w:rPr>
          <w:sz w:val="24"/>
        </w:rPr>
        <w:t xml:space="preserve"> Century Cures Act, (P</w:t>
      </w:r>
      <w:r w:rsidRPr="00056086" w:rsidR="000F57F2">
        <w:rPr>
          <w:sz w:val="24"/>
        </w:rPr>
        <w:t xml:space="preserve">ublic </w:t>
      </w:r>
      <w:r w:rsidRPr="00056086">
        <w:rPr>
          <w:sz w:val="24"/>
        </w:rPr>
        <w:t>L</w:t>
      </w:r>
      <w:r w:rsidRPr="00056086" w:rsidR="000F57F2">
        <w:rPr>
          <w:sz w:val="24"/>
        </w:rPr>
        <w:t>aw</w:t>
      </w:r>
      <w:r w:rsidRPr="00056086">
        <w:rPr>
          <w:sz w:val="24"/>
        </w:rPr>
        <w:t xml:space="preserve"> 114-255)</w:t>
      </w:r>
      <w:r w:rsidRPr="00056086" w:rsidR="000F57F2">
        <w:rPr>
          <w:sz w:val="24"/>
        </w:rPr>
        <w:t xml:space="preserve"> Section 10002</w:t>
      </w:r>
      <w:r w:rsidR="00DB68B1">
        <w:rPr>
          <w:sz w:val="24"/>
        </w:rPr>
        <w:t xml:space="preserve">, and most recently reauthorized </w:t>
      </w:r>
      <w:r w:rsidRPr="7F4C6808" w:rsidR="61FA2945">
        <w:rPr>
          <w:sz w:val="24"/>
        </w:rPr>
        <w:t>and amended</w:t>
      </w:r>
      <w:r w:rsidR="00DB68B1">
        <w:rPr>
          <w:sz w:val="24"/>
        </w:rPr>
        <w:t xml:space="preserve"> by Section 11005 of the Bipartisan Safer Communities Act (Public Law 117-159)</w:t>
      </w:r>
      <w:r w:rsidRPr="00056086" w:rsidR="000F57F2">
        <w:rPr>
          <w:sz w:val="24"/>
        </w:rPr>
        <w:t>.</w:t>
      </w:r>
    </w:p>
    <w:p w:rsidR="00464D8C" w:rsidRPr="00056086" w:rsidP="586F87A3" w14:paraId="54A89B9C" w14:textId="088D3412">
      <w:pPr>
        <w:widowControl/>
        <w:numPr>
          <w:ilvl w:val="0"/>
          <w:numId w:val="33"/>
        </w:numPr>
        <w:autoSpaceDE/>
        <w:autoSpaceDN/>
        <w:adjustRightInd/>
        <w:spacing w:after="120"/>
        <w:rPr>
          <w:sz w:val="24"/>
        </w:rPr>
      </w:pPr>
      <w:r w:rsidRPr="00056086">
        <w:rPr>
          <w:b/>
          <w:sz w:val="24"/>
        </w:rPr>
        <w:t xml:space="preserve">Screening and Treatment for Maternal </w:t>
      </w:r>
      <w:r w:rsidR="00DF2516">
        <w:rPr>
          <w:b/>
          <w:sz w:val="24"/>
        </w:rPr>
        <w:t xml:space="preserve">Mental Health and Substance Use Disorders (MMHSUD) </w:t>
      </w:r>
      <w:r w:rsidRPr="7F4C6808" w:rsidR="7AFAE73B">
        <w:rPr>
          <w:b/>
          <w:bCs/>
          <w:sz w:val="24"/>
        </w:rPr>
        <w:t>(</w:t>
      </w:r>
      <w:r w:rsidRPr="00B01519" w:rsidR="7AFAE73B">
        <w:rPr>
          <w:sz w:val="24"/>
        </w:rPr>
        <w:t>formerly the</w:t>
      </w:r>
      <w:r w:rsidRPr="001A3487" w:rsidR="7AFAE73B">
        <w:rPr>
          <w:b/>
          <w:bCs/>
          <w:sz w:val="24"/>
        </w:rPr>
        <w:t xml:space="preserve"> </w:t>
      </w:r>
      <w:r w:rsidRPr="00056086">
        <w:rPr>
          <w:sz w:val="24"/>
        </w:rPr>
        <w:t xml:space="preserve">Screening and Treatment for Maternal Depression and Related Behavioral Disorders </w:t>
      </w:r>
      <w:r w:rsidRPr="7F4C6808" w:rsidR="121CDFF8">
        <w:rPr>
          <w:sz w:val="24"/>
        </w:rPr>
        <w:t>(MDRBD)): This program</w:t>
      </w:r>
      <w:r w:rsidRPr="00056086">
        <w:rPr>
          <w:sz w:val="24"/>
        </w:rPr>
        <w:t xml:space="preserve"> expands health care providers’ capacity to screen, assess, treat, and refer pregnant and postpartum women for maternal depression and related behavioral health disorders by providing training, real-time psychiatric consultation, and care coordination to front-line health care providers, including in rural and underserved areas. This program improves the mental health and well-being of pregnant and postpartum women and the social and emotional development of their infants.</w:t>
      </w:r>
    </w:p>
    <w:p w:rsidR="00464D8C" w:rsidRPr="00056086" w:rsidP="586F87A3" w14:paraId="63668922" w14:textId="2205C778">
      <w:pPr>
        <w:widowControl/>
        <w:numPr>
          <w:ilvl w:val="0"/>
          <w:numId w:val="33"/>
        </w:numPr>
        <w:autoSpaceDE/>
        <w:autoSpaceDN/>
        <w:adjustRightInd/>
        <w:spacing w:after="120"/>
        <w:ind w:left="1080"/>
        <w:rPr>
          <w:sz w:val="24"/>
        </w:rPr>
      </w:pPr>
      <w:r w:rsidRPr="00056086">
        <w:rPr>
          <w:sz w:val="24"/>
        </w:rPr>
        <w:t>Authorizing Legislation – Public Health Service Act, Section 317L-1</w:t>
      </w:r>
      <w:r w:rsidRPr="00056086" w:rsidR="000F57F2">
        <w:rPr>
          <w:sz w:val="24"/>
        </w:rPr>
        <w:t xml:space="preserve"> (42 U.S.C. 247b-13a),</w:t>
      </w:r>
      <w:r w:rsidRPr="00056086">
        <w:rPr>
          <w:sz w:val="24"/>
        </w:rPr>
        <w:t xml:space="preserve"> as added by the 21st Century Cures Act, (P</w:t>
      </w:r>
      <w:r w:rsidRPr="00056086" w:rsidR="000F57F2">
        <w:rPr>
          <w:sz w:val="24"/>
        </w:rPr>
        <w:t xml:space="preserve">ublic </w:t>
      </w:r>
      <w:r w:rsidRPr="00056086">
        <w:rPr>
          <w:sz w:val="24"/>
        </w:rPr>
        <w:t>L</w:t>
      </w:r>
      <w:r w:rsidRPr="00056086" w:rsidR="000F57F2">
        <w:rPr>
          <w:sz w:val="24"/>
        </w:rPr>
        <w:t>aw</w:t>
      </w:r>
      <w:r w:rsidRPr="00056086">
        <w:rPr>
          <w:sz w:val="24"/>
        </w:rPr>
        <w:t xml:space="preserve"> 114-255)</w:t>
      </w:r>
      <w:r w:rsidRPr="00056086" w:rsidR="000F57F2">
        <w:rPr>
          <w:sz w:val="24"/>
        </w:rPr>
        <w:t xml:space="preserve"> Section 10005</w:t>
      </w:r>
      <w:r w:rsidR="00DB68B1">
        <w:rPr>
          <w:sz w:val="24"/>
        </w:rPr>
        <w:t>, and most recently reauthorized in December 2022 by the Consolidated Appropriations Act of 2023 (Public Law 117-328)</w:t>
      </w:r>
      <w:r w:rsidRPr="00056086" w:rsidR="000F57F2">
        <w:rPr>
          <w:sz w:val="24"/>
        </w:rPr>
        <w:t>.</w:t>
      </w:r>
    </w:p>
    <w:p w:rsidR="00464D8C" w:rsidRPr="00056086" w:rsidP="586F87A3" w14:paraId="6FA7D8E8" w14:textId="4C901FF8">
      <w:pPr>
        <w:widowControl/>
        <w:numPr>
          <w:ilvl w:val="0"/>
          <w:numId w:val="33"/>
        </w:numPr>
        <w:autoSpaceDE/>
        <w:autoSpaceDN/>
        <w:adjustRightInd/>
        <w:spacing w:after="120"/>
        <w:rPr>
          <w:sz w:val="24"/>
        </w:rPr>
      </w:pPr>
      <w:r w:rsidRPr="39167B21">
        <w:rPr>
          <w:b/>
          <w:bCs/>
          <w:sz w:val="24"/>
        </w:rPr>
        <w:t xml:space="preserve">Family-to-Family Health Information: </w:t>
      </w:r>
      <w:r w:rsidRPr="39167B21">
        <w:rPr>
          <w:sz w:val="24"/>
        </w:rPr>
        <w:t xml:space="preserve">The Family-to-Family Health Information Centers (F2F HICs) Program assists families of children and youth with special health care needs (CYSHCN) to be partners in health care decision making. Staffed by family members who have first-hand experience using health care services and programs for CYSHCN, F2F HICs promote cost-effective, quality health care by providing patient-centered information, education, technical assistance, and peer support to families of CYSHCN and health professionals. Initially authorized by the Deficit Reduction Act of 2005, the program funded one health information center in each of the 50 states and the District of Columbia. Most recently, the </w:t>
      </w:r>
      <w:r w:rsidRPr="39167B21" w:rsidR="00902340">
        <w:rPr>
          <w:sz w:val="24"/>
        </w:rPr>
        <w:t xml:space="preserve">Sustaining Excellence in Medicaid Act of </w:t>
      </w:r>
      <w:r w:rsidRPr="39167B21" w:rsidR="5E23465A">
        <w:rPr>
          <w:sz w:val="24"/>
        </w:rPr>
        <w:t>2019 reauthorized</w:t>
      </w:r>
      <w:r w:rsidRPr="39167B21">
        <w:rPr>
          <w:sz w:val="24"/>
        </w:rPr>
        <w:t xml:space="preserve"> the program </w:t>
      </w:r>
      <w:r w:rsidRPr="39167B21" w:rsidR="00902340">
        <w:rPr>
          <w:sz w:val="24"/>
        </w:rPr>
        <w:t>through FY 2024</w:t>
      </w:r>
      <w:r w:rsidRPr="39167B21">
        <w:rPr>
          <w:sz w:val="24"/>
        </w:rPr>
        <w:t xml:space="preserve"> at $6 million per year and added the requirement that F2F HICs be developed in all territories and at least one such center be developed for Indian tribes.</w:t>
      </w:r>
    </w:p>
    <w:p w:rsidR="00464D8C" w:rsidRPr="00056086" w:rsidP="586F87A3" w14:paraId="15392A47" w14:textId="6C6E7A26">
      <w:pPr>
        <w:widowControl/>
        <w:numPr>
          <w:ilvl w:val="0"/>
          <w:numId w:val="33"/>
        </w:numPr>
        <w:autoSpaceDE/>
        <w:autoSpaceDN/>
        <w:adjustRightInd/>
        <w:spacing w:after="120"/>
        <w:ind w:left="1080"/>
        <w:rPr>
          <w:sz w:val="24"/>
        </w:rPr>
      </w:pPr>
      <w:r w:rsidRPr="00056086">
        <w:rPr>
          <w:sz w:val="24"/>
        </w:rPr>
        <w:t xml:space="preserve">Authorizing Legislation - Social Security Act, Section 501(c)(1)(A) </w:t>
      </w:r>
      <w:r w:rsidRPr="00056086" w:rsidR="000F57F2">
        <w:rPr>
          <w:sz w:val="24"/>
        </w:rPr>
        <w:t xml:space="preserve">(42 U.S.C. 701(c)(1)(A) </w:t>
      </w:r>
      <w:r w:rsidRPr="00056086">
        <w:rPr>
          <w:sz w:val="24"/>
        </w:rPr>
        <w:t xml:space="preserve">as </w:t>
      </w:r>
      <w:r w:rsidRPr="00056086" w:rsidR="000F57F2">
        <w:rPr>
          <w:sz w:val="24"/>
        </w:rPr>
        <w:t xml:space="preserve">most recently reauthorized </w:t>
      </w:r>
      <w:r w:rsidRPr="7F4C6808" w:rsidR="041EE39B">
        <w:rPr>
          <w:sz w:val="24"/>
        </w:rPr>
        <w:t xml:space="preserve">and amended </w:t>
      </w:r>
      <w:r w:rsidRPr="00056086">
        <w:rPr>
          <w:sz w:val="24"/>
        </w:rPr>
        <w:t>by</w:t>
      </w:r>
      <w:r w:rsidRPr="00056086" w:rsidR="000F57F2">
        <w:rPr>
          <w:sz w:val="24"/>
        </w:rPr>
        <w:t xml:space="preserve"> the Sustaining Excellence in Medicaid Act of 2019 (</w:t>
      </w:r>
      <w:r w:rsidRPr="00056086">
        <w:rPr>
          <w:sz w:val="24"/>
        </w:rPr>
        <w:t>Public Law</w:t>
      </w:r>
      <w:r w:rsidRPr="00056086" w:rsidR="000F57F2">
        <w:rPr>
          <w:sz w:val="24"/>
        </w:rPr>
        <w:t xml:space="preserve"> 116-39).  </w:t>
      </w:r>
      <w:r w:rsidRPr="00056086">
        <w:rPr>
          <w:sz w:val="24"/>
        </w:rPr>
        <w:t xml:space="preserve"> </w:t>
      </w:r>
      <w:r w:rsidRPr="00056086" w:rsidR="00902340">
        <w:rPr>
          <w:sz w:val="24"/>
        </w:rPr>
        <w:t xml:space="preserve"> </w:t>
      </w:r>
    </w:p>
    <w:p w:rsidR="00464D8C" w:rsidRPr="00056086" w:rsidP="586F87A3" w14:paraId="4D17B225" w14:textId="54C61692">
      <w:pPr>
        <w:widowControl/>
        <w:numPr>
          <w:ilvl w:val="0"/>
          <w:numId w:val="33"/>
        </w:numPr>
        <w:autoSpaceDE/>
        <w:autoSpaceDN/>
        <w:adjustRightInd/>
        <w:spacing w:after="120"/>
        <w:rPr>
          <w:sz w:val="24"/>
        </w:rPr>
      </w:pPr>
      <w:r w:rsidRPr="00056086">
        <w:rPr>
          <w:b/>
          <w:sz w:val="24"/>
        </w:rPr>
        <w:t>Maternal, Infant, and Early Childhood Home Visiting:</w:t>
      </w:r>
      <w:r w:rsidRPr="00056086">
        <w:rPr>
          <w:sz w:val="24"/>
        </w:rPr>
        <w:t xml:space="preserve"> The Maternal, Infant, and Early Childhood Home Visiting (MIECHV) </w:t>
      </w:r>
      <w:r w:rsidRPr="00056086" w:rsidR="001E1B4F">
        <w:rPr>
          <w:sz w:val="24"/>
        </w:rPr>
        <w:t xml:space="preserve">Program </w:t>
      </w:r>
      <w:r w:rsidRPr="00056086">
        <w:rPr>
          <w:sz w:val="24"/>
        </w:rPr>
        <w:t>supports voluntary, evidence-based home visiting services during pregnancy and to parents with young children up to kindergarten entry. The MIECHV Program builds upon decades of scientific research showing that home visits by a nurse, social worker, or early childhood educator during pregnancy and in the first years of life have the potential to improve the lives of children and families by helping to prevent child abuse and neglect; encouraging positive parenting; improving maternal and child health; and promoting child development and school readiness.</w:t>
      </w:r>
    </w:p>
    <w:p w:rsidR="00464D8C" w:rsidRPr="00056086" w:rsidP="586F87A3" w14:paraId="211A12CE" w14:textId="431C00C8">
      <w:pPr>
        <w:widowControl/>
        <w:numPr>
          <w:ilvl w:val="0"/>
          <w:numId w:val="33"/>
        </w:numPr>
        <w:autoSpaceDE/>
        <w:autoSpaceDN/>
        <w:adjustRightInd/>
        <w:spacing w:after="120"/>
        <w:ind w:left="1080"/>
        <w:rPr>
          <w:sz w:val="24"/>
        </w:rPr>
      </w:pPr>
      <w:r w:rsidRPr="39167B21">
        <w:rPr>
          <w:sz w:val="24"/>
        </w:rPr>
        <w:t>Authorizing Legislation – Social Security Act, Section 511 (j)</w:t>
      </w:r>
      <w:r w:rsidRPr="39167B21" w:rsidR="000F57F2">
        <w:rPr>
          <w:sz w:val="24"/>
        </w:rPr>
        <w:t xml:space="preserve"> (42 U.S.C. 711), </w:t>
      </w:r>
      <w:r w:rsidRPr="001A3487" w:rsidR="742BA91E">
        <w:rPr>
          <w:sz w:val="24"/>
        </w:rPr>
        <w:t xml:space="preserve">most recently reauthorized and amended by the Jackie </w:t>
      </w:r>
      <w:r w:rsidRPr="001A3487" w:rsidR="742BA91E">
        <w:rPr>
          <w:sz w:val="24"/>
        </w:rPr>
        <w:t>Walorski</w:t>
      </w:r>
      <w:r w:rsidRPr="001A3487" w:rsidR="742BA91E">
        <w:rPr>
          <w:sz w:val="24"/>
        </w:rPr>
        <w:t xml:space="preserve"> Maternal and Child Home </w:t>
      </w:r>
      <w:r w:rsidRPr="001A3487" w:rsidR="742BA91E">
        <w:rPr>
          <w:sz w:val="24"/>
        </w:rPr>
        <w:t xml:space="preserve">Visiting Reauthorization Act of 2022 </w:t>
      </w:r>
      <w:r w:rsidRPr="00AF408B" w:rsidR="00AF408B">
        <w:rPr>
          <w:sz w:val="24"/>
        </w:rPr>
        <w:t>as included in (</w:t>
      </w:r>
      <w:r w:rsidRPr="001A3487" w:rsidR="742BA91E">
        <w:rPr>
          <w:sz w:val="24"/>
        </w:rPr>
        <w:t>Section 6101 of the Consolidated Appropriations Act, 2023 (P.L. 117-73)</w:t>
      </w:r>
      <w:r w:rsidRPr="7F4C6808" w:rsidR="763D7D61">
        <w:rPr>
          <w:sz w:val="24"/>
        </w:rPr>
        <w:t>.</w:t>
      </w:r>
      <w:r w:rsidRPr="39167B21" w:rsidR="00B9282A">
        <w:rPr>
          <w:sz w:val="24"/>
        </w:rPr>
        <w:t xml:space="preserve"> </w:t>
      </w:r>
    </w:p>
    <w:p w:rsidR="00464D8C" w:rsidRPr="00056086" w:rsidP="586F87A3" w14:paraId="005028C1" w14:textId="2FB52801">
      <w:pPr>
        <w:pStyle w:val="ListParagraph"/>
        <w:numPr>
          <w:ilvl w:val="0"/>
          <w:numId w:val="33"/>
        </w:numPr>
        <w:tabs>
          <w:tab w:val="left" w:pos="-720"/>
        </w:tabs>
        <w:suppressAutoHyphens/>
        <w:jc w:val="both"/>
        <w:rPr>
          <w:color w:val="000000"/>
          <w:sz w:val="24"/>
        </w:rPr>
      </w:pPr>
      <w:r w:rsidRPr="7F4C6808">
        <w:rPr>
          <w:b/>
          <w:color w:val="000000" w:themeColor="text1"/>
          <w:sz w:val="24"/>
        </w:rPr>
        <w:t xml:space="preserve">Poison Control: </w:t>
      </w:r>
      <w:r w:rsidRPr="7F4C6808">
        <w:rPr>
          <w:color w:val="000000" w:themeColor="text1"/>
          <w:sz w:val="24"/>
        </w:rPr>
        <w:t>The Poison Control Program was established in 2000 and is legislatively mandated to: fund poison centers; establish and maintain a single, national toll-free number (800-222-1222) to ensure universal acce</w:t>
      </w:r>
      <w:r w:rsidRPr="7F4C6808" w:rsidR="00862920">
        <w:rPr>
          <w:color w:val="000000" w:themeColor="text1"/>
          <w:sz w:val="24"/>
        </w:rPr>
        <w:t>s</w:t>
      </w:r>
      <w:r w:rsidRPr="7F4C6808">
        <w:rPr>
          <w:color w:val="000000" w:themeColor="text1"/>
          <w:sz w:val="24"/>
        </w:rPr>
        <w:t>s to poison center services; and implement a nationwide media campaign to educate the public and health care providers about poison prevention, poison center services, and the toll-free number.</w:t>
      </w:r>
      <w:r w:rsidRPr="7F4C6808" w:rsidR="00BC52A9">
        <w:rPr>
          <w:color w:val="000000" w:themeColor="text1"/>
          <w:sz w:val="24"/>
        </w:rPr>
        <w:t xml:space="preserve"> This </w:t>
      </w:r>
      <w:r w:rsidRPr="7F4C6808">
        <w:rPr>
          <w:color w:val="000000" w:themeColor="text1"/>
          <w:sz w:val="24"/>
        </w:rPr>
        <w:t>grant program supports Poison Control Centers’ efforts to: 1) prevent and provide treatment recommendations for poisonings; 2) comply with operational requirements to sustain accreditation and/or achieve accreditation; and 3) improve and enhance communications and response capability and capacity. Funds may also be used to improve the quality of data uploaded from poison centers to the National Poison Data System in support of national toxic surveillance activities conducted by the Centers for Disease Control and Prevention.</w:t>
      </w:r>
    </w:p>
    <w:p w:rsidR="00BC52A9" w:rsidRPr="00056086" w:rsidP="00BC52A9" w14:paraId="1C395D60" w14:textId="59C5952E">
      <w:pPr>
        <w:tabs>
          <w:tab w:val="left" w:pos="-720"/>
        </w:tabs>
        <w:suppressAutoHyphens/>
        <w:jc w:val="both"/>
        <w:rPr>
          <w:color w:val="000000"/>
          <w:sz w:val="24"/>
        </w:rPr>
      </w:pPr>
    </w:p>
    <w:p w:rsidR="00BC52A9" w:rsidP="586F87A3" w14:paraId="68E97042" w14:textId="68AEC344">
      <w:pPr>
        <w:widowControl/>
        <w:numPr>
          <w:ilvl w:val="0"/>
          <w:numId w:val="33"/>
        </w:numPr>
        <w:autoSpaceDE/>
        <w:autoSpaceDN/>
        <w:adjustRightInd/>
        <w:spacing w:after="120"/>
        <w:ind w:left="1080"/>
        <w:rPr>
          <w:sz w:val="24"/>
        </w:rPr>
      </w:pPr>
      <w:r w:rsidRPr="39167B21">
        <w:rPr>
          <w:sz w:val="24"/>
        </w:rPr>
        <w:t xml:space="preserve">Authorizing Legislation </w:t>
      </w:r>
      <w:r w:rsidRPr="39167B21" w:rsidR="05EE9B33">
        <w:rPr>
          <w:sz w:val="24"/>
        </w:rPr>
        <w:t>– Public</w:t>
      </w:r>
      <w:r w:rsidRPr="39167B21" w:rsidR="000D0D76">
        <w:rPr>
          <w:sz w:val="24"/>
        </w:rPr>
        <w:t xml:space="preserve"> Health Service Act, Sections 1271-1274, as </w:t>
      </w:r>
      <w:r w:rsidRPr="7F4C6808" w:rsidR="6B1D2D61">
        <w:rPr>
          <w:sz w:val="24"/>
        </w:rPr>
        <w:t>most recently</w:t>
      </w:r>
      <w:r w:rsidR="00DB68B1">
        <w:rPr>
          <w:sz w:val="24"/>
        </w:rPr>
        <w:t xml:space="preserve"> authorized</w:t>
      </w:r>
      <w:r w:rsidRPr="39167B21" w:rsidR="00DB68B1">
        <w:rPr>
          <w:sz w:val="24"/>
        </w:rPr>
        <w:t xml:space="preserve"> </w:t>
      </w:r>
      <w:r w:rsidRPr="7F4C6808" w:rsidR="2A31D380">
        <w:rPr>
          <w:sz w:val="24"/>
        </w:rPr>
        <w:t>and amended</w:t>
      </w:r>
      <w:r w:rsidRPr="7F4C6808" w:rsidR="00DB68B1">
        <w:rPr>
          <w:sz w:val="24"/>
        </w:rPr>
        <w:t xml:space="preserve"> </w:t>
      </w:r>
      <w:r w:rsidRPr="39167B21" w:rsidR="000D0D76">
        <w:rPr>
          <w:sz w:val="24"/>
        </w:rPr>
        <w:t xml:space="preserve">by </w:t>
      </w:r>
      <w:r w:rsidR="00DB68B1">
        <w:rPr>
          <w:sz w:val="24"/>
        </w:rPr>
        <w:t>the Consolidated Appropriations Act of 2020 (</w:t>
      </w:r>
      <w:r w:rsidRPr="39167B21" w:rsidR="000D0D76">
        <w:rPr>
          <w:sz w:val="24"/>
        </w:rPr>
        <w:t>Public Law 116-94</w:t>
      </w:r>
      <w:r w:rsidR="00DB68B1">
        <w:rPr>
          <w:sz w:val="24"/>
        </w:rPr>
        <w:t>)</w:t>
      </w:r>
      <w:r w:rsidRPr="39167B21" w:rsidR="006308B6">
        <w:rPr>
          <w:sz w:val="24"/>
        </w:rPr>
        <w:t>.</w:t>
      </w:r>
    </w:p>
    <w:p w:rsidR="00465FDC" w:rsidP="00465FDC" w14:paraId="0F4BDD55" w14:textId="77777777">
      <w:pPr>
        <w:pStyle w:val="ListParagraph"/>
        <w:rPr>
          <w:sz w:val="24"/>
        </w:rPr>
      </w:pPr>
    </w:p>
    <w:p w:rsidR="00465FDC" w:rsidRPr="00056086" w:rsidP="00465FDC" w14:paraId="6C76AFD6" w14:textId="77777777">
      <w:pPr>
        <w:pStyle w:val="BodyText"/>
        <w:spacing w:after="0"/>
        <w:jc w:val="both"/>
        <w:rPr>
          <w:b/>
          <w:sz w:val="24"/>
        </w:rPr>
      </w:pPr>
      <w:r w:rsidRPr="00056086">
        <w:rPr>
          <w:b/>
          <w:sz w:val="24"/>
        </w:rPr>
        <w:t>Description of Reporting Forms</w:t>
      </w:r>
    </w:p>
    <w:p w:rsidR="00465FDC" w:rsidRPr="00056086" w:rsidP="00465FDC" w14:paraId="20449A28" w14:textId="77777777">
      <w:pPr>
        <w:pStyle w:val="BodyText"/>
        <w:spacing w:after="0"/>
        <w:ind w:left="720"/>
        <w:jc w:val="both"/>
        <w:rPr>
          <w:b/>
          <w:sz w:val="24"/>
        </w:rPr>
      </w:pPr>
    </w:p>
    <w:p w:rsidR="00465FDC" w:rsidRPr="00C37749" w:rsidP="00C37749" w14:paraId="453B4ED3" w14:textId="17E4D6D8">
      <w:pPr>
        <w:pStyle w:val="BodyText"/>
        <w:rPr>
          <w:color w:val="000000"/>
          <w:sz w:val="24"/>
          <w:shd w:val="clear" w:color="auto" w:fill="FFFFFF"/>
        </w:rPr>
      </w:pPr>
      <w:r w:rsidRPr="39167B21">
        <w:rPr>
          <w:rStyle w:val="apple-converted-space"/>
          <w:color w:val="000000"/>
          <w:sz w:val="24"/>
          <w:shd w:val="clear" w:color="auto" w:fill="FFFFFF"/>
        </w:rPr>
        <w:t>DGIS </w:t>
      </w:r>
      <w:r w:rsidRPr="39167B21">
        <w:rPr>
          <w:color w:val="000000"/>
          <w:sz w:val="24"/>
          <w:shd w:val="clear" w:color="auto" w:fill="FFFFFF"/>
        </w:rPr>
        <w:t xml:space="preserve">electronically captures data from the approximately </w:t>
      </w:r>
      <w:r w:rsidRPr="2FA5D9A2">
        <w:rPr>
          <w:color w:val="000000"/>
          <w:sz w:val="24"/>
          <w:shd w:val="clear" w:color="auto" w:fill="FFFFFF"/>
        </w:rPr>
        <w:t>800</w:t>
      </w:r>
      <w:r w:rsidRPr="39167B21">
        <w:rPr>
          <w:color w:val="000000"/>
          <w:sz w:val="24"/>
          <w:shd w:val="clear" w:color="auto" w:fill="FFFFFF"/>
        </w:rPr>
        <w:t xml:space="preserve"> discretionary grant awards each year. Many of these grants are supported under the Title V MCH Block Grant Federal set-aside programs (SPRANS and CISS). The DGIS electronically captures performance measures, program-specific information, annual financial data, and abstract data for MCHB’s discretionary grants. These data help to demonstrate the impact of discretionary grants, assess the effectiveness of these programs, inform programmatic planning, and ensure that quality health care is available to the nation’s MCH populations. Originally released in October 2004, the DGIS is a web-based system that allows grantees to report their data online to MCHB through HRSA’s Electronic Handbooks as part of </w:t>
      </w:r>
      <w:r w:rsidR="00613EC8">
        <w:rPr>
          <w:color w:val="000000"/>
          <w:sz w:val="24"/>
          <w:shd w:val="clear" w:color="auto" w:fill="FFFFFF"/>
        </w:rPr>
        <w:t xml:space="preserve">the </w:t>
      </w:r>
      <w:r w:rsidRPr="39167B21">
        <w:rPr>
          <w:color w:val="000000"/>
          <w:sz w:val="24"/>
          <w:shd w:val="clear" w:color="auto" w:fill="FFFFFF"/>
        </w:rPr>
        <w:t>performance reporting processes. The data captured in the performance measures and the financial forms are aggregated to display program data.</w:t>
      </w:r>
      <w:r w:rsidR="00613EC8">
        <w:rPr>
          <w:color w:val="000000"/>
          <w:sz w:val="24"/>
          <w:shd w:val="clear" w:color="auto" w:fill="FFFFFF"/>
        </w:rPr>
        <w:t xml:space="preserve"> Additionally, applicants </w:t>
      </w:r>
      <w:r w:rsidR="00613EC8">
        <w:rPr>
          <w:color w:val="000000"/>
          <w:sz w:val="24"/>
          <w:shd w:val="clear" w:color="auto" w:fill="FFFFFF"/>
        </w:rPr>
        <w:t>have the ability to</w:t>
      </w:r>
      <w:r w:rsidR="00613EC8">
        <w:rPr>
          <w:color w:val="000000"/>
          <w:sz w:val="24"/>
          <w:shd w:val="clear" w:color="auto" w:fill="FFFFFF"/>
        </w:rPr>
        <w:t xml:space="preserve"> see </w:t>
      </w:r>
      <w:r w:rsidR="0035424E">
        <w:rPr>
          <w:color w:val="000000"/>
          <w:sz w:val="24"/>
          <w:shd w:val="clear" w:color="auto" w:fill="FFFFFF"/>
        </w:rPr>
        <w:t>the</w:t>
      </w:r>
      <w:r w:rsidR="00613EC8">
        <w:rPr>
          <w:color w:val="000000"/>
          <w:sz w:val="24"/>
          <w:shd w:val="clear" w:color="auto" w:fill="FFFFFF"/>
        </w:rPr>
        <w:t xml:space="preserve"> performance measures </w:t>
      </w:r>
      <w:r w:rsidR="0035424E">
        <w:rPr>
          <w:color w:val="000000"/>
          <w:sz w:val="24"/>
          <w:shd w:val="clear" w:color="auto" w:fill="FFFFFF"/>
        </w:rPr>
        <w:t xml:space="preserve">that </w:t>
      </w:r>
      <w:r w:rsidR="00613EC8">
        <w:rPr>
          <w:color w:val="000000"/>
          <w:sz w:val="24"/>
          <w:shd w:val="clear" w:color="auto" w:fill="FFFFFF"/>
        </w:rPr>
        <w:t xml:space="preserve">they will be responsible for reporting performance on through a DGIS program manual link provided in the Notice of Funding Opportunity (NOFO). </w:t>
      </w:r>
    </w:p>
    <w:p w:rsidR="006239D5" w:rsidRPr="00056086" w:rsidP="00464D8C" w14:paraId="6AEDDD14" w14:textId="77777777">
      <w:pPr>
        <w:tabs>
          <w:tab w:val="left" w:pos="-720"/>
        </w:tabs>
        <w:suppressAutoHyphens/>
        <w:jc w:val="both"/>
        <w:rPr>
          <w:b/>
          <w:color w:val="000000"/>
          <w:sz w:val="24"/>
        </w:rPr>
      </w:pPr>
    </w:p>
    <w:p w:rsidR="00464D8C" w:rsidRPr="00056086" w:rsidP="1CD79EE0" w14:paraId="1E382545" w14:textId="4E4D471B">
      <w:pPr>
        <w:suppressAutoHyphens/>
        <w:spacing w:after="120"/>
        <w:jc w:val="both"/>
        <w:rPr>
          <w:b/>
          <w:bCs/>
          <w:color w:val="000000"/>
          <w:sz w:val="24"/>
        </w:rPr>
      </w:pPr>
      <w:r>
        <w:rPr>
          <w:b/>
          <w:bCs/>
          <w:color w:val="000000" w:themeColor="text1"/>
          <w:sz w:val="24"/>
        </w:rPr>
        <w:t>Central</w:t>
      </w:r>
      <w:r w:rsidRPr="1CD79EE0">
        <w:rPr>
          <w:b/>
          <w:bCs/>
          <w:color w:val="000000" w:themeColor="text1"/>
          <w:sz w:val="24"/>
        </w:rPr>
        <w:t xml:space="preserve"> </w:t>
      </w:r>
      <w:r w:rsidRPr="1CD79EE0" w:rsidR="716E0AAE">
        <w:rPr>
          <w:b/>
          <w:bCs/>
          <w:color w:val="000000" w:themeColor="text1"/>
          <w:sz w:val="24"/>
        </w:rPr>
        <w:t>Forms</w:t>
      </w:r>
      <w:r w:rsidRPr="1CD79EE0">
        <w:rPr>
          <w:b/>
          <w:bCs/>
          <w:color w:val="000000" w:themeColor="text1"/>
          <w:sz w:val="24"/>
        </w:rPr>
        <w:t xml:space="preserve"> (Attachment B</w:t>
      </w:r>
      <w:r>
        <w:rPr>
          <w:b/>
          <w:bCs/>
          <w:color w:val="000000" w:themeColor="text1"/>
          <w:sz w:val="24"/>
        </w:rPr>
        <w:t>)</w:t>
      </w:r>
    </w:p>
    <w:p w:rsidR="00464D8C" w:rsidRPr="00056086" w:rsidP="1CD79EE0" w14:paraId="6AFA8189" w14:textId="3C5B29EE">
      <w:pPr>
        <w:suppressAutoHyphens/>
        <w:spacing w:after="120"/>
        <w:rPr>
          <w:color w:val="000000"/>
          <w:sz w:val="24"/>
        </w:rPr>
      </w:pPr>
      <w:r w:rsidRPr="39167B21">
        <w:rPr>
          <w:color w:val="000000" w:themeColor="text1"/>
          <w:sz w:val="24"/>
        </w:rPr>
        <w:t>Th</w:t>
      </w:r>
      <w:r w:rsidRPr="39167B21" w:rsidR="58B39D36">
        <w:rPr>
          <w:color w:val="000000" w:themeColor="text1"/>
          <w:sz w:val="24"/>
        </w:rPr>
        <w:t xml:space="preserve">ese forms </w:t>
      </w:r>
      <w:r w:rsidR="00A64AFC">
        <w:rPr>
          <w:color w:val="000000" w:themeColor="text1"/>
          <w:sz w:val="24"/>
        </w:rPr>
        <w:t>collect</w:t>
      </w:r>
      <w:r w:rsidRPr="39167B21" w:rsidR="00A64AFC">
        <w:rPr>
          <w:color w:val="000000" w:themeColor="text1"/>
          <w:sz w:val="24"/>
        </w:rPr>
        <w:t xml:space="preserve"> </w:t>
      </w:r>
      <w:r w:rsidRPr="39167B21" w:rsidR="58B39D36">
        <w:rPr>
          <w:color w:val="000000" w:themeColor="text1"/>
          <w:sz w:val="24"/>
        </w:rPr>
        <w:t>data to report on a</w:t>
      </w:r>
      <w:r w:rsidRPr="39167B21">
        <w:rPr>
          <w:color w:val="000000" w:themeColor="text1"/>
          <w:sz w:val="24"/>
        </w:rPr>
        <w:t xml:space="preserve"> central set of performance measures</w:t>
      </w:r>
      <w:r w:rsidRPr="39167B21" w:rsidR="5F2D1DA6">
        <w:rPr>
          <w:color w:val="000000" w:themeColor="text1"/>
          <w:sz w:val="24"/>
        </w:rPr>
        <w:t xml:space="preserve">. Forms are grouped into </w:t>
      </w:r>
      <w:r w:rsidR="00585000">
        <w:rPr>
          <w:color w:val="000000" w:themeColor="text1"/>
          <w:sz w:val="24"/>
        </w:rPr>
        <w:t>five</w:t>
      </w:r>
      <w:r w:rsidRPr="39167B21" w:rsidR="00585000">
        <w:rPr>
          <w:color w:val="000000" w:themeColor="text1"/>
          <w:sz w:val="24"/>
        </w:rPr>
        <w:t xml:space="preserve"> </w:t>
      </w:r>
      <w:r w:rsidRPr="39167B21" w:rsidR="5F2D1DA6">
        <w:rPr>
          <w:color w:val="000000" w:themeColor="text1"/>
          <w:sz w:val="24"/>
        </w:rPr>
        <w:t>categories</w:t>
      </w:r>
      <w:r w:rsidR="00A64AFC">
        <w:rPr>
          <w:color w:val="000000" w:themeColor="text1"/>
          <w:sz w:val="24"/>
        </w:rPr>
        <w:t>:</w:t>
      </w:r>
      <w:r w:rsidRPr="39167B21" w:rsidR="3AB8E8B0">
        <w:rPr>
          <w:color w:val="000000" w:themeColor="text1"/>
          <w:sz w:val="24"/>
        </w:rPr>
        <w:t xml:space="preserve"> Basic Forms, Topical Forms, Activity Forms, Outcome Forms</w:t>
      </w:r>
      <w:r w:rsidR="00585000">
        <w:rPr>
          <w:color w:val="000000" w:themeColor="text1"/>
          <w:sz w:val="24"/>
        </w:rPr>
        <w:t>, and Form 10</w:t>
      </w:r>
      <w:r w:rsidRPr="39167B21" w:rsidR="3AB8E8B0">
        <w:rPr>
          <w:color w:val="000000" w:themeColor="text1"/>
          <w:sz w:val="24"/>
        </w:rPr>
        <w:t xml:space="preserve">. </w:t>
      </w:r>
      <w:r w:rsidRPr="39167B21">
        <w:rPr>
          <w:color w:val="000000" w:themeColor="text1"/>
          <w:sz w:val="24"/>
        </w:rPr>
        <w:t>The</w:t>
      </w:r>
      <w:r w:rsidR="0035424E">
        <w:rPr>
          <w:color w:val="000000" w:themeColor="text1"/>
          <w:sz w:val="24"/>
        </w:rPr>
        <w:t>se</w:t>
      </w:r>
      <w:r w:rsidRPr="39167B21">
        <w:rPr>
          <w:color w:val="000000" w:themeColor="text1"/>
          <w:sz w:val="24"/>
        </w:rPr>
        <w:t xml:space="preserve"> performance measures reflect MCHB’s strategic priority areas. </w:t>
      </w:r>
      <w:r w:rsidRPr="1CD79EE0">
        <w:rPr>
          <w:color w:val="000000" w:themeColor="text1"/>
          <w:sz w:val="24"/>
        </w:rPr>
        <w:t xml:space="preserve">Collectively, they </w:t>
      </w:r>
      <w:r w:rsidRPr="00570135" w:rsidR="00570135">
        <w:rPr>
          <w:color w:val="000000" w:themeColor="text1"/>
          <w:sz w:val="24"/>
        </w:rPr>
        <w:t>support communications about the range of HRSA’s maternal and child health programs</w:t>
      </w:r>
      <w:r w:rsidR="00570135">
        <w:rPr>
          <w:color w:val="000000" w:themeColor="text1"/>
          <w:sz w:val="24"/>
        </w:rPr>
        <w:t xml:space="preserve"> </w:t>
      </w:r>
      <w:r w:rsidRPr="1CD79EE0">
        <w:rPr>
          <w:color w:val="000000" w:themeColor="text1"/>
          <w:sz w:val="24"/>
        </w:rPr>
        <w:t xml:space="preserve">to a broad range of stakeholders. Individual grantees respond to a limited number of </w:t>
      </w:r>
      <w:r w:rsidR="00A64AFC">
        <w:rPr>
          <w:color w:val="000000" w:themeColor="text1"/>
          <w:sz w:val="24"/>
        </w:rPr>
        <w:t xml:space="preserve">forms and </w:t>
      </w:r>
      <w:r w:rsidRPr="1CD79EE0">
        <w:rPr>
          <w:color w:val="000000" w:themeColor="text1"/>
          <w:sz w:val="24"/>
        </w:rPr>
        <w:t>performance measures that are relevant to their program.</w:t>
      </w:r>
    </w:p>
    <w:p w:rsidR="0E4692C5" w:rsidP="1CD79EE0" w14:paraId="71D64721" w14:textId="20C8976E">
      <w:pPr>
        <w:rPr>
          <w:b/>
          <w:bCs/>
          <w:color w:val="000000" w:themeColor="text1"/>
          <w:sz w:val="24"/>
        </w:rPr>
      </w:pPr>
      <w:r w:rsidRPr="1CD79EE0">
        <w:rPr>
          <w:b/>
          <w:bCs/>
          <w:color w:val="000000" w:themeColor="text1"/>
          <w:sz w:val="24"/>
        </w:rPr>
        <w:t xml:space="preserve">Program-Specific </w:t>
      </w:r>
      <w:r w:rsidRPr="1CD79EE0" w:rsidR="76660A06">
        <w:rPr>
          <w:b/>
          <w:bCs/>
          <w:color w:val="000000" w:themeColor="text1"/>
          <w:sz w:val="24"/>
        </w:rPr>
        <w:t>Forms</w:t>
      </w:r>
      <w:r w:rsidRPr="1CD79EE0" w:rsidR="22FEF52E">
        <w:rPr>
          <w:b/>
          <w:bCs/>
          <w:color w:val="000000" w:themeColor="text1"/>
          <w:sz w:val="24"/>
        </w:rPr>
        <w:t xml:space="preserve"> (Attachment </w:t>
      </w:r>
      <w:r w:rsidR="00585000">
        <w:rPr>
          <w:b/>
          <w:bCs/>
          <w:color w:val="000000" w:themeColor="text1"/>
          <w:sz w:val="24"/>
        </w:rPr>
        <w:t>C</w:t>
      </w:r>
      <w:r w:rsidRPr="1CD79EE0" w:rsidR="22FEF52E">
        <w:rPr>
          <w:b/>
          <w:bCs/>
          <w:color w:val="000000" w:themeColor="text1"/>
          <w:sz w:val="24"/>
        </w:rPr>
        <w:t>)</w:t>
      </w:r>
      <w:r w:rsidRPr="1CD79EE0">
        <w:rPr>
          <w:b/>
          <w:bCs/>
          <w:color w:val="000000" w:themeColor="text1"/>
          <w:sz w:val="24"/>
        </w:rPr>
        <w:t xml:space="preserve"> </w:t>
      </w:r>
    </w:p>
    <w:p w:rsidR="39167B21" w:rsidP="39167B21" w14:paraId="774FF03E" w14:textId="68D8D879">
      <w:pPr>
        <w:rPr>
          <w:b/>
          <w:bCs/>
          <w:color w:val="000000" w:themeColor="text1"/>
          <w:sz w:val="24"/>
        </w:rPr>
      </w:pPr>
    </w:p>
    <w:p w:rsidR="290A8B8C" w:rsidP="1CD79EE0" w14:paraId="46BD3326" w14:textId="4B12352C">
      <w:pPr>
        <w:rPr>
          <w:color w:val="000000" w:themeColor="text1"/>
          <w:sz w:val="24"/>
        </w:rPr>
      </w:pPr>
      <w:r w:rsidRPr="1CD79EE0">
        <w:rPr>
          <w:color w:val="000000" w:themeColor="text1"/>
          <w:sz w:val="24"/>
        </w:rPr>
        <w:t>Th</w:t>
      </w:r>
      <w:r w:rsidRPr="1CD79EE0" w:rsidR="0EB8B82B">
        <w:rPr>
          <w:color w:val="000000" w:themeColor="text1"/>
          <w:sz w:val="24"/>
        </w:rPr>
        <w:t xml:space="preserve">ese forms are used to </w:t>
      </w:r>
      <w:r w:rsidR="00A64AFC">
        <w:rPr>
          <w:color w:val="000000" w:themeColor="text1"/>
          <w:sz w:val="24"/>
        </w:rPr>
        <w:t>collect</w:t>
      </w:r>
      <w:r w:rsidRPr="1CD79EE0" w:rsidR="00A64AFC">
        <w:rPr>
          <w:color w:val="000000" w:themeColor="text1"/>
          <w:sz w:val="24"/>
        </w:rPr>
        <w:t xml:space="preserve"> </w:t>
      </w:r>
      <w:r w:rsidRPr="1CD79EE0" w:rsidR="5089CC01">
        <w:rPr>
          <w:color w:val="000000" w:themeColor="text1"/>
          <w:sz w:val="24"/>
        </w:rPr>
        <w:t>data requested by MCHB divisions and offices that are</w:t>
      </w:r>
      <w:r w:rsidRPr="1CD79EE0">
        <w:rPr>
          <w:color w:val="000000" w:themeColor="text1"/>
          <w:sz w:val="24"/>
        </w:rPr>
        <w:t xml:space="preserve"> specific </w:t>
      </w:r>
      <w:r w:rsidRPr="1CD79EE0">
        <w:rPr>
          <w:color w:val="000000" w:themeColor="text1"/>
          <w:sz w:val="24"/>
        </w:rPr>
        <w:t>to Training and Workforce</w:t>
      </w:r>
      <w:r w:rsidRPr="1CD79EE0" w:rsidR="48BF2B5E">
        <w:rPr>
          <w:color w:val="000000" w:themeColor="text1"/>
          <w:sz w:val="24"/>
        </w:rPr>
        <w:t>, Healthy Start, Emergency Medical Services for Children, and Family to Family</w:t>
      </w:r>
      <w:r w:rsidRPr="1CD79EE0">
        <w:rPr>
          <w:color w:val="000000" w:themeColor="text1"/>
          <w:sz w:val="24"/>
        </w:rPr>
        <w:t xml:space="preserve"> programs. </w:t>
      </w:r>
    </w:p>
    <w:p w:rsidR="39167B21" w:rsidP="39167B21" w14:paraId="48E97C97" w14:textId="70A2C020">
      <w:pPr>
        <w:rPr>
          <w:color w:val="000000" w:themeColor="text1"/>
          <w:sz w:val="24"/>
        </w:rPr>
      </w:pPr>
    </w:p>
    <w:p w:rsidR="290A8B8C" w:rsidRPr="00367CC3" w:rsidP="00367CC3" w14:paraId="5DE6BEC0" w14:textId="4A34CCF1">
      <w:pPr>
        <w:suppressAutoHyphens/>
        <w:spacing w:after="120"/>
        <w:rPr>
          <w:color w:val="000000"/>
          <w:sz w:val="24"/>
        </w:rPr>
      </w:pPr>
      <w:r w:rsidRPr="39167B21">
        <w:rPr>
          <w:color w:val="000000" w:themeColor="text1"/>
          <w:sz w:val="24"/>
        </w:rPr>
        <w:t>A performance measure detail sheet defines and describes each performance measure</w:t>
      </w:r>
      <w:r w:rsidR="007605BE">
        <w:rPr>
          <w:color w:val="000000" w:themeColor="text1"/>
          <w:sz w:val="24"/>
        </w:rPr>
        <w:t xml:space="preserve">. </w:t>
      </w:r>
      <w:r w:rsidRPr="39167B21">
        <w:rPr>
          <w:color w:val="000000" w:themeColor="text1"/>
          <w:sz w:val="24"/>
        </w:rPr>
        <w:t xml:space="preserve">The detail sheet includes: a performance measurement and goal statement, an operational definition for the performance measure, relevance to Healthy People Objectives, data source and </w:t>
      </w:r>
      <w:r w:rsidR="002C0F70">
        <w:rPr>
          <w:color w:val="000000" w:themeColor="text1"/>
          <w:sz w:val="24"/>
        </w:rPr>
        <w:t xml:space="preserve">potential </w:t>
      </w:r>
      <w:r w:rsidRPr="39167B21">
        <w:rPr>
          <w:color w:val="000000" w:themeColor="text1"/>
          <w:sz w:val="24"/>
        </w:rPr>
        <w:t xml:space="preserve">issues surrounding data collection, and a statement on the significance of the performance measure in the MCH field. These detail sheets assure consistent understanding and reporting among all grantees and, when appropriate, allow for national data aggregation. In many cases, data </w:t>
      </w:r>
      <w:r w:rsidR="002C0F70">
        <w:rPr>
          <w:color w:val="000000" w:themeColor="text1"/>
          <w:sz w:val="24"/>
        </w:rPr>
        <w:t xml:space="preserve">collection </w:t>
      </w:r>
      <w:r w:rsidRPr="39167B21">
        <w:rPr>
          <w:color w:val="000000" w:themeColor="text1"/>
          <w:sz w:val="24"/>
        </w:rPr>
        <w:t>forms are included as attachments to assist the grantee in reporting on the measure.</w:t>
      </w:r>
      <w:r w:rsidR="008A62AE">
        <w:rPr>
          <w:color w:val="000000" w:themeColor="text1"/>
          <w:sz w:val="24"/>
        </w:rPr>
        <w:t xml:space="preserve"> </w:t>
      </w:r>
      <w:r w:rsidRPr="1CD79EE0" w:rsidR="008A62AE">
        <w:rPr>
          <w:color w:val="000000" w:themeColor="text1"/>
          <w:sz w:val="24"/>
        </w:rPr>
        <w:t xml:space="preserve">Individual grantees respond to a limited number of </w:t>
      </w:r>
      <w:r w:rsidR="008A62AE">
        <w:rPr>
          <w:color w:val="000000" w:themeColor="text1"/>
          <w:sz w:val="24"/>
        </w:rPr>
        <w:t xml:space="preserve">forms and </w:t>
      </w:r>
      <w:r w:rsidRPr="1CD79EE0" w:rsidR="008A62AE">
        <w:rPr>
          <w:color w:val="000000" w:themeColor="text1"/>
          <w:sz w:val="24"/>
        </w:rPr>
        <w:t>performance measures that are relevant to their program.</w:t>
      </w:r>
    </w:p>
    <w:p w:rsidR="00464D8C" w:rsidRPr="00056086" w:rsidP="00464D8C" w14:paraId="6650F1F3" w14:textId="77777777">
      <w:pPr>
        <w:rPr>
          <w:sz w:val="24"/>
        </w:rPr>
      </w:pPr>
    </w:p>
    <w:p w:rsidR="4A6F8A84" w:rsidP="1CD79EE0" w14:paraId="076DDDAF" w14:textId="798CFE52">
      <w:pPr>
        <w:spacing w:after="120"/>
        <w:jc w:val="both"/>
        <w:rPr>
          <w:b/>
          <w:bCs/>
          <w:sz w:val="24"/>
        </w:rPr>
      </w:pPr>
      <w:r>
        <w:rPr>
          <w:b/>
          <w:bCs/>
          <w:sz w:val="24"/>
        </w:rPr>
        <w:t>Additional Data Elements (Attachment D)</w:t>
      </w:r>
    </w:p>
    <w:p w:rsidR="43A12B59" w:rsidP="0058FB1A" w14:paraId="704A54D5" w14:textId="64B1FB60">
      <w:pPr>
        <w:rPr>
          <w:sz w:val="24"/>
        </w:rPr>
      </w:pPr>
      <w:r w:rsidRPr="0058FB1A">
        <w:rPr>
          <w:color w:val="000000" w:themeColor="text1"/>
          <w:sz w:val="24"/>
        </w:rPr>
        <w:t xml:space="preserve">This section includes other data requested by MCHB divisions and offices and captures information that grantees are already reporting for program administration and management purposes for certain grant categories. Forms </w:t>
      </w:r>
      <w:r w:rsidRPr="0058FB1A" w:rsidR="00C42234">
        <w:rPr>
          <w:color w:val="000000" w:themeColor="text1"/>
          <w:sz w:val="24"/>
        </w:rPr>
        <w:t>capture additional</w:t>
      </w:r>
      <w:r w:rsidRPr="0058FB1A">
        <w:rPr>
          <w:color w:val="000000" w:themeColor="text1"/>
          <w:sz w:val="24"/>
        </w:rPr>
        <w:t xml:space="preserve"> Health</w:t>
      </w:r>
      <w:r w:rsidR="00D91E68">
        <w:rPr>
          <w:color w:val="000000" w:themeColor="text1"/>
          <w:sz w:val="24"/>
        </w:rPr>
        <w:t>y</w:t>
      </w:r>
      <w:r w:rsidRPr="0058FB1A">
        <w:rPr>
          <w:color w:val="000000" w:themeColor="text1"/>
          <w:sz w:val="24"/>
        </w:rPr>
        <w:t xml:space="preserve"> Start </w:t>
      </w:r>
      <w:r w:rsidRPr="0058FB1A" w:rsidR="55A9713C">
        <w:rPr>
          <w:color w:val="000000" w:themeColor="text1"/>
          <w:sz w:val="24"/>
        </w:rPr>
        <w:t xml:space="preserve">and </w:t>
      </w:r>
      <w:r w:rsidRPr="0058FB1A">
        <w:rPr>
          <w:color w:val="000000" w:themeColor="text1"/>
          <w:sz w:val="24"/>
        </w:rPr>
        <w:t xml:space="preserve">workforce development information.  </w:t>
      </w:r>
      <w:r w:rsidRPr="0058FB1A">
        <w:rPr>
          <w:sz w:val="24"/>
        </w:rPr>
        <w:t xml:space="preserve"> </w:t>
      </w:r>
    </w:p>
    <w:p w:rsidR="0058FB1A" w:rsidP="0058FB1A" w14:paraId="2E69BFB4" w14:textId="519B7B24">
      <w:pPr>
        <w:rPr>
          <w:sz w:val="24"/>
        </w:rPr>
      </w:pPr>
    </w:p>
    <w:p w:rsidR="00464D8C" w:rsidRPr="00056086" w:rsidP="006E1307" w14:paraId="1E7BC89D" w14:textId="77777777">
      <w:pPr>
        <w:rPr>
          <w:rFonts w:ascii="Arial" w:hAnsi="Arial" w:cs="Arial"/>
          <w:color w:val="2F5496" w:themeColor="accent5" w:themeShade="BF"/>
          <w:sz w:val="24"/>
        </w:rPr>
      </w:pPr>
    </w:p>
    <w:p w:rsidR="00464D8C" w:rsidRPr="00056086" w:rsidP="39167B21" w14:paraId="0DCBDF38" w14:textId="43D3FE22">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2. </w:t>
      </w:r>
      <w:r w:rsidRPr="39167B21">
        <w:rPr>
          <w:rFonts w:ascii="Arial" w:hAnsi="Arial" w:cs="Arial"/>
          <w:b/>
          <w:bCs/>
          <w:color w:val="2F5496" w:themeColor="accent5" w:themeShade="BF"/>
          <w:sz w:val="24"/>
          <w:u w:val="single"/>
        </w:rPr>
        <w:t>Purpose and Use of Information Collection</w:t>
      </w:r>
    </w:p>
    <w:p w:rsidR="00D340C0" w:rsidRPr="00056086" w:rsidP="00D340C0" w14:paraId="23EB5C67" w14:textId="77777777">
      <w:pPr>
        <w:tabs>
          <w:tab w:val="left" w:pos="-720"/>
        </w:tabs>
        <w:suppressAutoHyphens/>
        <w:rPr>
          <w:color w:val="363636"/>
          <w:sz w:val="24"/>
        </w:rPr>
      </w:pPr>
    </w:p>
    <w:p w:rsidR="00D340C0" w:rsidRPr="00056086" w:rsidP="39167B21" w14:paraId="1744903F" w14:textId="7A6EA3F4">
      <w:pPr>
        <w:suppressAutoHyphens/>
        <w:rPr>
          <w:sz w:val="24"/>
        </w:rPr>
      </w:pPr>
      <w:r w:rsidRPr="39167B21">
        <w:rPr>
          <w:sz w:val="24"/>
        </w:rPr>
        <w:t xml:space="preserve">The performance data will serve several purposes including grantee monitoring, program planning, and performance reporting. In addition, </w:t>
      </w:r>
      <w:r w:rsidRPr="39167B21" w:rsidR="00A105F0">
        <w:rPr>
          <w:sz w:val="24"/>
        </w:rPr>
        <w:t xml:space="preserve">these </w:t>
      </w:r>
      <w:r w:rsidRPr="39167B21">
        <w:rPr>
          <w:sz w:val="24"/>
        </w:rPr>
        <w:t xml:space="preserve">data will facilitate the ability to demonstrate alignment between MCHB discretionary programs and the MCH Title V Block Grant program to quantify outcomes across MCHB. </w:t>
      </w:r>
      <w:r w:rsidRPr="0DFAD7B5" w:rsidR="397B0CC7">
        <w:rPr>
          <w:sz w:val="24"/>
        </w:rPr>
        <w:t xml:space="preserve">The proposed substantive revision is meant to align data collection forms more closely with current program activities. </w:t>
      </w:r>
      <w:r w:rsidRPr="0DFAD7B5" w:rsidR="397B0CC7">
        <w:rPr>
          <w:color w:val="000000" w:themeColor="text1"/>
          <w:sz w:val="24"/>
        </w:rPr>
        <w:t xml:space="preserve">The goals of the redesigned performance measures are to: (1) improve clarity and validity of DGIS forms, (2) increase alignment with the MCHB Strategic Plan and other performance measurement efforts, (3) produce timely, actionable data for program management, (4) </w:t>
      </w:r>
      <w:r w:rsidRPr="00570135" w:rsidR="00570135">
        <w:rPr>
          <w:color w:val="000000" w:themeColor="text1"/>
          <w:sz w:val="24"/>
        </w:rPr>
        <w:t>support communications about the range of HRSA’s maternal and child health programs</w:t>
      </w:r>
      <w:r w:rsidRPr="0DFAD7B5" w:rsidR="397B0CC7">
        <w:rPr>
          <w:color w:val="000000" w:themeColor="text1"/>
          <w:sz w:val="24"/>
        </w:rPr>
        <w:t>, (5) reduce the number and complexity of data collection forms, and (6) improve data quality.</w:t>
      </w:r>
    </w:p>
    <w:p w:rsidR="00D340C0" w:rsidRPr="00056086" w:rsidP="00D340C0" w14:paraId="3C5E7689" w14:textId="77777777">
      <w:pPr>
        <w:jc w:val="both"/>
        <w:rPr>
          <w:sz w:val="24"/>
        </w:rPr>
      </w:pPr>
    </w:p>
    <w:p w:rsidR="00D340C0" w:rsidRPr="00056086" w:rsidP="00D340C0" w14:paraId="0EF641B6" w14:textId="77777777">
      <w:pPr>
        <w:pStyle w:val="BodyText"/>
        <w:jc w:val="both"/>
        <w:rPr>
          <w:b/>
          <w:sz w:val="24"/>
        </w:rPr>
      </w:pPr>
      <w:r w:rsidRPr="00056086">
        <w:rPr>
          <w:b/>
          <w:sz w:val="24"/>
        </w:rPr>
        <w:t>Federal Uses of Information</w:t>
      </w:r>
    </w:p>
    <w:p w:rsidR="00D340C0" w:rsidRPr="00056086" w:rsidP="006E1307" w14:paraId="184391BA" w14:textId="38E78BF9">
      <w:pPr>
        <w:pStyle w:val="BodyText"/>
        <w:spacing w:after="0"/>
        <w:rPr>
          <w:b/>
          <w:sz w:val="24"/>
        </w:rPr>
      </w:pPr>
      <w:r w:rsidRPr="00056086">
        <w:rPr>
          <w:sz w:val="24"/>
        </w:rPr>
        <w:t xml:space="preserve">The data and attendant information that are collected from the discretionary grant recipients allow MCHB to monitor grantee performance and progress toward achieving both short-term and long-term goals. The information provides the Bureau with timely information on grantee progress toward achieving </w:t>
      </w:r>
      <w:r w:rsidRPr="00056086">
        <w:rPr>
          <w:sz w:val="24"/>
        </w:rPr>
        <w:t xml:space="preserve">goals, </w:t>
      </w:r>
      <w:r w:rsidRPr="00056086" w:rsidR="004D53FC">
        <w:rPr>
          <w:sz w:val="24"/>
        </w:rPr>
        <w:t>and</w:t>
      </w:r>
      <w:r w:rsidRPr="00056086">
        <w:rPr>
          <w:sz w:val="24"/>
        </w:rPr>
        <w:t xml:space="preserve"> serves as a mechanism to identify </w:t>
      </w:r>
      <w:r w:rsidR="002C0F70">
        <w:rPr>
          <w:sz w:val="24"/>
        </w:rPr>
        <w:t xml:space="preserve">grantee </w:t>
      </w:r>
      <w:r w:rsidRPr="00056086">
        <w:rPr>
          <w:sz w:val="24"/>
        </w:rPr>
        <w:t>technical assistance needs to meet specified objectives. MCHB uses the information to monitor and assess grantee progress, report on Bureau activities, and support budget planning.</w:t>
      </w:r>
    </w:p>
    <w:p w:rsidR="00D340C0" w:rsidRPr="00056086" w:rsidP="006E1307" w14:paraId="733A3F4B" w14:textId="77777777">
      <w:pPr>
        <w:pStyle w:val="BodyText"/>
        <w:spacing w:after="0"/>
        <w:ind w:left="720"/>
        <w:jc w:val="both"/>
        <w:rPr>
          <w:b/>
          <w:sz w:val="24"/>
        </w:rPr>
      </w:pPr>
    </w:p>
    <w:p w:rsidR="00D340C0" w:rsidRPr="00056086" w:rsidP="006E1307" w14:paraId="1C9B1F54" w14:textId="77777777">
      <w:pPr>
        <w:pStyle w:val="BodyText"/>
        <w:jc w:val="both"/>
        <w:rPr>
          <w:b/>
          <w:sz w:val="24"/>
        </w:rPr>
      </w:pPr>
      <w:r w:rsidRPr="00056086">
        <w:rPr>
          <w:b/>
          <w:sz w:val="24"/>
        </w:rPr>
        <w:t>Grantee Uses of Information</w:t>
      </w:r>
    </w:p>
    <w:p w:rsidR="00D340C0" w:rsidRPr="00056086" w:rsidP="00D340C0" w14:paraId="060D8F65" w14:textId="56CFBB6C">
      <w:pPr>
        <w:pStyle w:val="BodyText"/>
        <w:rPr>
          <w:sz w:val="24"/>
        </w:rPr>
      </w:pPr>
      <w:r w:rsidRPr="00056086">
        <w:rPr>
          <w:sz w:val="24"/>
        </w:rPr>
        <w:t xml:space="preserve">States, local agencies, and other grantees use the data to respond to other Federal, State, and local performance requirements/requests; to set priorities for their </w:t>
      </w:r>
      <w:r w:rsidRPr="00056086" w:rsidR="00274EE2">
        <w:rPr>
          <w:sz w:val="24"/>
        </w:rPr>
        <w:t>MCH</w:t>
      </w:r>
      <w:r w:rsidRPr="00056086">
        <w:rPr>
          <w:sz w:val="24"/>
        </w:rPr>
        <w:t xml:space="preserve"> populations; and to develop and justify efforts to advance MCHB-related agendas within </w:t>
      </w:r>
      <w:r w:rsidRPr="00056086" w:rsidR="006E1307">
        <w:rPr>
          <w:sz w:val="24"/>
        </w:rPr>
        <w:t>s</w:t>
      </w:r>
      <w:r w:rsidRPr="00056086">
        <w:rPr>
          <w:sz w:val="24"/>
        </w:rPr>
        <w:t xml:space="preserve">tates and communities. </w:t>
      </w:r>
    </w:p>
    <w:p w:rsidR="00D340C0" w:rsidRPr="00056086" w:rsidP="39167B21" w14:paraId="5142B9CE" w14:textId="64DC48F0">
      <w:pPr>
        <w:pStyle w:val="BodyText"/>
        <w:rPr>
          <w:sz w:val="24"/>
        </w:rPr>
      </w:pPr>
      <w:r w:rsidRPr="39167B21">
        <w:rPr>
          <w:sz w:val="24"/>
        </w:rPr>
        <w:t xml:space="preserve">Due to the diversity of grant categories administered by MCHB, the grant reporting forms and set of performance measures forms appears extensive. However, each grantee only responds to </w:t>
      </w:r>
      <w:r w:rsidR="00E43E1E">
        <w:rPr>
          <w:sz w:val="24"/>
        </w:rPr>
        <w:t>the</w:t>
      </w:r>
      <w:r w:rsidRPr="39167B21" w:rsidR="002C0F70">
        <w:rPr>
          <w:sz w:val="24"/>
        </w:rPr>
        <w:t xml:space="preserve"> </w:t>
      </w:r>
      <w:r w:rsidR="002C0F70">
        <w:rPr>
          <w:sz w:val="24"/>
        </w:rPr>
        <w:t>forms</w:t>
      </w:r>
      <w:r w:rsidRPr="39167B21" w:rsidR="002C0F70">
        <w:rPr>
          <w:sz w:val="24"/>
        </w:rPr>
        <w:t xml:space="preserve"> </w:t>
      </w:r>
      <w:r w:rsidRPr="39167B21">
        <w:rPr>
          <w:sz w:val="24"/>
        </w:rPr>
        <w:t xml:space="preserve">that are </w:t>
      </w:r>
      <w:r w:rsidR="002C0F70">
        <w:rPr>
          <w:sz w:val="24"/>
        </w:rPr>
        <w:t>applicable</w:t>
      </w:r>
      <w:r w:rsidRPr="39167B21" w:rsidR="002C0F70">
        <w:rPr>
          <w:sz w:val="24"/>
        </w:rPr>
        <w:t xml:space="preserve"> </w:t>
      </w:r>
      <w:r w:rsidRPr="39167B21">
        <w:rPr>
          <w:sz w:val="24"/>
        </w:rPr>
        <w:t xml:space="preserve">to their grant. In addition, the </w:t>
      </w:r>
      <w:r w:rsidRPr="0DFAD7B5" w:rsidR="39EA1420">
        <w:rPr>
          <w:sz w:val="24"/>
        </w:rPr>
        <w:t>revised forms include skip patterns and auto-filled fields to reduce grantee burden</w:t>
      </w:r>
      <w:r w:rsidRPr="0DFAD7B5">
        <w:rPr>
          <w:sz w:val="24"/>
        </w:rPr>
        <w:t xml:space="preserve">.  </w:t>
      </w:r>
    </w:p>
    <w:p w:rsidR="00D340C0" w:rsidRPr="00056086" w:rsidP="006E1307" w14:paraId="07DF02CF" w14:textId="476D5660">
      <w:pPr>
        <w:pStyle w:val="BodyText3"/>
        <w:spacing w:after="0"/>
        <w:rPr>
          <w:sz w:val="24"/>
          <w:szCs w:val="24"/>
        </w:rPr>
      </w:pPr>
      <w:r w:rsidRPr="00056086">
        <w:rPr>
          <w:sz w:val="24"/>
          <w:szCs w:val="24"/>
        </w:rPr>
        <w:t>The common set of measures preserves the ability of grantees to highlight their own program needs and characteristics. It also allows for standardized accountability across all grantee sites in measuring program progress toward stated goals</w:t>
      </w:r>
      <w:r w:rsidR="002C0F70">
        <w:rPr>
          <w:sz w:val="24"/>
          <w:szCs w:val="24"/>
        </w:rPr>
        <w:t xml:space="preserve"> </w:t>
      </w:r>
      <w:r w:rsidRPr="00056086" w:rsidR="002C0F70">
        <w:rPr>
          <w:sz w:val="24"/>
          <w:szCs w:val="24"/>
        </w:rPr>
        <w:t>and impact</w:t>
      </w:r>
      <w:r w:rsidRPr="00056086">
        <w:rPr>
          <w:sz w:val="24"/>
          <w:szCs w:val="24"/>
        </w:rPr>
        <w:t>. Furthermore, this consolidated effort collects consistent and comparable information across all sites and different program areas.</w:t>
      </w:r>
    </w:p>
    <w:p w:rsidR="00D340C0" w:rsidRPr="00056086" w:rsidP="006E1307" w14:paraId="117B730E" w14:textId="77777777">
      <w:pPr>
        <w:widowControl/>
        <w:autoSpaceDE/>
        <w:autoSpaceDN/>
        <w:adjustRightInd/>
        <w:rPr>
          <w:sz w:val="24"/>
        </w:rPr>
      </w:pPr>
    </w:p>
    <w:p w:rsidR="00464D8C" w:rsidRPr="00056086" w:rsidP="39167B21" w14:paraId="47F987DF" w14:textId="370D5DD9">
      <w:pPr>
        <w:tabs>
          <w:tab w:val="num" w:pos="360"/>
        </w:tabs>
        <w:rPr>
          <w:rFonts w:ascii="Arial" w:hAnsi="Arial" w:cs="Arial"/>
          <w:color w:val="2F5496" w:themeColor="accent5" w:themeShade="BF"/>
          <w:sz w:val="24"/>
        </w:rPr>
      </w:pPr>
      <w:r w:rsidRPr="39167B21">
        <w:rPr>
          <w:rFonts w:ascii="Arial" w:hAnsi="Arial" w:cs="Arial"/>
          <w:b/>
          <w:bCs/>
          <w:color w:val="2F5496" w:themeColor="accent5" w:themeShade="BF"/>
          <w:sz w:val="24"/>
          <w:u w:val="single"/>
        </w:rPr>
        <w:t xml:space="preserve">3. </w:t>
      </w:r>
      <w:r w:rsidRPr="39167B21">
        <w:rPr>
          <w:rFonts w:ascii="Arial" w:hAnsi="Arial" w:cs="Arial"/>
          <w:b/>
          <w:bCs/>
          <w:color w:val="2F5496" w:themeColor="accent5" w:themeShade="BF"/>
          <w:sz w:val="24"/>
          <w:u w:val="single"/>
        </w:rPr>
        <w:t>Use of Improved Information Technology and Burden Reduction</w:t>
      </w:r>
    </w:p>
    <w:p w:rsidR="00D340C0" w:rsidRPr="00056086" w:rsidP="00D340C0" w14:paraId="05568BEB" w14:textId="77777777">
      <w:pPr>
        <w:tabs>
          <w:tab w:val="left" w:pos="-720"/>
        </w:tabs>
        <w:suppressAutoHyphens/>
        <w:rPr>
          <w:sz w:val="24"/>
        </w:rPr>
      </w:pPr>
    </w:p>
    <w:p w:rsidR="00D340C0" w:rsidRPr="00056086" w:rsidP="006E1307" w14:paraId="6442595C" w14:textId="2811239D">
      <w:pPr>
        <w:tabs>
          <w:tab w:val="left" w:pos="-720"/>
        </w:tabs>
        <w:suppressAutoHyphens/>
        <w:rPr>
          <w:sz w:val="24"/>
        </w:rPr>
      </w:pPr>
      <w:r w:rsidRPr="00056086">
        <w:rPr>
          <w:sz w:val="24"/>
        </w:rPr>
        <w:t>This activity is fully electronic.</w:t>
      </w:r>
      <w:r w:rsidR="00973704">
        <w:rPr>
          <w:sz w:val="24"/>
        </w:rPr>
        <w:t xml:space="preserve"> </w:t>
      </w:r>
      <w:r w:rsidRPr="00056086">
        <w:rPr>
          <w:sz w:val="24"/>
        </w:rPr>
        <w:t xml:space="preserve">All calculations (e.g., ratios, rates, percentages, totals) are automated, tables are interlocked where data overlap, and historical data are preserved so that only the annual data for the year in question needs to be newly entered. </w:t>
      </w:r>
    </w:p>
    <w:p w:rsidR="00D340C0" w:rsidRPr="00056086" w:rsidP="006E1307" w14:paraId="606B17F4" w14:textId="77777777">
      <w:pPr>
        <w:widowControl/>
        <w:rPr>
          <w:rFonts w:ascii="Arial" w:hAnsi="Arial" w:cs="Arial"/>
          <w:color w:val="2F5496" w:themeColor="accent5" w:themeShade="BF"/>
          <w:sz w:val="24"/>
        </w:rPr>
      </w:pPr>
    </w:p>
    <w:p w:rsidR="00464D8C" w:rsidRPr="00056086" w:rsidP="39167B21" w14:paraId="0782DD50" w14:textId="53C95D45">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4. </w:t>
      </w:r>
      <w:r w:rsidRPr="39167B21">
        <w:rPr>
          <w:rFonts w:ascii="Arial" w:hAnsi="Arial" w:cs="Arial"/>
          <w:b/>
          <w:bCs/>
          <w:color w:val="2F5496" w:themeColor="accent5" w:themeShade="BF"/>
          <w:sz w:val="24"/>
          <w:u w:val="single"/>
        </w:rPr>
        <w:t xml:space="preserve">Efforts </w:t>
      </w:r>
      <w:r w:rsidRPr="39167B21" w:rsidR="476F4FDE">
        <w:rPr>
          <w:rFonts w:ascii="Arial" w:hAnsi="Arial" w:cs="Arial"/>
          <w:b/>
          <w:bCs/>
          <w:color w:val="2F5496" w:themeColor="accent5" w:themeShade="BF"/>
          <w:sz w:val="24"/>
          <w:u w:val="single"/>
        </w:rPr>
        <w:t>to Identify</w:t>
      </w:r>
      <w:r w:rsidRPr="39167B21">
        <w:rPr>
          <w:rFonts w:ascii="Arial" w:hAnsi="Arial" w:cs="Arial"/>
          <w:b/>
          <w:bCs/>
          <w:color w:val="2F5496" w:themeColor="accent5" w:themeShade="BF"/>
          <w:sz w:val="24"/>
          <w:u w:val="single"/>
        </w:rPr>
        <w:t xml:space="preserve"> Duplication and Use of Similar Information</w:t>
      </w:r>
    </w:p>
    <w:p w:rsidR="00D340C0" w:rsidRPr="00056086" w:rsidP="006E1307" w14:paraId="0089F2AF" w14:textId="77777777">
      <w:pPr>
        <w:rPr>
          <w:rFonts w:ascii="Arial" w:hAnsi="Arial" w:cs="Arial"/>
          <w:color w:val="2F5496" w:themeColor="accent5" w:themeShade="BF"/>
          <w:sz w:val="24"/>
        </w:rPr>
      </w:pPr>
    </w:p>
    <w:p w:rsidR="00D340C0" w:rsidRPr="00056086" w:rsidP="39167B21" w14:paraId="472FCF7B" w14:textId="470EC956">
      <w:pPr>
        <w:suppressAutoHyphens/>
        <w:rPr>
          <w:sz w:val="24"/>
        </w:rPr>
      </w:pPr>
      <w:r w:rsidRPr="39167B21">
        <w:rPr>
          <w:sz w:val="24"/>
        </w:rPr>
        <w:t xml:space="preserve">Efforts have been made to align with other data collection efforts of other Federal agencies, as required by Section 509(a) (5) of Title V of the Social Security Act. The data requested in these measures are unique to the discretionary </w:t>
      </w:r>
      <w:r w:rsidRPr="39167B21" w:rsidR="171414F6">
        <w:rPr>
          <w:sz w:val="24"/>
        </w:rPr>
        <w:t>programs</w:t>
      </w:r>
      <w:r w:rsidRPr="39167B21">
        <w:rPr>
          <w:sz w:val="24"/>
        </w:rPr>
        <w:t xml:space="preserve"> required by </w:t>
      </w:r>
      <w:r w:rsidRPr="39167B21" w:rsidR="75CF5031">
        <w:rPr>
          <w:sz w:val="24"/>
        </w:rPr>
        <w:t>statute and</w:t>
      </w:r>
      <w:r w:rsidRPr="39167B21">
        <w:rPr>
          <w:sz w:val="24"/>
        </w:rPr>
        <w:t xml:space="preserve"> are not available elsewhere.</w:t>
      </w:r>
    </w:p>
    <w:p w:rsidR="006E1307" w:rsidRPr="00056086" w:rsidP="00D340C0" w14:paraId="66A7A757" w14:textId="77777777">
      <w:pPr>
        <w:tabs>
          <w:tab w:val="left" w:pos="-720"/>
        </w:tabs>
        <w:suppressAutoHyphens/>
        <w:rPr>
          <w:sz w:val="24"/>
        </w:rPr>
      </w:pPr>
    </w:p>
    <w:p w:rsidR="00464D8C" w:rsidRPr="00056086" w:rsidP="39167B21" w14:paraId="10378C76" w14:textId="36C9530F">
      <w:pPr>
        <w:tabs>
          <w:tab w:val="num" w:pos="360"/>
        </w:tabs>
        <w:rPr>
          <w:rFonts w:ascii="Arial" w:hAnsi="Arial" w:cs="Arial"/>
          <w:color w:val="2F5496" w:themeColor="accent5" w:themeShade="BF"/>
          <w:sz w:val="24"/>
        </w:rPr>
      </w:pPr>
      <w:r w:rsidRPr="39167B21">
        <w:rPr>
          <w:rFonts w:ascii="Arial" w:hAnsi="Arial" w:cs="Arial"/>
          <w:b/>
          <w:bCs/>
          <w:color w:val="2F5496" w:themeColor="accent5" w:themeShade="BF"/>
          <w:sz w:val="24"/>
          <w:u w:val="single"/>
        </w:rPr>
        <w:t xml:space="preserve">5. </w:t>
      </w:r>
      <w:r w:rsidRPr="39167B21">
        <w:rPr>
          <w:rFonts w:ascii="Arial" w:hAnsi="Arial" w:cs="Arial"/>
          <w:b/>
          <w:bCs/>
          <w:color w:val="2F5496" w:themeColor="accent5" w:themeShade="BF"/>
          <w:sz w:val="24"/>
          <w:u w:val="single"/>
        </w:rPr>
        <w:t>Impact on Small Businesses or Other Small Entities</w:t>
      </w:r>
    </w:p>
    <w:p w:rsidR="00D340C0" w:rsidRPr="00056086" w:rsidP="006E1307" w14:paraId="37A897ED" w14:textId="77777777">
      <w:pPr>
        <w:tabs>
          <w:tab w:val="left" w:pos="-720"/>
        </w:tabs>
        <w:suppressAutoHyphens/>
        <w:jc w:val="both"/>
        <w:rPr>
          <w:color w:val="000000"/>
          <w:sz w:val="24"/>
        </w:rPr>
      </w:pPr>
    </w:p>
    <w:p w:rsidR="00D340C0" w:rsidRPr="00056086" w:rsidP="006E1307" w14:paraId="59D929A6" w14:textId="23FE7D53">
      <w:pPr>
        <w:tabs>
          <w:tab w:val="left" w:pos="-720"/>
        </w:tabs>
        <w:suppressAutoHyphens/>
        <w:jc w:val="both"/>
        <w:rPr>
          <w:rStyle w:val="CommentReference"/>
          <w:sz w:val="24"/>
          <w:szCs w:val="24"/>
        </w:rPr>
      </w:pPr>
      <w:r w:rsidRPr="39167B21">
        <w:rPr>
          <w:sz w:val="24"/>
        </w:rPr>
        <w:t xml:space="preserve">No small businesses will be involved in this </w:t>
      </w:r>
      <w:r w:rsidRPr="39167B21" w:rsidR="00782EA5">
        <w:rPr>
          <w:sz w:val="24"/>
        </w:rPr>
        <w:t>data collection.</w:t>
      </w:r>
      <w:r w:rsidRPr="39167B21">
        <w:rPr>
          <w:rStyle w:val="CommentReference"/>
          <w:sz w:val="24"/>
          <w:szCs w:val="24"/>
        </w:rPr>
        <w:t xml:space="preserve"> </w:t>
      </w:r>
    </w:p>
    <w:p w:rsidR="39167B21" w:rsidP="39167B21" w14:paraId="48EF88D5" w14:textId="03FC0F33">
      <w:pPr>
        <w:jc w:val="both"/>
        <w:rPr>
          <w:rFonts w:ascii="Arial" w:hAnsi="Arial" w:cs="Arial"/>
          <w:b/>
          <w:bCs/>
          <w:color w:val="2F5496" w:themeColor="accent5" w:themeShade="BF"/>
          <w:sz w:val="24"/>
          <w:u w:val="single"/>
        </w:rPr>
      </w:pPr>
    </w:p>
    <w:p w:rsidR="00D340C0" w:rsidRPr="00056086" w:rsidP="39167B21" w14:paraId="33BFC861" w14:textId="7B4068A9">
      <w:pPr>
        <w:jc w:val="both"/>
        <w:rPr>
          <w:rFonts w:ascii="Arial" w:hAnsi="Arial" w:cs="Arial"/>
          <w:b/>
          <w:bCs/>
          <w:color w:val="2F5496" w:themeColor="accent5" w:themeShade="BF"/>
          <w:sz w:val="24"/>
          <w:u w:val="single"/>
        </w:rPr>
      </w:pPr>
      <w:r w:rsidRPr="39167B21">
        <w:rPr>
          <w:rFonts w:ascii="Arial" w:hAnsi="Arial" w:cs="Arial"/>
          <w:b/>
          <w:bCs/>
          <w:color w:val="2F5496" w:themeColor="accent5" w:themeShade="BF"/>
          <w:sz w:val="24"/>
          <w:u w:val="single"/>
        </w:rPr>
        <w:t xml:space="preserve">6. </w:t>
      </w:r>
      <w:r w:rsidRPr="39167B21" w:rsidR="00464D8C">
        <w:rPr>
          <w:rFonts w:ascii="Arial" w:hAnsi="Arial" w:cs="Arial"/>
          <w:b/>
          <w:bCs/>
          <w:color w:val="2F5496" w:themeColor="accent5" w:themeShade="BF"/>
          <w:sz w:val="24"/>
          <w:u w:val="single"/>
        </w:rPr>
        <w:t>Consequences of Collecting the Information Less Frequently</w:t>
      </w:r>
    </w:p>
    <w:p w:rsidR="006E1307" w:rsidRPr="00056086" w:rsidP="006E1307" w14:paraId="3BB3FDA0" w14:textId="77777777">
      <w:pPr>
        <w:tabs>
          <w:tab w:val="left" w:pos="-720"/>
        </w:tabs>
        <w:suppressAutoHyphens/>
        <w:rPr>
          <w:sz w:val="24"/>
        </w:rPr>
      </w:pPr>
    </w:p>
    <w:p w:rsidR="00D340C0" w:rsidRPr="00056086" w:rsidP="006E1307" w14:paraId="5F76F44C" w14:textId="4F1797BE">
      <w:pPr>
        <w:tabs>
          <w:tab w:val="left" w:pos="-720"/>
        </w:tabs>
        <w:suppressAutoHyphens/>
        <w:rPr>
          <w:sz w:val="24"/>
        </w:rPr>
      </w:pPr>
      <w:r w:rsidRPr="00056086">
        <w:rPr>
          <w:sz w:val="24"/>
        </w:rPr>
        <w:t xml:space="preserve">Annual submission of grant reporting requirements is required by law to entitle grantees to receive federal grant funds for each year of their grant award. </w:t>
      </w:r>
    </w:p>
    <w:p w:rsidR="006E1307" w:rsidRPr="00056086" w:rsidP="006E1307" w14:paraId="57254577" w14:textId="77777777">
      <w:pPr>
        <w:tabs>
          <w:tab w:val="left" w:pos="-720"/>
        </w:tabs>
        <w:suppressAutoHyphens/>
        <w:rPr>
          <w:color w:val="000000"/>
          <w:sz w:val="24"/>
        </w:rPr>
      </w:pPr>
    </w:p>
    <w:p w:rsidR="00464D8C" w:rsidRPr="00056086" w:rsidP="39167B21" w14:paraId="7186F740" w14:textId="1932CDF2">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7. </w:t>
      </w:r>
      <w:r w:rsidRPr="39167B21">
        <w:rPr>
          <w:rFonts w:ascii="Arial" w:hAnsi="Arial" w:cs="Arial"/>
          <w:b/>
          <w:bCs/>
          <w:color w:val="2F5496" w:themeColor="accent5" w:themeShade="BF"/>
          <w:sz w:val="24"/>
          <w:u w:val="single"/>
        </w:rPr>
        <w:t>Special Circumstances Relating to the Guidelines of 5 CFR 1320.5</w:t>
      </w:r>
    </w:p>
    <w:p w:rsidR="00D340C0" w:rsidRPr="00056086" w:rsidP="006E1307" w14:paraId="2DF8FE97" w14:textId="77777777">
      <w:pPr>
        <w:tabs>
          <w:tab w:val="left" w:pos="-720"/>
        </w:tabs>
        <w:suppressAutoHyphens/>
        <w:jc w:val="both"/>
        <w:rPr>
          <w:sz w:val="24"/>
        </w:rPr>
      </w:pPr>
    </w:p>
    <w:p w:rsidR="00D340C0" w:rsidRPr="00056086" w:rsidP="006E1307" w14:paraId="444BBDC6" w14:textId="14DFBAD9">
      <w:pPr>
        <w:tabs>
          <w:tab w:val="left" w:pos="-720"/>
        </w:tabs>
        <w:suppressAutoHyphens/>
        <w:jc w:val="both"/>
        <w:rPr>
          <w:color w:val="000000"/>
          <w:sz w:val="24"/>
        </w:rPr>
      </w:pPr>
      <w:r w:rsidRPr="00056086">
        <w:rPr>
          <w:sz w:val="24"/>
        </w:rPr>
        <w:t xml:space="preserve">This data collection request is fully consistent with the guidelines in </w:t>
      </w:r>
      <w:r w:rsidRPr="00056086" w:rsidR="006E1307">
        <w:rPr>
          <w:color w:val="000000"/>
          <w:sz w:val="24"/>
        </w:rPr>
        <w:t>5 CFR 1320.5(d)</w:t>
      </w:r>
      <w:r w:rsidRPr="00056086">
        <w:rPr>
          <w:color w:val="000000"/>
          <w:sz w:val="24"/>
        </w:rPr>
        <w:t xml:space="preserve">(2). </w:t>
      </w:r>
    </w:p>
    <w:p w:rsidR="006E1307" w:rsidRPr="00056086" w:rsidP="006E1307" w14:paraId="6BEEF62E" w14:textId="77777777">
      <w:pPr>
        <w:tabs>
          <w:tab w:val="left" w:pos="-720"/>
        </w:tabs>
        <w:suppressAutoHyphens/>
        <w:jc w:val="both"/>
        <w:rPr>
          <w:color w:val="000000"/>
          <w:sz w:val="24"/>
        </w:rPr>
      </w:pPr>
    </w:p>
    <w:p w:rsidR="00464D8C" w:rsidRPr="00056086" w:rsidP="39167B21" w14:paraId="28BC2362" w14:textId="7342309A">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8. </w:t>
      </w:r>
      <w:r w:rsidRPr="39167B21">
        <w:rPr>
          <w:rFonts w:ascii="Arial" w:hAnsi="Arial" w:cs="Arial"/>
          <w:b/>
          <w:bCs/>
          <w:color w:val="2F5496" w:themeColor="accent5" w:themeShade="BF"/>
          <w:sz w:val="24"/>
          <w:u w:val="single"/>
        </w:rPr>
        <w:t>Comments in Response to the Federal Register Notice/Outside Consultation</w:t>
      </w:r>
    </w:p>
    <w:p w:rsidR="006E1307" w:rsidRPr="00056086" w:rsidP="00D340C0" w14:paraId="7A2D673D" w14:textId="77777777">
      <w:pPr>
        <w:rPr>
          <w:sz w:val="24"/>
        </w:rPr>
      </w:pPr>
    </w:p>
    <w:p w:rsidR="00880630" w:rsidRPr="00172DA4" w:rsidP="0AAF1C61" w14:paraId="57A275FC" w14:textId="1A3E701A">
      <w:pPr>
        <w:rPr>
          <w:color w:val="000000" w:themeColor="text1"/>
          <w:sz w:val="24"/>
        </w:rPr>
      </w:pPr>
      <w:r w:rsidRPr="00172DA4">
        <w:rPr>
          <w:sz w:val="24"/>
        </w:rPr>
        <w:t xml:space="preserve">A 60-day Federal Register Notice was published in the Federal Register </w:t>
      </w:r>
      <w:r w:rsidRPr="00172DA4">
        <w:rPr>
          <w:sz w:val="24"/>
        </w:rPr>
        <w:t>on May 4</w:t>
      </w:r>
      <w:r w:rsidRPr="00172DA4">
        <w:rPr>
          <w:sz w:val="24"/>
        </w:rPr>
        <w:t xml:space="preserve">, 2023: Vol. 88, No. </w:t>
      </w:r>
      <w:r w:rsidRPr="00172DA4">
        <w:rPr>
          <w:sz w:val="24"/>
        </w:rPr>
        <w:t>86</w:t>
      </w:r>
      <w:r w:rsidRPr="00172DA4">
        <w:rPr>
          <w:sz w:val="24"/>
        </w:rPr>
        <w:t xml:space="preserve">, pp. </w:t>
      </w:r>
      <w:r w:rsidRPr="00172DA4">
        <w:rPr>
          <w:sz w:val="24"/>
        </w:rPr>
        <w:t>28566-28567</w:t>
      </w:r>
      <w:r w:rsidRPr="00172DA4">
        <w:rPr>
          <w:sz w:val="24"/>
        </w:rPr>
        <w:t xml:space="preserve">. </w:t>
      </w:r>
      <w:r w:rsidRPr="00172DA4">
        <w:rPr>
          <w:color w:val="000000" w:themeColor="text1"/>
          <w:sz w:val="24"/>
        </w:rPr>
        <w:t xml:space="preserve">No public comments were received during the 60 Day comment period. </w:t>
      </w:r>
    </w:p>
    <w:p w:rsidR="00880630" w:rsidP="0AAF1C61" w14:paraId="2A658E30" w14:textId="77777777">
      <w:pPr>
        <w:rPr>
          <w:color w:val="000000" w:themeColor="text1"/>
          <w:sz w:val="24"/>
        </w:rPr>
      </w:pPr>
    </w:p>
    <w:p w:rsidR="22996E63" w:rsidP="0AAF1C61" w14:paraId="24212E33" w14:textId="184F0452">
      <w:pPr>
        <w:rPr>
          <w:color w:val="000000" w:themeColor="text1"/>
          <w:sz w:val="24"/>
        </w:rPr>
      </w:pPr>
      <w:r>
        <w:rPr>
          <w:color w:val="000000" w:themeColor="text1"/>
          <w:sz w:val="24"/>
        </w:rPr>
        <w:t>From</w:t>
      </w:r>
      <w:r w:rsidRPr="39167B21">
        <w:rPr>
          <w:color w:val="000000" w:themeColor="text1"/>
          <w:sz w:val="24"/>
        </w:rPr>
        <w:t xml:space="preserve"> </w:t>
      </w:r>
      <w:r w:rsidRPr="39167B21">
        <w:rPr>
          <w:color w:val="000000" w:themeColor="text1"/>
          <w:sz w:val="24"/>
        </w:rPr>
        <w:t xml:space="preserve">October </w:t>
      </w:r>
      <w:r>
        <w:rPr>
          <w:color w:val="000000" w:themeColor="text1"/>
          <w:sz w:val="24"/>
        </w:rPr>
        <w:t>to</w:t>
      </w:r>
      <w:r w:rsidRPr="39167B21">
        <w:rPr>
          <w:color w:val="000000" w:themeColor="text1"/>
          <w:sz w:val="24"/>
        </w:rPr>
        <w:t xml:space="preserve"> </w:t>
      </w:r>
      <w:r w:rsidRPr="39167B21">
        <w:rPr>
          <w:color w:val="000000" w:themeColor="text1"/>
          <w:sz w:val="24"/>
        </w:rPr>
        <w:t xml:space="preserve">December 2022, James Bell Associates worked with </w:t>
      </w:r>
      <w:r>
        <w:rPr>
          <w:color w:val="000000" w:themeColor="text1"/>
          <w:sz w:val="24"/>
        </w:rPr>
        <w:t xml:space="preserve">the </w:t>
      </w:r>
      <w:r w:rsidRPr="39167B21">
        <w:rPr>
          <w:color w:val="000000" w:themeColor="text1"/>
          <w:sz w:val="24"/>
        </w:rPr>
        <w:t xml:space="preserve">Contracting Officer’s Representative (COR) and Maternal and Child Health Bureau (MCHB) program contacts to identify MCHB grantees to pilot test </w:t>
      </w:r>
      <w:r>
        <w:rPr>
          <w:color w:val="000000" w:themeColor="text1"/>
          <w:sz w:val="24"/>
        </w:rPr>
        <w:t xml:space="preserve">new and </w:t>
      </w:r>
      <w:r w:rsidRPr="39167B21">
        <w:rPr>
          <w:color w:val="000000" w:themeColor="text1"/>
          <w:sz w:val="24"/>
        </w:rPr>
        <w:t xml:space="preserve">revised DGIS forms. Eighty-two grantees were asked to pilot test revised DGIS forms, </w:t>
      </w:r>
      <w:r>
        <w:rPr>
          <w:color w:val="000000" w:themeColor="text1"/>
          <w:sz w:val="24"/>
        </w:rPr>
        <w:t xml:space="preserve">and </w:t>
      </w:r>
      <w:r w:rsidRPr="39167B21">
        <w:rPr>
          <w:color w:val="000000" w:themeColor="text1"/>
          <w:sz w:val="24"/>
        </w:rPr>
        <w:t xml:space="preserve">72 of </w:t>
      </w:r>
      <w:r>
        <w:rPr>
          <w:color w:val="000000" w:themeColor="text1"/>
          <w:sz w:val="24"/>
        </w:rPr>
        <w:t xml:space="preserve">the </w:t>
      </w:r>
      <w:r w:rsidRPr="39167B21">
        <w:rPr>
          <w:color w:val="000000" w:themeColor="text1"/>
          <w:sz w:val="24"/>
        </w:rPr>
        <w:t xml:space="preserve">invited grantees (88 percent) completed a phone call or a survey to provide an estimated time burden and general feedback for each DGIS </w:t>
      </w:r>
      <w:r w:rsidRPr="39167B21">
        <w:rPr>
          <w:color w:val="000000" w:themeColor="text1"/>
          <w:sz w:val="24"/>
        </w:rPr>
        <w:t xml:space="preserve">form they pilot tested. Due to the Paperwork Reduction Act, each form was pilot tested by a maximum of nine grantees. </w:t>
      </w:r>
    </w:p>
    <w:p w:rsidR="22996E63" w:rsidP="1CD79EE0" w14:paraId="7650FAD2" w14:textId="53053D09">
      <w:pPr>
        <w:rPr>
          <w:color w:val="000000" w:themeColor="text1"/>
          <w:sz w:val="24"/>
        </w:rPr>
      </w:pPr>
    </w:p>
    <w:p w:rsidR="00464D8C" w:rsidRPr="00056086" w:rsidP="1CD79EE0" w14:paraId="5B8B09F8" w14:textId="53ECE25E">
      <w:pPr>
        <w:rPr>
          <w:color w:val="000000" w:themeColor="text1"/>
          <w:sz w:val="24"/>
        </w:rPr>
      </w:pPr>
      <w:r w:rsidRPr="1CD79EE0">
        <w:rPr>
          <w:color w:val="000000" w:themeColor="text1"/>
          <w:sz w:val="24"/>
        </w:rPr>
        <w:t xml:space="preserve">Grantees were asked to pilot test assigned DGIS forms and provide feedback on each form’s clarity, flow, definitions, and response options. </w:t>
      </w:r>
      <w:r w:rsidRPr="1CD79EE0" w:rsidR="1B7CEB85">
        <w:rPr>
          <w:color w:val="000000" w:themeColor="text1"/>
          <w:sz w:val="24"/>
        </w:rPr>
        <w:t>Grantees provided thoughtful and detailed feedback on the DGIS forms. Most of the feedback was minor and focused on issues related to formatting, spelling, or grammar. Other feedback focused on providing additional explanation</w:t>
      </w:r>
      <w:r w:rsidR="00804CD2">
        <w:rPr>
          <w:color w:val="000000" w:themeColor="text1"/>
          <w:sz w:val="24"/>
        </w:rPr>
        <w:t>s</w:t>
      </w:r>
      <w:r w:rsidRPr="1CD79EE0" w:rsidR="1B7CEB85">
        <w:rPr>
          <w:color w:val="000000" w:themeColor="text1"/>
          <w:sz w:val="24"/>
        </w:rPr>
        <w:t xml:space="preserve"> or definitions for terms, categories, or response options on </w:t>
      </w:r>
      <w:r w:rsidR="00804CD2">
        <w:rPr>
          <w:color w:val="000000" w:themeColor="text1"/>
          <w:sz w:val="24"/>
        </w:rPr>
        <w:t xml:space="preserve">the </w:t>
      </w:r>
      <w:r w:rsidRPr="1CD79EE0" w:rsidR="1B7CEB85">
        <w:rPr>
          <w:color w:val="000000" w:themeColor="text1"/>
          <w:sz w:val="24"/>
        </w:rPr>
        <w:t>DGIS form</w:t>
      </w:r>
      <w:r w:rsidR="00804CD2">
        <w:rPr>
          <w:color w:val="000000" w:themeColor="text1"/>
          <w:sz w:val="24"/>
        </w:rPr>
        <w:t>s</w:t>
      </w:r>
      <w:r w:rsidRPr="1CD79EE0" w:rsidR="1B7CEB85">
        <w:rPr>
          <w:color w:val="000000" w:themeColor="text1"/>
          <w:sz w:val="24"/>
        </w:rPr>
        <w:t xml:space="preserve">.  </w:t>
      </w:r>
    </w:p>
    <w:p w:rsidR="00464D8C" w:rsidRPr="00056086" w:rsidP="1CD79EE0" w14:paraId="3446009A" w14:textId="02DBB87A">
      <w:pPr>
        <w:rPr>
          <w:color w:val="000000" w:themeColor="text1"/>
          <w:sz w:val="24"/>
        </w:rPr>
      </w:pPr>
    </w:p>
    <w:p w:rsidR="00464D8C" w:rsidRPr="00056086" w:rsidP="1CD79EE0" w14:paraId="16FAC976" w14:textId="4587CBAC">
      <w:pPr>
        <w:rPr>
          <w:rFonts w:ascii="Arial" w:hAnsi="Arial" w:cs="Arial"/>
          <w:b/>
          <w:bCs/>
          <w:color w:val="2F5496" w:themeColor="accent5" w:themeShade="BF"/>
          <w:sz w:val="24"/>
        </w:rPr>
      </w:pPr>
      <w:r w:rsidRPr="1CD79EE0">
        <w:rPr>
          <w:rFonts w:ascii="Arial" w:hAnsi="Arial" w:cs="Arial"/>
          <w:b/>
          <w:bCs/>
          <w:color w:val="2F5496" w:themeColor="accent5" w:themeShade="BF"/>
          <w:sz w:val="24"/>
          <w:u w:val="single"/>
        </w:rPr>
        <w:t xml:space="preserve">9. </w:t>
      </w:r>
      <w:r w:rsidRPr="1CD79EE0">
        <w:rPr>
          <w:rFonts w:ascii="Arial" w:hAnsi="Arial" w:cs="Arial"/>
          <w:b/>
          <w:bCs/>
          <w:color w:val="2F5496" w:themeColor="accent5" w:themeShade="BF"/>
          <w:sz w:val="24"/>
          <w:u w:val="single"/>
        </w:rPr>
        <w:t>Explanation of any Payment/Gift to Respondents</w:t>
      </w:r>
    </w:p>
    <w:p w:rsidR="006E1307" w:rsidRPr="00056086" w:rsidP="006E1307" w14:paraId="4CFFF3FE" w14:textId="77777777">
      <w:pPr>
        <w:ind w:left="360"/>
        <w:rPr>
          <w:rFonts w:ascii="Arial" w:hAnsi="Arial" w:cs="Arial"/>
          <w:b/>
          <w:color w:val="2F5496" w:themeColor="accent5" w:themeShade="BF"/>
          <w:sz w:val="24"/>
        </w:rPr>
      </w:pPr>
    </w:p>
    <w:p w:rsidR="00D340C0" w:rsidRPr="00056086" w:rsidP="006E1307" w14:paraId="50C8BC43" w14:textId="2A293663">
      <w:pPr>
        <w:rPr>
          <w:sz w:val="24"/>
        </w:rPr>
      </w:pPr>
      <w:r w:rsidRPr="00056086">
        <w:rPr>
          <w:sz w:val="24"/>
        </w:rPr>
        <w:t>Respondents will not receive any payments or gifts.</w:t>
      </w:r>
    </w:p>
    <w:p w:rsidR="006E1307" w:rsidRPr="00056086" w:rsidP="006E1307" w14:paraId="0A182C04" w14:textId="77777777">
      <w:pPr>
        <w:rPr>
          <w:sz w:val="24"/>
        </w:rPr>
      </w:pPr>
    </w:p>
    <w:p w:rsidR="00464D8C" w:rsidRPr="00056086" w:rsidP="39167B21" w14:paraId="3FEB4229" w14:textId="6CB428C7">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10. </w:t>
      </w:r>
      <w:r w:rsidRPr="39167B21">
        <w:rPr>
          <w:rFonts w:ascii="Arial" w:hAnsi="Arial" w:cs="Arial"/>
          <w:b/>
          <w:bCs/>
          <w:color w:val="2F5496" w:themeColor="accent5" w:themeShade="BF"/>
          <w:sz w:val="24"/>
          <w:u w:val="single"/>
        </w:rPr>
        <w:t>Assurance of Confidentiality Provided to Respondents</w:t>
      </w:r>
    </w:p>
    <w:p w:rsidR="00D340C0" w:rsidRPr="00056086" w:rsidP="006E1307" w14:paraId="3AB050D5" w14:textId="77777777">
      <w:pPr>
        <w:pStyle w:val="BodyText"/>
        <w:spacing w:after="0"/>
      </w:pPr>
    </w:p>
    <w:p w:rsidR="00E95010" w:rsidP="006E1307" w14:paraId="5F95FA71" w14:textId="3EBD1E39">
      <w:pPr>
        <w:pStyle w:val="BodyText"/>
        <w:spacing w:after="0"/>
        <w:rPr>
          <w:sz w:val="24"/>
        </w:rPr>
      </w:pPr>
      <w:r>
        <w:rPr>
          <w:sz w:val="24"/>
        </w:rPr>
        <w:t xml:space="preserve">The following forms collect limited </w:t>
      </w:r>
      <w:r w:rsidR="00CD07A6">
        <w:rPr>
          <w:sz w:val="24"/>
        </w:rPr>
        <w:t xml:space="preserve">non-sensitive </w:t>
      </w:r>
      <w:r>
        <w:rPr>
          <w:sz w:val="24"/>
        </w:rPr>
        <w:t xml:space="preserve">personally identifiable information (PII) to allow </w:t>
      </w:r>
      <w:r w:rsidR="001A3487">
        <w:rPr>
          <w:sz w:val="24"/>
        </w:rPr>
        <w:t>programs</w:t>
      </w:r>
      <w:r>
        <w:rPr>
          <w:sz w:val="24"/>
        </w:rPr>
        <w:t xml:space="preserve"> to conduct longitudinal </w:t>
      </w:r>
      <w:r w:rsidR="00E473D2">
        <w:rPr>
          <w:sz w:val="24"/>
        </w:rPr>
        <w:t>individual</w:t>
      </w:r>
      <w:r>
        <w:rPr>
          <w:sz w:val="24"/>
        </w:rPr>
        <w:t xml:space="preserve">-level analysis (e.g., first name, last name, </w:t>
      </w:r>
      <w:r w:rsidR="00A77BED">
        <w:rPr>
          <w:sz w:val="24"/>
        </w:rPr>
        <w:t xml:space="preserve">email address, </w:t>
      </w:r>
      <w:r>
        <w:rPr>
          <w:sz w:val="24"/>
        </w:rPr>
        <w:t xml:space="preserve">work address).   </w:t>
      </w:r>
    </w:p>
    <w:p w:rsidR="00974864" w:rsidP="00E95010" w14:paraId="78172361" w14:textId="4D9753F1">
      <w:pPr>
        <w:pStyle w:val="BodyText"/>
        <w:numPr>
          <w:ilvl w:val="0"/>
          <w:numId w:val="30"/>
        </w:numPr>
        <w:rPr>
          <w:sz w:val="24"/>
        </w:rPr>
      </w:pPr>
      <w:r>
        <w:rPr>
          <w:sz w:val="24"/>
        </w:rPr>
        <w:t>Faculty and Staff Information Form</w:t>
      </w:r>
    </w:p>
    <w:p w:rsidR="00E95010" w:rsidRPr="00E95010" w:rsidP="00E95010" w14:paraId="496D0F92" w14:textId="24FB3305">
      <w:pPr>
        <w:pStyle w:val="BodyText"/>
        <w:numPr>
          <w:ilvl w:val="0"/>
          <w:numId w:val="30"/>
        </w:numPr>
        <w:rPr>
          <w:sz w:val="24"/>
        </w:rPr>
      </w:pPr>
      <w:r>
        <w:rPr>
          <w:sz w:val="24"/>
        </w:rPr>
        <w:t>L</w:t>
      </w:r>
      <w:r w:rsidRPr="00E95010">
        <w:rPr>
          <w:sz w:val="24"/>
        </w:rPr>
        <w:t>ong-</w:t>
      </w:r>
      <w:r w:rsidR="00E473D2">
        <w:rPr>
          <w:sz w:val="24"/>
        </w:rPr>
        <w:t>T</w:t>
      </w:r>
      <w:r w:rsidRPr="00E95010">
        <w:rPr>
          <w:sz w:val="24"/>
        </w:rPr>
        <w:t xml:space="preserve">erm </w:t>
      </w:r>
      <w:r w:rsidR="00E473D2">
        <w:rPr>
          <w:sz w:val="24"/>
        </w:rPr>
        <w:t>T</w:t>
      </w:r>
      <w:r w:rsidRPr="00E95010">
        <w:rPr>
          <w:sz w:val="24"/>
        </w:rPr>
        <w:t xml:space="preserve">rainee </w:t>
      </w:r>
      <w:r w:rsidR="00E473D2">
        <w:rPr>
          <w:sz w:val="24"/>
        </w:rPr>
        <w:t>F</w:t>
      </w:r>
      <w:r w:rsidRPr="00E95010">
        <w:rPr>
          <w:sz w:val="24"/>
        </w:rPr>
        <w:t>orm</w:t>
      </w:r>
    </w:p>
    <w:p w:rsidR="00E95010" w:rsidRPr="00E95010" w:rsidP="00E95010" w14:paraId="77FB36F1" w14:textId="78F89D42">
      <w:pPr>
        <w:pStyle w:val="BodyText"/>
        <w:numPr>
          <w:ilvl w:val="0"/>
          <w:numId w:val="30"/>
        </w:numPr>
        <w:rPr>
          <w:sz w:val="24"/>
        </w:rPr>
      </w:pPr>
      <w:r>
        <w:rPr>
          <w:sz w:val="24"/>
        </w:rPr>
        <w:t>F</w:t>
      </w:r>
      <w:r w:rsidRPr="00E95010">
        <w:rPr>
          <w:sz w:val="24"/>
        </w:rPr>
        <w:t xml:space="preserve">ormer </w:t>
      </w:r>
      <w:r w:rsidR="00E473D2">
        <w:rPr>
          <w:sz w:val="24"/>
        </w:rPr>
        <w:t>L</w:t>
      </w:r>
      <w:r w:rsidRPr="00E95010">
        <w:rPr>
          <w:sz w:val="24"/>
        </w:rPr>
        <w:t>ong-</w:t>
      </w:r>
      <w:r w:rsidR="007F5655">
        <w:rPr>
          <w:sz w:val="24"/>
        </w:rPr>
        <w:t>T</w:t>
      </w:r>
      <w:r w:rsidRPr="00E95010">
        <w:rPr>
          <w:sz w:val="24"/>
        </w:rPr>
        <w:t xml:space="preserve">erm </w:t>
      </w:r>
      <w:r w:rsidR="00E473D2">
        <w:rPr>
          <w:sz w:val="24"/>
        </w:rPr>
        <w:t>T</w:t>
      </w:r>
      <w:r w:rsidRPr="00E95010">
        <w:rPr>
          <w:sz w:val="24"/>
        </w:rPr>
        <w:t xml:space="preserve">rainee </w:t>
      </w:r>
      <w:r w:rsidR="00E473D2">
        <w:rPr>
          <w:sz w:val="24"/>
        </w:rPr>
        <w:t>F</w:t>
      </w:r>
      <w:r w:rsidRPr="00E95010">
        <w:rPr>
          <w:sz w:val="24"/>
        </w:rPr>
        <w:t>orm</w:t>
      </w:r>
    </w:p>
    <w:p w:rsidR="00E95010" w:rsidP="00E95010" w14:paraId="30365438" w14:textId="260DB234">
      <w:pPr>
        <w:pStyle w:val="BodyText"/>
        <w:spacing w:after="0"/>
        <w:rPr>
          <w:sz w:val="24"/>
        </w:rPr>
      </w:pPr>
    </w:p>
    <w:p w:rsidR="006E1307" w:rsidRPr="00056086" w:rsidP="006E1307" w14:paraId="14AE3075" w14:textId="73AE4706">
      <w:pPr>
        <w:pStyle w:val="BodyText"/>
        <w:spacing w:after="0"/>
        <w:rPr>
          <w:sz w:val="24"/>
        </w:rPr>
      </w:pPr>
      <w:r>
        <w:rPr>
          <w:sz w:val="24"/>
        </w:rPr>
        <w:t xml:space="preserve">Personally </w:t>
      </w:r>
      <w:r w:rsidR="009F5380">
        <w:rPr>
          <w:sz w:val="24"/>
        </w:rPr>
        <w:t>identifiable g</w:t>
      </w:r>
      <w:r w:rsidRPr="0058FB1A" w:rsidR="00E7784C">
        <w:rPr>
          <w:sz w:val="24"/>
        </w:rPr>
        <w:t xml:space="preserve">rantee-level </w:t>
      </w:r>
      <w:r w:rsidRPr="0058FB1A" w:rsidR="00E95010">
        <w:rPr>
          <w:sz w:val="24"/>
        </w:rPr>
        <w:t xml:space="preserve">DGIS data </w:t>
      </w:r>
      <w:r w:rsidR="00E95010">
        <w:rPr>
          <w:sz w:val="24"/>
        </w:rPr>
        <w:t>can only be accessed by HRSA employees using two factor authentication</w:t>
      </w:r>
      <w:r w:rsidR="00E473D2">
        <w:rPr>
          <w:sz w:val="24"/>
        </w:rPr>
        <w:t>,</w:t>
      </w:r>
      <w:r w:rsidR="00E95010">
        <w:rPr>
          <w:sz w:val="24"/>
        </w:rPr>
        <w:t xml:space="preserve"> and </w:t>
      </w:r>
      <w:r w:rsidR="00CD07A6">
        <w:rPr>
          <w:sz w:val="24"/>
        </w:rPr>
        <w:t xml:space="preserve">a </w:t>
      </w:r>
      <w:r w:rsidRPr="00CD07A6" w:rsidR="00CD07A6">
        <w:rPr>
          <w:sz w:val="24"/>
        </w:rPr>
        <w:t>Security Impact Analysis is conducted by an organizational official to determine the extent to which changes to the information system have affected the security state of the system.</w:t>
      </w:r>
      <w:r w:rsidR="00D87302">
        <w:rPr>
          <w:sz w:val="24"/>
        </w:rPr>
        <w:t xml:space="preserve"> As part of the </w:t>
      </w:r>
      <w:r w:rsidRPr="00D87302" w:rsidR="00D87302">
        <w:rPr>
          <w:sz w:val="24"/>
        </w:rPr>
        <w:t xml:space="preserve">HHS Enterprise Performance Life Cycle </w:t>
      </w:r>
      <w:r w:rsidR="00D87302">
        <w:rPr>
          <w:sz w:val="24"/>
        </w:rPr>
        <w:t xml:space="preserve">gate review, the security impact analysis for this release shows no impact to the HRSA Electronic Handbook platform </w:t>
      </w:r>
      <w:r w:rsidR="00E473D2">
        <w:rPr>
          <w:sz w:val="24"/>
        </w:rPr>
        <w:t>on which</w:t>
      </w:r>
      <w:r w:rsidR="00D87302">
        <w:rPr>
          <w:sz w:val="24"/>
        </w:rPr>
        <w:t xml:space="preserve"> DGIS resides. </w:t>
      </w:r>
    </w:p>
    <w:p w:rsidR="00E95010" w:rsidRPr="00056086" w:rsidP="006E1307" w14:paraId="0AD92B12" w14:textId="77777777">
      <w:pPr>
        <w:pStyle w:val="BodyText"/>
        <w:spacing w:after="0"/>
        <w:rPr>
          <w:sz w:val="24"/>
        </w:rPr>
      </w:pPr>
    </w:p>
    <w:p w:rsidR="00464D8C" w:rsidRPr="00056086" w:rsidP="39167B21" w14:paraId="104C090D" w14:textId="2BC6B766">
      <w:pPr>
        <w:tabs>
          <w:tab w:val="num" w:pos="360"/>
        </w:tabs>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11. </w:t>
      </w:r>
      <w:r w:rsidRPr="39167B21">
        <w:rPr>
          <w:rFonts w:ascii="Arial" w:hAnsi="Arial" w:cs="Arial"/>
          <w:b/>
          <w:bCs/>
          <w:color w:val="2F5496" w:themeColor="accent5" w:themeShade="BF"/>
          <w:sz w:val="24"/>
          <w:u w:val="single"/>
        </w:rPr>
        <w:t>Justification for Sensitive Questions</w:t>
      </w:r>
    </w:p>
    <w:p w:rsidR="00D41026" w:rsidRPr="00056086" w:rsidP="007741A2" w14:paraId="12408BBC" w14:textId="77777777">
      <w:pPr>
        <w:ind w:left="360"/>
        <w:rPr>
          <w:rFonts w:ascii="Arial" w:hAnsi="Arial" w:cs="Arial"/>
          <w:b/>
          <w:color w:val="2F5496" w:themeColor="accent5" w:themeShade="BF"/>
          <w:sz w:val="24"/>
        </w:rPr>
      </w:pPr>
    </w:p>
    <w:p w:rsidR="00D41026" w:rsidRPr="00056086" w:rsidP="1593C399" w14:paraId="456A50D5" w14:textId="2FF8E74E">
      <w:pPr>
        <w:widowControl/>
        <w:rPr>
          <w:sz w:val="24"/>
        </w:rPr>
      </w:pPr>
      <w:r w:rsidRPr="1593C399">
        <w:rPr>
          <w:sz w:val="24"/>
        </w:rPr>
        <w:t xml:space="preserve">In support of the Department’s longstanding commitment to achieving health equity and the Executive Order </w:t>
      </w:r>
      <w:r w:rsidRPr="1593C399">
        <w:rPr>
          <w:i/>
          <w:iCs/>
          <w:sz w:val="24"/>
        </w:rPr>
        <w:t>Advancing Racial Equity and Support for Underserved Communities Through the Federal Government</w:t>
      </w:r>
      <w:r w:rsidRPr="1593C399">
        <w:rPr>
          <w:sz w:val="24"/>
        </w:rPr>
        <w:t xml:space="preserve"> (January 21, 2021), MCHB </w:t>
      </w:r>
      <w:r w:rsidRPr="1593C399" w:rsidR="00DB31F2">
        <w:rPr>
          <w:sz w:val="24"/>
        </w:rPr>
        <w:t xml:space="preserve">has a need to </w:t>
      </w:r>
      <w:r w:rsidRPr="1593C399">
        <w:rPr>
          <w:sz w:val="24"/>
        </w:rPr>
        <w:t>col</w:t>
      </w:r>
      <w:r w:rsidRPr="1593C399" w:rsidR="00DB31F2">
        <w:rPr>
          <w:sz w:val="24"/>
        </w:rPr>
        <w:t xml:space="preserve">lect </w:t>
      </w:r>
      <w:r w:rsidRPr="1593C399" w:rsidR="00CA2B5F">
        <w:rPr>
          <w:sz w:val="24"/>
        </w:rPr>
        <w:t>both</w:t>
      </w:r>
      <w:r w:rsidRPr="1593C399">
        <w:rPr>
          <w:sz w:val="24"/>
        </w:rPr>
        <w:t xml:space="preserve"> race and ethnic</w:t>
      </w:r>
      <w:r w:rsidRPr="1593C399" w:rsidR="001B4F66">
        <w:rPr>
          <w:sz w:val="24"/>
        </w:rPr>
        <w:t>ity</w:t>
      </w:r>
      <w:r w:rsidRPr="1593C399">
        <w:rPr>
          <w:sz w:val="24"/>
        </w:rPr>
        <w:t xml:space="preserve"> </w:t>
      </w:r>
      <w:r w:rsidRPr="1593C399" w:rsidR="001958EA">
        <w:rPr>
          <w:sz w:val="24"/>
        </w:rPr>
        <w:t xml:space="preserve">data in </w:t>
      </w:r>
      <w:r w:rsidRPr="1593C399" w:rsidR="00B85F6B">
        <w:rPr>
          <w:sz w:val="24"/>
        </w:rPr>
        <w:t xml:space="preserve">both </w:t>
      </w:r>
      <w:r w:rsidRPr="1593C399" w:rsidR="001958EA">
        <w:rPr>
          <w:sz w:val="24"/>
        </w:rPr>
        <w:t xml:space="preserve">aggregate </w:t>
      </w:r>
      <w:r w:rsidRPr="1593C399" w:rsidR="00B85F6B">
        <w:rPr>
          <w:sz w:val="24"/>
        </w:rPr>
        <w:t xml:space="preserve">and individual-level </w:t>
      </w:r>
      <w:r w:rsidRPr="1593C399" w:rsidR="001958EA">
        <w:rPr>
          <w:sz w:val="24"/>
        </w:rPr>
        <w:t>form</w:t>
      </w:r>
      <w:r w:rsidRPr="1593C399">
        <w:rPr>
          <w:sz w:val="24"/>
        </w:rPr>
        <w:t xml:space="preserve">.  </w:t>
      </w:r>
      <w:r w:rsidRPr="1593C399" w:rsidR="00B57E46">
        <w:rPr>
          <w:sz w:val="24"/>
        </w:rPr>
        <w:t xml:space="preserve">There are </w:t>
      </w:r>
      <w:r w:rsidRPr="1593C399" w:rsidR="2E5EDC58">
        <w:rPr>
          <w:sz w:val="24"/>
        </w:rPr>
        <w:t>9</w:t>
      </w:r>
      <w:r w:rsidRPr="1593C399" w:rsidR="003227DB">
        <w:rPr>
          <w:sz w:val="24"/>
        </w:rPr>
        <w:t xml:space="preserve"> </w:t>
      </w:r>
      <w:r w:rsidRPr="1593C399" w:rsidR="00B57E46">
        <w:rPr>
          <w:sz w:val="24"/>
        </w:rPr>
        <w:t xml:space="preserve">DGIS forms </w:t>
      </w:r>
      <w:r w:rsidRPr="1593C399" w:rsidR="004C2AA7">
        <w:rPr>
          <w:sz w:val="24"/>
        </w:rPr>
        <w:t xml:space="preserve">that </w:t>
      </w:r>
      <w:r w:rsidRPr="1593C399" w:rsidR="00B57E46">
        <w:rPr>
          <w:sz w:val="24"/>
        </w:rPr>
        <w:t xml:space="preserve">ask the respondent to provide </w:t>
      </w:r>
      <w:r w:rsidRPr="1593C399">
        <w:rPr>
          <w:sz w:val="24"/>
        </w:rPr>
        <w:t xml:space="preserve">this information for the populations </w:t>
      </w:r>
      <w:r w:rsidRPr="1593C399" w:rsidR="00B57E46">
        <w:rPr>
          <w:sz w:val="24"/>
        </w:rPr>
        <w:t xml:space="preserve">they are serving.  These forms </w:t>
      </w:r>
      <w:r w:rsidRPr="1593C399" w:rsidR="585C207A">
        <w:rPr>
          <w:sz w:val="24"/>
        </w:rPr>
        <w:t>are</w:t>
      </w:r>
      <w:r w:rsidRPr="1593C399" w:rsidR="00B57E46">
        <w:rPr>
          <w:sz w:val="24"/>
        </w:rPr>
        <w:t xml:space="preserve"> F</w:t>
      </w:r>
      <w:r w:rsidRPr="1593C399" w:rsidR="32CE0FAC">
        <w:rPr>
          <w:sz w:val="24"/>
        </w:rPr>
        <w:t>aculty and Staff Information</w:t>
      </w:r>
      <w:r w:rsidRPr="1593C399" w:rsidR="00B85F6B">
        <w:rPr>
          <w:sz w:val="24"/>
        </w:rPr>
        <w:t xml:space="preserve"> (individual-level)</w:t>
      </w:r>
      <w:r w:rsidRPr="1593C399" w:rsidR="271725B0">
        <w:rPr>
          <w:sz w:val="24"/>
        </w:rPr>
        <w:t>;</w:t>
      </w:r>
      <w:r w:rsidRPr="1593C399" w:rsidR="537B9D13">
        <w:rPr>
          <w:sz w:val="24"/>
        </w:rPr>
        <w:t xml:space="preserve"> Medium-Term Trainees</w:t>
      </w:r>
      <w:r w:rsidRPr="1593C399" w:rsidR="7DF0B0B1">
        <w:rPr>
          <w:sz w:val="24"/>
        </w:rPr>
        <w:t>;</w:t>
      </w:r>
      <w:r w:rsidRPr="1593C399" w:rsidR="537B9D13">
        <w:rPr>
          <w:sz w:val="24"/>
        </w:rPr>
        <w:t xml:space="preserve"> Long-Term </w:t>
      </w:r>
      <w:r w:rsidRPr="1593C399" w:rsidR="00482FC8">
        <w:rPr>
          <w:sz w:val="24"/>
        </w:rPr>
        <w:t>Trainee</w:t>
      </w:r>
      <w:r w:rsidRPr="1593C399" w:rsidR="00E021F9">
        <w:rPr>
          <w:sz w:val="24"/>
        </w:rPr>
        <w:t>s</w:t>
      </w:r>
      <w:r w:rsidRPr="1593C399" w:rsidR="00B85F6B">
        <w:rPr>
          <w:sz w:val="24"/>
        </w:rPr>
        <w:t xml:space="preserve"> (individual-level)</w:t>
      </w:r>
      <w:r w:rsidRPr="1593C399" w:rsidR="00482FC8">
        <w:rPr>
          <w:sz w:val="24"/>
        </w:rPr>
        <w:t>;</w:t>
      </w:r>
      <w:r w:rsidRPr="1593C399" w:rsidR="52F76AF1">
        <w:rPr>
          <w:sz w:val="24"/>
        </w:rPr>
        <w:t xml:space="preserve"> </w:t>
      </w:r>
      <w:r w:rsidRPr="1593C399" w:rsidR="003227DB">
        <w:rPr>
          <w:sz w:val="24"/>
        </w:rPr>
        <w:t>Former Long-Term Trainee</w:t>
      </w:r>
      <w:r w:rsidRPr="1593C399" w:rsidR="00E021F9">
        <w:rPr>
          <w:sz w:val="24"/>
        </w:rPr>
        <w:t>s</w:t>
      </w:r>
      <w:r w:rsidRPr="1593C399" w:rsidR="00B85F6B">
        <w:rPr>
          <w:sz w:val="24"/>
        </w:rPr>
        <w:t xml:space="preserve"> (individual-level)</w:t>
      </w:r>
      <w:r w:rsidRPr="1593C399" w:rsidR="003227DB">
        <w:rPr>
          <w:sz w:val="24"/>
        </w:rPr>
        <w:t xml:space="preserve">; </w:t>
      </w:r>
      <w:r w:rsidRPr="1593C399" w:rsidR="008116F1">
        <w:rPr>
          <w:sz w:val="24"/>
        </w:rPr>
        <w:t xml:space="preserve">LEAP </w:t>
      </w:r>
      <w:r w:rsidRPr="1593C399" w:rsidR="0E70217E">
        <w:rPr>
          <w:sz w:val="24"/>
        </w:rPr>
        <w:t>Trainee Information</w:t>
      </w:r>
      <w:r w:rsidRPr="1593C399" w:rsidR="03473998">
        <w:rPr>
          <w:sz w:val="24"/>
        </w:rPr>
        <w:t>;</w:t>
      </w:r>
      <w:r w:rsidRPr="1593C399" w:rsidR="0E70217E">
        <w:rPr>
          <w:sz w:val="24"/>
        </w:rPr>
        <w:t xml:space="preserve"> </w:t>
      </w:r>
      <w:r w:rsidRPr="1593C399" w:rsidR="5C1436F2">
        <w:rPr>
          <w:sz w:val="24"/>
        </w:rPr>
        <w:t>Direct and Enabling Services</w:t>
      </w:r>
      <w:r w:rsidRPr="1593C399" w:rsidR="72890F3E">
        <w:rPr>
          <w:sz w:val="24"/>
        </w:rPr>
        <w:t>;</w:t>
      </w:r>
      <w:r w:rsidRPr="1593C399" w:rsidR="5C1436F2">
        <w:rPr>
          <w:sz w:val="24"/>
        </w:rPr>
        <w:t xml:space="preserve"> Engagement of Persons with Lived Experience</w:t>
      </w:r>
      <w:r w:rsidRPr="1593C399" w:rsidR="2E9EEF89">
        <w:rPr>
          <w:sz w:val="24"/>
        </w:rPr>
        <w:t>;</w:t>
      </w:r>
      <w:r w:rsidRPr="1593C399" w:rsidR="5C1436F2">
        <w:rPr>
          <w:sz w:val="24"/>
        </w:rPr>
        <w:t xml:space="preserve"> </w:t>
      </w:r>
      <w:r w:rsidRPr="1593C399" w:rsidR="1D6F51C1">
        <w:rPr>
          <w:sz w:val="24"/>
        </w:rPr>
        <w:t>Research</w:t>
      </w:r>
      <w:r w:rsidRPr="1593C399" w:rsidR="3CED7DF8">
        <w:rPr>
          <w:sz w:val="24"/>
        </w:rPr>
        <w:t>;</w:t>
      </w:r>
      <w:r w:rsidRPr="1593C399" w:rsidR="781B83A1">
        <w:rPr>
          <w:sz w:val="24"/>
        </w:rPr>
        <w:t xml:space="preserve"> </w:t>
      </w:r>
      <w:r w:rsidRPr="1593C399" w:rsidR="3503F24E">
        <w:rPr>
          <w:sz w:val="24"/>
        </w:rPr>
        <w:t xml:space="preserve">and </w:t>
      </w:r>
      <w:r w:rsidRPr="1593C399" w:rsidR="781B83A1">
        <w:rPr>
          <w:sz w:val="24"/>
        </w:rPr>
        <w:t>Family to Family</w:t>
      </w:r>
      <w:r w:rsidRPr="1593C399" w:rsidR="756203F0">
        <w:rPr>
          <w:sz w:val="24"/>
        </w:rPr>
        <w:t>.</w:t>
      </w:r>
      <w:r w:rsidRPr="1593C399" w:rsidR="00AB25A1">
        <w:rPr>
          <w:sz w:val="24"/>
        </w:rPr>
        <w:t xml:space="preserve"> </w:t>
      </w:r>
      <w:r w:rsidRPr="1593C399" w:rsidR="0066603C">
        <w:rPr>
          <w:sz w:val="24"/>
        </w:rPr>
        <w:t xml:space="preserve">MCHB uses this information to </w:t>
      </w:r>
      <w:r w:rsidRPr="1593C399" w:rsidR="00DB31F2">
        <w:rPr>
          <w:sz w:val="24"/>
        </w:rPr>
        <w:t xml:space="preserve">better understand if </w:t>
      </w:r>
      <w:r w:rsidRPr="1593C399" w:rsidR="006E1307">
        <w:rPr>
          <w:sz w:val="24"/>
        </w:rPr>
        <w:t xml:space="preserve">certain </w:t>
      </w:r>
      <w:r w:rsidRPr="1593C399" w:rsidR="00DB31F2">
        <w:rPr>
          <w:sz w:val="24"/>
        </w:rPr>
        <w:t>populations</w:t>
      </w:r>
      <w:r w:rsidRPr="1593C399" w:rsidR="006E1307">
        <w:rPr>
          <w:sz w:val="24"/>
        </w:rPr>
        <w:t>,</w:t>
      </w:r>
      <w:r w:rsidRPr="1593C399" w:rsidR="00DB31F2">
        <w:rPr>
          <w:sz w:val="24"/>
        </w:rPr>
        <w:t xml:space="preserve"> </w:t>
      </w:r>
      <w:r w:rsidRPr="1593C399" w:rsidR="00B17AE0">
        <w:rPr>
          <w:sz w:val="24"/>
        </w:rPr>
        <w:t>including people of color and others who have been historically underserved, marginalized, and adversely affected by persistent poverty and inequality</w:t>
      </w:r>
      <w:r w:rsidRPr="1593C399" w:rsidR="006E1307">
        <w:rPr>
          <w:sz w:val="24"/>
        </w:rPr>
        <w:t>,</w:t>
      </w:r>
      <w:r w:rsidRPr="1593C399" w:rsidR="00B17AE0">
        <w:rPr>
          <w:sz w:val="24"/>
        </w:rPr>
        <w:t xml:space="preserve"> </w:t>
      </w:r>
      <w:r w:rsidRPr="1593C399" w:rsidR="00DB31F2">
        <w:rPr>
          <w:sz w:val="24"/>
        </w:rPr>
        <w:t xml:space="preserve">are being served by MCHB programs. </w:t>
      </w:r>
    </w:p>
    <w:p w:rsidR="006742F1" w:rsidRPr="00056086" w:rsidP="00A96154" w14:paraId="1C111C6C" w14:textId="77777777">
      <w:pPr>
        <w:widowControl/>
        <w:rPr>
          <w:sz w:val="24"/>
        </w:rPr>
      </w:pPr>
    </w:p>
    <w:p w:rsidR="00464D8C" w:rsidP="39167B21" w14:paraId="32DA0ECF" w14:textId="73009753">
      <w:pPr>
        <w:spacing w:before="240"/>
        <w:rPr>
          <w:rFonts w:ascii="Arial" w:hAnsi="Arial" w:cs="Arial"/>
          <w:b/>
          <w:color w:val="2F5496" w:themeColor="accent5" w:themeShade="BF"/>
          <w:sz w:val="24"/>
          <w:u w:val="single"/>
        </w:rPr>
      </w:pPr>
      <w:r w:rsidRPr="39167B21">
        <w:rPr>
          <w:rFonts w:ascii="Arial" w:hAnsi="Arial" w:cs="Arial"/>
          <w:b/>
          <w:bCs/>
          <w:color w:val="2F5496" w:themeColor="accent5" w:themeShade="BF"/>
          <w:sz w:val="24"/>
          <w:u w:val="single"/>
        </w:rPr>
        <w:t xml:space="preserve">12. </w:t>
      </w:r>
      <w:r w:rsidRPr="39167B21">
        <w:rPr>
          <w:rFonts w:ascii="Arial" w:hAnsi="Arial" w:cs="Arial"/>
          <w:b/>
          <w:bCs/>
          <w:color w:val="2F5496" w:themeColor="accent5" w:themeShade="BF"/>
          <w:sz w:val="24"/>
          <w:u w:val="single"/>
        </w:rPr>
        <w:t xml:space="preserve">Estimates of Annualized Hour and Cost Burden  </w:t>
      </w:r>
    </w:p>
    <w:p w:rsidR="00807173" w:rsidP="1593C399" w14:paraId="6A31FD63" w14:textId="5CDAD68B">
      <w:pPr>
        <w:spacing w:before="240"/>
        <w:rPr>
          <w:color w:val="2F5496" w:themeColor="accent5" w:themeShade="BF"/>
          <w:sz w:val="24"/>
        </w:rPr>
      </w:pPr>
      <w:r w:rsidRPr="1593C399">
        <w:rPr>
          <w:sz w:val="24"/>
        </w:rPr>
        <w:t xml:space="preserve">The estimated total annual cost to respondents is approximately </w:t>
      </w:r>
      <w:r w:rsidRPr="1593C399" w:rsidR="000B2BF2">
        <w:rPr>
          <w:sz w:val="24"/>
        </w:rPr>
        <w:t>$</w:t>
      </w:r>
      <w:r w:rsidRPr="1593C399" w:rsidR="6C9A55F8">
        <w:rPr>
          <w:sz w:val="24"/>
        </w:rPr>
        <w:t>549,411.80</w:t>
      </w:r>
      <w:r w:rsidRPr="1593C399" w:rsidR="000B2BF2">
        <w:rPr>
          <w:sz w:val="24"/>
        </w:rPr>
        <w:t xml:space="preserve"> </w:t>
      </w:r>
      <w:r w:rsidRPr="1593C399">
        <w:rPr>
          <w:sz w:val="24"/>
        </w:rPr>
        <w:t xml:space="preserve">(see burden table below). This cost to respondents is based on the average wage of </w:t>
      </w:r>
      <w:r w:rsidRPr="1593C399" w:rsidR="008474B1">
        <w:rPr>
          <w:sz w:val="24"/>
        </w:rPr>
        <w:t xml:space="preserve">healthcare practitioners and technical workers </w:t>
      </w:r>
      <w:r w:rsidRPr="1593C399">
        <w:rPr>
          <w:sz w:val="24"/>
        </w:rPr>
        <w:t>(occupation code 2</w:t>
      </w:r>
      <w:r w:rsidRPr="1593C399" w:rsidR="008474B1">
        <w:rPr>
          <w:sz w:val="24"/>
        </w:rPr>
        <w:t>9</w:t>
      </w:r>
      <w:r w:rsidRPr="1593C399">
        <w:rPr>
          <w:sz w:val="24"/>
        </w:rPr>
        <w:t>-</w:t>
      </w:r>
      <w:r w:rsidRPr="1593C399" w:rsidR="008474B1">
        <w:rPr>
          <w:sz w:val="24"/>
        </w:rPr>
        <w:t>9099</w:t>
      </w:r>
      <w:r w:rsidRPr="1593C399">
        <w:rPr>
          <w:sz w:val="24"/>
        </w:rPr>
        <w:t>). Estimates come from the 20</w:t>
      </w:r>
      <w:r w:rsidRPr="1593C399" w:rsidR="00050FA8">
        <w:rPr>
          <w:sz w:val="24"/>
        </w:rPr>
        <w:t>21</w:t>
      </w:r>
      <w:r w:rsidRPr="1593C399">
        <w:rPr>
          <w:sz w:val="24"/>
        </w:rPr>
        <w:t xml:space="preserve"> Bureau of Labor Statistics report on Wage Estimates (retrieved from </w:t>
      </w:r>
      <w:hyperlink r:id="rId10">
        <w:r w:rsidRPr="1593C399" w:rsidR="00762C0F">
          <w:rPr>
            <w:rStyle w:val="Hyperlink"/>
            <w:sz w:val="24"/>
          </w:rPr>
          <w:t>https://www.bls.gov/oes/current/oes299099.htm</w:t>
        </w:r>
      </w:hyperlink>
      <w:r w:rsidRPr="1593C399">
        <w:rPr>
          <w:color w:val="2F5496" w:themeColor="accent5" w:themeShade="BF"/>
          <w:sz w:val="24"/>
        </w:rPr>
        <w:t>)</w:t>
      </w:r>
      <w:r w:rsidRPr="1593C399" w:rsidR="00804CD2">
        <w:rPr>
          <w:color w:val="2F5496" w:themeColor="accent5" w:themeShade="BF"/>
          <w:sz w:val="24"/>
        </w:rPr>
        <w:t>.</w:t>
      </w:r>
    </w:p>
    <w:p w:rsidR="007A0B6C" w:rsidRPr="002107DF" w:rsidP="39167B21" w14:paraId="4FB108B5" w14:textId="77777777">
      <w:pPr>
        <w:spacing w:before="240"/>
        <w:rPr>
          <w:color w:val="2F5496" w:themeColor="accent5" w:themeShade="BF"/>
          <w:sz w:val="24"/>
        </w:rPr>
      </w:pPr>
    </w:p>
    <w:tbl>
      <w:tblPr>
        <w:tblStyle w:val="TableGrid"/>
        <w:tblW w:w="9355" w:type="dxa"/>
        <w:tblLayout w:type="fixed"/>
        <w:tblLook w:val="04A0"/>
      </w:tblPr>
      <w:tblGrid>
        <w:gridCol w:w="1878"/>
        <w:gridCol w:w="1239"/>
        <w:gridCol w:w="1161"/>
        <w:gridCol w:w="1061"/>
        <w:gridCol w:w="1086"/>
        <w:gridCol w:w="805"/>
        <w:gridCol w:w="871"/>
        <w:gridCol w:w="1254"/>
      </w:tblGrid>
      <w:tr w14:paraId="01873697" w14:textId="77777777" w:rsidTr="44E354D9">
        <w:tblPrEx>
          <w:tblW w:w="9355" w:type="dxa"/>
          <w:tblLayout w:type="fixed"/>
          <w:tblLook w:val="04A0"/>
        </w:tblPrEx>
        <w:trPr>
          <w:cantSplit/>
          <w:tblHeader/>
        </w:trPr>
        <w:tc>
          <w:tcPr>
            <w:tcW w:w="1878" w:type="dxa"/>
            <w:vAlign w:val="bottom"/>
          </w:tcPr>
          <w:p w:rsidR="000B31C5" w:rsidP="002107DF" w14:paraId="65EF5882" w14:textId="60D94C70">
            <w:pPr>
              <w:contextualSpacing/>
              <w:jc w:val="center"/>
              <w:rPr>
                <w:color w:val="2F5496" w:themeColor="accent5" w:themeShade="BF"/>
                <w:sz w:val="24"/>
              </w:rPr>
            </w:pPr>
            <w:r w:rsidRPr="00685080">
              <w:t xml:space="preserve">Form </w:t>
            </w:r>
            <w:r w:rsidR="001A1816">
              <w:t>N</w:t>
            </w:r>
            <w:r w:rsidRPr="00685080">
              <w:t>ame</w:t>
            </w:r>
          </w:p>
        </w:tc>
        <w:tc>
          <w:tcPr>
            <w:tcW w:w="1239" w:type="dxa"/>
            <w:vAlign w:val="bottom"/>
          </w:tcPr>
          <w:p w:rsidR="000B31C5" w:rsidP="002107DF" w14:paraId="46DA27AF" w14:textId="6DC6E1E9">
            <w:pPr>
              <w:contextualSpacing/>
              <w:jc w:val="center"/>
            </w:pPr>
            <w:r>
              <w:t>Number of</w:t>
            </w:r>
          </w:p>
          <w:p w:rsidR="000B31C5" w:rsidP="002107DF" w14:paraId="2A236FD5" w14:textId="3A313679">
            <w:pPr>
              <w:contextualSpacing/>
              <w:jc w:val="center"/>
              <w:rPr>
                <w:color w:val="2F5496" w:themeColor="accent5" w:themeShade="BF"/>
                <w:sz w:val="24"/>
              </w:rPr>
            </w:pPr>
            <w:r>
              <w:t>Respondents</w:t>
            </w:r>
          </w:p>
        </w:tc>
        <w:tc>
          <w:tcPr>
            <w:tcW w:w="1161" w:type="dxa"/>
            <w:vAlign w:val="bottom"/>
          </w:tcPr>
          <w:p w:rsidR="000B31C5" w:rsidP="002107DF" w14:paraId="2C861AD8" w14:textId="3F920ED2">
            <w:pPr>
              <w:contextualSpacing/>
              <w:jc w:val="center"/>
              <w:rPr>
                <w:color w:val="2F5496" w:themeColor="accent5" w:themeShade="BF"/>
                <w:sz w:val="24"/>
              </w:rPr>
            </w:pPr>
            <w:r w:rsidRPr="00685080">
              <w:t>Responses per Respondent</w:t>
            </w:r>
          </w:p>
        </w:tc>
        <w:tc>
          <w:tcPr>
            <w:tcW w:w="1061" w:type="dxa"/>
            <w:vAlign w:val="bottom"/>
          </w:tcPr>
          <w:p w:rsidR="000B31C5" w:rsidP="002107DF" w14:paraId="2FC0897E" w14:textId="02DEDECA">
            <w:pPr>
              <w:contextualSpacing/>
              <w:jc w:val="center"/>
              <w:rPr>
                <w:color w:val="2F5496" w:themeColor="accent5" w:themeShade="BF"/>
                <w:sz w:val="24"/>
              </w:rPr>
            </w:pPr>
            <w:r w:rsidRPr="00685080">
              <w:t>Total Res</w:t>
            </w:r>
            <w:r>
              <w:t>ponses</w:t>
            </w:r>
          </w:p>
        </w:tc>
        <w:tc>
          <w:tcPr>
            <w:tcW w:w="1086" w:type="dxa"/>
            <w:vAlign w:val="bottom"/>
          </w:tcPr>
          <w:p w:rsidR="000B31C5" w:rsidP="002107DF" w14:paraId="08676305" w14:textId="43A922F1">
            <w:pPr>
              <w:contextualSpacing/>
              <w:jc w:val="center"/>
              <w:rPr>
                <w:color w:val="2F5496" w:themeColor="accent5" w:themeShade="BF"/>
                <w:sz w:val="24"/>
              </w:rPr>
            </w:pPr>
            <w:r>
              <w:t>Burden Hours per Response</w:t>
            </w:r>
          </w:p>
        </w:tc>
        <w:tc>
          <w:tcPr>
            <w:tcW w:w="805" w:type="dxa"/>
            <w:vAlign w:val="bottom"/>
          </w:tcPr>
          <w:p w:rsidR="000B31C5" w:rsidP="002107DF" w14:paraId="014E6BCB" w14:textId="42D7782A">
            <w:pPr>
              <w:contextualSpacing/>
              <w:jc w:val="center"/>
              <w:rPr>
                <w:color w:val="2F5496" w:themeColor="accent5" w:themeShade="BF"/>
                <w:sz w:val="24"/>
              </w:rPr>
            </w:pPr>
            <w:r>
              <w:t>Total Burden Hours</w:t>
            </w:r>
          </w:p>
        </w:tc>
        <w:tc>
          <w:tcPr>
            <w:tcW w:w="871" w:type="dxa"/>
            <w:vAlign w:val="bottom"/>
          </w:tcPr>
          <w:p w:rsidR="000B31C5" w:rsidP="002107DF" w14:paraId="388A0E55" w14:textId="200C4417">
            <w:pPr>
              <w:contextualSpacing/>
              <w:jc w:val="center"/>
              <w:rPr>
                <w:color w:val="2F5496" w:themeColor="accent5" w:themeShade="BF"/>
                <w:sz w:val="24"/>
              </w:rPr>
            </w:pPr>
            <w:r>
              <w:t>Hourly Wage Rate</w:t>
            </w:r>
          </w:p>
        </w:tc>
        <w:tc>
          <w:tcPr>
            <w:tcW w:w="1254" w:type="dxa"/>
            <w:vAlign w:val="bottom"/>
          </w:tcPr>
          <w:p w:rsidR="000B31C5" w:rsidP="002107DF" w14:paraId="2354A694" w14:textId="0B02D15C">
            <w:pPr>
              <w:contextualSpacing/>
              <w:jc w:val="center"/>
              <w:rPr>
                <w:color w:val="2F5496" w:themeColor="accent5" w:themeShade="BF"/>
                <w:sz w:val="24"/>
              </w:rPr>
            </w:pPr>
            <w:r>
              <w:t>Total Respondent Costs</w:t>
            </w:r>
          </w:p>
        </w:tc>
      </w:tr>
      <w:tr w14:paraId="5E662D61" w14:textId="77777777" w:rsidTr="44E354D9">
        <w:tblPrEx>
          <w:tblW w:w="9355" w:type="dxa"/>
          <w:tblLayout w:type="fixed"/>
          <w:tblLook w:val="04A0"/>
        </w:tblPrEx>
        <w:trPr>
          <w:cantSplit/>
        </w:trPr>
        <w:tc>
          <w:tcPr>
            <w:tcW w:w="1878" w:type="dxa"/>
          </w:tcPr>
          <w:p w:rsidR="000B31C5" w:rsidRPr="004F0236" w:rsidP="002107DF" w14:paraId="030FF3D8" w14:textId="35997EB7">
            <w:pPr>
              <w:contextualSpacing/>
              <w:rPr>
                <w:sz w:val="24"/>
              </w:rPr>
            </w:pPr>
            <w:r w:rsidRPr="004F0236">
              <w:t>Project Abstract</w:t>
            </w:r>
            <w:r w:rsidRPr="004F0236" w:rsidR="00B04763">
              <w:t>- Attachment A</w:t>
            </w:r>
          </w:p>
        </w:tc>
        <w:tc>
          <w:tcPr>
            <w:tcW w:w="1239" w:type="dxa"/>
          </w:tcPr>
          <w:p w:rsidR="000B31C5" w:rsidP="002107DF" w14:paraId="160A5726" w14:textId="29F5AE6C">
            <w:pPr>
              <w:contextualSpacing/>
              <w:rPr>
                <w:color w:val="2F5496" w:themeColor="accent5" w:themeShade="BF"/>
                <w:sz w:val="24"/>
              </w:rPr>
            </w:pPr>
            <w:r w:rsidRPr="00C90D16">
              <w:t xml:space="preserve"> 817 </w:t>
            </w:r>
          </w:p>
        </w:tc>
        <w:tc>
          <w:tcPr>
            <w:tcW w:w="1161" w:type="dxa"/>
          </w:tcPr>
          <w:p w:rsidR="000B31C5" w:rsidP="002107DF" w14:paraId="25BE10B2" w14:textId="696A4C47">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07933683" w14:textId="670E70FF">
            <w:pPr>
              <w:contextualSpacing/>
              <w:rPr>
                <w:color w:val="2F5496" w:themeColor="accent5" w:themeShade="BF"/>
                <w:sz w:val="24"/>
              </w:rPr>
            </w:pPr>
            <w:r w:rsidRPr="00C90D16">
              <w:t xml:space="preserve"> 817 </w:t>
            </w:r>
          </w:p>
        </w:tc>
        <w:tc>
          <w:tcPr>
            <w:tcW w:w="1086" w:type="dxa"/>
          </w:tcPr>
          <w:p w:rsidR="000B31C5" w:rsidP="002107DF" w14:paraId="359EFBC2" w14:textId="382DEAA9">
            <w:pPr>
              <w:contextualSpacing/>
              <w:rPr>
                <w:color w:val="2F5496" w:themeColor="accent5" w:themeShade="BF"/>
                <w:sz w:val="24"/>
              </w:rPr>
            </w:pPr>
            <w:r w:rsidRPr="00685080">
              <w:t>1.</w:t>
            </w:r>
            <w:r w:rsidRPr="00C90D16" w:rsidR="006D71AF">
              <w:t>33</w:t>
            </w:r>
          </w:p>
        </w:tc>
        <w:tc>
          <w:tcPr>
            <w:tcW w:w="805" w:type="dxa"/>
          </w:tcPr>
          <w:p w:rsidR="000B31C5" w:rsidP="002107DF" w14:paraId="2F2D15D9" w14:textId="388DF832">
            <w:pPr>
              <w:contextualSpacing/>
              <w:rPr>
                <w:color w:val="2F5496" w:themeColor="accent5" w:themeShade="BF"/>
                <w:sz w:val="24"/>
              </w:rPr>
            </w:pPr>
            <w:r w:rsidRPr="00C90D16">
              <w:t xml:space="preserve"> 1,087 </w:t>
            </w:r>
          </w:p>
        </w:tc>
        <w:tc>
          <w:tcPr>
            <w:tcW w:w="871" w:type="dxa"/>
          </w:tcPr>
          <w:p w:rsidR="000B31C5" w:rsidP="002107DF" w14:paraId="6FABED89" w14:textId="364465B5">
            <w:pPr>
              <w:contextualSpacing/>
              <w:rPr>
                <w:color w:val="2F5496" w:themeColor="accent5" w:themeShade="BF"/>
                <w:sz w:val="24"/>
              </w:rPr>
            </w:pPr>
            <w:r w:rsidRPr="00685080">
              <w:t xml:space="preserve">$31.19 </w:t>
            </w:r>
          </w:p>
        </w:tc>
        <w:tc>
          <w:tcPr>
            <w:tcW w:w="1254" w:type="dxa"/>
          </w:tcPr>
          <w:p w:rsidR="000B31C5" w:rsidP="002107DF" w14:paraId="31C49A74" w14:textId="5D33D745">
            <w:pPr>
              <w:contextualSpacing/>
              <w:rPr>
                <w:color w:val="2F5496" w:themeColor="accent5" w:themeShade="BF"/>
                <w:sz w:val="24"/>
              </w:rPr>
            </w:pPr>
            <w:r w:rsidRPr="00C90D16">
              <w:t xml:space="preserve">$33,903.53 </w:t>
            </w:r>
          </w:p>
        </w:tc>
      </w:tr>
      <w:tr w14:paraId="12A17F9C" w14:textId="77777777" w:rsidTr="44E354D9">
        <w:tblPrEx>
          <w:tblW w:w="9355" w:type="dxa"/>
          <w:tblLayout w:type="fixed"/>
          <w:tblLook w:val="04A0"/>
        </w:tblPrEx>
        <w:trPr>
          <w:cantSplit/>
        </w:trPr>
        <w:tc>
          <w:tcPr>
            <w:tcW w:w="1878" w:type="dxa"/>
          </w:tcPr>
          <w:p w:rsidR="000B31C5" w:rsidRPr="004F0236" w:rsidP="002107DF" w14:paraId="2712A6D3" w14:textId="0D07A46F">
            <w:pPr>
              <w:contextualSpacing/>
              <w:rPr>
                <w:sz w:val="24"/>
              </w:rPr>
            </w:pPr>
            <w:r w:rsidRPr="004F0236">
              <w:t>Project Abstract (Research Projects Only)</w:t>
            </w:r>
            <w:r w:rsidRPr="004F0236" w:rsidR="00B04763">
              <w:t>-Attachment A</w:t>
            </w:r>
          </w:p>
        </w:tc>
        <w:tc>
          <w:tcPr>
            <w:tcW w:w="1239" w:type="dxa"/>
          </w:tcPr>
          <w:p w:rsidR="000B31C5" w:rsidP="002107DF" w14:paraId="1196B7E2" w14:textId="637F7582">
            <w:pPr>
              <w:contextualSpacing/>
              <w:rPr>
                <w:color w:val="2F5496" w:themeColor="accent5" w:themeShade="BF"/>
                <w:sz w:val="24"/>
              </w:rPr>
            </w:pPr>
            <w:r w:rsidRPr="00C90D16">
              <w:t xml:space="preserve"> 58 </w:t>
            </w:r>
          </w:p>
        </w:tc>
        <w:tc>
          <w:tcPr>
            <w:tcW w:w="1161" w:type="dxa"/>
          </w:tcPr>
          <w:p w:rsidR="000B31C5" w:rsidP="002107DF" w14:paraId="5E191AAA" w14:textId="47FC8389">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0420C321" w14:textId="1873980E">
            <w:pPr>
              <w:contextualSpacing/>
              <w:rPr>
                <w:color w:val="2F5496" w:themeColor="accent5" w:themeShade="BF"/>
                <w:sz w:val="24"/>
              </w:rPr>
            </w:pPr>
            <w:r w:rsidRPr="00C90D16">
              <w:t xml:space="preserve"> 58 </w:t>
            </w:r>
          </w:p>
        </w:tc>
        <w:tc>
          <w:tcPr>
            <w:tcW w:w="1086" w:type="dxa"/>
          </w:tcPr>
          <w:p w:rsidR="000B31C5" w:rsidP="002107DF" w14:paraId="77EA7485" w14:textId="15ECC128">
            <w:pPr>
              <w:contextualSpacing/>
              <w:rPr>
                <w:color w:val="2F5496" w:themeColor="accent5" w:themeShade="BF"/>
                <w:sz w:val="24"/>
              </w:rPr>
            </w:pPr>
            <w:r w:rsidRPr="00685080">
              <w:t>0.</w:t>
            </w:r>
            <w:r w:rsidRPr="00C90D16" w:rsidR="006D71AF">
              <w:t>66</w:t>
            </w:r>
          </w:p>
        </w:tc>
        <w:tc>
          <w:tcPr>
            <w:tcW w:w="805" w:type="dxa"/>
          </w:tcPr>
          <w:p w:rsidR="000B31C5" w:rsidP="002107DF" w14:paraId="7885009C" w14:textId="39BAF958">
            <w:pPr>
              <w:contextualSpacing/>
              <w:rPr>
                <w:color w:val="2F5496" w:themeColor="accent5" w:themeShade="BF"/>
                <w:sz w:val="24"/>
              </w:rPr>
            </w:pPr>
            <w:r w:rsidRPr="00C90D16">
              <w:t xml:space="preserve"> 38 </w:t>
            </w:r>
          </w:p>
        </w:tc>
        <w:tc>
          <w:tcPr>
            <w:tcW w:w="871" w:type="dxa"/>
          </w:tcPr>
          <w:p w:rsidR="000B31C5" w:rsidP="002107DF" w14:paraId="217548E6" w14:textId="75A51C5A">
            <w:pPr>
              <w:contextualSpacing/>
              <w:rPr>
                <w:color w:val="2F5496" w:themeColor="accent5" w:themeShade="BF"/>
                <w:sz w:val="24"/>
              </w:rPr>
            </w:pPr>
            <w:r w:rsidRPr="00685080">
              <w:t xml:space="preserve">$31.19 </w:t>
            </w:r>
          </w:p>
        </w:tc>
        <w:tc>
          <w:tcPr>
            <w:tcW w:w="1254" w:type="dxa"/>
          </w:tcPr>
          <w:p w:rsidR="000B31C5" w:rsidP="002107DF" w14:paraId="2B7A6C82" w14:textId="07FBAE88">
            <w:pPr>
              <w:contextualSpacing/>
              <w:rPr>
                <w:color w:val="2F5496" w:themeColor="accent5" w:themeShade="BF"/>
                <w:sz w:val="24"/>
              </w:rPr>
            </w:pPr>
            <w:r w:rsidRPr="00C90D16">
              <w:t xml:space="preserve">$1,185.22 </w:t>
            </w:r>
          </w:p>
        </w:tc>
      </w:tr>
      <w:tr w14:paraId="740BAB88" w14:textId="77777777" w:rsidTr="44E354D9">
        <w:tblPrEx>
          <w:tblW w:w="9355" w:type="dxa"/>
          <w:tblLayout w:type="fixed"/>
          <w:tblLook w:val="04A0"/>
        </w:tblPrEx>
        <w:trPr>
          <w:cantSplit/>
        </w:trPr>
        <w:tc>
          <w:tcPr>
            <w:tcW w:w="1878" w:type="dxa"/>
          </w:tcPr>
          <w:p w:rsidR="000B31C5" w:rsidRPr="004F0236" w:rsidP="002107DF" w14:paraId="71619FB2" w14:textId="4E222191">
            <w:pPr>
              <w:contextualSpacing/>
              <w:rPr>
                <w:sz w:val="24"/>
              </w:rPr>
            </w:pPr>
            <w:r w:rsidRPr="004F0236">
              <w:t>Financial Form</w:t>
            </w:r>
            <w:r w:rsidRPr="004F0236" w:rsidR="00B04763">
              <w:t>-Attachment A</w:t>
            </w:r>
          </w:p>
        </w:tc>
        <w:tc>
          <w:tcPr>
            <w:tcW w:w="1239" w:type="dxa"/>
          </w:tcPr>
          <w:p w:rsidR="000B31C5" w:rsidP="002107DF" w14:paraId="493859B0" w14:textId="7F280072">
            <w:pPr>
              <w:contextualSpacing/>
              <w:rPr>
                <w:color w:val="2F5496" w:themeColor="accent5" w:themeShade="BF"/>
                <w:sz w:val="24"/>
              </w:rPr>
            </w:pPr>
            <w:r w:rsidRPr="00C90D16">
              <w:t xml:space="preserve"> 817 </w:t>
            </w:r>
          </w:p>
        </w:tc>
        <w:tc>
          <w:tcPr>
            <w:tcW w:w="1161" w:type="dxa"/>
          </w:tcPr>
          <w:p w:rsidR="000B31C5" w:rsidP="002107DF" w14:paraId="11D58FAE" w14:textId="485C19CE">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48F5B86A" w14:textId="6F36BF55">
            <w:pPr>
              <w:contextualSpacing/>
              <w:rPr>
                <w:color w:val="2F5496" w:themeColor="accent5" w:themeShade="BF"/>
                <w:sz w:val="24"/>
              </w:rPr>
            </w:pPr>
            <w:r w:rsidRPr="00C90D16">
              <w:t xml:space="preserve"> 817 </w:t>
            </w:r>
          </w:p>
        </w:tc>
        <w:tc>
          <w:tcPr>
            <w:tcW w:w="1086" w:type="dxa"/>
          </w:tcPr>
          <w:p w:rsidR="000B31C5" w:rsidP="002107DF" w14:paraId="15B088D0" w14:textId="02E3FDE7">
            <w:pPr>
              <w:contextualSpacing/>
              <w:rPr>
                <w:color w:val="2F5496" w:themeColor="accent5" w:themeShade="BF"/>
                <w:sz w:val="24"/>
              </w:rPr>
            </w:pPr>
            <w:r w:rsidRPr="00C90D16">
              <w:t>0.87</w:t>
            </w:r>
          </w:p>
        </w:tc>
        <w:tc>
          <w:tcPr>
            <w:tcW w:w="805" w:type="dxa"/>
          </w:tcPr>
          <w:p w:rsidR="000B31C5" w:rsidP="002107DF" w14:paraId="307D3FEC" w14:textId="580C49AC">
            <w:pPr>
              <w:contextualSpacing/>
              <w:rPr>
                <w:color w:val="2F5496" w:themeColor="accent5" w:themeShade="BF"/>
                <w:sz w:val="24"/>
              </w:rPr>
            </w:pPr>
            <w:r w:rsidRPr="00C90D16">
              <w:t xml:space="preserve"> 711 </w:t>
            </w:r>
          </w:p>
        </w:tc>
        <w:tc>
          <w:tcPr>
            <w:tcW w:w="871" w:type="dxa"/>
          </w:tcPr>
          <w:p w:rsidR="000B31C5" w:rsidP="002107DF" w14:paraId="500A0897" w14:textId="5DED3883">
            <w:pPr>
              <w:contextualSpacing/>
              <w:rPr>
                <w:color w:val="2F5496" w:themeColor="accent5" w:themeShade="BF"/>
                <w:sz w:val="24"/>
              </w:rPr>
            </w:pPr>
            <w:r w:rsidRPr="00685080">
              <w:t xml:space="preserve">$31.19 </w:t>
            </w:r>
          </w:p>
        </w:tc>
        <w:tc>
          <w:tcPr>
            <w:tcW w:w="1254" w:type="dxa"/>
          </w:tcPr>
          <w:p w:rsidR="000B31C5" w:rsidP="002107DF" w14:paraId="2BF86A1D" w14:textId="54952839">
            <w:pPr>
              <w:contextualSpacing/>
              <w:rPr>
                <w:color w:val="2F5496" w:themeColor="accent5" w:themeShade="BF"/>
                <w:sz w:val="24"/>
              </w:rPr>
            </w:pPr>
            <w:r w:rsidRPr="00C90D16">
              <w:t xml:space="preserve">$22,176.09 </w:t>
            </w:r>
          </w:p>
        </w:tc>
      </w:tr>
      <w:tr w14:paraId="05C6B87F" w14:textId="77777777" w:rsidTr="44E354D9">
        <w:tblPrEx>
          <w:tblW w:w="9355" w:type="dxa"/>
          <w:tblLayout w:type="fixed"/>
          <w:tblLook w:val="04A0"/>
        </w:tblPrEx>
        <w:trPr>
          <w:cantSplit/>
        </w:trPr>
        <w:tc>
          <w:tcPr>
            <w:tcW w:w="1878" w:type="dxa"/>
          </w:tcPr>
          <w:p w:rsidR="000B31C5" w:rsidRPr="004F0236" w:rsidP="002107DF" w14:paraId="365B3D27" w14:textId="3DA716CA">
            <w:pPr>
              <w:contextualSpacing/>
              <w:rPr>
                <w:sz w:val="24"/>
              </w:rPr>
            </w:pPr>
            <w:r w:rsidRPr="004F0236">
              <w:t>Health Equity</w:t>
            </w:r>
            <w:r w:rsidRPr="004F0236" w:rsidR="00B04763">
              <w:t>-Attachment A</w:t>
            </w:r>
          </w:p>
        </w:tc>
        <w:tc>
          <w:tcPr>
            <w:tcW w:w="1239" w:type="dxa"/>
          </w:tcPr>
          <w:p w:rsidR="000B31C5" w:rsidP="002107DF" w14:paraId="6545C99F" w14:textId="6228D689">
            <w:pPr>
              <w:contextualSpacing/>
              <w:rPr>
                <w:color w:val="2F5496" w:themeColor="accent5" w:themeShade="BF"/>
                <w:sz w:val="24"/>
              </w:rPr>
            </w:pPr>
            <w:r w:rsidRPr="00C90D16">
              <w:t xml:space="preserve"> 817 </w:t>
            </w:r>
          </w:p>
        </w:tc>
        <w:tc>
          <w:tcPr>
            <w:tcW w:w="1161" w:type="dxa"/>
          </w:tcPr>
          <w:p w:rsidR="000B31C5" w:rsidP="002107DF" w14:paraId="4154CB67" w14:textId="510563D0">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6D0C04CF" w14:textId="7646B74E">
            <w:pPr>
              <w:contextualSpacing/>
              <w:rPr>
                <w:color w:val="2F5496" w:themeColor="accent5" w:themeShade="BF"/>
                <w:sz w:val="24"/>
              </w:rPr>
            </w:pPr>
            <w:r w:rsidRPr="00C90D16">
              <w:t xml:space="preserve"> 817 </w:t>
            </w:r>
          </w:p>
        </w:tc>
        <w:tc>
          <w:tcPr>
            <w:tcW w:w="1086" w:type="dxa"/>
          </w:tcPr>
          <w:p w:rsidR="000B31C5" w:rsidP="002107DF" w14:paraId="0121639A" w14:textId="42E51961">
            <w:pPr>
              <w:contextualSpacing/>
              <w:rPr>
                <w:color w:val="2F5496" w:themeColor="accent5" w:themeShade="BF"/>
                <w:sz w:val="24"/>
              </w:rPr>
            </w:pPr>
            <w:r w:rsidRPr="00C90D16">
              <w:t>0.47</w:t>
            </w:r>
          </w:p>
        </w:tc>
        <w:tc>
          <w:tcPr>
            <w:tcW w:w="805" w:type="dxa"/>
          </w:tcPr>
          <w:p w:rsidR="000B31C5" w:rsidP="002107DF" w14:paraId="78F6BBB8" w14:textId="5435B282">
            <w:pPr>
              <w:contextualSpacing/>
              <w:rPr>
                <w:color w:val="2F5496" w:themeColor="accent5" w:themeShade="BF"/>
                <w:sz w:val="24"/>
              </w:rPr>
            </w:pPr>
            <w:r w:rsidRPr="00C90D16">
              <w:t xml:space="preserve"> 384 </w:t>
            </w:r>
          </w:p>
        </w:tc>
        <w:tc>
          <w:tcPr>
            <w:tcW w:w="871" w:type="dxa"/>
          </w:tcPr>
          <w:p w:rsidR="000B31C5" w:rsidP="002107DF" w14:paraId="2C8C8B91" w14:textId="52A304FC">
            <w:pPr>
              <w:contextualSpacing/>
              <w:rPr>
                <w:color w:val="2F5496" w:themeColor="accent5" w:themeShade="BF"/>
                <w:sz w:val="24"/>
              </w:rPr>
            </w:pPr>
            <w:r w:rsidRPr="00685080">
              <w:t xml:space="preserve">$31.19 </w:t>
            </w:r>
          </w:p>
        </w:tc>
        <w:tc>
          <w:tcPr>
            <w:tcW w:w="1254" w:type="dxa"/>
          </w:tcPr>
          <w:p w:rsidR="000B31C5" w:rsidP="002107DF" w14:paraId="26D2F326" w14:textId="3A317872">
            <w:pPr>
              <w:contextualSpacing/>
              <w:rPr>
                <w:color w:val="2F5496" w:themeColor="accent5" w:themeShade="BF"/>
                <w:sz w:val="24"/>
              </w:rPr>
            </w:pPr>
            <w:r w:rsidRPr="00C90D16">
              <w:t xml:space="preserve">$11,976.96 </w:t>
            </w:r>
          </w:p>
        </w:tc>
      </w:tr>
      <w:tr w14:paraId="0FBACFBE" w14:textId="77777777" w:rsidTr="44E354D9">
        <w:tblPrEx>
          <w:tblW w:w="9355" w:type="dxa"/>
          <w:tblLayout w:type="fixed"/>
          <w:tblLook w:val="04A0"/>
        </w:tblPrEx>
        <w:trPr>
          <w:cantSplit/>
        </w:trPr>
        <w:tc>
          <w:tcPr>
            <w:tcW w:w="1878" w:type="dxa"/>
          </w:tcPr>
          <w:p w:rsidR="000B31C5" w:rsidRPr="004F0236" w:rsidP="002107DF" w14:paraId="34906596" w14:textId="5C3F9AFA">
            <w:pPr>
              <w:contextualSpacing/>
              <w:rPr>
                <w:sz w:val="24"/>
              </w:rPr>
            </w:pPr>
            <w:r w:rsidRPr="004F0236">
              <w:t>Direct and Enabling Services</w:t>
            </w:r>
            <w:r w:rsidRPr="004F0236" w:rsidR="00B04763">
              <w:t>-Attachment A</w:t>
            </w:r>
          </w:p>
        </w:tc>
        <w:tc>
          <w:tcPr>
            <w:tcW w:w="1239" w:type="dxa"/>
          </w:tcPr>
          <w:p w:rsidR="000B31C5" w:rsidP="002107DF" w14:paraId="2295EA0F" w14:textId="1356BB44">
            <w:pPr>
              <w:contextualSpacing/>
              <w:rPr>
                <w:color w:val="2F5496" w:themeColor="accent5" w:themeShade="BF"/>
                <w:sz w:val="24"/>
              </w:rPr>
            </w:pPr>
            <w:r w:rsidRPr="00C90D16">
              <w:t xml:space="preserve"> 476 </w:t>
            </w:r>
          </w:p>
        </w:tc>
        <w:tc>
          <w:tcPr>
            <w:tcW w:w="1161" w:type="dxa"/>
          </w:tcPr>
          <w:p w:rsidR="000B31C5" w:rsidP="002107DF" w14:paraId="6C410E9F" w14:textId="136768C4">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16DAED6A" w14:textId="669DC528">
            <w:pPr>
              <w:contextualSpacing/>
              <w:rPr>
                <w:color w:val="2F5496" w:themeColor="accent5" w:themeShade="BF"/>
                <w:sz w:val="24"/>
              </w:rPr>
            </w:pPr>
            <w:r w:rsidRPr="00C90D16">
              <w:t xml:space="preserve"> 476 </w:t>
            </w:r>
          </w:p>
        </w:tc>
        <w:tc>
          <w:tcPr>
            <w:tcW w:w="1086" w:type="dxa"/>
          </w:tcPr>
          <w:p w:rsidR="000B31C5" w:rsidP="002107DF" w14:paraId="67D2B487" w14:textId="44DCC88B">
            <w:pPr>
              <w:contextualSpacing/>
              <w:rPr>
                <w:color w:val="2F5496" w:themeColor="accent5" w:themeShade="BF"/>
                <w:sz w:val="24"/>
              </w:rPr>
            </w:pPr>
            <w:r w:rsidRPr="00685080">
              <w:t>1.</w:t>
            </w:r>
            <w:r w:rsidRPr="00C90D16" w:rsidR="006D71AF">
              <w:t>89</w:t>
            </w:r>
          </w:p>
        </w:tc>
        <w:tc>
          <w:tcPr>
            <w:tcW w:w="805" w:type="dxa"/>
          </w:tcPr>
          <w:p w:rsidR="000B31C5" w:rsidP="002107DF" w14:paraId="196481A7" w14:textId="3DD4E24E">
            <w:pPr>
              <w:contextualSpacing/>
              <w:rPr>
                <w:color w:val="2F5496" w:themeColor="accent5" w:themeShade="BF"/>
                <w:sz w:val="24"/>
              </w:rPr>
            </w:pPr>
            <w:r w:rsidRPr="00C90D16">
              <w:t xml:space="preserve"> 900 </w:t>
            </w:r>
          </w:p>
        </w:tc>
        <w:tc>
          <w:tcPr>
            <w:tcW w:w="871" w:type="dxa"/>
          </w:tcPr>
          <w:p w:rsidR="000B31C5" w:rsidP="002107DF" w14:paraId="3FCE98A5" w14:textId="6B28D326">
            <w:pPr>
              <w:contextualSpacing/>
              <w:rPr>
                <w:color w:val="2F5496" w:themeColor="accent5" w:themeShade="BF"/>
                <w:sz w:val="24"/>
              </w:rPr>
            </w:pPr>
            <w:r w:rsidRPr="00685080">
              <w:t xml:space="preserve">$31.19 </w:t>
            </w:r>
          </w:p>
        </w:tc>
        <w:tc>
          <w:tcPr>
            <w:tcW w:w="1254" w:type="dxa"/>
          </w:tcPr>
          <w:p w:rsidR="000B31C5" w:rsidP="002107DF" w14:paraId="73C2B586" w14:textId="688BF0C1">
            <w:pPr>
              <w:contextualSpacing/>
              <w:rPr>
                <w:color w:val="2F5496" w:themeColor="accent5" w:themeShade="BF"/>
                <w:sz w:val="24"/>
              </w:rPr>
            </w:pPr>
            <w:r w:rsidRPr="00C90D16">
              <w:t xml:space="preserve">$28,071.00 </w:t>
            </w:r>
          </w:p>
        </w:tc>
      </w:tr>
      <w:tr w14:paraId="4AE3D481" w14:textId="77777777" w:rsidTr="44E354D9">
        <w:tblPrEx>
          <w:tblW w:w="9355" w:type="dxa"/>
          <w:tblLayout w:type="fixed"/>
          <w:tblLook w:val="04A0"/>
        </w:tblPrEx>
        <w:trPr>
          <w:cantSplit/>
        </w:trPr>
        <w:tc>
          <w:tcPr>
            <w:tcW w:w="1878" w:type="dxa"/>
          </w:tcPr>
          <w:p w:rsidR="000B31C5" w:rsidRPr="004F0236" w:rsidP="002107DF" w14:paraId="4A814A28" w14:textId="6F3EEE0F">
            <w:pPr>
              <w:contextualSpacing/>
              <w:rPr>
                <w:sz w:val="24"/>
              </w:rPr>
            </w:pPr>
            <w:r w:rsidRPr="004F0236">
              <w:t>Training and Workforce Development</w:t>
            </w:r>
            <w:r w:rsidRPr="004F0236" w:rsidR="00B04763">
              <w:t>-Attachment A</w:t>
            </w:r>
          </w:p>
        </w:tc>
        <w:tc>
          <w:tcPr>
            <w:tcW w:w="1239" w:type="dxa"/>
          </w:tcPr>
          <w:p w:rsidR="000B31C5" w:rsidP="002107DF" w14:paraId="5D06B247" w14:textId="367F8018">
            <w:pPr>
              <w:contextualSpacing/>
              <w:rPr>
                <w:color w:val="2F5496" w:themeColor="accent5" w:themeShade="BF"/>
                <w:sz w:val="24"/>
              </w:rPr>
            </w:pPr>
            <w:r w:rsidRPr="00C90D16">
              <w:t xml:space="preserve"> 250 </w:t>
            </w:r>
          </w:p>
        </w:tc>
        <w:tc>
          <w:tcPr>
            <w:tcW w:w="1161" w:type="dxa"/>
          </w:tcPr>
          <w:p w:rsidR="000B31C5" w:rsidP="002107DF" w14:paraId="64F22E26" w14:textId="4D35C306">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39E15846" w14:textId="49A7AABC">
            <w:pPr>
              <w:contextualSpacing/>
              <w:rPr>
                <w:color w:val="2F5496" w:themeColor="accent5" w:themeShade="BF"/>
                <w:sz w:val="24"/>
              </w:rPr>
            </w:pPr>
            <w:r w:rsidRPr="00C90D16">
              <w:t xml:space="preserve"> 250 </w:t>
            </w:r>
          </w:p>
        </w:tc>
        <w:tc>
          <w:tcPr>
            <w:tcW w:w="1086" w:type="dxa"/>
          </w:tcPr>
          <w:p w:rsidR="000B31C5" w:rsidP="002107DF" w14:paraId="1504418F" w14:textId="02BBDBA0">
            <w:pPr>
              <w:contextualSpacing/>
              <w:rPr>
                <w:color w:val="2F5496" w:themeColor="accent5" w:themeShade="BF"/>
                <w:sz w:val="24"/>
              </w:rPr>
            </w:pPr>
            <w:r w:rsidRPr="00C90D16">
              <w:t>2.42</w:t>
            </w:r>
          </w:p>
        </w:tc>
        <w:tc>
          <w:tcPr>
            <w:tcW w:w="805" w:type="dxa"/>
          </w:tcPr>
          <w:p w:rsidR="000B31C5" w:rsidP="002107DF" w14:paraId="5F53D367" w14:textId="2272A738">
            <w:pPr>
              <w:contextualSpacing/>
              <w:rPr>
                <w:color w:val="2F5496" w:themeColor="accent5" w:themeShade="BF"/>
                <w:sz w:val="24"/>
              </w:rPr>
            </w:pPr>
            <w:r w:rsidRPr="00C90D16">
              <w:t xml:space="preserve"> 605 </w:t>
            </w:r>
          </w:p>
        </w:tc>
        <w:tc>
          <w:tcPr>
            <w:tcW w:w="871" w:type="dxa"/>
          </w:tcPr>
          <w:p w:rsidR="000B31C5" w:rsidP="002107DF" w14:paraId="2DE2090F" w14:textId="6097E10B">
            <w:pPr>
              <w:contextualSpacing/>
              <w:rPr>
                <w:color w:val="2F5496" w:themeColor="accent5" w:themeShade="BF"/>
                <w:sz w:val="24"/>
              </w:rPr>
            </w:pPr>
            <w:r w:rsidRPr="00685080">
              <w:t xml:space="preserve">$31.19 </w:t>
            </w:r>
          </w:p>
        </w:tc>
        <w:tc>
          <w:tcPr>
            <w:tcW w:w="1254" w:type="dxa"/>
          </w:tcPr>
          <w:p w:rsidR="000B31C5" w:rsidP="002107DF" w14:paraId="53825AD7" w14:textId="6D90B072">
            <w:pPr>
              <w:contextualSpacing/>
              <w:rPr>
                <w:color w:val="2F5496" w:themeColor="accent5" w:themeShade="BF"/>
                <w:sz w:val="24"/>
              </w:rPr>
            </w:pPr>
            <w:r w:rsidRPr="00C90D16">
              <w:t xml:space="preserve">$18,869.95 </w:t>
            </w:r>
          </w:p>
        </w:tc>
      </w:tr>
      <w:tr w14:paraId="62579F57" w14:textId="77777777" w:rsidTr="44E354D9">
        <w:tblPrEx>
          <w:tblW w:w="9355" w:type="dxa"/>
          <w:tblLayout w:type="fixed"/>
          <w:tblLook w:val="04A0"/>
        </w:tblPrEx>
        <w:trPr>
          <w:cantSplit/>
        </w:trPr>
        <w:tc>
          <w:tcPr>
            <w:tcW w:w="1878" w:type="dxa"/>
          </w:tcPr>
          <w:p w:rsidR="000B31C5" w:rsidRPr="004F0236" w:rsidP="002107DF" w14:paraId="68AA79B7" w14:textId="33AA6934">
            <w:pPr>
              <w:contextualSpacing/>
              <w:rPr>
                <w:sz w:val="24"/>
              </w:rPr>
            </w:pPr>
            <w:r w:rsidRPr="004F0236">
              <w:t xml:space="preserve">Partnerships and </w:t>
            </w:r>
            <w:r w:rsidRPr="004F0236">
              <w:t>Collaboration</w:t>
            </w:r>
            <w:r w:rsidRPr="004F0236" w:rsidR="00B04763">
              <w:t xml:space="preserve"> )</w:t>
            </w:r>
            <w:r w:rsidRPr="004F0236" w:rsidR="00B04763">
              <w:t>-Attachment A</w:t>
            </w:r>
          </w:p>
        </w:tc>
        <w:tc>
          <w:tcPr>
            <w:tcW w:w="1239" w:type="dxa"/>
          </w:tcPr>
          <w:p w:rsidR="000B31C5" w:rsidP="002107DF" w14:paraId="6F0C5C23" w14:textId="2ED6C1C3">
            <w:pPr>
              <w:contextualSpacing/>
              <w:rPr>
                <w:color w:val="2F5496" w:themeColor="accent5" w:themeShade="BF"/>
                <w:sz w:val="24"/>
              </w:rPr>
            </w:pPr>
            <w:r w:rsidRPr="00C90D16">
              <w:t xml:space="preserve"> 380 </w:t>
            </w:r>
          </w:p>
        </w:tc>
        <w:tc>
          <w:tcPr>
            <w:tcW w:w="1161" w:type="dxa"/>
          </w:tcPr>
          <w:p w:rsidR="000B31C5" w:rsidP="002107DF" w14:paraId="483791D1" w14:textId="0913A4F3">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16E1D65F" w14:textId="41E35564">
            <w:pPr>
              <w:contextualSpacing/>
              <w:rPr>
                <w:color w:val="2F5496" w:themeColor="accent5" w:themeShade="BF"/>
                <w:sz w:val="24"/>
              </w:rPr>
            </w:pPr>
            <w:r w:rsidRPr="00C90D16">
              <w:t xml:space="preserve"> 380 </w:t>
            </w:r>
          </w:p>
        </w:tc>
        <w:tc>
          <w:tcPr>
            <w:tcW w:w="1086" w:type="dxa"/>
          </w:tcPr>
          <w:p w:rsidR="000B31C5" w:rsidP="002107DF" w14:paraId="70E9AD03" w14:textId="73201801">
            <w:pPr>
              <w:contextualSpacing/>
              <w:rPr>
                <w:color w:val="2F5496" w:themeColor="accent5" w:themeShade="BF"/>
                <w:sz w:val="24"/>
              </w:rPr>
            </w:pPr>
            <w:r w:rsidRPr="00C90D16">
              <w:t>1.04</w:t>
            </w:r>
          </w:p>
        </w:tc>
        <w:tc>
          <w:tcPr>
            <w:tcW w:w="805" w:type="dxa"/>
          </w:tcPr>
          <w:p w:rsidR="000B31C5" w:rsidP="002107DF" w14:paraId="4F9F3643" w14:textId="5EA3A76D">
            <w:pPr>
              <w:contextualSpacing/>
              <w:rPr>
                <w:color w:val="2F5496" w:themeColor="accent5" w:themeShade="BF"/>
                <w:sz w:val="24"/>
              </w:rPr>
            </w:pPr>
            <w:r w:rsidRPr="00C90D16">
              <w:t xml:space="preserve"> 395 </w:t>
            </w:r>
          </w:p>
        </w:tc>
        <w:tc>
          <w:tcPr>
            <w:tcW w:w="871" w:type="dxa"/>
          </w:tcPr>
          <w:p w:rsidR="000B31C5" w:rsidP="002107DF" w14:paraId="29F19104" w14:textId="0657CB63">
            <w:pPr>
              <w:contextualSpacing/>
              <w:rPr>
                <w:color w:val="2F5496" w:themeColor="accent5" w:themeShade="BF"/>
                <w:sz w:val="24"/>
              </w:rPr>
            </w:pPr>
            <w:r w:rsidRPr="00685080">
              <w:t xml:space="preserve">$31.19 </w:t>
            </w:r>
          </w:p>
        </w:tc>
        <w:tc>
          <w:tcPr>
            <w:tcW w:w="1254" w:type="dxa"/>
          </w:tcPr>
          <w:p w:rsidR="000B31C5" w:rsidP="002107DF" w14:paraId="335516C7" w14:textId="48EEE37E">
            <w:pPr>
              <w:contextualSpacing/>
              <w:rPr>
                <w:color w:val="2F5496" w:themeColor="accent5" w:themeShade="BF"/>
                <w:sz w:val="24"/>
              </w:rPr>
            </w:pPr>
            <w:r w:rsidRPr="00C90D16">
              <w:t xml:space="preserve">$12,320.05 </w:t>
            </w:r>
          </w:p>
        </w:tc>
      </w:tr>
      <w:tr w14:paraId="1AE422EA" w14:textId="77777777" w:rsidTr="44E354D9">
        <w:tblPrEx>
          <w:tblW w:w="9355" w:type="dxa"/>
          <w:tblLayout w:type="fixed"/>
          <w:tblLook w:val="04A0"/>
        </w:tblPrEx>
        <w:trPr>
          <w:cantSplit/>
        </w:trPr>
        <w:tc>
          <w:tcPr>
            <w:tcW w:w="1878" w:type="dxa"/>
          </w:tcPr>
          <w:p w:rsidR="000B31C5" w:rsidRPr="004F0236" w:rsidP="002107DF" w14:paraId="367D212A" w14:textId="229AEA22">
            <w:pPr>
              <w:contextualSpacing/>
              <w:rPr>
                <w:sz w:val="24"/>
              </w:rPr>
            </w:pPr>
            <w:r w:rsidRPr="004F0236">
              <w:t>Engagement of Persons with Lived Experience</w:t>
            </w:r>
            <w:r w:rsidRPr="004F0236" w:rsidR="00B04763">
              <w:t>-Attachment A</w:t>
            </w:r>
          </w:p>
        </w:tc>
        <w:tc>
          <w:tcPr>
            <w:tcW w:w="1239" w:type="dxa"/>
          </w:tcPr>
          <w:p w:rsidR="000B31C5" w:rsidP="002107DF" w14:paraId="796E120F" w14:textId="2DB63830">
            <w:pPr>
              <w:contextualSpacing/>
              <w:rPr>
                <w:color w:val="2F5496" w:themeColor="accent5" w:themeShade="BF"/>
                <w:sz w:val="24"/>
              </w:rPr>
            </w:pPr>
            <w:r w:rsidRPr="00C90D16">
              <w:t xml:space="preserve"> 416 </w:t>
            </w:r>
          </w:p>
        </w:tc>
        <w:tc>
          <w:tcPr>
            <w:tcW w:w="1161" w:type="dxa"/>
          </w:tcPr>
          <w:p w:rsidR="000B31C5" w:rsidP="002107DF" w14:paraId="0EB7C66F" w14:textId="1E546D80">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3B4442E7" w14:textId="2DCF225E">
            <w:pPr>
              <w:contextualSpacing/>
              <w:rPr>
                <w:color w:val="2F5496" w:themeColor="accent5" w:themeShade="BF"/>
                <w:sz w:val="24"/>
              </w:rPr>
            </w:pPr>
            <w:r w:rsidRPr="00C90D16">
              <w:t xml:space="preserve"> 416 </w:t>
            </w:r>
          </w:p>
        </w:tc>
        <w:tc>
          <w:tcPr>
            <w:tcW w:w="1086" w:type="dxa"/>
          </w:tcPr>
          <w:p w:rsidR="000B31C5" w:rsidP="002107DF" w14:paraId="44C762B2" w14:textId="318DEA7C">
            <w:pPr>
              <w:contextualSpacing/>
              <w:rPr>
                <w:color w:val="2F5496" w:themeColor="accent5" w:themeShade="BF"/>
                <w:sz w:val="24"/>
              </w:rPr>
            </w:pPr>
            <w:r w:rsidRPr="00685080">
              <w:t>1.</w:t>
            </w:r>
            <w:r w:rsidRPr="00C90D16" w:rsidR="006D71AF">
              <w:t>58</w:t>
            </w:r>
          </w:p>
        </w:tc>
        <w:tc>
          <w:tcPr>
            <w:tcW w:w="805" w:type="dxa"/>
          </w:tcPr>
          <w:p w:rsidR="000B31C5" w:rsidP="002107DF" w14:paraId="30222B25" w14:textId="62F19396">
            <w:pPr>
              <w:contextualSpacing/>
              <w:rPr>
                <w:color w:val="2F5496" w:themeColor="accent5" w:themeShade="BF"/>
                <w:sz w:val="24"/>
              </w:rPr>
            </w:pPr>
            <w:r w:rsidRPr="00C90D16">
              <w:t xml:space="preserve"> 657 </w:t>
            </w:r>
          </w:p>
        </w:tc>
        <w:tc>
          <w:tcPr>
            <w:tcW w:w="871" w:type="dxa"/>
          </w:tcPr>
          <w:p w:rsidR="000B31C5" w:rsidP="002107DF" w14:paraId="29DDF42C" w14:textId="6C8632F2">
            <w:pPr>
              <w:contextualSpacing/>
              <w:rPr>
                <w:color w:val="2F5496" w:themeColor="accent5" w:themeShade="BF"/>
                <w:sz w:val="24"/>
              </w:rPr>
            </w:pPr>
            <w:r w:rsidRPr="00685080">
              <w:t xml:space="preserve">$31.19 </w:t>
            </w:r>
          </w:p>
        </w:tc>
        <w:tc>
          <w:tcPr>
            <w:tcW w:w="1254" w:type="dxa"/>
          </w:tcPr>
          <w:p w:rsidR="000B31C5" w:rsidP="002107DF" w14:paraId="42ED0BA2" w14:textId="5D9EFCF6">
            <w:pPr>
              <w:contextualSpacing/>
              <w:rPr>
                <w:color w:val="2F5496" w:themeColor="accent5" w:themeShade="BF"/>
                <w:sz w:val="24"/>
              </w:rPr>
            </w:pPr>
            <w:r w:rsidRPr="00C90D16">
              <w:t xml:space="preserve">$20,491.83 </w:t>
            </w:r>
          </w:p>
        </w:tc>
      </w:tr>
      <w:tr w14:paraId="5A62510E" w14:textId="77777777" w:rsidTr="44E354D9">
        <w:tblPrEx>
          <w:tblW w:w="9355" w:type="dxa"/>
          <w:tblLayout w:type="fixed"/>
          <w:tblLook w:val="04A0"/>
        </w:tblPrEx>
        <w:trPr>
          <w:cantSplit/>
        </w:trPr>
        <w:tc>
          <w:tcPr>
            <w:tcW w:w="1878" w:type="dxa"/>
          </w:tcPr>
          <w:p w:rsidR="000B31C5" w:rsidRPr="004F0236" w:rsidP="002107DF" w14:paraId="7E39E524" w14:textId="2C14D087">
            <w:pPr>
              <w:contextualSpacing/>
              <w:rPr>
                <w:sz w:val="24"/>
              </w:rPr>
            </w:pPr>
            <w:r w:rsidRPr="004F0236">
              <w:t>Technical Assistance</w:t>
            </w:r>
            <w:r w:rsidRPr="004F0236" w:rsidR="00B04763">
              <w:t>-Attachment A</w:t>
            </w:r>
          </w:p>
        </w:tc>
        <w:tc>
          <w:tcPr>
            <w:tcW w:w="1239" w:type="dxa"/>
          </w:tcPr>
          <w:p w:rsidR="000B31C5" w:rsidP="002107DF" w14:paraId="0E189AC8" w14:textId="004451A6">
            <w:pPr>
              <w:contextualSpacing/>
              <w:rPr>
                <w:color w:val="2F5496" w:themeColor="accent5" w:themeShade="BF"/>
                <w:sz w:val="24"/>
              </w:rPr>
            </w:pPr>
            <w:r w:rsidRPr="00C90D16">
              <w:t xml:space="preserve"> 300 </w:t>
            </w:r>
          </w:p>
        </w:tc>
        <w:tc>
          <w:tcPr>
            <w:tcW w:w="1161" w:type="dxa"/>
          </w:tcPr>
          <w:p w:rsidR="000B31C5" w:rsidP="002107DF" w14:paraId="60F69224" w14:textId="2058C73A">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6E5164B7" w14:textId="0CE1EB8C">
            <w:pPr>
              <w:contextualSpacing/>
              <w:rPr>
                <w:color w:val="2F5496" w:themeColor="accent5" w:themeShade="BF"/>
                <w:sz w:val="24"/>
              </w:rPr>
            </w:pPr>
            <w:r w:rsidRPr="00C90D16">
              <w:t xml:space="preserve"> 300 </w:t>
            </w:r>
          </w:p>
        </w:tc>
        <w:tc>
          <w:tcPr>
            <w:tcW w:w="1086" w:type="dxa"/>
          </w:tcPr>
          <w:p w:rsidR="000B31C5" w:rsidP="002107DF" w14:paraId="4391A110" w14:textId="31EAFAD9">
            <w:pPr>
              <w:contextualSpacing/>
              <w:rPr>
                <w:color w:val="2F5496" w:themeColor="accent5" w:themeShade="BF"/>
                <w:sz w:val="24"/>
              </w:rPr>
            </w:pPr>
            <w:r w:rsidRPr="00C90D16">
              <w:t>2.24</w:t>
            </w:r>
          </w:p>
        </w:tc>
        <w:tc>
          <w:tcPr>
            <w:tcW w:w="805" w:type="dxa"/>
          </w:tcPr>
          <w:p w:rsidR="000B31C5" w:rsidP="002107DF" w14:paraId="44DCC1E6" w14:textId="67195A00">
            <w:pPr>
              <w:contextualSpacing/>
              <w:rPr>
                <w:color w:val="2F5496" w:themeColor="accent5" w:themeShade="BF"/>
                <w:sz w:val="24"/>
              </w:rPr>
            </w:pPr>
            <w:r w:rsidRPr="00C90D16">
              <w:t xml:space="preserve"> 672 </w:t>
            </w:r>
          </w:p>
        </w:tc>
        <w:tc>
          <w:tcPr>
            <w:tcW w:w="871" w:type="dxa"/>
          </w:tcPr>
          <w:p w:rsidR="000B31C5" w:rsidP="002107DF" w14:paraId="64075B49" w14:textId="2C1352FB">
            <w:pPr>
              <w:contextualSpacing/>
              <w:rPr>
                <w:color w:val="2F5496" w:themeColor="accent5" w:themeShade="BF"/>
                <w:sz w:val="24"/>
              </w:rPr>
            </w:pPr>
            <w:r w:rsidRPr="00685080">
              <w:t xml:space="preserve">$31.19 </w:t>
            </w:r>
          </w:p>
        </w:tc>
        <w:tc>
          <w:tcPr>
            <w:tcW w:w="1254" w:type="dxa"/>
          </w:tcPr>
          <w:p w:rsidR="000B31C5" w:rsidP="002107DF" w14:paraId="0945EB58" w14:textId="02BD4327">
            <w:pPr>
              <w:contextualSpacing/>
              <w:rPr>
                <w:color w:val="2F5496" w:themeColor="accent5" w:themeShade="BF"/>
                <w:sz w:val="24"/>
              </w:rPr>
            </w:pPr>
            <w:r w:rsidRPr="00C90D16">
              <w:t xml:space="preserve">$20,959.68 </w:t>
            </w:r>
          </w:p>
        </w:tc>
      </w:tr>
      <w:tr w14:paraId="077B1DE8" w14:textId="77777777" w:rsidTr="44E354D9">
        <w:tblPrEx>
          <w:tblW w:w="9355" w:type="dxa"/>
          <w:tblLayout w:type="fixed"/>
          <w:tblLook w:val="04A0"/>
        </w:tblPrEx>
        <w:trPr>
          <w:cantSplit/>
        </w:trPr>
        <w:tc>
          <w:tcPr>
            <w:tcW w:w="1878" w:type="dxa"/>
          </w:tcPr>
          <w:p w:rsidR="000B31C5" w:rsidRPr="004F0236" w:rsidP="002107DF" w14:paraId="24B98B10" w14:textId="35908B08">
            <w:pPr>
              <w:contextualSpacing/>
              <w:rPr>
                <w:sz w:val="24"/>
              </w:rPr>
            </w:pPr>
            <w:r w:rsidRPr="004F0236">
              <w:t>Outreach and Education</w:t>
            </w:r>
            <w:r w:rsidRPr="004F0236" w:rsidR="00B04763">
              <w:t>-Attachment A</w:t>
            </w:r>
          </w:p>
        </w:tc>
        <w:tc>
          <w:tcPr>
            <w:tcW w:w="1239" w:type="dxa"/>
          </w:tcPr>
          <w:p w:rsidR="000B31C5" w:rsidP="002107DF" w14:paraId="7D18AF5D" w14:textId="65847759">
            <w:pPr>
              <w:contextualSpacing/>
              <w:rPr>
                <w:color w:val="2F5496" w:themeColor="accent5" w:themeShade="BF"/>
                <w:sz w:val="24"/>
              </w:rPr>
            </w:pPr>
            <w:r w:rsidRPr="00C90D16">
              <w:t xml:space="preserve"> 500 </w:t>
            </w:r>
          </w:p>
        </w:tc>
        <w:tc>
          <w:tcPr>
            <w:tcW w:w="1161" w:type="dxa"/>
          </w:tcPr>
          <w:p w:rsidR="000B31C5" w:rsidP="002107DF" w14:paraId="370C78B9" w14:textId="24BDB8AE">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74802772" w14:textId="6C34EEAF">
            <w:pPr>
              <w:contextualSpacing/>
              <w:rPr>
                <w:color w:val="2F5496" w:themeColor="accent5" w:themeShade="BF"/>
                <w:sz w:val="24"/>
              </w:rPr>
            </w:pPr>
            <w:r w:rsidRPr="00C90D16">
              <w:t xml:space="preserve"> 500 </w:t>
            </w:r>
          </w:p>
        </w:tc>
        <w:tc>
          <w:tcPr>
            <w:tcW w:w="1086" w:type="dxa"/>
          </w:tcPr>
          <w:p w:rsidR="000B31C5" w:rsidP="002107DF" w14:paraId="7376433C" w14:textId="63B5732D">
            <w:pPr>
              <w:contextualSpacing/>
              <w:rPr>
                <w:color w:val="2F5496" w:themeColor="accent5" w:themeShade="BF"/>
                <w:sz w:val="24"/>
              </w:rPr>
            </w:pPr>
            <w:r w:rsidRPr="00685080">
              <w:t>0.</w:t>
            </w:r>
            <w:r w:rsidRPr="00C90D16" w:rsidR="006D71AF">
              <w:t>61</w:t>
            </w:r>
          </w:p>
        </w:tc>
        <w:tc>
          <w:tcPr>
            <w:tcW w:w="805" w:type="dxa"/>
          </w:tcPr>
          <w:p w:rsidR="000B31C5" w:rsidP="002107DF" w14:paraId="1AFE5AB2" w14:textId="69EEFA44">
            <w:pPr>
              <w:contextualSpacing/>
              <w:rPr>
                <w:color w:val="2F5496" w:themeColor="accent5" w:themeShade="BF"/>
                <w:sz w:val="24"/>
              </w:rPr>
            </w:pPr>
            <w:r w:rsidRPr="00C90D16">
              <w:t xml:space="preserve"> 305 </w:t>
            </w:r>
          </w:p>
        </w:tc>
        <w:tc>
          <w:tcPr>
            <w:tcW w:w="871" w:type="dxa"/>
          </w:tcPr>
          <w:p w:rsidR="000B31C5" w:rsidP="002107DF" w14:paraId="2AEA28EB" w14:textId="027ACC48">
            <w:pPr>
              <w:contextualSpacing/>
              <w:rPr>
                <w:color w:val="2F5496" w:themeColor="accent5" w:themeShade="BF"/>
                <w:sz w:val="24"/>
              </w:rPr>
            </w:pPr>
            <w:r w:rsidRPr="00685080">
              <w:t xml:space="preserve">$31.19 </w:t>
            </w:r>
          </w:p>
        </w:tc>
        <w:tc>
          <w:tcPr>
            <w:tcW w:w="1254" w:type="dxa"/>
          </w:tcPr>
          <w:p w:rsidR="000B31C5" w:rsidP="002107DF" w14:paraId="7430996F" w14:textId="3B75EDBA">
            <w:pPr>
              <w:contextualSpacing/>
              <w:rPr>
                <w:color w:val="2F5496" w:themeColor="accent5" w:themeShade="BF"/>
                <w:sz w:val="24"/>
              </w:rPr>
            </w:pPr>
            <w:r w:rsidRPr="00C90D16">
              <w:t xml:space="preserve">$9,512.95 </w:t>
            </w:r>
          </w:p>
        </w:tc>
      </w:tr>
      <w:tr w14:paraId="1D61DABD" w14:textId="77777777" w:rsidTr="44E354D9">
        <w:tblPrEx>
          <w:tblW w:w="9355" w:type="dxa"/>
          <w:tblLayout w:type="fixed"/>
          <w:tblLook w:val="04A0"/>
        </w:tblPrEx>
        <w:trPr>
          <w:cantSplit/>
        </w:trPr>
        <w:tc>
          <w:tcPr>
            <w:tcW w:w="1878" w:type="dxa"/>
          </w:tcPr>
          <w:p w:rsidR="000B31C5" w:rsidRPr="004F0236" w:rsidP="002107DF" w14:paraId="6C3C3A22" w14:textId="05329065">
            <w:pPr>
              <w:contextualSpacing/>
              <w:rPr>
                <w:sz w:val="24"/>
              </w:rPr>
            </w:pPr>
            <w:r w:rsidRPr="004F0236">
              <w:t>Research</w:t>
            </w:r>
            <w:r w:rsidRPr="004F0236" w:rsidR="00B04763">
              <w:t>-Attachment A</w:t>
            </w:r>
          </w:p>
        </w:tc>
        <w:tc>
          <w:tcPr>
            <w:tcW w:w="1239" w:type="dxa"/>
          </w:tcPr>
          <w:p w:rsidR="000B31C5" w:rsidP="002107DF" w14:paraId="5D8F0DC8" w14:textId="41454287">
            <w:pPr>
              <w:contextualSpacing/>
              <w:rPr>
                <w:color w:val="2F5496" w:themeColor="accent5" w:themeShade="BF"/>
                <w:sz w:val="24"/>
              </w:rPr>
            </w:pPr>
            <w:r w:rsidRPr="00C90D16">
              <w:t xml:space="preserve"> 65 </w:t>
            </w:r>
          </w:p>
        </w:tc>
        <w:tc>
          <w:tcPr>
            <w:tcW w:w="1161" w:type="dxa"/>
          </w:tcPr>
          <w:p w:rsidR="000B31C5" w:rsidP="002107DF" w14:paraId="54108CFE" w14:textId="7D5FD01E">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19FDD63A" w14:textId="63A905DE">
            <w:pPr>
              <w:contextualSpacing/>
              <w:rPr>
                <w:color w:val="2F5496" w:themeColor="accent5" w:themeShade="BF"/>
                <w:sz w:val="24"/>
              </w:rPr>
            </w:pPr>
            <w:r w:rsidRPr="00C90D16">
              <w:t xml:space="preserve"> 65 </w:t>
            </w:r>
          </w:p>
        </w:tc>
        <w:tc>
          <w:tcPr>
            <w:tcW w:w="1086" w:type="dxa"/>
          </w:tcPr>
          <w:p w:rsidR="000B31C5" w:rsidP="002107DF" w14:paraId="3A101C67" w14:textId="17A3359C">
            <w:pPr>
              <w:contextualSpacing/>
              <w:rPr>
                <w:color w:val="2F5496" w:themeColor="accent5" w:themeShade="BF"/>
                <w:sz w:val="24"/>
              </w:rPr>
            </w:pPr>
            <w:r w:rsidRPr="00C90D16">
              <w:t>3.11</w:t>
            </w:r>
          </w:p>
        </w:tc>
        <w:tc>
          <w:tcPr>
            <w:tcW w:w="805" w:type="dxa"/>
          </w:tcPr>
          <w:p w:rsidR="000B31C5" w:rsidP="002107DF" w14:paraId="171E7124" w14:textId="6C11F177">
            <w:pPr>
              <w:contextualSpacing/>
              <w:rPr>
                <w:color w:val="2F5496" w:themeColor="accent5" w:themeShade="BF"/>
                <w:sz w:val="24"/>
              </w:rPr>
            </w:pPr>
            <w:r w:rsidRPr="00C90D16">
              <w:t xml:space="preserve"> 202 </w:t>
            </w:r>
          </w:p>
        </w:tc>
        <w:tc>
          <w:tcPr>
            <w:tcW w:w="871" w:type="dxa"/>
          </w:tcPr>
          <w:p w:rsidR="000B31C5" w:rsidP="002107DF" w14:paraId="05E71DC4" w14:textId="6C578318">
            <w:pPr>
              <w:contextualSpacing/>
              <w:rPr>
                <w:color w:val="2F5496" w:themeColor="accent5" w:themeShade="BF"/>
                <w:sz w:val="24"/>
              </w:rPr>
            </w:pPr>
            <w:r w:rsidRPr="00685080">
              <w:t xml:space="preserve">$31.19 </w:t>
            </w:r>
          </w:p>
        </w:tc>
        <w:tc>
          <w:tcPr>
            <w:tcW w:w="1254" w:type="dxa"/>
          </w:tcPr>
          <w:p w:rsidR="000B31C5" w:rsidP="002107DF" w14:paraId="0E6D97B6" w14:textId="4BADD686">
            <w:pPr>
              <w:contextualSpacing/>
              <w:rPr>
                <w:color w:val="2F5496" w:themeColor="accent5" w:themeShade="BF"/>
                <w:sz w:val="24"/>
              </w:rPr>
            </w:pPr>
            <w:r w:rsidRPr="00C90D16">
              <w:t xml:space="preserve">$6,300.38 </w:t>
            </w:r>
          </w:p>
        </w:tc>
      </w:tr>
      <w:tr w14:paraId="374247AF" w14:textId="77777777" w:rsidTr="44E354D9">
        <w:tblPrEx>
          <w:tblW w:w="9355" w:type="dxa"/>
          <w:tblLayout w:type="fixed"/>
          <w:tblLook w:val="04A0"/>
        </w:tblPrEx>
        <w:trPr>
          <w:cantSplit/>
        </w:trPr>
        <w:tc>
          <w:tcPr>
            <w:tcW w:w="1878" w:type="dxa"/>
          </w:tcPr>
          <w:p w:rsidR="000B31C5" w:rsidRPr="004F0236" w:rsidP="002107DF" w14:paraId="098E9B41" w14:textId="7FDA2809">
            <w:pPr>
              <w:contextualSpacing/>
              <w:rPr>
                <w:sz w:val="24"/>
              </w:rPr>
            </w:pPr>
            <w:r w:rsidRPr="004F0236">
              <w:t>Guidelines and Policy</w:t>
            </w:r>
            <w:r w:rsidRPr="004F0236" w:rsidR="00B04763">
              <w:t>-Attachment A</w:t>
            </w:r>
          </w:p>
        </w:tc>
        <w:tc>
          <w:tcPr>
            <w:tcW w:w="1239" w:type="dxa"/>
          </w:tcPr>
          <w:p w:rsidR="000B31C5" w:rsidP="002107DF" w14:paraId="3EE6D332" w14:textId="40BB9F65">
            <w:pPr>
              <w:contextualSpacing/>
              <w:rPr>
                <w:color w:val="2F5496" w:themeColor="accent5" w:themeShade="BF"/>
                <w:sz w:val="24"/>
              </w:rPr>
            </w:pPr>
            <w:r w:rsidRPr="00C90D16">
              <w:t xml:space="preserve"> 78 </w:t>
            </w:r>
          </w:p>
        </w:tc>
        <w:tc>
          <w:tcPr>
            <w:tcW w:w="1161" w:type="dxa"/>
          </w:tcPr>
          <w:p w:rsidR="000B31C5" w:rsidP="002107DF" w14:paraId="3841030D" w14:textId="16C7FAAA">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311ED40E" w14:textId="307963FC">
            <w:pPr>
              <w:contextualSpacing/>
              <w:rPr>
                <w:color w:val="2F5496" w:themeColor="accent5" w:themeShade="BF"/>
                <w:sz w:val="24"/>
              </w:rPr>
            </w:pPr>
            <w:r w:rsidRPr="00C90D16">
              <w:t xml:space="preserve"> 78 </w:t>
            </w:r>
          </w:p>
        </w:tc>
        <w:tc>
          <w:tcPr>
            <w:tcW w:w="1086" w:type="dxa"/>
          </w:tcPr>
          <w:p w:rsidR="000B31C5" w:rsidP="002107DF" w14:paraId="06B9D7C2" w14:textId="07E682E1">
            <w:pPr>
              <w:contextualSpacing/>
              <w:rPr>
                <w:color w:val="2F5496" w:themeColor="accent5" w:themeShade="BF"/>
                <w:sz w:val="24"/>
              </w:rPr>
            </w:pPr>
            <w:r w:rsidRPr="00C90D16">
              <w:t>0.7</w:t>
            </w:r>
            <w:r w:rsidR="00804CD2">
              <w:t>0</w:t>
            </w:r>
          </w:p>
        </w:tc>
        <w:tc>
          <w:tcPr>
            <w:tcW w:w="805" w:type="dxa"/>
          </w:tcPr>
          <w:p w:rsidR="000B31C5" w:rsidP="002107DF" w14:paraId="2296E992" w14:textId="151BC668">
            <w:pPr>
              <w:contextualSpacing/>
              <w:rPr>
                <w:color w:val="2F5496" w:themeColor="accent5" w:themeShade="BF"/>
                <w:sz w:val="24"/>
              </w:rPr>
            </w:pPr>
            <w:r w:rsidRPr="00C90D16">
              <w:t xml:space="preserve"> 55 </w:t>
            </w:r>
          </w:p>
        </w:tc>
        <w:tc>
          <w:tcPr>
            <w:tcW w:w="871" w:type="dxa"/>
          </w:tcPr>
          <w:p w:rsidR="000B31C5" w:rsidP="002107DF" w14:paraId="128B5371" w14:textId="77CD7283">
            <w:pPr>
              <w:contextualSpacing/>
              <w:rPr>
                <w:color w:val="2F5496" w:themeColor="accent5" w:themeShade="BF"/>
                <w:sz w:val="24"/>
              </w:rPr>
            </w:pPr>
            <w:r w:rsidRPr="00685080">
              <w:t xml:space="preserve">$31.19 </w:t>
            </w:r>
          </w:p>
        </w:tc>
        <w:tc>
          <w:tcPr>
            <w:tcW w:w="1254" w:type="dxa"/>
          </w:tcPr>
          <w:p w:rsidR="000B31C5" w:rsidP="002107DF" w14:paraId="060CE1E2" w14:textId="1927DF49">
            <w:pPr>
              <w:contextualSpacing/>
              <w:rPr>
                <w:color w:val="2F5496" w:themeColor="accent5" w:themeShade="BF"/>
                <w:sz w:val="24"/>
              </w:rPr>
            </w:pPr>
            <w:r w:rsidRPr="00C90D16">
              <w:t xml:space="preserve">$1,715.45 </w:t>
            </w:r>
          </w:p>
        </w:tc>
      </w:tr>
      <w:tr w14:paraId="54D804F9" w14:textId="77777777" w:rsidTr="44E354D9">
        <w:tblPrEx>
          <w:tblW w:w="9355" w:type="dxa"/>
          <w:tblLayout w:type="fixed"/>
          <w:tblLook w:val="04A0"/>
        </w:tblPrEx>
        <w:trPr>
          <w:cantSplit/>
        </w:trPr>
        <w:tc>
          <w:tcPr>
            <w:tcW w:w="1878" w:type="dxa"/>
          </w:tcPr>
          <w:p w:rsidR="000B31C5" w:rsidRPr="004F0236" w:rsidP="002107DF" w14:paraId="10057524" w14:textId="63F2A5C4">
            <w:pPr>
              <w:contextualSpacing/>
              <w:rPr>
                <w:sz w:val="24"/>
              </w:rPr>
            </w:pPr>
            <w:r w:rsidRPr="004F0236">
              <w:t>Data and Information Systems</w:t>
            </w:r>
            <w:r w:rsidRPr="004F0236" w:rsidR="00B04763">
              <w:t>-Attachment B</w:t>
            </w:r>
          </w:p>
        </w:tc>
        <w:tc>
          <w:tcPr>
            <w:tcW w:w="1239" w:type="dxa"/>
          </w:tcPr>
          <w:p w:rsidR="000B31C5" w:rsidP="002107DF" w14:paraId="3C6B91D6" w14:textId="6AEB25A3">
            <w:pPr>
              <w:contextualSpacing/>
              <w:rPr>
                <w:color w:val="2F5496" w:themeColor="accent5" w:themeShade="BF"/>
                <w:sz w:val="24"/>
              </w:rPr>
            </w:pPr>
            <w:r w:rsidRPr="00C90D16">
              <w:t xml:space="preserve"> 50 </w:t>
            </w:r>
          </w:p>
        </w:tc>
        <w:tc>
          <w:tcPr>
            <w:tcW w:w="1161" w:type="dxa"/>
          </w:tcPr>
          <w:p w:rsidR="000B31C5" w:rsidP="002107DF" w14:paraId="05C69B95" w14:textId="2E501B22">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2F4B58A1" w14:textId="3ECF7831">
            <w:pPr>
              <w:contextualSpacing/>
              <w:rPr>
                <w:color w:val="2F5496" w:themeColor="accent5" w:themeShade="BF"/>
                <w:sz w:val="24"/>
              </w:rPr>
            </w:pPr>
            <w:r w:rsidRPr="00C90D16">
              <w:t xml:space="preserve"> 50 </w:t>
            </w:r>
          </w:p>
        </w:tc>
        <w:tc>
          <w:tcPr>
            <w:tcW w:w="1086" w:type="dxa"/>
          </w:tcPr>
          <w:p w:rsidR="000B31C5" w:rsidP="002107DF" w14:paraId="7893E67C" w14:textId="738C5DC6">
            <w:pPr>
              <w:contextualSpacing/>
              <w:rPr>
                <w:color w:val="2F5496" w:themeColor="accent5" w:themeShade="BF"/>
                <w:sz w:val="24"/>
              </w:rPr>
            </w:pPr>
            <w:r w:rsidRPr="00C90D16">
              <w:t>0.67</w:t>
            </w:r>
          </w:p>
        </w:tc>
        <w:tc>
          <w:tcPr>
            <w:tcW w:w="805" w:type="dxa"/>
          </w:tcPr>
          <w:p w:rsidR="000B31C5" w:rsidP="002107DF" w14:paraId="5CFE269F" w14:textId="0D2BFD57">
            <w:pPr>
              <w:contextualSpacing/>
              <w:rPr>
                <w:color w:val="2F5496" w:themeColor="accent5" w:themeShade="BF"/>
                <w:sz w:val="24"/>
              </w:rPr>
            </w:pPr>
            <w:r w:rsidRPr="00C90D16">
              <w:t xml:space="preserve"> 34 </w:t>
            </w:r>
          </w:p>
        </w:tc>
        <w:tc>
          <w:tcPr>
            <w:tcW w:w="871" w:type="dxa"/>
          </w:tcPr>
          <w:p w:rsidR="000B31C5" w:rsidP="002107DF" w14:paraId="1D1C7A1B" w14:textId="58FB4E9C">
            <w:pPr>
              <w:contextualSpacing/>
              <w:rPr>
                <w:color w:val="2F5496" w:themeColor="accent5" w:themeShade="BF"/>
                <w:sz w:val="24"/>
              </w:rPr>
            </w:pPr>
            <w:r w:rsidRPr="00685080">
              <w:t xml:space="preserve">$31.19 </w:t>
            </w:r>
          </w:p>
        </w:tc>
        <w:tc>
          <w:tcPr>
            <w:tcW w:w="1254" w:type="dxa"/>
          </w:tcPr>
          <w:p w:rsidR="000B31C5" w:rsidP="002107DF" w14:paraId="68851734" w14:textId="73F91326">
            <w:pPr>
              <w:contextualSpacing/>
              <w:rPr>
                <w:color w:val="2F5496" w:themeColor="accent5" w:themeShade="BF"/>
                <w:sz w:val="24"/>
              </w:rPr>
            </w:pPr>
            <w:r w:rsidRPr="00C90D16">
              <w:t xml:space="preserve">$1,060.46 </w:t>
            </w:r>
          </w:p>
        </w:tc>
      </w:tr>
      <w:tr w14:paraId="3EBC8A68" w14:textId="77777777" w:rsidTr="44E354D9">
        <w:tblPrEx>
          <w:tblW w:w="9355" w:type="dxa"/>
          <w:tblLayout w:type="fixed"/>
          <w:tblLook w:val="04A0"/>
        </w:tblPrEx>
        <w:trPr>
          <w:cantSplit/>
        </w:trPr>
        <w:tc>
          <w:tcPr>
            <w:tcW w:w="1878" w:type="dxa"/>
          </w:tcPr>
          <w:p w:rsidR="000B31C5" w:rsidRPr="004F0236" w:rsidP="002107DF" w14:paraId="05FF5A0C" w14:textId="6ECE45D7">
            <w:pPr>
              <w:contextualSpacing/>
              <w:rPr>
                <w:sz w:val="24"/>
              </w:rPr>
            </w:pPr>
            <w:r w:rsidRPr="004F0236">
              <w:t>Quality Improvement and Evaluation</w:t>
            </w:r>
            <w:r w:rsidRPr="004F0236" w:rsidR="00B04763">
              <w:t>-Attachment B</w:t>
            </w:r>
          </w:p>
        </w:tc>
        <w:tc>
          <w:tcPr>
            <w:tcW w:w="1239" w:type="dxa"/>
          </w:tcPr>
          <w:p w:rsidR="000B31C5" w:rsidP="002107DF" w14:paraId="302E4086" w14:textId="29B2955F">
            <w:pPr>
              <w:contextualSpacing/>
              <w:rPr>
                <w:color w:val="2F5496" w:themeColor="accent5" w:themeShade="BF"/>
                <w:sz w:val="24"/>
              </w:rPr>
            </w:pPr>
            <w:r w:rsidRPr="00C90D16">
              <w:t xml:space="preserve"> 346 </w:t>
            </w:r>
          </w:p>
        </w:tc>
        <w:tc>
          <w:tcPr>
            <w:tcW w:w="1161" w:type="dxa"/>
          </w:tcPr>
          <w:p w:rsidR="000B31C5" w:rsidP="002107DF" w14:paraId="796E1710" w14:textId="35BB93EB">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0F77BE78" w14:textId="73048DA5">
            <w:pPr>
              <w:contextualSpacing/>
              <w:rPr>
                <w:color w:val="2F5496" w:themeColor="accent5" w:themeShade="BF"/>
                <w:sz w:val="24"/>
              </w:rPr>
            </w:pPr>
            <w:r w:rsidRPr="00C90D16">
              <w:t xml:space="preserve"> 346 </w:t>
            </w:r>
          </w:p>
        </w:tc>
        <w:tc>
          <w:tcPr>
            <w:tcW w:w="1086" w:type="dxa"/>
          </w:tcPr>
          <w:p w:rsidR="000B31C5" w:rsidP="002107DF" w14:paraId="7FD2CC98" w14:textId="6E1D2F0D">
            <w:pPr>
              <w:contextualSpacing/>
              <w:rPr>
                <w:color w:val="2F5496" w:themeColor="accent5" w:themeShade="BF"/>
                <w:sz w:val="24"/>
              </w:rPr>
            </w:pPr>
            <w:r w:rsidRPr="00C90D16">
              <w:t>0.29</w:t>
            </w:r>
          </w:p>
        </w:tc>
        <w:tc>
          <w:tcPr>
            <w:tcW w:w="805" w:type="dxa"/>
          </w:tcPr>
          <w:p w:rsidR="000B31C5" w:rsidP="002107DF" w14:paraId="54FFDC9A" w14:textId="3483FC55">
            <w:pPr>
              <w:contextualSpacing/>
              <w:rPr>
                <w:color w:val="2F5496" w:themeColor="accent5" w:themeShade="BF"/>
                <w:sz w:val="24"/>
              </w:rPr>
            </w:pPr>
            <w:r w:rsidRPr="00C90D16">
              <w:t xml:space="preserve"> 100 </w:t>
            </w:r>
          </w:p>
        </w:tc>
        <w:tc>
          <w:tcPr>
            <w:tcW w:w="871" w:type="dxa"/>
          </w:tcPr>
          <w:p w:rsidR="000B31C5" w:rsidP="002107DF" w14:paraId="76BEE3AC" w14:textId="6EC6D123">
            <w:pPr>
              <w:contextualSpacing/>
              <w:rPr>
                <w:color w:val="2F5496" w:themeColor="accent5" w:themeShade="BF"/>
                <w:sz w:val="24"/>
              </w:rPr>
            </w:pPr>
            <w:r w:rsidRPr="00685080">
              <w:t xml:space="preserve">$31.19 </w:t>
            </w:r>
          </w:p>
        </w:tc>
        <w:tc>
          <w:tcPr>
            <w:tcW w:w="1254" w:type="dxa"/>
          </w:tcPr>
          <w:p w:rsidR="000B31C5" w:rsidP="002107DF" w14:paraId="143134A0" w14:textId="544C8C12">
            <w:pPr>
              <w:contextualSpacing/>
              <w:rPr>
                <w:color w:val="2F5496" w:themeColor="accent5" w:themeShade="BF"/>
                <w:sz w:val="24"/>
              </w:rPr>
            </w:pPr>
            <w:r w:rsidRPr="00C90D16">
              <w:t xml:space="preserve">$3,119.00 </w:t>
            </w:r>
          </w:p>
        </w:tc>
      </w:tr>
      <w:tr w14:paraId="6B65E5A4" w14:textId="77777777" w:rsidTr="44E354D9">
        <w:tblPrEx>
          <w:tblW w:w="9355" w:type="dxa"/>
          <w:tblLayout w:type="fixed"/>
          <w:tblLook w:val="04A0"/>
        </w:tblPrEx>
        <w:trPr>
          <w:cantSplit/>
        </w:trPr>
        <w:tc>
          <w:tcPr>
            <w:tcW w:w="1878" w:type="dxa"/>
          </w:tcPr>
          <w:p w:rsidR="000B31C5" w:rsidRPr="004F0236" w:rsidP="002107DF" w14:paraId="0827908A" w14:textId="7A5A29AF">
            <w:pPr>
              <w:contextualSpacing/>
              <w:rPr>
                <w:sz w:val="24"/>
              </w:rPr>
            </w:pPr>
            <w:r w:rsidRPr="004F0236">
              <w:t>Knowledge Change</w:t>
            </w:r>
            <w:r w:rsidRPr="004F0236" w:rsidR="00B04763">
              <w:t>-Attachment B</w:t>
            </w:r>
          </w:p>
        </w:tc>
        <w:tc>
          <w:tcPr>
            <w:tcW w:w="1239" w:type="dxa"/>
          </w:tcPr>
          <w:p w:rsidR="000B31C5" w:rsidP="002107DF" w14:paraId="70E0A4DE" w14:textId="19FD60F2">
            <w:pPr>
              <w:contextualSpacing/>
              <w:rPr>
                <w:color w:val="2F5496" w:themeColor="accent5" w:themeShade="BF"/>
                <w:sz w:val="24"/>
              </w:rPr>
            </w:pPr>
            <w:r w:rsidRPr="00C90D16">
              <w:t xml:space="preserve"> 200 </w:t>
            </w:r>
          </w:p>
        </w:tc>
        <w:tc>
          <w:tcPr>
            <w:tcW w:w="1161" w:type="dxa"/>
          </w:tcPr>
          <w:p w:rsidR="000B31C5" w:rsidP="002107DF" w14:paraId="7521D554" w14:textId="58CA4437">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2E01DAF2" w14:textId="5A57280E">
            <w:pPr>
              <w:contextualSpacing/>
              <w:rPr>
                <w:color w:val="2F5496" w:themeColor="accent5" w:themeShade="BF"/>
                <w:sz w:val="24"/>
              </w:rPr>
            </w:pPr>
            <w:r w:rsidRPr="00C90D16">
              <w:t xml:space="preserve"> 200 </w:t>
            </w:r>
          </w:p>
        </w:tc>
        <w:tc>
          <w:tcPr>
            <w:tcW w:w="1086" w:type="dxa"/>
          </w:tcPr>
          <w:p w:rsidR="000B31C5" w:rsidP="002107DF" w14:paraId="18395141" w14:textId="47DC781F">
            <w:pPr>
              <w:contextualSpacing/>
              <w:rPr>
                <w:color w:val="2F5496" w:themeColor="accent5" w:themeShade="BF"/>
                <w:sz w:val="24"/>
              </w:rPr>
            </w:pPr>
            <w:r w:rsidRPr="00685080">
              <w:t>1.</w:t>
            </w:r>
            <w:r w:rsidRPr="00C90D16" w:rsidR="006D71AF">
              <w:t>64</w:t>
            </w:r>
          </w:p>
        </w:tc>
        <w:tc>
          <w:tcPr>
            <w:tcW w:w="805" w:type="dxa"/>
          </w:tcPr>
          <w:p w:rsidR="000B31C5" w:rsidP="002107DF" w14:paraId="69EEEE32" w14:textId="41E9B2C4">
            <w:pPr>
              <w:contextualSpacing/>
              <w:rPr>
                <w:color w:val="2F5496" w:themeColor="accent5" w:themeShade="BF"/>
                <w:sz w:val="24"/>
              </w:rPr>
            </w:pPr>
            <w:r w:rsidRPr="00C90D16">
              <w:t xml:space="preserve"> 328 </w:t>
            </w:r>
          </w:p>
        </w:tc>
        <w:tc>
          <w:tcPr>
            <w:tcW w:w="871" w:type="dxa"/>
          </w:tcPr>
          <w:p w:rsidR="000B31C5" w:rsidP="002107DF" w14:paraId="0E34EE3A" w14:textId="520A4DF7">
            <w:pPr>
              <w:contextualSpacing/>
              <w:rPr>
                <w:color w:val="2F5496" w:themeColor="accent5" w:themeShade="BF"/>
                <w:sz w:val="24"/>
              </w:rPr>
            </w:pPr>
            <w:r w:rsidRPr="00685080">
              <w:t xml:space="preserve">$31.19 </w:t>
            </w:r>
          </w:p>
        </w:tc>
        <w:tc>
          <w:tcPr>
            <w:tcW w:w="1254" w:type="dxa"/>
          </w:tcPr>
          <w:p w:rsidR="000B31C5" w:rsidP="002107DF" w14:paraId="1FA3D66D" w14:textId="5AE671BF">
            <w:pPr>
              <w:contextualSpacing/>
              <w:rPr>
                <w:color w:val="2F5496" w:themeColor="accent5" w:themeShade="BF"/>
                <w:sz w:val="24"/>
              </w:rPr>
            </w:pPr>
            <w:r w:rsidRPr="00C90D16">
              <w:t xml:space="preserve">$10,230.32 </w:t>
            </w:r>
          </w:p>
        </w:tc>
      </w:tr>
      <w:tr w14:paraId="6E5A210A" w14:textId="77777777" w:rsidTr="44E354D9">
        <w:tblPrEx>
          <w:tblW w:w="9355" w:type="dxa"/>
          <w:tblLayout w:type="fixed"/>
          <w:tblLook w:val="04A0"/>
        </w:tblPrEx>
        <w:trPr>
          <w:cantSplit/>
        </w:trPr>
        <w:tc>
          <w:tcPr>
            <w:tcW w:w="1878" w:type="dxa"/>
          </w:tcPr>
          <w:p w:rsidR="000B31C5" w:rsidRPr="004F0236" w:rsidP="002107DF" w14:paraId="731CA554" w14:textId="6FFE2405">
            <w:pPr>
              <w:contextualSpacing/>
              <w:rPr>
                <w:sz w:val="24"/>
              </w:rPr>
            </w:pPr>
            <w:r w:rsidRPr="004F0236">
              <w:t>Behavior Change</w:t>
            </w:r>
            <w:r w:rsidRPr="004F0236" w:rsidR="00B04763">
              <w:t>-Attachment B</w:t>
            </w:r>
          </w:p>
        </w:tc>
        <w:tc>
          <w:tcPr>
            <w:tcW w:w="1239" w:type="dxa"/>
          </w:tcPr>
          <w:p w:rsidR="000B31C5" w:rsidP="002107DF" w14:paraId="2CFF8971" w14:textId="69CC29E0">
            <w:pPr>
              <w:contextualSpacing/>
              <w:rPr>
                <w:color w:val="2F5496" w:themeColor="accent5" w:themeShade="BF"/>
                <w:sz w:val="24"/>
              </w:rPr>
            </w:pPr>
            <w:r w:rsidRPr="00C90D16">
              <w:t xml:space="preserve"> 200 </w:t>
            </w:r>
          </w:p>
        </w:tc>
        <w:tc>
          <w:tcPr>
            <w:tcW w:w="1161" w:type="dxa"/>
          </w:tcPr>
          <w:p w:rsidR="000B31C5" w:rsidP="002107DF" w14:paraId="62488CB0" w14:textId="436A8860">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144A3792" w14:textId="0A02292D">
            <w:pPr>
              <w:contextualSpacing/>
              <w:rPr>
                <w:color w:val="2F5496" w:themeColor="accent5" w:themeShade="BF"/>
                <w:sz w:val="24"/>
              </w:rPr>
            </w:pPr>
            <w:r w:rsidRPr="00C90D16">
              <w:t xml:space="preserve"> 200 </w:t>
            </w:r>
          </w:p>
        </w:tc>
        <w:tc>
          <w:tcPr>
            <w:tcW w:w="1086" w:type="dxa"/>
          </w:tcPr>
          <w:p w:rsidR="000B31C5" w:rsidP="002107DF" w14:paraId="7E42AAA3" w14:textId="5F9AA715">
            <w:pPr>
              <w:contextualSpacing/>
              <w:rPr>
                <w:color w:val="2F5496" w:themeColor="accent5" w:themeShade="BF"/>
                <w:sz w:val="24"/>
              </w:rPr>
            </w:pPr>
            <w:r w:rsidRPr="00C90D16">
              <w:t>1.56</w:t>
            </w:r>
          </w:p>
        </w:tc>
        <w:tc>
          <w:tcPr>
            <w:tcW w:w="805" w:type="dxa"/>
          </w:tcPr>
          <w:p w:rsidR="000B31C5" w:rsidP="002107DF" w14:paraId="5E991DCF" w14:textId="26585114">
            <w:pPr>
              <w:contextualSpacing/>
              <w:rPr>
                <w:color w:val="2F5496" w:themeColor="accent5" w:themeShade="BF"/>
                <w:sz w:val="24"/>
              </w:rPr>
            </w:pPr>
            <w:r w:rsidRPr="00C90D16">
              <w:t xml:space="preserve"> 312 </w:t>
            </w:r>
          </w:p>
        </w:tc>
        <w:tc>
          <w:tcPr>
            <w:tcW w:w="871" w:type="dxa"/>
          </w:tcPr>
          <w:p w:rsidR="000B31C5" w:rsidP="002107DF" w14:paraId="33196BF0" w14:textId="0541ED1C">
            <w:pPr>
              <w:contextualSpacing/>
              <w:rPr>
                <w:color w:val="2F5496" w:themeColor="accent5" w:themeShade="BF"/>
                <w:sz w:val="24"/>
              </w:rPr>
            </w:pPr>
            <w:r w:rsidRPr="00685080">
              <w:t xml:space="preserve">$31.19 </w:t>
            </w:r>
          </w:p>
        </w:tc>
        <w:tc>
          <w:tcPr>
            <w:tcW w:w="1254" w:type="dxa"/>
          </w:tcPr>
          <w:p w:rsidR="000B31C5" w:rsidP="002107DF" w14:paraId="714E9294" w14:textId="118A3D69">
            <w:pPr>
              <w:contextualSpacing/>
              <w:rPr>
                <w:color w:val="2F5496" w:themeColor="accent5" w:themeShade="BF"/>
                <w:sz w:val="24"/>
              </w:rPr>
            </w:pPr>
            <w:r w:rsidRPr="00C90D16">
              <w:t xml:space="preserve">$9,731.28 </w:t>
            </w:r>
          </w:p>
        </w:tc>
      </w:tr>
      <w:tr w14:paraId="26DFD5D2" w14:textId="77777777" w:rsidTr="44E354D9">
        <w:tblPrEx>
          <w:tblW w:w="9355" w:type="dxa"/>
          <w:tblLayout w:type="fixed"/>
          <w:tblLook w:val="04A0"/>
        </w:tblPrEx>
        <w:trPr>
          <w:cantSplit/>
        </w:trPr>
        <w:tc>
          <w:tcPr>
            <w:tcW w:w="1878" w:type="dxa"/>
          </w:tcPr>
          <w:p w:rsidR="000B31C5" w:rsidRPr="004F0236" w:rsidP="002107DF" w14:paraId="5FDCE3FE" w14:textId="03B8C0FE">
            <w:pPr>
              <w:contextualSpacing/>
              <w:rPr>
                <w:sz w:val="24"/>
              </w:rPr>
            </w:pPr>
            <w:r w:rsidRPr="004F0236">
              <w:t>Products and Publications</w:t>
            </w:r>
            <w:r w:rsidRPr="004F0236" w:rsidR="00B04763">
              <w:t>-Attachment B</w:t>
            </w:r>
          </w:p>
        </w:tc>
        <w:tc>
          <w:tcPr>
            <w:tcW w:w="1239" w:type="dxa"/>
          </w:tcPr>
          <w:p w:rsidR="000B31C5" w:rsidP="002107DF" w14:paraId="38237F29" w14:textId="65B9625A">
            <w:pPr>
              <w:contextualSpacing/>
              <w:rPr>
                <w:color w:val="2F5496" w:themeColor="accent5" w:themeShade="BF"/>
                <w:sz w:val="24"/>
              </w:rPr>
            </w:pPr>
            <w:r w:rsidRPr="00C90D16">
              <w:t xml:space="preserve"> 672 </w:t>
            </w:r>
          </w:p>
        </w:tc>
        <w:tc>
          <w:tcPr>
            <w:tcW w:w="1161" w:type="dxa"/>
          </w:tcPr>
          <w:p w:rsidR="000B31C5" w:rsidP="002107DF" w14:paraId="44D21359" w14:textId="3BA58CA9">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4A3D13CD" w14:textId="21193594">
            <w:pPr>
              <w:contextualSpacing/>
              <w:rPr>
                <w:color w:val="2F5496" w:themeColor="accent5" w:themeShade="BF"/>
                <w:sz w:val="24"/>
              </w:rPr>
            </w:pPr>
            <w:r w:rsidRPr="00C90D16">
              <w:t xml:space="preserve"> 672 </w:t>
            </w:r>
          </w:p>
        </w:tc>
        <w:tc>
          <w:tcPr>
            <w:tcW w:w="1086" w:type="dxa"/>
          </w:tcPr>
          <w:p w:rsidR="000B31C5" w:rsidP="002107DF" w14:paraId="242D6A7A" w14:textId="4AE215DD">
            <w:pPr>
              <w:contextualSpacing/>
              <w:rPr>
                <w:color w:val="2F5496" w:themeColor="accent5" w:themeShade="BF"/>
                <w:sz w:val="24"/>
              </w:rPr>
            </w:pPr>
            <w:r w:rsidRPr="00C90D16">
              <w:t>4.23</w:t>
            </w:r>
          </w:p>
        </w:tc>
        <w:tc>
          <w:tcPr>
            <w:tcW w:w="805" w:type="dxa"/>
          </w:tcPr>
          <w:p w:rsidR="000B31C5" w:rsidP="002107DF" w14:paraId="7D5A9D56" w14:textId="2E5BA981">
            <w:pPr>
              <w:contextualSpacing/>
              <w:rPr>
                <w:color w:val="2F5496" w:themeColor="accent5" w:themeShade="BF"/>
                <w:sz w:val="24"/>
              </w:rPr>
            </w:pPr>
            <w:r w:rsidRPr="00C90D16">
              <w:t xml:space="preserve"> 2,843 </w:t>
            </w:r>
          </w:p>
        </w:tc>
        <w:tc>
          <w:tcPr>
            <w:tcW w:w="871" w:type="dxa"/>
          </w:tcPr>
          <w:p w:rsidR="000B31C5" w:rsidP="002107DF" w14:paraId="1852F656" w14:textId="63978703">
            <w:pPr>
              <w:contextualSpacing/>
              <w:rPr>
                <w:color w:val="2F5496" w:themeColor="accent5" w:themeShade="BF"/>
                <w:sz w:val="24"/>
              </w:rPr>
            </w:pPr>
            <w:r w:rsidRPr="00685080">
              <w:t xml:space="preserve">$31.19 </w:t>
            </w:r>
          </w:p>
        </w:tc>
        <w:tc>
          <w:tcPr>
            <w:tcW w:w="1254" w:type="dxa"/>
          </w:tcPr>
          <w:p w:rsidR="000B31C5" w:rsidP="002107DF" w14:paraId="41C11217" w14:textId="342FFD45">
            <w:pPr>
              <w:contextualSpacing/>
              <w:rPr>
                <w:color w:val="2F5496" w:themeColor="accent5" w:themeShade="BF"/>
                <w:sz w:val="24"/>
              </w:rPr>
            </w:pPr>
            <w:r w:rsidRPr="00C90D16">
              <w:t xml:space="preserve">$88,673.17 </w:t>
            </w:r>
          </w:p>
        </w:tc>
      </w:tr>
      <w:tr w14:paraId="6E72DE50" w14:textId="77777777" w:rsidTr="44E354D9">
        <w:tblPrEx>
          <w:tblW w:w="9355" w:type="dxa"/>
          <w:tblLayout w:type="fixed"/>
          <w:tblLook w:val="04A0"/>
        </w:tblPrEx>
        <w:trPr>
          <w:cantSplit/>
        </w:trPr>
        <w:tc>
          <w:tcPr>
            <w:tcW w:w="1878" w:type="dxa"/>
          </w:tcPr>
          <w:p w:rsidR="000B31C5" w:rsidRPr="007D2906" w:rsidP="002107DF" w14:paraId="3EA492AE" w14:textId="74890D0D">
            <w:pPr>
              <w:contextualSpacing/>
              <w:rPr>
                <w:sz w:val="24"/>
              </w:rPr>
            </w:pPr>
            <w:r w:rsidRPr="007D2906">
              <w:t>Training Form 2</w:t>
            </w:r>
            <w:r w:rsidRPr="007D2906" w:rsidR="00B04763">
              <w:t>-Attachment C</w:t>
            </w:r>
          </w:p>
        </w:tc>
        <w:tc>
          <w:tcPr>
            <w:tcW w:w="1239" w:type="dxa"/>
          </w:tcPr>
          <w:p w:rsidR="000B31C5" w:rsidP="002107DF" w14:paraId="4A9BE990" w14:textId="54941D61">
            <w:pPr>
              <w:contextualSpacing/>
              <w:rPr>
                <w:color w:val="2F5496" w:themeColor="accent5" w:themeShade="BF"/>
                <w:sz w:val="24"/>
              </w:rPr>
            </w:pPr>
            <w:r w:rsidRPr="00C90D16">
              <w:t xml:space="preserve"> 168 </w:t>
            </w:r>
          </w:p>
        </w:tc>
        <w:tc>
          <w:tcPr>
            <w:tcW w:w="1161" w:type="dxa"/>
          </w:tcPr>
          <w:p w:rsidR="000B31C5" w:rsidP="002107DF" w14:paraId="5A5C16AC" w14:textId="69CA488A">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19DEAAC4" w14:textId="11531EE3">
            <w:pPr>
              <w:contextualSpacing/>
              <w:rPr>
                <w:color w:val="2F5496" w:themeColor="accent5" w:themeShade="BF"/>
                <w:sz w:val="24"/>
              </w:rPr>
            </w:pPr>
            <w:r w:rsidRPr="00C90D16">
              <w:t xml:space="preserve"> 168 </w:t>
            </w:r>
          </w:p>
        </w:tc>
        <w:tc>
          <w:tcPr>
            <w:tcW w:w="1086" w:type="dxa"/>
          </w:tcPr>
          <w:p w:rsidR="000B31C5" w:rsidP="002107DF" w14:paraId="0E49D25C" w14:textId="46AD1657">
            <w:pPr>
              <w:contextualSpacing/>
              <w:rPr>
                <w:color w:val="2F5496" w:themeColor="accent5" w:themeShade="BF"/>
                <w:sz w:val="24"/>
              </w:rPr>
            </w:pPr>
            <w:r w:rsidRPr="00C90D16">
              <w:t>0.69</w:t>
            </w:r>
          </w:p>
        </w:tc>
        <w:tc>
          <w:tcPr>
            <w:tcW w:w="805" w:type="dxa"/>
          </w:tcPr>
          <w:p w:rsidR="000B31C5" w:rsidP="002107DF" w14:paraId="4117CCE4" w14:textId="7B75AE6E">
            <w:pPr>
              <w:contextualSpacing/>
              <w:rPr>
                <w:color w:val="2F5496" w:themeColor="accent5" w:themeShade="BF"/>
                <w:sz w:val="24"/>
              </w:rPr>
            </w:pPr>
            <w:r w:rsidRPr="00C90D16">
              <w:t xml:space="preserve"> 116 </w:t>
            </w:r>
          </w:p>
        </w:tc>
        <w:tc>
          <w:tcPr>
            <w:tcW w:w="871" w:type="dxa"/>
          </w:tcPr>
          <w:p w:rsidR="000B31C5" w:rsidP="002107DF" w14:paraId="491C2CE1" w14:textId="75AB626B">
            <w:pPr>
              <w:contextualSpacing/>
              <w:rPr>
                <w:color w:val="2F5496" w:themeColor="accent5" w:themeShade="BF"/>
                <w:sz w:val="24"/>
              </w:rPr>
            </w:pPr>
            <w:r w:rsidRPr="00685080">
              <w:t xml:space="preserve">$31.19 </w:t>
            </w:r>
          </w:p>
        </w:tc>
        <w:tc>
          <w:tcPr>
            <w:tcW w:w="1254" w:type="dxa"/>
          </w:tcPr>
          <w:p w:rsidR="000B31C5" w:rsidP="002107DF" w14:paraId="58F29CB6" w14:textId="4C8B6545">
            <w:pPr>
              <w:contextualSpacing/>
              <w:rPr>
                <w:color w:val="2F5496" w:themeColor="accent5" w:themeShade="BF"/>
                <w:sz w:val="24"/>
              </w:rPr>
            </w:pPr>
            <w:r w:rsidRPr="00C90D16">
              <w:t xml:space="preserve">$3,618.04 </w:t>
            </w:r>
          </w:p>
        </w:tc>
      </w:tr>
      <w:tr w14:paraId="42B1D889" w14:textId="77777777" w:rsidTr="44E354D9">
        <w:tblPrEx>
          <w:tblW w:w="9355" w:type="dxa"/>
          <w:tblLayout w:type="fixed"/>
          <w:tblLook w:val="04A0"/>
        </w:tblPrEx>
        <w:trPr>
          <w:cantSplit/>
        </w:trPr>
        <w:tc>
          <w:tcPr>
            <w:tcW w:w="1878" w:type="dxa"/>
          </w:tcPr>
          <w:p w:rsidR="000B31C5" w:rsidRPr="007D2906" w:rsidP="002107DF" w14:paraId="4CB8E886" w14:textId="48C6A927">
            <w:pPr>
              <w:contextualSpacing/>
              <w:rPr>
                <w:sz w:val="24"/>
              </w:rPr>
            </w:pPr>
            <w:r w:rsidRPr="007D2906">
              <w:t>Training Form 3</w:t>
            </w:r>
            <w:r w:rsidRPr="007D2906" w:rsidR="00B04763">
              <w:t>-Attachment C</w:t>
            </w:r>
          </w:p>
        </w:tc>
        <w:tc>
          <w:tcPr>
            <w:tcW w:w="1239" w:type="dxa"/>
          </w:tcPr>
          <w:p w:rsidR="000B31C5" w:rsidP="002107DF" w14:paraId="6CBD40EE" w14:textId="0A9F6796">
            <w:pPr>
              <w:contextualSpacing/>
              <w:rPr>
                <w:color w:val="2F5496" w:themeColor="accent5" w:themeShade="BF"/>
                <w:sz w:val="24"/>
              </w:rPr>
            </w:pPr>
            <w:r w:rsidRPr="00C90D16">
              <w:t xml:space="preserve"> 41 </w:t>
            </w:r>
          </w:p>
        </w:tc>
        <w:tc>
          <w:tcPr>
            <w:tcW w:w="1161" w:type="dxa"/>
          </w:tcPr>
          <w:p w:rsidR="000B31C5" w:rsidP="002107DF" w14:paraId="3370EC03" w14:textId="10754146">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0E1B0B2E" w14:textId="6363C570">
            <w:pPr>
              <w:contextualSpacing/>
              <w:rPr>
                <w:color w:val="2F5496" w:themeColor="accent5" w:themeShade="BF"/>
                <w:sz w:val="24"/>
              </w:rPr>
            </w:pPr>
            <w:r w:rsidRPr="00C90D16">
              <w:t xml:space="preserve"> 41 </w:t>
            </w:r>
          </w:p>
        </w:tc>
        <w:tc>
          <w:tcPr>
            <w:tcW w:w="1086" w:type="dxa"/>
          </w:tcPr>
          <w:p w:rsidR="000B31C5" w:rsidP="002107DF" w14:paraId="3E88A041" w14:textId="0AA2F218">
            <w:pPr>
              <w:contextualSpacing/>
              <w:rPr>
                <w:color w:val="2F5496" w:themeColor="accent5" w:themeShade="BF"/>
                <w:sz w:val="24"/>
              </w:rPr>
            </w:pPr>
            <w:r w:rsidRPr="00685080">
              <w:t>0.</w:t>
            </w:r>
            <w:r w:rsidRPr="00C90D16" w:rsidR="006D71AF">
              <w:t>99</w:t>
            </w:r>
          </w:p>
        </w:tc>
        <w:tc>
          <w:tcPr>
            <w:tcW w:w="805" w:type="dxa"/>
          </w:tcPr>
          <w:p w:rsidR="000B31C5" w:rsidP="002107DF" w14:paraId="1A78AE77" w14:textId="103829F6">
            <w:pPr>
              <w:contextualSpacing/>
              <w:rPr>
                <w:color w:val="2F5496" w:themeColor="accent5" w:themeShade="BF"/>
                <w:sz w:val="24"/>
              </w:rPr>
            </w:pPr>
            <w:r w:rsidRPr="00C90D16">
              <w:t xml:space="preserve"> 41 </w:t>
            </w:r>
          </w:p>
        </w:tc>
        <w:tc>
          <w:tcPr>
            <w:tcW w:w="871" w:type="dxa"/>
          </w:tcPr>
          <w:p w:rsidR="000B31C5" w:rsidP="002107DF" w14:paraId="22C9BE55" w14:textId="1F92C0A9">
            <w:pPr>
              <w:contextualSpacing/>
              <w:rPr>
                <w:color w:val="2F5496" w:themeColor="accent5" w:themeShade="BF"/>
                <w:sz w:val="24"/>
              </w:rPr>
            </w:pPr>
            <w:r w:rsidRPr="00685080">
              <w:t xml:space="preserve">$31.19 </w:t>
            </w:r>
          </w:p>
        </w:tc>
        <w:tc>
          <w:tcPr>
            <w:tcW w:w="1254" w:type="dxa"/>
          </w:tcPr>
          <w:p w:rsidR="000B31C5" w:rsidP="002107DF" w14:paraId="30979813" w14:textId="03E8B07E">
            <w:pPr>
              <w:contextualSpacing/>
              <w:rPr>
                <w:color w:val="2F5496" w:themeColor="accent5" w:themeShade="BF"/>
                <w:sz w:val="24"/>
              </w:rPr>
            </w:pPr>
            <w:r w:rsidRPr="00685080">
              <w:t>$1,</w:t>
            </w:r>
            <w:r w:rsidRPr="00C90D16" w:rsidR="006D71AF">
              <w:t>278.79</w:t>
            </w:r>
            <w:r w:rsidRPr="00685080">
              <w:t xml:space="preserve"> </w:t>
            </w:r>
          </w:p>
        </w:tc>
      </w:tr>
      <w:tr w14:paraId="1681705A" w14:textId="77777777" w:rsidTr="44E354D9">
        <w:tblPrEx>
          <w:tblW w:w="9355" w:type="dxa"/>
          <w:tblLayout w:type="fixed"/>
          <w:tblLook w:val="04A0"/>
        </w:tblPrEx>
        <w:trPr>
          <w:cantSplit/>
        </w:trPr>
        <w:tc>
          <w:tcPr>
            <w:tcW w:w="1878" w:type="dxa"/>
          </w:tcPr>
          <w:p w:rsidR="000B31C5" w:rsidRPr="007D2906" w:rsidP="002107DF" w14:paraId="3ABF9E9F" w14:textId="085419B5">
            <w:pPr>
              <w:contextualSpacing/>
              <w:rPr>
                <w:sz w:val="24"/>
              </w:rPr>
            </w:pPr>
            <w:r w:rsidRPr="007D2906">
              <w:t>Training Form 4</w:t>
            </w:r>
            <w:r w:rsidRPr="007D2906" w:rsidR="00B04763">
              <w:t>-Attachment C</w:t>
            </w:r>
          </w:p>
        </w:tc>
        <w:tc>
          <w:tcPr>
            <w:tcW w:w="1239" w:type="dxa"/>
          </w:tcPr>
          <w:p w:rsidR="000B31C5" w:rsidP="002107DF" w14:paraId="64352009" w14:textId="0C44715B">
            <w:pPr>
              <w:contextualSpacing/>
              <w:rPr>
                <w:color w:val="2F5496" w:themeColor="accent5" w:themeShade="BF"/>
                <w:sz w:val="24"/>
              </w:rPr>
            </w:pPr>
            <w:r w:rsidRPr="00C90D16">
              <w:t xml:space="preserve"> 130 </w:t>
            </w:r>
          </w:p>
        </w:tc>
        <w:tc>
          <w:tcPr>
            <w:tcW w:w="1161" w:type="dxa"/>
          </w:tcPr>
          <w:p w:rsidR="000B31C5" w:rsidP="002107DF" w14:paraId="651AF726" w14:textId="55864618">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56884CA3" w14:textId="6567457F">
            <w:pPr>
              <w:contextualSpacing/>
              <w:rPr>
                <w:color w:val="2F5496" w:themeColor="accent5" w:themeShade="BF"/>
                <w:sz w:val="24"/>
              </w:rPr>
            </w:pPr>
            <w:r w:rsidRPr="00C90D16">
              <w:t xml:space="preserve"> 130 </w:t>
            </w:r>
          </w:p>
        </w:tc>
        <w:tc>
          <w:tcPr>
            <w:tcW w:w="1086" w:type="dxa"/>
          </w:tcPr>
          <w:p w:rsidR="000B31C5" w:rsidP="002107DF" w14:paraId="45F0EF44" w14:textId="09DC9F5B">
            <w:pPr>
              <w:contextualSpacing/>
              <w:rPr>
                <w:color w:val="2F5496" w:themeColor="accent5" w:themeShade="BF"/>
                <w:sz w:val="24"/>
              </w:rPr>
            </w:pPr>
            <w:r w:rsidRPr="00C90D16">
              <w:t>1.52</w:t>
            </w:r>
          </w:p>
        </w:tc>
        <w:tc>
          <w:tcPr>
            <w:tcW w:w="805" w:type="dxa"/>
          </w:tcPr>
          <w:p w:rsidR="000B31C5" w:rsidP="002107DF" w14:paraId="4717ECAD" w14:textId="1D96A87F">
            <w:pPr>
              <w:contextualSpacing/>
              <w:rPr>
                <w:color w:val="2F5496" w:themeColor="accent5" w:themeShade="BF"/>
                <w:sz w:val="24"/>
              </w:rPr>
            </w:pPr>
            <w:r w:rsidRPr="00C90D16">
              <w:t xml:space="preserve"> 198 </w:t>
            </w:r>
          </w:p>
        </w:tc>
        <w:tc>
          <w:tcPr>
            <w:tcW w:w="871" w:type="dxa"/>
          </w:tcPr>
          <w:p w:rsidR="000B31C5" w:rsidP="002107DF" w14:paraId="7BDF950A" w14:textId="79042C9A">
            <w:pPr>
              <w:contextualSpacing/>
              <w:rPr>
                <w:color w:val="2F5496" w:themeColor="accent5" w:themeShade="BF"/>
                <w:sz w:val="24"/>
              </w:rPr>
            </w:pPr>
            <w:r w:rsidRPr="00685080">
              <w:t xml:space="preserve">$31.19 </w:t>
            </w:r>
          </w:p>
        </w:tc>
        <w:tc>
          <w:tcPr>
            <w:tcW w:w="1254" w:type="dxa"/>
          </w:tcPr>
          <w:p w:rsidR="000B31C5" w:rsidP="002107DF" w14:paraId="4B65ABED" w14:textId="3B843A9C">
            <w:pPr>
              <w:contextualSpacing/>
              <w:rPr>
                <w:color w:val="2F5496" w:themeColor="accent5" w:themeShade="BF"/>
                <w:sz w:val="24"/>
              </w:rPr>
            </w:pPr>
            <w:r w:rsidRPr="00C90D16">
              <w:t xml:space="preserve">$6,175.62 </w:t>
            </w:r>
          </w:p>
        </w:tc>
      </w:tr>
      <w:tr w14:paraId="0BC813B3" w14:textId="77777777" w:rsidTr="44E354D9">
        <w:tblPrEx>
          <w:tblW w:w="9355" w:type="dxa"/>
          <w:tblLayout w:type="fixed"/>
          <w:tblLook w:val="04A0"/>
        </w:tblPrEx>
        <w:trPr>
          <w:cantSplit/>
        </w:trPr>
        <w:tc>
          <w:tcPr>
            <w:tcW w:w="1878" w:type="dxa"/>
          </w:tcPr>
          <w:p w:rsidR="000B31C5" w:rsidRPr="007D2906" w:rsidP="002107DF" w14:paraId="20600217" w14:textId="1D6AF4BF">
            <w:pPr>
              <w:contextualSpacing/>
              <w:rPr>
                <w:sz w:val="24"/>
              </w:rPr>
            </w:pPr>
            <w:r w:rsidRPr="007D2906">
              <w:t>Training Form 7</w:t>
            </w:r>
            <w:r w:rsidRPr="007D2906" w:rsidR="00B04763">
              <w:t>-Attachment C</w:t>
            </w:r>
          </w:p>
        </w:tc>
        <w:tc>
          <w:tcPr>
            <w:tcW w:w="1239" w:type="dxa"/>
          </w:tcPr>
          <w:p w:rsidR="000B31C5" w:rsidP="002107DF" w14:paraId="1E3CEE85" w14:textId="3556A48E">
            <w:pPr>
              <w:contextualSpacing/>
              <w:rPr>
                <w:color w:val="2F5496" w:themeColor="accent5" w:themeShade="BF"/>
                <w:sz w:val="24"/>
              </w:rPr>
            </w:pPr>
            <w:r w:rsidRPr="00C90D16">
              <w:t xml:space="preserve"> 6 </w:t>
            </w:r>
          </w:p>
        </w:tc>
        <w:tc>
          <w:tcPr>
            <w:tcW w:w="1161" w:type="dxa"/>
          </w:tcPr>
          <w:p w:rsidR="000B31C5" w:rsidP="002107DF" w14:paraId="229726B4" w14:textId="3A3C3703">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1BB49EAF" w14:textId="2088379E">
            <w:pPr>
              <w:contextualSpacing/>
              <w:rPr>
                <w:color w:val="2F5496" w:themeColor="accent5" w:themeShade="BF"/>
                <w:sz w:val="24"/>
              </w:rPr>
            </w:pPr>
            <w:r w:rsidRPr="00C90D16">
              <w:t xml:space="preserve"> 6 </w:t>
            </w:r>
          </w:p>
        </w:tc>
        <w:tc>
          <w:tcPr>
            <w:tcW w:w="1086" w:type="dxa"/>
          </w:tcPr>
          <w:p w:rsidR="000B31C5" w:rsidP="002107DF" w14:paraId="7B386A80" w14:textId="02C32B96">
            <w:pPr>
              <w:contextualSpacing/>
              <w:rPr>
                <w:color w:val="2F5496" w:themeColor="accent5" w:themeShade="BF"/>
                <w:sz w:val="24"/>
              </w:rPr>
            </w:pPr>
            <w:r w:rsidRPr="00C90D16">
              <w:t>0.83</w:t>
            </w:r>
          </w:p>
        </w:tc>
        <w:tc>
          <w:tcPr>
            <w:tcW w:w="805" w:type="dxa"/>
          </w:tcPr>
          <w:p w:rsidR="000B31C5" w:rsidP="002107DF" w14:paraId="3E5AA2EA" w14:textId="046FB11F">
            <w:pPr>
              <w:contextualSpacing/>
              <w:rPr>
                <w:color w:val="2F5496" w:themeColor="accent5" w:themeShade="BF"/>
                <w:sz w:val="24"/>
              </w:rPr>
            </w:pPr>
            <w:r w:rsidRPr="00C90D16">
              <w:t xml:space="preserve"> 5 </w:t>
            </w:r>
          </w:p>
        </w:tc>
        <w:tc>
          <w:tcPr>
            <w:tcW w:w="871" w:type="dxa"/>
          </w:tcPr>
          <w:p w:rsidR="000B31C5" w:rsidP="002107DF" w14:paraId="3628D2EF" w14:textId="01D70D01">
            <w:pPr>
              <w:contextualSpacing/>
              <w:rPr>
                <w:color w:val="2F5496" w:themeColor="accent5" w:themeShade="BF"/>
                <w:sz w:val="24"/>
              </w:rPr>
            </w:pPr>
            <w:r w:rsidRPr="00685080">
              <w:t xml:space="preserve">$31.19 </w:t>
            </w:r>
          </w:p>
        </w:tc>
        <w:tc>
          <w:tcPr>
            <w:tcW w:w="1254" w:type="dxa"/>
          </w:tcPr>
          <w:p w:rsidR="000B31C5" w:rsidP="002107DF" w14:paraId="5730F231" w14:textId="3E77CB30">
            <w:pPr>
              <w:contextualSpacing/>
              <w:rPr>
                <w:color w:val="2F5496" w:themeColor="accent5" w:themeShade="BF"/>
                <w:sz w:val="24"/>
              </w:rPr>
            </w:pPr>
            <w:r w:rsidRPr="00C90D16">
              <w:t xml:space="preserve">$155.95 </w:t>
            </w:r>
          </w:p>
        </w:tc>
      </w:tr>
      <w:tr w14:paraId="4687E0F5" w14:textId="77777777" w:rsidTr="44E354D9">
        <w:tblPrEx>
          <w:tblW w:w="9355" w:type="dxa"/>
          <w:tblLayout w:type="fixed"/>
          <w:tblLook w:val="04A0"/>
        </w:tblPrEx>
        <w:trPr>
          <w:cantSplit/>
        </w:trPr>
        <w:tc>
          <w:tcPr>
            <w:tcW w:w="1878" w:type="dxa"/>
          </w:tcPr>
          <w:p w:rsidR="000B31C5" w:rsidRPr="007D2906" w:rsidP="002107DF" w14:paraId="7C8E7C3A" w14:textId="2B3BFB82">
            <w:pPr>
              <w:contextualSpacing/>
              <w:rPr>
                <w:sz w:val="24"/>
              </w:rPr>
            </w:pPr>
            <w:r w:rsidRPr="007D2906">
              <w:t>Training Form 8</w:t>
            </w:r>
            <w:r w:rsidRPr="007D2906" w:rsidR="00B04763">
              <w:t>-Attachment C</w:t>
            </w:r>
          </w:p>
        </w:tc>
        <w:tc>
          <w:tcPr>
            <w:tcW w:w="1239" w:type="dxa"/>
          </w:tcPr>
          <w:p w:rsidR="000B31C5" w:rsidP="002107DF" w14:paraId="0140B050" w14:textId="6D24AA3B">
            <w:pPr>
              <w:contextualSpacing/>
              <w:rPr>
                <w:color w:val="2F5496" w:themeColor="accent5" w:themeShade="BF"/>
                <w:sz w:val="24"/>
              </w:rPr>
            </w:pPr>
            <w:r w:rsidRPr="00C90D16">
              <w:t xml:space="preserve"> 6 </w:t>
            </w:r>
          </w:p>
        </w:tc>
        <w:tc>
          <w:tcPr>
            <w:tcW w:w="1161" w:type="dxa"/>
          </w:tcPr>
          <w:p w:rsidR="000B31C5" w:rsidP="002107DF" w14:paraId="29B8AEA0" w14:textId="447B8B50">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2D10077E" w14:textId="536FE6E4">
            <w:pPr>
              <w:contextualSpacing/>
              <w:rPr>
                <w:color w:val="2F5496" w:themeColor="accent5" w:themeShade="BF"/>
                <w:sz w:val="24"/>
              </w:rPr>
            </w:pPr>
            <w:r w:rsidRPr="00C90D16">
              <w:t xml:space="preserve"> 6 </w:t>
            </w:r>
          </w:p>
        </w:tc>
        <w:tc>
          <w:tcPr>
            <w:tcW w:w="1086" w:type="dxa"/>
          </w:tcPr>
          <w:p w:rsidR="000B31C5" w:rsidP="002107DF" w14:paraId="5AFC4A2C" w14:textId="2F17E052">
            <w:pPr>
              <w:contextualSpacing/>
              <w:rPr>
                <w:color w:val="2F5496" w:themeColor="accent5" w:themeShade="BF"/>
                <w:sz w:val="24"/>
              </w:rPr>
            </w:pPr>
            <w:r w:rsidRPr="00C90D16">
              <w:t>0.75</w:t>
            </w:r>
          </w:p>
        </w:tc>
        <w:tc>
          <w:tcPr>
            <w:tcW w:w="805" w:type="dxa"/>
          </w:tcPr>
          <w:p w:rsidR="000B31C5" w:rsidP="002107DF" w14:paraId="1BB65091" w14:textId="6724B9D7">
            <w:pPr>
              <w:contextualSpacing/>
              <w:rPr>
                <w:color w:val="2F5496" w:themeColor="accent5" w:themeShade="BF"/>
                <w:sz w:val="24"/>
              </w:rPr>
            </w:pPr>
            <w:r w:rsidRPr="00C90D16">
              <w:t xml:space="preserve"> 5 </w:t>
            </w:r>
          </w:p>
        </w:tc>
        <w:tc>
          <w:tcPr>
            <w:tcW w:w="871" w:type="dxa"/>
          </w:tcPr>
          <w:p w:rsidR="000B31C5" w:rsidP="002107DF" w14:paraId="3C3D8CEA" w14:textId="4F5D2B96">
            <w:pPr>
              <w:contextualSpacing/>
              <w:rPr>
                <w:color w:val="2F5496" w:themeColor="accent5" w:themeShade="BF"/>
                <w:sz w:val="24"/>
              </w:rPr>
            </w:pPr>
            <w:r w:rsidRPr="00685080">
              <w:t xml:space="preserve">$31.19 </w:t>
            </w:r>
          </w:p>
        </w:tc>
        <w:tc>
          <w:tcPr>
            <w:tcW w:w="1254" w:type="dxa"/>
          </w:tcPr>
          <w:p w:rsidR="000B31C5" w:rsidP="002107DF" w14:paraId="2053B65D" w14:textId="6607561F">
            <w:pPr>
              <w:contextualSpacing/>
              <w:rPr>
                <w:color w:val="2F5496" w:themeColor="accent5" w:themeShade="BF"/>
                <w:sz w:val="24"/>
              </w:rPr>
            </w:pPr>
            <w:r w:rsidRPr="00C90D16">
              <w:t xml:space="preserve">$155.95 </w:t>
            </w:r>
          </w:p>
        </w:tc>
      </w:tr>
      <w:tr w14:paraId="1169F9A9" w14:textId="77777777" w:rsidTr="44E354D9">
        <w:tblPrEx>
          <w:tblW w:w="9355" w:type="dxa"/>
          <w:tblLayout w:type="fixed"/>
          <w:tblLook w:val="04A0"/>
        </w:tblPrEx>
        <w:trPr>
          <w:cantSplit/>
        </w:trPr>
        <w:tc>
          <w:tcPr>
            <w:tcW w:w="1878" w:type="dxa"/>
          </w:tcPr>
          <w:p w:rsidR="000B31C5" w:rsidRPr="007D2906" w:rsidP="002107DF" w14:paraId="266FB93B" w14:textId="372C85F1">
            <w:pPr>
              <w:contextualSpacing/>
              <w:rPr>
                <w:sz w:val="24"/>
              </w:rPr>
            </w:pPr>
            <w:r w:rsidRPr="007D2906">
              <w:t>Training Form 9</w:t>
            </w:r>
            <w:r w:rsidRPr="007D2906" w:rsidR="00B04763">
              <w:t>-Attachment C</w:t>
            </w:r>
          </w:p>
        </w:tc>
        <w:tc>
          <w:tcPr>
            <w:tcW w:w="1239" w:type="dxa"/>
          </w:tcPr>
          <w:p w:rsidR="000B31C5" w:rsidP="002107DF" w14:paraId="2721DFAE" w14:textId="58E028F6">
            <w:pPr>
              <w:contextualSpacing/>
              <w:rPr>
                <w:color w:val="2F5496" w:themeColor="accent5" w:themeShade="BF"/>
                <w:sz w:val="24"/>
              </w:rPr>
            </w:pPr>
            <w:r w:rsidRPr="00C90D16">
              <w:t xml:space="preserve"> 6 </w:t>
            </w:r>
          </w:p>
        </w:tc>
        <w:tc>
          <w:tcPr>
            <w:tcW w:w="1161" w:type="dxa"/>
          </w:tcPr>
          <w:p w:rsidR="000B31C5" w:rsidP="002107DF" w14:paraId="598EE87B" w14:textId="7B1D82B0">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5A79A175" w14:textId="4382B4DB">
            <w:pPr>
              <w:contextualSpacing/>
              <w:rPr>
                <w:color w:val="2F5496" w:themeColor="accent5" w:themeShade="BF"/>
                <w:sz w:val="24"/>
              </w:rPr>
            </w:pPr>
            <w:r w:rsidRPr="00C90D16">
              <w:t xml:space="preserve"> 6 </w:t>
            </w:r>
          </w:p>
        </w:tc>
        <w:tc>
          <w:tcPr>
            <w:tcW w:w="1086" w:type="dxa"/>
          </w:tcPr>
          <w:p w:rsidR="000B31C5" w:rsidP="002107DF" w14:paraId="0733D921" w14:textId="0CE0C184">
            <w:pPr>
              <w:contextualSpacing/>
              <w:rPr>
                <w:color w:val="2F5496" w:themeColor="accent5" w:themeShade="BF"/>
                <w:sz w:val="24"/>
              </w:rPr>
            </w:pPr>
            <w:r w:rsidRPr="00C90D16">
              <w:t>0.92</w:t>
            </w:r>
          </w:p>
        </w:tc>
        <w:tc>
          <w:tcPr>
            <w:tcW w:w="805" w:type="dxa"/>
          </w:tcPr>
          <w:p w:rsidR="000B31C5" w:rsidP="002107DF" w14:paraId="6B1D6F5F" w14:textId="54904991">
            <w:pPr>
              <w:contextualSpacing/>
              <w:rPr>
                <w:color w:val="2F5496" w:themeColor="accent5" w:themeShade="BF"/>
                <w:sz w:val="24"/>
              </w:rPr>
            </w:pPr>
            <w:r w:rsidRPr="00C90D16">
              <w:t xml:space="preserve"> 6 </w:t>
            </w:r>
          </w:p>
        </w:tc>
        <w:tc>
          <w:tcPr>
            <w:tcW w:w="871" w:type="dxa"/>
          </w:tcPr>
          <w:p w:rsidR="000B31C5" w:rsidP="002107DF" w14:paraId="63468C0A" w14:textId="7EBC21BF">
            <w:pPr>
              <w:contextualSpacing/>
              <w:rPr>
                <w:color w:val="2F5496" w:themeColor="accent5" w:themeShade="BF"/>
                <w:sz w:val="24"/>
              </w:rPr>
            </w:pPr>
            <w:r w:rsidRPr="00685080">
              <w:t xml:space="preserve">$31.19 </w:t>
            </w:r>
          </w:p>
        </w:tc>
        <w:tc>
          <w:tcPr>
            <w:tcW w:w="1254" w:type="dxa"/>
          </w:tcPr>
          <w:p w:rsidR="000B31C5" w:rsidP="002107DF" w14:paraId="247757A4" w14:textId="2A48918A">
            <w:pPr>
              <w:contextualSpacing/>
              <w:rPr>
                <w:color w:val="2F5496" w:themeColor="accent5" w:themeShade="BF"/>
                <w:sz w:val="24"/>
              </w:rPr>
            </w:pPr>
            <w:r w:rsidRPr="00C90D16">
              <w:t xml:space="preserve">$187.14 </w:t>
            </w:r>
          </w:p>
        </w:tc>
      </w:tr>
      <w:tr w14:paraId="7838A116" w14:textId="77777777" w:rsidTr="44E354D9">
        <w:tblPrEx>
          <w:tblW w:w="9355" w:type="dxa"/>
          <w:tblLayout w:type="fixed"/>
          <w:tblLook w:val="04A0"/>
        </w:tblPrEx>
        <w:trPr>
          <w:cantSplit/>
        </w:trPr>
        <w:tc>
          <w:tcPr>
            <w:tcW w:w="1878" w:type="dxa"/>
          </w:tcPr>
          <w:p w:rsidR="000B31C5" w:rsidRPr="007D2906" w:rsidP="002107DF" w14:paraId="4CF1AB6D" w14:textId="421B2E9D">
            <w:pPr>
              <w:contextualSpacing/>
              <w:rPr>
                <w:sz w:val="24"/>
              </w:rPr>
            </w:pPr>
            <w:r w:rsidRPr="007D2906">
              <w:t xml:space="preserve">Training Form </w:t>
            </w:r>
            <w:r w:rsidRPr="007D2906" w:rsidR="006D71AF">
              <w:t>14</w:t>
            </w:r>
            <w:r w:rsidRPr="007D2906" w:rsidR="00B04763">
              <w:t>-Attachment C</w:t>
            </w:r>
          </w:p>
        </w:tc>
        <w:tc>
          <w:tcPr>
            <w:tcW w:w="1239" w:type="dxa"/>
          </w:tcPr>
          <w:p w:rsidR="000B31C5" w:rsidP="002107DF" w14:paraId="6E4A45BE" w14:textId="3130658D">
            <w:pPr>
              <w:contextualSpacing/>
              <w:rPr>
                <w:color w:val="2F5496" w:themeColor="accent5" w:themeShade="BF"/>
                <w:sz w:val="24"/>
              </w:rPr>
            </w:pPr>
            <w:r w:rsidRPr="00C90D16">
              <w:t xml:space="preserve"> 6 </w:t>
            </w:r>
          </w:p>
        </w:tc>
        <w:tc>
          <w:tcPr>
            <w:tcW w:w="1161" w:type="dxa"/>
          </w:tcPr>
          <w:p w:rsidR="000B31C5" w:rsidP="002107DF" w14:paraId="32627F5D" w14:textId="36425319">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07BCD7A6" w14:textId="63360885">
            <w:pPr>
              <w:contextualSpacing/>
              <w:rPr>
                <w:color w:val="2F5496" w:themeColor="accent5" w:themeShade="BF"/>
                <w:sz w:val="24"/>
              </w:rPr>
            </w:pPr>
            <w:r w:rsidRPr="00C90D16">
              <w:t xml:space="preserve"> 6 </w:t>
            </w:r>
          </w:p>
        </w:tc>
        <w:tc>
          <w:tcPr>
            <w:tcW w:w="1086" w:type="dxa"/>
          </w:tcPr>
          <w:p w:rsidR="000B31C5" w:rsidP="002107DF" w14:paraId="72A9AC01" w14:textId="170DC88A">
            <w:pPr>
              <w:contextualSpacing/>
              <w:rPr>
                <w:color w:val="2F5496" w:themeColor="accent5" w:themeShade="BF"/>
                <w:sz w:val="24"/>
              </w:rPr>
            </w:pPr>
            <w:r w:rsidRPr="00C90D16">
              <w:t>3.64</w:t>
            </w:r>
          </w:p>
        </w:tc>
        <w:tc>
          <w:tcPr>
            <w:tcW w:w="805" w:type="dxa"/>
          </w:tcPr>
          <w:p w:rsidR="000B31C5" w:rsidP="002107DF" w14:paraId="7238A51C" w14:textId="6B0A417C">
            <w:pPr>
              <w:contextualSpacing/>
              <w:rPr>
                <w:color w:val="2F5496" w:themeColor="accent5" w:themeShade="BF"/>
                <w:sz w:val="24"/>
              </w:rPr>
            </w:pPr>
            <w:r w:rsidRPr="00C90D16">
              <w:t xml:space="preserve"> 22 </w:t>
            </w:r>
          </w:p>
        </w:tc>
        <w:tc>
          <w:tcPr>
            <w:tcW w:w="871" w:type="dxa"/>
          </w:tcPr>
          <w:p w:rsidR="000B31C5" w:rsidP="002107DF" w14:paraId="02232208" w14:textId="40C33E11">
            <w:pPr>
              <w:contextualSpacing/>
              <w:rPr>
                <w:color w:val="2F5496" w:themeColor="accent5" w:themeShade="BF"/>
                <w:sz w:val="24"/>
              </w:rPr>
            </w:pPr>
            <w:r w:rsidRPr="00685080">
              <w:t xml:space="preserve">$31.19 </w:t>
            </w:r>
          </w:p>
        </w:tc>
        <w:tc>
          <w:tcPr>
            <w:tcW w:w="1254" w:type="dxa"/>
          </w:tcPr>
          <w:p w:rsidR="000B31C5" w:rsidP="002107DF" w14:paraId="18DD2DF4" w14:textId="75E16965">
            <w:pPr>
              <w:contextualSpacing/>
              <w:rPr>
                <w:color w:val="2F5496" w:themeColor="accent5" w:themeShade="BF"/>
                <w:sz w:val="24"/>
              </w:rPr>
            </w:pPr>
            <w:r w:rsidRPr="00C90D16">
              <w:t xml:space="preserve">$686.18 </w:t>
            </w:r>
          </w:p>
        </w:tc>
      </w:tr>
      <w:tr w14:paraId="73C0A503" w14:textId="77777777" w:rsidTr="44E354D9">
        <w:tblPrEx>
          <w:tblW w:w="9355" w:type="dxa"/>
          <w:tblLayout w:type="fixed"/>
          <w:tblLook w:val="04A0"/>
        </w:tblPrEx>
        <w:trPr>
          <w:cantSplit/>
        </w:trPr>
        <w:tc>
          <w:tcPr>
            <w:tcW w:w="1878" w:type="dxa"/>
          </w:tcPr>
          <w:p w:rsidR="000B31C5" w:rsidRPr="007D2906" w:rsidP="002107DF" w14:paraId="2DAF7415" w14:textId="27D8227D">
            <w:pPr>
              <w:contextualSpacing/>
              <w:rPr>
                <w:sz w:val="24"/>
              </w:rPr>
            </w:pPr>
            <w:r w:rsidRPr="007D2906">
              <w:t xml:space="preserve">Training Form </w:t>
            </w:r>
            <w:r w:rsidRPr="007D2906" w:rsidR="006D71AF">
              <w:t>15</w:t>
            </w:r>
            <w:r w:rsidRPr="007D2906" w:rsidR="00B04763">
              <w:t>-Attachment C</w:t>
            </w:r>
          </w:p>
        </w:tc>
        <w:tc>
          <w:tcPr>
            <w:tcW w:w="1239" w:type="dxa"/>
          </w:tcPr>
          <w:p w:rsidR="000B31C5" w:rsidP="002107DF" w14:paraId="3F05141C" w14:textId="2AFC2B73">
            <w:pPr>
              <w:contextualSpacing/>
              <w:rPr>
                <w:color w:val="2F5496" w:themeColor="accent5" w:themeShade="BF"/>
                <w:sz w:val="24"/>
              </w:rPr>
            </w:pPr>
            <w:r w:rsidRPr="00C90D16">
              <w:t xml:space="preserve"> 52 </w:t>
            </w:r>
          </w:p>
        </w:tc>
        <w:tc>
          <w:tcPr>
            <w:tcW w:w="1161" w:type="dxa"/>
          </w:tcPr>
          <w:p w:rsidR="000B31C5" w:rsidP="002107DF" w14:paraId="40E13EC7" w14:textId="68C552EB">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1C323282" w14:textId="40C147AA">
            <w:pPr>
              <w:contextualSpacing/>
              <w:rPr>
                <w:color w:val="2F5496" w:themeColor="accent5" w:themeShade="BF"/>
                <w:sz w:val="24"/>
              </w:rPr>
            </w:pPr>
            <w:r w:rsidRPr="00C90D16">
              <w:t xml:space="preserve"> 52 </w:t>
            </w:r>
          </w:p>
        </w:tc>
        <w:tc>
          <w:tcPr>
            <w:tcW w:w="1086" w:type="dxa"/>
          </w:tcPr>
          <w:p w:rsidR="000B31C5" w:rsidP="002107DF" w14:paraId="4CC87360" w14:textId="28433FA3">
            <w:pPr>
              <w:contextualSpacing/>
              <w:rPr>
                <w:color w:val="2F5496" w:themeColor="accent5" w:themeShade="BF"/>
                <w:sz w:val="24"/>
              </w:rPr>
            </w:pPr>
            <w:r w:rsidRPr="00C90D16">
              <w:t>3.17</w:t>
            </w:r>
          </w:p>
        </w:tc>
        <w:tc>
          <w:tcPr>
            <w:tcW w:w="805" w:type="dxa"/>
          </w:tcPr>
          <w:p w:rsidR="000B31C5" w:rsidP="002107DF" w14:paraId="40FF1506" w14:textId="42E37339">
            <w:pPr>
              <w:contextualSpacing/>
              <w:rPr>
                <w:color w:val="2F5496" w:themeColor="accent5" w:themeShade="BF"/>
                <w:sz w:val="24"/>
              </w:rPr>
            </w:pPr>
            <w:r w:rsidRPr="00C90D16">
              <w:t xml:space="preserve"> 165 </w:t>
            </w:r>
          </w:p>
        </w:tc>
        <w:tc>
          <w:tcPr>
            <w:tcW w:w="871" w:type="dxa"/>
          </w:tcPr>
          <w:p w:rsidR="000B31C5" w:rsidP="002107DF" w14:paraId="14D65748" w14:textId="5E4C53BC">
            <w:pPr>
              <w:contextualSpacing/>
              <w:rPr>
                <w:color w:val="2F5496" w:themeColor="accent5" w:themeShade="BF"/>
                <w:sz w:val="24"/>
              </w:rPr>
            </w:pPr>
            <w:r w:rsidRPr="00685080">
              <w:t xml:space="preserve">$31.19 </w:t>
            </w:r>
          </w:p>
        </w:tc>
        <w:tc>
          <w:tcPr>
            <w:tcW w:w="1254" w:type="dxa"/>
          </w:tcPr>
          <w:p w:rsidR="000B31C5" w:rsidP="002107DF" w14:paraId="7DDF1F4C" w14:textId="61591AA4">
            <w:pPr>
              <w:contextualSpacing/>
              <w:rPr>
                <w:color w:val="2F5496" w:themeColor="accent5" w:themeShade="BF"/>
                <w:sz w:val="24"/>
              </w:rPr>
            </w:pPr>
            <w:r w:rsidRPr="00C90D16">
              <w:t xml:space="preserve">$5,146.35 </w:t>
            </w:r>
          </w:p>
        </w:tc>
      </w:tr>
      <w:tr w14:paraId="484DC342" w14:textId="77777777" w:rsidTr="44E354D9">
        <w:tblPrEx>
          <w:tblW w:w="9355" w:type="dxa"/>
          <w:tblLayout w:type="fixed"/>
          <w:tblLook w:val="04A0"/>
        </w:tblPrEx>
        <w:trPr>
          <w:cantSplit/>
        </w:trPr>
        <w:tc>
          <w:tcPr>
            <w:tcW w:w="1878" w:type="dxa"/>
          </w:tcPr>
          <w:p w:rsidR="000B31C5" w:rsidRPr="007D2906" w:rsidP="002107DF" w14:paraId="21D808C2" w14:textId="156BE9F6">
            <w:pPr>
              <w:contextualSpacing/>
              <w:rPr>
                <w:sz w:val="24"/>
              </w:rPr>
            </w:pPr>
            <w:r w:rsidRPr="007D2906">
              <w:t>Faculty and Staff Information</w:t>
            </w:r>
            <w:r w:rsidRPr="007D2906" w:rsidR="007D2906">
              <w:t>-Attachment D</w:t>
            </w:r>
          </w:p>
        </w:tc>
        <w:tc>
          <w:tcPr>
            <w:tcW w:w="1239" w:type="dxa"/>
          </w:tcPr>
          <w:p w:rsidR="000B31C5" w:rsidP="002107DF" w14:paraId="77D4C28E" w14:textId="47103DBE">
            <w:pPr>
              <w:contextualSpacing/>
              <w:rPr>
                <w:color w:val="2F5496" w:themeColor="accent5" w:themeShade="BF"/>
                <w:sz w:val="24"/>
              </w:rPr>
            </w:pPr>
            <w:r w:rsidRPr="00C90D16">
              <w:t xml:space="preserve"> 124 </w:t>
            </w:r>
          </w:p>
        </w:tc>
        <w:tc>
          <w:tcPr>
            <w:tcW w:w="1161" w:type="dxa"/>
          </w:tcPr>
          <w:p w:rsidR="000B31C5" w:rsidP="002107DF" w14:paraId="3838B7C0" w14:textId="65B5AF82">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72EE0575" w14:textId="558434F6">
            <w:pPr>
              <w:contextualSpacing/>
              <w:rPr>
                <w:color w:val="2F5496" w:themeColor="accent5" w:themeShade="BF"/>
                <w:sz w:val="24"/>
              </w:rPr>
            </w:pPr>
            <w:r w:rsidRPr="00C90D16">
              <w:t xml:space="preserve"> 124 </w:t>
            </w:r>
          </w:p>
        </w:tc>
        <w:tc>
          <w:tcPr>
            <w:tcW w:w="1086" w:type="dxa"/>
          </w:tcPr>
          <w:p w:rsidR="000B31C5" w:rsidP="002107DF" w14:paraId="30544900" w14:textId="6AB27893">
            <w:pPr>
              <w:contextualSpacing/>
              <w:rPr>
                <w:color w:val="2F5496" w:themeColor="accent5" w:themeShade="BF"/>
                <w:sz w:val="24"/>
              </w:rPr>
            </w:pPr>
            <w:r w:rsidRPr="00685080">
              <w:t>1.</w:t>
            </w:r>
            <w:r w:rsidRPr="00C90D16" w:rsidR="006D71AF">
              <w:t>92</w:t>
            </w:r>
          </w:p>
        </w:tc>
        <w:tc>
          <w:tcPr>
            <w:tcW w:w="805" w:type="dxa"/>
          </w:tcPr>
          <w:p w:rsidR="000B31C5" w:rsidP="002107DF" w14:paraId="2C814344" w14:textId="3A3E1361">
            <w:pPr>
              <w:contextualSpacing/>
              <w:rPr>
                <w:color w:val="2F5496" w:themeColor="accent5" w:themeShade="BF"/>
                <w:sz w:val="24"/>
              </w:rPr>
            </w:pPr>
            <w:r w:rsidRPr="00C90D16">
              <w:t xml:space="preserve"> 238 </w:t>
            </w:r>
          </w:p>
        </w:tc>
        <w:tc>
          <w:tcPr>
            <w:tcW w:w="871" w:type="dxa"/>
          </w:tcPr>
          <w:p w:rsidR="000B31C5" w:rsidP="002107DF" w14:paraId="75FE5F5E" w14:textId="3E67CABC">
            <w:pPr>
              <w:contextualSpacing/>
              <w:rPr>
                <w:color w:val="2F5496" w:themeColor="accent5" w:themeShade="BF"/>
                <w:sz w:val="24"/>
              </w:rPr>
            </w:pPr>
            <w:r w:rsidRPr="00685080">
              <w:t xml:space="preserve">$31.19 </w:t>
            </w:r>
          </w:p>
        </w:tc>
        <w:tc>
          <w:tcPr>
            <w:tcW w:w="1254" w:type="dxa"/>
          </w:tcPr>
          <w:p w:rsidR="000B31C5" w:rsidP="002107DF" w14:paraId="3A9D86EB" w14:textId="6418686C">
            <w:pPr>
              <w:contextualSpacing/>
              <w:rPr>
                <w:color w:val="2F5496" w:themeColor="accent5" w:themeShade="BF"/>
                <w:sz w:val="24"/>
              </w:rPr>
            </w:pPr>
            <w:r w:rsidRPr="00C90D16">
              <w:t xml:space="preserve">$7,423.22 </w:t>
            </w:r>
          </w:p>
        </w:tc>
      </w:tr>
      <w:tr w14:paraId="2E1540A1" w14:textId="77777777" w:rsidTr="44E354D9">
        <w:tblPrEx>
          <w:tblW w:w="9355" w:type="dxa"/>
          <w:tblLayout w:type="fixed"/>
          <w:tblLook w:val="04A0"/>
        </w:tblPrEx>
        <w:trPr>
          <w:cantSplit/>
        </w:trPr>
        <w:tc>
          <w:tcPr>
            <w:tcW w:w="1878" w:type="dxa"/>
          </w:tcPr>
          <w:p w:rsidR="000B31C5" w:rsidRPr="007D2906" w:rsidP="002107DF" w14:paraId="7B2EE25D" w14:textId="5D2BC354">
            <w:pPr>
              <w:contextualSpacing/>
              <w:rPr>
                <w:sz w:val="24"/>
              </w:rPr>
            </w:pPr>
            <w:r w:rsidRPr="007D2906">
              <w:t>Short-Term Trainees</w:t>
            </w:r>
            <w:r w:rsidRPr="007D2906" w:rsidR="007D2906">
              <w:t>- Attachment D</w:t>
            </w:r>
          </w:p>
        </w:tc>
        <w:tc>
          <w:tcPr>
            <w:tcW w:w="1239" w:type="dxa"/>
          </w:tcPr>
          <w:p w:rsidR="000B31C5" w:rsidP="002107DF" w14:paraId="50AF129B" w14:textId="7E5CA914">
            <w:pPr>
              <w:contextualSpacing/>
              <w:rPr>
                <w:color w:val="2F5496" w:themeColor="accent5" w:themeShade="BF"/>
                <w:sz w:val="24"/>
              </w:rPr>
            </w:pPr>
            <w:r w:rsidRPr="00C90D16">
              <w:t xml:space="preserve"> 8 </w:t>
            </w:r>
          </w:p>
        </w:tc>
        <w:tc>
          <w:tcPr>
            <w:tcW w:w="1161" w:type="dxa"/>
          </w:tcPr>
          <w:p w:rsidR="000B31C5" w:rsidP="002107DF" w14:paraId="676991DB" w14:textId="0817383F">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580D7EAF" w14:textId="0161755A">
            <w:pPr>
              <w:contextualSpacing/>
              <w:rPr>
                <w:color w:val="2F5496" w:themeColor="accent5" w:themeShade="BF"/>
                <w:sz w:val="24"/>
              </w:rPr>
            </w:pPr>
            <w:r w:rsidRPr="00C90D16">
              <w:t xml:space="preserve"> 8 </w:t>
            </w:r>
          </w:p>
        </w:tc>
        <w:tc>
          <w:tcPr>
            <w:tcW w:w="1086" w:type="dxa"/>
          </w:tcPr>
          <w:p w:rsidR="000B31C5" w:rsidP="002107DF" w14:paraId="18C1F0A5" w14:textId="27FC14EC">
            <w:pPr>
              <w:contextualSpacing/>
              <w:rPr>
                <w:color w:val="2F5496" w:themeColor="accent5" w:themeShade="BF"/>
                <w:sz w:val="24"/>
              </w:rPr>
            </w:pPr>
            <w:r w:rsidRPr="00685080">
              <w:t>0.</w:t>
            </w:r>
            <w:r w:rsidRPr="00C90D16" w:rsidR="006D71AF">
              <w:t>67</w:t>
            </w:r>
          </w:p>
        </w:tc>
        <w:tc>
          <w:tcPr>
            <w:tcW w:w="805" w:type="dxa"/>
          </w:tcPr>
          <w:p w:rsidR="000B31C5" w:rsidP="002107DF" w14:paraId="6339A116" w14:textId="0C31FE2A">
            <w:pPr>
              <w:contextualSpacing/>
              <w:rPr>
                <w:color w:val="2F5496" w:themeColor="accent5" w:themeShade="BF"/>
                <w:sz w:val="24"/>
              </w:rPr>
            </w:pPr>
            <w:r w:rsidRPr="00C90D16">
              <w:t xml:space="preserve"> 5 </w:t>
            </w:r>
          </w:p>
        </w:tc>
        <w:tc>
          <w:tcPr>
            <w:tcW w:w="871" w:type="dxa"/>
          </w:tcPr>
          <w:p w:rsidR="000B31C5" w:rsidP="002107DF" w14:paraId="34E5BD35" w14:textId="414039C2">
            <w:pPr>
              <w:contextualSpacing/>
              <w:rPr>
                <w:color w:val="2F5496" w:themeColor="accent5" w:themeShade="BF"/>
                <w:sz w:val="24"/>
              </w:rPr>
            </w:pPr>
            <w:r w:rsidRPr="00685080">
              <w:t xml:space="preserve">$31.19 </w:t>
            </w:r>
          </w:p>
        </w:tc>
        <w:tc>
          <w:tcPr>
            <w:tcW w:w="1254" w:type="dxa"/>
          </w:tcPr>
          <w:p w:rsidR="000B31C5" w:rsidP="002107DF" w14:paraId="6C986987" w14:textId="5CF4C815">
            <w:pPr>
              <w:contextualSpacing/>
              <w:rPr>
                <w:color w:val="2F5496" w:themeColor="accent5" w:themeShade="BF"/>
                <w:sz w:val="24"/>
              </w:rPr>
            </w:pPr>
            <w:r w:rsidRPr="00C90D16">
              <w:t xml:space="preserve">$155.95 </w:t>
            </w:r>
          </w:p>
        </w:tc>
      </w:tr>
      <w:tr w14:paraId="5188D2A4" w14:textId="77777777" w:rsidTr="44E354D9">
        <w:tblPrEx>
          <w:tblW w:w="9355" w:type="dxa"/>
          <w:tblLayout w:type="fixed"/>
          <w:tblLook w:val="04A0"/>
        </w:tblPrEx>
        <w:trPr>
          <w:cantSplit/>
        </w:trPr>
        <w:tc>
          <w:tcPr>
            <w:tcW w:w="1878" w:type="dxa"/>
          </w:tcPr>
          <w:p w:rsidR="000B31C5" w:rsidRPr="007D2906" w:rsidP="002107DF" w14:paraId="0E9CF35A" w14:textId="79107CC2">
            <w:pPr>
              <w:contextualSpacing/>
              <w:rPr>
                <w:sz w:val="24"/>
              </w:rPr>
            </w:pPr>
            <w:r w:rsidRPr="007D2906">
              <w:t>Medium-Term Trainees</w:t>
            </w:r>
            <w:r w:rsidRPr="007D2906" w:rsidR="007D2906">
              <w:t>- Attachment D</w:t>
            </w:r>
          </w:p>
        </w:tc>
        <w:tc>
          <w:tcPr>
            <w:tcW w:w="1239" w:type="dxa"/>
          </w:tcPr>
          <w:p w:rsidR="000B31C5" w:rsidP="002107DF" w14:paraId="36308928" w14:textId="13725AE7">
            <w:pPr>
              <w:contextualSpacing/>
              <w:rPr>
                <w:color w:val="2F5496" w:themeColor="accent5" w:themeShade="BF"/>
                <w:sz w:val="24"/>
              </w:rPr>
            </w:pPr>
            <w:r w:rsidRPr="00C90D16">
              <w:t xml:space="preserve"> 121 </w:t>
            </w:r>
          </w:p>
        </w:tc>
        <w:tc>
          <w:tcPr>
            <w:tcW w:w="1161" w:type="dxa"/>
          </w:tcPr>
          <w:p w:rsidR="000B31C5" w:rsidP="002107DF" w14:paraId="7F0A93FB" w14:textId="57E0931F">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53DC0F66" w14:textId="049E6869">
            <w:pPr>
              <w:contextualSpacing/>
              <w:rPr>
                <w:color w:val="2F5496" w:themeColor="accent5" w:themeShade="BF"/>
                <w:sz w:val="24"/>
              </w:rPr>
            </w:pPr>
            <w:r w:rsidRPr="00C90D16">
              <w:t xml:space="preserve"> 121 </w:t>
            </w:r>
          </w:p>
        </w:tc>
        <w:tc>
          <w:tcPr>
            <w:tcW w:w="1086" w:type="dxa"/>
          </w:tcPr>
          <w:p w:rsidR="000B31C5" w:rsidP="002107DF" w14:paraId="3C47A8C7" w14:textId="58E9971F">
            <w:pPr>
              <w:contextualSpacing/>
              <w:rPr>
                <w:color w:val="2F5496" w:themeColor="accent5" w:themeShade="BF"/>
                <w:sz w:val="24"/>
              </w:rPr>
            </w:pPr>
            <w:r w:rsidRPr="00C90D16">
              <w:t>2.49</w:t>
            </w:r>
          </w:p>
        </w:tc>
        <w:tc>
          <w:tcPr>
            <w:tcW w:w="805" w:type="dxa"/>
          </w:tcPr>
          <w:p w:rsidR="000B31C5" w:rsidP="002107DF" w14:paraId="2422A346" w14:textId="779E184D">
            <w:pPr>
              <w:contextualSpacing/>
              <w:rPr>
                <w:color w:val="2F5496" w:themeColor="accent5" w:themeShade="BF"/>
                <w:sz w:val="24"/>
              </w:rPr>
            </w:pPr>
            <w:r w:rsidRPr="00C90D16">
              <w:t xml:space="preserve"> 301 </w:t>
            </w:r>
          </w:p>
        </w:tc>
        <w:tc>
          <w:tcPr>
            <w:tcW w:w="871" w:type="dxa"/>
          </w:tcPr>
          <w:p w:rsidR="000B31C5" w:rsidP="002107DF" w14:paraId="5FDE8B1F" w14:textId="2275088B">
            <w:pPr>
              <w:contextualSpacing/>
              <w:rPr>
                <w:color w:val="2F5496" w:themeColor="accent5" w:themeShade="BF"/>
                <w:sz w:val="24"/>
              </w:rPr>
            </w:pPr>
            <w:r w:rsidRPr="00685080">
              <w:t xml:space="preserve">$31.19 </w:t>
            </w:r>
          </w:p>
        </w:tc>
        <w:tc>
          <w:tcPr>
            <w:tcW w:w="1254" w:type="dxa"/>
          </w:tcPr>
          <w:p w:rsidR="000B31C5" w:rsidP="002107DF" w14:paraId="778C042B" w14:textId="6245DACD">
            <w:pPr>
              <w:contextualSpacing/>
              <w:rPr>
                <w:color w:val="2F5496" w:themeColor="accent5" w:themeShade="BF"/>
                <w:sz w:val="24"/>
              </w:rPr>
            </w:pPr>
            <w:r w:rsidRPr="00C90D16">
              <w:t xml:space="preserve">$9,388.19 </w:t>
            </w:r>
          </w:p>
        </w:tc>
      </w:tr>
      <w:tr w14:paraId="7ABBA248" w14:textId="77777777" w:rsidTr="44E354D9">
        <w:tblPrEx>
          <w:tblW w:w="9355" w:type="dxa"/>
          <w:tblLayout w:type="fixed"/>
          <w:tblLook w:val="04A0"/>
        </w:tblPrEx>
        <w:trPr>
          <w:cantSplit/>
        </w:trPr>
        <w:tc>
          <w:tcPr>
            <w:tcW w:w="1878" w:type="dxa"/>
          </w:tcPr>
          <w:p w:rsidR="000B31C5" w:rsidRPr="007D2906" w14:paraId="3D03C267" w14:textId="2ECC2209">
            <w:pPr>
              <w:contextualSpacing/>
              <w:rPr>
                <w:sz w:val="24"/>
              </w:rPr>
            </w:pPr>
            <w:r w:rsidRPr="007D2906">
              <w:t>Long-Term Trainee</w:t>
            </w:r>
            <w:r w:rsidRPr="007D2906" w:rsidR="14EA6E70">
              <w:t>s</w:t>
            </w:r>
            <w:r w:rsidRPr="007D2906" w:rsidR="007D2906">
              <w:t>-Attachment D</w:t>
            </w:r>
          </w:p>
        </w:tc>
        <w:tc>
          <w:tcPr>
            <w:tcW w:w="1239" w:type="dxa"/>
          </w:tcPr>
          <w:p w:rsidR="000B31C5" w:rsidP="002107DF" w14:paraId="5445C6B4" w14:textId="6AE1A988">
            <w:pPr>
              <w:contextualSpacing/>
              <w:rPr>
                <w:color w:val="2F5496" w:themeColor="accent5" w:themeShade="BF"/>
                <w:sz w:val="24"/>
              </w:rPr>
            </w:pPr>
            <w:r w:rsidRPr="00C90D16">
              <w:t xml:space="preserve"> 112 </w:t>
            </w:r>
          </w:p>
        </w:tc>
        <w:tc>
          <w:tcPr>
            <w:tcW w:w="1161" w:type="dxa"/>
          </w:tcPr>
          <w:p w:rsidR="000B31C5" w:rsidP="002107DF" w14:paraId="13E4C6B4" w14:textId="0189DAE1">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4AA79CAA" w14:textId="7E6FAAC1">
            <w:pPr>
              <w:contextualSpacing/>
              <w:rPr>
                <w:color w:val="2F5496" w:themeColor="accent5" w:themeShade="BF"/>
                <w:sz w:val="24"/>
              </w:rPr>
            </w:pPr>
            <w:r w:rsidRPr="00C90D16">
              <w:t xml:space="preserve"> 112 </w:t>
            </w:r>
          </w:p>
        </w:tc>
        <w:tc>
          <w:tcPr>
            <w:tcW w:w="1086" w:type="dxa"/>
          </w:tcPr>
          <w:p w:rsidR="000B31C5" w:rsidP="002107DF" w14:paraId="1B320538" w14:textId="406BA58C">
            <w:pPr>
              <w:contextualSpacing/>
              <w:rPr>
                <w:color w:val="2F5496" w:themeColor="accent5" w:themeShade="BF"/>
                <w:sz w:val="24"/>
              </w:rPr>
            </w:pPr>
            <w:r w:rsidRPr="00C90D16">
              <w:t>6.37</w:t>
            </w:r>
          </w:p>
        </w:tc>
        <w:tc>
          <w:tcPr>
            <w:tcW w:w="805" w:type="dxa"/>
          </w:tcPr>
          <w:p w:rsidR="000B31C5" w:rsidP="002107DF" w14:paraId="68FEF88D" w14:textId="25C903FC">
            <w:pPr>
              <w:contextualSpacing/>
              <w:rPr>
                <w:color w:val="2F5496" w:themeColor="accent5" w:themeShade="BF"/>
                <w:sz w:val="24"/>
              </w:rPr>
            </w:pPr>
            <w:r w:rsidRPr="00C90D16">
              <w:t xml:space="preserve"> 713 </w:t>
            </w:r>
          </w:p>
        </w:tc>
        <w:tc>
          <w:tcPr>
            <w:tcW w:w="871" w:type="dxa"/>
          </w:tcPr>
          <w:p w:rsidR="000B31C5" w:rsidP="002107DF" w14:paraId="189236CE" w14:textId="4AA9BBBF">
            <w:pPr>
              <w:contextualSpacing/>
              <w:rPr>
                <w:color w:val="2F5496" w:themeColor="accent5" w:themeShade="BF"/>
                <w:sz w:val="24"/>
              </w:rPr>
            </w:pPr>
            <w:r w:rsidRPr="00685080">
              <w:t xml:space="preserve">$31.19 </w:t>
            </w:r>
          </w:p>
        </w:tc>
        <w:tc>
          <w:tcPr>
            <w:tcW w:w="1254" w:type="dxa"/>
          </w:tcPr>
          <w:p w:rsidR="000B31C5" w:rsidP="002107DF" w14:paraId="3C4D40CC" w14:textId="14248E1C">
            <w:pPr>
              <w:contextualSpacing/>
              <w:rPr>
                <w:color w:val="2F5496" w:themeColor="accent5" w:themeShade="BF"/>
                <w:sz w:val="24"/>
              </w:rPr>
            </w:pPr>
            <w:r w:rsidRPr="00C90D16">
              <w:t xml:space="preserve">$22,238.47 </w:t>
            </w:r>
          </w:p>
        </w:tc>
      </w:tr>
      <w:tr w14:paraId="7C998682" w14:textId="77777777" w:rsidTr="44E354D9">
        <w:tblPrEx>
          <w:tblW w:w="9355" w:type="dxa"/>
          <w:tblLayout w:type="fixed"/>
          <w:tblLook w:val="04A0"/>
        </w:tblPrEx>
        <w:trPr>
          <w:cantSplit/>
        </w:trPr>
        <w:tc>
          <w:tcPr>
            <w:tcW w:w="1878" w:type="dxa"/>
          </w:tcPr>
          <w:p w:rsidR="000B31C5" w:rsidRPr="007D2906" w:rsidP="44E354D9" w14:paraId="38F299D9" w14:textId="5286B200">
            <w:pPr>
              <w:contextualSpacing/>
              <w:rPr>
                <w:sz w:val="24"/>
              </w:rPr>
            </w:pPr>
            <w:r w:rsidRPr="007D2906">
              <w:t>Former Long-Term Trainee</w:t>
            </w:r>
            <w:r w:rsidRPr="007D2906" w:rsidR="696913A4">
              <w:t>s</w:t>
            </w:r>
            <w:r w:rsidRPr="007D2906" w:rsidR="007D2906">
              <w:t>-Attachment D</w:t>
            </w:r>
          </w:p>
        </w:tc>
        <w:tc>
          <w:tcPr>
            <w:tcW w:w="1239" w:type="dxa"/>
          </w:tcPr>
          <w:p w:rsidR="000B31C5" w:rsidP="002107DF" w14:paraId="4E04E50F" w14:textId="16543F23">
            <w:pPr>
              <w:contextualSpacing/>
              <w:rPr>
                <w:color w:val="2F5496" w:themeColor="accent5" w:themeShade="BF"/>
                <w:sz w:val="24"/>
              </w:rPr>
            </w:pPr>
            <w:r w:rsidRPr="00C90D16">
              <w:t xml:space="preserve"> 106 </w:t>
            </w:r>
          </w:p>
        </w:tc>
        <w:tc>
          <w:tcPr>
            <w:tcW w:w="1161" w:type="dxa"/>
          </w:tcPr>
          <w:p w:rsidR="000B31C5" w:rsidP="002107DF" w14:paraId="2CD45860" w14:textId="55AF1029">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694F323D" w14:textId="3C22E4A3">
            <w:pPr>
              <w:contextualSpacing/>
              <w:rPr>
                <w:color w:val="2F5496" w:themeColor="accent5" w:themeShade="BF"/>
                <w:sz w:val="24"/>
              </w:rPr>
            </w:pPr>
            <w:r w:rsidRPr="00C90D16">
              <w:t xml:space="preserve"> 106 </w:t>
            </w:r>
          </w:p>
        </w:tc>
        <w:tc>
          <w:tcPr>
            <w:tcW w:w="1086" w:type="dxa"/>
          </w:tcPr>
          <w:p w:rsidR="000B31C5" w:rsidP="002107DF" w14:paraId="1E47466C" w14:textId="3137AAD6">
            <w:pPr>
              <w:contextualSpacing/>
              <w:rPr>
                <w:color w:val="2F5496" w:themeColor="accent5" w:themeShade="BF"/>
                <w:sz w:val="24"/>
              </w:rPr>
            </w:pPr>
            <w:r w:rsidRPr="00C90D16">
              <w:t>1.6</w:t>
            </w:r>
            <w:r w:rsidR="00804CD2">
              <w:t>0</w:t>
            </w:r>
          </w:p>
        </w:tc>
        <w:tc>
          <w:tcPr>
            <w:tcW w:w="805" w:type="dxa"/>
          </w:tcPr>
          <w:p w:rsidR="000B31C5" w:rsidP="002107DF" w14:paraId="2F65652B" w14:textId="2E1810CF">
            <w:pPr>
              <w:contextualSpacing/>
              <w:rPr>
                <w:color w:val="2F5496" w:themeColor="accent5" w:themeShade="BF"/>
                <w:sz w:val="24"/>
              </w:rPr>
            </w:pPr>
            <w:r w:rsidRPr="00C90D16">
              <w:t xml:space="preserve"> 170 </w:t>
            </w:r>
          </w:p>
        </w:tc>
        <w:tc>
          <w:tcPr>
            <w:tcW w:w="871" w:type="dxa"/>
          </w:tcPr>
          <w:p w:rsidR="000B31C5" w:rsidP="002107DF" w14:paraId="5FE6E47B" w14:textId="621D60AF">
            <w:pPr>
              <w:contextualSpacing/>
              <w:rPr>
                <w:color w:val="2F5496" w:themeColor="accent5" w:themeShade="BF"/>
                <w:sz w:val="24"/>
              </w:rPr>
            </w:pPr>
            <w:r w:rsidRPr="00685080">
              <w:t xml:space="preserve">$31.19 </w:t>
            </w:r>
          </w:p>
        </w:tc>
        <w:tc>
          <w:tcPr>
            <w:tcW w:w="1254" w:type="dxa"/>
          </w:tcPr>
          <w:p w:rsidR="000B31C5" w:rsidP="002107DF" w14:paraId="37D835ED" w14:textId="1DF9FC37">
            <w:pPr>
              <w:contextualSpacing/>
              <w:rPr>
                <w:color w:val="2F5496" w:themeColor="accent5" w:themeShade="BF"/>
                <w:sz w:val="24"/>
              </w:rPr>
            </w:pPr>
            <w:r w:rsidRPr="00C90D16">
              <w:t xml:space="preserve">$5,302.30 </w:t>
            </w:r>
          </w:p>
        </w:tc>
      </w:tr>
      <w:tr w14:paraId="42C97395" w14:textId="77777777" w:rsidTr="00B04763">
        <w:tblPrEx>
          <w:tblW w:w="9355" w:type="dxa"/>
          <w:tblLayout w:type="fixed"/>
          <w:tblLook w:val="04A0"/>
        </w:tblPrEx>
        <w:trPr>
          <w:cantSplit/>
          <w:trHeight w:val="620"/>
        </w:trPr>
        <w:tc>
          <w:tcPr>
            <w:tcW w:w="1878" w:type="dxa"/>
          </w:tcPr>
          <w:p w:rsidR="000B31C5" w:rsidRPr="007D2906" w:rsidP="44E354D9" w14:paraId="6C2EAEF4" w14:textId="732A2EE8">
            <w:pPr>
              <w:contextualSpacing/>
              <w:rPr>
                <w:sz w:val="24"/>
              </w:rPr>
            </w:pPr>
            <w:r w:rsidRPr="007D2906">
              <w:t>LEAP Trainee Information</w:t>
            </w:r>
            <w:r w:rsidRPr="007D2906" w:rsidR="007D2906">
              <w:t>- Attachment D</w:t>
            </w:r>
          </w:p>
        </w:tc>
        <w:tc>
          <w:tcPr>
            <w:tcW w:w="1239" w:type="dxa"/>
          </w:tcPr>
          <w:p w:rsidR="000B31C5" w:rsidP="002107DF" w14:paraId="55FAB42F" w14:textId="5E830EE2">
            <w:pPr>
              <w:contextualSpacing/>
              <w:rPr>
                <w:color w:val="2F5496" w:themeColor="accent5" w:themeShade="BF"/>
                <w:sz w:val="24"/>
              </w:rPr>
            </w:pPr>
            <w:r w:rsidRPr="00C90D16">
              <w:t xml:space="preserve"> </w:t>
            </w:r>
            <w:r w:rsidRPr="00685080">
              <w:t>6</w:t>
            </w:r>
            <w:r w:rsidRPr="00C90D16">
              <w:t xml:space="preserve"> </w:t>
            </w:r>
          </w:p>
        </w:tc>
        <w:tc>
          <w:tcPr>
            <w:tcW w:w="1161" w:type="dxa"/>
          </w:tcPr>
          <w:p w:rsidR="000B31C5" w:rsidP="002107DF" w14:paraId="0DDF5E7F" w14:textId="571E73B7">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4D38E56F" w14:textId="2415BBA2">
            <w:pPr>
              <w:contextualSpacing/>
              <w:rPr>
                <w:color w:val="2F5496" w:themeColor="accent5" w:themeShade="BF"/>
                <w:sz w:val="24"/>
              </w:rPr>
            </w:pPr>
            <w:r w:rsidRPr="00C90D16">
              <w:t xml:space="preserve"> </w:t>
            </w:r>
            <w:r w:rsidRPr="00685080">
              <w:t>6</w:t>
            </w:r>
            <w:r w:rsidRPr="00C90D16">
              <w:t xml:space="preserve"> </w:t>
            </w:r>
          </w:p>
        </w:tc>
        <w:tc>
          <w:tcPr>
            <w:tcW w:w="1086" w:type="dxa"/>
          </w:tcPr>
          <w:p w:rsidR="000B31C5" w:rsidP="002107DF" w14:paraId="1AC6AF1D" w14:textId="5BD9B522">
            <w:pPr>
              <w:contextualSpacing/>
              <w:rPr>
                <w:color w:val="2F5496" w:themeColor="accent5" w:themeShade="BF"/>
                <w:sz w:val="24"/>
              </w:rPr>
            </w:pPr>
            <w:r w:rsidRPr="00C90D16">
              <w:t>0.65</w:t>
            </w:r>
          </w:p>
        </w:tc>
        <w:tc>
          <w:tcPr>
            <w:tcW w:w="805" w:type="dxa"/>
          </w:tcPr>
          <w:p w:rsidR="000B31C5" w:rsidP="002107DF" w14:paraId="5338B291" w14:textId="7E20AFF4">
            <w:pPr>
              <w:contextualSpacing/>
              <w:rPr>
                <w:color w:val="2F5496" w:themeColor="accent5" w:themeShade="BF"/>
                <w:sz w:val="24"/>
              </w:rPr>
            </w:pPr>
            <w:r w:rsidRPr="00C90D16">
              <w:t xml:space="preserve"> 4 </w:t>
            </w:r>
          </w:p>
        </w:tc>
        <w:tc>
          <w:tcPr>
            <w:tcW w:w="871" w:type="dxa"/>
          </w:tcPr>
          <w:p w:rsidR="000B31C5" w:rsidP="002107DF" w14:paraId="41274602" w14:textId="0EE14472">
            <w:pPr>
              <w:contextualSpacing/>
              <w:rPr>
                <w:color w:val="2F5496" w:themeColor="accent5" w:themeShade="BF"/>
                <w:sz w:val="24"/>
              </w:rPr>
            </w:pPr>
            <w:r w:rsidRPr="00685080">
              <w:t xml:space="preserve">$31.19 </w:t>
            </w:r>
          </w:p>
        </w:tc>
        <w:tc>
          <w:tcPr>
            <w:tcW w:w="1254" w:type="dxa"/>
          </w:tcPr>
          <w:p w:rsidR="000B31C5" w:rsidP="002107DF" w14:paraId="1AB592B2" w14:textId="1D554AE3">
            <w:pPr>
              <w:contextualSpacing/>
              <w:rPr>
                <w:color w:val="2F5496" w:themeColor="accent5" w:themeShade="BF"/>
                <w:sz w:val="24"/>
              </w:rPr>
            </w:pPr>
            <w:r w:rsidRPr="00C90D16">
              <w:t xml:space="preserve">$124.76 </w:t>
            </w:r>
          </w:p>
        </w:tc>
      </w:tr>
      <w:tr w14:paraId="021B6DE4" w14:textId="77777777" w:rsidTr="44E354D9">
        <w:tblPrEx>
          <w:tblW w:w="9355" w:type="dxa"/>
          <w:tblLayout w:type="fixed"/>
          <w:tblLook w:val="04A0"/>
        </w:tblPrEx>
        <w:trPr>
          <w:cantSplit/>
        </w:trPr>
        <w:tc>
          <w:tcPr>
            <w:tcW w:w="1878" w:type="dxa"/>
          </w:tcPr>
          <w:p w:rsidR="000B31C5" w:rsidRPr="007D2906" w:rsidP="002107DF" w14:paraId="3FEC4EC9" w14:textId="61D07669">
            <w:pPr>
              <w:contextualSpacing/>
              <w:rPr>
                <w:sz w:val="24"/>
              </w:rPr>
            </w:pPr>
            <w:r w:rsidRPr="007D2906">
              <w:t xml:space="preserve">HS </w:t>
            </w:r>
            <w:r w:rsidRPr="007D2906" w:rsidR="006D71AF">
              <w:t>4</w:t>
            </w:r>
            <w:r w:rsidRPr="007D2906" w:rsidR="00B04763">
              <w:t>-Attachment C</w:t>
            </w:r>
          </w:p>
        </w:tc>
        <w:tc>
          <w:tcPr>
            <w:tcW w:w="1239" w:type="dxa"/>
          </w:tcPr>
          <w:p w:rsidR="000B31C5" w:rsidP="002107DF" w14:paraId="679753BA" w14:textId="3CD72F4B">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2107DF" w14:paraId="3373F730" w14:textId="3712BFFF">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02DEC681" w14:textId="25E0EB57">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2107DF" w14:paraId="37720314" w14:textId="68E7BCC2">
            <w:pPr>
              <w:contextualSpacing/>
              <w:rPr>
                <w:color w:val="2F5496" w:themeColor="accent5" w:themeShade="BF"/>
                <w:sz w:val="24"/>
              </w:rPr>
            </w:pPr>
            <w:r w:rsidRPr="00685080">
              <w:t>0.</w:t>
            </w:r>
            <w:r w:rsidRPr="00C90D16" w:rsidR="006D71AF">
              <w:t>57</w:t>
            </w:r>
          </w:p>
        </w:tc>
        <w:tc>
          <w:tcPr>
            <w:tcW w:w="805" w:type="dxa"/>
          </w:tcPr>
          <w:p w:rsidR="000B31C5" w:rsidP="002107DF" w14:paraId="2BECE34C" w14:textId="6FB78C6F">
            <w:pPr>
              <w:contextualSpacing/>
              <w:rPr>
                <w:color w:val="2F5496" w:themeColor="accent5" w:themeShade="BF"/>
                <w:sz w:val="24"/>
              </w:rPr>
            </w:pPr>
            <w:r w:rsidRPr="00C90D16">
              <w:t xml:space="preserve"> 58 </w:t>
            </w:r>
          </w:p>
        </w:tc>
        <w:tc>
          <w:tcPr>
            <w:tcW w:w="871" w:type="dxa"/>
          </w:tcPr>
          <w:p w:rsidR="000B31C5" w:rsidP="002107DF" w14:paraId="39D89A99" w14:textId="044242A5">
            <w:pPr>
              <w:contextualSpacing/>
              <w:rPr>
                <w:color w:val="2F5496" w:themeColor="accent5" w:themeShade="BF"/>
                <w:sz w:val="24"/>
              </w:rPr>
            </w:pPr>
            <w:r w:rsidRPr="00685080">
              <w:t xml:space="preserve">$31.19 </w:t>
            </w:r>
          </w:p>
        </w:tc>
        <w:tc>
          <w:tcPr>
            <w:tcW w:w="1254" w:type="dxa"/>
          </w:tcPr>
          <w:p w:rsidR="000B31C5" w:rsidP="002107DF" w14:paraId="45AFBE11" w14:textId="062A8AFA">
            <w:pPr>
              <w:contextualSpacing/>
              <w:rPr>
                <w:color w:val="2F5496" w:themeColor="accent5" w:themeShade="BF"/>
                <w:sz w:val="24"/>
              </w:rPr>
            </w:pPr>
            <w:r w:rsidRPr="00685080">
              <w:t>$1,</w:t>
            </w:r>
            <w:r w:rsidRPr="00C90D16" w:rsidR="006D71AF">
              <w:t>809.02</w:t>
            </w:r>
            <w:r w:rsidRPr="00685080">
              <w:t xml:space="preserve"> </w:t>
            </w:r>
          </w:p>
        </w:tc>
      </w:tr>
      <w:tr w14:paraId="300E1B62" w14:textId="77777777" w:rsidTr="44E354D9">
        <w:tblPrEx>
          <w:tblW w:w="9355" w:type="dxa"/>
          <w:tblLayout w:type="fixed"/>
          <w:tblLook w:val="04A0"/>
        </w:tblPrEx>
        <w:trPr>
          <w:cantSplit/>
        </w:trPr>
        <w:tc>
          <w:tcPr>
            <w:tcW w:w="1878" w:type="dxa"/>
          </w:tcPr>
          <w:p w:rsidR="000B31C5" w:rsidRPr="007D2906" w:rsidP="002107DF" w14:paraId="077AAC82" w14:textId="725E0A41">
            <w:pPr>
              <w:contextualSpacing/>
              <w:rPr>
                <w:sz w:val="24"/>
              </w:rPr>
            </w:pPr>
            <w:r w:rsidRPr="007D2906">
              <w:t xml:space="preserve">HS </w:t>
            </w:r>
            <w:r w:rsidRPr="007D2906" w:rsidR="006D71AF">
              <w:t>1</w:t>
            </w:r>
            <w:r w:rsidRPr="007D2906" w:rsidR="007D2906">
              <w:t>0</w:t>
            </w:r>
            <w:r w:rsidRPr="007D2906" w:rsidR="00B04763">
              <w:t>-Attachment C</w:t>
            </w:r>
          </w:p>
        </w:tc>
        <w:tc>
          <w:tcPr>
            <w:tcW w:w="1239" w:type="dxa"/>
          </w:tcPr>
          <w:p w:rsidR="000B31C5" w:rsidP="002107DF" w14:paraId="0838A11D" w14:textId="5B1A20BE">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2107DF" w14:paraId="7F899D9D" w14:textId="4F7F576D">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2107DF" w14:paraId="5D708632" w14:textId="22AB480F">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2107DF" w14:paraId="40D9173D" w14:textId="0CE2DFA0">
            <w:pPr>
              <w:contextualSpacing/>
              <w:rPr>
                <w:color w:val="2F5496" w:themeColor="accent5" w:themeShade="BF"/>
                <w:sz w:val="24"/>
              </w:rPr>
            </w:pPr>
            <w:r w:rsidRPr="00685080">
              <w:t>0.</w:t>
            </w:r>
            <w:r w:rsidRPr="00C90D16" w:rsidR="006D71AF">
              <w:t>31</w:t>
            </w:r>
          </w:p>
        </w:tc>
        <w:tc>
          <w:tcPr>
            <w:tcW w:w="805" w:type="dxa"/>
          </w:tcPr>
          <w:p w:rsidR="000B31C5" w:rsidP="002107DF" w14:paraId="635D484A" w14:textId="682DA700">
            <w:pPr>
              <w:contextualSpacing/>
              <w:rPr>
                <w:color w:val="2F5496" w:themeColor="accent5" w:themeShade="BF"/>
                <w:sz w:val="24"/>
              </w:rPr>
            </w:pPr>
            <w:r w:rsidRPr="00C90D16">
              <w:t xml:space="preserve"> 31 </w:t>
            </w:r>
          </w:p>
        </w:tc>
        <w:tc>
          <w:tcPr>
            <w:tcW w:w="871" w:type="dxa"/>
          </w:tcPr>
          <w:p w:rsidR="000B31C5" w:rsidP="002107DF" w14:paraId="0CAB2384" w14:textId="75164563">
            <w:pPr>
              <w:contextualSpacing/>
              <w:rPr>
                <w:color w:val="2F5496" w:themeColor="accent5" w:themeShade="BF"/>
                <w:sz w:val="24"/>
              </w:rPr>
            </w:pPr>
            <w:r w:rsidRPr="00685080">
              <w:t xml:space="preserve">$31.19 </w:t>
            </w:r>
          </w:p>
        </w:tc>
        <w:tc>
          <w:tcPr>
            <w:tcW w:w="1254" w:type="dxa"/>
          </w:tcPr>
          <w:p w:rsidR="000B31C5" w:rsidP="002107DF" w14:paraId="1C7E3042" w14:textId="71416447">
            <w:pPr>
              <w:contextualSpacing/>
              <w:rPr>
                <w:color w:val="2F5496" w:themeColor="accent5" w:themeShade="BF"/>
                <w:sz w:val="24"/>
              </w:rPr>
            </w:pPr>
            <w:r w:rsidRPr="00C90D16">
              <w:t xml:space="preserve">$966.89 </w:t>
            </w:r>
          </w:p>
        </w:tc>
      </w:tr>
      <w:tr w14:paraId="10D2CF63" w14:textId="77777777" w:rsidTr="44E354D9">
        <w:tblPrEx>
          <w:tblW w:w="9355" w:type="dxa"/>
          <w:tblLayout w:type="fixed"/>
          <w:tblLook w:val="04A0"/>
        </w:tblPrEx>
        <w:trPr>
          <w:cantSplit/>
        </w:trPr>
        <w:tc>
          <w:tcPr>
            <w:tcW w:w="1878" w:type="dxa"/>
          </w:tcPr>
          <w:p w:rsidR="000B31C5" w:rsidRPr="007D2906" w:rsidP="008C497E" w14:paraId="7BE72421" w14:textId="1CBC5EEB">
            <w:pPr>
              <w:contextualSpacing/>
              <w:rPr>
                <w:sz w:val="24"/>
              </w:rPr>
            </w:pPr>
            <w:r w:rsidRPr="007D2906">
              <w:t xml:space="preserve">HS </w:t>
            </w:r>
            <w:r w:rsidRPr="007D2906" w:rsidR="006D71AF">
              <w:t>11</w:t>
            </w:r>
            <w:r w:rsidRPr="007D2906" w:rsidR="00B04763">
              <w:t>-Attachment C</w:t>
            </w:r>
          </w:p>
        </w:tc>
        <w:tc>
          <w:tcPr>
            <w:tcW w:w="1239" w:type="dxa"/>
          </w:tcPr>
          <w:p w:rsidR="000B31C5" w:rsidP="008C497E" w14:paraId="6D61F089" w14:textId="4B3E5FD9">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61559CFF" w14:textId="39384392">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2C74CBC3" w14:textId="0E799F8A">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17B9CB9D" w14:textId="3465BC84">
            <w:pPr>
              <w:contextualSpacing/>
              <w:rPr>
                <w:color w:val="2F5496" w:themeColor="accent5" w:themeShade="BF"/>
                <w:sz w:val="24"/>
              </w:rPr>
            </w:pPr>
            <w:r w:rsidRPr="00685080">
              <w:t>0.</w:t>
            </w:r>
            <w:r w:rsidRPr="00C90D16" w:rsidR="006D71AF">
              <w:t>61</w:t>
            </w:r>
          </w:p>
        </w:tc>
        <w:tc>
          <w:tcPr>
            <w:tcW w:w="805" w:type="dxa"/>
          </w:tcPr>
          <w:p w:rsidR="000B31C5" w:rsidP="008C497E" w14:paraId="4DC4FC5C" w14:textId="509B61CC">
            <w:pPr>
              <w:contextualSpacing/>
              <w:rPr>
                <w:color w:val="2F5496" w:themeColor="accent5" w:themeShade="BF"/>
                <w:sz w:val="24"/>
              </w:rPr>
            </w:pPr>
            <w:r w:rsidRPr="00C90D16">
              <w:t xml:space="preserve"> 62 </w:t>
            </w:r>
          </w:p>
        </w:tc>
        <w:tc>
          <w:tcPr>
            <w:tcW w:w="871" w:type="dxa"/>
          </w:tcPr>
          <w:p w:rsidR="000B31C5" w:rsidP="008C497E" w14:paraId="1912235A" w14:textId="4DFEE6B9">
            <w:pPr>
              <w:contextualSpacing/>
              <w:rPr>
                <w:color w:val="2F5496" w:themeColor="accent5" w:themeShade="BF"/>
                <w:sz w:val="24"/>
              </w:rPr>
            </w:pPr>
            <w:r w:rsidRPr="00685080">
              <w:t xml:space="preserve">$31.19 </w:t>
            </w:r>
          </w:p>
        </w:tc>
        <w:tc>
          <w:tcPr>
            <w:tcW w:w="1254" w:type="dxa"/>
          </w:tcPr>
          <w:p w:rsidR="000B31C5" w:rsidP="008C497E" w14:paraId="67E2E393" w14:textId="03E52E2D">
            <w:pPr>
              <w:contextualSpacing/>
              <w:rPr>
                <w:color w:val="2F5496" w:themeColor="accent5" w:themeShade="BF"/>
                <w:sz w:val="24"/>
              </w:rPr>
            </w:pPr>
            <w:r w:rsidRPr="00C90D16">
              <w:t xml:space="preserve">$1,933.78 </w:t>
            </w:r>
          </w:p>
        </w:tc>
      </w:tr>
      <w:tr w14:paraId="15D28F6E" w14:textId="77777777" w:rsidTr="44E354D9">
        <w:tblPrEx>
          <w:tblW w:w="9355" w:type="dxa"/>
          <w:tblLayout w:type="fixed"/>
          <w:tblLook w:val="04A0"/>
        </w:tblPrEx>
        <w:trPr>
          <w:cantSplit/>
        </w:trPr>
        <w:tc>
          <w:tcPr>
            <w:tcW w:w="1878" w:type="dxa"/>
          </w:tcPr>
          <w:p w:rsidR="000B31C5" w:rsidRPr="007D2906" w:rsidP="008C497E" w14:paraId="1D2B15BB" w14:textId="0192283B">
            <w:pPr>
              <w:contextualSpacing/>
              <w:rPr>
                <w:sz w:val="24"/>
              </w:rPr>
            </w:pPr>
            <w:r w:rsidRPr="007D2906">
              <w:t xml:space="preserve">HS </w:t>
            </w:r>
            <w:r w:rsidRPr="007D2906" w:rsidR="006D71AF">
              <w:t>12</w:t>
            </w:r>
            <w:r w:rsidRPr="007D2906" w:rsidR="00B04763">
              <w:t>-Attachment C</w:t>
            </w:r>
          </w:p>
        </w:tc>
        <w:tc>
          <w:tcPr>
            <w:tcW w:w="1239" w:type="dxa"/>
          </w:tcPr>
          <w:p w:rsidR="000B31C5" w:rsidP="008C497E" w14:paraId="18ED5BE9" w14:textId="27B6AEF6">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64EBBD3A" w14:textId="3BF39EC6">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42C75421" w14:textId="158D612D">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73F34BB4" w14:textId="0360BB22">
            <w:pPr>
              <w:contextualSpacing/>
              <w:rPr>
                <w:color w:val="2F5496" w:themeColor="accent5" w:themeShade="BF"/>
                <w:sz w:val="24"/>
              </w:rPr>
            </w:pPr>
            <w:r w:rsidRPr="00685080">
              <w:t>0.</w:t>
            </w:r>
            <w:r w:rsidRPr="00C90D16" w:rsidR="006D71AF">
              <w:t>33</w:t>
            </w:r>
          </w:p>
        </w:tc>
        <w:tc>
          <w:tcPr>
            <w:tcW w:w="805" w:type="dxa"/>
          </w:tcPr>
          <w:p w:rsidR="000B31C5" w:rsidP="008C497E" w14:paraId="57AC30CD" w14:textId="2B682172">
            <w:pPr>
              <w:contextualSpacing/>
              <w:rPr>
                <w:color w:val="2F5496" w:themeColor="accent5" w:themeShade="BF"/>
                <w:sz w:val="24"/>
              </w:rPr>
            </w:pPr>
            <w:r w:rsidRPr="00C90D16">
              <w:t xml:space="preserve"> 33 </w:t>
            </w:r>
          </w:p>
        </w:tc>
        <w:tc>
          <w:tcPr>
            <w:tcW w:w="871" w:type="dxa"/>
          </w:tcPr>
          <w:p w:rsidR="000B31C5" w:rsidP="008C497E" w14:paraId="03D8FE6B" w14:textId="7A670D18">
            <w:pPr>
              <w:contextualSpacing/>
              <w:rPr>
                <w:color w:val="2F5496" w:themeColor="accent5" w:themeShade="BF"/>
                <w:sz w:val="24"/>
              </w:rPr>
            </w:pPr>
            <w:r w:rsidRPr="00685080">
              <w:t xml:space="preserve">$31.19 </w:t>
            </w:r>
          </w:p>
        </w:tc>
        <w:tc>
          <w:tcPr>
            <w:tcW w:w="1254" w:type="dxa"/>
          </w:tcPr>
          <w:p w:rsidR="000B31C5" w:rsidP="008C497E" w14:paraId="36A50F76" w14:textId="465E3E1B">
            <w:pPr>
              <w:contextualSpacing/>
              <w:rPr>
                <w:color w:val="2F5496" w:themeColor="accent5" w:themeShade="BF"/>
                <w:sz w:val="24"/>
              </w:rPr>
            </w:pPr>
            <w:r w:rsidRPr="00685080">
              <w:t>$1,</w:t>
            </w:r>
            <w:r w:rsidRPr="00C90D16" w:rsidR="006D71AF">
              <w:t>029.27</w:t>
            </w:r>
            <w:r w:rsidRPr="00685080">
              <w:t xml:space="preserve"> </w:t>
            </w:r>
          </w:p>
        </w:tc>
      </w:tr>
      <w:tr w14:paraId="41DC958B" w14:textId="77777777" w:rsidTr="44E354D9">
        <w:tblPrEx>
          <w:tblW w:w="9355" w:type="dxa"/>
          <w:tblLayout w:type="fixed"/>
          <w:tblLook w:val="04A0"/>
        </w:tblPrEx>
        <w:trPr>
          <w:cantSplit/>
        </w:trPr>
        <w:tc>
          <w:tcPr>
            <w:tcW w:w="1878" w:type="dxa"/>
          </w:tcPr>
          <w:p w:rsidR="000B31C5" w:rsidRPr="007D2906" w:rsidP="008C497E" w14:paraId="2DC1A2D3" w14:textId="5F1DFE27">
            <w:pPr>
              <w:contextualSpacing/>
              <w:rPr>
                <w:sz w:val="24"/>
              </w:rPr>
            </w:pPr>
            <w:r w:rsidRPr="007D2906">
              <w:t xml:space="preserve">HS </w:t>
            </w:r>
            <w:r w:rsidRPr="007D2906" w:rsidR="006D71AF">
              <w:t>13</w:t>
            </w:r>
            <w:r w:rsidRPr="007D2906" w:rsidR="00B04763">
              <w:t>-Attachment C</w:t>
            </w:r>
          </w:p>
        </w:tc>
        <w:tc>
          <w:tcPr>
            <w:tcW w:w="1239" w:type="dxa"/>
          </w:tcPr>
          <w:p w:rsidR="000B31C5" w:rsidP="008C497E" w14:paraId="78904201" w14:textId="6E17E30A">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514119E5" w14:textId="024DB36A">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498B5802" w14:textId="69C1B967">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01BC1B33" w14:textId="3528E5DC">
            <w:pPr>
              <w:contextualSpacing/>
              <w:rPr>
                <w:color w:val="2F5496" w:themeColor="accent5" w:themeShade="BF"/>
                <w:sz w:val="24"/>
              </w:rPr>
            </w:pPr>
            <w:r w:rsidRPr="00685080">
              <w:t>0.</w:t>
            </w:r>
            <w:r w:rsidRPr="00C90D16" w:rsidR="006D71AF">
              <w:t>5</w:t>
            </w:r>
            <w:r w:rsidR="00804CD2">
              <w:t>0</w:t>
            </w:r>
          </w:p>
        </w:tc>
        <w:tc>
          <w:tcPr>
            <w:tcW w:w="805" w:type="dxa"/>
          </w:tcPr>
          <w:p w:rsidR="000B31C5" w:rsidP="008C497E" w14:paraId="286C182B" w14:textId="4E17A90C">
            <w:pPr>
              <w:contextualSpacing/>
              <w:rPr>
                <w:color w:val="2F5496" w:themeColor="accent5" w:themeShade="BF"/>
                <w:sz w:val="24"/>
              </w:rPr>
            </w:pPr>
            <w:r w:rsidRPr="00C90D16">
              <w:t xml:space="preserve"> 51 </w:t>
            </w:r>
          </w:p>
        </w:tc>
        <w:tc>
          <w:tcPr>
            <w:tcW w:w="871" w:type="dxa"/>
          </w:tcPr>
          <w:p w:rsidR="000B31C5" w:rsidP="008C497E" w14:paraId="55E7FCA5" w14:textId="7AA5BDBB">
            <w:pPr>
              <w:contextualSpacing/>
              <w:rPr>
                <w:color w:val="2F5496" w:themeColor="accent5" w:themeShade="BF"/>
                <w:sz w:val="24"/>
              </w:rPr>
            </w:pPr>
            <w:r w:rsidRPr="00685080">
              <w:t xml:space="preserve">$31.19 </w:t>
            </w:r>
          </w:p>
        </w:tc>
        <w:tc>
          <w:tcPr>
            <w:tcW w:w="1254" w:type="dxa"/>
          </w:tcPr>
          <w:p w:rsidR="000B31C5" w:rsidP="008C497E" w14:paraId="3FD41A50" w14:textId="189751DB">
            <w:pPr>
              <w:contextualSpacing/>
              <w:rPr>
                <w:color w:val="2F5496" w:themeColor="accent5" w:themeShade="BF"/>
                <w:sz w:val="24"/>
              </w:rPr>
            </w:pPr>
            <w:r w:rsidRPr="00685080">
              <w:t>$1,</w:t>
            </w:r>
            <w:r w:rsidRPr="00C90D16" w:rsidR="006D71AF">
              <w:t>590.69</w:t>
            </w:r>
            <w:r w:rsidRPr="00685080">
              <w:t xml:space="preserve"> </w:t>
            </w:r>
          </w:p>
        </w:tc>
      </w:tr>
      <w:tr w14:paraId="774A2246" w14:textId="77777777" w:rsidTr="44E354D9">
        <w:tblPrEx>
          <w:tblW w:w="9355" w:type="dxa"/>
          <w:tblLayout w:type="fixed"/>
          <w:tblLook w:val="04A0"/>
        </w:tblPrEx>
        <w:trPr>
          <w:cantSplit/>
        </w:trPr>
        <w:tc>
          <w:tcPr>
            <w:tcW w:w="1878" w:type="dxa"/>
          </w:tcPr>
          <w:p w:rsidR="000B31C5" w:rsidRPr="007D2906" w:rsidP="008C497E" w14:paraId="6F3B3BB4" w14:textId="1CAC0A25">
            <w:pPr>
              <w:contextualSpacing/>
              <w:rPr>
                <w:sz w:val="24"/>
              </w:rPr>
            </w:pPr>
            <w:r w:rsidRPr="007D2906">
              <w:t xml:space="preserve">HS </w:t>
            </w:r>
            <w:r w:rsidRPr="007D2906" w:rsidR="006D71AF">
              <w:t>14</w:t>
            </w:r>
            <w:r w:rsidRPr="007D2906" w:rsidR="00B04763">
              <w:t>-Attachment C</w:t>
            </w:r>
          </w:p>
        </w:tc>
        <w:tc>
          <w:tcPr>
            <w:tcW w:w="1239" w:type="dxa"/>
          </w:tcPr>
          <w:p w:rsidR="000B31C5" w:rsidP="008C497E" w14:paraId="4E6E4F0B" w14:textId="748FEA22">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78DB2D23" w14:textId="77B8715A">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0B5F973F" w14:textId="5B06FEA6">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6D3A055B" w14:textId="3909B336">
            <w:pPr>
              <w:contextualSpacing/>
              <w:rPr>
                <w:color w:val="2F5496" w:themeColor="accent5" w:themeShade="BF"/>
                <w:sz w:val="24"/>
              </w:rPr>
            </w:pPr>
            <w:r w:rsidRPr="00685080">
              <w:t>0.</w:t>
            </w:r>
            <w:r w:rsidRPr="00C90D16" w:rsidR="006D71AF">
              <w:t>43</w:t>
            </w:r>
          </w:p>
        </w:tc>
        <w:tc>
          <w:tcPr>
            <w:tcW w:w="805" w:type="dxa"/>
          </w:tcPr>
          <w:p w:rsidR="000B31C5" w:rsidP="008C497E" w14:paraId="65EC5A1C" w14:textId="0D52A606">
            <w:pPr>
              <w:contextualSpacing/>
              <w:rPr>
                <w:color w:val="2F5496" w:themeColor="accent5" w:themeShade="BF"/>
                <w:sz w:val="24"/>
              </w:rPr>
            </w:pPr>
            <w:r w:rsidRPr="00C90D16">
              <w:t xml:space="preserve"> 43 </w:t>
            </w:r>
          </w:p>
        </w:tc>
        <w:tc>
          <w:tcPr>
            <w:tcW w:w="871" w:type="dxa"/>
          </w:tcPr>
          <w:p w:rsidR="000B31C5" w:rsidP="008C497E" w14:paraId="3749CD4C" w14:textId="479DF0F2">
            <w:pPr>
              <w:contextualSpacing/>
              <w:rPr>
                <w:color w:val="2F5496" w:themeColor="accent5" w:themeShade="BF"/>
                <w:sz w:val="24"/>
              </w:rPr>
            </w:pPr>
            <w:r w:rsidRPr="00685080">
              <w:t xml:space="preserve">$31.19 </w:t>
            </w:r>
          </w:p>
        </w:tc>
        <w:tc>
          <w:tcPr>
            <w:tcW w:w="1254" w:type="dxa"/>
          </w:tcPr>
          <w:p w:rsidR="000B31C5" w:rsidP="008C497E" w14:paraId="2555B062" w14:textId="2B867687">
            <w:pPr>
              <w:contextualSpacing/>
              <w:rPr>
                <w:color w:val="2F5496" w:themeColor="accent5" w:themeShade="BF"/>
                <w:sz w:val="24"/>
              </w:rPr>
            </w:pPr>
            <w:r w:rsidRPr="00685080">
              <w:t>$1,</w:t>
            </w:r>
            <w:r w:rsidRPr="00C90D16" w:rsidR="006D71AF">
              <w:t>341.17</w:t>
            </w:r>
            <w:r w:rsidRPr="00685080">
              <w:t xml:space="preserve"> </w:t>
            </w:r>
          </w:p>
        </w:tc>
      </w:tr>
      <w:tr w14:paraId="732EAF69" w14:textId="77777777" w:rsidTr="44E354D9">
        <w:tblPrEx>
          <w:tblW w:w="9355" w:type="dxa"/>
          <w:tblLayout w:type="fixed"/>
          <w:tblLook w:val="04A0"/>
        </w:tblPrEx>
        <w:trPr>
          <w:cantSplit/>
        </w:trPr>
        <w:tc>
          <w:tcPr>
            <w:tcW w:w="1878" w:type="dxa"/>
          </w:tcPr>
          <w:p w:rsidR="000B31C5" w:rsidRPr="007D2906" w:rsidP="008C497E" w14:paraId="4107436C" w14:textId="0F0DE292">
            <w:pPr>
              <w:contextualSpacing/>
              <w:rPr>
                <w:sz w:val="24"/>
              </w:rPr>
            </w:pPr>
            <w:r w:rsidRPr="007D2906">
              <w:t xml:space="preserve">HS </w:t>
            </w:r>
            <w:r w:rsidRPr="007D2906" w:rsidR="006D71AF">
              <w:t>15</w:t>
            </w:r>
            <w:r w:rsidRPr="007D2906" w:rsidR="00B04763">
              <w:t>-Attachment C</w:t>
            </w:r>
          </w:p>
        </w:tc>
        <w:tc>
          <w:tcPr>
            <w:tcW w:w="1239" w:type="dxa"/>
          </w:tcPr>
          <w:p w:rsidR="000B31C5" w:rsidP="008C497E" w14:paraId="4EB262B2" w14:textId="6815327E">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2C81260D" w14:textId="59997715">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719D7CF6" w14:textId="421E7CDD">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41CFEB11" w14:textId="3F7175E1">
            <w:pPr>
              <w:contextualSpacing/>
              <w:rPr>
                <w:color w:val="2F5496" w:themeColor="accent5" w:themeShade="BF"/>
                <w:sz w:val="24"/>
              </w:rPr>
            </w:pPr>
            <w:r w:rsidRPr="00685080">
              <w:t>0.</w:t>
            </w:r>
            <w:r w:rsidRPr="00C90D16" w:rsidR="006D71AF">
              <w:t>45</w:t>
            </w:r>
          </w:p>
        </w:tc>
        <w:tc>
          <w:tcPr>
            <w:tcW w:w="805" w:type="dxa"/>
          </w:tcPr>
          <w:p w:rsidR="000B31C5" w:rsidP="008C497E" w14:paraId="6079D533" w14:textId="4445BB36">
            <w:pPr>
              <w:contextualSpacing/>
              <w:rPr>
                <w:color w:val="2F5496" w:themeColor="accent5" w:themeShade="BF"/>
                <w:sz w:val="24"/>
              </w:rPr>
            </w:pPr>
            <w:r w:rsidRPr="00C90D16">
              <w:t xml:space="preserve"> 45 </w:t>
            </w:r>
          </w:p>
        </w:tc>
        <w:tc>
          <w:tcPr>
            <w:tcW w:w="871" w:type="dxa"/>
          </w:tcPr>
          <w:p w:rsidR="000B31C5" w:rsidP="008C497E" w14:paraId="3CF4E031" w14:textId="294BAECC">
            <w:pPr>
              <w:contextualSpacing/>
              <w:rPr>
                <w:color w:val="2F5496" w:themeColor="accent5" w:themeShade="BF"/>
                <w:sz w:val="24"/>
              </w:rPr>
            </w:pPr>
            <w:r w:rsidRPr="00685080">
              <w:t xml:space="preserve">$31.19 </w:t>
            </w:r>
          </w:p>
        </w:tc>
        <w:tc>
          <w:tcPr>
            <w:tcW w:w="1254" w:type="dxa"/>
          </w:tcPr>
          <w:p w:rsidR="000B31C5" w:rsidP="008C497E" w14:paraId="19498966" w14:textId="070E97BC">
            <w:pPr>
              <w:contextualSpacing/>
              <w:rPr>
                <w:color w:val="2F5496" w:themeColor="accent5" w:themeShade="BF"/>
                <w:sz w:val="24"/>
              </w:rPr>
            </w:pPr>
            <w:r w:rsidRPr="00685080">
              <w:t>$1,</w:t>
            </w:r>
            <w:r w:rsidRPr="00C90D16" w:rsidR="006D71AF">
              <w:t>403.55</w:t>
            </w:r>
            <w:r w:rsidRPr="00685080">
              <w:t xml:space="preserve"> </w:t>
            </w:r>
          </w:p>
        </w:tc>
      </w:tr>
      <w:tr w14:paraId="31560A1A" w14:textId="77777777" w:rsidTr="44E354D9">
        <w:tblPrEx>
          <w:tblW w:w="9355" w:type="dxa"/>
          <w:tblLayout w:type="fixed"/>
          <w:tblLook w:val="04A0"/>
        </w:tblPrEx>
        <w:trPr>
          <w:cantSplit/>
        </w:trPr>
        <w:tc>
          <w:tcPr>
            <w:tcW w:w="1878" w:type="dxa"/>
          </w:tcPr>
          <w:p w:rsidR="000B31C5" w:rsidRPr="007D2906" w:rsidP="008C497E" w14:paraId="1DC6BD80" w14:textId="22B9A633">
            <w:pPr>
              <w:contextualSpacing/>
              <w:rPr>
                <w:sz w:val="24"/>
              </w:rPr>
            </w:pPr>
            <w:r w:rsidRPr="007D2906">
              <w:t xml:space="preserve">HS </w:t>
            </w:r>
            <w:r w:rsidRPr="007D2906" w:rsidR="006D71AF">
              <w:t>16</w:t>
            </w:r>
            <w:r w:rsidRPr="007D2906" w:rsidR="00B04763">
              <w:t>-Attachment C</w:t>
            </w:r>
          </w:p>
        </w:tc>
        <w:tc>
          <w:tcPr>
            <w:tcW w:w="1239" w:type="dxa"/>
          </w:tcPr>
          <w:p w:rsidR="000B31C5" w:rsidP="008C497E" w14:paraId="6C60A725" w14:textId="16B1233E">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52F939DD" w14:textId="69E05BB9">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3E2DC434" w14:textId="2ADFD668">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7CCCCE76" w14:textId="42063A8E">
            <w:pPr>
              <w:contextualSpacing/>
              <w:rPr>
                <w:color w:val="2F5496" w:themeColor="accent5" w:themeShade="BF"/>
                <w:sz w:val="24"/>
              </w:rPr>
            </w:pPr>
            <w:r w:rsidRPr="00685080">
              <w:t>0.</w:t>
            </w:r>
            <w:r w:rsidRPr="00C90D16" w:rsidR="006D71AF">
              <w:t>39</w:t>
            </w:r>
          </w:p>
        </w:tc>
        <w:tc>
          <w:tcPr>
            <w:tcW w:w="805" w:type="dxa"/>
          </w:tcPr>
          <w:p w:rsidR="000B31C5" w:rsidP="008C497E" w14:paraId="58198152" w14:textId="3BC5BDCA">
            <w:pPr>
              <w:contextualSpacing/>
              <w:rPr>
                <w:color w:val="2F5496" w:themeColor="accent5" w:themeShade="BF"/>
                <w:sz w:val="24"/>
              </w:rPr>
            </w:pPr>
            <w:r w:rsidRPr="00C90D16">
              <w:t xml:space="preserve"> 39 </w:t>
            </w:r>
          </w:p>
        </w:tc>
        <w:tc>
          <w:tcPr>
            <w:tcW w:w="871" w:type="dxa"/>
          </w:tcPr>
          <w:p w:rsidR="000B31C5" w:rsidP="008C497E" w14:paraId="65831BC0" w14:textId="4D71CC66">
            <w:pPr>
              <w:contextualSpacing/>
              <w:rPr>
                <w:color w:val="2F5496" w:themeColor="accent5" w:themeShade="BF"/>
                <w:sz w:val="24"/>
              </w:rPr>
            </w:pPr>
            <w:r w:rsidRPr="00685080">
              <w:t xml:space="preserve">$31.19 </w:t>
            </w:r>
          </w:p>
        </w:tc>
        <w:tc>
          <w:tcPr>
            <w:tcW w:w="1254" w:type="dxa"/>
          </w:tcPr>
          <w:p w:rsidR="000B31C5" w:rsidP="008C497E" w14:paraId="71CC8357" w14:textId="25634025">
            <w:pPr>
              <w:contextualSpacing/>
              <w:rPr>
                <w:color w:val="2F5496" w:themeColor="accent5" w:themeShade="BF"/>
                <w:sz w:val="24"/>
              </w:rPr>
            </w:pPr>
            <w:r w:rsidRPr="00685080">
              <w:t>$1,</w:t>
            </w:r>
            <w:r w:rsidRPr="00C90D16" w:rsidR="006D71AF">
              <w:t>216.41</w:t>
            </w:r>
            <w:r w:rsidRPr="00685080">
              <w:t xml:space="preserve"> </w:t>
            </w:r>
          </w:p>
        </w:tc>
      </w:tr>
      <w:tr w14:paraId="0CB43918" w14:textId="77777777" w:rsidTr="44E354D9">
        <w:tblPrEx>
          <w:tblW w:w="9355" w:type="dxa"/>
          <w:tblLayout w:type="fixed"/>
          <w:tblLook w:val="04A0"/>
        </w:tblPrEx>
        <w:trPr>
          <w:cantSplit/>
        </w:trPr>
        <w:tc>
          <w:tcPr>
            <w:tcW w:w="1878" w:type="dxa"/>
          </w:tcPr>
          <w:p w:rsidR="000B31C5" w:rsidRPr="007D2906" w:rsidP="008C497E" w14:paraId="119C0497" w14:textId="4729BDFB">
            <w:pPr>
              <w:contextualSpacing/>
              <w:rPr>
                <w:sz w:val="24"/>
              </w:rPr>
            </w:pPr>
            <w:r w:rsidRPr="007D2906">
              <w:t xml:space="preserve">HS </w:t>
            </w:r>
            <w:r w:rsidRPr="007D2906" w:rsidR="006D71AF">
              <w:t>17</w:t>
            </w:r>
            <w:r w:rsidRPr="007D2906" w:rsidR="00B04763">
              <w:t>-Attachment C</w:t>
            </w:r>
          </w:p>
        </w:tc>
        <w:tc>
          <w:tcPr>
            <w:tcW w:w="1239" w:type="dxa"/>
          </w:tcPr>
          <w:p w:rsidR="000B31C5" w:rsidP="008C497E" w14:paraId="2968CC14" w14:textId="16A44FDA">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3469F016" w14:textId="3F2F6B08">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5F2C4725" w14:textId="79EF3CEA">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40B23766" w14:textId="7D06ECE1">
            <w:pPr>
              <w:contextualSpacing/>
              <w:rPr>
                <w:color w:val="2F5496" w:themeColor="accent5" w:themeShade="BF"/>
                <w:sz w:val="24"/>
              </w:rPr>
            </w:pPr>
            <w:r w:rsidRPr="00685080">
              <w:t>0.</w:t>
            </w:r>
            <w:r w:rsidRPr="00C90D16" w:rsidR="006D71AF">
              <w:t>4</w:t>
            </w:r>
            <w:r w:rsidR="00804CD2">
              <w:t>0</w:t>
            </w:r>
          </w:p>
        </w:tc>
        <w:tc>
          <w:tcPr>
            <w:tcW w:w="805" w:type="dxa"/>
          </w:tcPr>
          <w:p w:rsidR="000B31C5" w:rsidP="008C497E" w14:paraId="10041F8C" w14:textId="768290DF">
            <w:pPr>
              <w:contextualSpacing/>
              <w:rPr>
                <w:color w:val="2F5496" w:themeColor="accent5" w:themeShade="BF"/>
                <w:sz w:val="24"/>
              </w:rPr>
            </w:pPr>
            <w:r w:rsidRPr="00C90D16">
              <w:t xml:space="preserve"> 40 </w:t>
            </w:r>
          </w:p>
        </w:tc>
        <w:tc>
          <w:tcPr>
            <w:tcW w:w="871" w:type="dxa"/>
          </w:tcPr>
          <w:p w:rsidR="000B31C5" w:rsidP="008C497E" w14:paraId="093AE906" w14:textId="3C514536">
            <w:pPr>
              <w:contextualSpacing/>
              <w:rPr>
                <w:color w:val="2F5496" w:themeColor="accent5" w:themeShade="BF"/>
                <w:sz w:val="24"/>
              </w:rPr>
            </w:pPr>
            <w:r w:rsidRPr="00685080">
              <w:t xml:space="preserve">$31.19 </w:t>
            </w:r>
          </w:p>
        </w:tc>
        <w:tc>
          <w:tcPr>
            <w:tcW w:w="1254" w:type="dxa"/>
          </w:tcPr>
          <w:p w:rsidR="000B31C5" w:rsidP="008C497E" w14:paraId="340A3045" w14:textId="65B8A33B">
            <w:pPr>
              <w:contextualSpacing/>
              <w:rPr>
                <w:color w:val="2F5496" w:themeColor="accent5" w:themeShade="BF"/>
                <w:sz w:val="24"/>
              </w:rPr>
            </w:pPr>
            <w:r w:rsidRPr="00685080">
              <w:t>$1,</w:t>
            </w:r>
            <w:r w:rsidRPr="00C90D16" w:rsidR="006D71AF">
              <w:t>247.60</w:t>
            </w:r>
            <w:r w:rsidRPr="00685080">
              <w:t xml:space="preserve"> </w:t>
            </w:r>
          </w:p>
        </w:tc>
      </w:tr>
      <w:tr w14:paraId="5F9BA972" w14:textId="77777777" w:rsidTr="44E354D9">
        <w:tblPrEx>
          <w:tblW w:w="9355" w:type="dxa"/>
          <w:tblLayout w:type="fixed"/>
          <w:tblLook w:val="04A0"/>
        </w:tblPrEx>
        <w:trPr>
          <w:cantSplit/>
        </w:trPr>
        <w:tc>
          <w:tcPr>
            <w:tcW w:w="1878" w:type="dxa"/>
          </w:tcPr>
          <w:p w:rsidR="000B31C5" w:rsidRPr="007D2906" w:rsidP="008C497E" w14:paraId="668F8DF3" w14:textId="276A1CA7">
            <w:pPr>
              <w:contextualSpacing/>
              <w:rPr>
                <w:sz w:val="24"/>
              </w:rPr>
            </w:pPr>
            <w:r w:rsidRPr="007D2906">
              <w:t xml:space="preserve">HS </w:t>
            </w:r>
            <w:r w:rsidRPr="007D2906" w:rsidR="006D71AF">
              <w:t>18</w:t>
            </w:r>
            <w:r w:rsidRPr="007D2906" w:rsidR="00B04763">
              <w:t>-Attachment C</w:t>
            </w:r>
          </w:p>
        </w:tc>
        <w:tc>
          <w:tcPr>
            <w:tcW w:w="1239" w:type="dxa"/>
          </w:tcPr>
          <w:p w:rsidR="000B31C5" w:rsidP="008C497E" w14:paraId="2C458702" w14:textId="74EE4402">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02592881" w14:textId="5997B32C">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317388FF" w14:textId="4712F4FD">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385B77F4" w14:textId="5AE30154">
            <w:pPr>
              <w:contextualSpacing/>
              <w:rPr>
                <w:color w:val="2F5496" w:themeColor="accent5" w:themeShade="BF"/>
                <w:sz w:val="24"/>
              </w:rPr>
            </w:pPr>
            <w:r w:rsidRPr="00685080">
              <w:t>0.</w:t>
            </w:r>
            <w:r w:rsidRPr="00C90D16" w:rsidR="006D71AF">
              <w:t>33</w:t>
            </w:r>
          </w:p>
        </w:tc>
        <w:tc>
          <w:tcPr>
            <w:tcW w:w="805" w:type="dxa"/>
          </w:tcPr>
          <w:p w:rsidR="000B31C5" w:rsidP="008C497E" w14:paraId="2815A9E7" w14:textId="70BF61E3">
            <w:pPr>
              <w:contextualSpacing/>
              <w:rPr>
                <w:color w:val="2F5496" w:themeColor="accent5" w:themeShade="BF"/>
                <w:sz w:val="24"/>
              </w:rPr>
            </w:pPr>
            <w:r w:rsidRPr="00C90D16">
              <w:t xml:space="preserve"> 33 </w:t>
            </w:r>
          </w:p>
        </w:tc>
        <w:tc>
          <w:tcPr>
            <w:tcW w:w="871" w:type="dxa"/>
          </w:tcPr>
          <w:p w:rsidR="000B31C5" w:rsidP="008C497E" w14:paraId="6223C9B9" w14:textId="233D8B1E">
            <w:pPr>
              <w:contextualSpacing/>
              <w:rPr>
                <w:color w:val="2F5496" w:themeColor="accent5" w:themeShade="BF"/>
                <w:sz w:val="24"/>
              </w:rPr>
            </w:pPr>
            <w:r w:rsidRPr="00685080">
              <w:t xml:space="preserve">$31.19 </w:t>
            </w:r>
          </w:p>
        </w:tc>
        <w:tc>
          <w:tcPr>
            <w:tcW w:w="1254" w:type="dxa"/>
          </w:tcPr>
          <w:p w:rsidR="000B31C5" w:rsidP="008C497E" w14:paraId="11FEB100" w14:textId="50AE5F67">
            <w:pPr>
              <w:contextualSpacing/>
              <w:rPr>
                <w:color w:val="2F5496" w:themeColor="accent5" w:themeShade="BF"/>
                <w:sz w:val="24"/>
              </w:rPr>
            </w:pPr>
            <w:r w:rsidRPr="00685080">
              <w:t>$1,</w:t>
            </w:r>
            <w:r w:rsidRPr="00C90D16" w:rsidR="006D71AF">
              <w:t>029.27</w:t>
            </w:r>
            <w:r w:rsidRPr="00685080">
              <w:t xml:space="preserve"> </w:t>
            </w:r>
          </w:p>
        </w:tc>
      </w:tr>
      <w:tr w14:paraId="38F56195" w14:textId="77777777" w:rsidTr="44E354D9">
        <w:tblPrEx>
          <w:tblW w:w="9355" w:type="dxa"/>
          <w:tblLayout w:type="fixed"/>
          <w:tblLook w:val="04A0"/>
        </w:tblPrEx>
        <w:trPr>
          <w:cantSplit/>
        </w:trPr>
        <w:tc>
          <w:tcPr>
            <w:tcW w:w="1878" w:type="dxa"/>
          </w:tcPr>
          <w:p w:rsidR="000B31C5" w:rsidRPr="007D2906" w:rsidP="008C497E" w14:paraId="561E5C38" w14:textId="2CD9FDAC">
            <w:pPr>
              <w:contextualSpacing/>
              <w:rPr>
                <w:sz w:val="24"/>
              </w:rPr>
            </w:pPr>
            <w:r w:rsidRPr="007D2906">
              <w:t xml:space="preserve">HS </w:t>
            </w:r>
            <w:r w:rsidRPr="007D2906" w:rsidR="002E20D9">
              <w:t>19</w:t>
            </w:r>
            <w:r w:rsidRPr="007D2906" w:rsidR="00B04763">
              <w:t>-Attachment C</w:t>
            </w:r>
          </w:p>
        </w:tc>
        <w:tc>
          <w:tcPr>
            <w:tcW w:w="1239" w:type="dxa"/>
          </w:tcPr>
          <w:p w:rsidR="000B31C5" w:rsidP="008C497E" w14:paraId="65C4B738" w14:textId="359FA9B6">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46B5C83E" w14:textId="7D60099B">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46CFD7C0" w14:textId="6464E82F">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2E94C9CD" w14:textId="4FBB3F11">
            <w:pPr>
              <w:contextualSpacing/>
              <w:rPr>
                <w:color w:val="2F5496" w:themeColor="accent5" w:themeShade="BF"/>
                <w:sz w:val="24"/>
              </w:rPr>
            </w:pPr>
            <w:r w:rsidRPr="00685080">
              <w:t>0.</w:t>
            </w:r>
            <w:r w:rsidRPr="00C90D16" w:rsidR="006D71AF">
              <w:t>38</w:t>
            </w:r>
          </w:p>
        </w:tc>
        <w:tc>
          <w:tcPr>
            <w:tcW w:w="805" w:type="dxa"/>
          </w:tcPr>
          <w:p w:rsidR="000B31C5" w:rsidP="008C497E" w14:paraId="1D0E8A47" w14:textId="1319FB91">
            <w:pPr>
              <w:contextualSpacing/>
              <w:rPr>
                <w:color w:val="2F5496" w:themeColor="accent5" w:themeShade="BF"/>
                <w:sz w:val="24"/>
              </w:rPr>
            </w:pPr>
            <w:r w:rsidRPr="00C90D16">
              <w:t xml:space="preserve"> 38 </w:t>
            </w:r>
          </w:p>
        </w:tc>
        <w:tc>
          <w:tcPr>
            <w:tcW w:w="871" w:type="dxa"/>
          </w:tcPr>
          <w:p w:rsidR="000B31C5" w:rsidP="008C497E" w14:paraId="51DB803C" w14:textId="051698EC">
            <w:pPr>
              <w:contextualSpacing/>
              <w:rPr>
                <w:color w:val="2F5496" w:themeColor="accent5" w:themeShade="BF"/>
                <w:sz w:val="24"/>
              </w:rPr>
            </w:pPr>
            <w:r w:rsidRPr="00685080">
              <w:t xml:space="preserve">$31.19 </w:t>
            </w:r>
          </w:p>
        </w:tc>
        <w:tc>
          <w:tcPr>
            <w:tcW w:w="1254" w:type="dxa"/>
          </w:tcPr>
          <w:p w:rsidR="000B31C5" w:rsidP="008C497E" w14:paraId="6CD371B5" w14:textId="333D0BD5">
            <w:pPr>
              <w:contextualSpacing/>
              <w:rPr>
                <w:color w:val="2F5496" w:themeColor="accent5" w:themeShade="BF"/>
                <w:sz w:val="24"/>
              </w:rPr>
            </w:pPr>
            <w:r w:rsidRPr="00C90D16">
              <w:t xml:space="preserve">$1,185.22 </w:t>
            </w:r>
          </w:p>
        </w:tc>
      </w:tr>
      <w:tr w14:paraId="48389193" w14:textId="77777777" w:rsidTr="44E354D9">
        <w:tblPrEx>
          <w:tblW w:w="9355" w:type="dxa"/>
          <w:tblLayout w:type="fixed"/>
          <w:tblLook w:val="04A0"/>
        </w:tblPrEx>
        <w:trPr>
          <w:cantSplit/>
        </w:trPr>
        <w:tc>
          <w:tcPr>
            <w:tcW w:w="1878" w:type="dxa"/>
          </w:tcPr>
          <w:p w:rsidR="000B31C5" w:rsidRPr="007D2906" w:rsidP="008C497E" w14:paraId="6DE11016" w14:textId="41E58281">
            <w:pPr>
              <w:contextualSpacing/>
              <w:rPr>
                <w:sz w:val="24"/>
              </w:rPr>
            </w:pPr>
            <w:r w:rsidRPr="007D2906">
              <w:t xml:space="preserve">HS </w:t>
            </w:r>
            <w:r w:rsidRPr="007D2906" w:rsidR="002E20D9">
              <w:t>20</w:t>
            </w:r>
            <w:r w:rsidRPr="007D2906" w:rsidR="00B04763">
              <w:t>-Attachment C</w:t>
            </w:r>
          </w:p>
        </w:tc>
        <w:tc>
          <w:tcPr>
            <w:tcW w:w="1239" w:type="dxa"/>
          </w:tcPr>
          <w:p w:rsidR="000B31C5" w:rsidP="008C497E" w14:paraId="6E3307F6" w14:textId="707F5B37">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36C55ED4" w14:textId="58D0AE60">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4CD3CB99" w14:textId="1C7D5114">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74368B97" w14:textId="18C7D330">
            <w:pPr>
              <w:contextualSpacing/>
              <w:rPr>
                <w:color w:val="2F5496" w:themeColor="accent5" w:themeShade="BF"/>
                <w:sz w:val="24"/>
              </w:rPr>
            </w:pPr>
            <w:r w:rsidRPr="00685080">
              <w:t>0.</w:t>
            </w:r>
            <w:r w:rsidRPr="00C90D16" w:rsidR="006D71AF">
              <w:t>37</w:t>
            </w:r>
          </w:p>
        </w:tc>
        <w:tc>
          <w:tcPr>
            <w:tcW w:w="805" w:type="dxa"/>
          </w:tcPr>
          <w:p w:rsidR="000B31C5" w:rsidP="008C497E" w14:paraId="6B9605FB" w14:textId="4DBC83E1">
            <w:pPr>
              <w:contextualSpacing/>
              <w:rPr>
                <w:color w:val="2F5496" w:themeColor="accent5" w:themeShade="BF"/>
                <w:sz w:val="24"/>
              </w:rPr>
            </w:pPr>
            <w:r w:rsidRPr="00C90D16">
              <w:t xml:space="preserve"> 37 </w:t>
            </w:r>
          </w:p>
        </w:tc>
        <w:tc>
          <w:tcPr>
            <w:tcW w:w="871" w:type="dxa"/>
          </w:tcPr>
          <w:p w:rsidR="000B31C5" w:rsidP="008C497E" w14:paraId="75705E33" w14:textId="563C73B9">
            <w:pPr>
              <w:contextualSpacing/>
              <w:rPr>
                <w:color w:val="2F5496" w:themeColor="accent5" w:themeShade="BF"/>
                <w:sz w:val="24"/>
              </w:rPr>
            </w:pPr>
            <w:r w:rsidRPr="00685080">
              <w:t xml:space="preserve">$31.19 </w:t>
            </w:r>
          </w:p>
        </w:tc>
        <w:tc>
          <w:tcPr>
            <w:tcW w:w="1254" w:type="dxa"/>
          </w:tcPr>
          <w:p w:rsidR="000B31C5" w:rsidP="008C497E" w14:paraId="72DAB9A5" w14:textId="2317E33B">
            <w:pPr>
              <w:contextualSpacing/>
              <w:rPr>
                <w:color w:val="2F5496" w:themeColor="accent5" w:themeShade="BF"/>
                <w:sz w:val="24"/>
              </w:rPr>
            </w:pPr>
            <w:r w:rsidRPr="00685080">
              <w:t>$1,</w:t>
            </w:r>
            <w:r w:rsidRPr="00C90D16" w:rsidR="006D71AF">
              <w:t>154.03</w:t>
            </w:r>
            <w:r w:rsidRPr="00685080">
              <w:t xml:space="preserve"> </w:t>
            </w:r>
          </w:p>
        </w:tc>
      </w:tr>
      <w:tr w14:paraId="46432BD1" w14:textId="77777777" w:rsidTr="44E354D9">
        <w:tblPrEx>
          <w:tblW w:w="9355" w:type="dxa"/>
          <w:tblLayout w:type="fixed"/>
          <w:tblLook w:val="04A0"/>
        </w:tblPrEx>
        <w:trPr>
          <w:cantSplit/>
        </w:trPr>
        <w:tc>
          <w:tcPr>
            <w:tcW w:w="1878" w:type="dxa"/>
          </w:tcPr>
          <w:p w:rsidR="000B31C5" w:rsidRPr="007D2906" w:rsidP="008C497E" w14:paraId="5D4824C8" w14:textId="1CCC7298">
            <w:pPr>
              <w:contextualSpacing/>
              <w:rPr>
                <w:sz w:val="24"/>
              </w:rPr>
            </w:pPr>
            <w:r w:rsidRPr="007D2906">
              <w:t xml:space="preserve">HS </w:t>
            </w:r>
            <w:r w:rsidRPr="007D2906" w:rsidR="002E20D9">
              <w:t>21</w:t>
            </w:r>
            <w:r w:rsidRPr="007D2906" w:rsidR="00B04763">
              <w:t>-Attachment C</w:t>
            </w:r>
          </w:p>
        </w:tc>
        <w:tc>
          <w:tcPr>
            <w:tcW w:w="1239" w:type="dxa"/>
          </w:tcPr>
          <w:p w:rsidR="000B31C5" w:rsidP="008C497E" w14:paraId="33B7F854" w14:textId="13F401DB">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33BE8908" w14:textId="4AC123C7">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2F9BBB91" w14:textId="34B57F9A">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04778458" w14:textId="4A5D9668">
            <w:pPr>
              <w:contextualSpacing/>
              <w:rPr>
                <w:color w:val="2F5496" w:themeColor="accent5" w:themeShade="BF"/>
                <w:sz w:val="24"/>
              </w:rPr>
            </w:pPr>
            <w:r w:rsidRPr="00685080">
              <w:t>0.</w:t>
            </w:r>
            <w:r w:rsidRPr="00C90D16" w:rsidR="006D71AF">
              <w:t>36</w:t>
            </w:r>
          </w:p>
        </w:tc>
        <w:tc>
          <w:tcPr>
            <w:tcW w:w="805" w:type="dxa"/>
          </w:tcPr>
          <w:p w:rsidR="000B31C5" w:rsidP="008C497E" w14:paraId="781CCF33" w14:textId="10B04F82">
            <w:pPr>
              <w:contextualSpacing/>
              <w:rPr>
                <w:color w:val="2F5496" w:themeColor="accent5" w:themeShade="BF"/>
                <w:sz w:val="24"/>
              </w:rPr>
            </w:pPr>
            <w:r w:rsidRPr="00C90D16">
              <w:t xml:space="preserve"> 36 </w:t>
            </w:r>
          </w:p>
        </w:tc>
        <w:tc>
          <w:tcPr>
            <w:tcW w:w="871" w:type="dxa"/>
          </w:tcPr>
          <w:p w:rsidR="000B31C5" w:rsidP="008C497E" w14:paraId="0445D051" w14:textId="7364BCF0">
            <w:pPr>
              <w:contextualSpacing/>
              <w:rPr>
                <w:color w:val="2F5496" w:themeColor="accent5" w:themeShade="BF"/>
                <w:sz w:val="24"/>
              </w:rPr>
            </w:pPr>
            <w:r w:rsidRPr="00685080">
              <w:t xml:space="preserve">$31.19 </w:t>
            </w:r>
          </w:p>
        </w:tc>
        <w:tc>
          <w:tcPr>
            <w:tcW w:w="1254" w:type="dxa"/>
          </w:tcPr>
          <w:p w:rsidR="000B31C5" w:rsidP="008C497E" w14:paraId="05555F6A" w14:textId="7C0335A0">
            <w:pPr>
              <w:contextualSpacing/>
              <w:rPr>
                <w:color w:val="2F5496" w:themeColor="accent5" w:themeShade="BF"/>
                <w:sz w:val="24"/>
              </w:rPr>
            </w:pPr>
            <w:r w:rsidRPr="00685080">
              <w:t>$1,</w:t>
            </w:r>
            <w:r w:rsidRPr="00C90D16" w:rsidR="006D71AF">
              <w:t>122.84</w:t>
            </w:r>
            <w:r w:rsidRPr="00685080">
              <w:t xml:space="preserve"> </w:t>
            </w:r>
          </w:p>
        </w:tc>
      </w:tr>
      <w:tr w14:paraId="66E7A5BD" w14:textId="77777777" w:rsidTr="44E354D9">
        <w:tblPrEx>
          <w:tblW w:w="9355" w:type="dxa"/>
          <w:tblLayout w:type="fixed"/>
          <w:tblLook w:val="04A0"/>
        </w:tblPrEx>
        <w:trPr>
          <w:cantSplit/>
        </w:trPr>
        <w:tc>
          <w:tcPr>
            <w:tcW w:w="1878" w:type="dxa"/>
          </w:tcPr>
          <w:p w:rsidR="000B31C5" w:rsidRPr="007D2906" w:rsidP="008C497E" w14:paraId="03D261D7" w14:textId="206F2159">
            <w:pPr>
              <w:contextualSpacing/>
              <w:rPr>
                <w:sz w:val="24"/>
              </w:rPr>
            </w:pPr>
            <w:r w:rsidRPr="007D2906">
              <w:t>Healthy Start Site Form</w:t>
            </w:r>
            <w:r w:rsidRPr="007D2906" w:rsidR="007D2906">
              <w:t>- Attachment D</w:t>
            </w:r>
          </w:p>
        </w:tc>
        <w:tc>
          <w:tcPr>
            <w:tcW w:w="1239" w:type="dxa"/>
          </w:tcPr>
          <w:p w:rsidR="000B31C5" w:rsidP="008C497E" w14:paraId="39002164" w14:textId="17FEE606">
            <w:pPr>
              <w:contextualSpacing/>
              <w:rPr>
                <w:color w:val="2F5496" w:themeColor="accent5" w:themeShade="BF"/>
                <w:sz w:val="24"/>
              </w:rPr>
            </w:pPr>
            <w:r w:rsidRPr="00C90D16">
              <w:t xml:space="preserve"> </w:t>
            </w:r>
            <w:r w:rsidRPr="00685080">
              <w:t>101</w:t>
            </w:r>
            <w:r w:rsidRPr="00C90D16">
              <w:t xml:space="preserve"> </w:t>
            </w:r>
          </w:p>
        </w:tc>
        <w:tc>
          <w:tcPr>
            <w:tcW w:w="1161" w:type="dxa"/>
          </w:tcPr>
          <w:p w:rsidR="000B31C5" w:rsidP="008C497E" w14:paraId="550DBA37" w14:textId="168BF4E2">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0AADB55D" w14:textId="7B96B286">
            <w:pPr>
              <w:contextualSpacing/>
              <w:rPr>
                <w:color w:val="2F5496" w:themeColor="accent5" w:themeShade="BF"/>
                <w:sz w:val="24"/>
              </w:rPr>
            </w:pPr>
            <w:r w:rsidRPr="00C90D16">
              <w:t xml:space="preserve"> </w:t>
            </w:r>
            <w:r w:rsidRPr="00685080">
              <w:t>101</w:t>
            </w:r>
            <w:r w:rsidRPr="00C90D16">
              <w:t xml:space="preserve"> </w:t>
            </w:r>
          </w:p>
        </w:tc>
        <w:tc>
          <w:tcPr>
            <w:tcW w:w="1086" w:type="dxa"/>
          </w:tcPr>
          <w:p w:rsidR="000B31C5" w:rsidP="008C497E" w14:paraId="45135B0B" w14:textId="770F1F78">
            <w:pPr>
              <w:contextualSpacing/>
              <w:rPr>
                <w:color w:val="2F5496" w:themeColor="accent5" w:themeShade="BF"/>
                <w:sz w:val="24"/>
              </w:rPr>
            </w:pPr>
            <w:r w:rsidRPr="00685080">
              <w:t>0.</w:t>
            </w:r>
            <w:r w:rsidRPr="00C90D16" w:rsidR="006D71AF">
              <w:t>32</w:t>
            </w:r>
          </w:p>
        </w:tc>
        <w:tc>
          <w:tcPr>
            <w:tcW w:w="805" w:type="dxa"/>
          </w:tcPr>
          <w:p w:rsidR="000B31C5" w:rsidP="008C497E" w14:paraId="12989FEC" w14:textId="54B306F5">
            <w:pPr>
              <w:contextualSpacing/>
              <w:rPr>
                <w:color w:val="2F5496" w:themeColor="accent5" w:themeShade="BF"/>
                <w:sz w:val="24"/>
              </w:rPr>
            </w:pPr>
            <w:r w:rsidRPr="00C90D16">
              <w:t xml:space="preserve"> 32 </w:t>
            </w:r>
          </w:p>
        </w:tc>
        <w:tc>
          <w:tcPr>
            <w:tcW w:w="871" w:type="dxa"/>
          </w:tcPr>
          <w:p w:rsidR="000B31C5" w:rsidP="008C497E" w14:paraId="043BDBEF" w14:textId="7CDCDE07">
            <w:pPr>
              <w:contextualSpacing/>
              <w:rPr>
                <w:color w:val="2F5496" w:themeColor="accent5" w:themeShade="BF"/>
                <w:sz w:val="24"/>
              </w:rPr>
            </w:pPr>
            <w:r w:rsidRPr="00685080">
              <w:t xml:space="preserve">$31.19 </w:t>
            </w:r>
          </w:p>
        </w:tc>
        <w:tc>
          <w:tcPr>
            <w:tcW w:w="1254" w:type="dxa"/>
          </w:tcPr>
          <w:p w:rsidR="000B31C5" w:rsidP="008C497E" w14:paraId="0770FFF9" w14:textId="3DBB7965">
            <w:pPr>
              <w:contextualSpacing/>
              <w:rPr>
                <w:color w:val="2F5496" w:themeColor="accent5" w:themeShade="BF"/>
                <w:sz w:val="24"/>
              </w:rPr>
            </w:pPr>
            <w:r w:rsidRPr="00C90D16">
              <w:t xml:space="preserve">$998.08 </w:t>
            </w:r>
          </w:p>
        </w:tc>
      </w:tr>
      <w:tr w14:paraId="7A96C7D0" w14:textId="77777777" w:rsidTr="44E354D9">
        <w:tblPrEx>
          <w:tblW w:w="9355" w:type="dxa"/>
          <w:tblLayout w:type="fixed"/>
          <w:tblLook w:val="04A0"/>
        </w:tblPrEx>
        <w:trPr>
          <w:cantSplit/>
        </w:trPr>
        <w:tc>
          <w:tcPr>
            <w:tcW w:w="1878" w:type="dxa"/>
          </w:tcPr>
          <w:p w:rsidR="000B31C5" w:rsidRPr="007D2906" w:rsidP="008C497E" w14:paraId="0404EFCB" w14:textId="07AD41E2">
            <w:pPr>
              <w:contextualSpacing/>
              <w:rPr>
                <w:sz w:val="24"/>
              </w:rPr>
            </w:pPr>
            <w:r w:rsidRPr="007D2906">
              <w:t xml:space="preserve">EMSC </w:t>
            </w:r>
            <w:r w:rsidRPr="007D2906" w:rsidR="007D2906">
              <w:t>4</w:t>
            </w:r>
            <w:r w:rsidRPr="007D2906" w:rsidR="00B04763">
              <w:t>-Attachment C</w:t>
            </w:r>
          </w:p>
        </w:tc>
        <w:tc>
          <w:tcPr>
            <w:tcW w:w="1239" w:type="dxa"/>
          </w:tcPr>
          <w:p w:rsidR="000B31C5" w:rsidP="008C497E" w14:paraId="4C6FFE82" w14:textId="38A56317">
            <w:pPr>
              <w:contextualSpacing/>
              <w:rPr>
                <w:color w:val="2F5496" w:themeColor="accent5" w:themeShade="BF"/>
                <w:sz w:val="24"/>
              </w:rPr>
            </w:pPr>
            <w:r w:rsidRPr="00C90D16">
              <w:t xml:space="preserve"> 58 </w:t>
            </w:r>
          </w:p>
        </w:tc>
        <w:tc>
          <w:tcPr>
            <w:tcW w:w="1161" w:type="dxa"/>
          </w:tcPr>
          <w:p w:rsidR="000B31C5" w:rsidP="008C497E" w14:paraId="7F83B12A" w14:textId="4D7E7839">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7A30A6B1" w14:textId="5CC6027D">
            <w:pPr>
              <w:contextualSpacing/>
              <w:rPr>
                <w:color w:val="2F5496" w:themeColor="accent5" w:themeShade="BF"/>
                <w:sz w:val="24"/>
              </w:rPr>
            </w:pPr>
            <w:r w:rsidRPr="00C90D16">
              <w:t xml:space="preserve"> 58 </w:t>
            </w:r>
          </w:p>
        </w:tc>
        <w:tc>
          <w:tcPr>
            <w:tcW w:w="1086" w:type="dxa"/>
          </w:tcPr>
          <w:p w:rsidR="000B31C5" w:rsidP="008C497E" w14:paraId="3777E00B" w14:textId="2C1D6AB9">
            <w:pPr>
              <w:contextualSpacing/>
              <w:rPr>
                <w:color w:val="2F5496" w:themeColor="accent5" w:themeShade="BF"/>
                <w:sz w:val="24"/>
              </w:rPr>
            </w:pPr>
            <w:r w:rsidRPr="00C90D16">
              <w:t>0.92</w:t>
            </w:r>
          </w:p>
        </w:tc>
        <w:tc>
          <w:tcPr>
            <w:tcW w:w="805" w:type="dxa"/>
          </w:tcPr>
          <w:p w:rsidR="000B31C5" w:rsidP="008C497E" w14:paraId="0CDAD6B3" w14:textId="6D4072D1">
            <w:pPr>
              <w:contextualSpacing/>
              <w:rPr>
                <w:color w:val="2F5496" w:themeColor="accent5" w:themeShade="BF"/>
                <w:sz w:val="24"/>
              </w:rPr>
            </w:pPr>
            <w:r w:rsidRPr="00C90D16">
              <w:t xml:space="preserve"> 53 </w:t>
            </w:r>
          </w:p>
        </w:tc>
        <w:tc>
          <w:tcPr>
            <w:tcW w:w="871" w:type="dxa"/>
          </w:tcPr>
          <w:p w:rsidR="000B31C5" w:rsidP="008C497E" w14:paraId="426B3631" w14:textId="74CDF5C1">
            <w:pPr>
              <w:contextualSpacing/>
              <w:rPr>
                <w:color w:val="2F5496" w:themeColor="accent5" w:themeShade="BF"/>
                <w:sz w:val="24"/>
              </w:rPr>
            </w:pPr>
            <w:r w:rsidRPr="00685080">
              <w:t xml:space="preserve">$31.19 </w:t>
            </w:r>
          </w:p>
        </w:tc>
        <w:tc>
          <w:tcPr>
            <w:tcW w:w="1254" w:type="dxa"/>
          </w:tcPr>
          <w:p w:rsidR="000B31C5" w:rsidP="008C497E" w14:paraId="260AD33D" w14:textId="3F84FE86">
            <w:pPr>
              <w:contextualSpacing/>
              <w:rPr>
                <w:color w:val="2F5496" w:themeColor="accent5" w:themeShade="BF"/>
                <w:sz w:val="24"/>
              </w:rPr>
            </w:pPr>
            <w:r w:rsidRPr="00C90D16">
              <w:t xml:space="preserve">$1,653.07 </w:t>
            </w:r>
          </w:p>
        </w:tc>
      </w:tr>
      <w:tr w14:paraId="4D18EFE8" w14:textId="77777777" w:rsidTr="44E354D9">
        <w:tblPrEx>
          <w:tblW w:w="9355" w:type="dxa"/>
          <w:tblLayout w:type="fixed"/>
          <w:tblLook w:val="04A0"/>
        </w:tblPrEx>
        <w:trPr>
          <w:cantSplit/>
        </w:trPr>
        <w:tc>
          <w:tcPr>
            <w:tcW w:w="1878" w:type="dxa"/>
          </w:tcPr>
          <w:p w:rsidR="000B31C5" w:rsidRPr="007D2906" w:rsidP="008C497E" w14:paraId="79167388" w14:textId="1CC5425C">
            <w:pPr>
              <w:contextualSpacing/>
              <w:rPr>
                <w:sz w:val="24"/>
              </w:rPr>
            </w:pPr>
            <w:r w:rsidRPr="007D2906">
              <w:t xml:space="preserve">EMSC </w:t>
            </w:r>
            <w:r w:rsidRPr="007D2906" w:rsidR="006D71AF">
              <w:t>8</w:t>
            </w:r>
            <w:r w:rsidRPr="007D2906" w:rsidR="00B04763">
              <w:t>-Attachment C</w:t>
            </w:r>
          </w:p>
        </w:tc>
        <w:tc>
          <w:tcPr>
            <w:tcW w:w="1239" w:type="dxa"/>
          </w:tcPr>
          <w:p w:rsidR="000B31C5" w:rsidP="008C497E" w14:paraId="6D5B314C" w14:textId="1A39D3C0">
            <w:pPr>
              <w:contextualSpacing/>
              <w:rPr>
                <w:color w:val="2F5496" w:themeColor="accent5" w:themeShade="BF"/>
                <w:sz w:val="24"/>
              </w:rPr>
            </w:pPr>
            <w:r w:rsidRPr="00C90D16">
              <w:t xml:space="preserve"> </w:t>
            </w:r>
            <w:r w:rsidRPr="00685080">
              <w:t>58</w:t>
            </w:r>
            <w:r w:rsidRPr="00C90D16">
              <w:t xml:space="preserve"> </w:t>
            </w:r>
          </w:p>
        </w:tc>
        <w:tc>
          <w:tcPr>
            <w:tcW w:w="1161" w:type="dxa"/>
          </w:tcPr>
          <w:p w:rsidR="000B31C5" w:rsidP="008C497E" w14:paraId="5E7F2B6A" w14:textId="55922B05">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4FB1769F" w14:textId="21861FC2">
            <w:pPr>
              <w:contextualSpacing/>
              <w:rPr>
                <w:color w:val="2F5496" w:themeColor="accent5" w:themeShade="BF"/>
                <w:sz w:val="24"/>
              </w:rPr>
            </w:pPr>
            <w:r w:rsidRPr="00C90D16">
              <w:t xml:space="preserve"> </w:t>
            </w:r>
            <w:r w:rsidRPr="00685080">
              <w:t>58</w:t>
            </w:r>
            <w:r w:rsidRPr="00C90D16">
              <w:t xml:space="preserve"> </w:t>
            </w:r>
          </w:p>
        </w:tc>
        <w:tc>
          <w:tcPr>
            <w:tcW w:w="1086" w:type="dxa"/>
          </w:tcPr>
          <w:p w:rsidR="000B31C5" w:rsidP="008C497E" w14:paraId="662087ED" w14:textId="27B8A8B1">
            <w:pPr>
              <w:contextualSpacing/>
              <w:rPr>
                <w:color w:val="2F5496" w:themeColor="accent5" w:themeShade="BF"/>
                <w:sz w:val="24"/>
              </w:rPr>
            </w:pPr>
            <w:r w:rsidRPr="00685080">
              <w:t>0.</w:t>
            </w:r>
            <w:r w:rsidRPr="00C90D16" w:rsidR="006D71AF">
              <w:t>09</w:t>
            </w:r>
          </w:p>
        </w:tc>
        <w:tc>
          <w:tcPr>
            <w:tcW w:w="805" w:type="dxa"/>
          </w:tcPr>
          <w:p w:rsidR="000B31C5" w:rsidP="008C497E" w14:paraId="090B8AF5" w14:textId="273A7D16">
            <w:pPr>
              <w:contextualSpacing/>
              <w:rPr>
                <w:color w:val="2F5496" w:themeColor="accent5" w:themeShade="BF"/>
                <w:sz w:val="24"/>
              </w:rPr>
            </w:pPr>
            <w:r w:rsidRPr="00C90D16">
              <w:t xml:space="preserve"> 5 </w:t>
            </w:r>
          </w:p>
        </w:tc>
        <w:tc>
          <w:tcPr>
            <w:tcW w:w="871" w:type="dxa"/>
          </w:tcPr>
          <w:p w:rsidR="000B31C5" w:rsidP="008C497E" w14:paraId="1ADE9626" w14:textId="12646293">
            <w:pPr>
              <w:contextualSpacing/>
              <w:rPr>
                <w:color w:val="2F5496" w:themeColor="accent5" w:themeShade="BF"/>
                <w:sz w:val="24"/>
              </w:rPr>
            </w:pPr>
            <w:r w:rsidRPr="00685080">
              <w:t xml:space="preserve">$31.19 </w:t>
            </w:r>
          </w:p>
        </w:tc>
        <w:tc>
          <w:tcPr>
            <w:tcW w:w="1254" w:type="dxa"/>
          </w:tcPr>
          <w:p w:rsidR="000B31C5" w:rsidP="008C497E" w14:paraId="6832EBAC" w14:textId="48E0D56E">
            <w:pPr>
              <w:contextualSpacing/>
              <w:rPr>
                <w:color w:val="2F5496" w:themeColor="accent5" w:themeShade="BF"/>
                <w:sz w:val="24"/>
              </w:rPr>
            </w:pPr>
            <w:r w:rsidRPr="00C90D16">
              <w:t xml:space="preserve">$155.95 </w:t>
            </w:r>
          </w:p>
        </w:tc>
      </w:tr>
      <w:tr w14:paraId="78DE1C62" w14:textId="77777777" w:rsidTr="44E354D9">
        <w:tblPrEx>
          <w:tblW w:w="9355" w:type="dxa"/>
          <w:tblLayout w:type="fixed"/>
          <w:tblLook w:val="04A0"/>
        </w:tblPrEx>
        <w:trPr>
          <w:cantSplit/>
        </w:trPr>
        <w:tc>
          <w:tcPr>
            <w:tcW w:w="1878" w:type="dxa"/>
          </w:tcPr>
          <w:p w:rsidR="000B31C5" w:rsidRPr="007D2906" w:rsidP="008C497E" w14:paraId="467702B7" w14:textId="3429C352">
            <w:pPr>
              <w:contextualSpacing/>
              <w:rPr>
                <w:sz w:val="24"/>
              </w:rPr>
            </w:pPr>
            <w:r w:rsidRPr="007D2906">
              <w:t xml:space="preserve">EMSC </w:t>
            </w:r>
            <w:r w:rsidRPr="007D2906" w:rsidR="007D2906">
              <w:t>9</w:t>
            </w:r>
            <w:r w:rsidRPr="007D2906" w:rsidR="00B04763">
              <w:t>-Attachment C</w:t>
            </w:r>
          </w:p>
        </w:tc>
        <w:tc>
          <w:tcPr>
            <w:tcW w:w="1239" w:type="dxa"/>
          </w:tcPr>
          <w:p w:rsidR="000B31C5" w:rsidP="008C497E" w14:paraId="5EB00DCE" w14:textId="605D50EC">
            <w:pPr>
              <w:contextualSpacing/>
              <w:rPr>
                <w:color w:val="2F5496" w:themeColor="accent5" w:themeShade="BF"/>
                <w:sz w:val="24"/>
              </w:rPr>
            </w:pPr>
            <w:r w:rsidRPr="00C90D16">
              <w:t xml:space="preserve"> </w:t>
            </w:r>
            <w:r w:rsidRPr="00685080">
              <w:t>58</w:t>
            </w:r>
            <w:r w:rsidRPr="00C90D16">
              <w:t xml:space="preserve"> </w:t>
            </w:r>
          </w:p>
        </w:tc>
        <w:tc>
          <w:tcPr>
            <w:tcW w:w="1161" w:type="dxa"/>
          </w:tcPr>
          <w:p w:rsidR="000B31C5" w:rsidP="008C497E" w14:paraId="230E842F" w14:textId="61D9BBED">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7EF1CB93" w14:textId="42DB161E">
            <w:pPr>
              <w:contextualSpacing/>
              <w:rPr>
                <w:color w:val="2F5496" w:themeColor="accent5" w:themeShade="BF"/>
                <w:sz w:val="24"/>
              </w:rPr>
            </w:pPr>
            <w:r w:rsidRPr="00C90D16">
              <w:t xml:space="preserve"> </w:t>
            </w:r>
            <w:r w:rsidRPr="00685080">
              <w:t>58</w:t>
            </w:r>
            <w:r w:rsidRPr="00C90D16">
              <w:t xml:space="preserve"> </w:t>
            </w:r>
          </w:p>
        </w:tc>
        <w:tc>
          <w:tcPr>
            <w:tcW w:w="1086" w:type="dxa"/>
          </w:tcPr>
          <w:p w:rsidR="000B31C5" w:rsidP="008C497E" w14:paraId="1D1BB1B4" w14:textId="294CF368">
            <w:pPr>
              <w:contextualSpacing/>
              <w:rPr>
                <w:color w:val="2F5496" w:themeColor="accent5" w:themeShade="BF"/>
                <w:sz w:val="24"/>
              </w:rPr>
            </w:pPr>
            <w:r w:rsidRPr="00685080">
              <w:t>0.</w:t>
            </w:r>
            <w:r w:rsidRPr="00C90D16" w:rsidR="006D71AF">
              <w:t>42</w:t>
            </w:r>
          </w:p>
        </w:tc>
        <w:tc>
          <w:tcPr>
            <w:tcW w:w="805" w:type="dxa"/>
          </w:tcPr>
          <w:p w:rsidR="000B31C5" w:rsidP="008C497E" w14:paraId="4A7CFE10" w14:textId="31FC3A87">
            <w:pPr>
              <w:contextualSpacing/>
              <w:rPr>
                <w:color w:val="2F5496" w:themeColor="accent5" w:themeShade="BF"/>
                <w:sz w:val="24"/>
              </w:rPr>
            </w:pPr>
            <w:r w:rsidRPr="00C90D16">
              <w:t xml:space="preserve"> 24 </w:t>
            </w:r>
          </w:p>
        </w:tc>
        <w:tc>
          <w:tcPr>
            <w:tcW w:w="871" w:type="dxa"/>
          </w:tcPr>
          <w:p w:rsidR="000B31C5" w:rsidP="008C497E" w14:paraId="382B8414" w14:textId="19968E54">
            <w:pPr>
              <w:contextualSpacing/>
              <w:rPr>
                <w:color w:val="2F5496" w:themeColor="accent5" w:themeShade="BF"/>
                <w:sz w:val="24"/>
              </w:rPr>
            </w:pPr>
            <w:r w:rsidRPr="00685080">
              <w:t xml:space="preserve">$31.19 </w:t>
            </w:r>
          </w:p>
        </w:tc>
        <w:tc>
          <w:tcPr>
            <w:tcW w:w="1254" w:type="dxa"/>
          </w:tcPr>
          <w:p w:rsidR="000B31C5" w:rsidP="008C497E" w14:paraId="7876CC0D" w14:textId="6882740F">
            <w:pPr>
              <w:contextualSpacing/>
              <w:rPr>
                <w:color w:val="2F5496" w:themeColor="accent5" w:themeShade="BF"/>
                <w:sz w:val="24"/>
              </w:rPr>
            </w:pPr>
            <w:r w:rsidRPr="00C90D16">
              <w:t xml:space="preserve">$748.56 </w:t>
            </w:r>
          </w:p>
        </w:tc>
      </w:tr>
      <w:tr w14:paraId="0DBF450A" w14:textId="77777777" w:rsidTr="44E354D9">
        <w:tblPrEx>
          <w:tblW w:w="9355" w:type="dxa"/>
          <w:tblLayout w:type="fixed"/>
          <w:tblLook w:val="04A0"/>
        </w:tblPrEx>
        <w:trPr>
          <w:cantSplit/>
        </w:trPr>
        <w:tc>
          <w:tcPr>
            <w:tcW w:w="1878" w:type="dxa"/>
          </w:tcPr>
          <w:p w:rsidR="000B31C5" w:rsidRPr="007D2906" w:rsidP="008C497E" w14:paraId="23D0F24B" w14:textId="4136FD7A">
            <w:pPr>
              <w:contextualSpacing/>
              <w:rPr>
                <w:sz w:val="24"/>
              </w:rPr>
            </w:pPr>
            <w:r w:rsidRPr="007D2906">
              <w:t xml:space="preserve">EMSC </w:t>
            </w:r>
            <w:r w:rsidRPr="007D2906" w:rsidR="006D71AF">
              <w:t>10</w:t>
            </w:r>
            <w:r w:rsidRPr="007D2906" w:rsidR="00B04763">
              <w:t>-Attachment C</w:t>
            </w:r>
          </w:p>
        </w:tc>
        <w:tc>
          <w:tcPr>
            <w:tcW w:w="1239" w:type="dxa"/>
          </w:tcPr>
          <w:p w:rsidR="000B31C5" w:rsidP="008C497E" w14:paraId="21EBE314" w14:textId="4ED86587">
            <w:pPr>
              <w:contextualSpacing/>
              <w:rPr>
                <w:color w:val="2F5496" w:themeColor="accent5" w:themeShade="BF"/>
                <w:sz w:val="24"/>
              </w:rPr>
            </w:pPr>
            <w:r w:rsidRPr="00C90D16">
              <w:t xml:space="preserve"> </w:t>
            </w:r>
            <w:r w:rsidRPr="00685080">
              <w:t>58</w:t>
            </w:r>
            <w:r w:rsidRPr="00C90D16">
              <w:t xml:space="preserve"> </w:t>
            </w:r>
          </w:p>
        </w:tc>
        <w:tc>
          <w:tcPr>
            <w:tcW w:w="1161" w:type="dxa"/>
          </w:tcPr>
          <w:p w:rsidR="000B31C5" w:rsidP="008C497E" w14:paraId="71733E75" w14:textId="6715E494">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6D2FFBEF" w14:textId="62B2F537">
            <w:pPr>
              <w:contextualSpacing/>
              <w:rPr>
                <w:color w:val="2F5496" w:themeColor="accent5" w:themeShade="BF"/>
                <w:sz w:val="24"/>
              </w:rPr>
            </w:pPr>
            <w:r w:rsidRPr="00C90D16">
              <w:t xml:space="preserve"> </w:t>
            </w:r>
            <w:r w:rsidRPr="00685080">
              <w:t>58</w:t>
            </w:r>
            <w:r w:rsidRPr="00C90D16">
              <w:t xml:space="preserve"> </w:t>
            </w:r>
          </w:p>
        </w:tc>
        <w:tc>
          <w:tcPr>
            <w:tcW w:w="1086" w:type="dxa"/>
          </w:tcPr>
          <w:p w:rsidR="000B31C5" w:rsidP="008C497E" w14:paraId="64E0F7EF" w14:textId="7F3518D5">
            <w:pPr>
              <w:contextualSpacing/>
              <w:rPr>
                <w:color w:val="2F5496" w:themeColor="accent5" w:themeShade="BF"/>
                <w:sz w:val="24"/>
              </w:rPr>
            </w:pPr>
            <w:r w:rsidRPr="00685080">
              <w:t>0.</w:t>
            </w:r>
            <w:r w:rsidRPr="00C90D16" w:rsidR="006D71AF">
              <w:t>46</w:t>
            </w:r>
          </w:p>
        </w:tc>
        <w:tc>
          <w:tcPr>
            <w:tcW w:w="805" w:type="dxa"/>
          </w:tcPr>
          <w:p w:rsidR="000B31C5" w:rsidP="008C497E" w14:paraId="25946C42" w14:textId="1FC16842">
            <w:pPr>
              <w:contextualSpacing/>
              <w:rPr>
                <w:color w:val="2F5496" w:themeColor="accent5" w:themeShade="BF"/>
                <w:sz w:val="24"/>
              </w:rPr>
            </w:pPr>
            <w:r w:rsidRPr="00C90D16">
              <w:t xml:space="preserve"> 27 </w:t>
            </w:r>
          </w:p>
        </w:tc>
        <w:tc>
          <w:tcPr>
            <w:tcW w:w="871" w:type="dxa"/>
          </w:tcPr>
          <w:p w:rsidR="000B31C5" w:rsidP="008C497E" w14:paraId="4A09F10C" w14:textId="20F4AD8F">
            <w:pPr>
              <w:contextualSpacing/>
              <w:rPr>
                <w:color w:val="2F5496" w:themeColor="accent5" w:themeShade="BF"/>
                <w:sz w:val="24"/>
              </w:rPr>
            </w:pPr>
            <w:r w:rsidRPr="00685080">
              <w:t xml:space="preserve">$31.19 </w:t>
            </w:r>
          </w:p>
        </w:tc>
        <w:tc>
          <w:tcPr>
            <w:tcW w:w="1254" w:type="dxa"/>
          </w:tcPr>
          <w:p w:rsidR="000B31C5" w:rsidP="008C497E" w14:paraId="7A7147BA" w14:textId="2262A98D">
            <w:pPr>
              <w:contextualSpacing/>
              <w:rPr>
                <w:color w:val="2F5496" w:themeColor="accent5" w:themeShade="BF"/>
                <w:sz w:val="24"/>
              </w:rPr>
            </w:pPr>
            <w:r w:rsidRPr="00C90D16">
              <w:t xml:space="preserve">$842.13 </w:t>
            </w:r>
          </w:p>
        </w:tc>
      </w:tr>
      <w:tr w14:paraId="704C6378" w14:textId="77777777" w:rsidTr="44E354D9">
        <w:tblPrEx>
          <w:tblW w:w="9355" w:type="dxa"/>
          <w:tblLayout w:type="fixed"/>
          <w:tblLook w:val="04A0"/>
        </w:tblPrEx>
        <w:trPr>
          <w:cantSplit/>
        </w:trPr>
        <w:tc>
          <w:tcPr>
            <w:tcW w:w="1878" w:type="dxa"/>
          </w:tcPr>
          <w:p w:rsidR="000B31C5" w:rsidRPr="007D2906" w:rsidP="008C497E" w14:paraId="4919EB27" w14:textId="75A6FF3E">
            <w:pPr>
              <w:contextualSpacing/>
              <w:rPr>
                <w:sz w:val="24"/>
              </w:rPr>
            </w:pPr>
            <w:r w:rsidRPr="007D2906">
              <w:t>F2F 1</w:t>
            </w:r>
            <w:r w:rsidRPr="007D2906" w:rsidR="00B04763">
              <w:t>-Attachment C</w:t>
            </w:r>
          </w:p>
        </w:tc>
        <w:tc>
          <w:tcPr>
            <w:tcW w:w="1239" w:type="dxa"/>
          </w:tcPr>
          <w:p w:rsidR="000B31C5" w:rsidP="008C497E" w14:paraId="025F2372" w14:textId="32724865">
            <w:pPr>
              <w:contextualSpacing/>
              <w:rPr>
                <w:color w:val="2F5496" w:themeColor="accent5" w:themeShade="BF"/>
                <w:sz w:val="24"/>
              </w:rPr>
            </w:pPr>
            <w:r w:rsidRPr="00C90D16">
              <w:t xml:space="preserve"> 59 </w:t>
            </w:r>
          </w:p>
        </w:tc>
        <w:tc>
          <w:tcPr>
            <w:tcW w:w="1161" w:type="dxa"/>
          </w:tcPr>
          <w:p w:rsidR="000B31C5" w:rsidP="008C497E" w14:paraId="16DF6B96" w14:textId="4A017BD8">
            <w:pPr>
              <w:contextualSpacing/>
              <w:rPr>
                <w:color w:val="2F5496" w:themeColor="accent5" w:themeShade="BF"/>
                <w:sz w:val="24"/>
              </w:rPr>
            </w:pPr>
            <w:r w:rsidRPr="00C90D16">
              <w:t xml:space="preserve"> </w:t>
            </w:r>
            <w:r w:rsidRPr="00685080">
              <w:t>1</w:t>
            </w:r>
            <w:r w:rsidRPr="00C90D16">
              <w:t xml:space="preserve"> </w:t>
            </w:r>
          </w:p>
        </w:tc>
        <w:tc>
          <w:tcPr>
            <w:tcW w:w="1061" w:type="dxa"/>
          </w:tcPr>
          <w:p w:rsidR="000B31C5" w:rsidP="008C497E" w14:paraId="142F228D" w14:textId="27C05F88">
            <w:pPr>
              <w:contextualSpacing/>
              <w:rPr>
                <w:color w:val="2F5496" w:themeColor="accent5" w:themeShade="BF"/>
                <w:sz w:val="24"/>
              </w:rPr>
            </w:pPr>
            <w:r w:rsidRPr="00C90D16">
              <w:t xml:space="preserve"> 59 </w:t>
            </w:r>
          </w:p>
        </w:tc>
        <w:tc>
          <w:tcPr>
            <w:tcW w:w="1086" w:type="dxa"/>
          </w:tcPr>
          <w:p w:rsidR="000B31C5" w:rsidP="008C497E" w14:paraId="6F4D4985" w14:textId="7CD70514">
            <w:pPr>
              <w:contextualSpacing/>
              <w:rPr>
                <w:color w:val="2F5496" w:themeColor="accent5" w:themeShade="BF"/>
                <w:sz w:val="24"/>
              </w:rPr>
            </w:pPr>
            <w:r w:rsidRPr="00C90D16">
              <w:t>2.76</w:t>
            </w:r>
          </w:p>
        </w:tc>
        <w:tc>
          <w:tcPr>
            <w:tcW w:w="805" w:type="dxa"/>
          </w:tcPr>
          <w:p w:rsidR="000B31C5" w:rsidP="008C497E" w14:paraId="030A6C68" w14:textId="4FCD8C03">
            <w:pPr>
              <w:contextualSpacing/>
              <w:rPr>
                <w:color w:val="2F5496" w:themeColor="accent5" w:themeShade="BF"/>
                <w:sz w:val="24"/>
              </w:rPr>
            </w:pPr>
            <w:r w:rsidRPr="00C90D16">
              <w:t xml:space="preserve"> 163 </w:t>
            </w:r>
          </w:p>
        </w:tc>
        <w:tc>
          <w:tcPr>
            <w:tcW w:w="871" w:type="dxa"/>
          </w:tcPr>
          <w:p w:rsidR="000B31C5" w:rsidP="008C497E" w14:paraId="41ED7346" w14:textId="43C17301">
            <w:pPr>
              <w:contextualSpacing/>
              <w:rPr>
                <w:color w:val="2F5496" w:themeColor="accent5" w:themeShade="BF"/>
                <w:sz w:val="24"/>
              </w:rPr>
            </w:pPr>
            <w:r w:rsidRPr="00685080">
              <w:t xml:space="preserve">$31.19 </w:t>
            </w:r>
          </w:p>
        </w:tc>
        <w:tc>
          <w:tcPr>
            <w:tcW w:w="1254" w:type="dxa"/>
          </w:tcPr>
          <w:p w:rsidR="000B31C5" w:rsidP="008C497E" w14:paraId="4D6C25B0" w14:textId="308EF0EF">
            <w:pPr>
              <w:contextualSpacing/>
              <w:rPr>
                <w:color w:val="2F5496" w:themeColor="accent5" w:themeShade="BF"/>
                <w:sz w:val="24"/>
              </w:rPr>
            </w:pPr>
            <w:r w:rsidRPr="00C90D16">
              <w:t xml:space="preserve">$5,083.97 </w:t>
            </w:r>
          </w:p>
        </w:tc>
      </w:tr>
      <w:tr w14:paraId="2628999A" w14:textId="77777777" w:rsidTr="44E354D9">
        <w:tblPrEx>
          <w:tblW w:w="9355" w:type="dxa"/>
          <w:tblLayout w:type="fixed"/>
          <w:tblLook w:val="04A0"/>
        </w:tblPrEx>
        <w:trPr>
          <w:cantSplit/>
        </w:trPr>
        <w:tc>
          <w:tcPr>
            <w:tcW w:w="1878" w:type="dxa"/>
          </w:tcPr>
          <w:p w:rsidR="000B31C5" w:rsidRPr="007D2906" w:rsidP="008C497E" w14:paraId="11AC25B5" w14:textId="18590201">
            <w:pPr>
              <w:contextualSpacing/>
              <w:rPr>
                <w:sz w:val="24"/>
              </w:rPr>
            </w:pPr>
            <w:r w:rsidRPr="007D2906">
              <w:t>Form 10</w:t>
            </w:r>
            <w:r w:rsidRPr="007D2906" w:rsidR="00B04763">
              <w:t>- Attachment B</w:t>
            </w:r>
          </w:p>
        </w:tc>
        <w:tc>
          <w:tcPr>
            <w:tcW w:w="1239" w:type="dxa"/>
          </w:tcPr>
          <w:p w:rsidR="000B31C5" w:rsidP="008C497E" w14:paraId="142F4129" w14:textId="0ACC3708">
            <w:pPr>
              <w:contextualSpacing/>
              <w:rPr>
                <w:color w:val="2F5496" w:themeColor="accent5" w:themeShade="BF"/>
                <w:sz w:val="24"/>
              </w:rPr>
            </w:pPr>
            <w:r w:rsidRPr="00C90D16">
              <w:t xml:space="preserve"> </w:t>
            </w:r>
            <w:r w:rsidRPr="00685080">
              <w:t>200</w:t>
            </w:r>
            <w:r w:rsidRPr="00C90D16">
              <w:t xml:space="preserve"> </w:t>
            </w:r>
          </w:p>
        </w:tc>
        <w:tc>
          <w:tcPr>
            <w:tcW w:w="1161" w:type="dxa"/>
          </w:tcPr>
          <w:p w:rsidR="000B31C5" w:rsidP="008C497E" w14:paraId="73E38268" w14:textId="48F32A9E">
            <w:pPr>
              <w:contextualSpacing/>
              <w:rPr>
                <w:color w:val="2F5496" w:themeColor="accent5" w:themeShade="BF"/>
                <w:sz w:val="24"/>
              </w:rPr>
            </w:pPr>
            <w:r w:rsidRPr="00C90D16">
              <w:t xml:space="preserve"> </w:t>
            </w:r>
            <w:r w:rsidRPr="00685080">
              <w:t>2</w:t>
            </w:r>
            <w:r w:rsidRPr="00C90D16">
              <w:t xml:space="preserve"> </w:t>
            </w:r>
          </w:p>
        </w:tc>
        <w:tc>
          <w:tcPr>
            <w:tcW w:w="1061" w:type="dxa"/>
          </w:tcPr>
          <w:p w:rsidR="000B31C5" w:rsidP="008C497E" w14:paraId="7A0EB8AD" w14:textId="045ED157">
            <w:pPr>
              <w:contextualSpacing/>
              <w:rPr>
                <w:color w:val="2F5496" w:themeColor="accent5" w:themeShade="BF"/>
                <w:sz w:val="24"/>
              </w:rPr>
            </w:pPr>
            <w:r w:rsidRPr="00C90D16">
              <w:t xml:space="preserve"> </w:t>
            </w:r>
            <w:r w:rsidRPr="00685080">
              <w:t>400</w:t>
            </w:r>
            <w:r w:rsidRPr="00C90D16">
              <w:t xml:space="preserve"> </w:t>
            </w:r>
          </w:p>
        </w:tc>
        <w:tc>
          <w:tcPr>
            <w:tcW w:w="1086" w:type="dxa"/>
          </w:tcPr>
          <w:p w:rsidR="000B31C5" w:rsidP="008C497E" w14:paraId="21CFD071" w14:textId="424E0668">
            <w:pPr>
              <w:contextualSpacing/>
              <w:rPr>
                <w:color w:val="2F5496" w:themeColor="accent5" w:themeShade="BF"/>
                <w:sz w:val="24"/>
              </w:rPr>
            </w:pPr>
            <w:r>
              <w:t>12.87</w:t>
            </w:r>
          </w:p>
        </w:tc>
        <w:tc>
          <w:tcPr>
            <w:tcW w:w="805" w:type="dxa"/>
          </w:tcPr>
          <w:p w:rsidR="000B31C5" w:rsidP="008C497E" w14:paraId="3C7C41D0" w14:textId="504A9271">
            <w:pPr>
              <w:contextualSpacing/>
              <w:rPr>
                <w:color w:val="2F5496" w:themeColor="accent5" w:themeShade="BF"/>
                <w:sz w:val="24"/>
              </w:rPr>
            </w:pPr>
            <w:r w:rsidRPr="00C90D16">
              <w:t xml:space="preserve"> </w:t>
            </w:r>
            <w:r w:rsidR="008E5F63">
              <w:t>5,148</w:t>
            </w:r>
            <w:r w:rsidRPr="00C90D16" w:rsidR="008E5F63">
              <w:t xml:space="preserve"> </w:t>
            </w:r>
          </w:p>
        </w:tc>
        <w:tc>
          <w:tcPr>
            <w:tcW w:w="871" w:type="dxa"/>
          </w:tcPr>
          <w:p w:rsidR="000B31C5" w:rsidP="008C497E" w14:paraId="05F59C56" w14:textId="5EE0F9CA">
            <w:pPr>
              <w:contextualSpacing/>
              <w:rPr>
                <w:color w:val="2F5496" w:themeColor="accent5" w:themeShade="BF"/>
                <w:sz w:val="24"/>
              </w:rPr>
            </w:pPr>
            <w:r w:rsidRPr="00685080">
              <w:t xml:space="preserve">$31.19 </w:t>
            </w:r>
          </w:p>
        </w:tc>
        <w:tc>
          <w:tcPr>
            <w:tcW w:w="1254" w:type="dxa"/>
          </w:tcPr>
          <w:p w:rsidR="000B31C5" w:rsidP="008C497E" w14:paraId="3A7B4591" w14:textId="57E0DF1A">
            <w:pPr>
              <w:contextualSpacing/>
              <w:rPr>
                <w:color w:val="2F5496" w:themeColor="accent5" w:themeShade="BF"/>
                <w:sz w:val="24"/>
              </w:rPr>
            </w:pPr>
            <w:r w:rsidRPr="00685080">
              <w:t>$</w:t>
            </w:r>
            <w:r w:rsidR="008E5F63">
              <w:t>160,566.12</w:t>
            </w:r>
            <w:r w:rsidRPr="00685080">
              <w:t xml:space="preserve"> </w:t>
            </w:r>
          </w:p>
        </w:tc>
      </w:tr>
      <w:tr w14:paraId="099DED32" w14:textId="77777777" w:rsidTr="44E354D9">
        <w:tblPrEx>
          <w:tblW w:w="9355" w:type="dxa"/>
          <w:tblLayout w:type="fixed"/>
          <w:tblLook w:val="04A0"/>
        </w:tblPrEx>
        <w:trPr>
          <w:cantSplit/>
        </w:trPr>
        <w:tc>
          <w:tcPr>
            <w:tcW w:w="1878" w:type="dxa"/>
          </w:tcPr>
          <w:p w:rsidR="000B31C5" w:rsidRPr="00685080" w:rsidP="008C497E" w14:paraId="1FD87289" w14:textId="3912DAF7">
            <w:pPr>
              <w:contextualSpacing/>
            </w:pPr>
            <w:r>
              <w:t>TOTAL</w:t>
            </w:r>
          </w:p>
        </w:tc>
        <w:tc>
          <w:tcPr>
            <w:tcW w:w="1239" w:type="dxa"/>
          </w:tcPr>
          <w:p w:rsidR="000B31C5" w:rsidRPr="00685080" w:rsidP="008C497E" w14:paraId="4DAEB14F" w14:textId="642BF98A">
            <w:pPr>
              <w:contextualSpacing/>
            </w:pPr>
            <w:r w:rsidRPr="00C90D16">
              <w:t xml:space="preserve"> </w:t>
            </w:r>
            <w:r w:rsidR="005D40E3">
              <w:t>817</w:t>
            </w:r>
            <w:r w:rsidRPr="00C90D16">
              <w:t xml:space="preserve"> </w:t>
            </w:r>
          </w:p>
        </w:tc>
        <w:tc>
          <w:tcPr>
            <w:tcW w:w="1161" w:type="dxa"/>
          </w:tcPr>
          <w:p w:rsidR="000B31C5" w:rsidRPr="00685080" w:rsidP="008C497E" w14:paraId="41D4FEBD" w14:textId="46CFBCB1">
            <w:pPr>
              <w:contextualSpacing/>
            </w:pPr>
            <w:r w:rsidRPr="00C90D16">
              <w:t xml:space="preserve"> </w:t>
            </w:r>
          </w:p>
        </w:tc>
        <w:tc>
          <w:tcPr>
            <w:tcW w:w="1061" w:type="dxa"/>
          </w:tcPr>
          <w:p w:rsidR="000B31C5" w:rsidRPr="00685080" w:rsidP="008C497E" w14:paraId="233D66BD" w14:textId="0611097D">
            <w:pPr>
              <w:contextualSpacing/>
            </w:pPr>
            <w:r>
              <w:t>817</w:t>
            </w:r>
            <w:r w:rsidRPr="00C90D16" w:rsidR="006D71AF">
              <w:t xml:space="preserve"> </w:t>
            </w:r>
          </w:p>
        </w:tc>
        <w:tc>
          <w:tcPr>
            <w:tcW w:w="1086" w:type="dxa"/>
          </w:tcPr>
          <w:p w:rsidR="000B31C5" w:rsidRPr="00685080" w:rsidP="008C497E" w14:paraId="059B1E7B" w14:textId="2A86B761">
            <w:pPr>
              <w:contextualSpacing/>
            </w:pPr>
          </w:p>
        </w:tc>
        <w:tc>
          <w:tcPr>
            <w:tcW w:w="805" w:type="dxa"/>
          </w:tcPr>
          <w:p w:rsidR="000B31C5" w:rsidRPr="00685080" w:rsidP="008C497E" w14:paraId="2AED028B" w14:textId="01250C7D">
            <w:pPr>
              <w:contextualSpacing/>
            </w:pPr>
            <w:r>
              <w:t>17,</w:t>
            </w:r>
            <w:r w:rsidR="00CB45F4">
              <w:t>61</w:t>
            </w:r>
            <w:r w:rsidR="00417E5B">
              <w:t>5</w:t>
            </w:r>
          </w:p>
        </w:tc>
        <w:tc>
          <w:tcPr>
            <w:tcW w:w="871" w:type="dxa"/>
          </w:tcPr>
          <w:p w:rsidR="000B31C5" w:rsidRPr="00685080" w:rsidP="008C497E" w14:paraId="61874844" w14:textId="66C654BD">
            <w:pPr>
              <w:contextualSpacing/>
            </w:pPr>
            <w:r>
              <w:t xml:space="preserve"> </w:t>
            </w:r>
          </w:p>
        </w:tc>
        <w:tc>
          <w:tcPr>
            <w:tcW w:w="1254" w:type="dxa"/>
          </w:tcPr>
          <w:p w:rsidR="000B31C5" w:rsidRPr="00685080" w:rsidP="008C497E" w14:paraId="1DEC3445" w14:textId="60478570">
            <w:pPr>
              <w:contextualSpacing/>
            </w:pPr>
            <w:r w:rsidRPr="009D4F1B">
              <w:t>$</w:t>
            </w:r>
            <w:r w:rsidR="00DE39C5">
              <w:t>5</w:t>
            </w:r>
            <w:r w:rsidR="00FE6490">
              <w:t>49,411.85</w:t>
            </w:r>
            <w:r w:rsidRPr="009D4F1B">
              <w:t xml:space="preserve"> </w:t>
            </w:r>
          </w:p>
        </w:tc>
      </w:tr>
    </w:tbl>
    <w:p w:rsidR="004F0236" w:rsidP="39167B21" w14:paraId="0533A462" w14:textId="77777777">
      <w:pPr>
        <w:tabs>
          <w:tab w:val="num" w:pos="360"/>
        </w:tabs>
        <w:spacing w:before="240"/>
        <w:rPr>
          <w:rFonts w:ascii="Arial" w:hAnsi="Arial" w:cs="Arial"/>
          <w:b/>
          <w:bCs/>
          <w:color w:val="2F5496" w:themeColor="accent5" w:themeShade="BF"/>
          <w:sz w:val="24"/>
          <w:u w:val="single"/>
        </w:rPr>
      </w:pPr>
    </w:p>
    <w:p w:rsidR="00464D8C" w:rsidRPr="00056086" w:rsidP="39167B21" w14:paraId="6AC6C187" w14:textId="31EA5109">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13. </w:t>
      </w:r>
      <w:r w:rsidRPr="39167B21">
        <w:rPr>
          <w:rFonts w:ascii="Arial" w:hAnsi="Arial" w:cs="Arial"/>
          <w:b/>
          <w:bCs/>
          <w:color w:val="2F5496" w:themeColor="accent5" w:themeShade="BF"/>
          <w:sz w:val="24"/>
          <w:u w:val="single"/>
        </w:rPr>
        <w:t>Estimates of other Total Annual Cost Burden to Respondents or Recordkeepers/Capital Costs</w:t>
      </w:r>
    </w:p>
    <w:p w:rsidR="001C276E" w:rsidRPr="00056086" w:rsidP="001C276E" w14:paraId="24600AA9" w14:textId="5E7FD17F">
      <w:pPr>
        <w:pStyle w:val="BodyTextIndent"/>
        <w:spacing w:before="120"/>
        <w:ind w:left="0"/>
        <w:rPr>
          <w:rFonts w:ascii="Times New Roman" w:hAnsi="Times New Roman"/>
        </w:rPr>
      </w:pPr>
      <w:r w:rsidRPr="00056086">
        <w:rPr>
          <w:rFonts w:ascii="Times New Roman" w:hAnsi="Times New Roman"/>
        </w:rPr>
        <w:t>Other than their time, there is no cost to respondents.</w:t>
      </w:r>
    </w:p>
    <w:p w:rsidR="00464D8C" w:rsidRPr="00056086" w:rsidP="39167B21" w14:paraId="4F3A96DF" w14:textId="33162FDA">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14. </w:t>
      </w:r>
      <w:r w:rsidRPr="39167B21">
        <w:rPr>
          <w:rFonts w:ascii="Arial" w:hAnsi="Arial" w:cs="Arial"/>
          <w:b/>
          <w:bCs/>
          <w:color w:val="2F5496" w:themeColor="accent5" w:themeShade="BF"/>
          <w:sz w:val="24"/>
          <w:u w:val="single"/>
        </w:rPr>
        <w:t>Annualized Cost to Federal Government</w:t>
      </w:r>
    </w:p>
    <w:p w:rsidR="00702DCE" w:rsidRPr="00056086" w:rsidP="00702DCE" w14:paraId="53EBBE51" w14:textId="3269E6A0">
      <w:pPr>
        <w:pStyle w:val="BodyTextIndent"/>
        <w:spacing w:before="120"/>
        <w:ind w:left="0"/>
        <w:rPr>
          <w:rFonts w:ascii="Arial" w:hAnsi="Arial" w:cs="Arial"/>
          <w:color w:val="2F5496" w:themeColor="accent5" w:themeShade="BF"/>
        </w:rPr>
      </w:pPr>
      <w:r w:rsidRPr="39167B21">
        <w:rPr>
          <w:rFonts w:ascii="Times New Roman" w:hAnsi="Times New Roman"/>
        </w:rPr>
        <w:t xml:space="preserve">This activity requires approximately </w:t>
      </w:r>
      <w:r w:rsidR="00A52277">
        <w:rPr>
          <w:rFonts w:ascii="Times New Roman" w:hAnsi="Times New Roman"/>
        </w:rPr>
        <w:t>2</w:t>
      </w:r>
      <w:r w:rsidRPr="39167B21" w:rsidR="00A52277">
        <w:rPr>
          <w:rFonts w:ascii="Times New Roman" w:hAnsi="Times New Roman"/>
        </w:rPr>
        <w:t xml:space="preserve"> </w:t>
      </w:r>
      <w:r w:rsidRPr="39167B21">
        <w:rPr>
          <w:rFonts w:ascii="Times New Roman" w:hAnsi="Times New Roman"/>
        </w:rPr>
        <w:t xml:space="preserve">FTE GS-14 at </w:t>
      </w:r>
      <w:r w:rsidR="00A52277">
        <w:rPr>
          <w:rFonts w:ascii="Times New Roman" w:hAnsi="Times New Roman"/>
        </w:rPr>
        <w:t>4</w:t>
      </w:r>
      <w:r w:rsidRPr="39167B21">
        <w:rPr>
          <w:rFonts w:ascii="Times New Roman" w:hAnsi="Times New Roman"/>
        </w:rPr>
        <w:t xml:space="preserve">0% time and </w:t>
      </w:r>
      <w:r w:rsidR="00A52277">
        <w:rPr>
          <w:rFonts w:ascii="Times New Roman" w:hAnsi="Times New Roman"/>
        </w:rPr>
        <w:t>2</w:t>
      </w:r>
      <w:r w:rsidRPr="39167B21" w:rsidR="00A52277">
        <w:rPr>
          <w:rFonts w:ascii="Times New Roman" w:hAnsi="Times New Roman"/>
        </w:rPr>
        <w:t xml:space="preserve"> </w:t>
      </w:r>
      <w:r w:rsidRPr="39167B21">
        <w:rPr>
          <w:rFonts w:ascii="Times New Roman" w:hAnsi="Times New Roman"/>
        </w:rPr>
        <w:t xml:space="preserve">FTE GS-13 at </w:t>
      </w:r>
      <w:r w:rsidR="00A52277">
        <w:rPr>
          <w:rFonts w:ascii="Times New Roman" w:hAnsi="Times New Roman"/>
        </w:rPr>
        <w:t>2</w:t>
      </w:r>
      <w:r w:rsidRPr="39167B21" w:rsidR="00A52277">
        <w:rPr>
          <w:rFonts w:ascii="Times New Roman" w:hAnsi="Times New Roman"/>
        </w:rPr>
        <w:t>0</w:t>
      </w:r>
      <w:r w:rsidRPr="39167B21">
        <w:rPr>
          <w:rFonts w:ascii="Times New Roman" w:hAnsi="Times New Roman"/>
        </w:rPr>
        <w:t>% time for an average annual combined cost of $</w:t>
      </w:r>
      <w:r w:rsidR="00A52277">
        <w:rPr>
          <w:rFonts w:ascii="Times New Roman" w:hAnsi="Times New Roman"/>
        </w:rPr>
        <w:t>132,512</w:t>
      </w:r>
      <w:r w:rsidRPr="39167B21">
        <w:rPr>
          <w:rFonts w:ascii="Times New Roman" w:hAnsi="Times New Roman"/>
        </w:rPr>
        <w:t>. In addition, about $</w:t>
      </w:r>
      <w:r w:rsidR="00A52277">
        <w:rPr>
          <w:rFonts w:ascii="Times New Roman" w:hAnsi="Times New Roman"/>
        </w:rPr>
        <w:t>1,000</w:t>
      </w:r>
      <w:r w:rsidRPr="39167B21">
        <w:rPr>
          <w:rFonts w:ascii="Times New Roman" w:hAnsi="Times New Roman"/>
        </w:rPr>
        <w:t>,000 in contract costs is required annually for the operation of the system for automated reporting and analysis of data. On this basis, the estimated average annual cost to the Federal Government is $</w:t>
      </w:r>
      <w:r w:rsidR="00A52277">
        <w:rPr>
          <w:rFonts w:ascii="Times New Roman" w:hAnsi="Times New Roman"/>
        </w:rPr>
        <w:t>1,132,512</w:t>
      </w:r>
      <w:r w:rsidRPr="39167B21">
        <w:rPr>
          <w:rFonts w:ascii="Times New Roman" w:hAnsi="Times New Roman"/>
        </w:rPr>
        <w:t>.</w:t>
      </w:r>
    </w:p>
    <w:p w:rsidR="00702DCE" w:rsidRPr="00056086" w:rsidP="39167B21" w14:paraId="3A7822D9" w14:textId="3442E3F5">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15. </w:t>
      </w:r>
      <w:r w:rsidRPr="39167B21" w:rsidR="00464D8C">
        <w:rPr>
          <w:rFonts w:ascii="Arial" w:hAnsi="Arial" w:cs="Arial"/>
          <w:b/>
          <w:bCs/>
          <w:color w:val="2F5496" w:themeColor="accent5" w:themeShade="BF"/>
          <w:sz w:val="24"/>
          <w:u w:val="single"/>
        </w:rPr>
        <w:t>Explanation for Program Changes or Adjustments</w:t>
      </w:r>
    </w:p>
    <w:p w:rsidR="00D41026" w:rsidRPr="00F56BE2" w:rsidP="00702DCE" w14:paraId="537FB978" w14:textId="07282D22">
      <w:pPr>
        <w:pStyle w:val="BodyTextIndent"/>
        <w:spacing w:before="120"/>
        <w:ind w:left="0"/>
        <w:rPr>
          <w:rFonts w:ascii="Times New Roman" w:hAnsi="Times New Roman"/>
        </w:rPr>
      </w:pPr>
      <w:r w:rsidRPr="1593C399">
        <w:rPr>
          <w:rFonts w:ascii="Times New Roman" w:hAnsi="Times New Roman"/>
        </w:rPr>
        <w:t xml:space="preserve">The current inventory for this activity is </w:t>
      </w:r>
      <w:r w:rsidRPr="1593C399" w:rsidR="200B14C8">
        <w:rPr>
          <w:rFonts w:ascii="Times New Roman" w:hAnsi="Times New Roman"/>
        </w:rPr>
        <w:t>17,616</w:t>
      </w:r>
      <w:r w:rsidRPr="1593C399" w:rsidR="00B85999">
        <w:rPr>
          <w:rFonts w:ascii="Times New Roman" w:hAnsi="Times New Roman"/>
        </w:rPr>
        <w:t xml:space="preserve"> </w:t>
      </w:r>
      <w:r w:rsidRPr="1593C399">
        <w:rPr>
          <w:rFonts w:ascii="Times New Roman" w:hAnsi="Times New Roman"/>
        </w:rPr>
        <w:t>hours</w:t>
      </w:r>
      <w:r w:rsidRPr="1593C399" w:rsidR="5C7FB640">
        <w:rPr>
          <w:rFonts w:ascii="Times New Roman" w:hAnsi="Times New Roman"/>
        </w:rPr>
        <w:t>,</w:t>
      </w:r>
      <w:r w:rsidRPr="1593C399" w:rsidR="73CDE3D5">
        <w:rPr>
          <w:rFonts w:ascii="Times New Roman" w:hAnsi="Times New Roman"/>
        </w:rPr>
        <w:t xml:space="preserve"> </w:t>
      </w:r>
      <w:r w:rsidRPr="1593C399" w:rsidR="5C7FB640">
        <w:rPr>
          <w:rFonts w:ascii="Times New Roman" w:hAnsi="Times New Roman"/>
        </w:rPr>
        <w:t>a</w:t>
      </w:r>
      <w:r w:rsidRPr="1593C399" w:rsidR="11036BAE">
        <w:rPr>
          <w:rFonts w:ascii="Times New Roman" w:hAnsi="Times New Roman"/>
        </w:rPr>
        <w:t xml:space="preserve"> </w:t>
      </w:r>
      <w:r w:rsidRPr="1593C399" w:rsidR="73CDE3D5">
        <w:rPr>
          <w:rFonts w:ascii="Times New Roman" w:hAnsi="Times New Roman"/>
        </w:rPr>
        <w:t xml:space="preserve">reduction </w:t>
      </w:r>
      <w:r w:rsidRPr="1593C399" w:rsidR="407DB05C">
        <w:rPr>
          <w:rFonts w:ascii="Times New Roman" w:hAnsi="Times New Roman"/>
        </w:rPr>
        <w:t>of 7,</w:t>
      </w:r>
      <w:r w:rsidRPr="1593C399" w:rsidR="79527CF2">
        <w:rPr>
          <w:rFonts w:ascii="Times New Roman" w:hAnsi="Times New Roman"/>
        </w:rPr>
        <w:t>584</w:t>
      </w:r>
      <w:r w:rsidRPr="1593C399" w:rsidR="407DB05C">
        <w:rPr>
          <w:rFonts w:ascii="Times New Roman" w:hAnsi="Times New Roman"/>
        </w:rPr>
        <w:t xml:space="preserve"> burden hours</w:t>
      </w:r>
      <w:r w:rsidRPr="1593C399" w:rsidR="73CDE3D5">
        <w:rPr>
          <w:rFonts w:ascii="Times New Roman" w:hAnsi="Times New Roman"/>
        </w:rPr>
        <w:t xml:space="preserve"> </w:t>
      </w:r>
      <w:r w:rsidRPr="1593C399" w:rsidR="407DB05C">
        <w:rPr>
          <w:rFonts w:ascii="Times New Roman" w:hAnsi="Times New Roman"/>
        </w:rPr>
        <w:t xml:space="preserve">compared to the </w:t>
      </w:r>
      <w:r w:rsidRPr="1593C399" w:rsidR="11036BAE">
        <w:rPr>
          <w:rFonts w:ascii="Times New Roman" w:hAnsi="Times New Roman"/>
        </w:rPr>
        <w:t>estimate</w:t>
      </w:r>
      <w:r w:rsidRPr="1593C399" w:rsidR="73CDE3D5">
        <w:rPr>
          <w:rFonts w:ascii="Times New Roman" w:hAnsi="Times New Roman"/>
        </w:rPr>
        <w:t xml:space="preserve"> in the </w:t>
      </w:r>
      <w:r w:rsidRPr="1593C399" w:rsidR="14D42E88">
        <w:rPr>
          <w:rFonts w:ascii="Times New Roman" w:hAnsi="Times New Roman"/>
        </w:rPr>
        <w:t>previous</w:t>
      </w:r>
      <w:r w:rsidRPr="1593C399" w:rsidR="73CDE3D5">
        <w:rPr>
          <w:rFonts w:ascii="Times New Roman" w:hAnsi="Times New Roman"/>
        </w:rPr>
        <w:t xml:space="preserve"> </w:t>
      </w:r>
      <w:r w:rsidRPr="1593C399" w:rsidR="06739AF4">
        <w:rPr>
          <w:rFonts w:ascii="Times New Roman" w:hAnsi="Times New Roman"/>
          <w:i/>
          <w:iCs/>
          <w:color w:val="000000" w:themeColor="text1"/>
        </w:rPr>
        <w:t>Federal Register</w:t>
      </w:r>
      <w:r w:rsidRPr="1593C399" w:rsidR="06739AF4">
        <w:rPr>
          <w:rFonts w:ascii="Times New Roman" w:hAnsi="Times New Roman"/>
          <w:color w:val="000000" w:themeColor="text1"/>
        </w:rPr>
        <w:t xml:space="preserve"> notice (87 FR 3313) published on January 21, 2022</w:t>
      </w:r>
      <w:r w:rsidRPr="1593C399" w:rsidR="00757F46">
        <w:rPr>
          <w:rFonts w:ascii="Times New Roman" w:hAnsi="Times New Roman"/>
        </w:rPr>
        <w:t xml:space="preserve">. </w:t>
      </w:r>
      <w:r w:rsidRPr="1593C399" w:rsidR="00AC13D6">
        <w:rPr>
          <w:rFonts w:ascii="Times New Roman" w:hAnsi="Times New Roman"/>
        </w:rPr>
        <w:t xml:space="preserve"> M</w:t>
      </w:r>
      <w:r w:rsidRPr="1593C399">
        <w:rPr>
          <w:rFonts w:ascii="Times New Roman" w:hAnsi="Times New Roman"/>
        </w:rPr>
        <w:t xml:space="preserve">ost programs have a limited number of </w:t>
      </w:r>
      <w:r w:rsidRPr="1593C399" w:rsidR="00A654C8">
        <w:rPr>
          <w:rFonts w:ascii="Times New Roman" w:hAnsi="Times New Roman"/>
        </w:rPr>
        <w:t xml:space="preserve">forms </w:t>
      </w:r>
      <w:r w:rsidRPr="1593C399">
        <w:rPr>
          <w:rFonts w:ascii="Times New Roman" w:hAnsi="Times New Roman"/>
        </w:rPr>
        <w:t>assigned (5</w:t>
      </w:r>
      <w:r w:rsidR="00FD18AE">
        <w:rPr>
          <w:rFonts w:ascii="Times New Roman" w:hAnsi="Times New Roman"/>
        </w:rPr>
        <w:t xml:space="preserve"> </w:t>
      </w:r>
      <w:r w:rsidRPr="1593C399" w:rsidR="00A52277">
        <w:rPr>
          <w:rFonts w:ascii="Times New Roman" w:hAnsi="Times New Roman"/>
        </w:rPr>
        <w:t>to 7</w:t>
      </w:r>
      <w:r w:rsidRPr="1593C399">
        <w:rPr>
          <w:rFonts w:ascii="Times New Roman" w:hAnsi="Times New Roman"/>
        </w:rPr>
        <w:t xml:space="preserve">), with only </w:t>
      </w:r>
      <w:r w:rsidRPr="1593C399" w:rsidR="5BD192C1">
        <w:rPr>
          <w:rFonts w:ascii="Times New Roman" w:hAnsi="Times New Roman"/>
        </w:rPr>
        <w:t>Workforce and T</w:t>
      </w:r>
      <w:r w:rsidRPr="1593C399">
        <w:rPr>
          <w:rFonts w:ascii="Times New Roman" w:hAnsi="Times New Roman"/>
        </w:rPr>
        <w:t>raining, EMSC, Healthy Start</w:t>
      </w:r>
      <w:r w:rsidRPr="1593C399" w:rsidR="00A415DF">
        <w:rPr>
          <w:rFonts w:ascii="Times New Roman" w:hAnsi="Times New Roman"/>
        </w:rPr>
        <w:t>, and Family-to-Family programs</w:t>
      </w:r>
      <w:r w:rsidRPr="1593C399">
        <w:rPr>
          <w:rFonts w:ascii="Times New Roman" w:hAnsi="Times New Roman"/>
        </w:rPr>
        <w:t xml:space="preserve"> report</w:t>
      </w:r>
      <w:r w:rsidRPr="1593C399" w:rsidR="00A654C8">
        <w:rPr>
          <w:rFonts w:ascii="Times New Roman" w:hAnsi="Times New Roman"/>
        </w:rPr>
        <w:t>ing</w:t>
      </w:r>
      <w:r w:rsidRPr="1593C399">
        <w:rPr>
          <w:rFonts w:ascii="Times New Roman" w:hAnsi="Times New Roman"/>
        </w:rPr>
        <w:t xml:space="preserve"> additional program-specific measures as part of these discretionary grant performance measures.</w:t>
      </w:r>
      <w:r w:rsidRPr="1593C399" w:rsidR="00757F46">
        <w:rPr>
          <w:rFonts w:ascii="Times New Roman" w:hAnsi="Times New Roman"/>
        </w:rPr>
        <w:t xml:space="preserve"> </w:t>
      </w:r>
    </w:p>
    <w:p w:rsidR="00464D8C" w:rsidRPr="00056086" w:rsidP="39167B21" w14:paraId="78857907" w14:textId="79C0E054">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16. </w:t>
      </w:r>
      <w:r w:rsidRPr="39167B21">
        <w:rPr>
          <w:rFonts w:ascii="Arial" w:hAnsi="Arial" w:cs="Arial"/>
          <w:b/>
          <w:bCs/>
          <w:color w:val="2F5496" w:themeColor="accent5" w:themeShade="BF"/>
          <w:sz w:val="24"/>
          <w:u w:val="single"/>
        </w:rPr>
        <w:t>Plans for Tabulation, Publication, and Project Time Schedule</w:t>
      </w:r>
    </w:p>
    <w:p w:rsidR="00702DCE" w:rsidRPr="00056086" w:rsidP="00702DCE" w14:paraId="6DC846B1" w14:textId="7C044924">
      <w:pPr>
        <w:pStyle w:val="BodyTextIndent"/>
        <w:ind w:left="0"/>
        <w:jc w:val="both"/>
        <w:rPr>
          <w:b/>
          <w:color w:val="000000"/>
        </w:rPr>
      </w:pPr>
    </w:p>
    <w:p w:rsidR="00702DCE" w:rsidRPr="00056086" w:rsidP="00702DCE" w14:paraId="3C8D1092" w14:textId="3B104956">
      <w:pPr>
        <w:pStyle w:val="BodyTextIndent"/>
        <w:ind w:left="0"/>
        <w:rPr>
          <w:rFonts w:ascii="Times New Roman" w:hAnsi="Times New Roman"/>
          <w:color w:val="FF0000"/>
          <w:u w:val="single"/>
        </w:rPr>
      </w:pPr>
      <w:r w:rsidRPr="00056086">
        <w:rPr>
          <w:rFonts w:ascii="Times New Roman" w:hAnsi="Times New Roman"/>
          <w:color w:val="000000"/>
        </w:rPr>
        <w:t>This activity is an annual data collection.</w:t>
      </w:r>
      <w:r w:rsidRPr="00056086">
        <w:rPr>
          <w:rFonts w:ascii="Times New Roman" w:hAnsi="Times New Roman"/>
        </w:rPr>
        <w:t xml:space="preserve"> Submission of all documents by grantees will take place at different grant cycles throughout the year depending on the program for which the grantee is reporting. </w:t>
      </w:r>
      <w:r w:rsidR="00A52277">
        <w:rPr>
          <w:rFonts w:ascii="Times New Roman" w:hAnsi="Times New Roman"/>
        </w:rPr>
        <w:t xml:space="preserve"> </w:t>
      </w:r>
    </w:p>
    <w:p w:rsidR="00464D8C" w:rsidRPr="00056086" w:rsidP="39167B21" w14:paraId="3877FF9D" w14:textId="0156E9E0">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17. </w:t>
      </w:r>
      <w:r w:rsidRPr="39167B21">
        <w:rPr>
          <w:rFonts w:ascii="Arial" w:hAnsi="Arial" w:cs="Arial"/>
          <w:b/>
          <w:bCs/>
          <w:color w:val="2F5496" w:themeColor="accent5" w:themeShade="BF"/>
          <w:sz w:val="24"/>
          <w:u w:val="single"/>
        </w:rPr>
        <w:t>Reason(s) Display of OMB Expiration Date is Inappropriate</w:t>
      </w:r>
    </w:p>
    <w:p w:rsidR="00702DCE" w:rsidP="00702DCE" w14:paraId="1E2F7AC1" w14:textId="748F2221">
      <w:pPr>
        <w:pStyle w:val="BodyTextIndent"/>
        <w:spacing w:before="120"/>
        <w:ind w:left="0"/>
        <w:rPr>
          <w:rFonts w:ascii="Times New Roman" w:hAnsi="Times New Roman"/>
          <w:color w:val="000000"/>
        </w:rPr>
      </w:pPr>
      <w:r w:rsidRPr="00056086">
        <w:rPr>
          <w:rFonts w:ascii="Times New Roman" w:hAnsi="Times New Roman"/>
          <w:color w:val="000000"/>
        </w:rPr>
        <w:t xml:space="preserve">The OMB number and </w:t>
      </w:r>
      <w:r w:rsidRPr="00056086" w:rsidR="00D42AA3">
        <w:rPr>
          <w:rFonts w:ascii="Times New Roman" w:hAnsi="Times New Roman"/>
          <w:color w:val="000000"/>
        </w:rPr>
        <w:t>e</w:t>
      </w:r>
      <w:r w:rsidRPr="00056086">
        <w:rPr>
          <w:rFonts w:ascii="Times New Roman" w:hAnsi="Times New Roman"/>
          <w:color w:val="000000"/>
        </w:rPr>
        <w:t>xpiration date will be displayed on every page of every form/instrument</w:t>
      </w:r>
      <w:r w:rsidRPr="00056086" w:rsidR="00D42AA3">
        <w:rPr>
          <w:rFonts w:ascii="Times New Roman" w:hAnsi="Times New Roman"/>
          <w:color w:val="000000"/>
        </w:rPr>
        <w:t>.</w:t>
      </w:r>
    </w:p>
    <w:p w:rsidR="00464D8C" w:rsidRPr="00056086" w:rsidP="39167B21" w14:paraId="2DEDD452" w14:textId="69EF8C3F">
      <w:pPr>
        <w:tabs>
          <w:tab w:val="num" w:pos="360"/>
        </w:tabs>
        <w:spacing w:before="240"/>
        <w:rPr>
          <w:rFonts w:ascii="Arial" w:hAnsi="Arial" w:cs="Arial"/>
          <w:b/>
          <w:bCs/>
          <w:color w:val="2F5496" w:themeColor="accent5" w:themeShade="BF"/>
          <w:sz w:val="24"/>
        </w:rPr>
      </w:pPr>
      <w:r w:rsidRPr="39167B21">
        <w:rPr>
          <w:rFonts w:ascii="Arial" w:hAnsi="Arial" w:cs="Arial"/>
          <w:b/>
          <w:bCs/>
          <w:color w:val="2F5496" w:themeColor="accent5" w:themeShade="BF"/>
          <w:sz w:val="24"/>
          <w:u w:val="single"/>
        </w:rPr>
        <w:t xml:space="preserve">18. </w:t>
      </w:r>
      <w:r w:rsidRPr="39167B21">
        <w:rPr>
          <w:rFonts w:ascii="Arial" w:hAnsi="Arial" w:cs="Arial"/>
          <w:b/>
          <w:bCs/>
          <w:color w:val="2F5496" w:themeColor="accent5" w:themeShade="BF"/>
          <w:sz w:val="24"/>
          <w:u w:val="single"/>
        </w:rPr>
        <w:t>Exceptions to Certification for Paperwork Reduction Act Submissions</w:t>
      </w:r>
    </w:p>
    <w:p w:rsidR="00D41026" w:rsidRPr="00056086" w:rsidP="00702DCE" w14:paraId="06092621" w14:textId="77777777">
      <w:pPr>
        <w:widowControl/>
        <w:tabs>
          <w:tab w:val="left" w:pos="-720"/>
        </w:tabs>
        <w:suppressAutoHyphens/>
        <w:autoSpaceDE/>
        <w:autoSpaceDN/>
        <w:adjustRightInd/>
        <w:rPr>
          <w:sz w:val="24"/>
        </w:rPr>
      </w:pPr>
    </w:p>
    <w:p w:rsidR="00702DCE" w:rsidRPr="00056086" w:rsidP="39167B21" w14:paraId="5572AA7C" w14:textId="202A63F0">
      <w:pPr>
        <w:widowControl/>
        <w:suppressAutoHyphens/>
        <w:autoSpaceDE/>
        <w:autoSpaceDN/>
        <w:adjustRightInd/>
        <w:rPr>
          <w:sz w:val="24"/>
        </w:rPr>
      </w:pPr>
      <w:r w:rsidRPr="39167B21">
        <w:rPr>
          <w:sz w:val="24"/>
        </w:rPr>
        <w:t>There are no exceptions to the certification.</w:t>
      </w:r>
      <w:r w:rsidRPr="39167B21">
        <w:rPr>
          <w:rFonts w:ascii="Arial" w:hAnsi="Arial" w:cs="Arial"/>
          <w:b/>
          <w:bCs/>
        </w:rPr>
        <w:t xml:space="preserve"> </w:t>
      </w:r>
      <w:r w:rsidRPr="39167B21">
        <w:rPr>
          <w:sz w:val="24"/>
        </w:rPr>
        <w:t xml:space="preserve">This project meets </w:t>
      </w:r>
      <w:r w:rsidRPr="39167B21" w:rsidR="6E8123CB">
        <w:rPr>
          <w:sz w:val="24"/>
        </w:rPr>
        <w:t>all</w:t>
      </w:r>
      <w:r w:rsidRPr="39167B21">
        <w:rPr>
          <w:sz w:val="24"/>
        </w:rPr>
        <w:t xml:space="preserve"> the requirements in 5 CFR 1320.9. The certifications are included in this package.</w:t>
      </w:r>
    </w:p>
    <w:p w:rsidR="00702DCE" w:rsidRPr="00056086" w:rsidP="00702DCE" w14:paraId="2B034831" w14:textId="77951EE3">
      <w:pPr>
        <w:widowControl/>
        <w:tabs>
          <w:tab w:val="left" w:pos="-720"/>
        </w:tabs>
        <w:suppressAutoHyphens/>
        <w:autoSpaceDE/>
        <w:autoSpaceDN/>
        <w:adjustRightInd/>
        <w:jc w:val="both"/>
        <w:rPr>
          <w:caps/>
          <w:sz w:val="24"/>
        </w:rPr>
      </w:pPr>
    </w:p>
    <w:p w:rsidR="00DC40E7" w:rsidP="00702DCE" w14:paraId="6D95C095" w14:textId="77777777">
      <w:pPr>
        <w:widowControl/>
        <w:tabs>
          <w:tab w:val="left" w:pos="-720"/>
        </w:tabs>
        <w:suppressAutoHyphens/>
        <w:autoSpaceDE/>
        <w:autoSpaceDN/>
        <w:adjustRightInd/>
        <w:jc w:val="both"/>
        <w:rPr>
          <w:caps/>
          <w:sz w:val="24"/>
        </w:rPr>
      </w:pPr>
    </w:p>
    <w:p w:rsidR="00FF5FF5" w:rsidP="00702DCE" w14:paraId="06E211DE" w14:textId="77777777">
      <w:pPr>
        <w:widowControl/>
        <w:tabs>
          <w:tab w:val="left" w:pos="-720"/>
        </w:tabs>
        <w:suppressAutoHyphens/>
        <w:autoSpaceDE/>
        <w:autoSpaceDN/>
        <w:adjustRightInd/>
        <w:jc w:val="both"/>
        <w:rPr>
          <w:caps/>
          <w:sz w:val="24"/>
        </w:rPr>
      </w:pPr>
    </w:p>
    <w:p w:rsidR="00FF5FF5" w:rsidRPr="00056086" w:rsidP="00702DCE" w14:paraId="4A73105E" w14:textId="77777777">
      <w:pPr>
        <w:widowControl/>
        <w:tabs>
          <w:tab w:val="left" w:pos="-720"/>
        </w:tabs>
        <w:suppressAutoHyphens/>
        <w:autoSpaceDE/>
        <w:autoSpaceDN/>
        <w:adjustRightInd/>
        <w:jc w:val="both"/>
        <w:rPr>
          <w:caps/>
          <w:sz w:val="24"/>
        </w:rPr>
      </w:pPr>
    </w:p>
    <w:p w:rsidR="00056086" w:rsidRPr="00056086" w:rsidP="00702DCE" w14:paraId="1B7466BA" w14:textId="77777777">
      <w:pPr>
        <w:widowControl/>
        <w:tabs>
          <w:tab w:val="left" w:pos="-720"/>
        </w:tabs>
        <w:suppressAutoHyphens/>
        <w:autoSpaceDE/>
        <w:autoSpaceDN/>
        <w:adjustRightInd/>
        <w:jc w:val="both"/>
        <w:rPr>
          <w:caps/>
          <w:sz w:val="24"/>
        </w:rPr>
      </w:pPr>
    </w:p>
    <w:p w:rsidR="00702DCE" w:rsidRPr="00056086" w:rsidP="1089E4EA" w14:paraId="37F53DEB" w14:textId="77777777">
      <w:pPr>
        <w:widowControl/>
        <w:pBdr>
          <w:top w:val="single" w:sz="4" w:space="1" w:color="000000"/>
          <w:left w:val="single" w:sz="4" w:space="4" w:color="000000"/>
          <w:bottom w:val="single" w:sz="4" w:space="1" w:color="000000"/>
          <w:right w:val="single" w:sz="4" w:space="4" w:color="000000"/>
        </w:pBdr>
        <w:shd w:val="clear" w:color="auto" w:fill="FFFFFF" w:themeFill="background1"/>
        <w:tabs>
          <w:tab w:val="left" w:pos="450"/>
        </w:tabs>
        <w:suppressAutoHyphens/>
        <w:autoSpaceDE/>
        <w:autoSpaceDN/>
        <w:adjustRightInd/>
        <w:ind w:left="450" w:hanging="450"/>
        <w:jc w:val="both"/>
        <w:rPr>
          <w:b/>
          <w:bCs/>
          <w:caps/>
          <w:sz w:val="24"/>
        </w:rPr>
      </w:pPr>
      <w:r w:rsidRPr="1089E4EA">
        <w:rPr>
          <w:b/>
          <w:bCs/>
          <w:caps/>
          <w:sz w:val="24"/>
        </w:rPr>
        <w:t>AttachmentS to Supporting Statement</w:t>
      </w:r>
    </w:p>
    <w:p w:rsidR="00702DCE" w:rsidRPr="00056086" w:rsidP="00702DCE" w14:paraId="56552A19" w14:textId="77777777">
      <w:pPr>
        <w:widowControl/>
        <w:tabs>
          <w:tab w:val="left" w:pos="-720"/>
          <w:tab w:val="left" w:pos="450"/>
        </w:tabs>
        <w:suppressAutoHyphens/>
        <w:autoSpaceDE/>
        <w:autoSpaceDN/>
        <w:adjustRightInd/>
        <w:ind w:left="450" w:hanging="450"/>
        <w:jc w:val="both"/>
        <w:rPr>
          <w:b/>
          <w:sz w:val="24"/>
        </w:rPr>
      </w:pPr>
    </w:p>
    <w:p w:rsidR="00702DCE" w:rsidP="2FA5D9A2" w14:paraId="69E030C7" w14:textId="2D780498">
      <w:pPr>
        <w:widowControl/>
        <w:tabs>
          <w:tab w:val="left" w:pos="450"/>
          <w:tab w:val="left" w:pos="630"/>
        </w:tabs>
        <w:suppressAutoHyphens/>
        <w:autoSpaceDE/>
        <w:autoSpaceDN/>
        <w:adjustRightInd/>
        <w:spacing w:after="200"/>
        <w:jc w:val="both"/>
        <w:rPr>
          <w:b/>
          <w:color w:val="000000"/>
          <w:sz w:val="24"/>
        </w:rPr>
      </w:pPr>
      <w:r w:rsidRPr="2FA5D9A2">
        <w:rPr>
          <w:b/>
          <w:color w:val="000000" w:themeColor="text1"/>
          <w:sz w:val="24"/>
        </w:rPr>
        <w:t>Attachment A</w:t>
      </w:r>
      <w:r>
        <w:tab/>
      </w:r>
      <w:r w:rsidRPr="2FA5D9A2">
        <w:rPr>
          <w:b/>
          <w:color w:val="000000" w:themeColor="text1"/>
          <w:sz w:val="24"/>
        </w:rPr>
        <w:t>Section 501 of Title V</w:t>
      </w:r>
      <w:r w:rsidRPr="00056086">
        <w:rPr>
          <w:b/>
          <w:color w:val="FF0000"/>
          <w:sz w:val="24"/>
        </w:rPr>
        <w:t xml:space="preserve"> </w:t>
      </w:r>
      <w:r w:rsidRPr="2FA5D9A2">
        <w:rPr>
          <w:b/>
          <w:color w:val="000000" w:themeColor="text1"/>
          <w:sz w:val="24"/>
        </w:rPr>
        <w:t>of the Social Security Act</w:t>
      </w:r>
    </w:p>
    <w:p w:rsidR="007D53C1" w:rsidRPr="00056086" w:rsidP="1CD79EE0" w14:paraId="7055064B" w14:textId="18BD6132">
      <w:pPr>
        <w:widowControl/>
        <w:tabs>
          <w:tab w:val="left" w:pos="450"/>
          <w:tab w:val="left" w:pos="630"/>
        </w:tabs>
        <w:suppressAutoHyphens/>
        <w:autoSpaceDE/>
        <w:autoSpaceDN/>
        <w:adjustRightInd/>
        <w:spacing w:after="200"/>
        <w:jc w:val="both"/>
        <w:rPr>
          <w:b/>
          <w:bCs/>
          <w:color w:val="000000"/>
          <w:sz w:val="24"/>
        </w:rPr>
      </w:pPr>
      <w:r w:rsidRPr="1CD79EE0">
        <w:rPr>
          <w:b/>
          <w:bCs/>
          <w:color w:val="000000" w:themeColor="text1"/>
          <w:sz w:val="24"/>
        </w:rPr>
        <w:t>Attachment B-1</w:t>
      </w:r>
      <w:r>
        <w:tab/>
      </w:r>
      <w:r w:rsidRPr="1CD79EE0">
        <w:rPr>
          <w:b/>
          <w:bCs/>
          <w:color w:val="000000" w:themeColor="text1"/>
          <w:sz w:val="24"/>
        </w:rPr>
        <w:t>Crosswalk of Form Changes</w:t>
      </w:r>
    </w:p>
    <w:p w:rsidR="007D53C1" w:rsidRPr="00056086" w:rsidP="39167B21" w14:paraId="0BE44371" w14:textId="7ADA3EC8">
      <w:pPr>
        <w:widowControl/>
        <w:tabs>
          <w:tab w:val="left" w:pos="450"/>
          <w:tab w:val="left" w:pos="630"/>
        </w:tabs>
        <w:suppressAutoHyphens/>
        <w:autoSpaceDE/>
        <w:autoSpaceDN/>
        <w:adjustRightInd/>
        <w:spacing w:after="200"/>
        <w:jc w:val="both"/>
        <w:rPr>
          <w:b/>
          <w:bCs/>
          <w:color w:val="000000"/>
          <w:sz w:val="24"/>
        </w:rPr>
      </w:pPr>
      <w:r w:rsidRPr="39167B21">
        <w:rPr>
          <w:b/>
          <w:bCs/>
          <w:color w:val="000000" w:themeColor="text1"/>
          <w:sz w:val="24"/>
        </w:rPr>
        <w:t>Attachment B</w:t>
      </w:r>
      <w:r>
        <w:tab/>
      </w:r>
      <w:r w:rsidRPr="39167B21">
        <w:rPr>
          <w:b/>
          <w:bCs/>
          <w:color w:val="000000" w:themeColor="text1"/>
          <w:sz w:val="24"/>
        </w:rPr>
        <w:t xml:space="preserve">  </w:t>
      </w:r>
      <w:r>
        <w:tab/>
      </w:r>
      <w:r w:rsidR="00585000">
        <w:rPr>
          <w:b/>
          <w:bCs/>
          <w:color w:val="000000" w:themeColor="text1"/>
          <w:sz w:val="24"/>
        </w:rPr>
        <w:t>Central</w:t>
      </w:r>
      <w:r w:rsidRPr="04ED334F" w:rsidR="00585000">
        <w:rPr>
          <w:b/>
          <w:bCs/>
          <w:color w:val="000000" w:themeColor="text1"/>
          <w:sz w:val="24"/>
        </w:rPr>
        <w:t xml:space="preserve"> </w:t>
      </w:r>
      <w:r w:rsidRPr="04ED334F" w:rsidR="12C1F6F8">
        <w:rPr>
          <w:b/>
          <w:bCs/>
          <w:color w:val="000000" w:themeColor="text1"/>
          <w:sz w:val="24"/>
        </w:rPr>
        <w:t>Forms</w:t>
      </w:r>
    </w:p>
    <w:p w:rsidR="00702DCE" w:rsidRPr="00056086" w:rsidP="39167B21" w14:paraId="46FFAE73" w14:textId="21A776FE">
      <w:pPr>
        <w:widowControl/>
        <w:tabs>
          <w:tab w:val="left" w:pos="450"/>
          <w:tab w:val="left" w:pos="630"/>
        </w:tabs>
        <w:suppressAutoHyphens/>
        <w:autoSpaceDE/>
        <w:autoSpaceDN/>
        <w:adjustRightInd/>
        <w:spacing w:after="200"/>
        <w:jc w:val="both"/>
        <w:rPr>
          <w:b/>
          <w:bCs/>
          <w:color w:val="000000"/>
          <w:sz w:val="24"/>
        </w:rPr>
      </w:pPr>
      <w:r w:rsidRPr="39167B21">
        <w:rPr>
          <w:b/>
          <w:bCs/>
          <w:color w:val="000000" w:themeColor="text1"/>
          <w:sz w:val="24"/>
        </w:rPr>
        <w:t>Attachment C</w:t>
      </w:r>
      <w:r>
        <w:tab/>
      </w:r>
      <w:r w:rsidR="00585000">
        <w:rPr>
          <w:b/>
          <w:bCs/>
          <w:color w:val="000000" w:themeColor="text1"/>
          <w:sz w:val="24"/>
        </w:rPr>
        <w:t>Program-Specific Forms</w:t>
      </w:r>
    </w:p>
    <w:p w:rsidR="00702DCE" w:rsidRPr="00056086" w:rsidP="2A5E1729" w14:paraId="59D4501C" w14:textId="2247E4D5">
      <w:pPr>
        <w:widowControl/>
        <w:tabs>
          <w:tab w:val="left" w:pos="450"/>
          <w:tab w:val="left" w:pos="630"/>
        </w:tabs>
        <w:suppressAutoHyphens/>
        <w:autoSpaceDE/>
        <w:autoSpaceDN/>
        <w:adjustRightInd/>
        <w:spacing w:after="200"/>
        <w:jc w:val="both"/>
        <w:rPr>
          <w:b/>
          <w:color w:val="000000"/>
          <w:sz w:val="24"/>
        </w:rPr>
      </w:pPr>
      <w:r w:rsidRPr="2A5E1729">
        <w:rPr>
          <w:b/>
          <w:color w:val="000000" w:themeColor="text1"/>
          <w:sz w:val="24"/>
        </w:rPr>
        <w:t>Attachment D</w:t>
      </w:r>
      <w:r>
        <w:tab/>
      </w:r>
      <w:r w:rsidR="00585000">
        <w:rPr>
          <w:b/>
          <w:bCs/>
          <w:color w:val="000000" w:themeColor="text1"/>
          <w:sz w:val="24"/>
        </w:rPr>
        <w:t>Additional Data Elements</w:t>
      </w:r>
    </w:p>
    <w:p w:rsidR="00464D8C" w:rsidRPr="00464D8C" w14:paraId="17F72216" w14:textId="3D2EA211"/>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5148"/>
      <w:docPartObj>
        <w:docPartGallery w:val="Page Numbers (Bottom of Page)"/>
        <w:docPartUnique/>
      </w:docPartObj>
    </w:sdtPr>
    <w:sdtEndPr>
      <w:rPr>
        <w:noProof/>
      </w:rPr>
    </w:sdtEndPr>
    <w:sdtContent>
      <w:p w:rsidR="001A00D8" w14:paraId="0617E08F" w14:textId="0167A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A00D8" w14:paraId="7DEEA1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51F6" w:rsidP="00464D8C" w14:paraId="1B8AB15A" w14:textId="77777777">
      <w:r>
        <w:separator/>
      </w:r>
    </w:p>
  </w:footnote>
  <w:footnote w:type="continuationSeparator" w:id="1">
    <w:p w:rsidR="00C651F6" w:rsidP="00464D8C" w14:paraId="6ACA2CD6" w14:textId="77777777">
      <w:r>
        <w:continuationSeparator/>
      </w:r>
    </w:p>
  </w:footnote>
  <w:footnote w:type="continuationNotice" w:id="2">
    <w:p w:rsidR="00C651F6" w14:paraId="157226BD" w14:textId="77777777"/>
  </w:footnote>
  <w:footnote w:id="3">
    <w:p w:rsidR="00464D8C" w:rsidP="00464D8C" w14:paraId="163459FB" w14:textId="77777777">
      <w:pPr>
        <w:pStyle w:val="FootnoteText"/>
      </w:pPr>
      <w:r>
        <w:rPr>
          <w:rStyle w:val="FootnoteReference"/>
        </w:rPr>
        <w:footnoteRef/>
      </w:r>
      <w:r>
        <w:t xml:space="preserve"> Section 509, Title V: Maternal and Child Block Health Services Block Grant, Social Security Act (US Code</w:t>
      </w:r>
    </w:p>
    <w:p w:rsidR="00464D8C" w:rsidP="00464D8C" w14:paraId="716C9F4A" w14:textId="77777777">
      <w:pPr>
        <w:pStyle w:val="FootnoteText"/>
      </w:pPr>
      <w:r>
        <w:t xml:space="preserve"> §§701-710, subchapter V, chapter 7, Title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862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6F805C8"/>
    <w:multiLevelType w:val="hybridMultilevel"/>
    <w:tmpl w:val="731099E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3457DED"/>
    <w:multiLevelType w:val="hybridMultilevel"/>
    <w:tmpl w:val="273EC0A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A3A6094"/>
    <w:multiLevelType w:val="hybridMultilevel"/>
    <w:tmpl w:val="AE4873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1A4004D8"/>
    <w:multiLevelType w:val="hybridMultilevel"/>
    <w:tmpl w:val="88FA81D0"/>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2841D414"/>
    <w:multiLevelType w:val="hybridMultilevel"/>
    <w:tmpl w:val="1A78B1D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A7DBD7"/>
    <w:multiLevelType w:val="hybridMultilevel"/>
    <w:tmpl w:val="2C7A8B7A"/>
    <w:lvl w:ilvl="0">
      <w:start w:val="3"/>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DD960D"/>
    <w:multiLevelType w:val="hybridMultilevel"/>
    <w:tmpl w:val="F428363E"/>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74AB40"/>
    <w:multiLevelType w:val="hybridMultilevel"/>
    <w:tmpl w:val="12AEE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EFF5BAA"/>
    <w:multiLevelType w:val="hybridMultilevel"/>
    <w:tmpl w:val="1AC2E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F45176A"/>
    <w:multiLevelType w:val="multilevel"/>
    <w:tmpl w:val="C0F4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C457BF"/>
    <w:multiLevelType w:val="hybridMultilevel"/>
    <w:tmpl w:val="E354B0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1ADAF0"/>
    <w:multiLevelType w:val="hybridMultilevel"/>
    <w:tmpl w:val="1CC28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3AB85A14"/>
    <w:multiLevelType w:val="hybridMultilevel"/>
    <w:tmpl w:val="0040D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CF82BBE"/>
    <w:multiLevelType w:val="hybridMultilevel"/>
    <w:tmpl w:val="44AC040A"/>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6C25E6"/>
    <w:multiLevelType w:val="hybridMultilevel"/>
    <w:tmpl w:val="69A8BC10"/>
    <w:lvl w:ilvl="0">
      <w:start w:val="1"/>
      <w:numFmt w:val="bullet"/>
      <w:lvlText w:val=""/>
      <w:lvlJc w:val="left"/>
      <w:pPr>
        <w:tabs>
          <w:tab w:val="num" w:pos="787"/>
        </w:tabs>
        <w:ind w:left="787" w:hanging="360"/>
      </w:pPr>
      <w:rPr>
        <w:rFonts w:ascii="Symbol" w:hAnsi="Symbol" w:hint="default"/>
      </w:rPr>
    </w:lvl>
    <w:lvl w:ilvl="1" w:tentative="1">
      <w:start w:val="1"/>
      <w:numFmt w:val="bullet"/>
      <w:lvlText w:val="o"/>
      <w:lvlJc w:val="left"/>
      <w:pPr>
        <w:tabs>
          <w:tab w:val="num" w:pos="1507"/>
        </w:tabs>
        <w:ind w:left="1507" w:hanging="360"/>
      </w:pPr>
      <w:rPr>
        <w:rFonts w:ascii="Courier New" w:hAnsi="Courier New" w:hint="default"/>
      </w:rPr>
    </w:lvl>
    <w:lvl w:ilvl="2" w:tentative="1">
      <w:start w:val="1"/>
      <w:numFmt w:val="bullet"/>
      <w:lvlText w:val=""/>
      <w:lvlJc w:val="left"/>
      <w:pPr>
        <w:tabs>
          <w:tab w:val="num" w:pos="2227"/>
        </w:tabs>
        <w:ind w:left="2227" w:hanging="360"/>
      </w:pPr>
      <w:rPr>
        <w:rFonts w:ascii="Wingdings" w:hAnsi="Wingdings" w:hint="default"/>
      </w:rPr>
    </w:lvl>
    <w:lvl w:ilvl="3" w:tentative="1">
      <w:start w:val="1"/>
      <w:numFmt w:val="bullet"/>
      <w:lvlText w:val=""/>
      <w:lvlJc w:val="left"/>
      <w:pPr>
        <w:tabs>
          <w:tab w:val="num" w:pos="2947"/>
        </w:tabs>
        <w:ind w:left="2947" w:hanging="360"/>
      </w:pPr>
      <w:rPr>
        <w:rFonts w:ascii="Symbol" w:hAnsi="Symbol" w:hint="default"/>
      </w:rPr>
    </w:lvl>
    <w:lvl w:ilvl="4" w:tentative="1">
      <w:start w:val="1"/>
      <w:numFmt w:val="bullet"/>
      <w:lvlText w:val="o"/>
      <w:lvlJc w:val="left"/>
      <w:pPr>
        <w:tabs>
          <w:tab w:val="num" w:pos="3667"/>
        </w:tabs>
        <w:ind w:left="3667" w:hanging="360"/>
      </w:pPr>
      <w:rPr>
        <w:rFonts w:ascii="Courier New" w:hAnsi="Courier New" w:hint="default"/>
      </w:rPr>
    </w:lvl>
    <w:lvl w:ilvl="5" w:tentative="1">
      <w:start w:val="1"/>
      <w:numFmt w:val="bullet"/>
      <w:lvlText w:val=""/>
      <w:lvlJc w:val="left"/>
      <w:pPr>
        <w:tabs>
          <w:tab w:val="num" w:pos="4387"/>
        </w:tabs>
        <w:ind w:left="4387" w:hanging="360"/>
      </w:pPr>
      <w:rPr>
        <w:rFonts w:ascii="Wingdings" w:hAnsi="Wingdings" w:hint="default"/>
      </w:rPr>
    </w:lvl>
    <w:lvl w:ilvl="6" w:tentative="1">
      <w:start w:val="1"/>
      <w:numFmt w:val="bullet"/>
      <w:lvlText w:val=""/>
      <w:lvlJc w:val="left"/>
      <w:pPr>
        <w:tabs>
          <w:tab w:val="num" w:pos="5107"/>
        </w:tabs>
        <w:ind w:left="5107" w:hanging="360"/>
      </w:pPr>
      <w:rPr>
        <w:rFonts w:ascii="Symbol" w:hAnsi="Symbol" w:hint="default"/>
      </w:rPr>
    </w:lvl>
    <w:lvl w:ilvl="7" w:tentative="1">
      <w:start w:val="1"/>
      <w:numFmt w:val="bullet"/>
      <w:lvlText w:val="o"/>
      <w:lvlJc w:val="left"/>
      <w:pPr>
        <w:tabs>
          <w:tab w:val="num" w:pos="5827"/>
        </w:tabs>
        <w:ind w:left="5827" w:hanging="360"/>
      </w:pPr>
      <w:rPr>
        <w:rFonts w:ascii="Courier New" w:hAnsi="Courier New" w:hint="default"/>
      </w:rPr>
    </w:lvl>
    <w:lvl w:ilvl="8" w:tentative="1">
      <w:start w:val="1"/>
      <w:numFmt w:val="bullet"/>
      <w:lvlText w:val=""/>
      <w:lvlJc w:val="left"/>
      <w:pPr>
        <w:tabs>
          <w:tab w:val="num" w:pos="6547"/>
        </w:tabs>
        <w:ind w:left="6547" w:hanging="360"/>
      </w:pPr>
      <w:rPr>
        <w:rFonts w:ascii="Wingdings" w:hAnsi="Wingdings" w:hint="default"/>
      </w:rPr>
    </w:lvl>
  </w:abstractNum>
  <w:abstractNum w:abstractNumId="21">
    <w:nsid w:val="403D973B"/>
    <w:multiLevelType w:val="hybridMultilevel"/>
    <w:tmpl w:val="46128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0425EE3"/>
    <w:multiLevelType w:val="hybridMultilevel"/>
    <w:tmpl w:val="D9FC3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896DA8"/>
    <w:multiLevelType w:val="singleLevel"/>
    <w:tmpl w:val="04090001"/>
    <w:lvl w:ilvl="0">
      <w:start w:val="1"/>
      <w:numFmt w:val="bullet"/>
      <w:lvlText w:val=""/>
      <w:lvlJc w:val="left"/>
      <w:pPr>
        <w:ind w:left="720" w:hanging="360"/>
      </w:pPr>
      <w:rPr>
        <w:rFonts w:ascii="Symbol" w:hAnsi="Symbol" w:hint="default"/>
      </w:rPr>
    </w:lvl>
  </w:abstractNum>
  <w:abstractNum w:abstractNumId="24">
    <w:nsid w:val="427D08A4"/>
    <w:multiLevelType w:val="hybridMultilevel"/>
    <w:tmpl w:val="A1E68A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0"/>
      <w:numFmt w:val="bullet"/>
      <w:lvlText w:val="-"/>
      <w:lvlJc w:val="left"/>
      <w:pPr>
        <w:ind w:left="2700" w:hanging="72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39E244C"/>
    <w:multiLevelType w:val="hybridMultilevel"/>
    <w:tmpl w:val="2BD0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4FDB01F"/>
    <w:multiLevelType w:val="hybridMultilevel"/>
    <w:tmpl w:val="C192B8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B904E49"/>
    <w:multiLevelType w:val="hybridMultilevel"/>
    <w:tmpl w:val="2548A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6692FB2"/>
    <w:multiLevelType w:val="hybridMultilevel"/>
    <w:tmpl w:val="3F528E0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3">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5BD4A969"/>
    <w:multiLevelType w:val="hybridMultilevel"/>
    <w:tmpl w:val="B4187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C400C8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C920F79"/>
    <w:multiLevelType w:val="hybridMultilevel"/>
    <w:tmpl w:val="9558C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8640F98"/>
    <w:multiLevelType w:val="hybridMultilevel"/>
    <w:tmpl w:val="09A09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4">
    <w:nsid w:val="7AA01B27"/>
    <w:multiLevelType w:val="hybridMultilevel"/>
    <w:tmpl w:val="B030A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7AC93F81"/>
    <w:multiLevelType w:val="hybridMultilevel"/>
    <w:tmpl w:val="2280EE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EB962E9"/>
    <w:multiLevelType w:val="multilevel"/>
    <w:tmpl w:val="952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897670">
    <w:abstractNumId w:val="21"/>
  </w:num>
  <w:num w:numId="2" w16cid:durableId="777677782">
    <w:abstractNumId w:val="44"/>
  </w:num>
  <w:num w:numId="3" w16cid:durableId="1850753872">
    <w:abstractNumId w:val="10"/>
  </w:num>
  <w:num w:numId="4" w16cid:durableId="1949965974">
    <w:abstractNumId w:val="11"/>
  </w:num>
  <w:num w:numId="5" w16cid:durableId="99956748">
    <w:abstractNumId w:val="27"/>
  </w:num>
  <w:num w:numId="6" w16cid:durableId="996150058">
    <w:abstractNumId w:val="28"/>
  </w:num>
  <w:num w:numId="7" w16cid:durableId="1943876449">
    <w:abstractNumId w:val="4"/>
  </w:num>
  <w:num w:numId="8" w16cid:durableId="426392835">
    <w:abstractNumId w:val="1"/>
  </w:num>
  <w:num w:numId="9" w16cid:durableId="1017344976">
    <w:abstractNumId w:val="38"/>
  </w:num>
  <w:num w:numId="10" w16cid:durableId="643387855">
    <w:abstractNumId w:val="33"/>
  </w:num>
  <w:num w:numId="11" w16cid:durableId="1379935327">
    <w:abstractNumId w:val="37"/>
  </w:num>
  <w:num w:numId="12" w16cid:durableId="2006929689">
    <w:abstractNumId w:val="43"/>
  </w:num>
  <w:num w:numId="13" w16cid:durableId="1227952897">
    <w:abstractNumId w:val="41"/>
  </w:num>
  <w:num w:numId="14" w16cid:durableId="302195537">
    <w:abstractNumId w:val="3"/>
  </w:num>
  <w:num w:numId="15" w16cid:durableId="470904133">
    <w:abstractNumId w:val="17"/>
  </w:num>
  <w:num w:numId="16" w16cid:durableId="17586509">
    <w:abstractNumId w:val="40"/>
  </w:num>
  <w:num w:numId="17" w16cid:durableId="1639215248">
    <w:abstractNumId w:val="39"/>
  </w:num>
  <w:num w:numId="18" w16cid:durableId="2071222610">
    <w:abstractNumId w:val="31"/>
  </w:num>
  <w:num w:numId="19" w16cid:durableId="450321192">
    <w:abstractNumId w:val="8"/>
  </w:num>
  <w:num w:numId="20" w16cid:durableId="329330561">
    <w:abstractNumId w:val="32"/>
  </w:num>
  <w:num w:numId="21" w16cid:durableId="1015421650">
    <w:abstractNumId w:val="0"/>
  </w:num>
  <w:num w:numId="22" w16cid:durableId="921454503">
    <w:abstractNumId w:val="23"/>
  </w:num>
  <w:num w:numId="23" w16cid:durableId="954672126">
    <w:abstractNumId w:val="30"/>
  </w:num>
  <w:num w:numId="24" w16cid:durableId="1046949369">
    <w:abstractNumId w:val="20"/>
  </w:num>
  <w:num w:numId="25" w16cid:durableId="1589148733">
    <w:abstractNumId w:val="14"/>
  </w:num>
  <w:num w:numId="26" w16cid:durableId="1823234910">
    <w:abstractNumId w:val="46"/>
  </w:num>
  <w:num w:numId="27" w16cid:durableId="774984017">
    <w:abstractNumId w:val="24"/>
  </w:num>
  <w:num w:numId="28" w16cid:durableId="258410249">
    <w:abstractNumId w:val="35"/>
  </w:num>
  <w:num w:numId="29" w16cid:durableId="275525156">
    <w:abstractNumId w:val="22"/>
  </w:num>
  <w:num w:numId="30" w16cid:durableId="264775970">
    <w:abstractNumId w:val="36"/>
  </w:num>
  <w:num w:numId="31" w16cid:durableId="1307009222">
    <w:abstractNumId w:val="2"/>
  </w:num>
  <w:num w:numId="32" w16cid:durableId="1856767741">
    <w:abstractNumId w:val="19"/>
  </w:num>
  <w:num w:numId="33" w16cid:durableId="1141581587">
    <w:abstractNumId w:val="6"/>
  </w:num>
  <w:num w:numId="34" w16cid:durableId="1327050415">
    <w:abstractNumId w:val="26"/>
  </w:num>
  <w:num w:numId="35" w16cid:durableId="877164003">
    <w:abstractNumId w:val="5"/>
  </w:num>
  <w:num w:numId="36" w16cid:durableId="1326475017">
    <w:abstractNumId w:val="7"/>
  </w:num>
  <w:num w:numId="37" w16cid:durableId="562060656">
    <w:abstractNumId w:val="9"/>
  </w:num>
  <w:num w:numId="38" w16cid:durableId="1326855504">
    <w:abstractNumId w:val="15"/>
  </w:num>
  <w:num w:numId="39" w16cid:durableId="1870949610">
    <w:abstractNumId w:val="42"/>
  </w:num>
  <w:num w:numId="40" w16cid:durableId="360403256">
    <w:abstractNumId w:val="18"/>
  </w:num>
  <w:num w:numId="41" w16cid:durableId="480733190">
    <w:abstractNumId w:val="34"/>
  </w:num>
  <w:num w:numId="42" w16cid:durableId="1780837567">
    <w:abstractNumId w:val="12"/>
  </w:num>
  <w:num w:numId="43" w16cid:durableId="760106429">
    <w:abstractNumId w:val="25"/>
  </w:num>
  <w:num w:numId="44" w16cid:durableId="410471980">
    <w:abstractNumId w:val="29"/>
  </w:num>
  <w:num w:numId="45" w16cid:durableId="1136676232">
    <w:abstractNumId w:val="16"/>
  </w:num>
  <w:num w:numId="46" w16cid:durableId="836382072">
    <w:abstractNumId w:val="13"/>
  </w:num>
  <w:num w:numId="47" w16cid:durableId="33338293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D8C"/>
    <w:rsid w:val="0001417B"/>
    <w:rsid w:val="00020964"/>
    <w:rsid w:val="00022A22"/>
    <w:rsid w:val="00022E04"/>
    <w:rsid w:val="0003544D"/>
    <w:rsid w:val="00044734"/>
    <w:rsid w:val="0004515C"/>
    <w:rsid w:val="00050FA8"/>
    <w:rsid w:val="000521BB"/>
    <w:rsid w:val="000523FD"/>
    <w:rsid w:val="0005503B"/>
    <w:rsid w:val="00056086"/>
    <w:rsid w:val="0005782E"/>
    <w:rsid w:val="0006105C"/>
    <w:rsid w:val="0006117D"/>
    <w:rsid w:val="00065472"/>
    <w:rsid w:val="00066424"/>
    <w:rsid w:val="00067181"/>
    <w:rsid w:val="00072018"/>
    <w:rsid w:val="00072213"/>
    <w:rsid w:val="000758E0"/>
    <w:rsid w:val="00083D9A"/>
    <w:rsid w:val="0008462B"/>
    <w:rsid w:val="0009304C"/>
    <w:rsid w:val="000A1511"/>
    <w:rsid w:val="000A35BD"/>
    <w:rsid w:val="000B0D84"/>
    <w:rsid w:val="000B1716"/>
    <w:rsid w:val="000B2BF2"/>
    <w:rsid w:val="000B31C5"/>
    <w:rsid w:val="000B5CC2"/>
    <w:rsid w:val="000C02F8"/>
    <w:rsid w:val="000D0D76"/>
    <w:rsid w:val="000D36F1"/>
    <w:rsid w:val="000D6C27"/>
    <w:rsid w:val="000E018E"/>
    <w:rsid w:val="000E25D2"/>
    <w:rsid w:val="000F57F2"/>
    <w:rsid w:val="00100793"/>
    <w:rsid w:val="00102670"/>
    <w:rsid w:val="00103E4A"/>
    <w:rsid w:val="001050D2"/>
    <w:rsid w:val="0011096A"/>
    <w:rsid w:val="0011495B"/>
    <w:rsid w:val="00116153"/>
    <w:rsid w:val="00124054"/>
    <w:rsid w:val="0012601A"/>
    <w:rsid w:val="0013121A"/>
    <w:rsid w:val="00142577"/>
    <w:rsid w:val="001448B3"/>
    <w:rsid w:val="00150375"/>
    <w:rsid w:val="00165A19"/>
    <w:rsid w:val="001668D4"/>
    <w:rsid w:val="00170478"/>
    <w:rsid w:val="00172DA4"/>
    <w:rsid w:val="00181AB5"/>
    <w:rsid w:val="0018770F"/>
    <w:rsid w:val="001958EA"/>
    <w:rsid w:val="001A00D8"/>
    <w:rsid w:val="001A1816"/>
    <w:rsid w:val="001A3487"/>
    <w:rsid w:val="001A6FF0"/>
    <w:rsid w:val="001B0C42"/>
    <w:rsid w:val="001B1006"/>
    <w:rsid w:val="001B4BC6"/>
    <w:rsid w:val="001B4F66"/>
    <w:rsid w:val="001B7C2D"/>
    <w:rsid w:val="001C1C84"/>
    <w:rsid w:val="001C276E"/>
    <w:rsid w:val="001C5D76"/>
    <w:rsid w:val="001C7D06"/>
    <w:rsid w:val="001D5BB3"/>
    <w:rsid w:val="001D6376"/>
    <w:rsid w:val="001E1B4F"/>
    <w:rsid w:val="001E1CBC"/>
    <w:rsid w:val="001E6294"/>
    <w:rsid w:val="001E6994"/>
    <w:rsid w:val="0020218B"/>
    <w:rsid w:val="00203B70"/>
    <w:rsid w:val="002045AC"/>
    <w:rsid w:val="00210647"/>
    <w:rsid w:val="002107DF"/>
    <w:rsid w:val="00217305"/>
    <w:rsid w:val="0021746A"/>
    <w:rsid w:val="0022758B"/>
    <w:rsid w:val="0023045B"/>
    <w:rsid w:val="0023059D"/>
    <w:rsid w:val="002422BB"/>
    <w:rsid w:val="00243D60"/>
    <w:rsid w:val="00244168"/>
    <w:rsid w:val="00251266"/>
    <w:rsid w:val="00251FC6"/>
    <w:rsid w:val="00253174"/>
    <w:rsid w:val="00254332"/>
    <w:rsid w:val="002622AF"/>
    <w:rsid w:val="0026322D"/>
    <w:rsid w:val="00265142"/>
    <w:rsid w:val="002701A7"/>
    <w:rsid w:val="002748F6"/>
    <w:rsid w:val="00274EE2"/>
    <w:rsid w:val="002755D9"/>
    <w:rsid w:val="002812E2"/>
    <w:rsid w:val="0029254F"/>
    <w:rsid w:val="00292F76"/>
    <w:rsid w:val="00292FC8"/>
    <w:rsid w:val="00294D71"/>
    <w:rsid w:val="002951DD"/>
    <w:rsid w:val="002A2F09"/>
    <w:rsid w:val="002A5177"/>
    <w:rsid w:val="002C0F70"/>
    <w:rsid w:val="002D6A50"/>
    <w:rsid w:val="002D778F"/>
    <w:rsid w:val="002E0EB8"/>
    <w:rsid w:val="002E20D9"/>
    <w:rsid w:val="002E3C13"/>
    <w:rsid w:val="002E68D1"/>
    <w:rsid w:val="002E7895"/>
    <w:rsid w:val="002F3742"/>
    <w:rsid w:val="0030206C"/>
    <w:rsid w:val="00303706"/>
    <w:rsid w:val="00304563"/>
    <w:rsid w:val="00315F01"/>
    <w:rsid w:val="00321D36"/>
    <w:rsid w:val="003227DB"/>
    <w:rsid w:val="003408D6"/>
    <w:rsid w:val="00340E1E"/>
    <w:rsid w:val="00343D63"/>
    <w:rsid w:val="0035424E"/>
    <w:rsid w:val="003569D2"/>
    <w:rsid w:val="00357A14"/>
    <w:rsid w:val="00360EE6"/>
    <w:rsid w:val="00363019"/>
    <w:rsid w:val="00367CC3"/>
    <w:rsid w:val="00370138"/>
    <w:rsid w:val="003747FE"/>
    <w:rsid w:val="003756F9"/>
    <w:rsid w:val="00380507"/>
    <w:rsid w:val="00384D1A"/>
    <w:rsid w:val="0038516F"/>
    <w:rsid w:val="003910B7"/>
    <w:rsid w:val="0039286D"/>
    <w:rsid w:val="00392B9D"/>
    <w:rsid w:val="003A0746"/>
    <w:rsid w:val="003A44B1"/>
    <w:rsid w:val="003A4CD0"/>
    <w:rsid w:val="003B0481"/>
    <w:rsid w:val="003B390D"/>
    <w:rsid w:val="003C016B"/>
    <w:rsid w:val="003C74A7"/>
    <w:rsid w:val="003D31C3"/>
    <w:rsid w:val="003D492A"/>
    <w:rsid w:val="003D717B"/>
    <w:rsid w:val="003E10F1"/>
    <w:rsid w:val="003E3096"/>
    <w:rsid w:val="003F3585"/>
    <w:rsid w:val="00401A40"/>
    <w:rsid w:val="00406A6A"/>
    <w:rsid w:val="00407FAB"/>
    <w:rsid w:val="004139E9"/>
    <w:rsid w:val="00414AAE"/>
    <w:rsid w:val="00417E5B"/>
    <w:rsid w:val="00421A88"/>
    <w:rsid w:val="00425B68"/>
    <w:rsid w:val="00426CB5"/>
    <w:rsid w:val="004275E8"/>
    <w:rsid w:val="004337F8"/>
    <w:rsid w:val="00443F58"/>
    <w:rsid w:val="0044588A"/>
    <w:rsid w:val="00452AEE"/>
    <w:rsid w:val="00454618"/>
    <w:rsid w:val="004572E3"/>
    <w:rsid w:val="0045749C"/>
    <w:rsid w:val="004576F1"/>
    <w:rsid w:val="00464B77"/>
    <w:rsid w:val="00464D8C"/>
    <w:rsid w:val="00465FDC"/>
    <w:rsid w:val="00474126"/>
    <w:rsid w:val="004746FF"/>
    <w:rsid w:val="00482FC8"/>
    <w:rsid w:val="00485F89"/>
    <w:rsid w:val="004860AC"/>
    <w:rsid w:val="00495134"/>
    <w:rsid w:val="004A325B"/>
    <w:rsid w:val="004A6008"/>
    <w:rsid w:val="004B185F"/>
    <w:rsid w:val="004B1F69"/>
    <w:rsid w:val="004B57D9"/>
    <w:rsid w:val="004B799A"/>
    <w:rsid w:val="004C2AA7"/>
    <w:rsid w:val="004C3E0C"/>
    <w:rsid w:val="004D1FE2"/>
    <w:rsid w:val="004D53FC"/>
    <w:rsid w:val="004D5B2C"/>
    <w:rsid w:val="004D65CF"/>
    <w:rsid w:val="004D6884"/>
    <w:rsid w:val="004E065A"/>
    <w:rsid w:val="004E1CC8"/>
    <w:rsid w:val="004E3BEE"/>
    <w:rsid w:val="004E69AF"/>
    <w:rsid w:val="004E76CB"/>
    <w:rsid w:val="004F0236"/>
    <w:rsid w:val="004F2241"/>
    <w:rsid w:val="004F23E7"/>
    <w:rsid w:val="004F2C7B"/>
    <w:rsid w:val="00502CEF"/>
    <w:rsid w:val="005057FE"/>
    <w:rsid w:val="00532951"/>
    <w:rsid w:val="00534BA2"/>
    <w:rsid w:val="00534DD2"/>
    <w:rsid w:val="00537819"/>
    <w:rsid w:val="00540DE0"/>
    <w:rsid w:val="00542C4B"/>
    <w:rsid w:val="005450D5"/>
    <w:rsid w:val="00546CAC"/>
    <w:rsid w:val="005521FB"/>
    <w:rsid w:val="005623EC"/>
    <w:rsid w:val="0056348C"/>
    <w:rsid w:val="00567431"/>
    <w:rsid w:val="00570135"/>
    <w:rsid w:val="00573B75"/>
    <w:rsid w:val="00574C69"/>
    <w:rsid w:val="005776F1"/>
    <w:rsid w:val="00581E68"/>
    <w:rsid w:val="0058236F"/>
    <w:rsid w:val="00584145"/>
    <w:rsid w:val="00585000"/>
    <w:rsid w:val="0058FB1A"/>
    <w:rsid w:val="0059423B"/>
    <w:rsid w:val="00596642"/>
    <w:rsid w:val="005A4221"/>
    <w:rsid w:val="005A757B"/>
    <w:rsid w:val="005B040D"/>
    <w:rsid w:val="005B325A"/>
    <w:rsid w:val="005C34C8"/>
    <w:rsid w:val="005C6879"/>
    <w:rsid w:val="005C6D70"/>
    <w:rsid w:val="005C7FA9"/>
    <w:rsid w:val="005D1A82"/>
    <w:rsid w:val="005D40E3"/>
    <w:rsid w:val="005D7D3D"/>
    <w:rsid w:val="005E6CD2"/>
    <w:rsid w:val="005E7282"/>
    <w:rsid w:val="005F6813"/>
    <w:rsid w:val="00603B00"/>
    <w:rsid w:val="00607E2C"/>
    <w:rsid w:val="00611178"/>
    <w:rsid w:val="00612CEF"/>
    <w:rsid w:val="00613EC8"/>
    <w:rsid w:val="00615B66"/>
    <w:rsid w:val="006239D5"/>
    <w:rsid w:val="006308B6"/>
    <w:rsid w:val="0063400F"/>
    <w:rsid w:val="0063646A"/>
    <w:rsid w:val="00642FC9"/>
    <w:rsid w:val="00643031"/>
    <w:rsid w:val="00643534"/>
    <w:rsid w:val="00643F48"/>
    <w:rsid w:val="0064674D"/>
    <w:rsid w:val="00656BF6"/>
    <w:rsid w:val="006642F9"/>
    <w:rsid w:val="0066603C"/>
    <w:rsid w:val="00670D9C"/>
    <w:rsid w:val="0067298D"/>
    <w:rsid w:val="0067322F"/>
    <w:rsid w:val="006737ED"/>
    <w:rsid w:val="006742F1"/>
    <w:rsid w:val="006747A1"/>
    <w:rsid w:val="00685080"/>
    <w:rsid w:val="006863E3"/>
    <w:rsid w:val="0069045D"/>
    <w:rsid w:val="00691C0C"/>
    <w:rsid w:val="006A07ED"/>
    <w:rsid w:val="006A1646"/>
    <w:rsid w:val="006B3DCB"/>
    <w:rsid w:val="006B5AE7"/>
    <w:rsid w:val="006C0307"/>
    <w:rsid w:val="006D3819"/>
    <w:rsid w:val="006D44C0"/>
    <w:rsid w:val="006D71AF"/>
    <w:rsid w:val="006E1307"/>
    <w:rsid w:val="006E535B"/>
    <w:rsid w:val="006F0AE0"/>
    <w:rsid w:val="006F10A4"/>
    <w:rsid w:val="006F2065"/>
    <w:rsid w:val="006F5607"/>
    <w:rsid w:val="006F6BD8"/>
    <w:rsid w:val="00702DCE"/>
    <w:rsid w:val="00706088"/>
    <w:rsid w:val="00710D7A"/>
    <w:rsid w:val="00714AA7"/>
    <w:rsid w:val="0071558C"/>
    <w:rsid w:val="00734C58"/>
    <w:rsid w:val="0074089C"/>
    <w:rsid w:val="007431CA"/>
    <w:rsid w:val="00747D83"/>
    <w:rsid w:val="0075072A"/>
    <w:rsid w:val="00751F52"/>
    <w:rsid w:val="007573E8"/>
    <w:rsid w:val="00757F46"/>
    <w:rsid w:val="007605BE"/>
    <w:rsid w:val="00762C0F"/>
    <w:rsid w:val="00763A1C"/>
    <w:rsid w:val="00767711"/>
    <w:rsid w:val="007741A2"/>
    <w:rsid w:val="00782EA5"/>
    <w:rsid w:val="007844C5"/>
    <w:rsid w:val="007922F4"/>
    <w:rsid w:val="007A017F"/>
    <w:rsid w:val="007A0B6C"/>
    <w:rsid w:val="007A1DDA"/>
    <w:rsid w:val="007A380A"/>
    <w:rsid w:val="007A6017"/>
    <w:rsid w:val="007B5F1D"/>
    <w:rsid w:val="007B71CF"/>
    <w:rsid w:val="007D2906"/>
    <w:rsid w:val="007D3D8A"/>
    <w:rsid w:val="007D4249"/>
    <w:rsid w:val="007D53C1"/>
    <w:rsid w:val="007E5220"/>
    <w:rsid w:val="007F2576"/>
    <w:rsid w:val="007F5046"/>
    <w:rsid w:val="007F5655"/>
    <w:rsid w:val="00803DEF"/>
    <w:rsid w:val="00803DF4"/>
    <w:rsid w:val="00804CD2"/>
    <w:rsid w:val="00807173"/>
    <w:rsid w:val="008116F1"/>
    <w:rsid w:val="00812150"/>
    <w:rsid w:val="0083214E"/>
    <w:rsid w:val="008371B4"/>
    <w:rsid w:val="00840C3D"/>
    <w:rsid w:val="008451ED"/>
    <w:rsid w:val="00847470"/>
    <w:rsid w:val="008474B1"/>
    <w:rsid w:val="0084DE5E"/>
    <w:rsid w:val="00852330"/>
    <w:rsid w:val="00862324"/>
    <w:rsid w:val="00862566"/>
    <w:rsid w:val="00862920"/>
    <w:rsid w:val="00862CD7"/>
    <w:rsid w:val="008636DF"/>
    <w:rsid w:val="0086434E"/>
    <w:rsid w:val="008746F5"/>
    <w:rsid w:val="00880630"/>
    <w:rsid w:val="008839C8"/>
    <w:rsid w:val="00890ACD"/>
    <w:rsid w:val="008A0919"/>
    <w:rsid w:val="008A62AE"/>
    <w:rsid w:val="008B0CD0"/>
    <w:rsid w:val="008B3D6D"/>
    <w:rsid w:val="008C0244"/>
    <w:rsid w:val="008C3526"/>
    <w:rsid w:val="008C497E"/>
    <w:rsid w:val="008D16E6"/>
    <w:rsid w:val="008D2D36"/>
    <w:rsid w:val="008D335F"/>
    <w:rsid w:val="008E365E"/>
    <w:rsid w:val="008E5F63"/>
    <w:rsid w:val="008F0126"/>
    <w:rsid w:val="008F1ECC"/>
    <w:rsid w:val="008F3727"/>
    <w:rsid w:val="00902340"/>
    <w:rsid w:val="00903777"/>
    <w:rsid w:val="00903CE3"/>
    <w:rsid w:val="00907CF7"/>
    <w:rsid w:val="00916C00"/>
    <w:rsid w:val="0091868C"/>
    <w:rsid w:val="00923F9E"/>
    <w:rsid w:val="0092581B"/>
    <w:rsid w:val="00925F89"/>
    <w:rsid w:val="0093188B"/>
    <w:rsid w:val="00935F1B"/>
    <w:rsid w:val="00943F1B"/>
    <w:rsid w:val="00947DFD"/>
    <w:rsid w:val="00961AEB"/>
    <w:rsid w:val="00971AA0"/>
    <w:rsid w:val="00973704"/>
    <w:rsid w:val="00973F54"/>
    <w:rsid w:val="009745DA"/>
    <w:rsid w:val="00974864"/>
    <w:rsid w:val="00980DA7"/>
    <w:rsid w:val="009846B0"/>
    <w:rsid w:val="009921E6"/>
    <w:rsid w:val="009B2771"/>
    <w:rsid w:val="009C184A"/>
    <w:rsid w:val="009C24AA"/>
    <w:rsid w:val="009C2DBC"/>
    <w:rsid w:val="009C5566"/>
    <w:rsid w:val="009D0D28"/>
    <w:rsid w:val="009D1172"/>
    <w:rsid w:val="009D2ED7"/>
    <w:rsid w:val="009D4F1B"/>
    <w:rsid w:val="009E2E1F"/>
    <w:rsid w:val="009E796B"/>
    <w:rsid w:val="009F5380"/>
    <w:rsid w:val="00A105F0"/>
    <w:rsid w:val="00A14D84"/>
    <w:rsid w:val="00A21E71"/>
    <w:rsid w:val="00A230F2"/>
    <w:rsid w:val="00A252C3"/>
    <w:rsid w:val="00A2570A"/>
    <w:rsid w:val="00A258F4"/>
    <w:rsid w:val="00A27A35"/>
    <w:rsid w:val="00A415DF"/>
    <w:rsid w:val="00A47F87"/>
    <w:rsid w:val="00A50F50"/>
    <w:rsid w:val="00A52277"/>
    <w:rsid w:val="00A5336F"/>
    <w:rsid w:val="00A563F1"/>
    <w:rsid w:val="00A6394D"/>
    <w:rsid w:val="00A64AFC"/>
    <w:rsid w:val="00A654C8"/>
    <w:rsid w:val="00A76663"/>
    <w:rsid w:val="00A77BED"/>
    <w:rsid w:val="00A96154"/>
    <w:rsid w:val="00AA14EF"/>
    <w:rsid w:val="00AA17C7"/>
    <w:rsid w:val="00AA5164"/>
    <w:rsid w:val="00AA7189"/>
    <w:rsid w:val="00AA780C"/>
    <w:rsid w:val="00AB252B"/>
    <w:rsid w:val="00AB25A1"/>
    <w:rsid w:val="00AB446B"/>
    <w:rsid w:val="00AC13D6"/>
    <w:rsid w:val="00AC1730"/>
    <w:rsid w:val="00AC3B39"/>
    <w:rsid w:val="00AD056F"/>
    <w:rsid w:val="00AD1043"/>
    <w:rsid w:val="00AD13EF"/>
    <w:rsid w:val="00AE5C27"/>
    <w:rsid w:val="00AF408B"/>
    <w:rsid w:val="00AF7688"/>
    <w:rsid w:val="00B01519"/>
    <w:rsid w:val="00B01D60"/>
    <w:rsid w:val="00B04763"/>
    <w:rsid w:val="00B05767"/>
    <w:rsid w:val="00B05A31"/>
    <w:rsid w:val="00B05C13"/>
    <w:rsid w:val="00B11A71"/>
    <w:rsid w:val="00B13BFA"/>
    <w:rsid w:val="00B13E22"/>
    <w:rsid w:val="00B144A8"/>
    <w:rsid w:val="00B15045"/>
    <w:rsid w:val="00B17AE0"/>
    <w:rsid w:val="00B17DE6"/>
    <w:rsid w:val="00B2610E"/>
    <w:rsid w:val="00B27EAA"/>
    <w:rsid w:val="00B36EE1"/>
    <w:rsid w:val="00B40116"/>
    <w:rsid w:val="00B41CFB"/>
    <w:rsid w:val="00B441D4"/>
    <w:rsid w:val="00B4460A"/>
    <w:rsid w:val="00B51038"/>
    <w:rsid w:val="00B5478B"/>
    <w:rsid w:val="00B548C9"/>
    <w:rsid w:val="00B57E46"/>
    <w:rsid w:val="00B62FDD"/>
    <w:rsid w:val="00B6489B"/>
    <w:rsid w:val="00B674D8"/>
    <w:rsid w:val="00B7209B"/>
    <w:rsid w:val="00B74BE8"/>
    <w:rsid w:val="00B74E0B"/>
    <w:rsid w:val="00B76B3A"/>
    <w:rsid w:val="00B831BC"/>
    <w:rsid w:val="00B85999"/>
    <w:rsid w:val="00B85F6B"/>
    <w:rsid w:val="00B86866"/>
    <w:rsid w:val="00B9282A"/>
    <w:rsid w:val="00B9572B"/>
    <w:rsid w:val="00B973ED"/>
    <w:rsid w:val="00BA23B0"/>
    <w:rsid w:val="00BA7D1E"/>
    <w:rsid w:val="00BB3ED1"/>
    <w:rsid w:val="00BC52A9"/>
    <w:rsid w:val="00BC7A50"/>
    <w:rsid w:val="00BE5A49"/>
    <w:rsid w:val="00BE6D52"/>
    <w:rsid w:val="00BE7ECE"/>
    <w:rsid w:val="00BF42FB"/>
    <w:rsid w:val="00BF62CD"/>
    <w:rsid w:val="00C0541C"/>
    <w:rsid w:val="00C07799"/>
    <w:rsid w:val="00C07A49"/>
    <w:rsid w:val="00C2310C"/>
    <w:rsid w:val="00C24A90"/>
    <w:rsid w:val="00C36223"/>
    <w:rsid w:val="00C37749"/>
    <w:rsid w:val="00C42234"/>
    <w:rsid w:val="00C46B3C"/>
    <w:rsid w:val="00C506D9"/>
    <w:rsid w:val="00C63CB5"/>
    <w:rsid w:val="00C651F6"/>
    <w:rsid w:val="00C663E0"/>
    <w:rsid w:val="00C70CDA"/>
    <w:rsid w:val="00C80D59"/>
    <w:rsid w:val="00C86108"/>
    <w:rsid w:val="00C86874"/>
    <w:rsid w:val="00C8687F"/>
    <w:rsid w:val="00C90D16"/>
    <w:rsid w:val="00C92592"/>
    <w:rsid w:val="00C92BD6"/>
    <w:rsid w:val="00C94513"/>
    <w:rsid w:val="00C947F3"/>
    <w:rsid w:val="00C94DB0"/>
    <w:rsid w:val="00C9500F"/>
    <w:rsid w:val="00C956B4"/>
    <w:rsid w:val="00CA0499"/>
    <w:rsid w:val="00CA21D5"/>
    <w:rsid w:val="00CA2B5F"/>
    <w:rsid w:val="00CA6B47"/>
    <w:rsid w:val="00CB2831"/>
    <w:rsid w:val="00CB45F4"/>
    <w:rsid w:val="00CC5DCF"/>
    <w:rsid w:val="00CD07A6"/>
    <w:rsid w:val="00CE2606"/>
    <w:rsid w:val="00CE3445"/>
    <w:rsid w:val="00CE3691"/>
    <w:rsid w:val="00CE4B32"/>
    <w:rsid w:val="00CF0D3D"/>
    <w:rsid w:val="00CF2E88"/>
    <w:rsid w:val="00CF4757"/>
    <w:rsid w:val="00D10F55"/>
    <w:rsid w:val="00D1225D"/>
    <w:rsid w:val="00D14211"/>
    <w:rsid w:val="00D16BD1"/>
    <w:rsid w:val="00D16FC5"/>
    <w:rsid w:val="00D1766C"/>
    <w:rsid w:val="00D340C0"/>
    <w:rsid w:val="00D3540E"/>
    <w:rsid w:val="00D41026"/>
    <w:rsid w:val="00D42AA3"/>
    <w:rsid w:val="00D4568E"/>
    <w:rsid w:val="00D57157"/>
    <w:rsid w:val="00D64142"/>
    <w:rsid w:val="00D7567D"/>
    <w:rsid w:val="00D8306F"/>
    <w:rsid w:val="00D8650A"/>
    <w:rsid w:val="00D87302"/>
    <w:rsid w:val="00D91E68"/>
    <w:rsid w:val="00D97BFF"/>
    <w:rsid w:val="00DA6E89"/>
    <w:rsid w:val="00DB047E"/>
    <w:rsid w:val="00DB14EA"/>
    <w:rsid w:val="00DB31F2"/>
    <w:rsid w:val="00DB564A"/>
    <w:rsid w:val="00DB5C49"/>
    <w:rsid w:val="00DB68B1"/>
    <w:rsid w:val="00DC40E7"/>
    <w:rsid w:val="00DC658A"/>
    <w:rsid w:val="00DD0981"/>
    <w:rsid w:val="00DD0CA5"/>
    <w:rsid w:val="00DD5103"/>
    <w:rsid w:val="00DE39C5"/>
    <w:rsid w:val="00DE7114"/>
    <w:rsid w:val="00DF2516"/>
    <w:rsid w:val="00DF3FF0"/>
    <w:rsid w:val="00DF78EF"/>
    <w:rsid w:val="00E004F9"/>
    <w:rsid w:val="00E021F9"/>
    <w:rsid w:val="00E02F94"/>
    <w:rsid w:val="00E04036"/>
    <w:rsid w:val="00E07534"/>
    <w:rsid w:val="00E075FB"/>
    <w:rsid w:val="00E123E7"/>
    <w:rsid w:val="00E12BB9"/>
    <w:rsid w:val="00E15492"/>
    <w:rsid w:val="00E1588C"/>
    <w:rsid w:val="00E27AF4"/>
    <w:rsid w:val="00E330D3"/>
    <w:rsid w:val="00E347C4"/>
    <w:rsid w:val="00E41333"/>
    <w:rsid w:val="00E42CFB"/>
    <w:rsid w:val="00E43E1E"/>
    <w:rsid w:val="00E473D2"/>
    <w:rsid w:val="00E49ED0"/>
    <w:rsid w:val="00E500D1"/>
    <w:rsid w:val="00E51310"/>
    <w:rsid w:val="00E54927"/>
    <w:rsid w:val="00E65769"/>
    <w:rsid w:val="00E73264"/>
    <w:rsid w:val="00E76CB3"/>
    <w:rsid w:val="00E7784C"/>
    <w:rsid w:val="00E86839"/>
    <w:rsid w:val="00E90DD5"/>
    <w:rsid w:val="00E95010"/>
    <w:rsid w:val="00EB2D77"/>
    <w:rsid w:val="00EB5A9D"/>
    <w:rsid w:val="00EB62E4"/>
    <w:rsid w:val="00EB7055"/>
    <w:rsid w:val="00EB76C1"/>
    <w:rsid w:val="00ED3E9F"/>
    <w:rsid w:val="00EE3935"/>
    <w:rsid w:val="00EE732A"/>
    <w:rsid w:val="00EF0033"/>
    <w:rsid w:val="00EF1925"/>
    <w:rsid w:val="00EF3928"/>
    <w:rsid w:val="00F00370"/>
    <w:rsid w:val="00F025B6"/>
    <w:rsid w:val="00F17023"/>
    <w:rsid w:val="00F2086C"/>
    <w:rsid w:val="00F222F7"/>
    <w:rsid w:val="00F25A49"/>
    <w:rsid w:val="00F26DB6"/>
    <w:rsid w:val="00F360C0"/>
    <w:rsid w:val="00F439C5"/>
    <w:rsid w:val="00F51D2C"/>
    <w:rsid w:val="00F530AA"/>
    <w:rsid w:val="00F532CC"/>
    <w:rsid w:val="00F56BE2"/>
    <w:rsid w:val="00F646AA"/>
    <w:rsid w:val="00F67E12"/>
    <w:rsid w:val="00F844F6"/>
    <w:rsid w:val="00FA091C"/>
    <w:rsid w:val="00FA44C8"/>
    <w:rsid w:val="00FA4B96"/>
    <w:rsid w:val="00FC0C89"/>
    <w:rsid w:val="00FC3723"/>
    <w:rsid w:val="00FC5B92"/>
    <w:rsid w:val="00FC69EC"/>
    <w:rsid w:val="00FD18AE"/>
    <w:rsid w:val="00FD19A7"/>
    <w:rsid w:val="00FD3F77"/>
    <w:rsid w:val="00FE0D8F"/>
    <w:rsid w:val="00FE3931"/>
    <w:rsid w:val="00FE4BEB"/>
    <w:rsid w:val="00FE6490"/>
    <w:rsid w:val="00FE6D99"/>
    <w:rsid w:val="00FE6EAD"/>
    <w:rsid w:val="00FF5FF5"/>
    <w:rsid w:val="00FF77FD"/>
    <w:rsid w:val="015B32E2"/>
    <w:rsid w:val="0255206E"/>
    <w:rsid w:val="02736EC8"/>
    <w:rsid w:val="02A7B6AD"/>
    <w:rsid w:val="03473998"/>
    <w:rsid w:val="03704CC7"/>
    <w:rsid w:val="03C748D6"/>
    <w:rsid w:val="041EE39B"/>
    <w:rsid w:val="044B9AEF"/>
    <w:rsid w:val="04C0E572"/>
    <w:rsid w:val="04EBA99D"/>
    <w:rsid w:val="04ED334F"/>
    <w:rsid w:val="050BB881"/>
    <w:rsid w:val="0514BE40"/>
    <w:rsid w:val="0558863F"/>
    <w:rsid w:val="05EE9B33"/>
    <w:rsid w:val="06625F22"/>
    <w:rsid w:val="06739AF4"/>
    <w:rsid w:val="06DFFF0C"/>
    <w:rsid w:val="072F876C"/>
    <w:rsid w:val="0764312E"/>
    <w:rsid w:val="07DF45AA"/>
    <w:rsid w:val="0889647E"/>
    <w:rsid w:val="08912525"/>
    <w:rsid w:val="0901800D"/>
    <w:rsid w:val="09218D7A"/>
    <w:rsid w:val="0938346F"/>
    <w:rsid w:val="098CCEB1"/>
    <w:rsid w:val="09C7C723"/>
    <w:rsid w:val="0A1E4473"/>
    <w:rsid w:val="0A2BF762"/>
    <w:rsid w:val="0A6EBF03"/>
    <w:rsid w:val="0AAF1C61"/>
    <w:rsid w:val="0B512DBD"/>
    <w:rsid w:val="0C393C65"/>
    <w:rsid w:val="0C8668F0"/>
    <w:rsid w:val="0C912AE3"/>
    <w:rsid w:val="0CCBDE9E"/>
    <w:rsid w:val="0CE98D55"/>
    <w:rsid w:val="0D639824"/>
    <w:rsid w:val="0DA0EA1A"/>
    <w:rsid w:val="0DD1A92A"/>
    <w:rsid w:val="0DFAD7B5"/>
    <w:rsid w:val="0E4692C5"/>
    <w:rsid w:val="0E58B7F0"/>
    <w:rsid w:val="0E70217E"/>
    <w:rsid w:val="0E9B3846"/>
    <w:rsid w:val="0EB8B82B"/>
    <w:rsid w:val="0EDB9C3A"/>
    <w:rsid w:val="0F1B769B"/>
    <w:rsid w:val="102534A4"/>
    <w:rsid w:val="105739AC"/>
    <w:rsid w:val="106B6A80"/>
    <w:rsid w:val="108753E6"/>
    <w:rsid w:val="1089E4EA"/>
    <w:rsid w:val="11036BAE"/>
    <w:rsid w:val="11601B49"/>
    <w:rsid w:val="11C2E5DA"/>
    <w:rsid w:val="12093D8F"/>
    <w:rsid w:val="121CDFF8"/>
    <w:rsid w:val="1232591A"/>
    <w:rsid w:val="12370947"/>
    <w:rsid w:val="1260FF3C"/>
    <w:rsid w:val="128E1C26"/>
    <w:rsid w:val="12A7AE05"/>
    <w:rsid w:val="12C1F6F8"/>
    <w:rsid w:val="130199EC"/>
    <w:rsid w:val="136EA969"/>
    <w:rsid w:val="13730013"/>
    <w:rsid w:val="1385AC2A"/>
    <w:rsid w:val="13918ACF"/>
    <w:rsid w:val="13FFB84D"/>
    <w:rsid w:val="14AB8698"/>
    <w:rsid w:val="14D42E88"/>
    <w:rsid w:val="14EA6E70"/>
    <w:rsid w:val="1593C399"/>
    <w:rsid w:val="15ABC80B"/>
    <w:rsid w:val="15B645DE"/>
    <w:rsid w:val="171414F6"/>
    <w:rsid w:val="172AC683"/>
    <w:rsid w:val="1730EE2C"/>
    <w:rsid w:val="173D1CC2"/>
    <w:rsid w:val="17E51884"/>
    <w:rsid w:val="185079BF"/>
    <w:rsid w:val="1890027D"/>
    <w:rsid w:val="18B58D64"/>
    <w:rsid w:val="18E9691D"/>
    <w:rsid w:val="1A4B5C14"/>
    <w:rsid w:val="1A627C82"/>
    <w:rsid w:val="1A8465BF"/>
    <w:rsid w:val="1ACAA35C"/>
    <w:rsid w:val="1B7CEB85"/>
    <w:rsid w:val="1C15748C"/>
    <w:rsid w:val="1C7AE2A3"/>
    <w:rsid w:val="1CB94B84"/>
    <w:rsid w:val="1CD79EE0"/>
    <w:rsid w:val="1D6F51C1"/>
    <w:rsid w:val="1D91FD5C"/>
    <w:rsid w:val="1E00A23F"/>
    <w:rsid w:val="1E267715"/>
    <w:rsid w:val="1E832F9E"/>
    <w:rsid w:val="1EE801ED"/>
    <w:rsid w:val="1F01FBA3"/>
    <w:rsid w:val="1F462C5D"/>
    <w:rsid w:val="1F5195AC"/>
    <w:rsid w:val="1FAB3CC5"/>
    <w:rsid w:val="1FC14655"/>
    <w:rsid w:val="200B14C8"/>
    <w:rsid w:val="201FCAD4"/>
    <w:rsid w:val="2028025D"/>
    <w:rsid w:val="205519F7"/>
    <w:rsid w:val="206CF94C"/>
    <w:rsid w:val="20814DBC"/>
    <w:rsid w:val="20A6B353"/>
    <w:rsid w:val="20B075C1"/>
    <w:rsid w:val="20B0FD07"/>
    <w:rsid w:val="2130FF1B"/>
    <w:rsid w:val="215D16B6"/>
    <w:rsid w:val="21D5B392"/>
    <w:rsid w:val="222D432C"/>
    <w:rsid w:val="2238B26D"/>
    <w:rsid w:val="22617D94"/>
    <w:rsid w:val="227CFF2B"/>
    <w:rsid w:val="22996E63"/>
    <w:rsid w:val="22EBB670"/>
    <w:rsid w:val="22FEF52E"/>
    <w:rsid w:val="23D6F465"/>
    <w:rsid w:val="23E734B8"/>
    <w:rsid w:val="246275DA"/>
    <w:rsid w:val="2477A12D"/>
    <w:rsid w:val="24AD48E9"/>
    <w:rsid w:val="24C84914"/>
    <w:rsid w:val="24F23FD8"/>
    <w:rsid w:val="256BA576"/>
    <w:rsid w:val="25AEC3C8"/>
    <w:rsid w:val="25BD8DED"/>
    <w:rsid w:val="25E40D82"/>
    <w:rsid w:val="26217E84"/>
    <w:rsid w:val="26C45B7B"/>
    <w:rsid w:val="26C4A0DE"/>
    <w:rsid w:val="271725B0"/>
    <w:rsid w:val="272E3021"/>
    <w:rsid w:val="274D035C"/>
    <w:rsid w:val="27595E4E"/>
    <w:rsid w:val="2787664D"/>
    <w:rsid w:val="27D79F50"/>
    <w:rsid w:val="2812FB79"/>
    <w:rsid w:val="290A8B8C"/>
    <w:rsid w:val="29ECD25D"/>
    <w:rsid w:val="2A31D380"/>
    <w:rsid w:val="2A5E1729"/>
    <w:rsid w:val="2A7E481F"/>
    <w:rsid w:val="2A8A2271"/>
    <w:rsid w:val="2A9CC061"/>
    <w:rsid w:val="2A9CE6FA"/>
    <w:rsid w:val="2BFEFBD2"/>
    <w:rsid w:val="2C3D41C1"/>
    <w:rsid w:val="2D0B3295"/>
    <w:rsid w:val="2DF446E9"/>
    <w:rsid w:val="2E3C8B45"/>
    <w:rsid w:val="2E5EDC58"/>
    <w:rsid w:val="2E9EEF89"/>
    <w:rsid w:val="2EF4202C"/>
    <w:rsid w:val="2F1A0BB3"/>
    <w:rsid w:val="2FA15B93"/>
    <w:rsid w:val="2FA5D9A2"/>
    <w:rsid w:val="2FD85BA6"/>
    <w:rsid w:val="30097C75"/>
    <w:rsid w:val="308DD6C0"/>
    <w:rsid w:val="30B46180"/>
    <w:rsid w:val="30F30021"/>
    <w:rsid w:val="30F8F46E"/>
    <w:rsid w:val="30F963F5"/>
    <w:rsid w:val="3183DA9F"/>
    <w:rsid w:val="31A21B10"/>
    <w:rsid w:val="320ACCC8"/>
    <w:rsid w:val="322DB241"/>
    <w:rsid w:val="32927437"/>
    <w:rsid w:val="32958F18"/>
    <w:rsid w:val="32CE0FAC"/>
    <w:rsid w:val="330DDC7D"/>
    <w:rsid w:val="33411D37"/>
    <w:rsid w:val="33562CDF"/>
    <w:rsid w:val="338758D2"/>
    <w:rsid w:val="33CC4FC1"/>
    <w:rsid w:val="340899C1"/>
    <w:rsid w:val="343104B7"/>
    <w:rsid w:val="34F1FD40"/>
    <w:rsid w:val="34F8234B"/>
    <w:rsid w:val="34FAB414"/>
    <w:rsid w:val="3503F24E"/>
    <w:rsid w:val="3514FBE1"/>
    <w:rsid w:val="355B5396"/>
    <w:rsid w:val="35CCD518"/>
    <w:rsid w:val="361D1314"/>
    <w:rsid w:val="36A261F5"/>
    <w:rsid w:val="36DE3DEB"/>
    <w:rsid w:val="37A2B014"/>
    <w:rsid w:val="37A66F46"/>
    <w:rsid w:val="3843BC78"/>
    <w:rsid w:val="38DEDBB3"/>
    <w:rsid w:val="39167B21"/>
    <w:rsid w:val="3929D365"/>
    <w:rsid w:val="396F6EFF"/>
    <w:rsid w:val="397B0CC7"/>
    <w:rsid w:val="399BEE31"/>
    <w:rsid w:val="39C214F0"/>
    <w:rsid w:val="39C6437D"/>
    <w:rsid w:val="39EA1420"/>
    <w:rsid w:val="3A273CD5"/>
    <w:rsid w:val="3A6C33C4"/>
    <w:rsid w:val="3AB8E8B0"/>
    <w:rsid w:val="3AC24D5D"/>
    <w:rsid w:val="3AECBA9D"/>
    <w:rsid w:val="3AEF180E"/>
    <w:rsid w:val="3B1797C5"/>
    <w:rsid w:val="3B2AA708"/>
    <w:rsid w:val="3B308328"/>
    <w:rsid w:val="3B4945E3"/>
    <w:rsid w:val="3BA28FC6"/>
    <w:rsid w:val="3BC9A780"/>
    <w:rsid w:val="3C5D555C"/>
    <w:rsid w:val="3CC2A1DA"/>
    <w:rsid w:val="3CCC20B8"/>
    <w:rsid w:val="3CED7DF8"/>
    <w:rsid w:val="3D0F7315"/>
    <w:rsid w:val="3D459922"/>
    <w:rsid w:val="3DBEBEA0"/>
    <w:rsid w:val="3DF0D218"/>
    <w:rsid w:val="3E1CB963"/>
    <w:rsid w:val="3E479C92"/>
    <w:rsid w:val="3E886DFD"/>
    <w:rsid w:val="3EE06A98"/>
    <w:rsid w:val="3F18F744"/>
    <w:rsid w:val="3F8CA279"/>
    <w:rsid w:val="3FA70363"/>
    <w:rsid w:val="4003461C"/>
    <w:rsid w:val="400B618B"/>
    <w:rsid w:val="405650B4"/>
    <w:rsid w:val="405A2611"/>
    <w:rsid w:val="407DB05C"/>
    <w:rsid w:val="40BF9B65"/>
    <w:rsid w:val="410F4A7D"/>
    <w:rsid w:val="41338913"/>
    <w:rsid w:val="419F167D"/>
    <w:rsid w:val="41AE1CC5"/>
    <w:rsid w:val="41C00EBF"/>
    <w:rsid w:val="426839CE"/>
    <w:rsid w:val="4307417D"/>
    <w:rsid w:val="430D35CA"/>
    <w:rsid w:val="4332B46A"/>
    <w:rsid w:val="43A12B59"/>
    <w:rsid w:val="44E354D9"/>
    <w:rsid w:val="4507E279"/>
    <w:rsid w:val="450A6F6A"/>
    <w:rsid w:val="453F68F7"/>
    <w:rsid w:val="459A0E0F"/>
    <w:rsid w:val="463B5AE0"/>
    <w:rsid w:val="46BA1145"/>
    <w:rsid w:val="4722667A"/>
    <w:rsid w:val="476F4FDE"/>
    <w:rsid w:val="47B48BE1"/>
    <w:rsid w:val="48BE7C0A"/>
    <w:rsid w:val="48BF2B5E"/>
    <w:rsid w:val="48DB27EA"/>
    <w:rsid w:val="4922E0F1"/>
    <w:rsid w:val="49DC0BDD"/>
    <w:rsid w:val="4A1478D5"/>
    <w:rsid w:val="4A22BAA6"/>
    <w:rsid w:val="4A5C41DF"/>
    <w:rsid w:val="4A6F8A84"/>
    <w:rsid w:val="4AD3B9CC"/>
    <w:rsid w:val="4ADB23A2"/>
    <w:rsid w:val="4B1EB9CB"/>
    <w:rsid w:val="4B651180"/>
    <w:rsid w:val="4BC86955"/>
    <w:rsid w:val="4D6439B6"/>
    <w:rsid w:val="4D6E7AF9"/>
    <w:rsid w:val="4D821371"/>
    <w:rsid w:val="4D95C31F"/>
    <w:rsid w:val="4DB5D8F0"/>
    <w:rsid w:val="4E85870B"/>
    <w:rsid w:val="4EC0F4CB"/>
    <w:rsid w:val="4ED08F15"/>
    <w:rsid w:val="4EE8999D"/>
    <w:rsid w:val="4F0C6D5C"/>
    <w:rsid w:val="4F14490B"/>
    <w:rsid w:val="5089CC01"/>
    <w:rsid w:val="509A84D6"/>
    <w:rsid w:val="50EDDA6C"/>
    <w:rsid w:val="517ECDBE"/>
    <w:rsid w:val="51AE1886"/>
    <w:rsid w:val="51DF458D"/>
    <w:rsid w:val="520AD1A3"/>
    <w:rsid w:val="5219313A"/>
    <w:rsid w:val="52B2712C"/>
    <w:rsid w:val="52F76AF1"/>
    <w:rsid w:val="53270C20"/>
    <w:rsid w:val="53320524"/>
    <w:rsid w:val="537B9D13"/>
    <w:rsid w:val="53888994"/>
    <w:rsid w:val="540D64EB"/>
    <w:rsid w:val="54714A5C"/>
    <w:rsid w:val="55278B2F"/>
    <w:rsid w:val="55A9713C"/>
    <w:rsid w:val="55F92EE1"/>
    <w:rsid w:val="5621EC70"/>
    <w:rsid w:val="56BD4859"/>
    <w:rsid w:val="57300641"/>
    <w:rsid w:val="57B06737"/>
    <w:rsid w:val="57CBF7B8"/>
    <w:rsid w:val="57E551EB"/>
    <w:rsid w:val="57E6C2B3"/>
    <w:rsid w:val="582C6951"/>
    <w:rsid w:val="585C207A"/>
    <w:rsid w:val="586F87A3"/>
    <w:rsid w:val="58B39D36"/>
    <w:rsid w:val="58B6D192"/>
    <w:rsid w:val="5981B710"/>
    <w:rsid w:val="59C8CD3D"/>
    <w:rsid w:val="5A40B5FB"/>
    <w:rsid w:val="5ACC3770"/>
    <w:rsid w:val="5B2F6798"/>
    <w:rsid w:val="5B64A603"/>
    <w:rsid w:val="5B67B6AB"/>
    <w:rsid w:val="5BA676E2"/>
    <w:rsid w:val="5BD192C1"/>
    <w:rsid w:val="5BEE407E"/>
    <w:rsid w:val="5BFFD908"/>
    <w:rsid w:val="5C1436F2"/>
    <w:rsid w:val="5C3A8C80"/>
    <w:rsid w:val="5C7FB640"/>
    <w:rsid w:val="5CB8C30E"/>
    <w:rsid w:val="5DBE49CB"/>
    <w:rsid w:val="5E23465A"/>
    <w:rsid w:val="5E7C2D54"/>
    <w:rsid w:val="5E87C85E"/>
    <w:rsid w:val="5E9B5BEA"/>
    <w:rsid w:val="5E9F576D"/>
    <w:rsid w:val="5EFA8BD2"/>
    <w:rsid w:val="5F2D1DA6"/>
    <w:rsid w:val="5F332B0F"/>
    <w:rsid w:val="5F55E238"/>
    <w:rsid w:val="5F5FC37B"/>
    <w:rsid w:val="60273E83"/>
    <w:rsid w:val="611215CC"/>
    <w:rsid w:val="61500AB7"/>
    <w:rsid w:val="616ECF6A"/>
    <w:rsid w:val="61FA2945"/>
    <w:rsid w:val="629E877A"/>
    <w:rsid w:val="636D3976"/>
    <w:rsid w:val="63F10F06"/>
    <w:rsid w:val="6422C384"/>
    <w:rsid w:val="65349104"/>
    <w:rsid w:val="65AF6A05"/>
    <w:rsid w:val="65BC789C"/>
    <w:rsid w:val="66139747"/>
    <w:rsid w:val="665F4BD1"/>
    <w:rsid w:val="667FF168"/>
    <w:rsid w:val="66AEDF11"/>
    <w:rsid w:val="66B6A3C6"/>
    <w:rsid w:val="68178E82"/>
    <w:rsid w:val="685C8571"/>
    <w:rsid w:val="686E7E2B"/>
    <w:rsid w:val="689E71D8"/>
    <w:rsid w:val="68A1498F"/>
    <w:rsid w:val="68F28C0B"/>
    <w:rsid w:val="68F2B04D"/>
    <w:rsid w:val="692161B5"/>
    <w:rsid w:val="692CCB04"/>
    <w:rsid w:val="696913A4"/>
    <w:rsid w:val="6985D969"/>
    <w:rsid w:val="699060CE"/>
    <w:rsid w:val="69F11A68"/>
    <w:rsid w:val="6A7B5344"/>
    <w:rsid w:val="6B1D2D61"/>
    <w:rsid w:val="6BACE8EE"/>
    <w:rsid w:val="6BBFE67D"/>
    <w:rsid w:val="6C9A55F8"/>
    <w:rsid w:val="6D10DB7C"/>
    <w:rsid w:val="6D812D7A"/>
    <w:rsid w:val="6D91B4BD"/>
    <w:rsid w:val="6E594A8C"/>
    <w:rsid w:val="6E8123CB"/>
    <w:rsid w:val="6EA05D94"/>
    <w:rsid w:val="6EB72787"/>
    <w:rsid w:val="6F20B19E"/>
    <w:rsid w:val="6F23858E"/>
    <w:rsid w:val="6F30267C"/>
    <w:rsid w:val="6FDE51AC"/>
    <w:rsid w:val="704785E0"/>
    <w:rsid w:val="70636C7C"/>
    <w:rsid w:val="716E0AAE"/>
    <w:rsid w:val="71B30779"/>
    <w:rsid w:val="71DB6650"/>
    <w:rsid w:val="72890F3E"/>
    <w:rsid w:val="72C409F7"/>
    <w:rsid w:val="73418A6E"/>
    <w:rsid w:val="73CDE3D5"/>
    <w:rsid w:val="742BA91E"/>
    <w:rsid w:val="744898FF"/>
    <w:rsid w:val="74C88C10"/>
    <w:rsid w:val="7544EE3D"/>
    <w:rsid w:val="756203F0"/>
    <w:rsid w:val="75A475DC"/>
    <w:rsid w:val="75CF5031"/>
    <w:rsid w:val="760CC976"/>
    <w:rsid w:val="763D7D61"/>
    <w:rsid w:val="7646C4D9"/>
    <w:rsid w:val="76645C71"/>
    <w:rsid w:val="76660A06"/>
    <w:rsid w:val="768C9FBA"/>
    <w:rsid w:val="76B1EFC9"/>
    <w:rsid w:val="76E9F6E4"/>
    <w:rsid w:val="76F4DCB8"/>
    <w:rsid w:val="773B3861"/>
    <w:rsid w:val="77788D54"/>
    <w:rsid w:val="7782E984"/>
    <w:rsid w:val="778355DF"/>
    <w:rsid w:val="778A1A4D"/>
    <w:rsid w:val="77F1E090"/>
    <w:rsid w:val="781555E0"/>
    <w:rsid w:val="781B83A1"/>
    <w:rsid w:val="7844B803"/>
    <w:rsid w:val="784587BB"/>
    <w:rsid w:val="786B28AE"/>
    <w:rsid w:val="78DBE6D8"/>
    <w:rsid w:val="79527CF2"/>
    <w:rsid w:val="7ABDE105"/>
    <w:rsid w:val="7AFAE73B"/>
    <w:rsid w:val="7C369330"/>
    <w:rsid w:val="7C3829BA"/>
    <w:rsid w:val="7C994D85"/>
    <w:rsid w:val="7D1AE344"/>
    <w:rsid w:val="7D4D3A02"/>
    <w:rsid w:val="7D7FDF7D"/>
    <w:rsid w:val="7DF0B0B1"/>
    <w:rsid w:val="7E05A465"/>
    <w:rsid w:val="7E47652C"/>
    <w:rsid w:val="7E700BC4"/>
    <w:rsid w:val="7ED22E06"/>
    <w:rsid w:val="7F1BC3EC"/>
    <w:rsid w:val="7F400A34"/>
    <w:rsid w:val="7F4C6808"/>
    <w:rsid w:val="7FBECA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A187DE"/>
  <w15:chartTrackingRefBased/>
  <w15:docId w15:val="{913B2EA4-6C0F-4E2D-B58D-F0B5528B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D8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64D8C"/>
    <w:pPr>
      <w:keepNext/>
      <w:widowControl/>
      <w:tabs>
        <w:tab w:val="left" w:pos="-720"/>
      </w:tabs>
      <w:suppressAutoHyphens/>
      <w:autoSpaceDE/>
      <w:autoSpaceDN/>
      <w:adjustRightInd/>
      <w:outlineLvl w:val="0"/>
    </w:pPr>
    <w:rPr>
      <w:b/>
      <w:sz w:val="24"/>
      <w:szCs w:val="20"/>
    </w:rPr>
  </w:style>
  <w:style w:type="paragraph" w:styleId="Heading5">
    <w:name w:val="heading 5"/>
    <w:basedOn w:val="Normal"/>
    <w:next w:val="Normal"/>
    <w:link w:val="Heading5Char"/>
    <w:uiPriority w:val="9"/>
    <w:semiHidden/>
    <w:unhideWhenUsed/>
    <w:qFormat/>
    <w:rsid w:val="00D340C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64D8C"/>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464D8C"/>
    <w:rPr>
      <w:rFonts w:ascii="Baskerville Old Face" w:eastAsia="Times New Roman" w:hAnsi="Baskerville Old Face" w:cs="Times New Roman"/>
      <w:sz w:val="24"/>
      <w:szCs w:val="24"/>
    </w:rPr>
  </w:style>
  <w:style w:type="character" w:styleId="Hyperlink">
    <w:name w:val="Hyperlink"/>
    <w:basedOn w:val="DefaultParagraphFont"/>
    <w:rsid w:val="00464D8C"/>
    <w:rPr>
      <w:color w:val="0000FF"/>
      <w:u w:val="single"/>
    </w:rPr>
  </w:style>
  <w:style w:type="character" w:styleId="Emphasis">
    <w:name w:val="Emphasis"/>
    <w:basedOn w:val="DefaultParagraphFont"/>
    <w:uiPriority w:val="20"/>
    <w:qFormat/>
    <w:rsid w:val="00464D8C"/>
    <w:rPr>
      <w:i/>
      <w:iCs/>
    </w:rPr>
  </w:style>
  <w:style w:type="character" w:styleId="CommentReference">
    <w:name w:val="annotation reference"/>
    <w:basedOn w:val="DefaultParagraphFont"/>
    <w:uiPriority w:val="99"/>
    <w:semiHidden/>
    <w:unhideWhenUsed/>
    <w:rsid w:val="00464D8C"/>
    <w:rPr>
      <w:sz w:val="16"/>
      <w:szCs w:val="16"/>
    </w:rPr>
  </w:style>
  <w:style w:type="paragraph" w:styleId="CommentText">
    <w:name w:val="annotation text"/>
    <w:basedOn w:val="Normal"/>
    <w:link w:val="CommentTextChar"/>
    <w:uiPriority w:val="99"/>
    <w:unhideWhenUsed/>
    <w:rsid w:val="00464D8C"/>
    <w:rPr>
      <w:szCs w:val="20"/>
    </w:rPr>
  </w:style>
  <w:style w:type="character" w:customStyle="1" w:styleId="CommentTextChar">
    <w:name w:val="Comment Text Char"/>
    <w:basedOn w:val="DefaultParagraphFont"/>
    <w:link w:val="CommentText"/>
    <w:uiPriority w:val="99"/>
    <w:rsid w:val="00464D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D8C"/>
    <w:rPr>
      <w:b/>
      <w:bCs/>
    </w:rPr>
  </w:style>
  <w:style w:type="character" w:customStyle="1" w:styleId="CommentSubjectChar">
    <w:name w:val="Comment Subject Char"/>
    <w:basedOn w:val="CommentTextChar"/>
    <w:link w:val="CommentSubject"/>
    <w:uiPriority w:val="99"/>
    <w:semiHidden/>
    <w:rsid w:val="00464D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D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D8C"/>
    <w:rPr>
      <w:rFonts w:ascii="Segoe UI" w:eastAsia="Times New Roman" w:hAnsi="Segoe UI" w:cs="Segoe UI"/>
      <w:sz w:val="18"/>
      <w:szCs w:val="18"/>
    </w:rPr>
  </w:style>
  <w:style w:type="paragraph" w:styleId="BodyText">
    <w:name w:val="Body Text"/>
    <w:basedOn w:val="Normal"/>
    <w:link w:val="BodyTextChar"/>
    <w:uiPriority w:val="99"/>
    <w:unhideWhenUsed/>
    <w:rsid w:val="00464D8C"/>
    <w:pPr>
      <w:spacing w:after="120"/>
    </w:pPr>
  </w:style>
  <w:style w:type="character" w:customStyle="1" w:styleId="BodyTextChar">
    <w:name w:val="Body Text Char"/>
    <w:basedOn w:val="DefaultParagraphFont"/>
    <w:link w:val="BodyText"/>
    <w:uiPriority w:val="99"/>
    <w:rsid w:val="00464D8C"/>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464D8C"/>
    <w:rPr>
      <w:rFonts w:ascii="Times New Roman" w:eastAsia="Times New Roman" w:hAnsi="Times New Roman" w:cs="Times New Roman"/>
      <w:b/>
      <w:sz w:val="24"/>
      <w:szCs w:val="20"/>
    </w:rPr>
  </w:style>
  <w:style w:type="paragraph" w:styleId="FootnoteText">
    <w:name w:val="footnote text"/>
    <w:basedOn w:val="Normal"/>
    <w:link w:val="FootnoteTextChar"/>
    <w:semiHidden/>
    <w:rsid w:val="00464D8C"/>
    <w:pPr>
      <w:widowControl/>
      <w:autoSpaceDE/>
      <w:autoSpaceDN/>
      <w:adjustRightInd/>
    </w:pPr>
    <w:rPr>
      <w:szCs w:val="20"/>
    </w:rPr>
  </w:style>
  <w:style w:type="character" w:customStyle="1" w:styleId="FootnoteTextChar">
    <w:name w:val="Footnote Text Char"/>
    <w:basedOn w:val="DefaultParagraphFont"/>
    <w:link w:val="FootnoteText"/>
    <w:semiHidden/>
    <w:rsid w:val="00464D8C"/>
    <w:rPr>
      <w:rFonts w:ascii="Times New Roman" w:eastAsia="Times New Roman" w:hAnsi="Times New Roman" w:cs="Times New Roman"/>
      <w:sz w:val="20"/>
      <w:szCs w:val="20"/>
    </w:rPr>
  </w:style>
  <w:style w:type="character" w:styleId="FootnoteReference">
    <w:name w:val="footnote reference"/>
    <w:semiHidden/>
    <w:rsid w:val="00464D8C"/>
    <w:rPr>
      <w:vertAlign w:val="superscript"/>
    </w:rPr>
  </w:style>
  <w:style w:type="character" w:customStyle="1" w:styleId="apple-converted-space">
    <w:name w:val="apple-converted-space"/>
    <w:rsid w:val="00464D8C"/>
  </w:style>
  <w:style w:type="paragraph" w:styleId="BodyText3">
    <w:name w:val="Body Text 3"/>
    <w:basedOn w:val="Normal"/>
    <w:link w:val="BodyText3Char"/>
    <w:uiPriority w:val="99"/>
    <w:semiHidden/>
    <w:unhideWhenUsed/>
    <w:rsid w:val="00D340C0"/>
    <w:pPr>
      <w:spacing w:after="120"/>
    </w:pPr>
    <w:rPr>
      <w:sz w:val="16"/>
      <w:szCs w:val="16"/>
    </w:rPr>
  </w:style>
  <w:style w:type="character" w:customStyle="1" w:styleId="BodyText3Char">
    <w:name w:val="Body Text 3 Char"/>
    <w:basedOn w:val="DefaultParagraphFont"/>
    <w:link w:val="BodyText3"/>
    <w:uiPriority w:val="99"/>
    <w:semiHidden/>
    <w:rsid w:val="00D340C0"/>
    <w:rPr>
      <w:rFonts w:ascii="Times New Roman" w:eastAsia="Times New Roman" w:hAnsi="Times New Roman" w:cs="Times New Roman"/>
      <w:sz w:val="16"/>
      <w:szCs w:val="16"/>
    </w:rPr>
  </w:style>
  <w:style w:type="paragraph" w:styleId="ListParagraph">
    <w:name w:val="List Paragraph"/>
    <w:basedOn w:val="Normal"/>
    <w:uiPriority w:val="34"/>
    <w:qFormat/>
    <w:rsid w:val="00D340C0"/>
    <w:pPr>
      <w:ind w:left="720"/>
      <w:contextualSpacing/>
    </w:pPr>
  </w:style>
  <w:style w:type="character" w:customStyle="1" w:styleId="Heading5Char">
    <w:name w:val="Heading 5 Char"/>
    <w:basedOn w:val="DefaultParagraphFont"/>
    <w:link w:val="Heading5"/>
    <w:uiPriority w:val="9"/>
    <w:semiHidden/>
    <w:rsid w:val="00D340C0"/>
    <w:rPr>
      <w:rFonts w:asciiTheme="majorHAnsi" w:eastAsiaTheme="majorEastAsia" w:hAnsiTheme="majorHAnsi" w:cstheme="majorBidi"/>
      <w:color w:val="2E74B5" w:themeColor="accent1" w:themeShade="BF"/>
      <w:sz w:val="20"/>
      <w:szCs w:val="24"/>
    </w:rPr>
  </w:style>
  <w:style w:type="paragraph" w:styleId="Revision">
    <w:name w:val="Revision"/>
    <w:hidden/>
    <w:uiPriority w:val="99"/>
    <w:semiHidden/>
    <w:rsid w:val="004D5B2C"/>
    <w:pPr>
      <w:spacing w:after="0" w:line="240" w:lineRule="auto"/>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782EA5"/>
    <w:rPr>
      <w:color w:val="954F72" w:themeColor="followedHyperlink"/>
      <w:u w:val="single"/>
    </w:rPr>
  </w:style>
  <w:style w:type="paragraph" w:styleId="Header">
    <w:name w:val="header"/>
    <w:basedOn w:val="Normal"/>
    <w:link w:val="HeaderChar"/>
    <w:uiPriority w:val="99"/>
    <w:unhideWhenUsed/>
    <w:rsid w:val="001A6FF0"/>
    <w:pPr>
      <w:tabs>
        <w:tab w:val="center" w:pos="4680"/>
        <w:tab w:val="right" w:pos="9360"/>
      </w:tabs>
    </w:pPr>
  </w:style>
  <w:style w:type="character" w:customStyle="1" w:styleId="HeaderChar">
    <w:name w:val="Header Char"/>
    <w:basedOn w:val="DefaultParagraphFont"/>
    <w:link w:val="Header"/>
    <w:uiPriority w:val="99"/>
    <w:rsid w:val="001A6FF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A6FF0"/>
    <w:pPr>
      <w:tabs>
        <w:tab w:val="center" w:pos="4680"/>
        <w:tab w:val="right" w:pos="9360"/>
      </w:tabs>
    </w:pPr>
  </w:style>
  <w:style w:type="character" w:customStyle="1" w:styleId="FooterChar">
    <w:name w:val="Footer Char"/>
    <w:basedOn w:val="DefaultParagraphFont"/>
    <w:link w:val="Footer"/>
    <w:uiPriority w:val="99"/>
    <w:rsid w:val="001A6FF0"/>
    <w:rPr>
      <w:rFonts w:ascii="Times New Roman" w:eastAsia="Times New Roman" w:hAnsi="Times New Roman" w:cs="Times New Roman"/>
      <w:sz w:val="20"/>
      <w:szCs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2F3742"/>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2F3742"/>
  </w:style>
  <w:style w:type="character" w:customStyle="1" w:styleId="eop">
    <w:name w:val="eop"/>
    <w:basedOn w:val="DefaultParagraphFont"/>
    <w:rsid w:val="002F3742"/>
  </w:style>
  <w:style w:type="character" w:styleId="UnresolvedMention">
    <w:name w:val="Unresolved Mention"/>
    <w:basedOn w:val="DefaultParagraphFont"/>
    <w:uiPriority w:val="99"/>
    <w:semiHidden/>
    <w:unhideWhenUsed/>
    <w:rsid w:val="002F3742"/>
    <w:rPr>
      <w:color w:val="605E5C"/>
      <w:shd w:val="clear" w:color="auto" w:fill="E1DFDD"/>
    </w:rPr>
  </w:style>
  <w:style w:type="table" w:styleId="TableGrid">
    <w:name w:val="Table Grid"/>
    <w:basedOn w:val="TableNormal"/>
    <w:uiPriority w:val="39"/>
    <w:rsid w:val="002F3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99099.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BD2E2B9F47249B7F5101E8B348CCB" ma:contentTypeVersion="2" ma:contentTypeDescription="Create a new document." ma:contentTypeScope="" ma:versionID="f2a6627155b14d7f4a4ef068f14cac6b">
  <xsd:schema xmlns:xsd="http://www.w3.org/2001/XMLSchema" xmlns:xs="http://www.w3.org/2001/XMLSchema" xmlns:p="http://schemas.microsoft.com/office/2006/metadata/properties" xmlns:ns2="053a5afd-1424-405b-82d9-63deec7446f8" xmlns:ns3="c7d0ed18-d4ec-4450-b043-97ba750af715" xmlns:ns4="07b69558-078f-4f76-8ae4-549acdf95cc8" targetNamespace="http://schemas.microsoft.com/office/2006/metadata/properties" ma:root="true" ma:fieldsID="b4cf966abda4661a14652eb9965c23db" ns2:_="" ns3:_="" ns4:_="">
    <xsd:import namespace="053a5afd-1424-405b-82d9-63deec7446f8"/>
    <xsd:import namespace="c7d0ed18-d4ec-4450-b043-97ba750af715"/>
    <xsd:import namespace="07b69558-078f-4f76-8ae4-549acdf95cc8"/>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b69558-078f-4f76-8ae4-549acdf95c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DZXA3YQD6WY2-49508526-472</_dlc_DocId>
    <_dlc_DocIdUrl xmlns="053a5afd-1424-405b-82d9-63deec7446f8">
      <Url>https://sharepoint.hrsa.gov/teams/mchb/opp/_layouts/15/DocIdRedir.aspx?ID=DZXA3YQD6WY2-49508526-472</Url>
      <Description>DZXA3YQD6WY2-49508526-472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3BD98E-5483-4FBF-884D-38703524865B}">
  <ds:schemaRefs>
    <ds:schemaRef ds:uri="http://schemas.microsoft.com/sharepoint/v3/contenttype/forms"/>
  </ds:schemaRefs>
</ds:datastoreItem>
</file>

<file path=customXml/itemProps2.xml><?xml version="1.0" encoding="utf-8"?>
<ds:datastoreItem xmlns:ds="http://schemas.openxmlformats.org/officeDocument/2006/customXml" ds:itemID="{7BC9AA65-9EB0-4C89-8905-41935A9E0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07b69558-078f-4f76-8ae4-549acdf95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F2F9A-07E1-4DFA-B295-2F7882C81023}">
  <ds:schemaRefs>
    <ds:schemaRef ds:uri="http://schemas.openxmlformats.org/officeDocument/2006/bibliography"/>
  </ds:schemaRefs>
</ds:datastoreItem>
</file>

<file path=customXml/itemProps4.xml><?xml version="1.0" encoding="utf-8"?>
<ds:datastoreItem xmlns:ds="http://schemas.openxmlformats.org/officeDocument/2006/customXml" ds:itemID="{8CECD523-E47B-4425-9318-FDF8B133F8A5}">
  <ds:schemaRefs>
    <ds:schemaRef ds:uri="http://schemas.microsoft.com/office/2006/metadata/properties"/>
    <ds:schemaRef ds:uri="07b69558-078f-4f76-8ae4-549acdf95cc8"/>
    <ds:schemaRef ds:uri="c7d0ed18-d4ec-4450-b043-97ba750af715"/>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053a5afd-1424-405b-82d9-63deec7446f8"/>
    <ds:schemaRef ds:uri="http://www.w3.org/XML/1998/namespace"/>
    <ds:schemaRef ds:uri="http://purl.org/dc/terms/"/>
  </ds:schemaRefs>
</ds:datastoreItem>
</file>

<file path=customXml/itemProps5.xml><?xml version="1.0" encoding="utf-8"?>
<ds:datastoreItem xmlns:ds="http://schemas.openxmlformats.org/officeDocument/2006/customXml" ds:itemID="{4BA290EC-966A-4386-B02D-D69DB02763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6817</Words>
  <Characters>38862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DGIS OMB_Supporting Statement A</vt:lpstr>
    </vt:vector>
  </TitlesOfParts>
  <Company>HRSA</Company>
  <LinksUpToDate>false</LinksUpToDate>
  <CharactersWithSpaces>45588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OMB_Supporting Statement A</dc:title>
  <dc:creator>Joshi, Deepa (HRSA)</dc:creator>
  <cp:lastModifiedBy>Moore, Tierra (HRSA)</cp:lastModifiedBy>
  <cp:revision>6</cp:revision>
  <dcterms:created xsi:type="dcterms:W3CDTF">2023-08-17T13:00:00Z</dcterms:created>
  <dcterms:modified xsi:type="dcterms:W3CDTF">2023-08-18T12:59:00Z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0x010100DF9BD2E2B9F47249B7F5101E8B348CCB</vt:lpwstr>
  </property>
  <property fmtid="{D5CDD505-2E9C-101B-9397-08002B2CF9AE}" pid="3" name="Order">
    <vt:r8>143400</vt:r8>
  </property>
  <property fmtid="{D5CDD505-2E9C-101B-9397-08002B2CF9AE}" pid="4" name="_dlc_DocIdItemGuid">
    <vt:lpwstr>054f8722-50c3-4b3a-b832-2014f4e10969</vt:lpwstr>
  </property>
</Properties>
</file>