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357C8A" w:rsidRDefault="00357C8A" w14:paraId="726397DC" w14:textId="77777777">
      <w:pPr>
        <w:jc w:val="center"/>
        <w:rPr>
          <w:rFonts w:eastAsia="Calibri"/>
        </w:rPr>
      </w:pPr>
      <w:r w:rsidRPr="00357C8A">
        <w:rPr>
          <w:rFonts w:eastAsia="Calibri"/>
        </w:rPr>
        <w:t>United States Food and Drug Administration</w:t>
      </w:r>
    </w:p>
    <w:p w:rsidR="00357C8A" w:rsidP="00357C8A" w:rsidRDefault="00357C8A" w14:paraId="71C5C02A" w14:textId="77777777">
      <w:pPr>
        <w:jc w:val="center"/>
        <w:rPr>
          <w:rFonts w:eastAsia="Calibri"/>
        </w:rPr>
      </w:pPr>
    </w:p>
    <w:p w:rsidR="00EB333A" w:rsidP="00EB333A" w:rsidRDefault="00EB333A" w14:paraId="4A6A052A" w14:textId="77777777">
      <w:pPr>
        <w:spacing w:line="276" w:lineRule="auto"/>
        <w:contextualSpacing/>
        <w:jc w:val="center"/>
      </w:pPr>
      <w:r>
        <w:t>Reporting Associated with Food Additive Petitions, Investigational Food Additive Files Exemptions, and Declaration of Color Additives on Animal Food Labels--21 CFR 501.22(k), 570.17, 571.1, and 571.6</w:t>
      </w:r>
    </w:p>
    <w:p w:rsidR="00357C8A" w:rsidP="00EB333A" w:rsidRDefault="00357C8A" w14:paraId="60550A7A" w14:textId="77777777">
      <w:pPr>
        <w:spacing w:line="276" w:lineRule="auto"/>
        <w:jc w:val="center"/>
        <w:rPr>
          <w:rFonts w:eastAsia="Calibri"/>
        </w:rPr>
      </w:pPr>
    </w:p>
    <w:p w:rsidR="00357C8A" w:rsidP="00EB333A" w:rsidRDefault="00357C8A" w14:paraId="397FCB94" w14:textId="77777777">
      <w:pPr>
        <w:spacing w:line="276" w:lineRule="auto"/>
        <w:jc w:val="center"/>
        <w:rPr>
          <w:rFonts w:eastAsia="Calibri"/>
        </w:rPr>
      </w:pPr>
      <w:r w:rsidRPr="00357C8A">
        <w:rPr>
          <w:rFonts w:eastAsia="Calibri"/>
        </w:rPr>
        <w:t>OMB Control No. 0910-</w:t>
      </w:r>
      <w:r w:rsidR="00EB333A">
        <w:rPr>
          <w:rFonts w:eastAsia="Calibri"/>
        </w:rPr>
        <w:t>0546</w:t>
      </w:r>
    </w:p>
    <w:p w:rsidR="00357C8A" w:rsidP="00357C8A" w:rsidRDefault="00357C8A" w14:paraId="76B1BDC3" w14:textId="77777777">
      <w:pPr>
        <w:jc w:val="center"/>
        <w:rPr>
          <w:rFonts w:eastAsia="Calibri"/>
        </w:rPr>
      </w:pPr>
    </w:p>
    <w:p w:rsidR="009B4DF2" w:rsidP="00357C8A" w:rsidRDefault="009B4DF2" w14:paraId="273A1C7A" w14:textId="77777777">
      <w:pPr>
        <w:jc w:val="center"/>
        <w:rPr>
          <w:rFonts w:eastAsia="Calibri"/>
        </w:rPr>
      </w:pPr>
    </w:p>
    <w:p w:rsidRPr="00357C8A" w:rsidR="009B4DF2" w:rsidP="009B4DF2" w:rsidRDefault="009122AE" w14:paraId="7B633CB3" w14:textId="77777777">
      <w:pPr>
        <w:rPr>
          <w:rFonts w:eastAsia="Calibri"/>
        </w:rPr>
      </w:pPr>
      <w:r w:rsidRPr="00706265">
        <w:rPr>
          <w:rFonts w:eastAsia="Calibri"/>
        </w:rPr>
        <w:t>Terms of Clearance</w:t>
      </w:r>
      <w:r>
        <w:rPr>
          <w:rFonts w:eastAsia="Calibri"/>
        </w:rPr>
        <w:t xml:space="preserve">: </w:t>
      </w:r>
      <w:r w:rsidR="00EB333A">
        <w:rPr>
          <w:rFonts w:eastAsia="Calibri"/>
        </w:rPr>
        <w:t>None.</w:t>
      </w:r>
    </w:p>
    <w:p w:rsidRPr="00357C8A" w:rsidR="00357C8A" w:rsidP="00357C8A" w:rsidRDefault="00357C8A" w14:paraId="291C8AB3" w14:textId="77777777">
      <w:pPr>
        <w:rPr>
          <w:rFonts w:eastAsia="Calibri"/>
          <w:b/>
        </w:rPr>
      </w:pPr>
    </w:p>
    <w:p w:rsidR="00357C8A" w:rsidP="000D79CC" w:rsidRDefault="00706265" w14:paraId="4701CF9E" w14:textId="461AFF2F">
      <w:pPr>
        <w:rPr>
          <w:rFonts w:eastAsia="Calibri"/>
        </w:rPr>
      </w:pPr>
      <w:r w:rsidRPr="00706265">
        <w:rPr>
          <w:rFonts w:eastAsia="Calibri"/>
          <w:bCs/>
        </w:rPr>
        <w:t>SUPPORTING STATEMENT</w:t>
      </w:r>
      <w:r>
        <w:rPr>
          <w:rFonts w:eastAsia="Calibri"/>
          <w:bCs/>
        </w:rPr>
        <w:t xml:space="preserve"> -</w:t>
      </w:r>
      <w:r>
        <w:rPr>
          <w:rFonts w:eastAsia="Calibri"/>
          <w:b/>
        </w:rPr>
        <w:t xml:space="preserve"> </w:t>
      </w:r>
      <w:r w:rsidRPr="00357C8A" w:rsidR="00357C8A">
        <w:rPr>
          <w:rFonts w:eastAsia="Calibri"/>
          <w:b/>
        </w:rPr>
        <w:t>Part A:  Justification</w:t>
      </w:r>
      <w:r w:rsidRPr="00357C8A" w:rsidR="00357C8A">
        <w:rPr>
          <w:rFonts w:eastAsia="Calibri"/>
        </w:rPr>
        <w:t>:</w:t>
      </w:r>
    </w:p>
    <w:p w:rsidRPr="00357C8A" w:rsidR="000D79CC" w:rsidP="000D79CC" w:rsidRDefault="000D79CC" w14:paraId="2B86AB07" w14:textId="77777777">
      <w:pPr>
        <w:rPr>
          <w:rFonts w:eastAsia="Calibri"/>
        </w:rPr>
      </w:pPr>
    </w:p>
    <w:p w:rsidRPr="00357C8A" w:rsidR="00357C8A" w:rsidP="006705EA" w:rsidRDefault="00357C8A" w14:paraId="685C021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EB333A" w:rsidR="00EB333A" w:rsidP="00706265" w:rsidRDefault="00EB333A" w14:paraId="2CC8D7F7" w14:textId="77777777">
      <w:pPr>
        <w:ind w:left="360"/>
        <w:rPr>
          <w:rFonts w:eastAsia="Calibri"/>
        </w:rPr>
      </w:pPr>
      <w:r w:rsidRPr="00EB333A">
        <w:rPr>
          <w:rFonts w:eastAsia="Calibri"/>
        </w:rPr>
        <w:t xml:space="preserve">This information collection supports FDA regulations as discussed below.  </w:t>
      </w:r>
    </w:p>
    <w:p w:rsidR="00EB333A" w:rsidP="00706265" w:rsidRDefault="00EB333A" w14:paraId="3011EDA2" w14:textId="77777777">
      <w:pPr>
        <w:ind w:left="360"/>
        <w:rPr>
          <w:rFonts w:eastAsia="Calibri"/>
        </w:rPr>
      </w:pPr>
    </w:p>
    <w:p w:rsidR="00EB333A" w:rsidP="00706265" w:rsidRDefault="00EB333A" w14:paraId="3AD61D98" w14:textId="77777777">
      <w:pPr>
        <w:ind w:left="360"/>
        <w:rPr>
          <w:rFonts w:eastAsia="Calibri"/>
        </w:rPr>
      </w:pPr>
      <w:r w:rsidRPr="00EB333A">
        <w:rPr>
          <w:rFonts w:eastAsia="Calibri"/>
        </w:rPr>
        <w:t>Section 409(a) of the Federal Food, Drug and Cosmetic Act (FD&amp;C Act) (21 U.S.C. 348(a)) provides that a food additive shall be deemed to be unsafe unless its use is permitted by a regulation which prescribes the condition(s) under which it may safely be used, or unless it is exempted by regulation for investigational use.  Section 409(b) of FD&amp;C Act specifies the information that must be submitted by a petitioner in order to establish the safety of a food additive and to secure the issuance of a regulation permitting its use.</w:t>
      </w:r>
    </w:p>
    <w:p w:rsidRPr="00EB333A" w:rsidR="00EB333A" w:rsidP="00706265" w:rsidRDefault="00EB333A" w14:paraId="433A1D78" w14:textId="77777777">
      <w:pPr>
        <w:ind w:left="360"/>
        <w:rPr>
          <w:rFonts w:eastAsia="Calibri"/>
        </w:rPr>
      </w:pPr>
    </w:p>
    <w:p w:rsidRPr="00EB333A" w:rsidR="00EB333A" w:rsidP="00706265" w:rsidRDefault="00EB333A" w14:paraId="278968DA" w14:textId="77777777">
      <w:pPr>
        <w:ind w:left="360"/>
        <w:rPr>
          <w:rFonts w:eastAsia="Calibri"/>
        </w:rPr>
      </w:pPr>
      <w:r w:rsidRPr="00EB333A">
        <w:rPr>
          <w:rFonts w:eastAsia="Calibri"/>
        </w:rPr>
        <w:t>To implement the provisions of section 409 of the FD&amp;C Act, we issued procedural regulations under 21 CFR part 571.  These procedural regulations are designed to specify more thoroughly the information that must be submitted to meet the requirement set down in broader terms by the FD&amp;C Act.  The regulations add no substantive requirements to those indicated in the FD&amp;C Act but attempt to explain these requirements and provide a standard format for submission to speed processing of the food additive petition.  Labeling requirements for food additives intended for animal consumption are also set forth in various regulations contained in parts 501, 573, and 579 (21 CFR parts 501, 573, and 579).  The labeling regulations are considered by FDA to be cross-referenced to § 571.1, which is the subject of this same OMB clearance for food additive petitions.</w:t>
      </w:r>
    </w:p>
    <w:p w:rsidR="00EB333A" w:rsidP="00706265" w:rsidRDefault="00EB333A" w14:paraId="5D882805" w14:textId="77777777">
      <w:pPr>
        <w:ind w:left="360"/>
        <w:rPr>
          <w:rFonts w:eastAsia="Calibri"/>
        </w:rPr>
      </w:pPr>
    </w:p>
    <w:p w:rsidR="00423272" w:rsidP="00706265" w:rsidRDefault="00EB333A" w14:paraId="4B7423D4" w14:textId="77777777">
      <w:pPr>
        <w:ind w:left="360"/>
        <w:rPr>
          <w:rFonts w:eastAsia="Calibri"/>
        </w:rPr>
      </w:pPr>
      <w:r w:rsidRPr="00EB333A">
        <w:rPr>
          <w:rFonts w:eastAsia="Calibri"/>
        </w:rPr>
        <w:t>Regarding the investigational use of food additives, section 409(j) of the FD&amp;C Act provides that any food additive or any food bearing or containing such an additive may be exempted from the requirements of this section if intended solely for investigational use by qualified experts.  Investigational use of a food additive is typically to address the safety and/or intended physical or technical effect of the additive.  To implement the provisions of section 409(j) of the FD&amp;C Act, we issued regulations under § 570.17.  These regulations are designed to specify more thoroughly the information that must be submitted to meet the requirement set down in broad terms by the FD&amp;C Act.  Labeling requirements for investigational food additive files are also set forth in various regulations contained in part 501.  The labeling regulations are considered by FDA to be cross-referenced to § 570.17, which is the subject of this same OMB clearance for investigational food additive files</w:t>
      </w:r>
    </w:p>
    <w:p w:rsidR="00EB333A" w:rsidP="00EB333A" w:rsidRDefault="00EB333A" w14:paraId="418F57F4" w14:textId="77777777">
      <w:pPr>
        <w:rPr>
          <w:rFonts w:eastAsia="Calibri"/>
        </w:rPr>
      </w:pPr>
    </w:p>
    <w:p w:rsidR="00706265" w:rsidP="00706265" w:rsidRDefault="00706265" w14:paraId="20DF005C" w14:textId="77777777">
      <w:pPr>
        <w:ind w:left="360"/>
        <w:rPr>
          <w:rFonts w:eastAsia="Calibri"/>
        </w:rPr>
      </w:pPr>
    </w:p>
    <w:p w:rsidRPr="00357C8A" w:rsidR="00357C8A" w:rsidP="00706265" w:rsidRDefault="009B0570" w14:paraId="332E009C" w14:textId="14BC8FA2">
      <w:pPr>
        <w:ind w:left="360"/>
        <w:rPr>
          <w:rFonts w:eastAsia="Calibri"/>
          <w:color w:val="FF0000"/>
        </w:rPr>
      </w:pPr>
      <w:r w:rsidRPr="00EB333A">
        <w:rPr>
          <w:rFonts w:eastAsia="Calibri"/>
        </w:rPr>
        <w:lastRenderedPageBreak/>
        <w:t xml:space="preserve">The information collection provisions approved under OMB control numbers 0910-0546, and 0910-0721 are similar in that they support FDA’s regulations §§ 501.22(k), 570.17, 571.1, and 571.6.  Thus, with this notice, FDA proposes to consolidate these collections of information into one OMB control number for government efficiency and to allow the public to look to one OMB control number for all reporting associated with FDA’s regulations §§ 501.22(k), 570.17, 571.1, and 571.6.  </w:t>
      </w:r>
      <w:r w:rsidRPr="00EB333A" w:rsidR="00417D3E">
        <w:rPr>
          <w:rFonts w:eastAsia="Calibri"/>
        </w:rPr>
        <w:t>Upon approval of the consolidated collection OMB control number 0910-0546, we will ask OMB to discontinue OMB control number 0910-0721.</w:t>
      </w:r>
      <w:r w:rsidR="009B4DF2">
        <w:rPr>
          <w:rFonts w:eastAsia="Calibri"/>
          <w:color w:val="FF0000"/>
        </w:rPr>
        <w:br/>
      </w:r>
    </w:p>
    <w:p w:rsidRPr="00357C8A" w:rsidR="00357C8A" w:rsidP="006705EA" w:rsidRDefault="00357C8A" w14:paraId="06DA39C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C43289" w:rsidR="00C43289" w:rsidP="00706265" w:rsidRDefault="00C43289" w14:paraId="7CE6C68D" w14:textId="099FEA72">
      <w:pPr>
        <w:spacing w:after="200"/>
        <w:ind w:left="360"/>
        <w:rPr>
          <w:rFonts w:eastAsia="Calibri"/>
        </w:rPr>
      </w:pPr>
      <w:r w:rsidRPr="00C43289">
        <w:rPr>
          <w:rFonts w:eastAsia="Calibri"/>
        </w:rPr>
        <w:t>The information collected is necessary to protect the public health. We use the information submitted by food manufacturers or food additive manufacturers to ascertain whether the data establish the identity of the substance, justify its intended effect in/on the food, and establish that its intended use in/on food is safe.</w:t>
      </w:r>
    </w:p>
    <w:p w:rsidRPr="00C43289" w:rsidR="00C43289" w:rsidP="00706265" w:rsidRDefault="00C43289" w14:paraId="3C5C11D3" w14:textId="77777777">
      <w:pPr>
        <w:spacing w:after="200"/>
        <w:ind w:left="360"/>
        <w:rPr>
          <w:rFonts w:eastAsia="Calibri"/>
        </w:rPr>
      </w:pPr>
      <w:r w:rsidRPr="00C43289">
        <w:rPr>
          <w:rFonts w:eastAsia="Calibri"/>
        </w:rPr>
        <w:t xml:space="preserve">The petitions themselves may contain privileged information that will not be made public and will not be directly published.  However, favorable action on the petition by the Agency requires publication of a regulation in the Federal Register establishing the conditions under which the additive may be safely used in animal food. </w:t>
      </w:r>
    </w:p>
    <w:p w:rsidR="00C43289" w:rsidP="00706265" w:rsidRDefault="00C43289" w14:paraId="33249635" w14:textId="77777777">
      <w:pPr>
        <w:spacing w:after="200"/>
        <w:ind w:left="360"/>
        <w:rPr>
          <w:rFonts w:eastAsia="Calibri"/>
        </w:rPr>
      </w:pPr>
      <w:r w:rsidRPr="00C43289">
        <w:rPr>
          <w:rFonts w:eastAsia="Calibri"/>
        </w:rPr>
        <w:t>The labeling information for animal food, such as proper name of the product, the name and address of the manufacturer of the product, and other requirements such as net contents statements, are specifically required by FFDCA and other Acts enforced by FDA.  Labeling information for foods consumed by animals often includes specific directions for use</w:t>
      </w:r>
      <w:r w:rsidR="000126CF">
        <w:rPr>
          <w:rFonts w:eastAsia="Calibri"/>
        </w:rPr>
        <w:t xml:space="preserve"> and</w:t>
      </w:r>
      <w:r w:rsidRPr="00C43289">
        <w:rPr>
          <w:rFonts w:eastAsia="Calibri"/>
        </w:rPr>
        <w:t xml:space="preserve"> provide</w:t>
      </w:r>
      <w:r w:rsidR="000126CF">
        <w:rPr>
          <w:rFonts w:eastAsia="Calibri"/>
        </w:rPr>
        <w:t>s</w:t>
      </w:r>
      <w:r w:rsidRPr="00C43289">
        <w:rPr>
          <w:rFonts w:eastAsia="Calibri"/>
        </w:rPr>
        <w:t xml:space="preserve"> animal owners with information on the color additives used in animal food.  Animal owners use the information to become knowledgeable about the foods they purchase for their animals.  Color additive information enables a consumer to comparison shop and to avoid substances to which their animals may be sensitive.</w:t>
      </w:r>
    </w:p>
    <w:p w:rsidRPr="00357C8A" w:rsidR="00357C8A" w:rsidP="006705EA" w:rsidRDefault="00357C8A" w14:paraId="1DA33ED5"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B71A1" w:rsidP="00706265" w:rsidRDefault="003B71A1" w14:paraId="1AAE211C" w14:textId="77777777">
      <w:pPr>
        <w:spacing w:after="200"/>
        <w:ind w:left="360"/>
        <w:rPr>
          <w:rFonts w:eastAsia="Calibri"/>
        </w:rPr>
      </w:pPr>
      <w:r w:rsidRPr="003B71A1">
        <w:rPr>
          <w:rFonts w:eastAsia="Calibri"/>
        </w:rPr>
        <w:t>Food additive petitions and requests for investigational food additive exemptions may be submitted electronically via the FDA Electronic Submission Gateway (FDA ESG).  FDA estimates that 10% of the respondents will use electronic means to submit food additive petitions and requests for investigational food additive exemptions.</w:t>
      </w:r>
    </w:p>
    <w:p w:rsidRPr="00006680" w:rsidR="00357C8A" w:rsidP="00706265" w:rsidRDefault="00006680" w14:paraId="2538FDB3" w14:textId="77777777">
      <w:pPr>
        <w:spacing w:after="200"/>
        <w:ind w:left="360"/>
        <w:rPr>
          <w:rFonts w:eastAsia="Calibri"/>
        </w:rPr>
      </w:pPr>
      <w:r w:rsidRPr="00006680">
        <w:rPr>
          <w:rFonts w:eastAsia="Calibri"/>
        </w:rPr>
        <w:t>In the majority of cases (&gt;90%), animal feed companies revise their product labels without sending their draft labels to FDA for review.  Because the vast majority of animal food products that contain certified color additives are pet foods, we limit our burden estimate to reviewing labels for the use of certified color additives to pet food manufacturers subject to this regulation. For the small number of companies that will be sending their draft labels to FDA for review, about 90% will be by e-mail and 10% by mail.</w:t>
      </w:r>
    </w:p>
    <w:p w:rsidRPr="00357C8A" w:rsidR="00357C8A" w:rsidP="006705EA" w:rsidRDefault="00357C8A" w14:paraId="16697D4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3B71A1" w:rsidR="000C1260" w:rsidP="00706265" w:rsidRDefault="0053380B" w14:paraId="67F861BD" w14:textId="77777777">
      <w:pPr>
        <w:spacing w:after="200"/>
        <w:ind w:firstLine="360"/>
      </w:pPr>
      <w:r w:rsidRPr="005C71CA">
        <w:t>We are unaware of duplicative information collection.</w:t>
      </w:r>
    </w:p>
    <w:p w:rsidRPr="00357C8A" w:rsidR="00357C8A" w:rsidP="006705EA" w:rsidRDefault="00357C8A" w14:paraId="3ECA720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5225BD" w:rsidP="00706265" w:rsidRDefault="005225BD" w14:paraId="2460EA02" w14:textId="34FE1CE1">
      <w:pPr>
        <w:spacing w:after="200"/>
        <w:ind w:left="360"/>
      </w:pPr>
      <w:r>
        <w:t xml:space="preserve">This collection carries the same burden for small or large firms.  The FD&amp;C Act and our regulations require all respondents to submit the same information.  There is no exemption from the </w:t>
      </w:r>
      <w:r>
        <w:rPr>
          <w:rFonts w:eastAsia="Arial Unicode MS"/>
          <w:color w:val="000000"/>
        </w:rPr>
        <w:t>requirements of the regulation</w:t>
      </w:r>
      <w:r>
        <w:t xml:space="preserve"> for small businesses. </w:t>
      </w:r>
    </w:p>
    <w:p w:rsidR="005225BD" w:rsidP="00706265" w:rsidRDefault="005225BD" w14:paraId="13A6A887" w14:textId="4BACC7D9">
      <w:pPr>
        <w:spacing w:after="200"/>
        <w:ind w:left="360"/>
      </w:pPr>
      <w:r>
        <w:lastRenderedPageBreak/>
        <w:t>With regards to food additive petitions and investigational food additive files exemptions, we estimate that approximately one quarter of respondents, or 3 firms, are small businesses.</w:t>
      </w:r>
    </w:p>
    <w:p w:rsidR="005225BD" w:rsidP="00706265" w:rsidRDefault="005225BD" w14:paraId="62A5052B" w14:textId="5AC14B7D">
      <w:pPr>
        <w:spacing w:after="200"/>
        <w:ind w:left="360"/>
        <w:rPr>
          <w:rFonts w:eastAsia="Calibri"/>
        </w:rPr>
      </w:pPr>
      <w:r w:rsidRPr="0080776C">
        <w:rPr>
          <w:rFonts w:eastAsia="Calibri"/>
        </w:rPr>
        <w:t>We believe that our requirements for the declaration of certifiable color additives in animal food labeling impose the minimal burden necessary while still allowing us to comply with the FD&amp;C Act.</w:t>
      </w:r>
      <w:r>
        <w:rPr>
          <w:rFonts w:eastAsia="Calibri"/>
        </w:rPr>
        <w:t xml:space="preserve">  </w:t>
      </w:r>
      <w:r w:rsidRPr="0080776C">
        <w:rPr>
          <w:rFonts w:eastAsia="Calibri"/>
        </w:rPr>
        <w:t>We estimate that approximately 3,050 respondents are small businesses.</w:t>
      </w:r>
    </w:p>
    <w:p w:rsidRPr="005225BD" w:rsidR="005225BD" w:rsidP="00706265" w:rsidRDefault="005225BD" w14:paraId="1861F62E" w14:textId="77777777">
      <w:pPr>
        <w:spacing w:after="200"/>
        <w:ind w:left="360"/>
        <w:rPr>
          <w:rFonts w:eastAsia="Calibri"/>
        </w:rPr>
      </w:pPr>
      <w:r w:rsidRPr="005225BD">
        <w:rPr>
          <w:rFonts w:eastAsia="Calibri"/>
        </w:rPr>
        <w:t xml:space="preserve">FDA aids small businesses in complying with its requirements through the Agency’s Regional Small Business Representatives and through the scientific and administrative staffs within the Agency.  FDA also provides a Small Business Guide on the Agency’s website at </w:t>
      </w:r>
      <w:hyperlink w:history="1" r:id="rId10">
        <w:r w:rsidRPr="005225BD">
          <w:rPr>
            <w:rStyle w:val="Hyperlink"/>
            <w:rFonts w:eastAsia="Calibri"/>
          </w:rPr>
          <w:t>http://www.fda.gov/oc/industry/.</w:t>
        </w:r>
      </w:hyperlink>
    </w:p>
    <w:p w:rsidRPr="00357C8A" w:rsidR="00357C8A" w:rsidP="006705EA" w:rsidRDefault="00357C8A" w14:paraId="1F09024B"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2A2268" w:rsidP="00706265" w:rsidRDefault="002A2268" w14:paraId="7183D1E9" w14:textId="77777777">
      <w:pPr>
        <w:spacing w:after="200"/>
        <w:ind w:left="360"/>
      </w:pPr>
      <w:r>
        <w:t xml:space="preserve">Data collection occurs occasionally.  </w:t>
      </w:r>
    </w:p>
    <w:p w:rsidR="002A2268" w:rsidP="00706265" w:rsidRDefault="002A2268" w14:paraId="13B4900E" w14:textId="0F635A17">
      <w:pPr>
        <w:spacing w:after="200"/>
        <w:ind w:left="360"/>
        <w:rPr>
          <w:rFonts w:eastAsia="Calibri"/>
        </w:rPr>
      </w:pPr>
      <w:r>
        <w:t>Reporting requirements associated with the respondent’s petition to establish the safety of a food additive and to secure the issuance of a regulation permitting its use in animal food or respondent’s request for exemption for investigational use is a one-time event.</w:t>
      </w:r>
    </w:p>
    <w:p w:rsidRPr="00357C8A" w:rsidR="00357C8A" w:rsidP="00706265" w:rsidRDefault="002A2268" w14:paraId="0509D5BC" w14:textId="3C08D0B2">
      <w:pPr>
        <w:spacing w:after="200"/>
        <w:ind w:left="360"/>
        <w:rPr>
          <w:rFonts w:eastAsia="Calibri"/>
          <w:color w:val="FF0000"/>
        </w:rPr>
      </w:pPr>
      <w:r>
        <w:rPr>
          <w:rFonts w:eastAsia="Calibri"/>
        </w:rPr>
        <w:t>Only when a product label chan</w:t>
      </w:r>
      <w:r w:rsidR="00164AF7">
        <w:rPr>
          <w:rFonts w:eastAsia="Calibri"/>
        </w:rPr>
        <w:t>ges is i</w:t>
      </w:r>
      <w:r w:rsidRPr="002A2268">
        <w:rPr>
          <w:rFonts w:eastAsia="Calibri"/>
        </w:rPr>
        <w:t>nformation collected and updated.  If this information is not collected, FDA would not be able to ensure the safety of the regulated products entering the marketplace.</w:t>
      </w:r>
    </w:p>
    <w:p w:rsidRPr="00357C8A" w:rsidR="00357C8A" w:rsidP="006705EA" w:rsidRDefault="00357C8A" w14:paraId="6559378E"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706265" w:rsidRDefault="00BF4284" w14:paraId="2AB52D83" w14:textId="340FD398">
      <w:pPr>
        <w:spacing w:after="200"/>
        <w:ind w:firstLine="360"/>
        <w:rPr>
          <w:rFonts w:eastAsia="Calibri"/>
        </w:rPr>
      </w:pPr>
      <w:r>
        <w:rPr>
          <w:rFonts w:eastAsia="Calibri"/>
        </w:rPr>
        <w:t>There are no special circumstances for this collection of information.</w:t>
      </w:r>
    </w:p>
    <w:p w:rsidRPr="00357C8A" w:rsidR="00357C8A" w:rsidP="006705EA" w:rsidRDefault="00357C8A" w14:paraId="039FB5CA"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357C8A" w:rsidR="00792947" w:rsidP="00706265" w:rsidRDefault="00792947" w14:paraId="40002ED1" w14:textId="1486C061">
      <w:pPr>
        <w:spacing w:after="200"/>
        <w:ind w:left="36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2A2268">
        <w:rPr>
          <w:rFonts w:eastAsia="Calibri"/>
        </w:rPr>
        <w:t>October 8, 2021</w:t>
      </w:r>
      <w:r w:rsidR="00943072">
        <w:rPr>
          <w:rFonts w:eastAsia="Calibri"/>
        </w:rPr>
        <w:t xml:space="preserve">, </w:t>
      </w:r>
      <w:r w:rsidR="002A2268">
        <w:rPr>
          <w:rFonts w:eastAsia="Calibri"/>
        </w:rPr>
        <w:t xml:space="preserve"> 86</w:t>
      </w:r>
      <w:r w:rsidR="009009E7">
        <w:rPr>
          <w:rFonts w:eastAsia="Calibri"/>
        </w:rPr>
        <w:t xml:space="preserve"> FR </w:t>
      </w:r>
      <w:r w:rsidR="002A2268">
        <w:rPr>
          <w:rFonts w:eastAsia="Calibri"/>
        </w:rPr>
        <w:t>56277</w:t>
      </w:r>
      <w:r w:rsidR="00587B85">
        <w:rPr>
          <w:rFonts w:eastAsia="Calibri"/>
        </w:rPr>
        <w:t xml:space="preserve">.  </w:t>
      </w:r>
      <w:r w:rsidRPr="0095336D" w:rsidR="0095336D">
        <w:rPr>
          <w:rFonts w:eastAsia="Calibri"/>
        </w:rPr>
        <w:t>Although three comments were received, they were not responsive to the four collection of information topics solicited and therefore will not be discussed in this document.</w:t>
      </w:r>
    </w:p>
    <w:p w:rsidRPr="00357C8A" w:rsidR="00357C8A" w:rsidP="006705EA" w:rsidRDefault="00357C8A" w14:paraId="3DB7821B"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2A2268" w:rsidR="00357C8A" w:rsidP="00706265" w:rsidRDefault="00792947" w14:paraId="618F46E1" w14:textId="5C6D8F95">
      <w:pPr>
        <w:spacing w:after="200"/>
        <w:ind w:firstLine="360"/>
        <w:rPr>
          <w:rFonts w:eastAsia="Calibri"/>
          <w:i/>
        </w:rPr>
      </w:pPr>
      <w:r w:rsidRPr="002074FE">
        <w:rPr>
          <w:rFonts w:eastAsia="Calibri"/>
        </w:rPr>
        <w:t>There are no incentives, payments or gifts associated with this information collection.</w:t>
      </w:r>
    </w:p>
    <w:p w:rsidRPr="00357C8A" w:rsidR="00357C8A" w:rsidP="006705EA" w:rsidRDefault="00357C8A" w14:paraId="509F0A4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CB4111" w:rsidR="00CB4111" w:rsidP="00706265" w:rsidRDefault="00CB4111" w14:paraId="005AAFF3" w14:textId="56FB475B">
      <w:pPr>
        <w:spacing w:after="200"/>
        <w:ind w:left="360"/>
        <w:rPr>
          <w:rFonts w:eastAsia="Calibri"/>
        </w:rPr>
      </w:pPr>
      <w:r w:rsidRPr="00CB4111">
        <w:rPr>
          <w:rFonts w:eastAsia="Calibri"/>
        </w:rPr>
        <w:t>In preparing this Supporting Statement, we consulted our Privacy Office to ensure appropriate identification and handling of information collected.</w:t>
      </w:r>
      <w:r w:rsidR="005E7A94">
        <w:rPr>
          <w:rFonts w:eastAsia="Calibri"/>
        </w:rPr>
        <w:t xml:space="preserve"> </w:t>
      </w:r>
    </w:p>
    <w:p w:rsidR="00CB4111" w:rsidP="00706265" w:rsidRDefault="00CB4111" w14:paraId="321CA271" w14:textId="77777777">
      <w:pPr>
        <w:spacing w:after="200"/>
        <w:ind w:left="432"/>
      </w:pPr>
      <w:r w:rsidRPr="00CB4111">
        <w:rPr>
          <w:i/>
          <w:iCs/>
          <w:u w:val="single"/>
        </w:rPr>
        <w:t>Food Additive Petitions and Investigational Food Additive Exemptions</w:t>
      </w:r>
      <w:r>
        <w:rPr>
          <w:i/>
          <w:iCs/>
          <w:u w:val="single"/>
        </w:rPr>
        <w:t>:</w:t>
      </w:r>
      <w:r>
        <w:t xml:space="preserve"> </w:t>
      </w:r>
    </w:p>
    <w:p w:rsidRPr="00CB4111" w:rsidR="00CB4111" w:rsidP="00706265" w:rsidRDefault="00CB4111" w14:paraId="0F90A67E" w14:textId="02C1F30A">
      <w:pPr>
        <w:spacing w:after="200"/>
        <w:ind w:left="432"/>
        <w:rPr>
          <w:rFonts w:eastAsia="Calibri"/>
        </w:rPr>
      </w:pPr>
      <w:r w:rsidRPr="00CB4111">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is name of petitioner/filer and post office address. FDA determined that although PII is collected it is not subject to the Privacy Act of 1974 and the particular notice and other requirements of the Act do not apply. Specifically, the contractor or FDA do not use name or any other personal </w:t>
      </w:r>
      <w:r w:rsidRPr="00CB4111">
        <w:rPr>
          <w:rFonts w:eastAsia="Calibri"/>
        </w:rPr>
        <w:lastRenderedPageBreak/>
        <w:t>identifier to routinely retrieve records from the information collected. Through appropriate design, FDA limited submission fields and minimized the PII collected to protect the privacy of the individuals.</w:t>
      </w:r>
    </w:p>
    <w:p w:rsidR="00CB4111" w:rsidP="00706265" w:rsidRDefault="00CB4111" w14:paraId="3B4FDEAE" w14:textId="77777777">
      <w:pPr>
        <w:ind w:left="432"/>
        <w:rPr>
          <w:rFonts w:eastAsia="Calibri"/>
        </w:rPr>
      </w:pPr>
      <w:r w:rsidRPr="00CB4111">
        <w:rPr>
          <w:rFonts w:eastAsia="Calibri"/>
          <w:i/>
          <w:iCs/>
          <w:u w:val="single"/>
        </w:rPr>
        <w:t>Animal Food Labeling; Declaration of Certified and Non-Certified Color Additives</w:t>
      </w:r>
      <w:r>
        <w:rPr>
          <w:rFonts w:eastAsia="Calibri"/>
          <w:i/>
          <w:iCs/>
          <w:u w:val="single"/>
        </w:rPr>
        <w:t>:</w:t>
      </w:r>
      <w:r>
        <w:rPr>
          <w:rFonts w:eastAsia="Calibri"/>
        </w:rPr>
        <w:t xml:space="preserve"> </w:t>
      </w:r>
    </w:p>
    <w:p w:rsidR="00CB4111" w:rsidP="00706265" w:rsidRDefault="00CB4111" w14:paraId="021E87D1" w14:textId="77777777">
      <w:pPr>
        <w:ind w:left="432"/>
        <w:rPr>
          <w:rFonts w:eastAsia="Calibri"/>
        </w:rPr>
      </w:pPr>
    </w:p>
    <w:p w:rsidR="00CB4111" w:rsidP="00706265" w:rsidRDefault="00CB4111" w14:paraId="684CFECB" w14:textId="77777777">
      <w:pPr>
        <w:ind w:left="432"/>
      </w:pPr>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is name and employer address.  This information collection is to provide labeling so animal owners can have information on the color additives used in animal food.  Through appropriate guidance, </w:t>
      </w:r>
      <w:r w:rsidRPr="00D66147">
        <w:t xml:space="preserve">FDA </w:t>
      </w:r>
      <w:r>
        <w:t xml:space="preserve">limited submission fields and </w:t>
      </w:r>
      <w:r w:rsidRPr="00D66147">
        <w:t>minimized the PII collected to protect the privacy of the individuals</w:t>
      </w:r>
      <w:r>
        <w:t>.</w:t>
      </w:r>
    </w:p>
    <w:p w:rsidR="00CB4111" w:rsidP="00706265" w:rsidRDefault="00CB4111" w14:paraId="6CD78F7B" w14:textId="77777777">
      <w:pPr>
        <w:ind w:left="-288"/>
      </w:pPr>
    </w:p>
    <w:p w:rsidRPr="00CB4111" w:rsidR="00357C8A" w:rsidP="00706265" w:rsidRDefault="00CB4111" w14:paraId="24A85B72" w14:textId="77777777">
      <w:pPr>
        <w:spacing w:after="200"/>
        <w:ind w:left="360"/>
        <w:rPr>
          <w:rFonts w:eastAsia="Calibri"/>
        </w:rPr>
      </w:pPr>
      <w:r w:rsidRPr="00C61647">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1075D3" w:rsidP="001075D3" w:rsidRDefault="001075D3" w14:paraId="69C8DE55" w14:textId="77777777">
      <w:pPr>
        <w:ind w:left="720"/>
      </w:pPr>
    </w:p>
    <w:p w:rsidRPr="00357C8A" w:rsidR="00357C8A" w:rsidP="006705EA" w:rsidRDefault="00357C8A" w14:paraId="5A064C60" w14:textId="77777777">
      <w:pPr>
        <w:numPr>
          <w:ilvl w:val="0"/>
          <w:numId w:val="6"/>
        </w:numPr>
        <w:spacing w:after="200" w:line="276" w:lineRule="auto"/>
        <w:rPr>
          <w:rFonts w:eastAsia="Calibri"/>
        </w:rPr>
      </w:pPr>
      <w:r w:rsidRPr="00357C8A">
        <w:rPr>
          <w:rFonts w:eastAsia="Calibri"/>
          <w:u w:val="single"/>
        </w:rPr>
        <w:t>Justification for Sensitive Questions</w:t>
      </w:r>
    </w:p>
    <w:p w:rsidRPr="00164AF7" w:rsidR="00357C8A" w:rsidP="00706265" w:rsidRDefault="00357C8A" w14:paraId="0C52847F" w14:textId="3B2A9699">
      <w:pPr>
        <w:spacing w:after="200"/>
        <w:ind w:firstLine="360"/>
        <w:rPr>
          <w:rFonts w:eastAsia="Calibri"/>
          <w:iCs/>
        </w:rPr>
      </w:pPr>
      <w:r w:rsidRPr="00164AF7">
        <w:rPr>
          <w:rFonts w:eastAsia="Calibri"/>
          <w:iCs/>
        </w:rPr>
        <w:t>The collection of information does not involve sensitive questions.</w:t>
      </w:r>
    </w:p>
    <w:p w:rsidRPr="00357C8A" w:rsidR="00357C8A" w:rsidP="006705EA" w:rsidRDefault="00357C8A" w14:paraId="54B1A592"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3E29BD09" w14:textId="77777777">
      <w:pPr>
        <w:spacing w:after="200"/>
        <w:ind w:left="360"/>
        <w:rPr>
          <w:rFonts w:eastAsia="Calibri"/>
        </w:rPr>
      </w:pPr>
      <w:r w:rsidRPr="005C71CA">
        <w:rPr>
          <w:rFonts w:eastAsia="Calibri"/>
        </w:rPr>
        <w:t>12a.  Annualized Hour Burden Estimate</w:t>
      </w:r>
    </w:p>
    <w:p w:rsidR="00303EDD" w:rsidP="00303EDD" w:rsidRDefault="00303EDD" w14:paraId="0393DEA7" w14:textId="77777777">
      <w:pPr>
        <w:ind w:firstLine="720"/>
        <w:contextualSpacing/>
        <w:jc w:val="center"/>
        <w:rPr>
          <w:vertAlign w:val="superscript"/>
        </w:rPr>
      </w:pPr>
      <w:r>
        <w:t>Table 1.--Estimated Annual Reporting Burden</w:t>
      </w:r>
      <w:r>
        <w:rPr>
          <w:vertAlign w:val="superscript"/>
        </w:rPr>
        <w:t>1</w:t>
      </w:r>
    </w:p>
    <w:tbl>
      <w:tblPr>
        <w:tblW w:w="5787" w:type="pct"/>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01"/>
        <w:gridCol w:w="1488"/>
        <w:gridCol w:w="1573"/>
        <w:gridCol w:w="1345"/>
        <w:gridCol w:w="1404"/>
        <w:gridCol w:w="877"/>
      </w:tblGrid>
      <w:tr w:rsidR="00303EDD" w:rsidTr="00706265" w14:paraId="612E3182" w14:textId="77777777">
        <w:trPr>
          <w:cantSplit/>
          <w:trHeight w:val="638"/>
        </w:trPr>
        <w:tc>
          <w:tcPr>
            <w:tcW w:w="1957" w:type="pct"/>
            <w:shd w:val="clear" w:color="auto" w:fill="auto"/>
          </w:tcPr>
          <w:p w:rsidR="00303EDD" w:rsidP="00515E9D" w:rsidRDefault="00303EDD" w14:paraId="5AD15B1F" w14:textId="77777777">
            <w:pPr>
              <w:jc w:val="center"/>
            </w:pPr>
            <w:r>
              <w:t xml:space="preserve">21 CFR Section </w:t>
            </w:r>
          </w:p>
        </w:tc>
        <w:tc>
          <w:tcPr>
            <w:tcW w:w="677" w:type="pct"/>
            <w:shd w:val="clear" w:color="auto" w:fill="auto"/>
          </w:tcPr>
          <w:p w:rsidR="00303EDD" w:rsidP="00515E9D" w:rsidRDefault="00303EDD" w14:paraId="2CA1A5C8" w14:textId="77777777">
            <w:pPr>
              <w:jc w:val="center"/>
            </w:pPr>
            <w:r>
              <w:t>No. of Respondents</w:t>
            </w:r>
          </w:p>
        </w:tc>
        <w:tc>
          <w:tcPr>
            <w:tcW w:w="716" w:type="pct"/>
            <w:shd w:val="clear" w:color="auto" w:fill="auto"/>
          </w:tcPr>
          <w:p w:rsidR="00303EDD" w:rsidP="00515E9D" w:rsidRDefault="00303EDD" w14:paraId="5061A440" w14:textId="77777777">
            <w:pPr>
              <w:jc w:val="center"/>
            </w:pPr>
            <w:r>
              <w:rPr>
                <w:bCs/>
              </w:rPr>
              <w:t>No. of Responses per Respondent</w:t>
            </w:r>
          </w:p>
        </w:tc>
        <w:tc>
          <w:tcPr>
            <w:tcW w:w="612" w:type="pct"/>
            <w:shd w:val="clear" w:color="auto" w:fill="auto"/>
          </w:tcPr>
          <w:p w:rsidR="00303EDD" w:rsidP="00515E9D" w:rsidRDefault="00303EDD" w14:paraId="4CE706BD" w14:textId="77777777">
            <w:pPr>
              <w:jc w:val="center"/>
            </w:pPr>
            <w:r>
              <w:t>Total Annual Responses</w:t>
            </w:r>
          </w:p>
        </w:tc>
        <w:tc>
          <w:tcPr>
            <w:tcW w:w="639" w:type="pct"/>
            <w:shd w:val="clear" w:color="auto" w:fill="auto"/>
          </w:tcPr>
          <w:p w:rsidR="00303EDD" w:rsidP="00515E9D" w:rsidRDefault="00303EDD" w14:paraId="55FA522E" w14:textId="77777777">
            <w:pPr>
              <w:jc w:val="center"/>
            </w:pPr>
            <w:r>
              <w:rPr>
                <w:bCs/>
              </w:rPr>
              <w:t>Average Burden per Response</w:t>
            </w:r>
          </w:p>
        </w:tc>
        <w:tc>
          <w:tcPr>
            <w:tcW w:w="399" w:type="pct"/>
            <w:shd w:val="clear" w:color="auto" w:fill="auto"/>
          </w:tcPr>
          <w:p w:rsidR="00303EDD" w:rsidP="00515E9D" w:rsidRDefault="00303EDD" w14:paraId="7F2FA086" w14:textId="77777777">
            <w:pPr>
              <w:jc w:val="center"/>
            </w:pPr>
            <w:r>
              <w:t>Total Hours</w:t>
            </w:r>
          </w:p>
        </w:tc>
      </w:tr>
      <w:tr w:rsidR="00303EDD" w:rsidTr="00303EDD" w14:paraId="3C6A0EFB" w14:textId="77777777">
        <w:trPr>
          <w:cantSplit/>
          <w:trHeight w:val="20"/>
        </w:trPr>
        <w:tc>
          <w:tcPr>
            <w:tcW w:w="5000" w:type="pct"/>
            <w:gridSpan w:val="6"/>
            <w:shd w:val="clear" w:color="auto" w:fill="auto"/>
          </w:tcPr>
          <w:p w:rsidRPr="008712F9" w:rsidR="00303EDD" w:rsidP="00515E9D" w:rsidRDefault="00303EDD" w14:paraId="442E39BE" w14:textId="77777777">
            <w:pPr>
              <w:jc w:val="center"/>
            </w:pPr>
            <w:r w:rsidRPr="008712F9">
              <w:t>Food Additive Petitions</w:t>
            </w:r>
          </w:p>
        </w:tc>
      </w:tr>
      <w:tr w:rsidR="00303EDD" w:rsidTr="00706265" w14:paraId="11EE052A" w14:textId="77777777">
        <w:trPr>
          <w:cantSplit/>
          <w:trHeight w:val="20"/>
        </w:trPr>
        <w:tc>
          <w:tcPr>
            <w:tcW w:w="1957" w:type="pct"/>
            <w:shd w:val="clear" w:color="auto" w:fill="auto"/>
          </w:tcPr>
          <w:p w:rsidR="00303EDD" w:rsidP="00515E9D" w:rsidRDefault="00303EDD" w14:paraId="4BCD8EAC" w14:textId="77777777">
            <w:r>
              <w:t>571.1(c) Moderate Category</w:t>
            </w:r>
          </w:p>
        </w:tc>
        <w:tc>
          <w:tcPr>
            <w:tcW w:w="677" w:type="pct"/>
            <w:shd w:val="clear" w:color="auto" w:fill="auto"/>
          </w:tcPr>
          <w:p w:rsidR="00303EDD" w:rsidP="00515E9D" w:rsidRDefault="00303EDD" w14:paraId="27E72E02" w14:textId="77777777">
            <w:pPr>
              <w:jc w:val="right"/>
            </w:pPr>
            <w:r>
              <w:t>6</w:t>
            </w:r>
          </w:p>
        </w:tc>
        <w:tc>
          <w:tcPr>
            <w:tcW w:w="716" w:type="pct"/>
            <w:shd w:val="clear" w:color="auto" w:fill="auto"/>
          </w:tcPr>
          <w:p w:rsidR="00303EDD" w:rsidP="00515E9D" w:rsidRDefault="00303EDD" w14:paraId="6ADCCE2D" w14:textId="77777777">
            <w:pPr>
              <w:jc w:val="right"/>
            </w:pPr>
            <w:r>
              <w:t>1</w:t>
            </w:r>
          </w:p>
        </w:tc>
        <w:tc>
          <w:tcPr>
            <w:tcW w:w="612" w:type="pct"/>
            <w:shd w:val="clear" w:color="auto" w:fill="auto"/>
          </w:tcPr>
          <w:p w:rsidR="00303EDD" w:rsidP="00515E9D" w:rsidRDefault="00303EDD" w14:paraId="33DE912E" w14:textId="77777777">
            <w:pPr>
              <w:jc w:val="right"/>
            </w:pPr>
            <w:r>
              <w:t>6</w:t>
            </w:r>
          </w:p>
        </w:tc>
        <w:tc>
          <w:tcPr>
            <w:tcW w:w="639" w:type="pct"/>
            <w:shd w:val="clear" w:color="auto" w:fill="auto"/>
          </w:tcPr>
          <w:p w:rsidR="00303EDD" w:rsidP="00515E9D" w:rsidRDefault="00303EDD" w14:paraId="7C745CDC" w14:textId="77777777">
            <w:pPr>
              <w:jc w:val="right"/>
            </w:pPr>
            <w:r>
              <w:t>3,000</w:t>
            </w:r>
          </w:p>
        </w:tc>
        <w:tc>
          <w:tcPr>
            <w:tcW w:w="399" w:type="pct"/>
            <w:shd w:val="clear" w:color="auto" w:fill="auto"/>
          </w:tcPr>
          <w:p w:rsidR="00303EDD" w:rsidP="00515E9D" w:rsidRDefault="00303EDD" w14:paraId="171B6B3F" w14:textId="77777777">
            <w:pPr>
              <w:jc w:val="right"/>
            </w:pPr>
            <w:r>
              <w:t>18,000</w:t>
            </w:r>
          </w:p>
        </w:tc>
      </w:tr>
      <w:tr w:rsidR="00303EDD" w:rsidTr="00706265" w14:paraId="691C146D" w14:textId="77777777">
        <w:trPr>
          <w:cantSplit/>
          <w:trHeight w:val="20"/>
        </w:trPr>
        <w:tc>
          <w:tcPr>
            <w:tcW w:w="1957" w:type="pct"/>
            <w:shd w:val="clear" w:color="auto" w:fill="auto"/>
          </w:tcPr>
          <w:p w:rsidR="00303EDD" w:rsidP="00515E9D" w:rsidRDefault="00303EDD" w14:paraId="7348D55A" w14:textId="77777777">
            <w:r>
              <w:t>571.1(c) Complex Category</w:t>
            </w:r>
          </w:p>
        </w:tc>
        <w:tc>
          <w:tcPr>
            <w:tcW w:w="677" w:type="pct"/>
            <w:shd w:val="clear" w:color="auto" w:fill="auto"/>
          </w:tcPr>
          <w:p w:rsidR="00303EDD" w:rsidP="00515E9D" w:rsidRDefault="00303EDD" w14:paraId="4C2DC745" w14:textId="77777777">
            <w:pPr>
              <w:jc w:val="right"/>
            </w:pPr>
            <w:r>
              <w:t>5</w:t>
            </w:r>
          </w:p>
        </w:tc>
        <w:tc>
          <w:tcPr>
            <w:tcW w:w="716" w:type="pct"/>
            <w:shd w:val="clear" w:color="auto" w:fill="auto"/>
          </w:tcPr>
          <w:p w:rsidR="00303EDD" w:rsidP="00515E9D" w:rsidRDefault="00303EDD" w14:paraId="1342795C" w14:textId="77777777">
            <w:pPr>
              <w:jc w:val="right"/>
            </w:pPr>
            <w:r>
              <w:t>1</w:t>
            </w:r>
          </w:p>
        </w:tc>
        <w:tc>
          <w:tcPr>
            <w:tcW w:w="612" w:type="pct"/>
            <w:shd w:val="clear" w:color="auto" w:fill="auto"/>
          </w:tcPr>
          <w:p w:rsidR="00303EDD" w:rsidP="00515E9D" w:rsidRDefault="00303EDD" w14:paraId="78368959" w14:textId="77777777">
            <w:pPr>
              <w:jc w:val="right"/>
            </w:pPr>
            <w:r>
              <w:t>5</w:t>
            </w:r>
          </w:p>
        </w:tc>
        <w:tc>
          <w:tcPr>
            <w:tcW w:w="639" w:type="pct"/>
            <w:shd w:val="clear" w:color="auto" w:fill="auto"/>
          </w:tcPr>
          <w:p w:rsidR="00303EDD" w:rsidP="00515E9D" w:rsidRDefault="00303EDD" w14:paraId="5F400DBF" w14:textId="77777777">
            <w:pPr>
              <w:jc w:val="right"/>
            </w:pPr>
            <w:r>
              <w:t>10,000</w:t>
            </w:r>
          </w:p>
        </w:tc>
        <w:tc>
          <w:tcPr>
            <w:tcW w:w="399" w:type="pct"/>
            <w:shd w:val="clear" w:color="auto" w:fill="auto"/>
          </w:tcPr>
          <w:p w:rsidR="00303EDD" w:rsidP="00515E9D" w:rsidRDefault="00303EDD" w14:paraId="375C4050" w14:textId="77777777">
            <w:pPr>
              <w:jc w:val="right"/>
            </w:pPr>
            <w:r>
              <w:t>50,000</w:t>
            </w:r>
          </w:p>
        </w:tc>
      </w:tr>
      <w:tr w:rsidR="00303EDD" w:rsidTr="00706265" w14:paraId="6D165D18" w14:textId="77777777">
        <w:trPr>
          <w:cantSplit/>
          <w:trHeight w:val="20"/>
        </w:trPr>
        <w:tc>
          <w:tcPr>
            <w:tcW w:w="1957" w:type="pct"/>
            <w:shd w:val="clear" w:color="auto" w:fill="auto"/>
          </w:tcPr>
          <w:p w:rsidR="00303EDD" w:rsidP="00515E9D" w:rsidRDefault="00303EDD" w14:paraId="754891DB" w14:textId="77777777">
            <w:r>
              <w:t>571.6 Amendment of Petition</w:t>
            </w:r>
          </w:p>
        </w:tc>
        <w:tc>
          <w:tcPr>
            <w:tcW w:w="677" w:type="pct"/>
            <w:shd w:val="clear" w:color="auto" w:fill="auto"/>
          </w:tcPr>
          <w:p w:rsidR="00303EDD" w:rsidP="00515E9D" w:rsidRDefault="00303EDD" w14:paraId="7C106CDA" w14:textId="77777777">
            <w:pPr>
              <w:jc w:val="right"/>
            </w:pPr>
            <w:r>
              <w:t>5</w:t>
            </w:r>
          </w:p>
        </w:tc>
        <w:tc>
          <w:tcPr>
            <w:tcW w:w="716" w:type="pct"/>
            <w:shd w:val="clear" w:color="auto" w:fill="auto"/>
          </w:tcPr>
          <w:p w:rsidR="00303EDD" w:rsidP="00515E9D" w:rsidRDefault="00303EDD" w14:paraId="1D2CCF6C" w14:textId="77777777">
            <w:pPr>
              <w:jc w:val="right"/>
            </w:pPr>
            <w:r>
              <w:t>1</w:t>
            </w:r>
          </w:p>
        </w:tc>
        <w:tc>
          <w:tcPr>
            <w:tcW w:w="612" w:type="pct"/>
            <w:shd w:val="clear" w:color="auto" w:fill="auto"/>
          </w:tcPr>
          <w:p w:rsidR="00303EDD" w:rsidP="00515E9D" w:rsidRDefault="00303EDD" w14:paraId="5B1E2F2F" w14:textId="77777777">
            <w:pPr>
              <w:jc w:val="right"/>
            </w:pPr>
            <w:r>
              <w:t>5</w:t>
            </w:r>
          </w:p>
        </w:tc>
        <w:tc>
          <w:tcPr>
            <w:tcW w:w="639" w:type="pct"/>
            <w:shd w:val="clear" w:color="auto" w:fill="auto"/>
          </w:tcPr>
          <w:p w:rsidR="00303EDD" w:rsidP="00515E9D" w:rsidRDefault="00303EDD" w14:paraId="30050CD2" w14:textId="77777777">
            <w:pPr>
              <w:jc w:val="right"/>
            </w:pPr>
            <w:r>
              <w:t>1,300</w:t>
            </w:r>
          </w:p>
        </w:tc>
        <w:tc>
          <w:tcPr>
            <w:tcW w:w="399" w:type="pct"/>
            <w:shd w:val="clear" w:color="auto" w:fill="auto"/>
          </w:tcPr>
          <w:p w:rsidR="00303EDD" w:rsidP="00515E9D" w:rsidRDefault="00303EDD" w14:paraId="4CC99999" w14:textId="77777777">
            <w:pPr>
              <w:jc w:val="right"/>
            </w:pPr>
            <w:r>
              <w:t>6,500</w:t>
            </w:r>
          </w:p>
        </w:tc>
      </w:tr>
      <w:tr w:rsidR="00303EDD" w:rsidTr="00303EDD" w14:paraId="6FAC92C2" w14:textId="77777777">
        <w:trPr>
          <w:cantSplit/>
          <w:trHeight w:val="20"/>
        </w:trPr>
        <w:tc>
          <w:tcPr>
            <w:tcW w:w="5000" w:type="pct"/>
            <w:gridSpan w:val="6"/>
            <w:shd w:val="clear" w:color="auto" w:fill="auto"/>
          </w:tcPr>
          <w:p w:rsidRPr="008712F9" w:rsidR="00303EDD" w:rsidP="00515E9D" w:rsidRDefault="00303EDD" w14:paraId="0DFE4BBF" w14:textId="77777777">
            <w:pPr>
              <w:jc w:val="center"/>
            </w:pPr>
            <w:r w:rsidRPr="008712F9">
              <w:t>Investigational Food Additive Files</w:t>
            </w:r>
          </w:p>
        </w:tc>
      </w:tr>
      <w:tr w:rsidR="00303EDD" w:rsidTr="00706265" w14:paraId="2D23F86D" w14:textId="77777777">
        <w:trPr>
          <w:cantSplit/>
          <w:trHeight w:val="20"/>
        </w:trPr>
        <w:tc>
          <w:tcPr>
            <w:tcW w:w="1957" w:type="pct"/>
            <w:shd w:val="clear" w:color="auto" w:fill="auto"/>
          </w:tcPr>
          <w:p w:rsidR="00303EDD" w:rsidP="00515E9D" w:rsidRDefault="00303EDD" w14:paraId="4A871B68" w14:textId="77777777">
            <w:r>
              <w:t>570.17 Moderate Category</w:t>
            </w:r>
          </w:p>
        </w:tc>
        <w:tc>
          <w:tcPr>
            <w:tcW w:w="677" w:type="pct"/>
            <w:shd w:val="clear" w:color="auto" w:fill="auto"/>
          </w:tcPr>
          <w:p w:rsidR="00303EDD" w:rsidP="00515E9D" w:rsidRDefault="00303EDD" w14:paraId="3C33333B" w14:textId="77777777">
            <w:pPr>
              <w:jc w:val="right"/>
            </w:pPr>
            <w:r>
              <w:t>6</w:t>
            </w:r>
          </w:p>
        </w:tc>
        <w:tc>
          <w:tcPr>
            <w:tcW w:w="716" w:type="pct"/>
            <w:shd w:val="clear" w:color="auto" w:fill="auto"/>
          </w:tcPr>
          <w:p w:rsidR="00303EDD" w:rsidP="00515E9D" w:rsidRDefault="00303EDD" w14:paraId="13413F18" w14:textId="77777777">
            <w:pPr>
              <w:jc w:val="right"/>
            </w:pPr>
            <w:r>
              <w:t>1</w:t>
            </w:r>
          </w:p>
        </w:tc>
        <w:tc>
          <w:tcPr>
            <w:tcW w:w="612" w:type="pct"/>
            <w:shd w:val="clear" w:color="auto" w:fill="auto"/>
          </w:tcPr>
          <w:p w:rsidR="00303EDD" w:rsidP="00515E9D" w:rsidRDefault="00303EDD" w14:paraId="491E3B55" w14:textId="77777777">
            <w:pPr>
              <w:jc w:val="right"/>
            </w:pPr>
            <w:r>
              <w:t>6</w:t>
            </w:r>
          </w:p>
        </w:tc>
        <w:tc>
          <w:tcPr>
            <w:tcW w:w="639" w:type="pct"/>
            <w:shd w:val="clear" w:color="auto" w:fill="auto"/>
          </w:tcPr>
          <w:p w:rsidR="00303EDD" w:rsidP="00515E9D" w:rsidRDefault="00303EDD" w14:paraId="27D70DE3" w14:textId="77777777">
            <w:pPr>
              <w:jc w:val="right"/>
            </w:pPr>
            <w:r>
              <w:t>1,500</w:t>
            </w:r>
          </w:p>
        </w:tc>
        <w:tc>
          <w:tcPr>
            <w:tcW w:w="399" w:type="pct"/>
            <w:shd w:val="clear" w:color="auto" w:fill="auto"/>
          </w:tcPr>
          <w:p w:rsidR="00303EDD" w:rsidP="00515E9D" w:rsidRDefault="00303EDD" w14:paraId="003C876C" w14:textId="77777777">
            <w:pPr>
              <w:jc w:val="right"/>
            </w:pPr>
            <w:r>
              <w:t>9,000</w:t>
            </w:r>
          </w:p>
        </w:tc>
      </w:tr>
      <w:tr w:rsidR="00303EDD" w:rsidTr="00706265" w14:paraId="5FB47D3F" w14:textId="77777777">
        <w:trPr>
          <w:cantSplit/>
          <w:trHeight w:val="20"/>
        </w:trPr>
        <w:tc>
          <w:tcPr>
            <w:tcW w:w="1957" w:type="pct"/>
            <w:shd w:val="clear" w:color="auto" w:fill="auto"/>
          </w:tcPr>
          <w:p w:rsidR="00303EDD" w:rsidP="00515E9D" w:rsidRDefault="00303EDD" w14:paraId="57FE3E4C" w14:textId="77777777">
            <w:r>
              <w:t>570.17 Complex Category</w:t>
            </w:r>
          </w:p>
        </w:tc>
        <w:tc>
          <w:tcPr>
            <w:tcW w:w="677" w:type="pct"/>
            <w:shd w:val="clear" w:color="auto" w:fill="auto"/>
          </w:tcPr>
          <w:p w:rsidR="00303EDD" w:rsidP="00515E9D" w:rsidRDefault="00303EDD" w14:paraId="4FA8C386" w14:textId="77777777">
            <w:pPr>
              <w:jc w:val="right"/>
            </w:pPr>
            <w:r>
              <w:t>7</w:t>
            </w:r>
          </w:p>
        </w:tc>
        <w:tc>
          <w:tcPr>
            <w:tcW w:w="716" w:type="pct"/>
            <w:shd w:val="clear" w:color="auto" w:fill="auto"/>
          </w:tcPr>
          <w:p w:rsidR="00303EDD" w:rsidP="00515E9D" w:rsidRDefault="00303EDD" w14:paraId="1861C453" w14:textId="77777777">
            <w:pPr>
              <w:jc w:val="right"/>
            </w:pPr>
            <w:r>
              <w:t>1</w:t>
            </w:r>
          </w:p>
        </w:tc>
        <w:tc>
          <w:tcPr>
            <w:tcW w:w="612" w:type="pct"/>
            <w:shd w:val="clear" w:color="auto" w:fill="auto"/>
          </w:tcPr>
          <w:p w:rsidR="00303EDD" w:rsidP="00515E9D" w:rsidRDefault="00303EDD" w14:paraId="79B5530E" w14:textId="77777777">
            <w:pPr>
              <w:jc w:val="right"/>
            </w:pPr>
            <w:r>
              <w:t>7</w:t>
            </w:r>
          </w:p>
        </w:tc>
        <w:tc>
          <w:tcPr>
            <w:tcW w:w="639" w:type="pct"/>
            <w:shd w:val="clear" w:color="auto" w:fill="auto"/>
          </w:tcPr>
          <w:p w:rsidR="00303EDD" w:rsidP="00515E9D" w:rsidRDefault="00303EDD" w14:paraId="3C40350D" w14:textId="77777777">
            <w:pPr>
              <w:jc w:val="right"/>
            </w:pPr>
            <w:r>
              <w:t>5,000</w:t>
            </w:r>
          </w:p>
        </w:tc>
        <w:tc>
          <w:tcPr>
            <w:tcW w:w="399" w:type="pct"/>
            <w:shd w:val="clear" w:color="auto" w:fill="auto"/>
          </w:tcPr>
          <w:p w:rsidR="00303EDD" w:rsidP="00515E9D" w:rsidRDefault="00303EDD" w14:paraId="063FFC08" w14:textId="77777777">
            <w:pPr>
              <w:jc w:val="right"/>
            </w:pPr>
            <w:r>
              <w:t>35,000</w:t>
            </w:r>
          </w:p>
        </w:tc>
      </w:tr>
      <w:tr w:rsidR="00303EDD" w:rsidTr="00303EDD" w14:paraId="69F4AFF7" w14:textId="77777777">
        <w:trPr>
          <w:cantSplit/>
          <w:trHeight w:val="20"/>
        </w:trPr>
        <w:tc>
          <w:tcPr>
            <w:tcW w:w="5000" w:type="pct"/>
            <w:gridSpan w:val="6"/>
            <w:shd w:val="clear" w:color="auto" w:fill="auto"/>
          </w:tcPr>
          <w:p w:rsidR="00303EDD" w:rsidP="00515E9D" w:rsidRDefault="00303EDD" w14:paraId="2A35B886" w14:textId="77777777">
            <w:pPr>
              <w:jc w:val="center"/>
            </w:pPr>
            <w:r w:rsidRPr="008712F9">
              <w:t>Color Additives</w:t>
            </w:r>
          </w:p>
        </w:tc>
      </w:tr>
      <w:tr w:rsidR="00303EDD" w:rsidTr="00706265" w14:paraId="127EA4ED" w14:textId="77777777">
        <w:trPr>
          <w:cantSplit/>
          <w:trHeight w:val="20"/>
        </w:trPr>
        <w:tc>
          <w:tcPr>
            <w:tcW w:w="1957" w:type="pct"/>
            <w:shd w:val="clear" w:color="auto" w:fill="auto"/>
          </w:tcPr>
          <w:p w:rsidR="00303EDD" w:rsidP="00515E9D" w:rsidRDefault="00303EDD" w14:paraId="6B0F74EA" w14:textId="77777777">
            <w:r>
              <w:t>501.22(k); labeling of color additive or lake of color additive; labeling of color additives not subject to certification</w:t>
            </w:r>
          </w:p>
        </w:tc>
        <w:tc>
          <w:tcPr>
            <w:tcW w:w="677" w:type="pct"/>
            <w:shd w:val="clear" w:color="auto" w:fill="auto"/>
          </w:tcPr>
          <w:p w:rsidR="00303EDD" w:rsidP="00515E9D" w:rsidRDefault="00303EDD" w14:paraId="4B051B36" w14:textId="77777777">
            <w:pPr>
              <w:jc w:val="right"/>
            </w:pPr>
            <w:r>
              <w:t>3,120</w:t>
            </w:r>
          </w:p>
        </w:tc>
        <w:tc>
          <w:tcPr>
            <w:tcW w:w="716" w:type="pct"/>
            <w:shd w:val="clear" w:color="auto" w:fill="auto"/>
          </w:tcPr>
          <w:p w:rsidR="00303EDD" w:rsidP="00515E9D" w:rsidRDefault="00303EDD" w14:paraId="1DF1B72B" w14:textId="77777777">
            <w:pPr>
              <w:jc w:val="right"/>
            </w:pPr>
            <w:r>
              <w:t>0.8292</w:t>
            </w:r>
          </w:p>
        </w:tc>
        <w:tc>
          <w:tcPr>
            <w:tcW w:w="612" w:type="pct"/>
            <w:shd w:val="clear" w:color="auto" w:fill="auto"/>
          </w:tcPr>
          <w:p w:rsidR="00303EDD" w:rsidP="00515E9D" w:rsidRDefault="00303EDD" w14:paraId="5D0CAA36" w14:textId="77777777">
            <w:pPr>
              <w:jc w:val="right"/>
            </w:pPr>
            <w:r>
              <w:t>2,587</w:t>
            </w:r>
          </w:p>
        </w:tc>
        <w:tc>
          <w:tcPr>
            <w:tcW w:w="639" w:type="pct"/>
            <w:shd w:val="clear" w:color="auto" w:fill="auto"/>
          </w:tcPr>
          <w:p w:rsidR="00303EDD" w:rsidP="00515E9D" w:rsidRDefault="00303EDD" w14:paraId="49EABF4B" w14:textId="77777777">
            <w:pPr>
              <w:jc w:val="right"/>
            </w:pPr>
            <w:r>
              <w:t>0.25</w:t>
            </w:r>
          </w:p>
          <w:p w:rsidR="00303EDD" w:rsidP="00515E9D" w:rsidRDefault="00303EDD" w14:paraId="4DB98CBE" w14:textId="77777777">
            <w:pPr>
              <w:jc w:val="right"/>
            </w:pPr>
            <w:r>
              <w:t>(15 minutes)</w:t>
            </w:r>
          </w:p>
        </w:tc>
        <w:tc>
          <w:tcPr>
            <w:tcW w:w="399" w:type="pct"/>
            <w:shd w:val="clear" w:color="auto" w:fill="auto"/>
          </w:tcPr>
          <w:p w:rsidR="00303EDD" w:rsidP="00515E9D" w:rsidRDefault="00303EDD" w14:paraId="62592F76" w14:textId="77777777">
            <w:pPr>
              <w:jc w:val="right"/>
            </w:pPr>
            <w:r>
              <w:t>647</w:t>
            </w:r>
          </w:p>
        </w:tc>
      </w:tr>
      <w:tr w:rsidR="00303EDD" w:rsidTr="00303EDD" w14:paraId="04253714" w14:textId="77777777">
        <w:trPr>
          <w:cantSplit/>
          <w:trHeight w:val="20"/>
        </w:trPr>
        <w:tc>
          <w:tcPr>
            <w:tcW w:w="1957" w:type="pct"/>
            <w:shd w:val="clear" w:color="auto" w:fill="auto"/>
          </w:tcPr>
          <w:p w:rsidR="00303EDD" w:rsidP="00515E9D" w:rsidRDefault="00303EDD" w14:paraId="1F89D085" w14:textId="77777777">
            <w:r>
              <w:t xml:space="preserve">Total Hours                                                       </w:t>
            </w:r>
          </w:p>
        </w:tc>
        <w:tc>
          <w:tcPr>
            <w:tcW w:w="3043" w:type="pct"/>
            <w:gridSpan w:val="5"/>
            <w:shd w:val="clear" w:color="auto" w:fill="auto"/>
          </w:tcPr>
          <w:p w:rsidR="00303EDD" w:rsidP="00515E9D" w:rsidRDefault="00303EDD" w14:paraId="05114F8B" w14:textId="77777777">
            <w:pPr>
              <w:jc w:val="right"/>
            </w:pPr>
            <w:r>
              <w:t>119,147</w:t>
            </w:r>
          </w:p>
        </w:tc>
      </w:tr>
    </w:tbl>
    <w:p w:rsidR="00303EDD" w:rsidP="00DC371B" w:rsidRDefault="00303EDD" w14:paraId="31F6E87E" w14:textId="77777777">
      <w:pPr>
        <w:spacing w:after="200"/>
        <w:ind w:left="360"/>
        <w:rPr>
          <w:rFonts w:eastAsia="Calibri"/>
        </w:rPr>
      </w:pPr>
    </w:p>
    <w:p w:rsidR="00303EDD" w:rsidP="00DC371B" w:rsidRDefault="00303EDD" w14:paraId="462CFFBE" w14:textId="4154F1DF">
      <w:pPr>
        <w:spacing w:after="200"/>
        <w:ind w:left="360"/>
        <w:rPr>
          <w:rFonts w:eastAsia="Calibri"/>
        </w:rPr>
      </w:pPr>
    </w:p>
    <w:p w:rsidR="00A15FE6" w:rsidP="00DC371B" w:rsidRDefault="00A15FE6" w14:paraId="72CFCAA8" w14:textId="77777777">
      <w:pPr>
        <w:spacing w:after="200"/>
        <w:ind w:left="360"/>
        <w:rPr>
          <w:rFonts w:eastAsia="Calibri"/>
        </w:rPr>
      </w:pPr>
    </w:p>
    <w:p w:rsidR="00303EDD" w:rsidP="00DC371B" w:rsidRDefault="00303EDD" w14:paraId="2FBA1C86" w14:textId="77777777">
      <w:pPr>
        <w:spacing w:after="200"/>
        <w:ind w:left="360"/>
        <w:rPr>
          <w:rFonts w:eastAsia="Calibri"/>
        </w:rPr>
      </w:pPr>
    </w:p>
    <w:p w:rsidRPr="005C71CA" w:rsidR="00357C8A" w:rsidP="00DC371B" w:rsidRDefault="00357C8A" w14:paraId="1701CFE4" w14:textId="475C01B3">
      <w:pPr>
        <w:spacing w:after="200"/>
        <w:ind w:left="360"/>
        <w:rPr>
          <w:rFonts w:eastAsia="Calibri"/>
        </w:rPr>
      </w:pPr>
      <w:r w:rsidRPr="005C71CA">
        <w:rPr>
          <w:rFonts w:eastAsia="Calibri"/>
        </w:rPr>
        <w:t>12b.  Annualized Cost Burden Estimate</w:t>
      </w:r>
    </w:p>
    <w:p w:rsidR="00A707CC" w:rsidP="0022425B" w:rsidRDefault="00A707CC" w14:paraId="7B51345E" w14:textId="77777777">
      <w:pPr>
        <w:rPr>
          <w:rFonts w:eastAsia="Calibri"/>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00A707CC" w:rsidTr="00312622" w14:paraId="5D7402FE" w14:textId="77777777">
        <w:tc>
          <w:tcPr>
            <w:tcW w:w="2520" w:type="dxa"/>
            <w:shd w:val="clear" w:color="auto" w:fill="auto"/>
          </w:tcPr>
          <w:p w:rsidR="00A707CC" w:rsidP="00312622" w:rsidRDefault="00A707CC" w14:paraId="7552EB10" w14:textId="1DDA2B29">
            <w:pPr>
              <w:jc w:val="center"/>
            </w:pPr>
            <w:r w:rsidRPr="00355B62">
              <w:t>Type of Respondent</w:t>
            </w:r>
          </w:p>
        </w:tc>
        <w:tc>
          <w:tcPr>
            <w:tcW w:w="1890" w:type="dxa"/>
            <w:shd w:val="clear" w:color="auto" w:fill="auto"/>
          </w:tcPr>
          <w:p w:rsidR="00A707CC" w:rsidP="00312622" w:rsidRDefault="00A707CC" w14:paraId="0910BAD4" w14:textId="77777777">
            <w:pPr>
              <w:jc w:val="center"/>
            </w:pPr>
            <w:r>
              <w:t>Total Burden Hours</w:t>
            </w:r>
          </w:p>
        </w:tc>
        <w:tc>
          <w:tcPr>
            <w:tcW w:w="1944" w:type="dxa"/>
            <w:shd w:val="clear" w:color="auto" w:fill="auto"/>
          </w:tcPr>
          <w:p w:rsidR="00A707CC" w:rsidP="00312622" w:rsidRDefault="00A707CC" w14:paraId="61DC0DC9" w14:textId="77777777">
            <w:pPr>
              <w:jc w:val="center"/>
            </w:pPr>
            <w:r>
              <w:t>Hourly Wage Rate</w:t>
            </w:r>
          </w:p>
        </w:tc>
        <w:tc>
          <w:tcPr>
            <w:tcW w:w="1926" w:type="dxa"/>
            <w:shd w:val="clear" w:color="auto" w:fill="auto"/>
          </w:tcPr>
          <w:p w:rsidR="00A707CC" w:rsidP="00312622" w:rsidRDefault="00A707CC" w14:paraId="5209CFC1" w14:textId="77777777">
            <w:pPr>
              <w:jc w:val="center"/>
            </w:pPr>
            <w:r>
              <w:t>Total Respondent Costs</w:t>
            </w:r>
          </w:p>
        </w:tc>
      </w:tr>
      <w:tr w:rsidR="00A707CC" w:rsidTr="00312622" w14:paraId="1BEBA45C" w14:textId="77777777">
        <w:tc>
          <w:tcPr>
            <w:tcW w:w="2520" w:type="dxa"/>
            <w:shd w:val="clear" w:color="auto" w:fill="auto"/>
          </w:tcPr>
          <w:p w:rsidR="00A707CC" w:rsidP="00312622" w:rsidRDefault="00994E93" w14:paraId="46A3A8FC" w14:textId="782F5B6D">
            <w:r>
              <w:t>Compliance Officer</w:t>
            </w:r>
          </w:p>
        </w:tc>
        <w:tc>
          <w:tcPr>
            <w:tcW w:w="1890" w:type="dxa"/>
            <w:shd w:val="clear" w:color="auto" w:fill="auto"/>
          </w:tcPr>
          <w:p w:rsidR="00A707CC" w:rsidP="00A11B50" w:rsidRDefault="00A84226" w14:paraId="0F9695CE" w14:textId="4E7E44EB">
            <w:pPr>
              <w:jc w:val="right"/>
            </w:pPr>
            <w:r>
              <w:t>118,500</w:t>
            </w:r>
          </w:p>
        </w:tc>
        <w:tc>
          <w:tcPr>
            <w:tcW w:w="1944" w:type="dxa"/>
            <w:shd w:val="clear" w:color="auto" w:fill="auto"/>
          </w:tcPr>
          <w:p w:rsidRPr="008A2B7F" w:rsidR="00A707CC" w:rsidP="00A11B50" w:rsidRDefault="00B75515" w14:paraId="1EFDB38A" w14:textId="469AF8A1">
            <w:pPr>
              <w:jc w:val="right"/>
              <w:rPr>
                <w:vertAlign w:val="superscript"/>
              </w:rPr>
            </w:pPr>
            <w:r>
              <w:t>$</w:t>
            </w:r>
            <w:r w:rsidR="008A2B7F">
              <w:t>54.21</w:t>
            </w:r>
            <w:r w:rsidR="008A2B7F">
              <w:rPr>
                <w:vertAlign w:val="superscript"/>
              </w:rPr>
              <w:t>1</w:t>
            </w:r>
          </w:p>
        </w:tc>
        <w:tc>
          <w:tcPr>
            <w:tcW w:w="1926" w:type="dxa"/>
            <w:shd w:val="clear" w:color="auto" w:fill="auto"/>
          </w:tcPr>
          <w:p w:rsidR="00A707CC" w:rsidP="00A11B50" w:rsidRDefault="00B75515" w14:paraId="05DD755A" w14:textId="5C57B298">
            <w:pPr>
              <w:jc w:val="right"/>
            </w:pPr>
            <w:r>
              <w:t>$</w:t>
            </w:r>
            <w:r w:rsidR="007832DF">
              <w:t>6,423,885</w:t>
            </w:r>
          </w:p>
        </w:tc>
      </w:tr>
      <w:tr w:rsidR="00FD206A" w:rsidTr="00312622" w14:paraId="67E950DB" w14:textId="77777777">
        <w:tc>
          <w:tcPr>
            <w:tcW w:w="2520" w:type="dxa"/>
            <w:shd w:val="clear" w:color="auto" w:fill="auto"/>
          </w:tcPr>
          <w:p w:rsidR="00FD206A" w:rsidP="00312622" w:rsidRDefault="002B1838" w14:paraId="587EC39F" w14:textId="459E923C">
            <w:r>
              <w:t>Industrial Production Manager</w:t>
            </w:r>
          </w:p>
        </w:tc>
        <w:tc>
          <w:tcPr>
            <w:tcW w:w="1890" w:type="dxa"/>
            <w:shd w:val="clear" w:color="auto" w:fill="auto"/>
          </w:tcPr>
          <w:p w:rsidR="00FD206A" w:rsidP="00A11B50" w:rsidRDefault="00263C21" w14:paraId="12239B9B" w14:textId="272BDB8C">
            <w:pPr>
              <w:jc w:val="right"/>
            </w:pPr>
            <w:r>
              <w:t>647</w:t>
            </w:r>
          </w:p>
        </w:tc>
        <w:tc>
          <w:tcPr>
            <w:tcW w:w="1944" w:type="dxa"/>
            <w:shd w:val="clear" w:color="auto" w:fill="auto"/>
          </w:tcPr>
          <w:p w:rsidRPr="00263C21" w:rsidR="00FD206A" w:rsidP="00A11B50" w:rsidRDefault="00B75515" w14:paraId="7B1551E9" w14:textId="3F502C56">
            <w:pPr>
              <w:jc w:val="right"/>
              <w:rPr>
                <w:vertAlign w:val="superscript"/>
              </w:rPr>
            </w:pPr>
            <w:r>
              <w:t>$</w:t>
            </w:r>
            <w:r w:rsidR="00263C21">
              <w:t>73.87</w:t>
            </w:r>
            <w:r w:rsidR="00263C21">
              <w:rPr>
                <w:vertAlign w:val="superscript"/>
              </w:rPr>
              <w:t>2</w:t>
            </w:r>
          </w:p>
        </w:tc>
        <w:tc>
          <w:tcPr>
            <w:tcW w:w="1926" w:type="dxa"/>
            <w:shd w:val="clear" w:color="auto" w:fill="auto"/>
          </w:tcPr>
          <w:p w:rsidR="00FD206A" w:rsidP="00A11B50" w:rsidRDefault="00B36C92" w14:paraId="7BF45838" w14:textId="443CB84B">
            <w:pPr>
              <w:jc w:val="right"/>
            </w:pPr>
            <w:r>
              <w:t>$47,793.89</w:t>
            </w:r>
          </w:p>
        </w:tc>
      </w:tr>
      <w:tr w:rsidR="00A707CC" w:rsidTr="00312622" w14:paraId="677C7EC9" w14:textId="77777777">
        <w:tc>
          <w:tcPr>
            <w:tcW w:w="6354" w:type="dxa"/>
            <w:gridSpan w:val="3"/>
            <w:shd w:val="clear" w:color="auto" w:fill="auto"/>
          </w:tcPr>
          <w:p w:rsidR="00A707CC" w:rsidP="00312622" w:rsidRDefault="00A707CC" w14:paraId="3A0D2CC6" w14:textId="77777777">
            <w:r>
              <w:t>Total</w:t>
            </w:r>
          </w:p>
        </w:tc>
        <w:tc>
          <w:tcPr>
            <w:tcW w:w="1926" w:type="dxa"/>
            <w:shd w:val="clear" w:color="auto" w:fill="auto"/>
          </w:tcPr>
          <w:p w:rsidR="00A707CC" w:rsidP="0011617B" w:rsidRDefault="0011617B" w14:paraId="267B691F" w14:textId="184E5305">
            <w:pPr>
              <w:jc w:val="right"/>
            </w:pPr>
            <w:r>
              <w:t>$</w:t>
            </w:r>
            <w:r w:rsidR="00002A76">
              <w:t>6,471,678</w:t>
            </w:r>
            <w:r>
              <w:t>.89</w:t>
            </w:r>
          </w:p>
        </w:tc>
      </w:tr>
    </w:tbl>
    <w:p w:rsidR="00581615" w:rsidP="00581615" w:rsidRDefault="00581615" w14:paraId="58ACE54C" w14:textId="37A5831B">
      <w:pPr>
        <w:ind w:left="720"/>
        <w:rPr>
          <w:rFonts w:eastAsia="Calibri"/>
          <w:sz w:val="20"/>
          <w:szCs w:val="20"/>
        </w:rPr>
      </w:pPr>
      <w:r>
        <w:rPr>
          <w:rFonts w:eastAsia="Calibri"/>
          <w:sz w:val="20"/>
          <w:szCs w:val="20"/>
          <w:vertAlign w:val="superscript"/>
        </w:rPr>
        <w:t xml:space="preserve">1 </w:t>
      </w:r>
      <w:r w:rsidRPr="006C1E80">
        <w:rPr>
          <w:rFonts w:eastAsia="Calibri"/>
          <w:sz w:val="20"/>
          <w:szCs w:val="20"/>
        </w:rPr>
        <w:t>May 2020 National Industry</w:t>
      </w:r>
      <w:r w:rsidRPr="006C1E80" w:rsidR="00AB463C">
        <w:rPr>
          <w:rFonts w:eastAsia="Calibri"/>
          <w:sz w:val="20"/>
          <w:szCs w:val="20"/>
        </w:rPr>
        <w:t>-Specific Occupational Employment and Wage Estimates, Bureau of Labor Statistics and inclu</w:t>
      </w:r>
      <w:r w:rsidRPr="006C1E80" w:rsidR="006C1E80">
        <w:rPr>
          <w:rFonts w:eastAsia="Calibri"/>
          <w:sz w:val="20"/>
          <w:szCs w:val="20"/>
        </w:rPr>
        <w:t>ding 30% for benefits</w:t>
      </w:r>
      <w:r w:rsidR="006C1E80">
        <w:rPr>
          <w:rFonts w:eastAsia="Calibri"/>
          <w:sz w:val="20"/>
          <w:szCs w:val="20"/>
        </w:rPr>
        <w:t xml:space="preserve"> (</w:t>
      </w:r>
      <w:hyperlink w:history="1" r:id="rId11">
        <w:r w:rsidRPr="00EF4149" w:rsidR="006C7F98">
          <w:rPr>
            <w:rStyle w:val="Hyperlink"/>
            <w:rFonts w:eastAsia="Calibri"/>
            <w:sz w:val="20"/>
            <w:szCs w:val="20"/>
          </w:rPr>
          <w:t>https://www.bls.gov/oes/current/oes131041.htm</w:t>
        </w:r>
      </w:hyperlink>
      <w:r w:rsidR="006C7F98">
        <w:rPr>
          <w:rFonts w:eastAsia="Calibri"/>
          <w:sz w:val="20"/>
          <w:szCs w:val="20"/>
        </w:rPr>
        <w:t>)</w:t>
      </w:r>
    </w:p>
    <w:p w:rsidRPr="002519F5" w:rsidR="00581615" w:rsidP="00581615" w:rsidRDefault="00581615" w14:paraId="407A4AA9" w14:textId="7D4B9C02">
      <w:pPr>
        <w:ind w:left="720"/>
        <w:rPr>
          <w:rFonts w:eastAsia="Calibri"/>
          <w:sz w:val="20"/>
          <w:szCs w:val="20"/>
        </w:rPr>
      </w:pPr>
      <w:r w:rsidRPr="00581615">
        <w:rPr>
          <w:rFonts w:eastAsia="Calibri"/>
          <w:sz w:val="20"/>
          <w:szCs w:val="20"/>
          <w:vertAlign w:val="superscript"/>
        </w:rPr>
        <w:t>2</w:t>
      </w:r>
      <w:r w:rsidRPr="002519F5">
        <w:rPr>
          <w:rFonts w:eastAsia="Calibri"/>
          <w:sz w:val="20"/>
          <w:szCs w:val="20"/>
        </w:rPr>
        <w:t xml:space="preserve"> May 20</w:t>
      </w:r>
      <w:r>
        <w:rPr>
          <w:rFonts w:eastAsia="Calibri"/>
          <w:sz w:val="20"/>
          <w:szCs w:val="20"/>
        </w:rPr>
        <w:t>20</w:t>
      </w:r>
      <w:r w:rsidRPr="002519F5">
        <w:rPr>
          <w:rFonts w:eastAsia="Calibri"/>
          <w:sz w:val="20"/>
          <w:szCs w:val="20"/>
        </w:rPr>
        <w:t xml:space="preserve"> National Industry-Specific Occupational Employment and Wage Estimates, Bureau of Labor Statistics and including 30% for benefits</w:t>
      </w:r>
      <w:r>
        <w:rPr>
          <w:rFonts w:eastAsia="Calibri"/>
          <w:sz w:val="20"/>
          <w:szCs w:val="20"/>
        </w:rPr>
        <w:t xml:space="preserve"> (</w:t>
      </w:r>
      <w:hyperlink w:history="1" r:id="rId12">
        <w:r w:rsidRPr="00F87F62">
          <w:rPr>
            <w:rStyle w:val="Hyperlink"/>
            <w:rFonts w:eastAsia="Calibri"/>
            <w:sz w:val="20"/>
            <w:szCs w:val="20"/>
          </w:rPr>
          <w:t>https://www.bls.gov/oes/current/oes113051.htm</w:t>
        </w:r>
      </w:hyperlink>
      <w:r>
        <w:rPr>
          <w:rFonts w:eastAsia="Calibri"/>
          <w:sz w:val="20"/>
          <w:szCs w:val="20"/>
        </w:rPr>
        <w:t>)</w:t>
      </w:r>
      <w:r w:rsidRPr="002519F5">
        <w:rPr>
          <w:rFonts w:eastAsia="Calibri"/>
          <w:sz w:val="20"/>
          <w:szCs w:val="20"/>
        </w:rPr>
        <w:t>.</w:t>
      </w:r>
    </w:p>
    <w:p w:rsidRPr="00357C8A" w:rsidR="00357C8A" w:rsidP="00357C8A" w:rsidRDefault="00357C8A" w14:paraId="2E18CB86" w14:textId="77777777">
      <w:pPr>
        <w:rPr>
          <w:rFonts w:eastAsia="Calibri"/>
        </w:rPr>
      </w:pPr>
    </w:p>
    <w:p w:rsidRPr="00357C8A" w:rsidR="00357C8A" w:rsidP="006705EA" w:rsidRDefault="00357C8A" w14:paraId="084499B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706265" w:rsidRDefault="000C64EA" w14:paraId="5E79C82A" w14:textId="48DA266D">
      <w:pPr>
        <w:spacing w:after="200" w:line="276" w:lineRule="auto"/>
        <w:ind w:left="360"/>
        <w:rPr>
          <w:rFonts w:eastAsia="Calibri"/>
          <w:u w:val="single"/>
        </w:rPr>
      </w:pPr>
      <w:r>
        <w:t>There are no capital, start-up, operating or maintenance costs associated with this information collection.</w:t>
      </w:r>
    </w:p>
    <w:p w:rsidRPr="00357C8A" w:rsidR="00357C8A" w:rsidP="006705EA" w:rsidRDefault="00357C8A" w14:paraId="0100D1A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5B212C" w:rsidP="00706265" w:rsidRDefault="008D3AE6" w14:paraId="0640C138" w14:textId="77777777">
      <w:pPr>
        <w:spacing w:after="200"/>
        <w:ind w:left="360"/>
      </w:pPr>
      <w:r w:rsidRPr="008D3AE6">
        <w:t>FDA estimates the cost to the Federal Government for this collection to be $</w:t>
      </w:r>
      <w:r w:rsidR="00FD19CE">
        <w:t>54</w:t>
      </w:r>
      <w:r w:rsidRPr="008D3AE6">
        <w:t xml:space="preserve">,253.40.  </w:t>
      </w:r>
    </w:p>
    <w:p w:rsidR="008F70A2" w:rsidP="00706265" w:rsidRDefault="008F70A2" w14:paraId="0D71323C" w14:textId="73998A08">
      <w:pPr>
        <w:spacing w:after="200"/>
        <w:ind w:left="360"/>
        <w:rPr>
          <w:rFonts w:eastAsia="Calibri"/>
        </w:rPr>
      </w:pPr>
      <w:r w:rsidRPr="00700438">
        <w:t>We anticipate that the review of a food additive petition will require the services of a GS-13-3 review scientist for 1000 hours at an hourly rate of $</w:t>
      </w:r>
      <w:r>
        <w:t>53.00</w:t>
      </w:r>
      <w:r w:rsidRPr="00700438">
        <w:t xml:space="preserve"> per hour</w:t>
      </w:r>
      <w:r>
        <w:t xml:space="preserve"> based on the 2021 pay scale in the locality pay area of </w:t>
      </w:r>
      <w:r w:rsidRPr="008D3AE6">
        <w:t>Washington-Baltimore-Arlington</w:t>
      </w:r>
      <w:r w:rsidRPr="00700438">
        <w:t>.  The cost for the one-time review would be $</w:t>
      </w:r>
      <w:r>
        <w:t>53,000</w:t>
      </w:r>
      <w:r w:rsidR="00FE7511">
        <w:t xml:space="preserve"> (1000</w:t>
      </w:r>
      <w:r w:rsidR="004458F1">
        <w:t xml:space="preserve"> hours</w:t>
      </w:r>
      <w:r w:rsidR="001B7615">
        <w:t xml:space="preserve"> x $53.00)</w:t>
      </w:r>
      <w:r w:rsidRPr="00700438">
        <w:t>.</w:t>
      </w:r>
      <w:r>
        <w:rPr>
          <w:rFonts w:eastAsia="Calibri"/>
        </w:rPr>
        <w:t xml:space="preserve"> </w:t>
      </w:r>
    </w:p>
    <w:p w:rsidR="00261330" w:rsidP="00706265" w:rsidRDefault="00261330" w14:paraId="007FECF9" w14:textId="4B0F68B0">
      <w:pPr>
        <w:spacing w:after="200"/>
        <w:ind w:left="360"/>
        <w:rPr>
          <w:rFonts w:eastAsia="Calibri"/>
        </w:rPr>
      </w:pPr>
      <w:r>
        <w:rPr>
          <w:rFonts w:eastAsia="Calibri"/>
        </w:rPr>
        <w:t xml:space="preserve">We anticipate that the </w:t>
      </w:r>
      <w:r w:rsidR="00925641">
        <w:rPr>
          <w:rFonts w:eastAsia="Calibri"/>
        </w:rPr>
        <w:t>review of product labeling will</w:t>
      </w:r>
      <w:r w:rsidR="00725E0A">
        <w:rPr>
          <w:rFonts w:eastAsia="Calibri"/>
        </w:rPr>
        <w:t xml:space="preserve"> require the services of a GS-12 </w:t>
      </w:r>
      <w:r w:rsidR="000E103D">
        <w:rPr>
          <w:rFonts w:eastAsia="Calibri"/>
        </w:rPr>
        <w:t>employee for 30 hours at an hourly rate of $41.78</w:t>
      </w:r>
      <w:r w:rsidR="00AE2AFA">
        <w:rPr>
          <w:rFonts w:eastAsia="Calibri"/>
        </w:rPr>
        <w:t xml:space="preserve"> per hour based on the 2021 pay scale in the locality pay area of Washington</w:t>
      </w:r>
      <w:r w:rsidR="00FE7511">
        <w:rPr>
          <w:rFonts w:eastAsia="Calibri"/>
        </w:rPr>
        <w:t>-Baltimore-Arlington.</w:t>
      </w:r>
      <w:r w:rsidR="00A03435">
        <w:rPr>
          <w:rFonts w:eastAsia="Calibri"/>
        </w:rPr>
        <w:t xml:space="preserve">  </w:t>
      </w:r>
      <w:r w:rsidR="00BF5E5B">
        <w:rPr>
          <w:rFonts w:eastAsia="Calibri"/>
        </w:rPr>
        <w:t xml:space="preserve">The cost for </w:t>
      </w:r>
      <w:r w:rsidR="00AF603C">
        <w:rPr>
          <w:rFonts w:eastAsia="Calibri"/>
        </w:rPr>
        <w:t xml:space="preserve">reviewing product labeling </w:t>
      </w:r>
      <w:r w:rsidR="00704C18">
        <w:rPr>
          <w:rFonts w:eastAsia="Calibri"/>
        </w:rPr>
        <w:t xml:space="preserve">would be </w:t>
      </w:r>
      <w:r w:rsidR="00FA6F5C">
        <w:rPr>
          <w:rFonts w:eastAsia="Calibri"/>
        </w:rPr>
        <w:t>$1,253.40 (30 h</w:t>
      </w:r>
      <w:r w:rsidR="004458F1">
        <w:rPr>
          <w:rFonts w:eastAsia="Calibri"/>
        </w:rPr>
        <w:t>ours x $41.78)</w:t>
      </w:r>
    </w:p>
    <w:p w:rsidR="00357C8A" w:rsidP="006705EA" w:rsidRDefault="00357C8A" w14:paraId="7C36ECF5"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57C8A" w:rsidR="00357C8A" w:rsidP="00706265" w:rsidRDefault="00303EDD" w14:paraId="03EBAEDD" w14:textId="6EC7A6E8">
      <w:pPr>
        <w:spacing w:after="200"/>
        <w:ind w:left="360"/>
        <w:rPr>
          <w:rFonts w:eastAsia="Calibri"/>
        </w:rPr>
      </w:pPr>
      <w:r w:rsidRPr="00303EDD">
        <w:rPr>
          <w:rFonts w:eastAsia="Calibri"/>
        </w:rPr>
        <w:t>The information collection reflects a net decrease of 70,453 hours.  We also experienced a net increase of 2,587 responses from 35 OMB approved annual responses to 2,616 estimated annual responses.  These changes were due to the consolidating of the information collection covered by OMB control number 0910-0721 and due to estimated changes of the number of respondents for food additive petitions and investigational food additive files.</w:t>
      </w:r>
      <w:r w:rsidR="00F727D7">
        <w:rPr>
          <w:rFonts w:eastAsia="Calibri"/>
        </w:rPr>
        <w:t xml:space="preserve"> </w:t>
      </w:r>
    </w:p>
    <w:p w:rsidRPr="00357C8A" w:rsidR="00357C8A" w:rsidP="006705EA" w:rsidRDefault="00357C8A" w14:paraId="2F1CC11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03EDD" w:rsidR="00357C8A" w:rsidP="00706265" w:rsidRDefault="00357C8A" w14:paraId="36E3637E" w14:textId="579FC8E0">
      <w:pPr>
        <w:spacing w:after="200"/>
        <w:ind w:firstLine="360"/>
        <w:rPr>
          <w:rFonts w:eastAsia="Calibri"/>
        </w:rPr>
      </w:pPr>
      <w:r w:rsidRPr="005C71CA">
        <w:rPr>
          <w:rFonts w:eastAsia="Calibri"/>
        </w:rPr>
        <w:t>This information collected will not be published or tabulated.</w:t>
      </w:r>
    </w:p>
    <w:p w:rsidRPr="00357C8A" w:rsidR="00357C8A" w:rsidP="006705EA" w:rsidRDefault="00357C8A" w14:paraId="4C6CB1FA"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D96BE4" w:rsidP="00706265" w:rsidRDefault="00303EDD" w14:paraId="64350056" w14:textId="77777777">
      <w:pPr>
        <w:spacing w:after="200"/>
        <w:ind w:firstLine="360"/>
        <w:rPr>
          <w:rFonts w:eastAsia="Calibri"/>
        </w:rPr>
      </w:pPr>
      <w:r w:rsidRPr="00060482">
        <w:rPr>
          <w:rFonts w:eastAsia="Calibri"/>
        </w:rPr>
        <w:t>FDA will display the OMB expiration date as required by 5 CFR 1320.5</w:t>
      </w:r>
    </w:p>
    <w:p w:rsidRPr="00357C8A" w:rsidR="00357C8A" w:rsidP="00706265" w:rsidRDefault="00357C8A" w14:paraId="41D89F02" w14:textId="4DA5943E">
      <w:pPr>
        <w:spacing w:after="200"/>
        <w:ind w:firstLine="360"/>
        <w:rPr>
          <w:rFonts w:eastAsia="Calibri"/>
          <w:color w:val="FF0000"/>
        </w:rPr>
      </w:pPr>
      <w:r w:rsidRPr="00357C8A">
        <w:rPr>
          <w:rFonts w:eastAsia="Calibri"/>
          <w:color w:val="FF0000"/>
        </w:rPr>
        <w:t xml:space="preserve"> </w:t>
      </w:r>
    </w:p>
    <w:p w:rsidRPr="00357C8A" w:rsidR="00357C8A" w:rsidP="006705EA" w:rsidRDefault="00357C8A" w14:paraId="2E58EBE4" w14:textId="77777777">
      <w:pPr>
        <w:numPr>
          <w:ilvl w:val="0"/>
          <w:numId w:val="6"/>
        </w:numPr>
        <w:spacing w:after="200" w:line="276" w:lineRule="auto"/>
        <w:rPr>
          <w:rFonts w:eastAsia="Calibri"/>
          <w:u w:val="single"/>
        </w:rPr>
      </w:pPr>
      <w:r w:rsidRPr="00357C8A">
        <w:rPr>
          <w:rFonts w:eastAsia="Calibri"/>
          <w:u w:val="single"/>
        </w:rPr>
        <w:lastRenderedPageBreak/>
        <w:t>Exceptions to Certification for Paperwork Reduction Act Submissions</w:t>
      </w:r>
    </w:p>
    <w:p w:rsidRPr="00C20690" w:rsidR="00544138" w:rsidP="00706265" w:rsidRDefault="007E59A8" w14:paraId="244FF6F9" w14:textId="0A5B7E1B">
      <w:pPr>
        <w:spacing w:after="200"/>
        <w:ind w:firstLine="360"/>
        <w:rPr>
          <w:rFonts w:eastAsia="Calibri"/>
        </w:rPr>
      </w:pPr>
      <w:r w:rsidRPr="007E59A8">
        <w:rPr>
          <w:rFonts w:eastAsia="Calibri"/>
        </w:rPr>
        <w:t>There are no exceptions to the certification</w:t>
      </w:r>
      <w:r>
        <w:rPr>
          <w:rFonts w:eastAsia="Calibri"/>
        </w:rPr>
        <w:t>.</w:t>
      </w:r>
    </w:p>
    <w:sectPr w:rsidRPr="00C20690" w:rsidR="00544138" w:rsidSect="005C71CA">
      <w:footerReference w:type="even" r:id="rId13"/>
      <w:footerReference w:type="default" r:id="rId14"/>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1C16" w14:textId="77777777" w:rsidR="00CD67A5" w:rsidRDefault="00CD67A5">
      <w:r>
        <w:separator/>
      </w:r>
    </w:p>
  </w:endnote>
  <w:endnote w:type="continuationSeparator" w:id="0">
    <w:p w14:paraId="4E21CBAD" w14:textId="77777777" w:rsidR="00CD67A5" w:rsidRDefault="00CD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817A"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6E4EF"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635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33ED986F"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A01C5" w14:textId="77777777" w:rsidR="00CD67A5" w:rsidRDefault="00CD67A5">
      <w:r>
        <w:separator/>
      </w:r>
    </w:p>
  </w:footnote>
  <w:footnote w:type="continuationSeparator" w:id="0">
    <w:p w14:paraId="55967307" w14:textId="77777777" w:rsidR="00CD67A5" w:rsidRDefault="00CD6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A76"/>
    <w:rsid w:val="00006680"/>
    <w:rsid w:val="000126CF"/>
    <w:rsid w:val="00031A2C"/>
    <w:rsid w:val="00042B93"/>
    <w:rsid w:val="00043C7F"/>
    <w:rsid w:val="000467A8"/>
    <w:rsid w:val="00052262"/>
    <w:rsid w:val="0006570F"/>
    <w:rsid w:val="00075DE8"/>
    <w:rsid w:val="00087439"/>
    <w:rsid w:val="000C1260"/>
    <w:rsid w:val="000C560C"/>
    <w:rsid w:val="000C64EA"/>
    <w:rsid w:val="000D080B"/>
    <w:rsid w:val="000D48FD"/>
    <w:rsid w:val="000D79CC"/>
    <w:rsid w:val="000E103D"/>
    <w:rsid w:val="000E1C64"/>
    <w:rsid w:val="000F7119"/>
    <w:rsid w:val="00100739"/>
    <w:rsid w:val="0010493E"/>
    <w:rsid w:val="001075D3"/>
    <w:rsid w:val="00107885"/>
    <w:rsid w:val="00114FC4"/>
    <w:rsid w:val="0011617B"/>
    <w:rsid w:val="0012329C"/>
    <w:rsid w:val="00134FA7"/>
    <w:rsid w:val="00137950"/>
    <w:rsid w:val="00152F29"/>
    <w:rsid w:val="00161A71"/>
    <w:rsid w:val="00164AF7"/>
    <w:rsid w:val="00174D54"/>
    <w:rsid w:val="0017702C"/>
    <w:rsid w:val="00185270"/>
    <w:rsid w:val="00196061"/>
    <w:rsid w:val="001A3B5A"/>
    <w:rsid w:val="001B7615"/>
    <w:rsid w:val="001B7CE9"/>
    <w:rsid w:val="001D495A"/>
    <w:rsid w:val="001E244C"/>
    <w:rsid w:val="001E46C9"/>
    <w:rsid w:val="001F1437"/>
    <w:rsid w:val="001F7061"/>
    <w:rsid w:val="00206799"/>
    <w:rsid w:val="002074FE"/>
    <w:rsid w:val="0022425B"/>
    <w:rsid w:val="002259EF"/>
    <w:rsid w:val="00242ED1"/>
    <w:rsid w:val="002444BB"/>
    <w:rsid w:val="00254069"/>
    <w:rsid w:val="00261330"/>
    <w:rsid w:val="00263C21"/>
    <w:rsid w:val="00270748"/>
    <w:rsid w:val="002734E5"/>
    <w:rsid w:val="002746DB"/>
    <w:rsid w:val="00280CAF"/>
    <w:rsid w:val="00282F09"/>
    <w:rsid w:val="00291810"/>
    <w:rsid w:val="00294D62"/>
    <w:rsid w:val="00297532"/>
    <w:rsid w:val="00297FFD"/>
    <w:rsid w:val="002A0EF5"/>
    <w:rsid w:val="002A1210"/>
    <w:rsid w:val="002A2268"/>
    <w:rsid w:val="002A47D2"/>
    <w:rsid w:val="002A7FB5"/>
    <w:rsid w:val="002B126A"/>
    <w:rsid w:val="002B1838"/>
    <w:rsid w:val="002B2074"/>
    <w:rsid w:val="002C26EF"/>
    <w:rsid w:val="002D14D8"/>
    <w:rsid w:val="002D4799"/>
    <w:rsid w:val="002E3FA4"/>
    <w:rsid w:val="002E53A5"/>
    <w:rsid w:val="002E64B8"/>
    <w:rsid w:val="002E6834"/>
    <w:rsid w:val="00303EDD"/>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B71A1"/>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17D3E"/>
    <w:rsid w:val="00423272"/>
    <w:rsid w:val="00424061"/>
    <w:rsid w:val="00442A3C"/>
    <w:rsid w:val="00443969"/>
    <w:rsid w:val="004458F1"/>
    <w:rsid w:val="00447D74"/>
    <w:rsid w:val="00450A74"/>
    <w:rsid w:val="004546BF"/>
    <w:rsid w:val="00465350"/>
    <w:rsid w:val="0047329B"/>
    <w:rsid w:val="00473623"/>
    <w:rsid w:val="00476B91"/>
    <w:rsid w:val="004846BF"/>
    <w:rsid w:val="00494912"/>
    <w:rsid w:val="004A5323"/>
    <w:rsid w:val="004A5A99"/>
    <w:rsid w:val="004C6979"/>
    <w:rsid w:val="004D13A2"/>
    <w:rsid w:val="004D3E7A"/>
    <w:rsid w:val="004F594B"/>
    <w:rsid w:val="004F61E1"/>
    <w:rsid w:val="00513A36"/>
    <w:rsid w:val="00515E9D"/>
    <w:rsid w:val="005225BD"/>
    <w:rsid w:val="0053380B"/>
    <w:rsid w:val="00543194"/>
    <w:rsid w:val="00544138"/>
    <w:rsid w:val="00554E34"/>
    <w:rsid w:val="00561298"/>
    <w:rsid w:val="00581615"/>
    <w:rsid w:val="00584583"/>
    <w:rsid w:val="00587B85"/>
    <w:rsid w:val="00590E90"/>
    <w:rsid w:val="00590EEB"/>
    <w:rsid w:val="005A4099"/>
    <w:rsid w:val="005B212C"/>
    <w:rsid w:val="005C38B2"/>
    <w:rsid w:val="005C5029"/>
    <w:rsid w:val="005C55C2"/>
    <w:rsid w:val="005C71CA"/>
    <w:rsid w:val="005C745C"/>
    <w:rsid w:val="005D4DF5"/>
    <w:rsid w:val="005E42BA"/>
    <w:rsid w:val="005E7A94"/>
    <w:rsid w:val="00611D6B"/>
    <w:rsid w:val="00625CFD"/>
    <w:rsid w:val="006326EC"/>
    <w:rsid w:val="00663A42"/>
    <w:rsid w:val="006641C7"/>
    <w:rsid w:val="006705EA"/>
    <w:rsid w:val="00670BE2"/>
    <w:rsid w:val="00682EA3"/>
    <w:rsid w:val="006916D9"/>
    <w:rsid w:val="006A0E05"/>
    <w:rsid w:val="006A26C6"/>
    <w:rsid w:val="006A465A"/>
    <w:rsid w:val="006A7D5D"/>
    <w:rsid w:val="006C1E80"/>
    <w:rsid w:val="006C7F98"/>
    <w:rsid w:val="006D0C12"/>
    <w:rsid w:val="006D5D57"/>
    <w:rsid w:val="006E2538"/>
    <w:rsid w:val="006E302F"/>
    <w:rsid w:val="006F4D6D"/>
    <w:rsid w:val="00704C18"/>
    <w:rsid w:val="00705086"/>
    <w:rsid w:val="00706265"/>
    <w:rsid w:val="00707CC6"/>
    <w:rsid w:val="00722001"/>
    <w:rsid w:val="00725E0A"/>
    <w:rsid w:val="00751E66"/>
    <w:rsid w:val="00754497"/>
    <w:rsid w:val="007832DF"/>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278F9"/>
    <w:rsid w:val="00842DB7"/>
    <w:rsid w:val="00843752"/>
    <w:rsid w:val="0084479F"/>
    <w:rsid w:val="0085531A"/>
    <w:rsid w:val="0085725E"/>
    <w:rsid w:val="00873D4F"/>
    <w:rsid w:val="0087509F"/>
    <w:rsid w:val="00885B09"/>
    <w:rsid w:val="00892400"/>
    <w:rsid w:val="00896FA2"/>
    <w:rsid w:val="008A209D"/>
    <w:rsid w:val="008A22BB"/>
    <w:rsid w:val="008A2B7F"/>
    <w:rsid w:val="008B035D"/>
    <w:rsid w:val="008B0E29"/>
    <w:rsid w:val="008B0EFA"/>
    <w:rsid w:val="008B30AB"/>
    <w:rsid w:val="008C3BB8"/>
    <w:rsid w:val="008C4B65"/>
    <w:rsid w:val="008D3AE6"/>
    <w:rsid w:val="008E0BEF"/>
    <w:rsid w:val="008E3993"/>
    <w:rsid w:val="008E5F55"/>
    <w:rsid w:val="008F70A2"/>
    <w:rsid w:val="009009E7"/>
    <w:rsid w:val="00905DEF"/>
    <w:rsid w:val="00906056"/>
    <w:rsid w:val="009122AE"/>
    <w:rsid w:val="00913B43"/>
    <w:rsid w:val="00925641"/>
    <w:rsid w:val="00930203"/>
    <w:rsid w:val="009311D2"/>
    <w:rsid w:val="009311E6"/>
    <w:rsid w:val="00931275"/>
    <w:rsid w:val="00933C3F"/>
    <w:rsid w:val="00936AC7"/>
    <w:rsid w:val="00943072"/>
    <w:rsid w:val="0095336D"/>
    <w:rsid w:val="00953B64"/>
    <w:rsid w:val="00961148"/>
    <w:rsid w:val="009646A7"/>
    <w:rsid w:val="00970A88"/>
    <w:rsid w:val="009818A1"/>
    <w:rsid w:val="00994E93"/>
    <w:rsid w:val="009953B2"/>
    <w:rsid w:val="009A1674"/>
    <w:rsid w:val="009B0570"/>
    <w:rsid w:val="009B38BE"/>
    <w:rsid w:val="009B4DF2"/>
    <w:rsid w:val="009C684F"/>
    <w:rsid w:val="009D074C"/>
    <w:rsid w:val="009D6E73"/>
    <w:rsid w:val="009F1F1D"/>
    <w:rsid w:val="009F2B4F"/>
    <w:rsid w:val="009F3C63"/>
    <w:rsid w:val="009F66B5"/>
    <w:rsid w:val="00A02F10"/>
    <w:rsid w:val="00A03435"/>
    <w:rsid w:val="00A1060C"/>
    <w:rsid w:val="00A11B50"/>
    <w:rsid w:val="00A15FE6"/>
    <w:rsid w:val="00A16221"/>
    <w:rsid w:val="00A20A7D"/>
    <w:rsid w:val="00A35D42"/>
    <w:rsid w:val="00A46CCF"/>
    <w:rsid w:val="00A506DE"/>
    <w:rsid w:val="00A53451"/>
    <w:rsid w:val="00A70426"/>
    <w:rsid w:val="00A707CC"/>
    <w:rsid w:val="00A71410"/>
    <w:rsid w:val="00A84226"/>
    <w:rsid w:val="00A91E9A"/>
    <w:rsid w:val="00A93ED9"/>
    <w:rsid w:val="00A96221"/>
    <w:rsid w:val="00AB463C"/>
    <w:rsid w:val="00AC2DBB"/>
    <w:rsid w:val="00AC6A99"/>
    <w:rsid w:val="00AD6048"/>
    <w:rsid w:val="00AE2AFA"/>
    <w:rsid w:val="00AF2569"/>
    <w:rsid w:val="00AF603C"/>
    <w:rsid w:val="00B055EF"/>
    <w:rsid w:val="00B06B5B"/>
    <w:rsid w:val="00B23769"/>
    <w:rsid w:val="00B36C92"/>
    <w:rsid w:val="00B41789"/>
    <w:rsid w:val="00B75515"/>
    <w:rsid w:val="00B81808"/>
    <w:rsid w:val="00B86DFA"/>
    <w:rsid w:val="00B936D0"/>
    <w:rsid w:val="00BB15FB"/>
    <w:rsid w:val="00BD3D5B"/>
    <w:rsid w:val="00BE3600"/>
    <w:rsid w:val="00BF4284"/>
    <w:rsid w:val="00BF5E5B"/>
    <w:rsid w:val="00C01F6F"/>
    <w:rsid w:val="00C041EA"/>
    <w:rsid w:val="00C13BBD"/>
    <w:rsid w:val="00C149AB"/>
    <w:rsid w:val="00C16929"/>
    <w:rsid w:val="00C20690"/>
    <w:rsid w:val="00C36020"/>
    <w:rsid w:val="00C40694"/>
    <w:rsid w:val="00C43289"/>
    <w:rsid w:val="00C479BF"/>
    <w:rsid w:val="00C5124B"/>
    <w:rsid w:val="00C70542"/>
    <w:rsid w:val="00C75CBF"/>
    <w:rsid w:val="00CB4111"/>
    <w:rsid w:val="00CC2894"/>
    <w:rsid w:val="00CD67A5"/>
    <w:rsid w:val="00CD77C3"/>
    <w:rsid w:val="00CE112C"/>
    <w:rsid w:val="00CF55D4"/>
    <w:rsid w:val="00D608DA"/>
    <w:rsid w:val="00D730BF"/>
    <w:rsid w:val="00D852F4"/>
    <w:rsid w:val="00D96BE4"/>
    <w:rsid w:val="00DA13F8"/>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754B3"/>
    <w:rsid w:val="00E77B48"/>
    <w:rsid w:val="00E857FB"/>
    <w:rsid w:val="00E91799"/>
    <w:rsid w:val="00E97DF8"/>
    <w:rsid w:val="00EA0263"/>
    <w:rsid w:val="00EA21FE"/>
    <w:rsid w:val="00EA267A"/>
    <w:rsid w:val="00EA34E3"/>
    <w:rsid w:val="00EB333A"/>
    <w:rsid w:val="00EB7538"/>
    <w:rsid w:val="00EC1868"/>
    <w:rsid w:val="00EE6468"/>
    <w:rsid w:val="00F1299B"/>
    <w:rsid w:val="00F207A4"/>
    <w:rsid w:val="00F25173"/>
    <w:rsid w:val="00F355AC"/>
    <w:rsid w:val="00F40CF7"/>
    <w:rsid w:val="00F44194"/>
    <w:rsid w:val="00F61E14"/>
    <w:rsid w:val="00F71A5A"/>
    <w:rsid w:val="00F727D7"/>
    <w:rsid w:val="00F73A1A"/>
    <w:rsid w:val="00F769E0"/>
    <w:rsid w:val="00FA4A46"/>
    <w:rsid w:val="00FA5B68"/>
    <w:rsid w:val="00FA6F5C"/>
    <w:rsid w:val="00FA75FE"/>
    <w:rsid w:val="00FB1032"/>
    <w:rsid w:val="00FB39BC"/>
    <w:rsid w:val="00FB6A53"/>
    <w:rsid w:val="00FC11CA"/>
    <w:rsid w:val="00FC2E45"/>
    <w:rsid w:val="00FC6BDE"/>
    <w:rsid w:val="00FD19CE"/>
    <w:rsid w:val="00FD206A"/>
    <w:rsid w:val="00FE7511"/>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0823C"/>
  <w15:chartTrackingRefBased/>
  <w15:docId w15:val="{58182657-BBBD-4F74-979F-CC7B06F6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933C3F"/>
    <w:rPr>
      <w:sz w:val="16"/>
      <w:szCs w:val="16"/>
    </w:rPr>
  </w:style>
  <w:style w:type="paragraph" w:styleId="CommentText">
    <w:name w:val="annotation text"/>
    <w:basedOn w:val="Normal"/>
    <w:link w:val="CommentTextChar"/>
    <w:rsid w:val="00933C3F"/>
    <w:rPr>
      <w:sz w:val="20"/>
      <w:szCs w:val="20"/>
    </w:rPr>
  </w:style>
  <w:style w:type="character" w:customStyle="1" w:styleId="CommentTextChar">
    <w:name w:val="Comment Text Char"/>
    <w:basedOn w:val="DefaultParagraphFont"/>
    <w:link w:val="CommentText"/>
    <w:rsid w:val="00933C3F"/>
  </w:style>
  <w:style w:type="paragraph" w:styleId="CommentSubject">
    <w:name w:val="annotation subject"/>
    <w:basedOn w:val="CommentText"/>
    <w:next w:val="CommentText"/>
    <w:link w:val="CommentSubjectChar"/>
    <w:rsid w:val="00933C3F"/>
    <w:rPr>
      <w:b/>
      <w:bCs/>
    </w:rPr>
  </w:style>
  <w:style w:type="character" w:customStyle="1" w:styleId="CommentSubjectChar">
    <w:name w:val="Comment Subject Char"/>
    <w:basedOn w:val="CommentTextChar"/>
    <w:link w:val="CommentSubject"/>
    <w:rsid w:val="00933C3F"/>
    <w:rPr>
      <w:b/>
      <w:bCs/>
    </w:rPr>
  </w:style>
  <w:style w:type="paragraph" w:styleId="Revision">
    <w:name w:val="Revision"/>
    <w:hidden/>
    <w:uiPriority w:val="99"/>
    <w:semiHidden/>
    <w:rsid w:val="00933C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77571">
      <w:bodyDiv w:val="1"/>
      <w:marLeft w:val="0"/>
      <w:marRight w:val="0"/>
      <w:marTop w:val="0"/>
      <w:marBottom w:val="0"/>
      <w:divBdr>
        <w:top w:val="none" w:sz="0" w:space="0" w:color="auto"/>
        <w:left w:val="none" w:sz="0" w:space="0" w:color="auto"/>
        <w:bottom w:val="none" w:sz="0" w:space="0" w:color="auto"/>
        <w:right w:val="none" w:sz="0" w:space="0" w:color="auto"/>
      </w:divBdr>
    </w:div>
    <w:div w:id="642467587">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11305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131041.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da.gov/oc/indus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a6a45121f21fe705a34741decbcf4772">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76c5483630f2befcf8d6c96e7805acbd"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469BC-A0BE-4D98-9738-680B331BD5EF}">
  <ds:schemaRefs>
    <ds:schemaRef ds:uri="http://schemas.microsoft.com/sharepoint/v3/contenttype/forms"/>
  </ds:schemaRefs>
</ds:datastoreItem>
</file>

<file path=customXml/itemProps2.xml><?xml version="1.0" encoding="utf-8"?>
<ds:datastoreItem xmlns:ds="http://schemas.openxmlformats.org/officeDocument/2006/customXml" ds:itemID="{6AAFBD5F-9735-473E-AEB8-F65970482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1912C-AA80-4660-84E2-53EBD7881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2052</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13821</CharactersWithSpaces>
  <SharedDoc>false</SharedDoc>
  <HLinks>
    <vt:vector size="126" baseType="variant">
      <vt:variant>
        <vt:i4>1245239</vt:i4>
      </vt:variant>
      <vt:variant>
        <vt:i4>60</vt:i4>
      </vt:variant>
      <vt:variant>
        <vt:i4>0</vt:i4>
      </vt:variant>
      <vt:variant>
        <vt:i4>5</vt:i4>
      </vt:variant>
      <vt:variant>
        <vt:lpwstr>https://www.law.cornell.edu/definitions/index.php?width=840&amp;height=800&amp;iframe=true&amp;def_id=0505be29e2d74f665528f536e6433762&amp;term_occur=8&amp;term_src=Title:5:Chapter:III:Subchapter:B:Part:1320:1320.9</vt:lpwstr>
      </vt:variant>
      <vt:variant>
        <vt:lpwstr/>
      </vt:variant>
      <vt:variant>
        <vt:i4>7274513</vt:i4>
      </vt:variant>
      <vt:variant>
        <vt:i4>57</vt:i4>
      </vt:variant>
      <vt:variant>
        <vt:i4>0</vt:i4>
      </vt:variant>
      <vt:variant>
        <vt:i4>5</vt:i4>
      </vt:variant>
      <vt:variant>
        <vt:lpwstr>https://www.law.cornell.edu/definitions/index.php?width=840&amp;height=800&amp;iframe=true&amp;def_id=ffb5f827f8d6ad0d81fb55e674c7199a&amp;term_occur=10&amp;term_src=Title:5:Chapter:III:Subchapter:B:Part:1320:1320.9</vt:lpwstr>
      </vt:variant>
      <vt:variant>
        <vt:lpwstr/>
      </vt:variant>
      <vt:variant>
        <vt:i4>5046322</vt:i4>
      </vt:variant>
      <vt:variant>
        <vt:i4>54</vt:i4>
      </vt:variant>
      <vt:variant>
        <vt:i4>0</vt:i4>
      </vt:variant>
      <vt:variant>
        <vt:i4>5</vt:i4>
      </vt:variant>
      <vt:variant>
        <vt:lpwstr>https://www.law.cornell.edu/definitions/index.php?width=840&amp;height=800&amp;iframe=true&amp;def_id=ffb5f827f8d6ad0d81fb55e674c7199a&amp;term_occur=9&amp;term_src=Title:5:Chapter:III:Subchapter:B:Part:1320:1320.9</vt:lpwstr>
      </vt:variant>
      <vt:variant>
        <vt:lpwstr/>
      </vt:variant>
      <vt:variant>
        <vt:i4>5046323</vt:i4>
      </vt:variant>
      <vt:variant>
        <vt:i4>51</vt:i4>
      </vt:variant>
      <vt:variant>
        <vt:i4>0</vt:i4>
      </vt:variant>
      <vt:variant>
        <vt:i4>5</vt:i4>
      </vt:variant>
      <vt:variant>
        <vt:lpwstr>https://www.law.cornell.edu/definitions/index.php?width=840&amp;height=800&amp;iframe=true&amp;def_id=ffb5f827f8d6ad0d81fb55e674c7199a&amp;term_occur=8&amp;term_src=Title:5:Chapter:III:Subchapter:B:Part:1320:1320.9</vt:lpwstr>
      </vt:variant>
      <vt:variant>
        <vt:lpwstr/>
      </vt:variant>
      <vt:variant>
        <vt:i4>5046332</vt:i4>
      </vt:variant>
      <vt:variant>
        <vt:i4>48</vt:i4>
      </vt:variant>
      <vt:variant>
        <vt:i4>0</vt:i4>
      </vt:variant>
      <vt:variant>
        <vt:i4>5</vt:i4>
      </vt:variant>
      <vt:variant>
        <vt:lpwstr>https://www.law.cornell.edu/definitions/index.php?width=840&amp;height=800&amp;iframe=true&amp;def_id=ffb5f827f8d6ad0d81fb55e674c7199a&amp;term_occur=7&amp;term_src=Title:5:Chapter:III:Subchapter:B:Part:1320:1320.9</vt:lpwstr>
      </vt:variant>
      <vt:variant>
        <vt:lpwstr/>
      </vt:variant>
      <vt:variant>
        <vt:i4>5046333</vt:i4>
      </vt:variant>
      <vt:variant>
        <vt:i4>45</vt:i4>
      </vt:variant>
      <vt:variant>
        <vt:i4>0</vt:i4>
      </vt:variant>
      <vt:variant>
        <vt:i4>5</vt:i4>
      </vt:variant>
      <vt:variant>
        <vt:lpwstr>https://www.law.cornell.edu/definitions/index.php?width=840&amp;height=800&amp;iframe=true&amp;def_id=ffb5f827f8d6ad0d81fb55e674c7199a&amp;term_occur=6&amp;term_src=Title:5:Chapter:III:Subchapter:B:Part:1320:1320.9</vt:lpwstr>
      </vt:variant>
      <vt:variant>
        <vt:lpwstr/>
      </vt:variant>
      <vt:variant>
        <vt:i4>1048623</vt:i4>
      </vt:variant>
      <vt:variant>
        <vt:i4>42</vt:i4>
      </vt:variant>
      <vt:variant>
        <vt:i4>0</vt:i4>
      </vt:variant>
      <vt:variant>
        <vt:i4>5</vt:i4>
      </vt:variant>
      <vt:variant>
        <vt:lpwstr>https://www.law.cornell.edu/cfr/text/5/1320.8</vt:lpwstr>
      </vt:variant>
      <vt:variant>
        <vt:lpwstr>b_3</vt:lpwstr>
      </vt:variant>
      <vt:variant>
        <vt:i4>5046334</vt:i4>
      </vt:variant>
      <vt:variant>
        <vt:i4>39</vt:i4>
      </vt:variant>
      <vt:variant>
        <vt:i4>0</vt:i4>
      </vt:variant>
      <vt:variant>
        <vt:i4>5</vt:i4>
      </vt:variant>
      <vt:variant>
        <vt:lpwstr>https://www.law.cornell.edu/definitions/index.php?width=840&amp;height=800&amp;iframe=true&amp;def_id=ffb5f827f8d6ad0d81fb55e674c7199a&amp;term_occur=5&amp;term_src=Title:5:Chapter:III:Subchapter:B:Part:1320:1320.9</vt:lpwstr>
      </vt:variant>
      <vt:variant>
        <vt:lpwstr/>
      </vt:variant>
      <vt:variant>
        <vt:i4>4456559</vt:i4>
      </vt:variant>
      <vt:variant>
        <vt:i4>36</vt:i4>
      </vt:variant>
      <vt:variant>
        <vt:i4>0</vt:i4>
      </vt:variant>
      <vt:variant>
        <vt:i4>5</vt:i4>
      </vt:variant>
      <vt:variant>
        <vt:lpwstr>https://www.law.cornell.edu/definitions/index.php?width=840&amp;height=800&amp;iframe=true&amp;def_id=3fcebb4f56ca278a4735ab9e002c1b1b&amp;term_occur=2&amp;term_src=Title:5:Chapter:III:Subchapter:B:Part:1320:1320.9</vt:lpwstr>
      </vt:variant>
      <vt:variant>
        <vt:lpwstr/>
      </vt:variant>
      <vt:variant>
        <vt:i4>4587631</vt:i4>
      </vt:variant>
      <vt:variant>
        <vt:i4>33</vt:i4>
      </vt:variant>
      <vt:variant>
        <vt:i4>0</vt:i4>
      </vt:variant>
      <vt:variant>
        <vt:i4>5</vt:i4>
      </vt:variant>
      <vt:variant>
        <vt:lpwstr>https://www.law.cornell.edu/definitions/index.php?width=840&amp;height=800&amp;iframe=true&amp;def_id=1ce5319158c00abf350b9907353bcd5a&amp;term_occur=3&amp;term_src=Title:5:Chapter:III:Subchapter:B:Part:1320:1320.9</vt:lpwstr>
      </vt:variant>
      <vt:variant>
        <vt:lpwstr/>
      </vt:variant>
      <vt:variant>
        <vt:i4>4849706</vt:i4>
      </vt:variant>
      <vt:variant>
        <vt:i4>30</vt:i4>
      </vt:variant>
      <vt:variant>
        <vt:i4>0</vt:i4>
      </vt:variant>
      <vt:variant>
        <vt:i4>5</vt:i4>
      </vt:variant>
      <vt:variant>
        <vt:lpwstr>https://www.law.cornell.edu/uscode/text/5/601</vt:lpwstr>
      </vt:variant>
      <vt:variant>
        <vt:lpwstr>6</vt:lpwstr>
      </vt:variant>
      <vt:variant>
        <vt:i4>1245240</vt:i4>
      </vt:variant>
      <vt:variant>
        <vt:i4>27</vt:i4>
      </vt:variant>
      <vt:variant>
        <vt:i4>0</vt:i4>
      </vt:variant>
      <vt:variant>
        <vt:i4>5</vt:i4>
      </vt:variant>
      <vt:variant>
        <vt:lpwstr>https://www.law.cornell.edu/definitions/index.php?width=840&amp;height=800&amp;iframe=true&amp;def_id=0505be29e2d74f665528f536e6433762&amp;term_occur=7&amp;term_src=Title:5:Chapter:III:Subchapter:B:Part:1320:1320.9</vt:lpwstr>
      </vt:variant>
      <vt:variant>
        <vt:lpwstr/>
      </vt:variant>
      <vt:variant>
        <vt:i4>5046335</vt:i4>
      </vt:variant>
      <vt:variant>
        <vt:i4>24</vt:i4>
      </vt:variant>
      <vt:variant>
        <vt:i4>0</vt:i4>
      </vt:variant>
      <vt:variant>
        <vt:i4>5</vt:i4>
      </vt:variant>
      <vt:variant>
        <vt:lpwstr>https://www.law.cornell.edu/definitions/index.php?width=840&amp;height=800&amp;iframe=true&amp;def_id=ffb5f827f8d6ad0d81fb55e674c7199a&amp;term_occur=4&amp;term_src=Title:5:Chapter:III:Subchapter:B:Part:1320:1320.9</vt:lpwstr>
      </vt:variant>
      <vt:variant>
        <vt:lpwstr/>
      </vt:variant>
      <vt:variant>
        <vt:i4>4456556</vt:i4>
      </vt:variant>
      <vt:variant>
        <vt:i4>21</vt:i4>
      </vt:variant>
      <vt:variant>
        <vt:i4>0</vt:i4>
      </vt:variant>
      <vt:variant>
        <vt:i4>5</vt:i4>
      </vt:variant>
      <vt:variant>
        <vt:lpwstr>https://www.law.cornell.edu/definitions/index.php?width=840&amp;height=800&amp;iframe=true&amp;def_id=3fcebb4f56ca278a4735ab9e002c1b1b&amp;term_occur=1&amp;term_src=Title:5:Chapter:III:Subchapter:B:Part:1320:1320.9</vt:lpwstr>
      </vt:variant>
      <vt:variant>
        <vt:lpwstr/>
      </vt:variant>
      <vt:variant>
        <vt:i4>1245241</vt:i4>
      </vt:variant>
      <vt:variant>
        <vt:i4>18</vt:i4>
      </vt:variant>
      <vt:variant>
        <vt:i4>0</vt:i4>
      </vt:variant>
      <vt:variant>
        <vt:i4>5</vt:i4>
      </vt:variant>
      <vt:variant>
        <vt:lpwstr>https://www.law.cornell.edu/definitions/index.php?width=840&amp;height=800&amp;iframe=true&amp;def_id=0505be29e2d74f665528f536e6433762&amp;term_occur=6&amp;term_src=Title:5:Chapter:III:Subchapter:B:Part:1320:1320.9</vt:lpwstr>
      </vt:variant>
      <vt:variant>
        <vt:lpwstr/>
      </vt:variant>
      <vt:variant>
        <vt:i4>5046328</vt:i4>
      </vt:variant>
      <vt:variant>
        <vt:i4>15</vt:i4>
      </vt:variant>
      <vt:variant>
        <vt:i4>0</vt:i4>
      </vt:variant>
      <vt:variant>
        <vt:i4>5</vt:i4>
      </vt:variant>
      <vt:variant>
        <vt:lpwstr>https://www.law.cornell.edu/definitions/index.php?width=840&amp;height=800&amp;iframe=true&amp;def_id=ffb5f827f8d6ad0d81fb55e674c7199a&amp;term_occur=3&amp;term_src=Title:5:Chapter:III:Subchapter:B:Part:1320:1320.9</vt:lpwstr>
      </vt:variant>
      <vt:variant>
        <vt:lpwstr/>
      </vt:variant>
      <vt:variant>
        <vt:i4>5111869</vt:i4>
      </vt:variant>
      <vt:variant>
        <vt:i4>12</vt:i4>
      </vt:variant>
      <vt:variant>
        <vt:i4>0</vt:i4>
      </vt:variant>
      <vt:variant>
        <vt:i4>5</vt:i4>
      </vt:variant>
      <vt:variant>
        <vt:lpwstr>https://www.law.cornell.edu/definitions/index.php?width=840&amp;height=800&amp;iframe=true&amp;def_id=bdda5fc8851b984fa111508199b53277&amp;term_occur=1&amp;term_src=Title:5:Chapter:III:Subchapter:B:Part:1320:1320.9</vt:lpwstr>
      </vt:variant>
      <vt:variant>
        <vt:lpwstr/>
      </vt:variant>
      <vt:variant>
        <vt:i4>5046329</vt:i4>
      </vt:variant>
      <vt:variant>
        <vt:i4>9</vt:i4>
      </vt:variant>
      <vt:variant>
        <vt:i4>0</vt:i4>
      </vt:variant>
      <vt:variant>
        <vt:i4>5</vt:i4>
      </vt:variant>
      <vt:variant>
        <vt:lpwstr>https://www.law.cornell.edu/definitions/index.php?width=840&amp;height=800&amp;iframe=true&amp;def_id=ffb5f827f8d6ad0d81fb55e674c7199a&amp;term_occur=2&amp;term_src=Title:5:Chapter:III:Subchapter:B:Part:1320:1320.9</vt:lpwstr>
      </vt:variant>
      <vt:variant>
        <vt:lpwstr/>
      </vt:variant>
      <vt:variant>
        <vt:i4>1245242</vt:i4>
      </vt:variant>
      <vt:variant>
        <vt:i4>6</vt:i4>
      </vt:variant>
      <vt:variant>
        <vt:i4>0</vt:i4>
      </vt:variant>
      <vt:variant>
        <vt:i4>5</vt:i4>
      </vt:variant>
      <vt:variant>
        <vt:lpwstr>https://www.law.cornell.edu/definitions/index.php?width=840&amp;height=800&amp;iframe=true&amp;def_id=0505be29e2d74f665528f536e6433762&amp;term_occur=5&amp;term_src=Title:5:Chapter:III:Subchapter:B:Part:1320:1320.9</vt:lpwstr>
      </vt:variant>
      <vt:variant>
        <vt:lpwstr/>
      </vt:variant>
      <vt:variant>
        <vt:i4>3014783</vt:i4>
      </vt:variant>
      <vt:variant>
        <vt:i4>3</vt:i4>
      </vt:variant>
      <vt:variant>
        <vt:i4>0</vt:i4>
      </vt:variant>
      <vt:variant>
        <vt:i4>5</vt:i4>
      </vt:variant>
      <vt:variant>
        <vt:lpwstr>https://pra.digital.gov/uploads/supporting-statement-a-instructions.pdf</vt:lpwstr>
      </vt:variant>
      <vt:variant>
        <vt:lpwstr/>
      </vt:variant>
      <vt:variant>
        <vt:i4>3014783</vt:i4>
      </vt:variant>
      <vt:variant>
        <vt:i4>0</vt:i4>
      </vt:variant>
      <vt:variant>
        <vt:i4>0</vt:i4>
      </vt:variant>
      <vt:variant>
        <vt:i4>5</vt:i4>
      </vt:variant>
      <vt:variant>
        <vt:lpwstr>https://pra.digital.gov/uploads/supporting-statement-a-instructions.pdf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Mizrachi, Ila</cp:lastModifiedBy>
  <cp:revision>4</cp:revision>
  <cp:lastPrinted>2019-07-03T16:25:00Z</cp:lastPrinted>
  <dcterms:created xsi:type="dcterms:W3CDTF">2021-12-10T21:00:00Z</dcterms:created>
  <dcterms:modified xsi:type="dcterms:W3CDTF">2021-12-13T13:13:00Z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