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357C8A" w14:paraId="586820C6" w14:textId="77777777">
      <w:pPr>
        <w:jc w:val="center"/>
        <w:rPr>
          <w:rFonts w:eastAsia="Calibri"/>
        </w:rPr>
      </w:pPr>
      <w:r w:rsidRPr="00357C8A">
        <w:rPr>
          <w:rFonts w:eastAsia="Calibri"/>
        </w:rPr>
        <w:t>United States Food and Drug Administration</w:t>
      </w:r>
    </w:p>
    <w:p w:rsidR="00357C8A" w:rsidP="00357C8A" w14:paraId="2DBE43F7" w14:textId="77777777">
      <w:pPr>
        <w:jc w:val="center"/>
        <w:rPr>
          <w:rFonts w:eastAsia="Calibri"/>
        </w:rPr>
      </w:pPr>
    </w:p>
    <w:p w:rsidR="00357C8A" w:rsidP="00357C8A" w14:paraId="7742341E" w14:textId="77777777">
      <w:pPr>
        <w:jc w:val="center"/>
      </w:pPr>
      <w:bookmarkStart w:id="0" w:name="_Hlk146548867"/>
      <w:r>
        <w:t>Cattle Materials Prohibited From Use in Animal Food or Feed</w:t>
      </w:r>
      <w:bookmarkEnd w:id="0"/>
    </w:p>
    <w:p w:rsidR="009A1A3C" w:rsidP="00357C8A" w14:paraId="41D6577D" w14:textId="77777777">
      <w:pPr>
        <w:jc w:val="center"/>
        <w:rPr>
          <w:rFonts w:eastAsia="Calibri"/>
        </w:rPr>
      </w:pPr>
    </w:p>
    <w:p w:rsidR="00357C8A" w:rsidP="00357C8A" w14:paraId="56E72229" w14:textId="06F510B2">
      <w:pPr>
        <w:jc w:val="center"/>
        <w:rPr>
          <w:rFonts w:eastAsia="Calibri"/>
        </w:rPr>
      </w:pPr>
      <w:r w:rsidRPr="00357C8A">
        <w:rPr>
          <w:rFonts w:eastAsia="Calibri"/>
        </w:rPr>
        <w:t>OMB Control No. 0910-</w:t>
      </w:r>
      <w:r w:rsidR="009A1A3C">
        <w:rPr>
          <w:rFonts w:eastAsia="Calibri"/>
        </w:rPr>
        <w:t>0627</w:t>
      </w:r>
      <w:r w:rsidR="00A00BF2">
        <w:rPr>
          <w:rFonts w:eastAsia="Calibri"/>
        </w:rPr>
        <w:t>--Extension</w:t>
      </w:r>
    </w:p>
    <w:p w:rsidR="00357C8A" w:rsidP="00357C8A" w14:paraId="7C16713B" w14:textId="77777777">
      <w:pPr>
        <w:jc w:val="center"/>
        <w:rPr>
          <w:rFonts w:eastAsia="Calibri"/>
        </w:rPr>
      </w:pPr>
    </w:p>
    <w:p w:rsidR="00357C8A" w:rsidP="00357C8A" w14:paraId="0402EBAF" w14:textId="77777777">
      <w:pPr>
        <w:jc w:val="center"/>
        <w:rPr>
          <w:rFonts w:eastAsia="Calibri"/>
        </w:rPr>
      </w:pPr>
      <w:r w:rsidRPr="00357C8A">
        <w:rPr>
          <w:rFonts w:eastAsia="Calibri"/>
        </w:rPr>
        <w:t>SUPPORTING STATEMENT</w:t>
      </w:r>
    </w:p>
    <w:p w:rsidR="009B4DF2" w:rsidP="00357C8A" w14:paraId="7F1846CD" w14:textId="77777777">
      <w:pPr>
        <w:jc w:val="center"/>
        <w:rPr>
          <w:rFonts w:eastAsia="Calibri"/>
        </w:rPr>
      </w:pPr>
    </w:p>
    <w:p w:rsidR="009B4DF2" w:rsidRPr="00357C8A" w:rsidP="009B4DF2" w14:paraId="61612972" w14:textId="77777777">
      <w:pPr>
        <w:rPr>
          <w:rFonts w:eastAsia="Calibri"/>
        </w:rPr>
      </w:pPr>
      <w:r w:rsidRPr="009122AE">
        <w:rPr>
          <w:rFonts w:eastAsia="Calibri"/>
          <w:u w:val="single"/>
        </w:rPr>
        <w:t>Terms of Clearance</w:t>
      </w:r>
      <w:r>
        <w:rPr>
          <w:rFonts w:eastAsia="Calibri"/>
        </w:rPr>
        <w:t xml:space="preserve">: </w:t>
      </w:r>
      <w:r w:rsidR="009A1A3C">
        <w:rPr>
          <w:rFonts w:eastAsia="Calibri"/>
        </w:rPr>
        <w:t>None.</w:t>
      </w:r>
    </w:p>
    <w:p w:rsidR="00357C8A" w:rsidRPr="00357C8A" w:rsidP="00357C8A" w14:paraId="677FE7BB" w14:textId="77777777">
      <w:pPr>
        <w:rPr>
          <w:rFonts w:eastAsia="Calibri"/>
          <w:b/>
        </w:rPr>
      </w:pPr>
    </w:p>
    <w:p w:rsidR="00357C8A" w:rsidP="000D79CC" w14:paraId="30E9F1A9" w14:textId="77777777">
      <w:pPr>
        <w:rPr>
          <w:rFonts w:eastAsia="Calibri"/>
        </w:rPr>
      </w:pPr>
      <w:r w:rsidRPr="00357C8A">
        <w:rPr>
          <w:rFonts w:eastAsia="Calibri"/>
          <w:b/>
        </w:rPr>
        <w:t>Part A:  Justification</w:t>
      </w:r>
      <w:r w:rsidRPr="00357C8A">
        <w:rPr>
          <w:rFonts w:eastAsia="Calibri"/>
        </w:rPr>
        <w:t>:</w:t>
      </w:r>
    </w:p>
    <w:p w:rsidR="000D79CC" w:rsidRPr="00357C8A" w:rsidP="000D79CC" w14:paraId="19E8BC7C" w14:textId="77777777">
      <w:pPr>
        <w:rPr>
          <w:rFonts w:eastAsia="Calibri"/>
        </w:rPr>
      </w:pPr>
    </w:p>
    <w:p w:rsidR="00357C8A" w:rsidRPr="00357C8A" w:rsidP="006705EA" w14:paraId="10939D98"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980E50" w:rsidP="009A1A3C" w14:paraId="14214ED3" w14:textId="043ECD33">
      <w:pPr>
        <w:rPr>
          <w:rFonts w:eastAsia="Calibri"/>
        </w:rPr>
      </w:pPr>
      <w:r w:rsidRPr="009A1A3C">
        <w:rPr>
          <w:rFonts w:eastAsia="Calibri"/>
        </w:rPr>
        <w:t>This information collection</w:t>
      </w:r>
      <w:r w:rsidR="00782F18">
        <w:rPr>
          <w:rFonts w:eastAsia="Calibri"/>
        </w:rPr>
        <w:t xml:space="preserve"> helps to</w:t>
      </w:r>
      <w:r w:rsidRPr="009A1A3C">
        <w:rPr>
          <w:rFonts w:eastAsia="Calibri"/>
        </w:rPr>
        <w:t xml:space="preserve"> support implementation of </w:t>
      </w:r>
      <w:r w:rsidR="00AC4BB2">
        <w:rPr>
          <w:rFonts w:eastAsia="Calibri"/>
        </w:rPr>
        <w:t>section 402 of the</w:t>
      </w:r>
      <w:r w:rsidR="00121F46">
        <w:t xml:space="preserve"> </w:t>
      </w:r>
      <w:r w:rsidR="00AC4BB2">
        <w:t xml:space="preserve">Federal </w:t>
      </w:r>
      <w:r w:rsidR="00121F46">
        <w:t>Food, Drug and Cosmetic Act</w:t>
      </w:r>
      <w:r w:rsidR="00AC4BB2">
        <w:t xml:space="preserve"> (21 U.S.C. 342(a)(5)), </w:t>
      </w:r>
      <w:r w:rsidR="00121F46">
        <w:rPr>
          <w:rFonts w:eastAsia="Calibri"/>
        </w:rPr>
        <w:t>which governs</w:t>
      </w:r>
      <w:r w:rsidRPr="009A1A3C">
        <w:rPr>
          <w:rFonts w:eastAsia="Calibri"/>
        </w:rPr>
        <w:t xml:space="preserve"> substances prohibited from use in animal food or feed.  Bovine spongiform encephalopathy (BSE) is a progressive and fatal neurological disorder of cattle that results from an unconventional transmissible agent.  Our regulation at 21 CFR 589.2001 is designed to safeguard against the establishment and amplification of BSE in the United States through animal feed.  The regulation prohibits the use of certain cattle origin materials in the food or feed of all animals.  These materials are referred to as “cattle materials prohibited in animal feed” or CMPAF.  Under § 589.2001, no animal feed or feed ingredient can contain CMPAF.  As a result, we impose </w:t>
      </w:r>
      <w:r>
        <w:rPr>
          <w:rFonts w:eastAsia="Calibri"/>
        </w:rPr>
        <w:t xml:space="preserve">requirements to maintain adequate written procedures and recordkeeping </w:t>
      </w:r>
      <w:r w:rsidRPr="009A1A3C">
        <w:rPr>
          <w:rFonts w:eastAsia="Calibri"/>
        </w:rPr>
        <w:t>on renderers that</w:t>
      </w:r>
      <w:r>
        <w:rPr>
          <w:rFonts w:eastAsia="Calibri"/>
        </w:rPr>
        <w:t xml:space="preserve"> receive, manufacture,</w:t>
      </w:r>
      <w:r w:rsidRPr="009A1A3C">
        <w:rPr>
          <w:rFonts w:eastAsia="Calibri"/>
        </w:rPr>
        <w:t xml:space="preserve"> process</w:t>
      </w:r>
      <w:r>
        <w:rPr>
          <w:rFonts w:eastAsia="Calibri"/>
        </w:rPr>
        <w:t>, blend, or distribute raw material from</w:t>
      </w:r>
      <w:r w:rsidRPr="009A1A3C">
        <w:rPr>
          <w:rFonts w:eastAsia="Calibri"/>
        </w:rPr>
        <w:t xml:space="preserve"> cattle</w:t>
      </w:r>
      <w:r>
        <w:rPr>
          <w:rFonts w:eastAsia="Calibri"/>
        </w:rPr>
        <w:t xml:space="preserve"> and to make these records available for inspection and copying by FDA to demonstrate they are taking measures to ensure that CMPAF is not introduced into animal feed.</w:t>
      </w:r>
    </w:p>
    <w:p w:rsidR="00FB158B" w:rsidP="009A1A3C" w14:paraId="70AD8467" w14:textId="01A0B832">
      <w:pPr>
        <w:rPr>
          <w:rFonts w:eastAsia="Calibri"/>
        </w:rPr>
      </w:pPr>
      <w:bookmarkStart w:id="1" w:name="_Hlk157783747"/>
    </w:p>
    <w:p w:rsidR="00F16C81" w:rsidP="009A1A3C" w14:paraId="0DC7176E" w14:textId="0A23F354">
      <w:pPr>
        <w:rPr>
          <w:rFonts w:eastAsia="Calibri"/>
        </w:rPr>
      </w:pPr>
      <w:r w:rsidRPr="009869A3">
        <w:rPr>
          <w:rFonts w:eastAsia="Calibri"/>
        </w:rPr>
        <w:t xml:space="preserve">Under </w:t>
      </w:r>
      <w:r w:rsidRPr="009869A3" w:rsidR="009B6CD1">
        <w:rPr>
          <w:rFonts w:eastAsia="Calibri"/>
        </w:rPr>
        <w:t>§ 589.2001(f)</w:t>
      </w:r>
      <w:r w:rsidRPr="009869A3">
        <w:rPr>
          <w:rFonts w:eastAsia="Calibri"/>
        </w:rPr>
        <w:t>, we may designate a country from which cattle materials are not considered CMPAF.  A country seeking to be so designated must send a written request to the Director of the Center for Veterinary Medicine, including certain required information.  We use the information provided to determine whether to grant a request for designation and to impose conditions if a request is granted.  Additionally, designated countries will be subject to our future review to determine whether their designations remain appropriate. As part of this process, we may ask designated countries at any time to confirm that their BSE situation and the information submitted by them in support of their original application remains unchanged.  We may revoke a country</w:t>
      </w:r>
      <w:r w:rsidR="0041530C">
        <w:rPr>
          <w:rFonts w:eastAsia="Calibri"/>
        </w:rPr>
        <w:t>’s</w:t>
      </w:r>
      <w:r w:rsidRPr="009869A3">
        <w:rPr>
          <w:rFonts w:eastAsia="Calibri"/>
        </w:rPr>
        <w:t xml:space="preserve"> designation if we determine that it is no longer appropriate.  Therefore, designated countries may respond to our periodic requests by submitting information to confirm their designations remain appropriate. </w:t>
      </w:r>
    </w:p>
    <w:bookmarkEnd w:id="1"/>
    <w:p w:rsidR="00F16C81" w:rsidP="009A1A3C" w14:paraId="5F879384" w14:textId="0DF3D925">
      <w:pPr>
        <w:rPr>
          <w:rFonts w:eastAsia="Calibri"/>
        </w:rPr>
      </w:pPr>
    </w:p>
    <w:p w:rsidR="009A1A3C" w:rsidP="009A1A3C" w14:paraId="369BBAC1" w14:textId="77777777">
      <w:pPr>
        <w:rPr>
          <w:rFonts w:eastAsia="Calibri"/>
        </w:rPr>
      </w:pPr>
      <w:r w:rsidRPr="009A1A3C">
        <w:rPr>
          <w:rFonts w:eastAsia="Calibri"/>
        </w:rPr>
        <w:t>The reporting and recordkeeping requirements are necessary because once materials are separated from an animal it may not be possible, without records, to know whether the cattle material meets the requirements of our regulation.</w:t>
      </w:r>
    </w:p>
    <w:p w:rsidR="009A1A3C" w:rsidRPr="009A1A3C" w:rsidP="009A1A3C" w14:paraId="0F5845BF" w14:textId="77777777">
      <w:pPr>
        <w:rPr>
          <w:rFonts w:eastAsia="Calibri"/>
        </w:rPr>
      </w:pPr>
    </w:p>
    <w:p w:rsidR="009869A3" w:rsidRPr="00423272" w:rsidP="009869A3" w14:paraId="48787CBD" w14:textId="77777777">
      <w:pPr>
        <w:rPr>
          <w:rFonts w:eastAsia="Calibri"/>
          <w:i/>
        </w:rPr>
      </w:pPr>
      <w:r w:rsidRPr="005C71CA">
        <w:rPr>
          <w:rFonts w:eastAsia="Calibri"/>
        </w:rPr>
        <w:t xml:space="preserve">We therefore request OMB extension of OMB approval of </w:t>
      </w:r>
      <w:r>
        <w:rPr>
          <w:rFonts w:eastAsia="Calibri"/>
        </w:rPr>
        <w:t xml:space="preserve">the information requirements </w:t>
      </w:r>
      <w:r w:rsidRPr="005C71CA">
        <w:rPr>
          <w:rFonts w:eastAsia="Calibri"/>
        </w:rPr>
        <w:t xml:space="preserve">found in 21 CFR </w:t>
      </w:r>
      <w:r>
        <w:rPr>
          <w:rFonts w:eastAsia="Calibri"/>
        </w:rPr>
        <w:t xml:space="preserve">589.2001 </w:t>
      </w:r>
      <w:r w:rsidRPr="005C71CA">
        <w:rPr>
          <w:rFonts w:eastAsia="Calibri"/>
        </w:rPr>
        <w:t>as discussed in this supporting statement.</w:t>
      </w:r>
    </w:p>
    <w:p w:rsidR="009874C6" w14:paraId="51563C05" w14:textId="05F90D45">
      <w:pPr>
        <w:rPr>
          <w:rFonts w:eastAsia="Calibri"/>
          <w:color w:val="FF0000"/>
        </w:rPr>
      </w:pPr>
      <w:r>
        <w:rPr>
          <w:rFonts w:eastAsia="Calibri"/>
          <w:color w:val="FF0000"/>
        </w:rPr>
        <w:br w:type="page"/>
      </w:r>
    </w:p>
    <w:p w:rsidR="00357C8A" w:rsidRPr="00357C8A" w:rsidP="0022425B" w14:paraId="3E7ECCD5" w14:textId="77777777">
      <w:pPr>
        <w:spacing w:after="200"/>
        <w:rPr>
          <w:rFonts w:eastAsia="Calibri"/>
          <w:color w:val="FF0000"/>
        </w:rPr>
      </w:pPr>
    </w:p>
    <w:p w:rsidR="00357C8A" w:rsidRPr="00357C8A" w:rsidP="006705EA" w14:paraId="74497217"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9869A3" w:rsidP="009869A3" w14:paraId="40AADA3C" w14:textId="6AB68EBF">
      <w:pPr>
        <w:spacing w:after="200"/>
        <w:rPr>
          <w:rFonts w:eastAsia="Calibri"/>
        </w:rPr>
      </w:pPr>
      <w:r>
        <w:rPr>
          <w:rFonts w:eastAsia="Calibri"/>
        </w:rPr>
        <w:t xml:space="preserve">The purpose of the country designation described in 589.2001(f) is to ensure that any country seeking designation has a regulatory system in place that provides an equivalent level of animal and public health protection, to be able to prevent the amplification of BSE in their country.  </w:t>
      </w:r>
      <w:r w:rsidRPr="009869A3">
        <w:rPr>
          <w:rFonts w:eastAsia="Calibri"/>
        </w:rPr>
        <w:t>We use the information</w:t>
      </w:r>
      <w:r>
        <w:rPr>
          <w:rFonts w:eastAsia="Calibri"/>
        </w:rPr>
        <w:t xml:space="preserve"> that has been submitted</w:t>
      </w:r>
      <w:r w:rsidRPr="009869A3">
        <w:rPr>
          <w:rFonts w:eastAsia="Calibri"/>
        </w:rPr>
        <w:t xml:space="preserve"> to ensure their designations remain appropriate.</w:t>
      </w:r>
    </w:p>
    <w:p w:rsidR="009B5440" w:rsidRPr="009869A3" w:rsidP="009869A3" w14:paraId="16BB1092" w14:textId="70E8B2AC">
      <w:pPr>
        <w:spacing w:after="200"/>
        <w:rPr>
          <w:rFonts w:eastAsia="Calibri"/>
        </w:rPr>
      </w:pPr>
      <w:r>
        <w:rPr>
          <w:rFonts w:eastAsia="Calibri"/>
        </w:rPr>
        <w:t xml:space="preserve">The records required by 589.2001(c) are meant to be used to </w:t>
      </w:r>
      <w:r>
        <w:rPr>
          <w:rFonts w:eastAsia="Calibri"/>
        </w:rPr>
        <w:t>demonstrate</w:t>
      </w:r>
      <w:r>
        <w:rPr>
          <w:rFonts w:eastAsia="Calibri"/>
        </w:rPr>
        <w:t xml:space="preserve"> a business’s a</w:t>
      </w:r>
      <w:r>
        <w:rPr>
          <w:rFonts w:eastAsia="Calibri"/>
        </w:rPr>
        <w:t>bility to comply with</w:t>
      </w:r>
      <w:r>
        <w:rPr>
          <w:rFonts w:eastAsia="Calibri"/>
        </w:rPr>
        <w:t xml:space="preserve"> the</w:t>
      </w:r>
      <w:r>
        <w:rPr>
          <w:rFonts w:eastAsia="Calibri"/>
        </w:rPr>
        <w:t xml:space="preserve"> regulatory requirements.  These records are not required to be submitted to the Agency, but are required to be made available when FDA or state regulatory agencies conduct an inspection.</w:t>
      </w:r>
    </w:p>
    <w:p w:rsidR="00357C8A" w:rsidRPr="00357C8A" w:rsidP="009869A3" w14:paraId="3FFB798A" w14:textId="463624AB">
      <w:pPr>
        <w:spacing w:after="200"/>
        <w:rPr>
          <w:rFonts w:eastAsia="Calibri"/>
          <w:color w:val="FF0000"/>
        </w:rPr>
      </w:pPr>
      <w:r w:rsidRPr="009869A3">
        <w:rPr>
          <w:rFonts w:eastAsia="Calibri"/>
          <w:i/>
          <w:iCs/>
        </w:rPr>
        <w:t>Description of Respondents:</w:t>
      </w:r>
      <w:r w:rsidRPr="009869A3">
        <w:rPr>
          <w:rFonts w:eastAsia="Calibri"/>
        </w:rPr>
        <w:t xml:space="preserve"> Respondents to this information collection are foreign governments seeking designation under § 589.2001(f) and </w:t>
      </w:r>
      <w:r w:rsidR="002A5D11">
        <w:rPr>
          <w:rFonts w:eastAsia="Calibri"/>
        </w:rPr>
        <w:t xml:space="preserve">private sector </w:t>
      </w:r>
      <w:r w:rsidRPr="009869A3">
        <w:rPr>
          <w:rFonts w:eastAsia="Calibri"/>
        </w:rPr>
        <w:t>rendering facilities that process cattle materials</w:t>
      </w:r>
      <w:r w:rsidR="009B6CD1">
        <w:rPr>
          <w:rFonts w:eastAsia="Calibri"/>
        </w:rPr>
        <w:t xml:space="preserve"> under </w:t>
      </w:r>
      <w:bookmarkStart w:id="2" w:name="_Hlk158017646"/>
      <w:r w:rsidRPr="009869A3" w:rsidR="009B6CD1">
        <w:rPr>
          <w:rFonts w:eastAsia="Calibri"/>
        </w:rPr>
        <w:t>§ 589.2001(</w:t>
      </w:r>
      <w:r w:rsidR="009B6CD1">
        <w:rPr>
          <w:rFonts w:eastAsia="Calibri"/>
        </w:rPr>
        <w:t>c</w:t>
      </w:r>
      <w:r w:rsidRPr="009869A3" w:rsidR="009B6CD1">
        <w:rPr>
          <w:rFonts w:eastAsia="Calibri"/>
        </w:rPr>
        <w:t>)</w:t>
      </w:r>
      <w:r w:rsidRPr="009869A3">
        <w:rPr>
          <w:rFonts w:eastAsia="Calibri"/>
        </w:rPr>
        <w:t>.</w:t>
      </w:r>
      <w:r w:rsidR="002A5D11">
        <w:rPr>
          <w:rFonts w:eastAsia="Calibri"/>
        </w:rPr>
        <w:t xml:space="preserve">   </w:t>
      </w:r>
      <w:bookmarkEnd w:id="2"/>
    </w:p>
    <w:p w:rsidR="00357C8A" w:rsidRPr="00357C8A" w:rsidP="006705EA" w14:paraId="2D728C42"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357C8A" w:rsidRPr="009869A3" w:rsidP="0022425B" w14:paraId="1E7B93C0" w14:textId="6D66088E">
      <w:pPr>
        <w:spacing w:after="200"/>
        <w:rPr>
          <w:rFonts w:eastAsia="Calibri"/>
        </w:rPr>
      </w:pPr>
      <w:r>
        <w:t>The regulation does not specifically prescribe the use of automated, electronic, mechanical or other technological techniques or other forms of information technology to fulfill the information collection requirements. Respondents may utilize information technology</w:t>
      </w:r>
      <w:r w:rsidR="009A7081">
        <w:t>, such as email or by telephone,</w:t>
      </w:r>
      <w:r>
        <w:t xml:space="preserve"> as desired and we estimate fifty percent (50%) will use electronic means to keep the required records.</w:t>
      </w:r>
    </w:p>
    <w:p w:rsidR="00357C8A" w:rsidRPr="00357C8A" w:rsidP="006705EA" w14:paraId="05DFE314"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0C1260" w:rsidRPr="00E67B87" w:rsidP="0053380B" w14:paraId="79171DD3" w14:textId="77777777">
      <w:pPr>
        <w:spacing w:after="200"/>
      </w:pPr>
      <w:r>
        <w:t xml:space="preserve"> </w:t>
      </w:r>
      <w:r w:rsidRPr="005C71CA" w:rsidR="0053380B">
        <w:t>We are unaware of duplicative information collection.</w:t>
      </w:r>
    </w:p>
    <w:p w:rsidR="00357C8A" w:rsidRPr="00357C8A" w:rsidP="006705EA" w14:paraId="06E02443"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57C8A" w:rsidRPr="00357C8A" w:rsidP="00357C8A" w14:paraId="5FDBD483" w14:textId="77777777">
      <w:pPr>
        <w:spacing w:after="200"/>
        <w:rPr>
          <w:rFonts w:eastAsia="Calibri"/>
        </w:rPr>
      </w:pPr>
      <w:r w:rsidRPr="009869A3">
        <w:t xml:space="preserve">We believe approximately thirty to fifty percent (30-50%) of respondents are small businesses; however, we believe the information collection poses no undue burden on small entities. At the same time, FDA aids small businesses in complying with its requirements through our Regional Small Business Representatives and through the scientific and administrative staffs within the agency. We also provide a Small Business Guide on our website at: </w:t>
      </w:r>
      <w:hyperlink r:id="rId7" w:history="1">
        <w:r w:rsidRPr="009869A3">
          <w:rPr>
            <w:color w:val="0563C1"/>
            <w:u w:val="single"/>
          </w:rPr>
          <w:t>https://www.fda.gov/industry/small-business-assistance</w:t>
        </w:r>
      </w:hyperlink>
    </w:p>
    <w:p w:rsidR="00357C8A" w:rsidRPr="00357C8A" w:rsidP="006705EA" w14:paraId="0F748BF2"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357C8A" w:rsidRPr="00357C8A" w:rsidP="0022425B" w14:paraId="05297B0A" w14:textId="77777777">
      <w:pPr>
        <w:spacing w:after="200"/>
        <w:rPr>
          <w:rFonts w:eastAsia="Calibri"/>
        </w:rPr>
      </w:pPr>
      <w:r>
        <w:t>The information collection schedule is consistent with statutory requirements and applicable regulations</w:t>
      </w:r>
      <w:r>
        <w:rPr>
          <w:rFonts w:eastAsia="Calibri"/>
        </w:rPr>
        <w:t>.</w:t>
      </w:r>
    </w:p>
    <w:p w:rsidR="00357C8A" w:rsidRPr="00357C8A" w:rsidP="006705EA" w14:paraId="2361E3FC"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9874C6" w:rsidP="0022425B" w14:paraId="7D73FA9B" w14:textId="4E1355C6">
      <w:pPr>
        <w:spacing w:after="200"/>
        <w:rPr>
          <w:rFonts w:eastAsia="Calibri"/>
        </w:rPr>
      </w:pPr>
      <w:r>
        <w:rPr>
          <w:rFonts w:eastAsia="Calibri"/>
        </w:rPr>
        <w:t>There are no special circumstances for this information collection.</w:t>
      </w:r>
    </w:p>
    <w:p w:rsidR="009874C6" w14:paraId="56CE6292" w14:textId="77777777">
      <w:pPr>
        <w:rPr>
          <w:rFonts w:eastAsia="Calibri"/>
        </w:rPr>
      </w:pPr>
      <w:r>
        <w:rPr>
          <w:rFonts w:eastAsia="Calibri"/>
        </w:rPr>
        <w:br w:type="page"/>
      </w:r>
    </w:p>
    <w:p w:rsidR="00357C8A" w:rsidRPr="00357C8A" w:rsidP="0022425B" w14:paraId="7CC5DF45" w14:textId="77777777">
      <w:pPr>
        <w:spacing w:after="200"/>
        <w:rPr>
          <w:rFonts w:eastAsia="Calibri"/>
        </w:rPr>
      </w:pPr>
    </w:p>
    <w:p w:rsidR="00357C8A" w:rsidRPr="00357C8A" w:rsidP="006705EA" w14:paraId="6562181F"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357C8A" w:rsidRPr="00E67B87" w:rsidP="00357C8A" w14:paraId="7F445B5D" w14:textId="0611C5E7">
      <w:pPr>
        <w:spacing w:after="200"/>
        <w:rPr>
          <w:rFonts w:eastAsia="Calibri"/>
        </w:rPr>
      </w:pPr>
      <w:r>
        <w:rPr>
          <w:rFonts w:eastAsia="Calibri"/>
        </w:rPr>
        <w:t xml:space="preserve">FDA published a 60-day notice for public comment in the </w:t>
      </w:r>
      <w:r w:rsidRPr="009009E7">
        <w:rPr>
          <w:rFonts w:eastAsia="Calibri"/>
          <w:i/>
        </w:rPr>
        <w:t>Federal Register</w:t>
      </w:r>
      <w:r>
        <w:rPr>
          <w:rFonts w:eastAsia="Calibri"/>
        </w:rPr>
        <w:t xml:space="preserve"> of</w:t>
      </w:r>
      <w:r w:rsidR="00A20007">
        <w:rPr>
          <w:rFonts w:eastAsia="Calibri"/>
        </w:rPr>
        <w:t xml:space="preserve"> October 12, 2023</w:t>
      </w:r>
      <w:r w:rsidR="009009E7">
        <w:rPr>
          <w:rFonts w:eastAsia="Calibri"/>
        </w:rPr>
        <w:t xml:space="preserve"> (</w:t>
      </w:r>
      <w:r w:rsidR="00A20007">
        <w:rPr>
          <w:rFonts w:eastAsia="Calibri"/>
        </w:rPr>
        <w:t>8</w:t>
      </w:r>
      <w:r w:rsidR="004170AC">
        <w:rPr>
          <w:rFonts w:eastAsia="Calibri"/>
        </w:rPr>
        <w:t>8</w:t>
      </w:r>
      <w:r w:rsidR="009009E7">
        <w:rPr>
          <w:rFonts w:eastAsia="Calibri"/>
        </w:rPr>
        <w:t xml:space="preserve"> FR </w:t>
      </w:r>
      <w:r w:rsidR="00A20007">
        <w:rPr>
          <w:rFonts w:eastAsia="Calibri"/>
        </w:rPr>
        <w:t>70676</w:t>
      </w:r>
      <w:r w:rsidR="009009E7">
        <w:rPr>
          <w:rFonts w:eastAsia="Calibri"/>
        </w:rPr>
        <w:t>)</w:t>
      </w:r>
      <w:r w:rsidR="004170AC">
        <w:rPr>
          <w:rFonts w:eastAsia="Calibri"/>
        </w:rPr>
        <w:t xml:space="preserve">.  </w:t>
      </w:r>
      <w:bookmarkStart w:id="3" w:name="_Hlk158017247"/>
      <w:r w:rsidRPr="003B5AB2" w:rsidR="004170AC">
        <w:rPr>
          <w:bCs/>
        </w:rPr>
        <w:t xml:space="preserve">Although </w:t>
      </w:r>
      <w:r w:rsidR="00D80882">
        <w:rPr>
          <w:bCs/>
        </w:rPr>
        <w:t xml:space="preserve">three </w:t>
      </w:r>
      <w:r w:rsidRPr="003B5AB2" w:rsidR="004170AC">
        <w:rPr>
          <w:bCs/>
        </w:rPr>
        <w:t>comments w</w:t>
      </w:r>
      <w:r w:rsidR="004170AC">
        <w:rPr>
          <w:bCs/>
        </w:rPr>
        <w:t>ere</w:t>
      </w:r>
      <w:r w:rsidRPr="003B5AB2" w:rsidR="004170AC">
        <w:rPr>
          <w:bCs/>
        </w:rPr>
        <w:t xml:space="preserve"> received, the comment</w:t>
      </w:r>
      <w:r w:rsidR="004170AC">
        <w:rPr>
          <w:bCs/>
        </w:rPr>
        <w:t>s</w:t>
      </w:r>
      <w:r w:rsidRPr="003B5AB2" w:rsidR="004170AC">
        <w:rPr>
          <w:bCs/>
        </w:rPr>
        <w:t xml:space="preserve"> w</w:t>
      </w:r>
      <w:r w:rsidR="004170AC">
        <w:rPr>
          <w:bCs/>
        </w:rPr>
        <w:t>ere</w:t>
      </w:r>
      <w:r w:rsidRPr="003B5AB2" w:rsidR="004170AC">
        <w:rPr>
          <w:bCs/>
        </w:rPr>
        <w:t xml:space="preserve"> not responsive to the four collection of information topics solicited.</w:t>
      </w:r>
    </w:p>
    <w:bookmarkEnd w:id="3"/>
    <w:p w:rsidR="00357C8A" w:rsidRPr="00357C8A" w:rsidP="006705EA" w14:paraId="7C71F385"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792947" w:rsidRPr="00792947" w:rsidP="00DD0E02" w14:paraId="3A983585" w14:textId="77777777">
      <w:pPr>
        <w:spacing w:after="200"/>
        <w:rPr>
          <w:rFonts w:eastAsia="Calibri"/>
          <w:i/>
        </w:rPr>
      </w:pPr>
      <w:r w:rsidRPr="002074FE">
        <w:rPr>
          <w:rFonts w:eastAsia="Calibri"/>
        </w:rPr>
        <w:t>There are no incentives, payments or gifts associated with this information collection.</w:t>
      </w:r>
    </w:p>
    <w:p w:rsidR="00357C8A" w:rsidRPr="00357C8A" w:rsidP="006705EA" w14:paraId="7C4A010F"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A20007" w:rsidRPr="00B11062" w:rsidP="00A20007" w14:paraId="2AB15918" w14:textId="6D85B8D9">
      <w:pPr>
        <w:spacing w:after="200"/>
        <w:rPr>
          <w:rFonts w:eastAsia="Calibri"/>
        </w:rPr>
      </w:pPr>
      <w:r w:rsidRPr="00A20007">
        <w:rPr>
          <w:rFonts w:eastAsia="Calibri"/>
        </w:rPr>
        <w:t xml:space="preserve">In preparing this Supporting Statement, we consulted </w:t>
      </w:r>
      <w:r w:rsidRPr="00B11062">
        <w:rPr>
          <w:rFonts w:eastAsia="Calibri"/>
        </w:rPr>
        <w:t>our Privacy Office to ensure appropriate identification and handling of information collected.</w:t>
      </w:r>
      <w:r w:rsidRPr="00B11062" w:rsidR="009322EA">
        <w:rPr>
          <w:rFonts w:eastAsia="Calibri"/>
        </w:rPr>
        <w:t xml:space="preserve">  </w:t>
      </w:r>
      <w:r w:rsidRPr="00B11062">
        <w:rPr>
          <w:rFonts w:eastAsia="Calibri"/>
        </w:rPr>
        <w:t>Data will be kept private to the extent allowed by law.</w:t>
      </w:r>
    </w:p>
    <w:p w:rsidR="009A433B" w:rsidRPr="00B11062" w:rsidP="007A1A08" w14:paraId="612D6C93" w14:textId="332628C0">
      <w:pPr>
        <w:spacing w:after="200"/>
        <w:ind w:firstLine="720"/>
        <w:rPr>
          <w:rFonts w:eastAsia="Calibri"/>
          <w:i/>
          <w:iCs/>
        </w:rPr>
      </w:pPr>
      <w:r w:rsidRPr="00B11062">
        <w:rPr>
          <w:rFonts w:eastAsia="Calibri"/>
          <w:i/>
          <w:iCs/>
        </w:rPr>
        <w:t xml:space="preserve">The </w:t>
      </w:r>
      <w:r w:rsidRPr="00B11062">
        <w:rPr>
          <w:rFonts w:eastAsia="Calibri"/>
          <w:i/>
          <w:iCs/>
        </w:rPr>
        <w:t>Privacy Act of 1974</w:t>
      </w:r>
    </w:p>
    <w:p w:rsidR="00EA4DDE" w:rsidP="00EA4DDE" w14:paraId="2BDB993D" w14:textId="1899C427">
      <w:pPr>
        <w:spacing w:after="200"/>
        <w:rPr>
          <w:rFonts w:eastAsia="Calibri"/>
        </w:rPr>
      </w:pPr>
      <w:r w:rsidRPr="00B11062">
        <w:rPr>
          <w:rFonts w:eastAsia="Calibri"/>
        </w:rPr>
        <w:t xml:space="preserve">This ICR collects personally identifiable information (PII).  PII is collected in the context of the subject individuals’ professional capacity and the FDA-related work </w:t>
      </w:r>
      <w:r w:rsidRPr="00A20007">
        <w:rPr>
          <w:rFonts w:eastAsia="Calibri"/>
        </w:rPr>
        <w:t>they perform for their employer (e.g., point of contact at a regulated entity).  The PII submitted is name, telephone number, and email address. FDA determined that although PII is collected, the collection is not subject to the Privacy Act of 1974 and the particular notice and other requirements of the Act do not apply. Specifically, the contractor or FDA does not use name or any other personal identifier to retrieve records from the information collected. Through appropriate form and webpage design, FDA limited submission fields and minimized the PII collected to protect the privacy of the individuals.</w:t>
      </w:r>
    </w:p>
    <w:p w:rsidR="009A433B" w:rsidRPr="007A1A08" w:rsidP="00EA4DDE" w14:paraId="79D083FE" w14:textId="5B7C9D26">
      <w:pPr>
        <w:spacing w:after="200"/>
        <w:rPr>
          <w:rFonts w:eastAsia="Calibri"/>
          <w:i/>
          <w:iCs/>
        </w:rPr>
      </w:pPr>
      <w:r>
        <w:rPr>
          <w:rFonts w:eastAsia="Calibri"/>
        </w:rPr>
        <w:tab/>
      </w:r>
      <w:r w:rsidRPr="007A1A08">
        <w:rPr>
          <w:rFonts w:eastAsia="Calibri"/>
          <w:i/>
          <w:iCs/>
        </w:rPr>
        <w:t>Freedom of Information Act</w:t>
      </w:r>
    </w:p>
    <w:p w:rsidR="001075D3" w:rsidRPr="00A20007" w:rsidP="00BC1474" w14:paraId="2292933A" w14:textId="77777777">
      <w:pPr>
        <w:spacing w:after="200"/>
        <w:rPr>
          <w:rFonts w:eastAsia="Calibri"/>
        </w:rPr>
      </w:pPr>
      <w:r w:rsidRPr="00A20007">
        <w:rPr>
          <w:rFonts w:eastAsia="Calibri"/>
        </w:rPr>
        <w:t>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00357C8A" w:rsidRPr="00357C8A" w:rsidP="006705EA" w14:paraId="6C26D848" w14:textId="77777777">
      <w:pPr>
        <w:numPr>
          <w:ilvl w:val="0"/>
          <w:numId w:val="6"/>
        </w:numPr>
        <w:spacing w:after="200" w:line="276" w:lineRule="auto"/>
        <w:rPr>
          <w:rFonts w:eastAsia="Calibri"/>
        </w:rPr>
      </w:pPr>
      <w:r w:rsidRPr="00357C8A">
        <w:rPr>
          <w:rFonts w:eastAsia="Calibri"/>
          <w:u w:val="single"/>
        </w:rPr>
        <w:t>Justification for Sensitive Questions</w:t>
      </w:r>
    </w:p>
    <w:p w:rsidR="009874C6" w:rsidP="00DD0E02" w14:paraId="2944358C" w14:textId="1A49E72E">
      <w:pPr>
        <w:spacing w:after="200"/>
        <w:rPr>
          <w:rFonts w:eastAsia="Calibri"/>
          <w:iCs/>
        </w:rPr>
      </w:pPr>
      <w:r w:rsidRPr="009869A3">
        <w:rPr>
          <w:rFonts w:eastAsia="Calibri"/>
          <w:iCs/>
        </w:rPr>
        <w:t>The collection of information does not involve sensitive questions.</w:t>
      </w:r>
    </w:p>
    <w:p w:rsidR="009874C6" w14:paraId="20367F25" w14:textId="77777777">
      <w:pPr>
        <w:rPr>
          <w:rFonts w:eastAsia="Calibri"/>
          <w:iCs/>
        </w:rPr>
      </w:pPr>
      <w:r>
        <w:rPr>
          <w:rFonts w:eastAsia="Calibri"/>
          <w:iCs/>
        </w:rPr>
        <w:br w:type="page"/>
      </w:r>
    </w:p>
    <w:p w:rsidR="00357C8A" w:rsidRPr="009869A3" w:rsidP="00DD0E02" w14:paraId="2289C4A6" w14:textId="77777777">
      <w:pPr>
        <w:spacing w:after="200"/>
        <w:rPr>
          <w:rFonts w:eastAsia="Calibri"/>
          <w:iCs/>
        </w:rPr>
      </w:pPr>
    </w:p>
    <w:p w:rsidR="00357C8A" w:rsidRPr="00357A13" w:rsidP="00357A13" w14:paraId="38C70B36" w14:textId="77777777">
      <w:pPr>
        <w:numPr>
          <w:ilvl w:val="0"/>
          <w:numId w:val="6"/>
        </w:numPr>
        <w:spacing w:after="200"/>
        <w:rPr>
          <w:rFonts w:eastAsia="Calibri"/>
          <w:color w:val="FF0000"/>
        </w:rPr>
      </w:pPr>
      <w:r w:rsidRPr="00357C8A">
        <w:rPr>
          <w:rFonts w:eastAsia="Calibri"/>
          <w:u w:val="single"/>
        </w:rPr>
        <w:t>Estimates of Annualized Burden Hours and Cost</w:t>
      </w:r>
    </w:p>
    <w:p w:rsidR="008B264F" w:rsidP="008B264F" w14:paraId="4705D7CE" w14:textId="77777777">
      <w:pPr>
        <w:ind w:left="360"/>
        <w:rPr>
          <w:rFonts w:eastAsia="Calibri"/>
        </w:rPr>
      </w:pPr>
      <w:r w:rsidRPr="005C71CA">
        <w:rPr>
          <w:rFonts w:eastAsia="Calibri"/>
        </w:rPr>
        <w:t>12a.  Annualized Hour Burden Estimate</w:t>
      </w:r>
    </w:p>
    <w:p w:rsidR="008B264F" w:rsidP="008B264F" w14:paraId="4634D4B9" w14:textId="77777777">
      <w:pPr>
        <w:ind w:left="360"/>
      </w:pPr>
    </w:p>
    <w:p w:rsidR="00C40A0D" w:rsidRPr="009A1A3C" w:rsidP="008B264F" w14:paraId="73D1A3B5" w14:textId="77777777">
      <w:pPr>
        <w:ind w:left="360"/>
        <w:jc w:val="center"/>
        <w:rPr>
          <w:rFonts w:eastAsia="Calibri"/>
          <w:iCs/>
          <w:vertAlign w:val="superscript"/>
        </w:rPr>
      </w:pPr>
      <w:r w:rsidRPr="00D0402C">
        <w:rPr>
          <w:sz w:val="20"/>
          <w:szCs w:val="20"/>
        </w:rPr>
        <w:t xml:space="preserve">Table </w:t>
      </w:r>
      <w:r>
        <w:rPr>
          <w:sz w:val="20"/>
          <w:szCs w:val="20"/>
        </w:rPr>
        <w:t>1</w:t>
      </w:r>
      <w:r w:rsidRPr="00D0402C">
        <w:rPr>
          <w:sz w:val="20"/>
          <w:szCs w:val="20"/>
        </w:rPr>
        <w:t>.--Estimated Annual R</w:t>
      </w:r>
      <w:r>
        <w:rPr>
          <w:sz w:val="20"/>
          <w:szCs w:val="20"/>
        </w:rPr>
        <w:t>eporting</w:t>
      </w:r>
      <w:r w:rsidRPr="00D0402C">
        <w:rPr>
          <w:sz w:val="20"/>
          <w:szCs w:val="20"/>
        </w:rPr>
        <w:t xml:space="preserve"> Burden</w:t>
      </w:r>
    </w:p>
    <w:tbl>
      <w:tblPr>
        <w:tblW w:w="48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1"/>
        <w:gridCol w:w="1240"/>
        <w:gridCol w:w="1403"/>
        <w:gridCol w:w="1061"/>
        <w:gridCol w:w="1315"/>
        <w:gridCol w:w="870"/>
      </w:tblGrid>
      <w:tr w14:paraId="23E156F6" w14:textId="77777777" w:rsidTr="007A1A08">
        <w:tblPrEx>
          <w:tblW w:w="48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trPr>
        <w:tc>
          <w:tcPr>
            <w:tcW w:w="1784" w:type="pct"/>
            <w:shd w:val="clear" w:color="auto" w:fill="auto"/>
          </w:tcPr>
          <w:p w:rsidR="009A1A3C" w:rsidRPr="00C40A0D" w:rsidP="00A12D3E" w14:paraId="4C82432D" w14:textId="77777777">
            <w:pPr>
              <w:jc w:val="center"/>
              <w:rPr>
                <w:sz w:val="20"/>
                <w:szCs w:val="20"/>
              </w:rPr>
            </w:pPr>
            <w:r w:rsidRPr="00C40A0D">
              <w:rPr>
                <w:sz w:val="20"/>
                <w:szCs w:val="20"/>
              </w:rPr>
              <w:t>21 CFR Part</w:t>
            </w:r>
            <w:r>
              <w:rPr>
                <w:sz w:val="20"/>
                <w:szCs w:val="20"/>
              </w:rPr>
              <w:t>; Activity</w:t>
            </w:r>
          </w:p>
          <w:p w:rsidR="009A1A3C" w:rsidRPr="00C40A0D" w:rsidP="00A12D3E" w14:paraId="3C57E8E5" w14:textId="77777777">
            <w:pPr>
              <w:jc w:val="center"/>
              <w:rPr>
                <w:sz w:val="20"/>
                <w:szCs w:val="20"/>
              </w:rPr>
            </w:pPr>
          </w:p>
        </w:tc>
        <w:tc>
          <w:tcPr>
            <w:tcW w:w="676" w:type="pct"/>
            <w:shd w:val="clear" w:color="auto" w:fill="auto"/>
          </w:tcPr>
          <w:p w:rsidR="009A1A3C" w:rsidRPr="00C40A0D" w:rsidP="00A12D3E" w14:paraId="138E60FA" w14:textId="77777777">
            <w:pPr>
              <w:jc w:val="center"/>
              <w:rPr>
                <w:sz w:val="20"/>
                <w:szCs w:val="20"/>
              </w:rPr>
            </w:pPr>
            <w:r w:rsidRPr="00C40A0D">
              <w:rPr>
                <w:sz w:val="20"/>
                <w:szCs w:val="20"/>
              </w:rPr>
              <w:t>No. of Respondents</w:t>
            </w:r>
          </w:p>
        </w:tc>
        <w:tc>
          <w:tcPr>
            <w:tcW w:w="766" w:type="pct"/>
            <w:shd w:val="clear" w:color="auto" w:fill="auto"/>
          </w:tcPr>
          <w:p w:rsidR="009A1A3C" w:rsidRPr="00C40A0D" w:rsidP="00A12D3E" w14:paraId="582B0ABF" w14:textId="77777777">
            <w:pPr>
              <w:jc w:val="center"/>
              <w:rPr>
                <w:sz w:val="20"/>
                <w:szCs w:val="20"/>
              </w:rPr>
            </w:pPr>
            <w:r w:rsidRPr="00C40A0D">
              <w:rPr>
                <w:bCs/>
                <w:sz w:val="20"/>
                <w:szCs w:val="20"/>
              </w:rPr>
              <w:t>No. of Responses per Respondent</w:t>
            </w:r>
          </w:p>
        </w:tc>
        <w:tc>
          <w:tcPr>
            <w:tcW w:w="579" w:type="pct"/>
            <w:shd w:val="clear" w:color="auto" w:fill="auto"/>
          </w:tcPr>
          <w:p w:rsidR="009A1A3C" w:rsidRPr="00C40A0D" w:rsidP="00A12D3E" w14:paraId="06481682" w14:textId="77777777">
            <w:pPr>
              <w:jc w:val="center"/>
              <w:rPr>
                <w:sz w:val="20"/>
                <w:szCs w:val="20"/>
              </w:rPr>
            </w:pPr>
            <w:r w:rsidRPr="00C40A0D">
              <w:rPr>
                <w:sz w:val="20"/>
                <w:szCs w:val="20"/>
              </w:rPr>
              <w:t>Total Annual Responses</w:t>
            </w:r>
          </w:p>
        </w:tc>
        <w:tc>
          <w:tcPr>
            <w:tcW w:w="718" w:type="pct"/>
            <w:shd w:val="clear" w:color="auto" w:fill="auto"/>
          </w:tcPr>
          <w:p w:rsidR="009A1A3C" w:rsidRPr="00C40A0D" w:rsidP="00A12D3E" w14:paraId="169439E4" w14:textId="77777777">
            <w:pPr>
              <w:jc w:val="center"/>
              <w:rPr>
                <w:sz w:val="20"/>
                <w:szCs w:val="20"/>
              </w:rPr>
            </w:pPr>
            <w:r w:rsidRPr="00C40A0D">
              <w:rPr>
                <w:bCs/>
                <w:sz w:val="20"/>
                <w:szCs w:val="20"/>
              </w:rPr>
              <w:t>Average Burden per Response</w:t>
            </w:r>
          </w:p>
        </w:tc>
        <w:tc>
          <w:tcPr>
            <w:tcW w:w="475" w:type="pct"/>
            <w:shd w:val="clear" w:color="auto" w:fill="auto"/>
          </w:tcPr>
          <w:p w:rsidR="009A1A3C" w:rsidRPr="00C40A0D" w:rsidP="00A12D3E" w14:paraId="4F7DB04D" w14:textId="77777777">
            <w:pPr>
              <w:jc w:val="center"/>
              <w:rPr>
                <w:sz w:val="20"/>
                <w:szCs w:val="20"/>
              </w:rPr>
            </w:pPr>
            <w:r w:rsidRPr="00C40A0D">
              <w:rPr>
                <w:sz w:val="20"/>
                <w:szCs w:val="20"/>
              </w:rPr>
              <w:t>Total Hours</w:t>
            </w:r>
          </w:p>
        </w:tc>
      </w:tr>
      <w:tr w14:paraId="4B220621" w14:textId="77777777" w:rsidTr="007A1A08">
        <w:tblPrEx>
          <w:tblW w:w="4824" w:type="pct"/>
          <w:tblLook w:val="01E0"/>
        </w:tblPrEx>
        <w:trPr>
          <w:cantSplit/>
          <w:trHeight w:val="20"/>
        </w:trPr>
        <w:tc>
          <w:tcPr>
            <w:tcW w:w="1784" w:type="pct"/>
            <w:shd w:val="clear" w:color="auto" w:fill="auto"/>
          </w:tcPr>
          <w:p w:rsidR="009A1A3C" w:rsidRPr="009A1A3C" w:rsidP="009A1A3C" w14:paraId="16D1DECE" w14:textId="3433CC34">
            <w:pPr>
              <w:rPr>
                <w:sz w:val="20"/>
                <w:szCs w:val="20"/>
              </w:rPr>
            </w:pPr>
            <w:bookmarkStart w:id="4" w:name="_Hlk105505084"/>
            <w:r w:rsidRPr="009A1A3C">
              <w:rPr>
                <w:sz w:val="20"/>
                <w:szCs w:val="20"/>
              </w:rPr>
              <w:t xml:space="preserve">589.2001(f); </w:t>
            </w:r>
            <w:r w:rsidRPr="007A1A08" w:rsidR="009A7081">
              <w:rPr>
                <w:sz w:val="20"/>
                <w:szCs w:val="20"/>
              </w:rPr>
              <w:t>Request for designation  by FDA for exemption from requirements of this regulation</w:t>
            </w:r>
            <w:r w:rsidRPr="009A1A3C" w:rsidR="009A7081">
              <w:rPr>
                <w:sz w:val="20"/>
                <w:szCs w:val="20"/>
              </w:rPr>
              <w:t xml:space="preserve"> </w:t>
            </w:r>
            <w:r w:rsidR="006430F1">
              <w:rPr>
                <w:sz w:val="20"/>
                <w:szCs w:val="20"/>
              </w:rPr>
              <w:t>and response to request for review by FDA</w:t>
            </w:r>
          </w:p>
        </w:tc>
        <w:tc>
          <w:tcPr>
            <w:tcW w:w="676" w:type="pct"/>
            <w:shd w:val="clear" w:color="auto" w:fill="auto"/>
          </w:tcPr>
          <w:p w:rsidR="009A1A3C" w:rsidRPr="009A1A3C" w:rsidP="009A1A3C" w14:paraId="0C5D4A99" w14:textId="77777777">
            <w:pPr>
              <w:jc w:val="right"/>
              <w:rPr>
                <w:sz w:val="20"/>
                <w:szCs w:val="20"/>
              </w:rPr>
            </w:pPr>
            <w:r w:rsidRPr="009A1A3C">
              <w:rPr>
                <w:sz w:val="20"/>
                <w:szCs w:val="20"/>
              </w:rPr>
              <w:t>1</w:t>
            </w:r>
          </w:p>
        </w:tc>
        <w:tc>
          <w:tcPr>
            <w:tcW w:w="766" w:type="pct"/>
            <w:shd w:val="clear" w:color="auto" w:fill="auto"/>
          </w:tcPr>
          <w:p w:rsidR="009A1A3C" w:rsidRPr="009A1A3C" w:rsidP="009A1A3C" w14:paraId="7203872D" w14:textId="422DA9A7">
            <w:pPr>
              <w:jc w:val="right"/>
              <w:rPr>
                <w:sz w:val="20"/>
                <w:szCs w:val="20"/>
              </w:rPr>
            </w:pPr>
            <w:r>
              <w:rPr>
                <w:sz w:val="20"/>
                <w:szCs w:val="20"/>
              </w:rPr>
              <w:t>2</w:t>
            </w:r>
          </w:p>
        </w:tc>
        <w:tc>
          <w:tcPr>
            <w:tcW w:w="579" w:type="pct"/>
            <w:shd w:val="clear" w:color="auto" w:fill="auto"/>
          </w:tcPr>
          <w:p w:rsidR="009A1A3C" w:rsidRPr="009A1A3C" w:rsidP="009A1A3C" w14:paraId="0C65C103" w14:textId="6CD23F6F">
            <w:pPr>
              <w:jc w:val="right"/>
              <w:rPr>
                <w:sz w:val="20"/>
                <w:szCs w:val="20"/>
              </w:rPr>
            </w:pPr>
            <w:r>
              <w:rPr>
                <w:sz w:val="20"/>
                <w:szCs w:val="20"/>
              </w:rPr>
              <w:t>2</w:t>
            </w:r>
          </w:p>
        </w:tc>
        <w:tc>
          <w:tcPr>
            <w:tcW w:w="718" w:type="pct"/>
            <w:shd w:val="clear" w:color="auto" w:fill="auto"/>
          </w:tcPr>
          <w:p w:rsidR="009A1A3C" w:rsidRPr="009A1A3C" w:rsidP="009A1A3C" w14:paraId="36AA46B7" w14:textId="7F815A7F">
            <w:pPr>
              <w:jc w:val="right"/>
              <w:rPr>
                <w:sz w:val="20"/>
                <w:szCs w:val="20"/>
              </w:rPr>
            </w:pPr>
            <w:r>
              <w:rPr>
                <w:sz w:val="20"/>
                <w:szCs w:val="20"/>
              </w:rPr>
              <w:t>33</w:t>
            </w:r>
          </w:p>
        </w:tc>
        <w:tc>
          <w:tcPr>
            <w:tcW w:w="475" w:type="pct"/>
            <w:shd w:val="clear" w:color="auto" w:fill="auto"/>
          </w:tcPr>
          <w:p w:rsidR="009A1A3C" w:rsidRPr="009A1A3C" w:rsidP="009A1A3C" w14:paraId="3D679DEB" w14:textId="0898A0D6">
            <w:pPr>
              <w:jc w:val="right"/>
              <w:rPr>
                <w:sz w:val="20"/>
                <w:szCs w:val="20"/>
              </w:rPr>
            </w:pPr>
            <w:r w:rsidRPr="009A1A3C">
              <w:rPr>
                <w:sz w:val="20"/>
                <w:szCs w:val="20"/>
              </w:rPr>
              <w:t xml:space="preserve"> </w:t>
            </w:r>
            <w:r w:rsidR="00976616">
              <w:rPr>
                <w:sz w:val="20"/>
                <w:szCs w:val="20"/>
              </w:rPr>
              <w:t>66</w:t>
            </w:r>
          </w:p>
        </w:tc>
      </w:tr>
      <w:bookmarkEnd w:id="4"/>
    </w:tbl>
    <w:p w:rsidR="00C40A0D" w:rsidP="0022425B" w14:paraId="2B4956E9" w14:textId="77777777">
      <w:pPr>
        <w:spacing w:after="200"/>
        <w:ind w:left="360"/>
        <w:rPr>
          <w:rFonts w:eastAsia="Calibri"/>
          <w:i/>
        </w:rPr>
      </w:pPr>
    </w:p>
    <w:p w:rsidR="00503576" w:rsidP="00307F5A" w14:paraId="3797E75C" w14:textId="44981D19">
      <w:r>
        <w:t xml:space="preserve">Since the last renewal, </w:t>
      </w:r>
      <w:r w:rsidRPr="00A4545D">
        <w:t>we have reduced the</w:t>
      </w:r>
      <w:r>
        <w:t xml:space="preserve"> request for designation</w:t>
      </w:r>
      <w:r w:rsidRPr="00A4545D">
        <w:t xml:space="preserve"> </w:t>
      </w:r>
      <w:r w:rsidR="00932285">
        <w:t xml:space="preserve">average </w:t>
      </w:r>
      <w:r w:rsidRPr="00A4545D">
        <w:t xml:space="preserve">burden </w:t>
      </w:r>
      <w:r w:rsidR="00932285">
        <w:t xml:space="preserve">per response </w:t>
      </w:r>
      <w:r w:rsidR="006430F1">
        <w:t xml:space="preserve">by </w:t>
      </w:r>
      <w:r>
        <w:t>40 hours</w:t>
      </w:r>
      <w:r w:rsidR="005D27D1">
        <w:t xml:space="preserve"> (from 80 to 40 hours)</w:t>
      </w:r>
      <w:r w:rsidR="00D2285F">
        <w:t xml:space="preserve">. </w:t>
      </w:r>
      <w:r w:rsidRPr="006B3BB3" w:rsidR="00980E50">
        <w:rPr>
          <w:rStyle w:val="cf01"/>
          <w:rFonts w:ascii="Times New Roman" w:hAnsi="Times New Roman" w:cs="Times New Roman"/>
          <w:sz w:val="24"/>
          <w:szCs w:val="24"/>
        </w:rPr>
        <w:t>The information the country is required to submit includes information about that country's BSE case history, risk factors, measures to prevent the introduction and transmission of BSE, and any other information relevant to determining whether the cattle materials from the requesting country do or do not meet the definitions set forth in § 589.2001(b)(1).</w:t>
      </w:r>
      <w:r w:rsidR="00D2285F">
        <w:t xml:space="preserve"> </w:t>
      </w:r>
      <w:r w:rsidR="00EA293D">
        <w:t>We take t</w:t>
      </w:r>
      <w:r>
        <w:t xml:space="preserve">his reduction because </w:t>
      </w:r>
      <w:r w:rsidR="009B6CD1">
        <w:t>foreign governments</w:t>
      </w:r>
      <w:r w:rsidRPr="00A4545D" w:rsidR="009B6CD1">
        <w:t xml:space="preserve"> </w:t>
      </w:r>
      <w:r w:rsidRPr="00A4545D">
        <w:t>are required to provide this information to other entities in order to comply with international standards</w:t>
      </w:r>
      <w:r>
        <w:t xml:space="preserve"> and therefore will have already compiled the necessary information</w:t>
      </w:r>
      <w:bookmarkStart w:id="5" w:name="_Hlk158018039"/>
      <w:r w:rsidRPr="00A4545D">
        <w:t>.</w:t>
      </w:r>
      <w:r w:rsidRPr="00EA293D" w:rsidR="00EA293D">
        <w:rPr>
          <w:rFonts w:eastAsia="Calibri"/>
          <w:iCs/>
        </w:rPr>
        <w:t xml:space="preserve"> </w:t>
      </w:r>
      <w:r w:rsidR="00D2285F">
        <w:t xml:space="preserve">The average burden per response to a request for review by FDA remains the same (26 hours).  </w:t>
      </w:r>
      <w:r w:rsidRPr="00307F5A" w:rsidR="00EA293D">
        <w:rPr>
          <w:rFonts w:eastAsia="Calibri"/>
          <w:iCs/>
        </w:rPr>
        <w:t>The burden we attribute to re</w:t>
      </w:r>
      <w:r w:rsidR="00EA293D">
        <w:rPr>
          <w:rFonts w:eastAsia="Calibri"/>
          <w:iCs/>
        </w:rPr>
        <w:t>porting</w:t>
      </w:r>
      <w:r w:rsidRPr="00307F5A" w:rsidR="00EA293D">
        <w:rPr>
          <w:rFonts w:eastAsia="Calibri"/>
          <w:iCs/>
        </w:rPr>
        <w:t xml:space="preserve"> activities is assumed to be distributed among the individual elements</w:t>
      </w:r>
      <w:r w:rsidR="00EA293D">
        <w:rPr>
          <w:rFonts w:eastAsia="Calibri"/>
          <w:iCs/>
        </w:rPr>
        <w:t xml:space="preserve"> of the information collection activities.</w:t>
      </w:r>
    </w:p>
    <w:p w:rsidR="00503576" w:rsidP="00503576" w14:paraId="59938F89" w14:textId="77777777">
      <w:pPr>
        <w:ind w:firstLine="720"/>
      </w:pPr>
    </w:p>
    <w:bookmarkEnd w:id="5"/>
    <w:p w:rsidR="008B264F" w:rsidP="007A1A08" w14:paraId="6060BE9E" w14:textId="67BAACBA">
      <w:r w:rsidRPr="00265A93">
        <w:t xml:space="preserve">Since </w:t>
      </w:r>
      <w:r w:rsidR="00EA293D">
        <w:t xml:space="preserve">the effective date of the regulations in </w:t>
      </w:r>
      <w:r w:rsidRPr="00265A93">
        <w:t xml:space="preserve">2009, only two requests for designation have been received; however, we retain our current estimate of </w:t>
      </w:r>
      <w:r w:rsidR="0041530C">
        <w:t>one</w:t>
      </w:r>
      <w:r w:rsidRPr="00265A93">
        <w:t xml:space="preserve"> </w:t>
      </w:r>
      <w:r w:rsidR="00764197">
        <w:t xml:space="preserve">respondent </w:t>
      </w:r>
      <w:r w:rsidRPr="00265A93">
        <w:t>to permit such requests for designation by respondents</w:t>
      </w:r>
      <w:r>
        <w:t xml:space="preserve"> </w:t>
      </w:r>
      <w:r>
        <w:t>and also</w:t>
      </w:r>
      <w:r>
        <w:t xml:space="preserve"> to permit related responses to FDA</w:t>
      </w:r>
      <w:r w:rsidRPr="00265A93">
        <w:t>.</w:t>
      </w:r>
    </w:p>
    <w:p w:rsidR="009874C6" w:rsidP="007A1A08" w14:paraId="6B8DB915" w14:textId="77777777">
      <w:pPr>
        <w:rPr>
          <w:sz w:val="20"/>
          <w:szCs w:val="20"/>
        </w:rPr>
      </w:pPr>
    </w:p>
    <w:p w:rsidR="00A12D3E" w:rsidRPr="00A12D3E" w:rsidP="00503576" w14:paraId="73C8B24C" w14:textId="77777777">
      <w:pPr>
        <w:ind w:left="360"/>
        <w:jc w:val="center"/>
        <w:rPr>
          <w:rFonts w:eastAsia="Calibri"/>
          <w:iCs/>
        </w:rPr>
      </w:pPr>
      <w:r w:rsidRPr="00D0402C">
        <w:rPr>
          <w:sz w:val="20"/>
          <w:szCs w:val="20"/>
        </w:rPr>
        <w:t xml:space="preserve">Table </w:t>
      </w:r>
      <w:r w:rsidRPr="00D0402C">
        <w:rPr>
          <w:sz w:val="20"/>
          <w:szCs w:val="20"/>
        </w:rPr>
        <w:t>2.--</w:t>
      </w:r>
      <w:r w:rsidRPr="00D0402C">
        <w:rPr>
          <w:sz w:val="20"/>
          <w:szCs w:val="20"/>
        </w:rPr>
        <w:t>Estimated Annual Recordkeeping Burden</w:t>
      </w:r>
    </w:p>
    <w:tbl>
      <w:tblPr>
        <w:tblW w:w="48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19"/>
        <w:gridCol w:w="1495"/>
        <w:gridCol w:w="1407"/>
        <w:gridCol w:w="1055"/>
        <w:gridCol w:w="1489"/>
        <w:gridCol w:w="795"/>
      </w:tblGrid>
      <w:tr w14:paraId="45020ED0" w14:textId="77777777" w:rsidTr="007A1A08">
        <w:tblPrEx>
          <w:tblW w:w="48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18"/>
          <w:tblHeader/>
        </w:trPr>
        <w:tc>
          <w:tcPr>
            <w:tcW w:w="1593" w:type="pct"/>
            <w:shd w:val="clear" w:color="auto" w:fill="auto"/>
          </w:tcPr>
          <w:p w:rsidR="00307F5A" w:rsidRPr="00D0402C" w:rsidP="00307F5A" w14:paraId="756CF77B" w14:textId="77777777">
            <w:pPr>
              <w:keepNext/>
              <w:jc w:val="center"/>
              <w:rPr>
                <w:sz w:val="20"/>
                <w:szCs w:val="20"/>
              </w:rPr>
            </w:pPr>
            <w:r w:rsidRPr="00D0402C">
              <w:rPr>
                <w:sz w:val="20"/>
                <w:szCs w:val="20"/>
              </w:rPr>
              <w:t>21 CFR Part</w:t>
            </w:r>
            <w:r>
              <w:rPr>
                <w:sz w:val="20"/>
                <w:szCs w:val="20"/>
              </w:rPr>
              <w:t>; Activity</w:t>
            </w:r>
          </w:p>
          <w:p w:rsidR="00A12D3E" w:rsidRPr="00D0402C" w:rsidP="00503576" w14:paraId="705F1CD9" w14:textId="77777777">
            <w:pPr>
              <w:keepNext/>
              <w:jc w:val="center"/>
              <w:rPr>
                <w:sz w:val="20"/>
                <w:szCs w:val="20"/>
              </w:rPr>
            </w:pPr>
          </w:p>
        </w:tc>
        <w:tc>
          <w:tcPr>
            <w:tcW w:w="816" w:type="pct"/>
            <w:shd w:val="clear" w:color="auto" w:fill="auto"/>
          </w:tcPr>
          <w:p w:rsidR="00A12D3E" w:rsidRPr="00D0402C" w:rsidP="00503576" w14:paraId="0BE291B8" w14:textId="78178C08">
            <w:pPr>
              <w:keepNext/>
              <w:jc w:val="center"/>
              <w:rPr>
                <w:sz w:val="20"/>
                <w:szCs w:val="20"/>
              </w:rPr>
            </w:pPr>
            <w:r w:rsidRPr="00D0402C">
              <w:rPr>
                <w:sz w:val="20"/>
                <w:szCs w:val="20"/>
              </w:rPr>
              <w:t>No. of Recordkeepers</w:t>
            </w:r>
          </w:p>
        </w:tc>
        <w:tc>
          <w:tcPr>
            <w:tcW w:w="768" w:type="pct"/>
            <w:shd w:val="clear" w:color="auto" w:fill="auto"/>
          </w:tcPr>
          <w:p w:rsidR="00A12D3E" w:rsidRPr="00D0402C" w:rsidP="00503576" w14:paraId="0DFCEE14" w14:textId="77777777">
            <w:pPr>
              <w:keepNext/>
              <w:jc w:val="center"/>
              <w:rPr>
                <w:sz w:val="20"/>
                <w:szCs w:val="20"/>
              </w:rPr>
            </w:pPr>
            <w:r w:rsidRPr="00D0402C">
              <w:rPr>
                <w:bCs/>
                <w:sz w:val="20"/>
                <w:szCs w:val="20"/>
              </w:rPr>
              <w:t>No. of Records per Recordkeeper</w:t>
            </w:r>
          </w:p>
        </w:tc>
        <w:tc>
          <w:tcPr>
            <w:tcW w:w="576" w:type="pct"/>
            <w:shd w:val="clear" w:color="auto" w:fill="auto"/>
          </w:tcPr>
          <w:p w:rsidR="00A12D3E" w:rsidRPr="00D0402C" w:rsidP="00503576" w14:paraId="3B462B84" w14:textId="77777777">
            <w:pPr>
              <w:keepNext/>
              <w:jc w:val="center"/>
              <w:rPr>
                <w:sz w:val="20"/>
                <w:szCs w:val="20"/>
              </w:rPr>
            </w:pPr>
            <w:r w:rsidRPr="00D0402C">
              <w:rPr>
                <w:sz w:val="20"/>
                <w:szCs w:val="20"/>
              </w:rPr>
              <w:t>Total Annual Records</w:t>
            </w:r>
          </w:p>
        </w:tc>
        <w:tc>
          <w:tcPr>
            <w:tcW w:w="813" w:type="pct"/>
            <w:shd w:val="clear" w:color="auto" w:fill="auto"/>
          </w:tcPr>
          <w:p w:rsidR="00A12D3E" w:rsidRPr="00D0402C" w:rsidP="00503576" w14:paraId="0E002DEA" w14:textId="77777777">
            <w:pPr>
              <w:keepNext/>
              <w:jc w:val="center"/>
              <w:rPr>
                <w:sz w:val="20"/>
                <w:szCs w:val="20"/>
              </w:rPr>
            </w:pPr>
            <w:r w:rsidRPr="00D0402C">
              <w:rPr>
                <w:bCs/>
                <w:sz w:val="20"/>
                <w:szCs w:val="20"/>
              </w:rPr>
              <w:t xml:space="preserve">Average Burden per Recordkeeping </w:t>
            </w:r>
          </w:p>
        </w:tc>
        <w:tc>
          <w:tcPr>
            <w:tcW w:w="434" w:type="pct"/>
            <w:shd w:val="clear" w:color="auto" w:fill="auto"/>
          </w:tcPr>
          <w:p w:rsidR="00A12D3E" w:rsidRPr="00D0402C" w:rsidP="00503576" w14:paraId="37EE1E02" w14:textId="77777777">
            <w:pPr>
              <w:keepNext/>
              <w:jc w:val="center"/>
              <w:rPr>
                <w:sz w:val="20"/>
                <w:szCs w:val="20"/>
              </w:rPr>
            </w:pPr>
            <w:r w:rsidRPr="00D0402C">
              <w:rPr>
                <w:sz w:val="20"/>
                <w:szCs w:val="20"/>
              </w:rPr>
              <w:t>Total Hours</w:t>
            </w:r>
          </w:p>
        </w:tc>
      </w:tr>
      <w:tr w14:paraId="78F30F5C" w14:textId="77777777" w:rsidTr="007A1A08">
        <w:tblPrEx>
          <w:tblW w:w="4824" w:type="pct"/>
          <w:tblLayout w:type="fixed"/>
          <w:tblLook w:val="01E0"/>
        </w:tblPrEx>
        <w:trPr>
          <w:trHeight w:val="1790"/>
        </w:trPr>
        <w:tc>
          <w:tcPr>
            <w:tcW w:w="1593" w:type="pct"/>
            <w:shd w:val="clear" w:color="auto" w:fill="auto"/>
          </w:tcPr>
          <w:p w:rsidR="00307F5A" w:rsidRPr="00D0402C" w:rsidP="00307F5A" w14:paraId="7AFF2477" w14:textId="77777777">
            <w:pPr>
              <w:keepNext/>
              <w:rPr>
                <w:sz w:val="20"/>
                <w:szCs w:val="20"/>
              </w:rPr>
            </w:pPr>
            <w:r w:rsidRPr="00307F5A">
              <w:rPr>
                <w:sz w:val="20"/>
                <w:szCs w:val="20"/>
              </w:rPr>
              <w:t>589.2001(c)(2)(ii), 589.2001(c)(2)(vi) and (c)(3)(i), and 589.2001(c)(3)(i)(A) and (B); Rendering facilities maintain written procedures and records, and certification or documentation from the supplier</w:t>
            </w:r>
          </w:p>
        </w:tc>
        <w:tc>
          <w:tcPr>
            <w:tcW w:w="816" w:type="pct"/>
            <w:shd w:val="clear" w:color="auto" w:fill="auto"/>
          </w:tcPr>
          <w:p w:rsidR="00307F5A" w:rsidRPr="00D0402C" w:rsidP="00307F5A" w14:paraId="2926E071" w14:textId="77777777">
            <w:pPr>
              <w:keepNext/>
              <w:jc w:val="right"/>
              <w:rPr>
                <w:sz w:val="20"/>
                <w:szCs w:val="20"/>
              </w:rPr>
            </w:pPr>
            <w:r w:rsidRPr="00C43F2F">
              <w:t xml:space="preserve"> 145</w:t>
            </w:r>
          </w:p>
        </w:tc>
        <w:tc>
          <w:tcPr>
            <w:tcW w:w="768" w:type="pct"/>
            <w:shd w:val="clear" w:color="auto" w:fill="auto"/>
          </w:tcPr>
          <w:p w:rsidR="00307F5A" w:rsidRPr="00D0402C" w:rsidP="00307F5A" w14:paraId="537D2897" w14:textId="77777777">
            <w:pPr>
              <w:keepNext/>
              <w:jc w:val="right"/>
              <w:rPr>
                <w:sz w:val="20"/>
                <w:szCs w:val="20"/>
              </w:rPr>
            </w:pPr>
            <w:r w:rsidRPr="00C43F2F">
              <w:t>1</w:t>
            </w:r>
          </w:p>
        </w:tc>
        <w:tc>
          <w:tcPr>
            <w:tcW w:w="576" w:type="pct"/>
            <w:shd w:val="clear" w:color="auto" w:fill="auto"/>
          </w:tcPr>
          <w:p w:rsidR="00307F5A" w:rsidRPr="00D0402C" w:rsidP="00307F5A" w14:paraId="038B0505" w14:textId="77777777">
            <w:pPr>
              <w:keepNext/>
              <w:jc w:val="right"/>
              <w:rPr>
                <w:sz w:val="20"/>
                <w:szCs w:val="20"/>
              </w:rPr>
            </w:pPr>
            <w:r w:rsidRPr="00C43F2F">
              <w:t xml:space="preserve"> 145</w:t>
            </w:r>
          </w:p>
        </w:tc>
        <w:tc>
          <w:tcPr>
            <w:tcW w:w="813" w:type="pct"/>
            <w:shd w:val="clear" w:color="auto" w:fill="auto"/>
          </w:tcPr>
          <w:p w:rsidR="00307F5A" w:rsidRPr="00D0402C" w:rsidP="00307F5A" w14:paraId="074C5455" w14:textId="77777777">
            <w:pPr>
              <w:keepNext/>
              <w:jc w:val="right"/>
              <w:rPr>
                <w:sz w:val="20"/>
                <w:szCs w:val="20"/>
              </w:rPr>
            </w:pPr>
            <w:r w:rsidRPr="00C43F2F">
              <w:t xml:space="preserve"> 45</w:t>
            </w:r>
          </w:p>
        </w:tc>
        <w:tc>
          <w:tcPr>
            <w:tcW w:w="434" w:type="pct"/>
            <w:shd w:val="clear" w:color="auto" w:fill="auto"/>
          </w:tcPr>
          <w:p w:rsidR="00307F5A" w:rsidRPr="00D0402C" w:rsidP="00307F5A" w14:paraId="164BE73F" w14:textId="77777777">
            <w:pPr>
              <w:keepNext/>
              <w:jc w:val="right"/>
              <w:rPr>
                <w:sz w:val="20"/>
                <w:szCs w:val="20"/>
              </w:rPr>
            </w:pPr>
            <w:r w:rsidRPr="00C43F2F">
              <w:t>6,525</w:t>
            </w:r>
          </w:p>
        </w:tc>
      </w:tr>
    </w:tbl>
    <w:p w:rsidR="00D0402C" w:rsidP="0022425B" w14:paraId="1FA13476" w14:textId="77777777">
      <w:pPr>
        <w:spacing w:after="200"/>
        <w:ind w:left="360"/>
        <w:rPr>
          <w:rFonts w:eastAsia="Calibri"/>
          <w:iCs/>
        </w:rPr>
      </w:pPr>
    </w:p>
    <w:p w:rsidR="00307F5A" w:rsidP="00FB4F2E" w14:paraId="0666460C" w14:textId="1149ABD4">
      <w:pPr>
        <w:spacing w:after="200"/>
        <w:rPr>
          <w:rFonts w:eastAsia="Calibri"/>
          <w:iCs/>
        </w:rPr>
      </w:pPr>
      <w:r>
        <w:rPr>
          <w:rFonts w:eastAsia="Calibri"/>
        </w:rPr>
        <w:t>Table 2 reflects an adjustment decrease in our</w:t>
      </w:r>
      <w:r w:rsidRPr="00E67B87" w:rsidR="00DC2C26">
        <w:rPr>
          <w:rFonts w:eastAsia="Calibri"/>
        </w:rPr>
        <w:t xml:space="preserve"> recordkeeping burden estimate, based primarily on consolidation within the industry and </w:t>
      </w:r>
      <w:r w:rsidR="00B45D8D">
        <w:rPr>
          <w:rFonts w:eastAsia="Calibri"/>
        </w:rPr>
        <w:t>the related</w:t>
      </w:r>
      <w:r w:rsidRPr="00E67B87" w:rsidR="00DC2C26">
        <w:rPr>
          <w:rFonts w:eastAsia="Calibri"/>
        </w:rPr>
        <w:t xml:space="preserve"> decrease in the estimated number of respondents subject to recordkeeping requirements.  </w:t>
      </w:r>
      <w:r w:rsidRPr="00307F5A">
        <w:rPr>
          <w:rFonts w:eastAsia="Calibri"/>
          <w:iCs/>
        </w:rPr>
        <w:t>The burden we attribute to recordkeeping activities is assumed to be distributed among the individual elements and averaged among respondents.  The total number of recordkeepers contains a subset of 50 recordkeepers who maintain written procedures and records specifically required by 21 CFR 589.2001(c).</w:t>
      </w:r>
    </w:p>
    <w:p w:rsidR="00D2285F" w:rsidRPr="00501197" w:rsidP="00307F5A" w14:paraId="681F0A7A" w14:textId="32CC1D03">
      <w:pPr>
        <w:spacing w:after="200"/>
        <w:rPr>
          <w:rFonts w:eastAsia="Calibri"/>
        </w:rPr>
      </w:pPr>
      <w:r>
        <w:rPr>
          <w:rFonts w:eastAsia="Calibri"/>
          <w:iCs/>
        </w:rPr>
        <w:t xml:space="preserve">The total burden for </w:t>
      </w:r>
      <w:r w:rsidR="000852D9">
        <w:rPr>
          <w:rFonts w:eastAsia="Calibri"/>
          <w:iCs/>
        </w:rPr>
        <w:t xml:space="preserve">this information collection is </w:t>
      </w:r>
      <w:r>
        <w:rPr>
          <w:rFonts w:eastAsia="Calibri"/>
          <w:iCs/>
        </w:rPr>
        <w:t>6,591 hours.</w:t>
      </w:r>
    </w:p>
    <w:p w:rsidR="00357C8A" w:rsidRPr="005C71CA" w:rsidP="00DC371B" w14:paraId="589F1867" w14:textId="77777777">
      <w:pPr>
        <w:spacing w:after="200"/>
        <w:ind w:left="360"/>
        <w:rPr>
          <w:rFonts w:eastAsia="Calibri"/>
        </w:rPr>
      </w:pPr>
      <w:r w:rsidRPr="005C71CA">
        <w:rPr>
          <w:rFonts w:eastAsia="Calibri"/>
        </w:rPr>
        <w:t>12b.  Annualized Cost Burden Estimate</w:t>
      </w:r>
    </w:p>
    <w:p w:rsidR="00A707CC" w:rsidP="0022425B" w14:paraId="6A781A81" w14:textId="77777777">
      <w:pPr>
        <w:rPr>
          <w:rFonts w:eastAsia="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1890"/>
        <w:gridCol w:w="1944"/>
        <w:gridCol w:w="1926"/>
      </w:tblGrid>
      <w:tr w14:paraId="7ADE8A72" w14:textId="77777777" w:rsidTr="00312622">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520" w:type="dxa"/>
            <w:shd w:val="clear" w:color="auto" w:fill="auto"/>
          </w:tcPr>
          <w:p w:rsidR="00A707CC" w:rsidRPr="00E66E5C" w:rsidP="00312622" w14:paraId="1C9DC711" w14:textId="77777777">
            <w:pPr>
              <w:jc w:val="center"/>
              <w:rPr>
                <w:vertAlign w:val="superscript"/>
              </w:rPr>
            </w:pPr>
            <w:r w:rsidRPr="00355B62">
              <w:t>Type of Respondent</w:t>
            </w:r>
            <w:r w:rsidR="00E66E5C">
              <w:rPr>
                <w:vertAlign w:val="superscript"/>
              </w:rPr>
              <w:t>1</w:t>
            </w:r>
          </w:p>
        </w:tc>
        <w:tc>
          <w:tcPr>
            <w:tcW w:w="1890" w:type="dxa"/>
            <w:shd w:val="clear" w:color="auto" w:fill="auto"/>
          </w:tcPr>
          <w:p w:rsidR="00A707CC" w:rsidP="00312622" w14:paraId="6BEAA8D8" w14:textId="77777777">
            <w:pPr>
              <w:jc w:val="center"/>
            </w:pPr>
            <w:r>
              <w:t>Total Burden Hours</w:t>
            </w:r>
          </w:p>
        </w:tc>
        <w:tc>
          <w:tcPr>
            <w:tcW w:w="1944" w:type="dxa"/>
            <w:shd w:val="clear" w:color="auto" w:fill="auto"/>
          </w:tcPr>
          <w:p w:rsidR="00A707CC" w:rsidP="00312622" w14:paraId="245C6639" w14:textId="77777777">
            <w:pPr>
              <w:jc w:val="center"/>
            </w:pPr>
            <w:r>
              <w:t>Hourly Wage Rate</w:t>
            </w:r>
          </w:p>
        </w:tc>
        <w:tc>
          <w:tcPr>
            <w:tcW w:w="1926" w:type="dxa"/>
            <w:shd w:val="clear" w:color="auto" w:fill="auto"/>
          </w:tcPr>
          <w:p w:rsidR="00A707CC" w:rsidP="00312622" w14:paraId="07CA6703" w14:textId="77777777">
            <w:pPr>
              <w:jc w:val="center"/>
            </w:pPr>
            <w:r>
              <w:t>Total Respondent Costs</w:t>
            </w:r>
          </w:p>
        </w:tc>
      </w:tr>
      <w:tr w14:paraId="7736B055" w14:textId="77777777" w:rsidTr="00312622">
        <w:tblPrEx>
          <w:tblW w:w="0" w:type="auto"/>
          <w:tblInd w:w="828" w:type="dxa"/>
          <w:tblLook w:val="01E0"/>
        </w:tblPrEx>
        <w:tc>
          <w:tcPr>
            <w:tcW w:w="2520" w:type="dxa"/>
            <w:shd w:val="clear" w:color="auto" w:fill="auto"/>
          </w:tcPr>
          <w:p w:rsidR="00A707CC" w:rsidP="00312622" w14:paraId="467225A2" w14:textId="77777777">
            <w:r>
              <w:t>Compliance Officer</w:t>
            </w:r>
          </w:p>
        </w:tc>
        <w:tc>
          <w:tcPr>
            <w:tcW w:w="1890" w:type="dxa"/>
            <w:shd w:val="clear" w:color="auto" w:fill="auto"/>
          </w:tcPr>
          <w:p w:rsidR="00A707CC" w:rsidP="00E66E5C" w14:paraId="241A992F" w14:textId="77777777">
            <w:pPr>
              <w:jc w:val="right"/>
            </w:pPr>
            <w:r>
              <w:t>66</w:t>
            </w:r>
          </w:p>
        </w:tc>
        <w:tc>
          <w:tcPr>
            <w:tcW w:w="1944" w:type="dxa"/>
            <w:shd w:val="clear" w:color="auto" w:fill="auto"/>
          </w:tcPr>
          <w:p w:rsidR="00A707CC" w:rsidP="00E66E5C" w14:paraId="2B73780B" w14:textId="77777777">
            <w:pPr>
              <w:jc w:val="right"/>
            </w:pPr>
            <w:r>
              <w:t>$48.11</w:t>
            </w:r>
          </w:p>
        </w:tc>
        <w:tc>
          <w:tcPr>
            <w:tcW w:w="1926" w:type="dxa"/>
            <w:shd w:val="clear" w:color="auto" w:fill="auto"/>
          </w:tcPr>
          <w:p w:rsidR="00A707CC" w:rsidP="00E66E5C" w14:paraId="07D0FAEB" w14:textId="77777777">
            <w:pPr>
              <w:jc w:val="right"/>
            </w:pPr>
            <w:r>
              <w:t>$3,175.26</w:t>
            </w:r>
          </w:p>
        </w:tc>
      </w:tr>
    </w:tbl>
    <w:p w:rsidR="00E66E5C" w:rsidRPr="00E66E5C" w:rsidP="00E66E5C" w14:paraId="0817981B" w14:textId="77777777">
      <w:pPr>
        <w:ind w:left="720"/>
        <w:rPr>
          <w:sz w:val="20"/>
          <w:szCs w:val="20"/>
        </w:rPr>
      </w:pPr>
      <w:r w:rsidRPr="00E66E5C">
        <w:rPr>
          <w:sz w:val="20"/>
          <w:szCs w:val="20"/>
          <w:vertAlign w:val="superscript"/>
        </w:rPr>
        <w:t>1</w:t>
      </w:r>
      <w:r w:rsidRPr="00E66E5C">
        <w:rPr>
          <w:sz w:val="20"/>
          <w:szCs w:val="20"/>
        </w:rPr>
        <w:t>20</w:t>
      </w:r>
      <w:r>
        <w:rPr>
          <w:sz w:val="20"/>
          <w:szCs w:val="20"/>
        </w:rPr>
        <w:t>22</w:t>
      </w:r>
      <w:r w:rsidRPr="00E66E5C">
        <w:rPr>
          <w:sz w:val="20"/>
          <w:szCs w:val="20"/>
        </w:rPr>
        <w:t xml:space="preserve"> National Industry-Specific Occupational Employment and Wage Estimates, US Department of Labor, Bureau of Labor Statistics (</w:t>
      </w:r>
      <w:hyperlink r:id="rId8" w:history="1">
        <w:r w:rsidRPr="00E66E5C">
          <w:rPr>
            <w:color w:val="0563C1"/>
            <w:sz w:val="20"/>
            <w:szCs w:val="20"/>
            <w:u w:val="single"/>
          </w:rPr>
          <w:t>https://www.bls.gov/oes/current/oes131041.htm</w:t>
        </w:r>
      </w:hyperlink>
      <w:r w:rsidRPr="00E66E5C">
        <w:rPr>
          <w:sz w:val="20"/>
          <w:szCs w:val="20"/>
        </w:rPr>
        <w:t>) $</w:t>
      </w:r>
      <w:r w:rsidRPr="00E66E5C">
        <w:t xml:space="preserve"> </w:t>
      </w:r>
      <w:r w:rsidRPr="00E66E5C">
        <w:rPr>
          <w:sz w:val="20"/>
          <w:szCs w:val="20"/>
        </w:rPr>
        <w:t>$3</w:t>
      </w:r>
      <w:r>
        <w:rPr>
          <w:sz w:val="20"/>
          <w:szCs w:val="20"/>
        </w:rPr>
        <w:t>7</w:t>
      </w:r>
      <w:r w:rsidRPr="00E66E5C">
        <w:rPr>
          <w:sz w:val="20"/>
          <w:szCs w:val="20"/>
        </w:rPr>
        <w:t>.0</w:t>
      </w:r>
      <w:r>
        <w:rPr>
          <w:sz w:val="20"/>
          <w:szCs w:val="20"/>
        </w:rPr>
        <w:t>1</w:t>
      </w:r>
      <w:r w:rsidRPr="00E66E5C">
        <w:rPr>
          <w:sz w:val="20"/>
          <w:szCs w:val="20"/>
        </w:rPr>
        <w:t xml:space="preserve"> hourly wage plus 30% adjusted for benefits</w:t>
      </w:r>
      <w:r w:rsidR="00862C13">
        <w:rPr>
          <w:sz w:val="20"/>
          <w:szCs w:val="20"/>
        </w:rPr>
        <w:t>.</w:t>
      </w:r>
    </w:p>
    <w:p w:rsidR="00357C8A" w:rsidP="00357C8A" w14:paraId="0C32F497" w14:textId="77777777">
      <w:pPr>
        <w:rPr>
          <w:rFonts w:eastAsia="Calibri"/>
        </w:rPr>
      </w:pPr>
    </w:p>
    <w:p w:rsidR="00862C13" w:rsidP="00357C8A" w14:paraId="19DE01DA" w14:textId="77777777">
      <w:r>
        <w:t xml:space="preserve">As reflected above, the regulation allows a country to </w:t>
      </w:r>
      <w:r>
        <w:t>submit an application</w:t>
      </w:r>
      <w:r>
        <w:t xml:space="preserve"> requesting a designation as not being subject to the restrictions on the use of CMPAF. Using the total number of hours for annual reporting (66 hours) multiplied by an hourly wage for an industry compliance officer ($48.11), the estimated cost to respondents is $3,175.26.</w:t>
      </w:r>
    </w:p>
    <w:p w:rsidR="00862C13" w:rsidRPr="00357C8A" w:rsidP="00357C8A" w14:paraId="74F9B620" w14:textId="77777777">
      <w:pPr>
        <w:rPr>
          <w:rFonts w:eastAsia="Calibri"/>
        </w:rPr>
      </w:pPr>
    </w:p>
    <w:p w:rsidR="00357C8A" w:rsidRPr="00357C8A" w:rsidP="006705EA" w14:paraId="2ACCD0BA"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RPr="00E67B87" w:rsidP="00E67B87" w14:paraId="0E704704" w14:textId="77777777">
      <w:pPr>
        <w:spacing w:after="200"/>
        <w:rPr>
          <w:rFonts w:eastAsia="Calibri"/>
        </w:rPr>
      </w:pPr>
      <w:r>
        <w:rPr>
          <w:rFonts w:eastAsia="Calibri"/>
        </w:rPr>
        <w:t>There are no capital costs or operating and maintenance costs associated with this collection of information.</w:t>
      </w:r>
    </w:p>
    <w:p w:rsidR="00357C8A" w:rsidRPr="00357C8A" w:rsidP="006705EA" w14:paraId="046116F5"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B45D8D" w:rsidP="00357C8A" w14:paraId="1BBA78D1" w14:textId="6977152B">
      <w:pPr>
        <w:spacing w:after="200"/>
        <w:rPr>
          <w:rFonts w:eastAsia="Calibri"/>
        </w:rPr>
      </w:pPr>
      <w:r>
        <w:t>We estimate the cost to the Federal government to respond to requests for designation and annual review of designations is $</w:t>
      </w:r>
      <w:r w:rsidRPr="00980E50">
        <w:t xml:space="preserve"> 2,184.48</w:t>
      </w:r>
      <w:r w:rsidRPr="00980E50">
        <w:t>‬</w:t>
      </w:r>
      <w:r>
        <w:t xml:space="preserve">. </w:t>
      </w:r>
      <w:r w:rsidR="00E66E5C">
        <w:t>Costs to the Federal Government were calculated by using 2023 OPM wage rates for a GS-13- Step 4 employee in the Washington-Baltimore-Arlington, DC-MD-VA-WV-PA area ($59.04/hour) and multiplying this figure by the number of FTE hours (</w:t>
      </w:r>
      <w:r w:rsidR="00A944CB">
        <w:t xml:space="preserve">37 </w:t>
      </w:r>
      <w:r w:rsidR="00E66E5C">
        <w:t xml:space="preserve">hours) FDA might expend on the review of designation requests under the regulation. </w:t>
      </w:r>
      <w:r>
        <w:t xml:space="preserve">The estimated time for reviewing and evaluating these applications by FDA personnel is approximately 25 hours per original application and approximately </w:t>
      </w:r>
      <w:r w:rsidR="00A944CB">
        <w:t>12</w:t>
      </w:r>
      <w:r>
        <w:t xml:space="preserve"> hours for recurring annual review of exclusion designations.</w:t>
      </w:r>
      <w:r w:rsidR="00A944CB">
        <w:t xml:space="preserve"> </w:t>
      </w:r>
      <w:r w:rsidR="00E66E5C">
        <w:t>Total estimated costs are therefore $</w:t>
      </w:r>
      <w:r w:rsidRPr="00A944CB" w:rsidR="00A944CB">
        <w:t xml:space="preserve"> 2,184.48</w:t>
      </w:r>
      <w:r w:rsidRPr="00A944CB" w:rsidR="00A944CB">
        <w:t>‬</w:t>
      </w:r>
      <w:r w:rsidR="00A506DE">
        <w:rPr>
          <w:rFonts w:eastAsia="Calibri"/>
        </w:rPr>
        <w:t xml:space="preserve">. </w:t>
      </w:r>
    </w:p>
    <w:p w:rsidR="00357C8A" w:rsidP="006705EA" w14:paraId="5BB9AC29"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00357C8A" w:rsidRPr="00357C8A" w:rsidP="00E67B87" w14:paraId="32CEAA35" w14:textId="0B7E8653">
      <w:pPr>
        <w:spacing w:after="200"/>
        <w:rPr>
          <w:rFonts w:eastAsia="Calibri"/>
          <w:color w:val="FF0000"/>
        </w:rPr>
      </w:pPr>
      <w:r w:rsidRPr="00E67B87">
        <w:rPr>
          <w:rFonts w:eastAsia="Calibri"/>
        </w:rPr>
        <w:t>Based on our review since the last OMB approval, there is an overall adjustment decrease of 2,565 burden hours.  The adjustment is attributable to decreases in the average reporting burden time and in respondent</w:t>
      </w:r>
      <w:r w:rsidR="00DC2C26">
        <w:rPr>
          <w:rFonts w:eastAsia="Calibri"/>
        </w:rPr>
        <w:t>s</w:t>
      </w:r>
      <w:r w:rsidRPr="00E67B87">
        <w:rPr>
          <w:rFonts w:eastAsia="Calibri"/>
        </w:rPr>
        <w:t xml:space="preserve"> subject to recordkeeping requirements. </w:t>
      </w:r>
    </w:p>
    <w:p w:rsidR="00357C8A" w:rsidRPr="00357C8A" w:rsidP="006705EA" w14:paraId="3D647EB5"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E67B87" w:rsidP="00357C8A" w14:paraId="535DBC38" w14:textId="77777777">
      <w:pPr>
        <w:spacing w:after="200"/>
        <w:rPr>
          <w:rFonts w:eastAsia="Calibri"/>
        </w:rPr>
      </w:pPr>
      <w:r w:rsidRPr="005C71CA">
        <w:rPr>
          <w:rFonts w:eastAsia="Calibri"/>
        </w:rPr>
        <w:t>This information collected will not be published or tabulated.</w:t>
      </w:r>
    </w:p>
    <w:p w:rsidR="00357C8A" w:rsidRPr="00357C8A" w:rsidP="006705EA" w14:paraId="4E0AA1B6"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357C8A" w:rsidRPr="00862C13" w:rsidP="00357C8A" w14:paraId="08EA9624" w14:textId="77777777">
      <w:pPr>
        <w:spacing w:after="200"/>
        <w:rPr>
          <w:rFonts w:eastAsia="Calibri"/>
        </w:rPr>
      </w:pPr>
      <w:bookmarkStart w:id="6" w:name="_Hlk158640786"/>
      <w:r w:rsidRPr="00862C13">
        <w:rPr>
          <w:rFonts w:eastAsia="Calibri"/>
        </w:rPr>
        <w:t>There are no reasons why display of the expiration date for OMB approval of the information collection would be inappropriate.</w:t>
      </w:r>
      <w:bookmarkEnd w:id="6"/>
      <w:r w:rsidRPr="00357C8A">
        <w:rPr>
          <w:rFonts w:eastAsia="Calibri"/>
          <w:color w:val="FF0000"/>
        </w:rPr>
        <w:t xml:space="preserve"> </w:t>
      </w:r>
    </w:p>
    <w:p w:rsidR="00357C8A" w:rsidRPr="00357C8A" w:rsidP="006705EA" w14:paraId="2A8EA072"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7E59A8" w:rsidP="00357C8A" w14:paraId="3CAE0630" w14:textId="77777777">
      <w:pPr>
        <w:spacing w:after="200"/>
        <w:rPr>
          <w:rFonts w:eastAsia="Calibri"/>
        </w:rPr>
      </w:pPr>
      <w:r w:rsidRPr="007E59A8">
        <w:rPr>
          <w:rFonts w:eastAsia="Calibri"/>
        </w:rPr>
        <w:t>There are no exceptions to the certification</w:t>
      </w:r>
      <w:r>
        <w:rPr>
          <w:rFonts w:eastAsia="Calibri"/>
        </w:rPr>
        <w:t>.</w:t>
      </w:r>
    </w:p>
    <w:sectPr w:rsidSect="005C71CA">
      <w:footerReference w:type="even" r:id="rId9"/>
      <w:footerReference w:type="default" r:id="rId10"/>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49776A0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1A3C">
      <w:rPr>
        <w:rStyle w:val="PageNumber"/>
        <w:noProof/>
      </w:rPr>
      <w:t>1</w:t>
    </w:r>
    <w:r>
      <w:rPr>
        <w:rStyle w:val="PageNumber"/>
      </w:rPr>
      <w:fldChar w:fldCharType="end"/>
    </w:r>
  </w:p>
  <w:p w:rsidR="00E63DE5" w14:paraId="052B8AC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7457B7A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642CA29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871E1A90"/>
    <w:lvl w:ilvl="0">
      <w:start w:val="1"/>
      <w:numFmt w:val="decimal"/>
      <w:lvlText w:val="%1."/>
      <w:lvlJc w:val="left"/>
      <w:rPr>
        <w:color w:val="auto"/>
      </w:r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669983699">
    <w:abstractNumId w:val="5"/>
  </w:num>
  <w:num w:numId="2" w16cid:durableId="2094473970">
    <w:abstractNumId w:val="1"/>
  </w:num>
  <w:num w:numId="3" w16cid:durableId="1210189535">
    <w:abstractNumId w:val="6"/>
  </w:num>
  <w:num w:numId="4" w16cid:durableId="1270701683">
    <w:abstractNumId w:val="3"/>
  </w:num>
  <w:num w:numId="5" w16cid:durableId="505050508">
    <w:abstractNumId w:val="7"/>
  </w:num>
  <w:num w:numId="6" w16cid:durableId="1290163926">
    <w:abstractNumId w:val="0"/>
  </w:num>
  <w:num w:numId="7" w16cid:durableId="333994246">
    <w:abstractNumId w:val="2"/>
  </w:num>
  <w:num w:numId="8" w16cid:durableId="211990798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61E3"/>
    <w:rsid w:val="00031A2C"/>
    <w:rsid w:val="00042B93"/>
    <w:rsid w:val="00043C7F"/>
    <w:rsid w:val="000467A8"/>
    <w:rsid w:val="000519A0"/>
    <w:rsid w:val="0006570F"/>
    <w:rsid w:val="00075DE8"/>
    <w:rsid w:val="000852D9"/>
    <w:rsid w:val="00087439"/>
    <w:rsid w:val="00092952"/>
    <w:rsid w:val="00093A26"/>
    <w:rsid w:val="000C1260"/>
    <w:rsid w:val="000C4C66"/>
    <w:rsid w:val="000C560C"/>
    <w:rsid w:val="000D080B"/>
    <w:rsid w:val="000D48FD"/>
    <w:rsid w:val="000D6A36"/>
    <w:rsid w:val="000D79CC"/>
    <w:rsid w:val="000E1C64"/>
    <w:rsid w:val="000F7119"/>
    <w:rsid w:val="00100739"/>
    <w:rsid w:val="0010493E"/>
    <w:rsid w:val="001075D3"/>
    <w:rsid w:val="00107885"/>
    <w:rsid w:val="00114FC4"/>
    <w:rsid w:val="00121F46"/>
    <w:rsid w:val="0012329C"/>
    <w:rsid w:val="00134FA7"/>
    <w:rsid w:val="00137950"/>
    <w:rsid w:val="00152F29"/>
    <w:rsid w:val="0017441F"/>
    <w:rsid w:val="00174D54"/>
    <w:rsid w:val="0017702C"/>
    <w:rsid w:val="00185270"/>
    <w:rsid w:val="001A123B"/>
    <w:rsid w:val="001A3032"/>
    <w:rsid w:val="001A3B5A"/>
    <w:rsid w:val="001A458C"/>
    <w:rsid w:val="001B66B3"/>
    <w:rsid w:val="001B7CE9"/>
    <w:rsid w:val="001D495A"/>
    <w:rsid w:val="001E244C"/>
    <w:rsid w:val="001F1437"/>
    <w:rsid w:val="00205BD0"/>
    <w:rsid w:val="00206799"/>
    <w:rsid w:val="002074FE"/>
    <w:rsid w:val="0022425B"/>
    <w:rsid w:val="002259EF"/>
    <w:rsid w:val="00242ED1"/>
    <w:rsid w:val="002444BB"/>
    <w:rsid w:val="00254069"/>
    <w:rsid w:val="00265A93"/>
    <w:rsid w:val="00270748"/>
    <w:rsid w:val="002734E5"/>
    <w:rsid w:val="002746DB"/>
    <w:rsid w:val="00280CAF"/>
    <w:rsid w:val="00282F09"/>
    <w:rsid w:val="00291810"/>
    <w:rsid w:val="00294D62"/>
    <w:rsid w:val="00297532"/>
    <w:rsid w:val="00297FFD"/>
    <w:rsid w:val="002A1210"/>
    <w:rsid w:val="002A47D2"/>
    <w:rsid w:val="002A5D11"/>
    <w:rsid w:val="002A7FB5"/>
    <w:rsid w:val="002B2074"/>
    <w:rsid w:val="002D14D8"/>
    <w:rsid w:val="002D4799"/>
    <w:rsid w:val="002E3FA4"/>
    <w:rsid w:val="002E53A5"/>
    <w:rsid w:val="002E64B8"/>
    <w:rsid w:val="002E6834"/>
    <w:rsid w:val="00307F5A"/>
    <w:rsid w:val="003113FF"/>
    <w:rsid w:val="00312622"/>
    <w:rsid w:val="003126EC"/>
    <w:rsid w:val="0032277F"/>
    <w:rsid w:val="00336B69"/>
    <w:rsid w:val="0034302B"/>
    <w:rsid w:val="00350523"/>
    <w:rsid w:val="0035189D"/>
    <w:rsid w:val="00355B62"/>
    <w:rsid w:val="00357A13"/>
    <w:rsid w:val="00357C8A"/>
    <w:rsid w:val="003740BC"/>
    <w:rsid w:val="0037456B"/>
    <w:rsid w:val="003801A3"/>
    <w:rsid w:val="00383D90"/>
    <w:rsid w:val="003870AE"/>
    <w:rsid w:val="003A1A27"/>
    <w:rsid w:val="003A50CC"/>
    <w:rsid w:val="003B42B3"/>
    <w:rsid w:val="003B5AB2"/>
    <w:rsid w:val="003B6384"/>
    <w:rsid w:val="003C0FE2"/>
    <w:rsid w:val="003C4EBB"/>
    <w:rsid w:val="003D1531"/>
    <w:rsid w:val="003E4EC6"/>
    <w:rsid w:val="003E527E"/>
    <w:rsid w:val="003E553E"/>
    <w:rsid w:val="003E6625"/>
    <w:rsid w:val="003E7078"/>
    <w:rsid w:val="003F3DF5"/>
    <w:rsid w:val="003F73B8"/>
    <w:rsid w:val="003F7817"/>
    <w:rsid w:val="0040297E"/>
    <w:rsid w:val="00411D11"/>
    <w:rsid w:val="00414494"/>
    <w:rsid w:val="0041530C"/>
    <w:rsid w:val="00415E23"/>
    <w:rsid w:val="0041670D"/>
    <w:rsid w:val="004170AC"/>
    <w:rsid w:val="00423272"/>
    <w:rsid w:val="00424061"/>
    <w:rsid w:val="004357D9"/>
    <w:rsid w:val="00442A3C"/>
    <w:rsid w:val="00443969"/>
    <w:rsid w:val="00447D74"/>
    <w:rsid w:val="00450A74"/>
    <w:rsid w:val="00450C3A"/>
    <w:rsid w:val="004546BF"/>
    <w:rsid w:val="004553E7"/>
    <w:rsid w:val="00465350"/>
    <w:rsid w:val="0047677E"/>
    <w:rsid w:val="00476B91"/>
    <w:rsid w:val="004846BF"/>
    <w:rsid w:val="00493112"/>
    <w:rsid w:val="00494912"/>
    <w:rsid w:val="004A5323"/>
    <w:rsid w:val="004A5A99"/>
    <w:rsid w:val="004B3796"/>
    <w:rsid w:val="004C6979"/>
    <w:rsid w:val="004D13A2"/>
    <w:rsid w:val="004D3E7A"/>
    <w:rsid w:val="004F594B"/>
    <w:rsid w:val="004F61E1"/>
    <w:rsid w:val="00501197"/>
    <w:rsid w:val="00503576"/>
    <w:rsid w:val="0053380B"/>
    <w:rsid w:val="00543194"/>
    <w:rsid w:val="00544138"/>
    <w:rsid w:val="00554E34"/>
    <w:rsid w:val="00570E15"/>
    <w:rsid w:val="00584583"/>
    <w:rsid w:val="00590E90"/>
    <w:rsid w:val="00590EEB"/>
    <w:rsid w:val="005A4099"/>
    <w:rsid w:val="005C38B2"/>
    <w:rsid w:val="005C43EC"/>
    <w:rsid w:val="005C5029"/>
    <w:rsid w:val="005C55C2"/>
    <w:rsid w:val="005C71CA"/>
    <w:rsid w:val="005C745C"/>
    <w:rsid w:val="005D27D1"/>
    <w:rsid w:val="005D4DF5"/>
    <w:rsid w:val="005E42BA"/>
    <w:rsid w:val="00611D6B"/>
    <w:rsid w:val="00625CFD"/>
    <w:rsid w:val="006326EC"/>
    <w:rsid w:val="006430F1"/>
    <w:rsid w:val="00663A42"/>
    <w:rsid w:val="006641C7"/>
    <w:rsid w:val="006705EA"/>
    <w:rsid w:val="00670BE2"/>
    <w:rsid w:val="006916D9"/>
    <w:rsid w:val="006A0E05"/>
    <w:rsid w:val="006A26C6"/>
    <w:rsid w:val="006A465A"/>
    <w:rsid w:val="006A7D5D"/>
    <w:rsid w:val="006B3BB3"/>
    <w:rsid w:val="006D0C12"/>
    <w:rsid w:val="006D5D57"/>
    <w:rsid w:val="006E2538"/>
    <w:rsid w:val="006E302F"/>
    <w:rsid w:val="006F4D6D"/>
    <w:rsid w:val="00703178"/>
    <w:rsid w:val="00705086"/>
    <w:rsid w:val="00722001"/>
    <w:rsid w:val="00744525"/>
    <w:rsid w:val="00751E66"/>
    <w:rsid w:val="00754497"/>
    <w:rsid w:val="00764197"/>
    <w:rsid w:val="00773201"/>
    <w:rsid w:val="00782F18"/>
    <w:rsid w:val="00787C39"/>
    <w:rsid w:val="00792947"/>
    <w:rsid w:val="00795DF3"/>
    <w:rsid w:val="007A1A08"/>
    <w:rsid w:val="007A373C"/>
    <w:rsid w:val="007A796E"/>
    <w:rsid w:val="007B225C"/>
    <w:rsid w:val="007C75B1"/>
    <w:rsid w:val="007D3DFC"/>
    <w:rsid w:val="007E2F07"/>
    <w:rsid w:val="007E59A8"/>
    <w:rsid w:val="0080776D"/>
    <w:rsid w:val="00810145"/>
    <w:rsid w:val="008108FA"/>
    <w:rsid w:val="00810FF1"/>
    <w:rsid w:val="00822336"/>
    <w:rsid w:val="00823668"/>
    <w:rsid w:val="00823DFA"/>
    <w:rsid w:val="00824DE0"/>
    <w:rsid w:val="00835B26"/>
    <w:rsid w:val="00842DB7"/>
    <w:rsid w:val="00843752"/>
    <w:rsid w:val="0084479F"/>
    <w:rsid w:val="0085725E"/>
    <w:rsid w:val="00862C13"/>
    <w:rsid w:val="00873D4F"/>
    <w:rsid w:val="0087509F"/>
    <w:rsid w:val="00885B09"/>
    <w:rsid w:val="00892400"/>
    <w:rsid w:val="0089273F"/>
    <w:rsid w:val="008975B4"/>
    <w:rsid w:val="008A209D"/>
    <w:rsid w:val="008A22BB"/>
    <w:rsid w:val="008B035D"/>
    <w:rsid w:val="008B0E29"/>
    <w:rsid w:val="008B0EFA"/>
    <w:rsid w:val="008B264F"/>
    <w:rsid w:val="008B30AB"/>
    <w:rsid w:val="008C3BB8"/>
    <w:rsid w:val="008C4B65"/>
    <w:rsid w:val="008C5CF7"/>
    <w:rsid w:val="008D5E10"/>
    <w:rsid w:val="008E5F55"/>
    <w:rsid w:val="009009E7"/>
    <w:rsid w:val="00905DEF"/>
    <w:rsid w:val="00906056"/>
    <w:rsid w:val="009122AE"/>
    <w:rsid w:val="00913B43"/>
    <w:rsid w:val="00930203"/>
    <w:rsid w:val="009311D2"/>
    <w:rsid w:val="009311E6"/>
    <w:rsid w:val="00931275"/>
    <w:rsid w:val="00932285"/>
    <w:rsid w:val="009322EA"/>
    <w:rsid w:val="00936AC7"/>
    <w:rsid w:val="00947761"/>
    <w:rsid w:val="00953B64"/>
    <w:rsid w:val="009646A7"/>
    <w:rsid w:val="00970A88"/>
    <w:rsid w:val="00971BB5"/>
    <w:rsid w:val="00976616"/>
    <w:rsid w:val="00980E50"/>
    <w:rsid w:val="009818A1"/>
    <w:rsid w:val="009869A3"/>
    <w:rsid w:val="009874C6"/>
    <w:rsid w:val="009A1674"/>
    <w:rsid w:val="009A1A3C"/>
    <w:rsid w:val="009A433B"/>
    <w:rsid w:val="009A7081"/>
    <w:rsid w:val="009B38BE"/>
    <w:rsid w:val="009B4DF2"/>
    <w:rsid w:val="009B5425"/>
    <w:rsid w:val="009B5440"/>
    <w:rsid w:val="009B6CD1"/>
    <w:rsid w:val="009C684F"/>
    <w:rsid w:val="009D074C"/>
    <w:rsid w:val="009D6E73"/>
    <w:rsid w:val="009F1F1D"/>
    <w:rsid w:val="009F2B4F"/>
    <w:rsid w:val="009F3C63"/>
    <w:rsid w:val="009F66B5"/>
    <w:rsid w:val="00A00BF2"/>
    <w:rsid w:val="00A02F10"/>
    <w:rsid w:val="00A1060C"/>
    <w:rsid w:val="00A12D3E"/>
    <w:rsid w:val="00A16221"/>
    <w:rsid w:val="00A20007"/>
    <w:rsid w:val="00A20A7D"/>
    <w:rsid w:val="00A35D42"/>
    <w:rsid w:val="00A4545D"/>
    <w:rsid w:val="00A46CCF"/>
    <w:rsid w:val="00A506DE"/>
    <w:rsid w:val="00A53451"/>
    <w:rsid w:val="00A63E4C"/>
    <w:rsid w:val="00A70426"/>
    <w:rsid w:val="00A707CC"/>
    <w:rsid w:val="00A71410"/>
    <w:rsid w:val="00A7465B"/>
    <w:rsid w:val="00A849CF"/>
    <w:rsid w:val="00A91E9A"/>
    <w:rsid w:val="00A93ED9"/>
    <w:rsid w:val="00A944CB"/>
    <w:rsid w:val="00A96221"/>
    <w:rsid w:val="00AB26ED"/>
    <w:rsid w:val="00AC2DBB"/>
    <w:rsid w:val="00AC4BB2"/>
    <w:rsid w:val="00AC6A99"/>
    <w:rsid w:val="00AD6048"/>
    <w:rsid w:val="00AF0A45"/>
    <w:rsid w:val="00B0003D"/>
    <w:rsid w:val="00B02D36"/>
    <w:rsid w:val="00B055EF"/>
    <w:rsid w:val="00B06B5B"/>
    <w:rsid w:val="00B11062"/>
    <w:rsid w:val="00B23769"/>
    <w:rsid w:val="00B41789"/>
    <w:rsid w:val="00B45D8D"/>
    <w:rsid w:val="00B81808"/>
    <w:rsid w:val="00B86DFA"/>
    <w:rsid w:val="00B936D0"/>
    <w:rsid w:val="00BA32D1"/>
    <w:rsid w:val="00BB15FB"/>
    <w:rsid w:val="00BC1474"/>
    <w:rsid w:val="00BD3D5B"/>
    <w:rsid w:val="00BE3600"/>
    <w:rsid w:val="00C01F6F"/>
    <w:rsid w:val="00C041EA"/>
    <w:rsid w:val="00C13BBD"/>
    <w:rsid w:val="00C149AB"/>
    <w:rsid w:val="00C16929"/>
    <w:rsid w:val="00C20690"/>
    <w:rsid w:val="00C24963"/>
    <w:rsid w:val="00C36020"/>
    <w:rsid w:val="00C40694"/>
    <w:rsid w:val="00C40A0D"/>
    <w:rsid w:val="00C41A5B"/>
    <w:rsid w:val="00C43F2F"/>
    <w:rsid w:val="00C479BF"/>
    <w:rsid w:val="00C5124B"/>
    <w:rsid w:val="00C70542"/>
    <w:rsid w:val="00C75CBF"/>
    <w:rsid w:val="00C97991"/>
    <w:rsid w:val="00CC2894"/>
    <w:rsid w:val="00CD77C3"/>
    <w:rsid w:val="00CE112C"/>
    <w:rsid w:val="00CF1993"/>
    <w:rsid w:val="00CF55D4"/>
    <w:rsid w:val="00D0402C"/>
    <w:rsid w:val="00D2285F"/>
    <w:rsid w:val="00D41C03"/>
    <w:rsid w:val="00D608DA"/>
    <w:rsid w:val="00D618BB"/>
    <w:rsid w:val="00D730BF"/>
    <w:rsid w:val="00D80882"/>
    <w:rsid w:val="00D852F4"/>
    <w:rsid w:val="00D91C56"/>
    <w:rsid w:val="00DB1110"/>
    <w:rsid w:val="00DB3730"/>
    <w:rsid w:val="00DC2C26"/>
    <w:rsid w:val="00DC371B"/>
    <w:rsid w:val="00DC3788"/>
    <w:rsid w:val="00DC76C7"/>
    <w:rsid w:val="00DD09F5"/>
    <w:rsid w:val="00DD0E02"/>
    <w:rsid w:val="00DD4201"/>
    <w:rsid w:val="00DD5E9F"/>
    <w:rsid w:val="00DE5711"/>
    <w:rsid w:val="00E00EA0"/>
    <w:rsid w:val="00E021CB"/>
    <w:rsid w:val="00E138F1"/>
    <w:rsid w:val="00E216B0"/>
    <w:rsid w:val="00E2309D"/>
    <w:rsid w:val="00E26758"/>
    <w:rsid w:val="00E3794F"/>
    <w:rsid w:val="00E4357B"/>
    <w:rsid w:val="00E443A7"/>
    <w:rsid w:val="00E45904"/>
    <w:rsid w:val="00E63DE5"/>
    <w:rsid w:val="00E647AF"/>
    <w:rsid w:val="00E647C7"/>
    <w:rsid w:val="00E65A37"/>
    <w:rsid w:val="00E65EF7"/>
    <w:rsid w:val="00E66E5C"/>
    <w:rsid w:val="00E67B87"/>
    <w:rsid w:val="00E77B48"/>
    <w:rsid w:val="00E857FB"/>
    <w:rsid w:val="00E91799"/>
    <w:rsid w:val="00E92DA8"/>
    <w:rsid w:val="00E9580C"/>
    <w:rsid w:val="00E97DF8"/>
    <w:rsid w:val="00EA21FE"/>
    <w:rsid w:val="00EA293D"/>
    <w:rsid w:val="00EA34E3"/>
    <w:rsid w:val="00EA4DDE"/>
    <w:rsid w:val="00EB7538"/>
    <w:rsid w:val="00EC1868"/>
    <w:rsid w:val="00EC300E"/>
    <w:rsid w:val="00EE6468"/>
    <w:rsid w:val="00F001CF"/>
    <w:rsid w:val="00F1299B"/>
    <w:rsid w:val="00F16111"/>
    <w:rsid w:val="00F16C81"/>
    <w:rsid w:val="00F207A4"/>
    <w:rsid w:val="00F25173"/>
    <w:rsid w:val="00F355AC"/>
    <w:rsid w:val="00F40CF7"/>
    <w:rsid w:val="00F44194"/>
    <w:rsid w:val="00F71A5A"/>
    <w:rsid w:val="00F73A1A"/>
    <w:rsid w:val="00F769E0"/>
    <w:rsid w:val="00F820FF"/>
    <w:rsid w:val="00F84AFD"/>
    <w:rsid w:val="00FA04C1"/>
    <w:rsid w:val="00FA4A46"/>
    <w:rsid w:val="00FA75FE"/>
    <w:rsid w:val="00FB1032"/>
    <w:rsid w:val="00FB158B"/>
    <w:rsid w:val="00FB39BC"/>
    <w:rsid w:val="00FB4F2E"/>
    <w:rsid w:val="00FB6A53"/>
    <w:rsid w:val="00FC11CA"/>
    <w:rsid w:val="00FC6BDE"/>
    <w:rsid w:val="00FF6138"/>
    <w:rsid w:val="00FF72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71D575B"/>
  <w15:chartTrackingRefBased/>
  <w15:docId w15:val="{C1F96CA0-835E-46F9-ABE4-40F94F3D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092952"/>
    <w:rPr>
      <w:sz w:val="16"/>
      <w:szCs w:val="16"/>
    </w:rPr>
  </w:style>
  <w:style w:type="paragraph" w:styleId="CommentText">
    <w:name w:val="annotation text"/>
    <w:basedOn w:val="Normal"/>
    <w:link w:val="CommentTextChar"/>
    <w:rsid w:val="00092952"/>
    <w:rPr>
      <w:sz w:val="20"/>
      <w:szCs w:val="20"/>
    </w:rPr>
  </w:style>
  <w:style w:type="character" w:customStyle="1" w:styleId="CommentTextChar">
    <w:name w:val="Comment Text Char"/>
    <w:basedOn w:val="DefaultParagraphFont"/>
    <w:link w:val="CommentText"/>
    <w:rsid w:val="00092952"/>
  </w:style>
  <w:style w:type="paragraph" w:styleId="CommentSubject">
    <w:name w:val="annotation subject"/>
    <w:basedOn w:val="CommentText"/>
    <w:next w:val="CommentText"/>
    <w:link w:val="CommentSubjectChar"/>
    <w:rsid w:val="00092952"/>
    <w:rPr>
      <w:b/>
      <w:bCs/>
    </w:rPr>
  </w:style>
  <w:style w:type="character" w:customStyle="1" w:styleId="CommentSubjectChar">
    <w:name w:val="Comment Subject Char"/>
    <w:link w:val="CommentSubject"/>
    <w:rsid w:val="00092952"/>
    <w:rPr>
      <w:b/>
      <w:bCs/>
    </w:rPr>
  </w:style>
  <w:style w:type="paragraph" w:styleId="Revision">
    <w:name w:val="Revision"/>
    <w:hidden/>
    <w:uiPriority w:val="99"/>
    <w:semiHidden/>
    <w:rsid w:val="00A20007"/>
    <w:rPr>
      <w:sz w:val="24"/>
      <w:szCs w:val="24"/>
    </w:rPr>
  </w:style>
  <w:style w:type="character" w:customStyle="1" w:styleId="cf01">
    <w:name w:val="cf01"/>
    <w:basedOn w:val="DefaultParagraphFont"/>
    <w:rsid w:val="00980E5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da.gov/industry/small-business-assistance" TargetMode="External" /><Relationship Id="rId8" Type="http://schemas.openxmlformats.org/officeDocument/2006/relationships/hyperlink" Target="https://www.bls.gov/oes/current/oes131041.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BeforeICRFlag xmlns="7389913f-922f-4e80-b417-8e04b3f2c4f9">false</BeforeICRFlag>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0FC6E1A17FC941A2344FC05EA6CD14" ma:contentTypeVersion="9" ma:contentTypeDescription="Create a new document." ma:contentTypeScope="" ma:versionID="e8cd38d480bf7931c26d041bbf58878a">
  <xsd:schema xmlns:xsd="http://www.w3.org/2001/XMLSchema" xmlns:xs="http://www.w3.org/2001/XMLSchema" xmlns:p="http://schemas.microsoft.com/office/2006/metadata/properties" xmlns:ns2="7389913f-922f-4e80-b417-8e04b3f2c4f9" xmlns:ns3="dc5bc271-7e60-4bc3-821c-602e6e911f84" targetNamespace="http://schemas.microsoft.com/office/2006/metadata/properties" ma:root="true" ma:fieldsID="c9aaf33921065e7eb5ee35dcaafa0944" ns2:_="" ns3:_="">
    <xsd:import namespace="7389913f-922f-4e80-b417-8e04b3f2c4f9"/>
    <xsd:import namespace="dc5bc271-7e60-4bc3-821c-602e6e911f84"/>
    <xsd:element name="properties">
      <xsd:complexType>
        <xsd:sequence>
          <xsd:element name="documentManagement">
            <xsd:complexType>
              <xsd:all>
                <xsd:element ref="ns2:MediaServiceMetadata" minOccurs="0"/>
                <xsd:element ref="ns2:MediaServiceFastMetadata" minOccurs="0"/>
                <xsd:element ref="ns2:BeforeICRFlag"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9913f-922f-4e80-b417-8e04b3f2c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BeforeICRFlag" ma:index="10" nillable="true" ma:displayName="Before ICR Flag" ma:default="0" ma:description="To flag if the document should be displayed on Before Submitting Your ICR page" ma:format="Dropdown" ma:internalName="BeforeICRFlag">
      <xsd:simpleType>
        <xsd:restriction base="dms:Boolea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5bc271-7e60-4bc3-821c-602e6e911f8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C6DE79-7395-46A7-A379-25B035E862D1}">
  <ds:schemaRefs>
    <ds:schemaRef ds:uri="http://schemas.microsoft.com/office/2006/metadata/properties"/>
    <ds:schemaRef ds:uri="http://schemas.microsoft.com/office/infopath/2007/PartnerControls"/>
    <ds:schemaRef ds:uri="7389913f-922f-4e80-b417-8e04b3f2c4f9"/>
  </ds:schemaRefs>
</ds:datastoreItem>
</file>

<file path=customXml/itemProps2.xml><?xml version="1.0" encoding="utf-8"?>
<ds:datastoreItem xmlns:ds="http://schemas.openxmlformats.org/officeDocument/2006/customXml" ds:itemID="{84513AC8-C8ED-45DA-AF31-B6BDB5C6D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9913f-922f-4e80-b417-8e04b3f2c4f9"/>
    <ds:schemaRef ds:uri="dc5bc271-7e60-4bc3-821c-602e6e911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B79619-0FC4-40E9-AB0D-65C47D5DD1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1823</Words>
  <Characters>10701</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Showalter, Rachel</cp:lastModifiedBy>
  <cp:revision>4</cp:revision>
  <cp:lastPrinted>2019-07-03T16:25:00Z</cp:lastPrinted>
  <dcterms:created xsi:type="dcterms:W3CDTF">2024-03-27T17:50:00Z</dcterms:created>
  <dcterms:modified xsi:type="dcterms:W3CDTF">2024-03-27T17:55:00Z</dcterms:modified>
</cp:coreProperties>
</file>