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62EA" w:rsidP="00C14B5D" w14:paraId="272BC0CF" w14:textId="551AE469">
      <w:pPr>
        <w:jc w:val="center"/>
        <w:rPr>
          <w:b/>
        </w:rPr>
      </w:pPr>
      <w:r>
        <w:rPr>
          <w:b/>
        </w:rPr>
        <w:t>U.S. Food and Drug Administration</w:t>
      </w:r>
    </w:p>
    <w:p w:rsidR="00AB03A9" w:rsidP="00C14B5D" w14:paraId="03B9841A" w14:textId="223BD48A">
      <w:pPr>
        <w:jc w:val="center"/>
        <w:rPr>
          <w:b/>
        </w:rPr>
      </w:pPr>
      <w:r>
        <w:rPr>
          <w:b/>
        </w:rPr>
        <w:t>Center for Tobacco Products</w:t>
      </w:r>
    </w:p>
    <w:p w:rsidR="00B23769" w:rsidRPr="0022482A" w:rsidP="00B23769" w14:paraId="45B7536A" w14:textId="7497DAA7">
      <w:pPr>
        <w:jc w:val="center"/>
        <w:rPr>
          <w:b/>
        </w:rPr>
      </w:pPr>
      <w:r w:rsidRPr="00D27C41">
        <w:rPr>
          <w:b/>
        </w:rPr>
        <w:t>Copy Testing of Tobacco Prevention and Cessation Advertisements Research Study</w:t>
      </w:r>
    </w:p>
    <w:p w:rsidR="00C14B5D" w:rsidRPr="0022482A" w:rsidP="00B23769" w14:paraId="2507F315" w14:textId="32B05F44">
      <w:pPr>
        <w:jc w:val="center"/>
        <w:rPr>
          <w:b/>
        </w:rPr>
      </w:pPr>
      <w:r>
        <w:rPr>
          <w:b/>
        </w:rPr>
        <w:t xml:space="preserve">OMB Control Number </w:t>
      </w:r>
      <w:r w:rsidRPr="0022482A" w:rsidR="00EB7538">
        <w:rPr>
          <w:b/>
        </w:rPr>
        <w:t>0910-</w:t>
      </w:r>
      <w:r w:rsidR="00555FA8">
        <w:rPr>
          <w:b/>
        </w:rPr>
        <w:t>0810</w:t>
      </w:r>
    </w:p>
    <w:p w:rsidR="0022482A" w:rsidRPr="0022482A" w:rsidP="00B23769" w14:paraId="3D0543D9" w14:textId="77777777">
      <w:pPr>
        <w:jc w:val="center"/>
        <w:rPr>
          <w:b/>
        </w:rPr>
      </w:pPr>
    </w:p>
    <w:p w:rsidR="00EB7538" w:rsidRPr="0022482A" w:rsidP="00B23769" w14:paraId="0E089FCC" w14:textId="77777777">
      <w:pPr>
        <w:jc w:val="center"/>
        <w:rPr>
          <w:b/>
        </w:rPr>
      </w:pPr>
      <w:r w:rsidRPr="0022482A">
        <w:rPr>
          <w:b/>
        </w:rPr>
        <w:t xml:space="preserve">SUPPORTING </w:t>
      </w:r>
      <w:r w:rsidRPr="0022482A">
        <w:rPr>
          <w:b/>
        </w:rPr>
        <w:t>STATEMENT</w:t>
      </w:r>
      <w:r w:rsidR="00C12125">
        <w:rPr>
          <w:b/>
        </w:rPr>
        <w:t xml:space="preserve"> A</w:t>
      </w:r>
    </w:p>
    <w:p w:rsidR="00810FF1" w:rsidP="00B23769" w14:paraId="7BE6FEEB" w14:textId="77777777">
      <w:pPr>
        <w:jc w:val="center"/>
        <w:rPr>
          <w:b/>
        </w:rPr>
      </w:pPr>
    </w:p>
    <w:p w:rsidR="00EB7538" w:rsidRPr="00850940" w:rsidP="00850940" w14:paraId="67CE64D8" w14:textId="77777777">
      <w:pPr>
        <w:pStyle w:val="Heading2"/>
      </w:pPr>
      <w:r w:rsidRPr="00850940">
        <w:t>A. Justification</w:t>
      </w:r>
    </w:p>
    <w:p w:rsidR="00CD50AC" w:rsidRPr="00850940" w:rsidP="00850940" w14:paraId="73FFACD3" w14:textId="77777777">
      <w:pPr>
        <w:pStyle w:val="Heading3"/>
      </w:pPr>
      <w:r w:rsidRPr="00850940">
        <w:t>Circumstances Making the Collection of Information Necessary</w:t>
      </w:r>
    </w:p>
    <w:p w:rsidR="005E1DAC" w:rsidP="00F868BC" w14:paraId="3F5E79F8" w14:textId="355A577E">
      <w:pPr>
        <w:pStyle w:val="BodyText0"/>
      </w:pPr>
      <w:bookmarkStart w:id="0" w:name="_Hlk24483097"/>
      <w:r>
        <w:t>On June 22, 2009, the President signed the Family Smoking Prevention and Tobacco Control Act (FSPTCA) (Public Law 111-31) into law. The FSPTCA granted FDA important new authority to regulate the manufacture, marketing, and distribution of tobacco products to protect the public health generally, and to reduce tobacco use by minors.</w:t>
      </w:r>
      <w:r w:rsidR="00F868BC">
        <w:t xml:space="preserve"> </w:t>
      </w:r>
      <w:r w:rsidR="00495CC8">
        <w:t xml:space="preserve">FDA’s Center for Tobacco Products (CTP) </w:t>
      </w:r>
      <w:r w:rsidRPr="00495CC8" w:rsidR="00495CC8">
        <w:t xml:space="preserve">uses advertising campaigns to inform the public about the harms of tobacco use and prevent youth from using tobacco. In support of this effort, CTP conducts research to assess the extent to which </w:t>
      </w:r>
      <w:r w:rsidR="00622860">
        <w:t xml:space="preserve">pre-produced (i.e., preliminary versions of ads created prior to production, such as storyboards, </w:t>
      </w:r>
      <w:r w:rsidR="00622860">
        <w:t>boardomatics</w:t>
      </w:r>
      <w:r w:rsidR="00622860">
        <w:t xml:space="preserve"> and animatics) </w:t>
      </w:r>
      <w:r w:rsidRPr="00495CC8" w:rsidR="00495CC8">
        <w:t xml:space="preserve">or </w:t>
      </w:r>
      <w:r w:rsidRPr="00495CC8" w:rsidR="00495CC8">
        <w:t>fully</w:t>
      </w:r>
      <w:r w:rsidR="00622860">
        <w:t>-</w:t>
      </w:r>
      <w:r w:rsidRPr="00495CC8" w:rsidR="00495CC8">
        <w:t>produced</w:t>
      </w:r>
      <w:r w:rsidRPr="00495CC8" w:rsidR="00495CC8">
        <w:t xml:space="preserve"> advertisements communicate an understandable and engaging message about the harms of tobacco use without potential unintended consequences related to beliefs around the harms of tobacco use. This type of assessment of ads is known as “copy testing.” </w:t>
      </w:r>
      <w:r w:rsidR="00F868BC">
        <w:t xml:space="preserve">The current study will assess the performance of </w:t>
      </w:r>
      <w:r w:rsidR="00622860">
        <w:t>pre-produced</w:t>
      </w:r>
      <w:r w:rsidR="00F868BC">
        <w:t xml:space="preserve"> and </w:t>
      </w:r>
      <w:r w:rsidR="00F868BC">
        <w:t>fully-produced</w:t>
      </w:r>
      <w:r w:rsidR="00F868BC">
        <w:t xml:space="preserve"> ads developed to reduce tobacco initiation and use among youth. Information obtained through this study will be used to</w:t>
      </w:r>
      <w:r>
        <w:t xml:space="preserve"> refine </w:t>
      </w:r>
      <w:r w:rsidR="00622860">
        <w:t xml:space="preserve">the formative research testing process </w:t>
      </w:r>
      <w:r>
        <w:t xml:space="preserve">and optimize copy testing strategies. </w:t>
      </w:r>
    </w:p>
    <w:bookmarkEnd w:id="0"/>
    <w:p w:rsidR="00AD4C50" w:rsidP="00850940" w14:paraId="41608E73" w14:textId="77777777">
      <w:pPr>
        <w:pStyle w:val="Heading3"/>
      </w:pPr>
      <w:r w:rsidRPr="0022482A">
        <w:t>Purpose and Use of the Information Collection</w:t>
      </w:r>
    </w:p>
    <w:p w:rsidR="00963754" w:rsidP="001652D0" w14:paraId="66694E55" w14:textId="6D29E1CB">
      <w:pPr>
        <w:pStyle w:val="BodyText0"/>
        <w:spacing w:after="240"/>
        <w:ind w:firstLine="0"/>
      </w:pPr>
      <w:r>
        <w:t xml:space="preserve">This research is designed to assess the performance of </w:t>
      </w:r>
      <w:r w:rsidR="003B7592">
        <w:t xml:space="preserve">pre- and post-production </w:t>
      </w:r>
      <w:r>
        <w:t>ads developed to reduce tobacco initiation and use among youth</w:t>
      </w:r>
      <w:r w:rsidR="00C25555">
        <w:t xml:space="preserve">, </w:t>
      </w:r>
      <w:r w:rsidR="00622860">
        <w:t xml:space="preserve">and </w:t>
      </w:r>
      <w:r w:rsidR="00C25555">
        <w:t xml:space="preserve">to inform process improvements to </w:t>
      </w:r>
      <w:r w:rsidR="00622860">
        <w:t xml:space="preserve">CTP’s </w:t>
      </w:r>
      <w:r w:rsidR="009540BC">
        <w:t>formative ad development process</w:t>
      </w:r>
      <w:r w:rsidR="00C25555">
        <w:t xml:space="preserve">. </w:t>
      </w:r>
      <w:r>
        <w:t xml:space="preserve">CTP’s current </w:t>
      </w:r>
      <w:r w:rsidR="009540BC">
        <w:t>formative appro</w:t>
      </w:r>
      <w:r w:rsidR="001652D0">
        <w:t xml:space="preserve">ach includes the following steps: 1) </w:t>
      </w:r>
      <w:r>
        <w:t xml:space="preserve">Development of </w:t>
      </w:r>
      <w:r w:rsidR="00F420A3">
        <w:t>pre-production</w:t>
      </w:r>
      <w:r>
        <w:t xml:space="preserve"> ads with </w:t>
      </w:r>
      <w:r w:rsidR="00622860">
        <w:t xml:space="preserve">script, </w:t>
      </w:r>
      <w:r>
        <w:t xml:space="preserve">storyboards or animatics </w:t>
      </w:r>
      <w:r w:rsidR="00622860">
        <w:t xml:space="preserve">with </w:t>
      </w:r>
      <w:r>
        <w:t>voiceover</w:t>
      </w:r>
      <w:r w:rsidR="001652D0">
        <w:t xml:space="preserve">; 2) </w:t>
      </w:r>
      <w:r>
        <w:t xml:space="preserve">Qualitative testing of </w:t>
      </w:r>
      <w:r w:rsidR="00F420A3">
        <w:t>pre-production</w:t>
      </w:r>
      <w:r>
        <w:t xml:space="preserve"> ads via focus groups</w:t>
      </w:r>
      <w:r w:rsidR="001652D0">
        <w:t xml:space="preserve">; 3) </w:t>
      </w:r>
      <w:r>
        <w:t xml:space="preserve">Development of final </w:t>
      </w:r>
      <w:r w:rsidR="00F420A3">
        <w:t>(post-production)</w:t>
      </w:r>
      <w:r>
        <w:t xml:space="preserve"> ads incorporating feedback from qualitative research</w:t>
      </w:r>
      <w:r w:rsidR="001652D0">
        <w:t xml:space="preserve">; 4) </w:t>
      </w:r>
      <w:r w:rsidR="004B1042">
        <w:t>Quantitative c</w:t>
      </w:r>
      <w:r>
        <w:t xml:space="preserve">opy testing of </w:t>
      </w:r>
      <w:r w:rsidR="00F420A3">
        <w:t>post-production</w:t>
      </w:r>
      <w:r>
        <w:t xml:space="preserve"> ads to ensure adequate performance on measures of ad reactions</w:t>
      </w:r>
      <w:r w:rsidR="001652D0">
        <w:t>.</w:t>
      </w:r>
      <w:r>
        <w:t xml:space="preserve"> </w:t>
      </w:r>
    </w:p>
    <w:p w:rsidR="00ED6BE5" w:rsidP="00ED6BE5" w14:paraId="62C5AE49" w14:textId="69F2E391">
      <w:pPr>
        <w:pStyle w:val="BodyText0"/>
        <w:ind w:firstLine="0"/>
      </w:pPr>
      <w:r>
        <w:t xml:space="preserve">While the </w:t>
      </w:r>
      <w:r w:rsidR="00622860">
        <w:t xml:space="preserve">current </w:t>
      </w:r>
      <w:r w:rsidR="00C25555">
        <w:t xml:space="preserve">process ensures that </w:t>
      </w:r>
      <w:r w:rsidR="00F420A3">
        <w:t>post-production</w:t>
      </w:r>
      <w:r w:rsidR="00C25555">
        <w:t xml:space="preserve"> ads meet minimum thresholds for ad performance</w:t>
      </w:r>
      <w:r w:rsidR="00F07AB7">
        <w:t>,</w:t>
      </w:r>
      <w:r>
        <w:t xml:space="preserve"> CTP is considering </w:t>
      </w:r>
      <w:r w:rsidR="00622860">
        <w:t xml:space="preserve">incorporating quantitative copy </w:t>
      </w:r>
      <w:r>
        <w:t>testing</w:t>
      </w:r>
      <w:r w:rsidR="001936D4">
        <w:t xml:space="preserve"> measures</w:t>
      </w:r>
      <w:r>
        <w:t xml:space="preserve"> earlier in the formative ad development process</w:t>
      </w:r>
      <w:r w:rsidR="00557455">
        <w:t xml:space="preserve"> </w:t>
      </w:r>
      <w:r>
        <w:t xml:space="preserve">to </w:t>
      </w:r>
      <w:r w:rsidR="009540BC">
        <w:t>examine the</w:t>
      </w:r>
      <w:r>
        <w:t xml:space="preserve"> relative performance of </w:t>
      </w:r>
      <w:r w:rsidR="00F420A3">
        <w:t>pre-production</w:t>
      </w:r>
      <w:r>
        <w:t xml:space="preserve"> ads being considered for full production.</w:t>
      </w:r>
      <w:r w:rsidR="009540BC">
        <w:t xml:space="preserve"> This updated protocol would enable CTP to apply findings from the quantitative copy testing</w:t>
      </w:r>
      <w:r w:rsidR="001936D4">
        <w:t xml:space="preserve"> measures</w:t>
      </w:r>
      <w:r w:rsidR="009540BC">
        <w:t xml:space="preserve"> towards </w:t>
      </w:r>
      <w:r w:rsidR="001936D4">
        <w:t xml:space="preserve">ad selection, </w:t>
      </w:r>
      <w:r w:rsidR="009540BC">
        <w:t xml:space="preserve">development of the final </w:t>
      </w:r>
      <w:r w:rsidR="00F420A3">
        <w:t xml:space="preserve">post-production </w:t>
      </w:r>
      <w:r w:rsidR="009540BC">
        <w:t xml:space="preserve">ads and allow for course corrections to ads or ad components that are underperforming at the </w:t>
      </w:r>
      <w:r w:rsidR="00F420A3">
        <w:t>pre-production</w:t>
      </w:r>
      <w:r w:rsidR="009540BC">
        <w:t xml:space="preserve"> stage. </w:t>
      </w:r>
    </w:p>
    <w:p w:rsidR="00963754" w:rsidP="00AB599C" w14:paraId="4F3C83B9" w14:textId="7860A833">
      <w:pPr>
        <w:pStyle w:val="BodyText0"/>
        <w:spacing w:after="240"/>
        <w:ind w:firstLine="0"/>
      </w:pPr>
      <w:r>
        <w:t xml:space="preserve">To inform its formative approach to ad development, CTP </w:t>
      </w:r>
      <w:r w:rsidR="003B7592">
        <w:t xml:space="preserve">is conducting </w:t>
      </w:r>
      <w:r w:rsidR="001652D0">
        <w:t xml:space="preserve">an online survey of </w:t>
      </w:r>
      <w:r w:rsidR="00D81BA0">
        <w:t>up to 900</w:t>
      </w:r>
      <w:r w:rsidR="001652D0">
        <w:t xml:space="preserve"> youth aged 13-17</w:t>
      </w:r>
      <w:r>
        <w:t xml:space="preserve"> </w:t>
      </w:r>
      <w:r w:rsidR="00D81BA0">
        <w:t>who have used</w:t>
      </w:r>
      <w:r>
        <w:rPr>
          <w:rStyle w:val="FootnoteReference"/>
        </w:rPr>
        <w:footnoteReference w:id="3"/>
      </w:r>
      <w:r w:rsidR="00D81BA0">
        <w:t xml:space="preserve"> or are susceptible to us</w:t>
      </w:r>
      <w:r w:rsidR="00F07AB7">
        <w:t>ing</w:t>
      </w:r>
      <w:r>
        <w:rPr>
          <w:rStyle w:val="FootnoteReference"/>
        </w:rPr>
        <w:footnoteReference w:id="4"/>
      </w:r>
      <w:r w:rsidR="00D81BA0">
        <w:t xml:space="preserve">  </w:t>
      </w:r>
      <w:r w:rsidR="006A29FE">
        <w:t>e</w:t>
      </w:r>
      <w:r w:rsidR="00F420A3">
        <w:t xml:space="preserve">lectronic </w:t>
      </w:r>
      <w:r w:rsidR="006A29FE">
        <w:t>n</w:t>
      </w:r>
      <w:r w:rsidR="00F420A3">
        <w:t xml:space="preserve">icotine </w:t>
      </w:r>
      <w:r w:rsidR="006A29FE">
        <w:t>d</w:t>
      </w:r>
      <w:r w:rsidR="00F420A3">
        <w:t xml:space="preserve">elivery </w:t>
      </w:r>
      <w:r w:rsidR="006A29FE">
        <w:t>s</w:t>
      </w:r>
      <w:r w:rsidR="00F420A3">
        <w:t>ystems (ENDS)</w:t>
      </w:r>
      <w:r w:rsidR="00D81BA0">
        <w:t xml:space="preserve"> or cigarettes </w:t>
      </w:r>
      <w:r>
        <w:t xml:space="preserve">to understand </w:t>
      </w:r>
      <w:r w:rsidR="003B7592">
        <w:t>the extent to which</w:t>
      </w:r>
      <w:r>
        <w:t xml:space="preserve"> reactions to tobacco prevention messaging </w:t>
      </w:r>
      <w:r w:rsidR="003B7592">
        <w:t xml:space="preserve">and patterns of ad reaction scores </w:t>
      </w:r>
      <w:r>
        <w:t>vary between pre- and post-production ad versions.</w:t>
      </w:r>
      <w:r w:rsidR="001652D0">
        <w:t xml:space="preserve"> </w:t>
      </w:r>
      <w:r w:rsidRPr="001652D0" w:rsidR="001652D0">
        <w:t xml:space="preserve">Specifically, </w:t>
      </w:r>
      <w:r w:rsidR="001652D0">
        <w:t>the survey</w:t>
      </w:r>
      <w:r w:rsidRPr="001652D0" w:rsidR="001652D0">
        <w:t xml:space="preserve"> will be designed to answer the following research questions:</w:t>
      </w:r>
    </w:p>
    <w:p w:rsidR="00F420A3" w:rsidRPr="00495CC8" w:rsidP="00F420A3" w14:paraId="419A8DD3" w14:textId="731A76F1">
      <w:pPr>
        <w:pStyle w:val="BodyText0"/>
        <w:ind w:left="1440" w:firstLine="0"/>
      </w:pPr>
      <w:r w:rsidRPr="00495CC8">
        <w:rPr>
          <w:b/>
          <w:bCs/>
        </w:rPr>
        <w:t xml:space="preserve">RQ1: </w:t>
      </w:r>
      <w:r w:rsidRPr="00495CC8">
        <w:t xml:space="preserve">To what extent </w:t>
      </w:r>
      <w:r>
        <w:t>do ad reactions</w:t>
      </w:r>
      <w:r w:rsidRPr="00495CC8">
        <w:t xml:space="preserve"> vary between pre- and post-production ad versions? Compared with pre-production ads, are post-production versions perceived as less, more</w:t>
      </w:r>
      <w:r w:rsidR="00B24A69">
        <w:t>,</w:t>
      </w:r>
      <w:r w:rsidRPr="00495CC8">
        <w:t xml:space="preserve"> or equally effective? </w:t>
      </w:r>
    </w:p>
    <w:p w:rsidR="00F420A3" w:rsidRPr="003E7CA3" w:rsidP="00F420A3" w14:paraId="613FAF9E" w14:textId="77777777">
      <w:pPr>
        <w:pStyle w:val="BodyText0"/>
        <w:spacing w:after="240"/>
        <w:ind w:left="1440" w:firstLine="0"/>
      </w:pPr>
      <w:r w:rsidRPr="00495CC8">
        <w:rPr>
          <w:b/>
          <w:bCs/>
        </w:rPr>
        <w:t xml:space="preserve">RQ2: </w:t>
      </w:r>
      <w:r w:rsidRPr="00495CC8">
        <w:t xml:space="preserve">To what extent </w:t>
      </w:r>
      <w:r>
        <w:t>are ad reactions</w:t>
      </w:r>
      <w:r w:rsidRPr="00495CC8">
        <w:t xml:space="preserve"> for pre-production ads associated with </w:t>
      </w:r>
      <w:r>
        <w:t>ad reactions</w:t>
      </w:r>
      <w:r w:rsidRPr="00495CC8">
        <w:t xml:space="preserve"> for post-production ads?</w:t>
      </w:r>
    </w:p>
    <w:p w:rsidR="00AB599C" w:rsidRPr="00495CC8" w:rsidP="00AB599C" w14:paraId="05547DD6" w14:textId="2F2193A1">
      <w:pPr>
        <w:pStyle w:val="BodyText0"/>
        <w:ind w:firstLine="0"/>
      </w:pPr>
      <w:r>
        <w:t xml:space="preserve">Findings from this research will provide scientific evidence to </w:t>
      </w:r>
      <w:r w:rsidR="001936D4">
        <w:t>test</w:t>
      </w:r>
      <w:r>
        <w:t xml:space="preserve"> the proposed updates to CTP’s formative ad development process. Specifically, a finding that pre- and post-production scores and patterns of results are substantively equivalent would suggest that pre-production ad reactions are a good indicator of reactions for </w:t>
      </w:r>
      <w:r w:rsidR="00A402F8">
        <w:t>post-production ads</w:t>
      </w:r>
      <w:r w:rsidR="00D86484">
        <w:t>.</w:t>
      </w:r>
    </w:p>
    <w:p w:rsidR="00AD4C50" w:rsidP="00850940" w14:paraId="19DBBFB8" w14:textId="77777777">
      <w:pPr>
        <w:pStyle w:val="Heading3"/>
      </w:pPr>
      <w:r w:rsidRPr="0087609A">
        <w:t>Use of Improved Information Technology and Burden Reduction</w:t>
      </w:r>
    </w:p>
    <w:p w:rsidR="00AD4C50" w:rsidP="00D35B3F" w14:paraId="1E56BC21" w14:textId="28EEC2D5">
      <w:pPr>
        <w:pStyle w:val="BodyText0"/>
        <w:ind w:firstLine="0"/>
        <w:rPr>
          <w:color w:val="0000FF"/>
        </w:rPr>
      </w:pPr>
      <w:bookmarkStart w:id="1" w:name="_Hlk135385715"/>
      <w:r>
        <w:t>In an effort to</w:t>
      </w:r>
      <w:r>
        <w:t xml:space="preserve"> minimize burden on respondents, </w:t>
      </w:r>
      <w:r w:rsidRPr="00EB6BBC" w:rsidR="003D1295">
        <w:t xml:space="preserve">this is a </w:t>
      </w:r>
      <w:r w:rsidR="002F594D">
        <w:t>web</w:t>
      </w:r>
      <w:r w:rsidRPr="00EB6BBC" w:rsidR="003D1295">
        <w:t>-based study</w:t>
      </w:r>
      <w:r>
        <w:t xml:space="preserve"> to which</w:t>
      </w:r>
      <w:r w:rsidRPr="00EB6BBC" w:rsidR="003D1295">
        <w:t xml:space="preserve"> 100% of the respondents will submit the information in an electronic format.</w:t>
      </w:r>
      <w:r w:rsidR="00360370">
        <w:t xml:space="preserve"> </w:t>
      </w:r>
      <w:r w:rsidRPr="00EB6BBC" w:rsidR="003D1295">
        <w:t xml:space="preserve">Because there is no interviewer present, participant responses to a </w:t>
      </w:r>
      <w:r w:rsidR="002F594D">
        <w:t>web</w:t>
      </w:r>
      <w:r w:rsidRPr="00EB6BBC" w:rsidR="003D1295">
        <w:t>-based survey are less prone to social desirability bias.</w:t>
      </w:r>
    </w:p>
    <w:bookmarkEnd w:id="1"/>
    <w:p w:rsidR="00AD4C50" w:rsidP="006844A9" w14:paraId="007C0001" w14:textId="77777777">
      <w:pPr>
        <w:pStyle w:val="Heading3"/>
      </w:pPr>
      <w:r w:rsidRPr="0087609A">
        <w:t>Efforts to Identify Duplication and Use of Similar Information</w:t>
      </w:r>
    </w:p>
    <w:p w:rsidR="00D27C41" w:rsidP="00D27C41" w14:paraId="6800A36D" w14:textId="239DBC4C">
      <w:pPr>
        <w:pStyle w:val="BodyText0"/>
        <w:ind w:firstLine="0"/>
      </w:pPr>
      <w:r w:rsidRPr="00EB6BBC">
        <w:rPr>
          <w:color w:val="000000"/>
        </w:rPr>
        <w:t>T</w:t>
      </w:r>
      <w:r w:rsidRPr="00EB6BBC">
        <w:t>here is no duplicative collection of this information. No comparable data have been collected by any other entities.</w:t>
      </w:r>
      <w:bookmarkStart w:id="2" w:name="_Hlk511059720"/>
      <w:r>
        <w:t xml:space="preserve"> </w:t>
      </w:r>
      <w:r w:rsidRPr="00043000">
        <w:t xml:space="preserve">We carefully reviewed </w:t>
      </w:r>
      <w:r>
        <w:t xml:space="preserve">the literature and </w:t>
      </w:r>
      <w:r w:rsidRPr="00043000">
        <w:t xml:space="preserve">existing data sets to determine whether any of them are sufficiently similar or could be modified to address </w:t>
      </w:r>
      <w:r w:rsidR="001936D4">
        <w:t>CTP’s</w:t>
      </w:r>
      <w:r w:rsidRPr="00043000" w:rsidR="001936D4">
        <w:t xml:space="preserve"> </w:t>
      </w:r>
      <w:r w:rsidRPr="00043000">
        <w:t>need</w:t>
      </w:r>
      <w:r>
        <w:t>s</w:t>
      </w:r>
      <w:r w:rsidRPr="00043000">
        <w:t>.</w:t>
      </w:r>
      <w:r>
        <w:t xml:space="preserve"> </w:t>
      </w:r>
      <w:r w:rsidRPr="00043000">
        <w:t xml:space="preserve">We concluded that </w:t>
      </w:r>
      <w:r>
        <w:t xml:space="preserve">the existing literature and existing </w:t>
      </w:r>
      <w:r w:rsidRPr="00043000">
        <w:t>data sources do not include the measures</w:t>
      </w:r>
      <w:r>
        <w:t xml:space="preserve"> </w:t>
      </w:r>
      <w:r w:rsidRPr="00043000">
        <w:t>needed</w:t>
      </w:r>
      <w:r>
        <w:t xml:space="preserve"> by </w:t>
      </w:r>
      <w:r w:rsidR="001936D4">
        <w:t>CTP</w:t>
      </w:r>
      <w:r>
        <w:t>.</w:t>
      </w:r>
    </w:p>
    <w:bookmarkEnd w:id="2"/>
    <w:p w:rsidR="002746DB" w:rsidRPr="0087609A" w:rsidP="00850940" w14:paraId="448F3D19" w14:textId="77777777">
      <w:pPr>
        <w:pStyle w:val="Heading3"/>
      </w:pPr>
      <w:r w:rsidRPr="0087609A">
        <w:t>Impact on Small Businesses or Other Small Entities</w:t>
      </w:r>
    </w:p>
    <w:p w:rsidR="003D1295" w:rsidP="00D35B3F" w14:paraId="4627BDC3" w14:textId="77777777">
      <w:pPr>
        <w:pStyle w:val="BodyText0"/>
        <w:ind w:firstLine="0"/>
      </w:pPr>
      <w:r w:rsidRPr="00EB6BBC">
        <w:t>No small businesses will be involved in this collection of information.</w:t>
      </w:r>
    </w:p>
    <w:p w:rsidR="00CD77C3" w:rsidRPr="0087609A" w:rsidP="00850940" w14:paraId="7DA7C38B" w14:textId="77777777">
      <w:pPr>
        <w:pStyle w:val="Heading3"/>
      </w:pPr>
      <w:r w:rsidRPr="0087609A">
        <w:t>Consequences of Collecting the Information Less Frequently</w:t>
      </w:r>
    </w:p>
    <w:p w:rsidR="00AD4C50" w:rsidP="009D075B" w14:paraId="2805A64E" w14:textId="32CBF5B4">
      <w:pPr>
        <w:pStyle w:val="BodyText0"/>
        <w:ind w:left="180" w:firstLine="0"/>
        <w:rPr>
          <w:highlight w:val="yellow"/>
        </w:rPr>
      </w:pPr>
      <w:r w:rsidRPr="00EB6BBC">
        <w:t>This is a one-time data collection.</w:t>
      </w:r>
      <w:r w:rsidR="00360370">
        <w:t xml:space="preserve"> </w:t>
      </w:r>
      <w:r w:rsidRPr="00EB6BBC">
        <w:t>The collection of information will provide important data needed for FDA to</w:t>
      </w:r>
      <w:r w:rsidR="00693F23">
        <w:t xml:space="preserve"> </w:t>
      </w:r>
      <w:r w:rsidR="00D27C41">
        <w:t>determine the optimal approach for formative ad development and copy testing</w:t>
      </w:r>
      <w:r w:rsidRPr="00B95684" w:rsidR="00B95684">
        <w:t>.</w:t>
      </w:r>
      <w:r w:rsidR="00693F23">
        <w:t xml:space="preserve"> </w:t>
      </w:r>
      <w:r w:rsidRPr="00693F23" w:rsidR="00693F23">
        <w:t xml:space="preserve">Failure to collect these data could reduce effectiveness of </w:t>
      </w:r>
      <w:r w:rsidR="001936D4">
        <w:t>CTP’s</w:t>
      </w:r>
      <w:r w:rsidRPr="00693F23" w:rsidR="001936D4">
        <w:t xml:space="preserve"> </w:t>
      </w:r>
      <w:r w:rsidRPr="00693F23" w:rsidR="00693F23">
        <w:t>messaging, and therefore reduce the benefit of the messages for youth</w:t>
      </w:r>
      <w:r w:rsidR="00512D81">
        <w:t xml:space="preserve"> </w:t>
      </w:r>
      <w:r w:rsidRPr="00693F23" w:rsidR="00693F23">
        <w:t>in the United States.</w:t>
      </w:r>
    </w:p>
    <w:p w:rsidR="00CD77C3" w:rsidRPr="002D1C87" w:rsidP="00850940" w14:paraId="7BC9CD15" w14:textId="77777777">
      <w:pPr>
        <w:pStyle w:val="Heading3"/>
      </w:pPr>
      <w:r w:rsidRPr="002D1C87">
        <w:t>Special Circumstances Relating to the Guidelines of 5 CFR 1320.5</w:t>
      </w:r>
    </w:p>
    <w:p w:rsidR="003D1295" w:rsidP="009D075B" w14:paraId="07CD9B2A" w14:textId="77777777">
      <w:pPr>
        <w:pStyle w:val="BodyText0"/>
        <w:ind w:left="180" w:firstLine="0"/>
      </w:pPr>
      <w:r w:rsidRPr="00EB6BBC">
        <w:t>This information collection fully complies with 5 CFR 1320.5(d)(2).</w:t>
      </w:r>
      <w:r w:rsidR="00360370">
        <w:t xml:space="preserve"> </w:t>
      </w:r>
      <w:r w:rsidR="000D1486">
        <w:t>N</w:t>
      </w:r>
      <w:r w:rsidRPr="00EB6BBC">
        <w:t xml:space="preserve">o special circumstances </w:t>
      </w:r>
      <w:r w:rsidR="000D1486">
        <w:t xml:space="preserve">are </w:t>
      </w:r>
      <w:r w:rsidRPr="00EB6BBC">
        <w:t>associated with this information collection that would be inconsistent with the regulation.</w:t>
      </w:r>
    </w:p>
    <w:p w:rsidR="00CD77C3" w:rsidRPr="002D1C87" w:rsidP="00850940" w14:paraId="75C64989" w14:textId="77777777">
      <w:pPr>
        <w:pStyle w:val="Heading3"/>
      </w:pPr>
      <w:r w:rsidRPr="002D1C87">
        <w:t>Comments in Response to the Federal Register Notice and Efforts to Consult Outside the Agency</w:t>
      </w:r>
    </w:p>
    <w:p w:rsidR="00512D81" w:rsidRPr="00F734AC" w:rsidP="00512D81" w14:paraId="52FFFE36"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eastAsia="Times New Roman"/>
          <w:bCs/>
          <w:szCs w:val="24"/>
        </w:rPr>
      </w:pPr>
      <w:r w:rsidRPr="00F734AC">
        <w:rPr>
          <w:rFonts w:eastAsia="Times New Roman"/>
          <w:bCs/>
          <w:szCs w:val="24"/>
        </w:rPr>
        <w:t xml:space="preserve">The following individuals inside the agency have been consulted on the design of the </w:t>
      </w:r>
      <w:r>
        <w:rPr>
          <w:rFonts w:eastAsia="Times New Roman"/>
          <w:bCs/>
          <w:szCs w:val="24"/>
        </w:rPr>
        <w:t>study</w:t>
      </w:r>
      <w:r w:rsidRPr="00F734AC">
        <w:rPr>
          <w:rFonts w:eastAsia="Times New Roman"/>
          <w:bCs/>
          <w:szCs w:val="24"/>
        </w:rPr>
        <w:t xml:space="preserve">, </w:t>
      </w:r>
      <w:r>
        <w:rPr>
          <w:rFonts w:eastAsia="Times New Roman"/>
          <w:bCs/>
          <w:szCs w:val="24"/>
        </w:rPr>
        <w:t>instrument</w:t>
      </w:r>
      <w:r w:rsidRPr="00F734AC">
        <w:rPr>
          <w:rFonts w:eastAsia="Times New Roman"/>
          <w:bCs/>
          <w:szCs w:val="24"/>
        </w:rPr>
        <w:t xml:space="preserve"> development, or intra-agency coordination of information collection efforts:</w:t>
      </w:r>
    </w:p>
    <w:p w:rsidR="00512D81" w:rsidRPr="007F4407" w:rsidP="00D27C41" w14:paraId="440512B5" w14:textId="77777777">
      <w:pPr>
        <w:rPr>
          <w:szCs w:val="24"/>
        </w:rPr>
      </w:pPr>
    </w:p>
    <w:p w:rsidR="00512D81" w:rsidRPr="007F4407" w:rsidP="00512D81" w14:paraId="11AB7CDA" w14:textId="77777777">
      <w:pPr>
        <w:ind w:left="180"/>
        <w:rPr>
          <w:szCs w:val="24"/>
        </w:rPr>
      </w:pPr>
      <w:r>
        <w:rPr>
          <w:szCs w:val="24"/>
        </w:rPr>
        <w:t>Emily Peterson</w:t>
      </w:r>
    </w:p>
    <w:p w:rsidR="00512D81" w:rsidRPr="007F4407" w:rsidP="00512D81" w14:paraId="7AE17B87" w14:textId="77777777">
      <w:pPr>
        <w:ind w:left="180"/>
        <w:rPr>
          <w:szCs w:val="24"/>
        </w:rPr>
      </w:pPr>
      <w:r w:rsidRPr="007F4407">
        <w:rPr>
          <w:szCs w:val="24"/>
        </w:rPr>
        <w:t>Office of Health Communication &amp; Education</w:t>
      </w:r>
    </w:p>
    <w:p w:rsidR="00512D81" w:rsidRPr="007F4407" w:rsidP="00512D81" w14:paraId="374CDD0F" w14:textId="77777777">
      <w:pPr>
        <w:ind w:left="180"/>
        <w:rPr>
          <w:szCs w:val="24"/>
        </w:rPr>
      </w:pPr>
      <w:r w:rsidRPr="007F4407">
        <w:rPr>
          <w:szCs w:val="24"/>
        </w:rPr>
        <w:t>Center for Tobacco Products</w:t>
      </w:r>
    </w:p>
    <w:p w:rsidR="00512D81" w:rsidRPr="007F4407" w:rsidP="00512D81" w14:paraId="1AC95B66" w14:textId="77777777">
      <w:pPr>
        <w:ind w:left="180"/>
        <w:rPr>
          <w:szCs w:val="24"/>
        </w:rPr>
      </w:pPr>
      <w:r w:rsidRPr="007F4407">
        <w:rPr>
          <w:szCs w:val="24"/>
        </w:rPr>
        <w:t>Food and Drug Administration</w:t>
      </w:r>
    </w:p>
    <w:p w:rsidR="00512D81" w:rsidRPr="007F4407" w:rsidP="00512D81" w14:paraId="39C40E74" w14:textId="77777777">
      <w:pPr>
        <w:ind w:left="180"/>
        <w:rPr>
          <w:szCs w:val="24"/>
        </w:rPr>
      </w:pPr>
      <w:r w:rsidRPr="007F4407">
        <w:rPr>
          <w:szCs w:val="24"/>
        </w:rPr>
        <w:t>10903 New Hampshire Avenue</w:t>
      </w:r>
    </w:p>
    <w:p w:rsidR="00512D81" w:rsidRPr="007F4407" w:rsidP="00512D81" w14:paraId="316B4D09" w14:textId="77777777">
      <w:pPr>
        <w:ind w:left="180"/>
        <w:rPr>
          <w:szCs w:val="24"/>
        </w:rPr>
      </w:pPr>
      <w:r w:rsidRPr="007F4407">
        <w:rPr>
          <w:szCs w:val="24"/>
        </w:rPr>
        <w:t>Silver Spring, MD 20993</w:t>
      </w:r>
    </w:p>
    <w:p w:rsidR="00512D81" w:rsidRPr="007F4407" w:rsidP="00512D81" w14:paraId="7C772463" w14:textId="77777777">
      <w:pPr>
        <w:ind w:left="180"/>
      </w:pPr>
      <w:r>
        <w:t>Phone: 240-402-9281</w:t>
      </w:r>
    </w:p>
    <w:p w:rsidR="00512D81" w:rsidRPr="00512D81" w:rsidP="00512D81" w14:paraId="01BBED2B" w14:textId="77777777">
      <w:pPr>
        <w:ind w:left="180"/>
        <w:rPr>
          <w:szCs w:val="24"/>
        </w:rPr>
      </w:pPr>
      <w:r w:rsidRPr="007F4407">
        <w:rPr>
          <w:szCs w:val="24"/>
        </w:rPr>
        <w:t>E-mail:</w:t>
      </w:r>
      <w:r>
        <w:rPr>
          <w:szCs w:val="24"/>
        </w:rPr>
        <w:t xml:space="preserve"> </w:t>
      </w:r>
      <w:r>
        <w:rPr>
          <w:szCs w:val="24"/>
        </w:rPr>
        <w:fldChar w:fldCharType="begin"/>
      </w:r>
      <w:r>
        <w:rPr>
          <w:szCs w:val="24"/>
        </w:rPr>
        <w:instrText xml:space="preserve"> HYPERLINK "mailto:</w:instrText>
      </w:r>
      <w:r w:rsidRPr="00512D81">
        <w:rPr>
          <w:szCs w:val="24"/>
        </w:rPr>
        <w:instrText>Emily.Peterson@fda.hhs.gov</w:instrText>
      </w:r>
    </w:p>
    <w:p w:rsidR="00512D81" w:rsidRPr="00E3673A" w:rsidP="00512D81" w14:paraId="21864032" w14:textId="77777777">
      <w:pPr>
        <w:ind w:left="180"/>
        <w:rPr>
          <w:rStyle w:val="Hyperlink"/>
          <w:szCs w:val="24"/>
        </w:rPr>
      </w:pPr>
      <w:r>
        <w:rPr>
          <w:szCs w:val="24"/>
        </w:rPr>
        <w:instrText xml:space="preserve">" </w:instrText>
      </w:r>
      <w:r>
        <w:rPr>
          <w:szCs w:val="24"/>
        </w:rPr>
        <w:fldChar w:fldCharType="separate"/>
      </w:r>
      <w:r w:rsidRPr="00E3673A">
        <w:rPr>
          <w:rStyle w:val="Hyperlink"/>
          <w:szCs w:val="24"/>
        </w:rPr>
        <w:t>Emily.Peterson@fda.hhs.gov</w:t>
      </w:r>
    </w:p>
    <w:p w:rsidR="00512D81" w:rsidP="00512D81" w14:paraId="36599323" w14:textId="3736AF0E">
      <w:pPr>
        <w:ind w:left="180"/>
        <w:rPr>
          <w:szCs w:val="24"/>
        </w:rPr>
      </w:pPr>
      <w:r>
        <w:rPr>
          <w:szCs w:val="24"/>
        </w:rPr>
        <w:fldChar w:fldCharType="end"/>
      </w:r>
    </w:p>
    <w:p w:rsidR="001936D4" w:rsidP="00D27C41" w14:paraId="65D18627" w14:textId="3306FEED">
      <w:pPr>
        <w:ind w:left="180"/>
      </w:pPr>
      <w:r>
        <w:t>Emily Sanders</w:t>
      </w:r>
    </w:p>
    <w:p w:rsidR="001936D4" w:rsidRPr="007F4407" w:rsidP="001936D4" w14:paraId="04C9063E" w14:textId="77777777">
      <w:pPr>
        <w:ind w:left="180"/>
        <w:rPr>
          <w:szCs w:val="24"/>
        </w:rPr>
      </w:pPr>
      <w:r w:rsidRPr="007F4407">
        <w:rPr>
          <w:szCs w:val="24"/>
        </w:rPr>
        <w:t>Office of Health Communication &amp; Education</w:t>
      </w:r>
    </w:p>
    <w:p w:rsidR="001936D4" w:rsidRPr="007F4407" w:rsidP="001936D4" w14:paraId="2F012B1A" w14:textId="77777777">
      <w:pPr>
        <w:ind w:left="180"/>
        <w:rPr>
          <w:szCs w:val="24"/>
        </w:rPr>
      </w:pPr>
      <w:r w:rsidRPr="007F4407">
        <w:rPr>
          <w:szCs w:val="24"/>
        </w:rPr>
        <w:t>Center for Tobacco Products</w:t>
      </w:r>
    </w:p>
    <w:p w:rsidR="001936D4" w:rsidRPr="007F4407" w:rsidP="001936D4" w14:paraId="5ADF4F39" w14:textId="77777777">
      <w:pPr>
        <w:ind w:left="180"/>
        <w:rPr>
          <w:szCs w:val="24"/>
        </w:rPr>
      </w:pPr>
      <w:r w:rsidRPr="007F4407">
        <w:rPr>
          <w:szCs w:val="24"/>
        </w:rPr>
        <w:t>Food and Drug Administration</w:t>
      </w:r>
    </w:p>
    <w:p w:rsidR="001936D4" w:rsidRPr="007F4407" w:rsidP="001936D4" w14:paraId="43EF2230" w14:textId="77777777">
      <w:pPr>
        <w:ind w:left="180"/>
        <w:rPr>
          <w:szCs w:val="24"/>
        </w:rPr>
      </w:pPr>
      <w:r w:rsidRPr="007F4407">
        <w:rPr>
          <w:szCs w:val="24"/>
        </w:rPr>
        <w:t>10903 New Hampshire Avenue</w:t>
      </w:r>
    </w:p>
    <w:p w:rsidR="001936D4" w:rsidRPr="007F4407" w:rsidP="001936D4" w14:paraId="47FF552B" w14:textId="77777777">
      <w:pPr>
        <w:ind w:left="180"/>
        <w:rPr>
          <w:szCs w:val="24"/>
        </w:rPr>
      </w:pPr>
      <w:r w:rsidRPr="007F4407">
        <w:rPr>
          <w:szCs w:val="24"/>
        </w:rPr>
        <w:t>Silver Spring, MD 20993</w:t>
      </w:r>
    </w:p>
    <w:p w:rsidR="001936D4" w:rsidP="00D27C41" w14:paraId="2E6E8A76" w14:textId="6255A09F">
      <w:pPr>
        <w:ind w:left="180"/>
      </w:pPr>
      <w:r>
        <w:t xml:space="preserve">Phone: </w:t>
      </w:r>
      <w:r w:rsidRPr="001936D4">
        <w:t>240-402-4269</w:t>
      </w:r>
    </w:p>
    <w:p w:rsidR="001936D4" w:rsidP="00D27C41" w14:paraId="09FFEE0C" w14:textId="564C9335">
      <w:pPr>
        <w:ind w:left="180"/>
      </w:pPr>
      <w:r>
        <w:t xml:space="preserve">E-mail: </w:t>
      </w:r>
      <w:hyperlink r:id="rId6" w:history="1">
        <w:r w:rsidRPr="006373B8">
          <w:rPr>
            <w:rStyle w:val="Hyperlink"/>
          </w:rPr>
          <w:t>Emily.Sanders@fda.hhs.gov</w:t>
        </w:r>
      </w:hyperlink>
    </w:p>
    <w:p w:rsidR="001936D4" w:rsidP="00D27C41" w14:paraId="09961306" w14:textId="52B841AD">
      <w:pPr>
        <w:ind w:left="180"/>
      </w:pPr>
    </w:p>
    <w:p w:rsidR="001936D4" w:rsidP="00D27C41" w14:paraId="01BC797F" w14:textId="6FE976E2">
      <w:pPr>
        <w:ind w:left="180"/>
      </w:pPr>
      <w:r>
        <w:t>Anh (Bao) Zarndt</w:t>
      </w:r>
    </w:p>
    <w:p w:rsidR="001936D4" w:rsidRPr="007F4407" w:rsidP="001936D4" w14:paraId="774B4D3C" w14:textId="77777777">
      <w:pPr>
        <w:ind w:left="180"/>
        <w:rPr>
          <w:szCs w:val="24"/>
        </w:rPr>
      </w:pPr>
      <w:r w:rsidRPr="007F4407">
        <w:rPr>
          <w:szCs w:val="24"/>
        </w:rPr>
        <w:t>Office of Health Communication &amp; Education</w:t>
      </w:r>
    </w:p>
    <w:p w:rsidR="001936D4" w:rsidRPr="007F4407" w:rsidP="001936D4" w14:paraId="1EDEF49B" w14:textId="77777777">
      <w:pPr>
        <w:ind w:left="180"/>
        <w:rPr>
          <w:szCs w:val="24"/>
        </w:rPr>
      </w:pPr>
      <w:r w:rsidRPr="007F4407">
        <w:rPr>
          <w:szCs w:val="24"/>
        </w:rPr>
        <w:t>Center for Tobacco Products</w:t>
      </w:r>
    </w:p>
    <w:p w:rsidR="001936D4" w:rsidRPr="007F4407" w:rsidP="001936D4" w14:paraId="6A5A90E2" w14:textId="77777777">
      <w:pPr>
        <w:ind w:left="180"/>
        <w:rPr>
          <w:szCs w:val="24"/>
        </w:rPr>
      </w:pPr>
      <w:r w:rsidRPr="007F4407">
        <w:rPr>
          <w:szCs w:val="24"/>
        </w:rPr>
        <w:t>Food and Drug Administration</w:t>
      </w:r>
    </w:p>
    <w:p w:rsidR="001936D4" w:rsidRPr="007F4407" w:rsidP="001936D4" w14:paraId="2F751F3F" w14:textId="77777777">
      <w:pPr>
        <w:ind w:left="180"/>
        <w:rPr>
          <w:szCs w:val="24"/>
        </w:rPr>
      </w:pPr>
      <w:r w:rsidRPr="007F4407">
        <w:rPr>
          <w:szCs w:val="24"/>
        </w:rPr>
        <w:t>10903 New Hampshire Avenue</w:t>
      </w:r>
    </w:p>
    <w:p w:rsidR="001936D4" w:rsidRPr="007F4407" w:rsidP="001936D4" w14:paraId="3B3C7201" w14:textId="77777777">
      <w:pPr>
        <w:ind w:left="180"/>
        <w:rPr>
          <w:szCs w:val="24"/>
        </w:rPr>
      </w:pPr>
      <w:r w:rsidRPr="007F4407">
        <w:rPr>
          <w:szCs w:val="24"/>
        </w:rPr>
        <w:t>Silver Spring, MD 20993</w:t>
      </w:r>
    </w:p>
    <w:p w:rsidR="001936D4" w:rsidP="00D27C41" w14:paraId="6A82BB41" w14:textId="0ECE2D33">
      <w:pPr>
        <w:ind w:left="180"/>
      </w:pPr>
      <w:r>
        <w:t xml:space="preserve">Phone: </w:t>
      </w:r>
      <w:r w:rsidRPr="0091171E">
        <w:t>240-994-2023</w:t>
      </w:r>
    </w:p>
    <w:p w:rsidR="0091171E" w:rsidP="00D27C41" w14:paraId="16A8C23E" w14:textId="7509E8CF">
      <w:pPr>
        <w:ind w:left="180"/>
      </w:pPr>
      <w:r>
        <w:t>E-mail: Anh.Zarndt@fda.hhs.gov</w:t>
      </w:r>
    </w:p>
    <w:p w:rsidR="00542D30" w:rsidP="00D27C41" w14:paraId="3D632922" w14:textId="77777777">
      <w:pPr>
        <w:ind w:left="180"/>
      </w:pPr>
    </w:p>
    <w:p w:rsidR="00D27C41" w:rsidRPr="007F4407" w:rsidP="00D27C41" w14:paraId="6D9375F9" w14:textId="352090E3">
      <w:pPr>
        <w:ind w:left="180"/>
      </w:pPr>
      <w:r>
        <w:t>Lindsay Pitzer</w:t>
      </w:r>
    </w:p>
    <w:p w:rsidR="00D27C41" w:rsidRPr="007F4407" w:rsidP="00D27C41" w14:paraId="4D21B2DD" w14:textId="77777777">
      <w:pPr>
        <w:ind w:left="180"/>
        <w:rPr>
          <w:szCs w:val="24"/>
        </w:rPr>
      </w:pPr>
      <w:r w:rsidRPr="007F4407">
        <w:rPr>
          <w:szCs w:val="24"/>
        </w:rPr>
        <w:t>Office of Health Communication &amp; Education</w:t>
      </w:r>
    </w:p>
    <w:p w:rsidR="00D27C41" w:rsidRPr="007F4407" w:rsidP="00D27C41" w14:paraId="20D7A739" w14:textId="77777777">
      <w:pPr>
        <w:ind w:left="180"/>
        <w:rPr>
          <w:szCs w:val="24"/>
        </w:rPr>
      </w:pPr>
      <w:r w:rsidRPr="007F4407">
        <w:rPr>
          <w:szCs w:val="24"/>
        </w:rPr>
        <w:t>Center for Tobacco Products</w:t>
      </w:r>
    </w:p>
    <w:p w:rsidR="00D27C41" w:rsidRPr="007F4407" w:rsidP="00D27C41" w14:paraId="0C36EE82" w14:textId="77777777">
      <w:pPr>
        <w:ind w:left="180"/>
        <w:rPr>
          <w:szCs w:val="24"/>
        </w:rPr>
      </w:pPr>
      <w:r w:rsidRPr="007F4407">
        <w:rPr>
          <w:szCs w:val="24"/>
        </w:rPr>
        <w:t>Food and Drug Administration</w:t>
      </w:r>
    </w:p>
    <w:p w:rsidR="00D27C41" w:rsidRPr="007F4407" w:rsidP="00D27C41" w14:paraId="32689891" w14:textId="77777777">
      <w:pPr>
        <w:ind w:left="180"/>
        <w:rPr>
          <w:szCs w:val="24"/>
        </w:rPr>
      </w:pPr>
      <w:r w:rsidRPr="007F4407">
        <w:rPr>
          <w:szCs w:val="24"/>
        </w:rPr>
        <w:t>10903 New Hampshire Avenue</w:t>
      </w:r>
    </w:p>
    <w:p w:rsidR="00D27C41" w:rsidRPr="007F4407" w:rsidP="00D27C41" w14:paraId="71B1B403" w14:textId="77777777">
      <w:pPr>
        <w:ind w:left="180"/>
        <w:rPr>
          <w:szCs w:val="24"/>
        </w:rPr>
      </w:pPr>
      <w:r w:rsidRPr="007F4407">
        <w:rPr>
          <w:szCs w:val="24"/>
        </w:rPr>
        <w:t>Silver Spring, MD 20993</w:t>
      </w:r>
    </w:p>
    <w:p w:rsidR="00D27C41" w:rsidRPr="00D16AC7" w:rsidP="00D27C41" w14:paraId="4953BFEA" w14:textId="77777777">
      <w:pPr>
        <w:ind w:left="180"/>
        <w:rPr>
          <w:szCs w:val="24"/>
        </w:rPr>
      </w:pPr>
      <w:r w:rsidRPr="00D16AC7">
        <w:rPr>
          <w:szCs w:val="24"/>
        </w:rPr>
        <w:t>Phone: 240-620-9526</w:t>
      </w:r>
    </w:p>
    <w:p w:rsidR="00D27C41" w:rsidP="00D27C41" w14:paraId="2CF65258" w14:textId="77777777">
      <w:pPr>
        <w:ind w:left="180"/>
        <w:rPr>
          <w:rStyle w:val="Hyperlink"/>
        </w:rPr>
      </w:pPr>
      <w:r>
        <w:t xml:space="preserve">E-mail: </w:t>
      </w:r>
      <w:hyperlink r:id="rId7">
        <w:r w:rsidRPr="1DF93394">
          <w:rPr>
            <w:rStyle w:val="Hyperlink"/>
          </w:rPr>
          <w:t>lindsay.pitzer@fda.hhs.gov</w:t>
        </w:r>
      </w:hyperlink>
    </w:p>
    <w:p w:rsidR="00D27C41" w:rsidP="00512D81" w14:paraId="47E66A93" w14:textId="77777777">
      <w:pPr>
        <w:ind w:left="180"/>
        <w:rPr>
          <w:szCs w:val="24"/>
        </w:rPr>
      </w:pPr>
    </w:p>
    <w:p w:rsidR="00D27C41" w:rsidP="00D27C41" w14:paraId="252957EA"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eastAsia="Times New Roman"/>
          <w:bCs/>
          <w:szCs w:val="24"/>
        </w:rPr>
      </w:pPr>
      <w:r w:rsidRPr="008265FC">
        <w:rPr>
          <w:rFonts w:eastAsia="Times New Roman"/>
          <w:bCs/>
          <w:szCs w:val="24"/>
        </w:rPr>
        <w:t xml:space="preserve">FDA collaborates with other federal government agencies that sponsor or endorse health communication projects, such as the Centers for Disease Control and Prevention, Office on Smoking and Health (CDC/OSH), the Substance Abuse and Mental Health Services Administration (SAMHSA) and the </w:t>
      </w:r>
      <w:r>
        <w:rPr>
          <w:rFonts w:eastAsia="Times New Roman"/>
          <w:bCs/>
          <w:szCs w:val="24"/>
        </w:rPr>
        <w:t xml:space="preserve">National Institutes of Health </w:t>
      </w:r>
      <w:r w:rsidRPr="008265FC">
        <w:rPr>
          <w:rFonts w:eastAsia="Times New Roman"/>
          <w:bCs/>
          <w:szCs w:val="24"/>
        </w:rPr>
        <w:t>Nation</w:t>
      </w:r>
      <w:r>
        <w:rPr>
          <w:rFonts w:eastAsia="Times New Roman"/>
          <w:bCs/>
          <w:szCs w:val="24"/>
        </w:rPr>
        <w:t xml:space="preserve">al Cancer Institute (NIH/NCI). </w:t>
      </w:r>
      <w:r w:rsidRPr="008265FC">
        <w:rPr>
          <w:rFonts w:eastAsia="Times New Roman"/>
          <w:bCs/>
          <w:szCs w:val="24"/>
        </w:rPr>
        <w:t>These affiliations serve as information channels, help prevent redundancy, and promote use of consist</w:t>
      </w:r>
      <w:r>
        <w:rPr>
          <w:rFonts w:eastAsia="Times New Roman"/>
          <w:bCs/>
          <w:szCs w:val="24"/>
        </w:rPr>
        <w:t xml:space="preserve">ent measures of effectiveness. </w:t>
      </w:r>
      <w:r w:rsidRPr="008265FC">
        <w:rPr>
          <w:rFonts w:eastAsia="Times New Roman"/>
          <w:bCs/>
          <w:szCs w:val="24"/>
        </w:rPr>
        <w:t>Coordination activities include:</w:t>
      </w:r>
    </w:p>
    <w:p w:rsidR="00D27C41" w:rsidRPr="008265FC" w:rsidP="00D27C41" w14:paraId="3E1E7104"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eastAsia="Times New Roman"/>
          <w:bCs/>
          <w:szCs w:val="24"/>
        </w:rPr>
      </w:pPr>
    </w:p>
    <w:p w:rsidR="00D27C41" w:rsidP="00D27C41" w14:paraId="30E28B75" w14:textId="77777777">
      <w:pPr>
        <w:pStyle w:val="ListParagraph"/>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2"/>
        <w:rPr>
          <w:rFonts w:eastAsia="Times New Roman"/>
          <w:bCs/>
          <w:szCs w:val="24"/>
        </w:rPr>
      </w:pPr>
      <w:r w:rsidRPr="000F7E48">
        <w:rPr>
          <w:rFonts w:eastAsia="Times New Roman"/>
          <w:bCs/>
          <w:szCs w:val="24"/>
        </w:rPr>
        <w:t xml:space="preserve">Review of proposed messages for </w:t>
      </w:r>
      <w:r w:rsidRPr="000F7E48">
        <w:rPr>
          <w:rFonts w:eastAsia="Times New Roman"/>
          <w:bCs/>
          <w:szCs w:val="24"/>
        </w:rPr>
        <w:t>advertisements;</w:t>
      </w:r>
    </w:p>
    <w:p w:rsidR="00D27C41" w:rsidP="00D27C41" w14:paraId="7E0CDBA5" w14:textId="77777777">
      <w:pPr>
        <w:pStyle w:val="ListParagraph"/>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2"/>
        <w:rPr>
          <w:rFonts w:eastAsia="Times New Roman"/>
          <w:bCs/>
          <w:szCs w:val="24"/>
        </w:rPr>
      </w:pPr>
      <w:r w:rsidRPr="000F7E48">
        <w:rPr>
          <w:rFonts w:eastAsia="Times New Roman"/>
          <w:bCs/>
          <w:szCs w:val="24"/>
        </w:rPr>
        <w:t xml:space="preserve">Review of questionnaires for testing </w:t>
      </w:r>
      <w:r w:rsidRPr="000F7E48">
        <w:rPr>
          <w:rFonts w:eastAsia="Times New Roman"/>
          <w:bCs/>
          <w:szCs w:val="24"/>
        </w:rPr>
        <w:t>purposes;</w:t>
      </w:r>
    </w:p>
    <w:p w:rsidR="00D27C41" w:rsidP="00D27C41" w14:paraId="4E534878" w14:textId="77777777">
      <w:pPr>
        <w:pStyle w:val="ListParagraph"/>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2"/>
        <w:rPr>
          <w:rFonts w:eastAsia="Times New Roman"/>
          <w:bCs/>
          <w:szCs w:val="24"/>
        </w:rPr>
      </w:pPr>
      <w:r w:rsidRPr="000F7E48">
        <w:rPr>
          <w:rFonts w:eastAsia="Times New Roman"/>
          <w:bCs/>
          <w:szCs w:val="24"/>
        </w:rPr>
        <w:t>Sharing data; and</w:t>
      </w:r>
    </w:p>
    <w:p w:rsidR="00D27C41" w:rsidRPr="000F7E48" w:rsidP="00D27C41" w14:paraId="6C10036D" w14:textId="77777777">
      <w:pPr>
        <w:pStyle w:val="ListParagraph"/>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2"/>
        <w:rPr>
          <w:rFonts w:eastAsia="Times New Roman"/>
          <w:bCs/>
          <w:szCs w:val="24"/>
        </w:rPr>
      </w:pPr>
      <w:r w:rsidRPr="000F7E48">
        <w:rPr>
          <w:rFonts w:eastAsia="Times New Roman"/>
          <w:bCs/>
          <w:szCs w:val="24"/>
        </w:rPr>
        <w:t xml:space="preserve">Standardizing survey tools where at all possible. </w:t>
      </w:r>
    </w:p>
    <w:p w:rsidR="00D27C41" w:rsidP="00D27C41" w14:paraId="3D6052A7" w14:textId="77777777">
      <w:pPr>
        <w:ind w:left="180"/>
        <w:rPr>
          <w:szCs w:val="24"/>
        </w:rPr>
      </w:pPr>
    </w:p>
    <w:p w:rsidR="00D27C41" w:rsidRPr="004412EF" w:rsidP="00D27C41" w14:paraId="334F936E" w14:textId="77777777">
      <w:pPr>
        <w:ind w:left="180"/>
        <w:rPr>
          <w:szCs w:val="24"/>
        </w:rPr>
      </w:pPr>
      <w:r w:rsidRPr="004412EF">
        <w:rPr>
          <w:szCs w:val="24"/>
        </w:rPr>
        <w:t>The following individuals outside of the agency have been consulted on questionnaire development</w:t>
      </w:r>
      <w:r>
        <w:rPr>
          <w:szCs w:val="24"/>
        </w:rPr>
        <w:t>:</w:t>
      </w:r>
      <w:r w:rsidRPr="004412EF">
        <w:rPr>
          <w:szCs w:val="24"/>
        </w:rPr>
        <w:t xml:space="preserve"> </w:t>
      </w:r>
    </w:p>
    <w:p w:rsidR="00D27C41" w:rsidP="00D27C41" w14:paraId="0ED7B6BC" w14:textId="77777777">
      <w:pPr>
        <w:ind w:left="180"/>
      </w:pPr>
    </w:p>
    <w:p w:rsidR="00D27C41" w:rsidRPr="007E1BA4" w:rsidP="00D27C41" w14:paraId="048A00A0" w14:textId="77777777">
      <w:pPr>
        <w:ind w:left="180"/>
      </w:pPr>
      <w:r>
        <w:t>Matt Eggers</w:t>
      </w:r>
    </w:p>
    <w:p w:rsidR="00D27C41" w:rsidRPr="007E1BA4" w:rsidP="00D27C41" w14:paraId="3D46A1B0" w14:textId="77777777">
      <w:pPr>
        <w:ind w:left="180"/>
      </w:pPr>
      <w:r w:rsidRPr="007E1BA4">
        <w:t>RTI International</w:t>
      </w:r>
    </w:p>
    <w:p w:rsidR="00D27C41" w:rsidRPr="007E1BA4" w:rsidP="00D27C41" w14:paraId="59B5B32E" w14:textId="77777777">
      <w:pPr>
        <w:ind w:left="180"/>
      </w:pPr>
      <w:r w:rsidRPr="007E1BA4">
        <w:t>3040 Cornwallis Road</w:t>
      </w:r>
    </w:p>
    <w:p w:rsidR="00D27C41" w:rsidRPr="007E1BA4" w:rsidP="00D27C41" w14:paraId="2AA7C82D" w14:textId="77777777">
      <w:pPr>
        <w:ind w:left="180"/>
      </w:pPr>
      <w:r w:rsidRPr="007E1BA4">
        <w:t>Research Triangle Park, NC 27709</w:t>
      </w:r>
    </w:p>
    <w:p w:rsidR="00D27C41" w:rsidRPr="007E1BA4" w:rsidP="00D27C41" w14:paraId="01B71F5F" w14:textId="77777777">
      <w:pPr>
        <w:ind w:left="180"/>
      </w:pPr>
      <w:r w:rsidRPr="007E1BA4">
        <w:t>Phone:</w:t>
      </w:r>
      <w:r>
        <w:t xml:space="preserve"> </w:t>
      </w:r>
      <w:r w:rsidRPr="007E1BA4">
        <w:t>919-541-6</w:t>
      </w:r>
      <w:r>
        <w:t>683</w:t>
      </w:r>
    </w:p>
    <w:p w:rsidR="00D27C41" w:rsidP="00D27C41" w14:paraId="693B3BC0" w14:textId="77777777">
      <w:pPr>
        <w:ind w:left="180"/>
      </w:pPr>
      <w:r w:rsidRPr="007E1BA4">
        <w:t>E-mail:</w:t>
      </w:r>
      <w:r>
        <w:t xml:space="preserve"> </w:t>
      </w:r>
      <w:hyperlink r:id="rId8" w:history="1">
        <w:r w:rsidRPr="00E3673A">
          <w:rPr>
            <w:rStyle w:val="Hyperlink"/>
          </w:rPr>
          <w:t>meggers@rti.org</w:t>
        </w:r>
      </w:hyperlink>
    </w:p>
    <w:p w:rsidR="00D27C41" w:rsidRPr="00FD1E65" w:rsidP="00D27C41" w14:paraId="2897C34E" w14:textId="77777777"/>
    <w:p w:rsidR="00D27C41" w:rsidRPr="00FD1E65" w:rsidP="00D27C41" w14:paraId="612C453A" w14:textId="77777777">
      <w:pPr>
        <w:ind w:left="180"/>
      </w:pPr>
      <w:r>
        <w:t xml:space="preserve">Jim </w:t>
      </w:r>
      <w:r>
        <w:t>Nonnemaker</w:t>
      </w:r>
    </w:p>
    <w:p w:rsidR="00D27C41" w:rsidRPr="00FD1E65" w:rsidP="00D27C41" w14:paraId="7A689D41" w14:textId="77777777">
      <w:pPr>
        <w:ind w:left="180"/>
      </w:pPr>
      <w:r w:rsidRPr="00FD1E65">
        <w:t>RTI International</w:t>
      </w:r>
    </w:p>
    <w:p w:rsidR="00D27C41" w:rsidRPr="00FD1E65" w:rsidP="00D27C41" w14:paraId="1A65C8FE" w14:textId="77777777">
      <w:pPr>
        <w:ind w:left="180"/>
      </w:pPr>
      <w:r w:rsidRPr="00FD1E65">
        <w:t>3040 Cornwallis Road</w:t>
      </w:r>
    </w:p>
    <w:p w:rsidR="00D27C41" w:rsidRPr="00FD1E65" w:rsidP="00D27C41" w14:paraId="4DDC6DD9" w14:textId="77777777">
      <w:pPr>
        <w:ind w:left="180"/>
      </w:pPr>
      <w:r w:rsidRPr="00FD1E65">
        <w:t>Research Triangle Park, NC 27709</w:t>
      </w:r>
    </w:p>
    <w:p w:rsidR="00D27C41" w:rsidRPr="00FD1E65" w:rsidP="00D27C41" w14:paraId="1C6EF2CE" w14:textId="77777777">
      <w:pPr>
        <w:ind w:left="180"/>
      </w:pPr>
      <w:r w:rsidRPr="00FD1E65">
        <w:t>Phone:</w:t>
      </w:r>
      <w:r>
        <w:t xml:space="preserve"> </w:t>
      </w:r>
      <w:r w:rsidRPr="00FD1E65">
        <w:t>919-</w:t>
      </w:r>
      <w:r>
        <w:t>541-6683</w:t>
      </w:r>
    </w:p>
    <w:p w:rsidR="00512D81" w:rsidP="00F420A3" w14:paraId="1CE12302" w14:textId="3B3F0CAC">
      <w:pPr>
        <w:ind w:left="180"/>
      </w:pPr>
      <w:r w:rsidRPr="00FD1E65">
        <w:t>E-mail</w:t>
      </w:r>
      <w:r>
        <w:t>:</w:t>
      </w:r>
      <w:r w:rsidRPr="00FD1E65">
        <w:t xml:space="preserve"> </w:t>
      </w:r>
      <w:hyperlink r:id="rId9" w:history="1">
        <w:r w:rsidRPr="00E3673A">
          <w:rPr>
            <w:rStyle w:val="Hyperlink"/>
          </w:rPr>
          <w:t>jnonnemkaer@rti.org</w:t>
        </w:r>
      </w:hyperlink>
    </w:p>
    <w:p w:rsidR="00CD77C3" w:rsidRPr="002D1C87" w:rsidP="00850940" w14:paraId="074A3077" w14:textId="77777777">
      <w:pPr>
        <w:pStyle w:val="Heading3"/>
      </w:pPr>
      <w:r w:rsidRPr="002D1C87">
        <w:t>Explanation of Any Payment or Gift to Respondents</w:t>
      </w:r>
    </w:p>
    <w:p w:rsidR="00156367" w:rsidP="00156367" w14:paraId="49B7B946" w14:textId="51B4BBE2">
      <w:pPr>
        <w:pStyle w:val="BodyText0"/>
        <w:ind w:firstLine="0"/>
      </w:pPr>
      <w:bookmarkStart w:id="3" w:name="_Hlk128995495"/>
      <w:r>
        <w:t>The study will include</w:t>
      </w:r>
      <w:r w:rsidRPr="00156367">
        <w:t xml:space="preserve"> </w:t>
      </w:r>
      <w:r>
        <w:t>recruitment of</w:t>
      </w:r>
      <w:r w:rsidRPr="00156367">
        <w:t xml:space="preserve"> youth ages 13-17 through their parents using an online survey panel and</w:t>
      </w:r>
      <w:r w:rsidR="00012085">
        <w:t>/or</w:t>
      </w:r>
      <w:r w:rsidRPr="00156367">
        <w:t xml:space="preserve"> </w:t>
      </w:r>
      <w:r>
        <w:t>recruitment of</w:t>
      </w:r>
      <w:r w:rsidRPr="00156367">
        <w:t xml:space="preserve"> youth ages 15-17 directly using social media advertising. </w:t>
      </w:r>
      <w:bookmarkStart w:id="4" w:name="_Hlk129087180"/>
      <w:r>
        <w:t xml:space="preserve">For parents recruited from the online panel, </w:t>
      </w:r>
      <w:r w:rsidR="008D6892">
        <w:t>the panel</w:t>
      </w:r>
      <w:r>
        <w:t xml:space="preserve"> will provide nonmonetary “points” valued at </w:t>
      </w:r>
      <w:r w:rsidR="00042DDD">
        <w:t>or equivalent to</w:t>
      </w:r>
      <w:r>
        <w:t xml:space="preserve"> $</w:t>
      </w:r>
      <w:r w:rsidR="00CF620C">
        <w:t>10 to</w:t>
      </w:r>
      <w:r>
        <w:t xml:space="preserve"> parents of youth who complete each survey. </w:t>
      </w:r>
      <w:bookmarkEnd w:id="3"/>
      <w:bookmarkEnd w:id="4"/>
      <w:r>
        <w:t xml:space="preserve">“Points” are a routine part of panel maintenance strategy and can be accrued and traded for material items with partner vendors (e.g., Amazon.com, Starbucks) or for cash. </w:t>
      </w:r>
      <w:r w:rsidR="008D6892">
        <w:t>The panel</w:t>
      </w:r>
      <w:r>
        <w:t xml:space="preserve"> will provide the unique, alphanumeric survey IDs of individuals who should be compensated to the partner company. Participants recruited through social media who complete and submit the full survey will receive a $</w:t>
      </w:r>
      <w:r w:rsidR="00CF620C">
        <w:t>10</w:t>
      </w:r>
      <w:r>
        <w:t xml:space="preserve"> gift card.</w:t>
      </w:r>
    </w:p>
    <w:p w:rsidR="002F3990" w:rsidP="00542D30" w14:paraId="4C315B9B" w14:textId="49D39CFC">
      <w:pPr>
        <w:pStyle w:val="BodyText0"/>
        <w:ind w:firstLine="0"/>
      </w:pPr>
      <w:r>
        <w:t>The token of appreciation allows us to treat participants justly and with respect by acknowledging competing demands for their time and the effort they spend participating.</w:t>
      </w:r>
      <w:r w:rsidR="005B7CF0">
        <w:t xml:space="preserve"> A reasonable token of appreciation is standard practice for research and is suggested by </w:t>
      </w:r>
      <w:r w:rsidR="005B7CF0">
        <w:t>organizations that set the standards for conducting ethical industry-led research among human subjects (Code of Ethics and Standards for Market Research and Data Analytics, 2021).</w:t>
      </w:r>
      <w:r>
        <w:rPr>
          <w:rStyle w:val="FootnoteReference"/>
        </w:rPr>
        <w:footnoteReference w:id="5"/>
      </w:r>
      <w:r w:rsidR="005B7CF0">
        <w:t xml:space="preserve"> </w:t>
      </w:r>
      <w:r w:rsidRPr="00B10AB2" w:rsidR="005B7CF0">
        <w:t xml:space="preserve"> </w:t>
      </w:r>
    </w:p>
    <w:p w:rsidR="00D86484" w:rsidP="00542D30" w14:paraId="03F6C980" w14:textId="7DCB4906">
      <w:pPr>
        <w:pStyle w:val="BodyText0"/>
        <w:ind w:firstLine="0"/>
      </w:pPr>
      <w:r w:rsidRPr="002F3990">
        <w:t>Tokens of appreciation are important to recruit at-risk and multicultural populations</w:t>
      </w:r>
      <w:r>
        <w:t xml:space="preserve">. </w:t>
      </w:r>
      <w:r w:rsidRPr="002F3990">
        <w:t xml:space="preserve">Such populations are important to </w:t>
      </w:r>
      <w:r>
        <w:t>the current study</w:t>
      </w:r>
      <w:r w:rsidRPr="002F3990">
        <w:t xml:space="preserve"> because of the risk factors for tobacco use; those population</w:t>
      </w:r>
      <w:r>
        <w:t>s</w:t>
      </w:r>
      <w:r w:rsidRPr="002F3990">
        <w:t xml:space="preserve"> are also historically difficult to recruit and retain in health research (</w:t>
      </w:r>
      <w:r w:rsidRPr="002F3990">
        <w:t>Hooven</w:t>
      </w:r>
      <w:r w:rsidRPr="002F3990">
        <w:t xml:space="preserve"> et al., 2011; Murthy et al., 2004; Post et al., 2012; Siddiqui et al., 1996; </w:t>
      </w:r>
      <w:r w:rsidRPr="002F3990">
        <w:t>Zand</w:t>
      </w:r>
      <w:r w:rsidRPr="002F3990">
        <w:t xml:space="preserve"> et al., 2006). The use of tokens of appreciation is associated with more diverse sample populations (Booker et al., 2011; Caldwell et al., 2010; Martinson et al., 2000; Walter et al., 2013). Tokens of appreciation are </w:t>
      </w:r>
      <w:r>
        <w:t xml:space="preserve">also </w:t>
      </w:r>
      <w:r w:rsidRPr="002F3990">
        <w:t>associated with a more balanced and unbiased sample</w:t>
      </w:r>
      <w:r>
        <w:t>.</w:t>
      </w:r>
      <w:r w:rsidRPr="002F3990">
        <w:t xml:space="preserve"> Evidence suggests that participants who are offered a token of appreciation have significantly lower non-response rates and less missing data, potentially providing reduction in bias resulting from these factors (Singer, 2002).</w:t>
      </w:r>
    </w:p>
    <w:p w:rsidR="00D86484" w:rsidP="00D86484" w14:paraId="011877BF" w14:textId="5795613C">
      <w:pPr>
        <w:pStyle w:val="BodyText0"/>
        <w:ind w:firstLine="0"/>
      </w:pPr>
      <w:r w:rsidRPr="00D86484">
        <w:t>CTP has previously used this $10 token approach in a study with similar participants (youth ages 13-17 who had experimented with ENDS use or at-risk of ENDS use) and study design; that study had a diverse sample and timely data collection (OMB control number 0910-0810). In that study, the response rate was about 19% (1,660 completed out of 8,837 screened). This past data show that this is a difficult population to recruit and enroll, and an incentive rate lower than $10 would severely negatively impact the response rate, costing the government additional time and money. Other CTP studies have used similar tokens of appreciation for surveys of similar length and with similar target populations (e.g., Monthly Monitoring Study, OMB control number 0910-</w:t>
      </w:r>
      <w:r w:rsidR="00F07AB7">
        <w:t>0</w:t>
      </w:r>
      <w:r w:rsidR="006536FC">
        <w:t>810</w:t>
      </w:r>
      <w:r w:rsidR="008B1ACE">
        <w:t>)</w:t>
      </w:r>
      <w:r w:rsidRPr="00D86484">
        <w:t>.</w:t>
      </w:r>
    </w:p>
    <w:p w:rsidR="00116C6E" w:rsidRPr="002D1C87" w:rsidP="00D86484" w14:paraId="18177EF8" w14:textId="5D74B50D">
      <w:pPr>
        <w:pStyle w:val="Heading3"/>
      </w:pPr>
      <w:r w:rsidRPr="002D1C87">
        <w:t>Assurance of Confidentiality Provided to Respondents</w:t>
      </w:r>
    </w:p>
    <w:p w:rsidR="00CF620C" w:rsidP="00CF620C" w14:paraId="4BF745C3" w14:textId="77777777">
      <w:pPr>
        <w:pStyle w:val="BodyText0"/>
        <w:ind w:firstLine="0"/>
      </w:pPr>
      <w:r>
        <w:t>Concern for privacy and protection of respondents’ rights will play a central role in the study implementation, storage and handling of data, and data analysis and reporting. The Institutional Review Board (IRB) of RTI International, the research organization contracted to manage data collection has reviewed and approved the protocols for the survey. FDA’s Research Involving Human Subjects Committee (RIHSC) conducted a courtesy review before submission to RTI IRB; RIHSC determined that FDA is not engaged in the research. The primary concern of IRB is protecting respondents’ rights, one of which is maintaining the privacy of respondent information.</w:t>
      </w:r>
    </w:p>
    <w:p w:rsidR="008D6892" w:rsidRPr="008D6892" w:rsidP="008D6892" w14:paraId="13A24FCD" w14:textId="0324703F">
      <w:pPr>
        <w:pStyle w:val="BodyText0"/>
        <w:ind w:firstLine="0"/>
      </w:pPr>
      <w:r>
        <w:t xml:space="preserve">Privacy for survey respondents will be ensured in </w:t>
      </w:r>
      <w:r>
        <w:t>a number of</w:t>
      </w:r>
      <w:r>
        <w:t xml:space="preserve"> ways</w:t>
      </w:r>
      <w:r>
        <w:t xml:space="preserve">. </w:t>
      </w:r>
      <w:r w:rsidRPr="008D6892">
        <w:rPr>
          <w:rFonts w:eastAsia="Malgun Gothic"/>
          <w:szCs w:val="24"/>
        </w:rPr>
        <w:t>Prior to beginning the survey, all respondents are urged to find a private setting to take the survey. Participation in this study is voluntary, and respondents can choose not to answer any of the study questions and drop out of the survey at any time.</w:t>
      </w:r>
      <w:r>
        <w:rPr>
          <w:rFonts w:eastAsia="Malgun Gothic"/>
          <w:szCs w:val="24"/>
        </w:rPr>
        <w:t xml:space="preserve"> </w:t>
      </w:r>
      <w:r w:rsidRPr="008D6892">
        <w:rPr>
          <w:rFonts w:eastAsia="Malgun Gothic"/>
          <w:szCs w:val="24"/>
        </w:rPr>
        <w:t xml:space="preserve">Additional protections are specific to recruitment method and described below. </w:t>
      </w:r>
    </w:p>
    <w:p w:rsidR="008D6892" w:rsidRPr="008D6892" w:rsidP="008D6892" w14:paraId="54DC2E02" w14:textId="77777777">
      <w:pPr>
        <w:rPr>
          <w:rFonts w:eastAsia="Malgun Gothic"/>
          <w:szCs w:val="24"/>
        </w:rPr>
      </w:pPr>
      <w:r w:rsidRPr="008D6892">
        <w:rPr>
          <w:rFonts w:eastAsia="Malgun Gothic"/>
          <w:i/>
          <w:iCs/>
          <w:szCs w:val="24"/>
        </w:rPr>
        <w:t>Panel Via Parent</w:t>
      </w:r>
      <w:r w:rsidRPr="008D6892">
        <w:rPr>
          <w:rFonts w:eastAsia="Malgun Gothic"/>
          <w:szCs w:val="24"/>
        </w:rPr>
        <w:t xml:space="preserve"> </w:t>
      </w:r>
    </w:p>
    <w:p w:rsidR="008D6892" w:rsidRPr="008D6892" w:rsidP="008D6892" w14:paraId="1DDDE7F5" w14:textId="7F913668">
      <w:pPr>
        <w:rPr>
          <w:rFonts w:eastAsia="Malgun Gothic"/>
          <w:szCs w:val="24"/>
        </w:rPr>
      </w:pPr>
      <w:r w:rsidRPr="008D6892">
        <w:rPr>
          <w:rFonts w:eastAsia="Malgun Gothic"/>
          <w:szCs w:val="24"/>
        </w:rPr>
        <w:t>For this recruitment method, both the screener and survey are hosted by the primary panel vendo</w:t>
      </w:r>
      <w:r>
        <w:rPr>
          <w:rFonts w:eastAsia="Malgun Gothic"/>
          <w:szCs w:val="24"/>
        </w:rPr>
        <w:t>r</w:t>
      </w:r>
      <w:r w:rsidRPr="008D6892">
        <w:rPr>
          <w:rFonts w:eastAsia="Malgun Gothic"/>
          <w:szCs w:val="24"/>
        </w:rPr>
        <w:t xml:space="preserve">. </w:t>
      </w:r>
      <w:r w:rsidRPr="008D6892">
        <w:rPr>
          <w:rFonts w:eastAsia="Malgun Gothic"/>
          <w:szCs w:val="24"/>
        </w:rPr>
        <w:t>All of</w:t>
      </w:r>
      <w:r w:rsidRPr="008D6892">
        <w:rPr>
          <w:rFonts w:eastAsia="Malgun Gothic"/>
          <w:szCs w:val="24"/>
        </w:rPr>
        <w:t xml:space="preserve"> the provisions below apply. </w:t>
      </w:r>
    </w:p>
    <w:p w:rsidR="008D6892" w:rsidRPr="009B1A00" w:rsidP="008D6892" w14:paraId="651864B0" w14:textId="77777777">
      <w:pPr>
        <w:pStyle w:val="ListParagraph"/>
        <w:ind w:left="810"/>
        <w:rPr>
          <w:rFonts w:eastAsia="Malgun Gothic"/>
          <w:szCs w:val="24"/>
        </w:rPr>
      </w:pPr>
    </w:p>
    <w:p w:rsidR="008D6892" w:rsidRPr="009B1A00" w:rsidP="008D6892" w14:paraId="73DBA719" w14:textId="77777777">
      <w:pPr>
        <w:pStyle w:val="ListParagraph"/>
        <w:ind w:left="648" w:hanging="360"/>
        <w:rPr>
          <w:rFonts w:eastAsia="Malgun Gothic"/>
          <w:szCs w:val="24"/>
        </w:rPr>
      </w:pPr>
      <w:r w:rsidRPr="009B1A00">
        <w:rPr>
          <w:rFonts w:eastAsia="Malgun Gothic"/>
          <w:szCs w:val="24"/>
        </w:rPr>
        <w:t xml:space="preserve">(1) Panel providers maintain databases of panelist information with personally identifying information (PII). However, this information is kept separate from study data. Panel </w:t>
      </w:r>
      <w:r w:rsidRPr="009B1A00">
        <w:rPr>
          <w:rFonts w:eastAsia="Malgun Gothic"/>
          <w:szCs w:val="24"/>
        </w:rPr>
        <w:t>vendor partners will not provide this PII to RTI or FDA. Neither RTI nor FDA will request the PII.</w:t>
      </w:r>
    </w:p>
    <w:p w:rsidR="008D6892" w:rsidRPr="009B1A00" w:rsidP="008D6892" w14:paraId="4CA67141" w14:textId="77777777">
      <w:pPr>
        <w:pStyle w:val="ListParagraph"/>
        <w:ind w:left="648" w:hanging="360"/>
        <w:rPr>
          <w:rFonts w:eastAsia="Malgun Gothic"/>
          <w:szCs w:val="24"/>
        </w:rPr>
      </w:pPr>
    </w:p>
    <w:p w:rsidR="008D6892" w:rsidRPr="009B1A00" w:rsidP="008D6892" w14:paraId="2853982A" w14:textId="77777777">
      <w:pPr>
        <w:pStyle w:val="ListParagraph"/>
        <w:ind w:left="648" w:hanging="360"/>
        <w:rPr>
          <w:rFonts w:eastAsia="Malgun Gothic"/>
          <w:szCs w:val="24"/>
        </w:rPr>
      </w:pPr>
      <w:r w:rsidRPr="009B1A00">
        <w:rPr>
          <w:rFonts w:eastAsia="Malgun Gothic"/>
          <w:szCs w:val="24"/>
        </w:rPr>
        <w:t>(2) The screener and survey are programmed such that one cannot back up to view previous responses. For example, if the respondent were to set down their electronic device, a family member or friend could not back up to see how the respondent answered prior survey items about tobacco use.</w:t>
      </w:r>
    </w:p>
    <w:p w:rsidR="008D6892" w:rsidRPr="009B1A00" w:rsidP="008D6892" w14:paraId="2A015D06" w14:textId="77777777">
      <w:pPr>
        <w:pStyle w:val="ListParagraph"/>
        <w:ind w:left="648" w:hanging="360"/>
        <w:rPr>
          <w:rFonts w:eastAsia="Malgun Gothic"/>
          <w:szCs w:val="24"/>
        </w:rPr>
      </w:pPr>
    </w:p>
    <w:p w:rsidR="008D6892" w:rsidRPr="009B1A00" w:rsidP="008D6892" w14:paraId="115A79E3" w14:textId="77777777">
      <w:pPr>
        <w:pStyle w:val="ListParagraph"/>
        <w:ind w:left="648" w:hanging="360"/>
        <w:rPr>
          <w:rFonts w:eastAsia="Malgun Gothic"/>
          <w:szCs w:val="24"/>
        </w:rPr>
      </w:pPr>
      <w:r w:rsidRPr="009B1A00">
        <w:rPr>
          <w:rFonts w:eastAsia="Malgun Gothic"/>
          <w:szCs w:val="24"/>
        </w:rPr>
        <w:t>(3) Respondents’ information will not be tied to their individual responses and all analyses will be conducted in the aggregate (i.e., any data used in reporting will not be attributed to individual participants). No respondent identifiers will be contained in reports to FDA.</w:t>
      </w:r>
    </w:p>
    <w:p w:rsidR="008D6892" w:rsidRPr="009B1A00" w:rsidP="008D6892" w14:paraId="5702B09C" w14:textId="77777777">
      <w:pPr>
        <w:pStyle w:val="ListParagraph"/>
        <w:ind w:left="648" w:hanging="360"/>
        <w:rPr>
          <w:rFonts w:eastAsia="Malgun Gothic"/>
          <w:szCs w:val="24"/>
        </w:rPr>
      </w:pPr>
    </w:p>
    <w:p w:rsidR="008D6892" w:rsidRPr="009B1A00" w:rsidP="008D6892" w14:paraId="1D3E44E3" w14:textId="5A12C9C4">
      <w:pPr>
        <w:pStyle w:val="ListParagraph"/>
        <w:ind w:left="648" w:hanging="360"/>
        <w:rPr>
          <w:rFonts w:eastAsia="Malgun Gothic"/>
          <w:szCs w:val="24"/>
        </w:rPr>
      </w:pPr>
      <w:r w:rsidRPr="009B1A00">
        <w:rPr>
          <w:rFonts w:eastAsia="Malgun Gothic"/>
          <w:szCs w:val="24"/>
        </w:rPr>
        <w:t>(4) After receiving the data from the panel provider RTI will store it on the restricted-access study share</w:t>
      </w:r>
      <w:r w:rsidR="00CF2839">
        <w:rPr>
          <w:rFonts w:eastAsia="Malgun Gothic"/>
          <w:szCs w:val="24"/>
        </w:rPr>
        <w:t>d</w:t>
      </w:r>
      <w:r w:rsidRPr="009B1A00">
        <w:rPr>
          <w:rFonts w:eastAsia="Malgun Gothic"/>
          <w:szCs w:val="24"/>
        </w:rPr>
        <w:t xml:space="preserve"> drive and the FIPS 199 moderate network.</w:t>
      </w:r>
      <w:r w:rsidRPr="009B1A00">
        <w:rPr>
          <w:szCs w:val="24"/>
        </w:rPr>
        <w:t xml:space="preserve"> </w:t>
      </w:r>
      <w:r w:rsidRPr="009B1A00">
        <w:rPr>
          <w:rFonts w:eastAsia="Malgun Gothic"/>
          <w:szCs w:val="24"/>
        </w:rPr>
        <w:t>When the study is complete, RTI archives this share</w:t>
      </w:r>
      <w:r w:rsidR="00CF2839">
        <w:rPr>
          <w:rFonts w:eastAsia="Malgun Gothic"/>
          <w:szCs w:val="24"/>
        </w:rPr>
        <w:t>d</w:t>
      </w:r>
      <w:r w:rsidRPr="009B1A00">
        <w:rPr>
          <w:rFonts w:eastAsia="Malgun Gothic"/>
          <w:szCs w:val="24"/>
        </w:rPr>
        <w:t xml:space="preserve"> drive and indicates its date of expiration, 5 years from the time that the project concludes. At the date of expiry, the share</w:t>
      </w:r>
      <w:r w:rsidR="00CF2839">
        <w:rPr>
          <w:rFonts w:eastAsia="Malgun Gothic"/>
          <w:szCs w:val="24"/>
        </w:rPr>
        <w:t>d</w:t>
      </w:r>
      <w:r w:rsidRPr="009B1A00">
        <w:rPr>
          <w:rFonts w:eastAsia="Malgun Gothic"/>
          <w:szCs w:val="24"/>
        </w:rPr>
        <w:t xml:space="preserve"> drive and its contents are destroyed by RTI’s information technology services. The panel provider will store survey data for up to 5 years.</w:t>
      </w:r>
    </w:p>
    <w:p w:rsidR="008D6892" w:rsidRPr="009B1A00" w:rsidP="008D6892" w14:paraId="78E587BC" w14:textId="77777777">
      <w:pPr>
        <w:pStyle w:val="ListParagraph"/>
        <w:ind w:left="810"/>
        <w:rPr>
          <w:rFonts w:eastAsia="Malgun Gothic"/>
          <w:szCs w:val="24"/>
        </w:rPr>
      </w:pPr>
    </w:p>
    <w:p w:rsidR="008D6892" w:rsidRPr="008D6892" w:rsidP="008D6892" w14:paraId="18953E3F" w14:textId="77777777">
      <w:pPr>
        <w:rPr>
          <w:rFonts w:eastAsia="Malgun Gothic"/>
          <w:i/>
          <w:iCs/>
          <w:szCs w:val="24"/>
        </w:rPr>
      </w:pPr>
      <w:r w:rsidRPr="008D6892">
        <w:rPr>
          <w:rFonts w:eastAsia="Malgun Gothic"/>
          <w:i/>
          <w:iCs/>
          <w:szCs w:val="24"/>
        </w:rPr>
        <w:t>Social Media Direct to Youth</w:t>
      </w:r>
    </w:p>
    <w:p w:rsidR="008D6892" w:rsidRPr="008D6892" w:rsidP="008D6892" w14:paraId="3081AF9C" w14:textId="77777777">
      <w:pPr>
        <w:rPr>
          <w:rFonts w:eastAsia="Malgun Gothic"/>
          <w:szCs w:val="24"/>
        </w:rPr>
      </w:pPr>
      <w:r w:rsidRPr="008D6892">
        <w:rPr>
          <w:rFonts w:eastAsia="Malgun Gothic"/>
          <w:szCs w:val="24"/>
        </w:rPr>
        <w:t xml:space="preserve">For this recruitment method, the screener is hosted by </w:t>
      </w:r>
      <w:r w:rsidRPr="008D6892">
        <w:rPr>
          <w:rFonts w:eastAsia="Malgun Gothic"/>
          <w:szCs w:val="24"/>
        </w:rPr>
        <w:t>Qualtrics</w:t>
      </w:r>
      <w:r w:rsidRPr="008D6892">
        <w:rPr>
          <w:rFonts w:eastAsia="Malgun Gothic"/>
          <w:szCs w:val="24"/>
        </w:rPr>
        <w:t xml:space="preserve"> and the survey is hosted by the primary panel vendor. Protections for the </w:t>
      </w:r>
      <w:r w:rsidRPr="008D6892">
        <w:rPr>
          <w:rFonts w:eastAsia="Malgun Gothic"/>
          <w:szCs w:val="24"/>
          <w:u w:val="single"/>
        </w:rPr>
        <w:t>survey</w:t>
      </w:r>
      <w:r w:rsidRPr="008D6892">
        <w:rPr>
          <w:rFonts w:eastAsia="Malgun Gothic"/>
          <w:szCs w:val="24"/>
        </w:rPr>
        <w:t xml:space="preserve"> data match what is described above for </w:t>
      </w:r>
      <w:r w:rsidRPr="008D6892">
        <w:rPr>
          <w:rFonts w:eastAsia="Malgun Gothic"/>
          <w:i/>
          <w:iCs/>
          <w:szCs w:val="24"/>
        </w:rPr>
        <w:t>Direct to Youth</w:t>
      </w:r>
      <w:r w:rsidRPr="008D6892">
        <w:rPr>
          <w:rFonts w:eastAsia="Malgun Gothic"/>
          <w:szCs w:val="24"/>
        </w:rPr>
        <w:t xml:space="preserve"> recruiting. </w:t>
      </w:r>
    </w:p>
    <w:p w:rsidR="008D6892" w:rsidRPr="009B1A00" w:rsidP="008D6892" w14:paraId="7A3ABA67" w14:textId="77777777">
      <w:pPr>
        <w:pStyle w:val="ListParagraph"/>
        <w:ind w:left="810"/>
        <w:rPr>
          <w:rFonts w:eastAsia="Malgun Gothic"/>
          <w:szCs w:val="24"/>
        </w:rPr>
      </w:pPr>
    </w:p>
    <w:p w:rsidR="008D6892" w:rsidRPr="008D6892" w:rsidP="008D6892" w14:paraId="3A0DED3E" w14:textId="77777777">
      <w:pPr>
        <w:rPr>
          <w:rFonts w:eastAsia="Malgun Gothic"/>
          <w:szCs w:val="24"/>
        </w:rPr>
      </w:pPr>
      <w:r w:rsidRPr="008D6892">
        <w:rPr>
          <w:rFonts w:eastAsia="Malgun Gothic"/>
          <w:szCs w:val="24"/>
        </w:rPr>
        <w:t xml:space="preserve">The following procedures will be applied to the </w:t>
      </w:r>
      <w:r w:rsidRPr="008D6892">
        <w:rPr>
          <w:rFonts w:eastAsia="Malgun Gothic"/>
          <w:szCs w:val="24"/>
          <w:u w:val="single"/>
        </w:rPr>
        <w:t>screener</w:t>
      </w:r>
      <w:r w:rsidRPr="008D6892">
        <w:rPr>
          <w:rFonts w:eastAsia="Malgun Gothic"/>
          <w:szCs w:val="24"/>
        </w:rPr>
        <w:t xml:space="preserve"> data in Qualtrics used to ensure participant privacy before, during, and after fielding:  </w:t>
      </w:r>
    </w:p>
    <w:p w:rsidR="008D6892" w:rsidRPr="009B1A00" w:rsidP="008D6892" w14:paraId="435325AF" w14:textId="77777777">
      <w:pPr>
        <w:pStyle w:val="ListParagraph"/>
        <w:ind w:left="810"/>
        <w:rPr>
          <w:rFonts w:eastAsia="Malgun Gothic"/>
          <w:szCs w:val="24"/>
        </w:rPr>
      </w:pPr>
    </w:p>
    <w:p w:rsidR="008D6892" w:rsidRPr="009B1A00" w:rsidP="008D6892" w14:paraId="67D99352" w14:textId="77777777">
      <w:pPr>
        <w:pStyle w:val="ListParagraph"/>
        <w:ind w:left="648" w:hanging="360"/>
        <w:rPr>
          <w:rFonts w:eastAsia="Malgun Gothic"/>
          <w:szCs w:val="24"/>
        </w:rPr>
      </w:pPr>
      <w:r w:rsidRPr="009B1A00">
        <w:rPr>
          <w:rFonts w:eastAsia="Malgun Gothic"/>
          <w:szCs w:val="24"/>
        </w:rPr>
        <w:t xml:space="preserve">(1) Datasets of screener responses stored in Qualtrics will not contain any PII. All PII (e-mail address and birthdate) will be collected by Qualtrics, downloaded by RTI, and stored by Qualtrics as one file that contains only PII and </w:t>
      </w:r>
      <w:r w:rsidRPr="009B1A00">
        <w:rPr>
          <w:rFonts w:eastAsia="Malgun Gothic"/>
          <w:szCs w:val="24"/>
        </w:rPr>
        <w:t>a</w:t>
      </w:r>
      <w:r w:rsidRPr="009B1A00">
        <w:rPr>
          <w:rFonts w:eastAsia="Malgun Gothic"/>
          <w:szCs w:val="24"/>
        </w:rPr>
        <w:t xml:space="preserve"> RTI-assigned unique study ID. We are using the study ID to connect PII with screener data and to determine if a participant has completed the survey and perform fraud detection procedures. IP address will be collected by Qualtrics, downloaded by RTI, and stored by Qualtrics and RTI as a second file that only contains IP address, the unique ID, and the participant responses to the screener (excluding PII). IP address and PII (e-mail address, birthdate, zip code) will not be collected in the same file.</w:t>
      </w:r>
    </w:p>
    <w:p w:rsidR="008D6892" w:rsidRPr="009B1A00" w:rsidP="008D6892" w14:paraId="20F5AE72" w14:textId="77777777">
      <w:pPr>
        <w:pStyle w:val="ListParagraph"/>
        <w:ind w:left="648" w:hanging="360"/>
        <w:rPr>
          <w:rFonts w:eastAsia="Malgun Gothic"/>
          <w:szCs w:val="24"/>
        </w:rPr>
      </w:pPr>
    </w:p>
    <w:p w:rsidR="008D6892" w:rsidRPr="009B1A00" w:rsidP="008D6892" w14:paraId="0C321659" w14:textId="77777777">
      <w:pPr>
        <w:pStyle w:val="ListParagraph"/>
        <w:ind w:left="648" w:hanging="360"/>
        <w:rPr>
          <w:rFonts w:eastAsia="Malgun Gothic"/>
          <w:szCs w:val="24"/>
        </w:rPr>
      </w:pPr>
      <w:r w:rsidRPr="009B1A00">
        <w:rPr>
          <w:rFonts w:eastAsia="Malgun Gothic"/>
          <w:szCs w:val="24"/>
        </w:rPr>
        <w:t xml:space="preserve">(2) All of the data files (PII and screener data (with IP address) will be downloaded together from Qualtrics (which requires a password) daily (Monday through Friday) to run fraud detection. </w:t>
      </w:r>
      <w:r w:rsidRPr="009B1A00">
        <w:rPr>
          <w:rFonts w:eastAsia="Malgun Gothic"/>
          <w:szCs w:val="24"/>
        </w:rPr>
        <w:br/>
      </w:r>
    </w:p>
    <w:p w:rsidR="008D6892" w:rsidRPr="009B1A00" w:rsidP="008D6892" w14:paraId="788FFA05" w14:textId="3C87B7D7">
      <w:pPr>
        <w:pStyle w:val="ListParagraph"/>
        <w:spacing w:after="120"/>
        <w:ind w:left="864" w:hanging="1267"/>
        <w:rPr>
          <w:rFonts w:eastAsia="Malgun Gothic"/>
          <w:szCs w:val="24"/>
        </w:rPr>
      </w:pPr>
      <w:r w:rsidRPr="009B1A00">
        <w:rPr>
          <w:rFonts w:eastAsia="Malgun Gothic"/>
          <w:szCs w:val="24"/>
        </w:rPr>
        <w:tab/>
        <w:t xml:space="preserve">a. The screener data (with IP address) and PII, when downloaded from Qualtrics, will be stored on the RTI share for up to 48 hours, and then placed in the Federal Information Processing Standards (FIPS) 199 moderate network. This is because the FIPS 199 moderate network does not permit access to the internet (and downloading the data from Qualtrics requires an internet connection). Additionally, fraud detection </w:t>
      </w:r>
      <w:r w:rsidRPr="009B1A00">
        <w:rPr>
          <w:rFonts w:eastAsia="Malgun Gothic"/>
          <w:szCs w:val="24"/>
        </w:rPr>
        <w:t>measures involve combining IP address, PII, and screener responses, which is much easier to do on the study share</w:t>
      </w:r>
      <w:r w:rsidR="00CF2839">
        <w:rPr>
          <w:rFonts w:eastAsia="Malgun Gothic"/>
          <w:szCs w:val="24"/>
        </w:rPr>
        <w:t>d</w:t>
      </w:r>
      <w:r w:rsidRPr="009B1A00">
        <w:rPr>
          <w:rFonts w:eastAsia="Malgun Gothic"/>
          <w:szCs w:val="24"/>
        </w:rPr>
        <w:t xml:space="preserve"> drive than on the FIPS 199 moderate network. </w:t>
      </w:r>
    </w:p>
    <w:p w:rsidR="008D6892" w:rsidRPr="009B1A00" w:rsidP="008D6892" w14:paraId="467779AB" w14:textId="77777777">
      <w:pPr>
        <w:spacing w:after="120"/>
        <w:ind w:left="864"/>
        <w:rPr>
          <w:rFonts w:eastAsia="Malgun Gothic"/>
          <w:szCs w:val="24"/>
        </w:rPr>
      </w:pPr>
      <w:r w:rsidRPr="009B1A00">
        <w:rPr>
          <w:rFonts w:eastAsia="Malgun Gothic"/>
          <w:szCs w:val="24"/>
        </w:rPr>
        <w:t xml:space="preserve">b. If the FIPS 199 moderate network is unavailable because of an RTI outage, we will move files with PII to the FIPS 199 moderate network as soon as availability is restored. As an additional quality control, a second study team member will confirm that PII has been moved to the FIPS 199 moderate network after fraud protection procedures have been completed. </w:t>
      </w:r>
    </w:p>
    <w:p w:rsidR="008D6892" w:rsidRPr="009B1A00" w:rsidP="008D6892" w14:paraId="708365AB" w14:textId="548DFEF3">
      <w:pPr>
        <w:spacing w:after="120"/>
        <w:ind w:left="864"/>
        <w:rPr>
          <w:rFonts w:eastAsia="Malgun Gothic"/>
          <w:szCs w:val="24"/>
        </w:rPr>
      </w:pPr>
      <w:r w:rsidRPr="009B1A00">
        <w:rPr>
          <w:rFonts w:eastAsia="Malgun Gothic"/>
          <w:szCs w:val="24"/>
        </w:rPr>
        <w:t>c. The file containing only study ID and the screener responses will remain on the study share</w:t>
      </w:r>
      <w:r w:rsidR="00CF2839">
        <w:rPr>
          <w:rFonts w:eastAsia="Malgun Gothic"/>
          <w:szCs w:val="24"/>
        </w:rPr>
        <w:t>d</w:t>
      </w:r>
      <w:r w:rsidRPr="009B1A00">
        <w:rPr>
          <w:rFonts w:eastAsia="Malgun Gothic"/>
          <w:szCs w:val="24"/>
        </w:rPr>
        <w:t xml:space="preserve"> drive. At the completion of data collection, all data will be deleted from our Qualtrics account and remain only on RTI’s secure shared drive and the FIPS 199 moderate network. Data files will be stored on the restricted-access study share</w:t>
      </w:r>
      <w:r w:rsidR="00CF2839">
        <w:rPr>
          <w:rFonts w:eastAsia="Malgun Gothic"/>
          <w:szCs w:val="24"/>
        </w:rPr>
        <w:t>d</w:t>
      </w:r>
      <w:r w:rsidRPr="009B1A00">
        <w:rPr>
          <w:rFonts w:eastAsia="Malgun Gothic"/>
          <w:szCs w:val="24"/>
        </w:rPr>
        <w:t xml:space="preserve"> drive and the FIPS 199 moderate network. When the study is complete, RTI archives this share</w:t>
      </w:r>
      <w:r w:rsidR="00CF2839">
        <w:rPr>
          <w:rFonts w:eastAsia="Malgun Gothic"/>
          <w:szCs w:val="24"/>
        </w:rPr>
        <w:t>d</w:t>
      </w:r>
      <w:r w:rsidRPr="009B1A00">
        <w:rPr>
          <w:rFonts w:eastAsia="Malgun Gothic"/>
          <w:szCs w:val="24"/>
        </w:rPr>
        <w:t xml:space="preserve"> drive and indicates its date of expiration, 5 years from the time that the project concludes. At the date of expiry, the share drive and its contents are destroyed by RTI’s information technology services. </w:t>
      </w:r>
    </w:p>
    <w:p w:rsidR="008D6892" w:rsidRPr="009B1A00" w:rsidP="008D6892" w14:paraId="7BE03512" w14:textId="77777777">
      <w:pPr>
        <w:pStyle w:val="ListParagraph"/>
        <w:ind w:left="648" w:hanging="360"/>
        <w:rPr>
          <w:rFonts w:eastAsia="Malgun Gothic"/>
          <w:szCs w:val="24"/>
        </w:rPr>
      </w:pPr>
      <w:r w:rsidRPr="009B1A00">
        <w:rPr>
          <w:rFonts w:eastAsia="Malgun Gothic"/>
          <w:szCs w:val="24"/>
        </w:rPr>
        <w:t>(3) The password to access all survey data files in Qualtrics will not be shared with FDA. Only the necessary study staff at RTI will have access to PII for the purpose of fraud detection and incentive delivery.</w:t>
      </w:r>
    </w:p>
    <w:p w:rsidR="008D6892" w:rsidRPr="009B1A00" w:rsidP="008D6892" w14:paraId="6360FFBA" w14:textId="77777777">
      <w:pPr>
        <w:pStyle w:val="ListParagraph"/>
        <w:ind w:left="648" w:hanging="360"/>
        <w:rPr>
          <w:rFonts w:eastAsia="Malgun Gothic"/>
          <w:szCs w:val="24"/>
        </w:rPr>
      </w:pPr>
    </w:p>
    <w:p w:rsidR="008D6892" w:rsidRPr="009B1A00" w:rsidP="008D6892" w14:paraId="1B3F7D15" w14:textId="77777777">
      <w:pPr>
        <w:pStyle w:val="ListParagraph"/>
        <w:ind w:left="648" w:hanging="360"/>
        <w:rPr>
          <w:rFonts w:eastAsia="Malgun Gothic"/>
          <w:szCs w:val="24"/>
        </w:rPr>
      </w:pPr>
      <w:r w:rsidRPr="009B1A00">
        <w:rPr>
          <w:rFonts w:eastAsia="Malgun Gothic"/>
          <w:szCs w:val="24"/>
        </w:rPr>
        <w:t>(4) Respondents cannot back up in the survey to view previous responses. Additionally, if there is a 60-minute lapse in data entry suggesting that the respondent has stepped away from the survey, the respondent will be automatically logged out to protect both data and respondent. Respondents will not be allowed re-enter the survey.</w:t>
      </w:r>
    </w:p>
    <w:p w:rsidR="008D6892" w:rsidRPr="009B1A00" w:rsidP="008D6892" w14:paraId="6DAE416E" w14:textId="77777777">
      <w:pPr>
        <w:pStyle w:val="ListParagraph"/>
        <w:ind w:left="648" w:hanging="360"/>
        <w:rPr>
          <w:rFonts w:eastAsia="Malgun Gothic"/>
          <w:szCs w:val="24"/>
        </w:rPr>
      </w:pPr>
    </w:p>
    <w:p w:rsidR="008D6892" w:rsidRPr="009B1A00" w:rsidP="008D6892" w14:paraId="5110F8A5" w14:textId="77777777">
      <w:pPr>
        <w:pStyle w:val="ListParagraph"/>
        <w:ind w:left="648" w:hanging="360"/>
        <w:rPr>
          <w:rFonts w:eastAsia="Malgun Gothic"/>
          <w:szCs w:val="24"/>
        </w:rPr>
      </w:pPr>
      <w:r w:rsidRPr="009B1A00">
        <w:rPr>
          <w:rFonts w:eastAsia="Malgun Gothic"/>
          <w:szCs w:val="24"/>
        </w:rPr>
        <w:t>(5) Respondents’ information will not be tied to their individual responses and all analyses will be conducted in the aggregate (i.e., any data used in reporting will not be attributed to individual participants). No respondent identifiers will be contained in reports to FDA.</w:t>
      </w:r>
    </w:p>
    <w:p w:rsidR="008D6892" w:rsidRPr="009B1A00" w:rsidP="008D6892" w14:paraId="131FAA23" w14:textId="77777777">
      <w:pPr>
        <w:pStyle w:val="ListParagraph"/>
        <w:ind w:left="810"/>
        <w:rPr>
          <w:rFonts w:eastAsia="Malgun Gothic"/>
          <w:b/>
          <w:bCs/>
          <w:szCs w:val="24"/>
        </w:rPr>
      </w:pPr>
    </w:p>
    <w:p w:rsidR="008D6892" w:rsidRPr="008D6892" w:rsidP="00F420A3" w14:paraId="40CEAC2C" w14:textId="77777777">
      <w:pPr>
        <w:ind w:left="288"/>
        <w:rPr>
          <w:rFonts w:eastAsia="Malgun Gothic"/>
          <w:szCs w:val="24"/>
        </w:rPr>
      </w:pPr>
      <w:r w:rsidRPr="00F420A3">
        <w:rPr>
          <w:rFonts w:eastAsia="Malgun Gothic"/>
          <w:i/>
          <w:iCs/>
          <w:szCs w:val="24"/>
        </w:rPr>
        <w:t>Reason for collection e-mail address (PII):</w:t>
      </w:r>
      <w:r w:rsidRPr="008D6892">
        <w:rPr>
          <w:rFonts w:eastAsia="Malgun Gothic"/>
          <w:szCs w:val="24"/>
        </w:rPr>
        <w:t xml:space="preserve"> E-mail address is necessary for all participants, even those who screen out as ineligible, for fraud detection purposes (we </w:t>
      </w:r>
      <w:r w:rsidRPr="008D6892">
        <w:rPr>
          <w:rFonts w:eastAsia="Malgun Gothic"/>
          <w:szCs w:val="24"/>
        </w:rPr>
        <w:t>have to</w:t>
      </w:r>
      <w:r w:rsidRPr="008D6892">
        <w:rPr>
          <w:rFonts w:eastAsia="Malgun Gothic"/>
          <w:szCs w:val="24"/>
        </w:rPr>
        <w:t xml:space="preserve"> be able to detect and eliminate duplicates across both eligible and ineligible screener completes). As a result, it is not possible to route participants to the screener exit if they screen out as ineligible before collecting their e-mail address. </w:t>
      </w:r>
    </w:p>
    <w:p w:rsidR="008D6892" w:rsidRPr="009B1A00" w:rsidP="00F420A3" w14:paraId="53AFFB4F" w14:textId="77777777">
      <w:pPr>
        <w:pStyle w:val="ListParagraph"/>
        <w:ind w:left="1098"/>
        <w:rPr>
          <w:rFonts w:eastAsia="Malgun Gothic"/>
          <w:szCs w:val="24"/>
        </w:rPr>
      </w:pPr>
    </w:p>
    <w:p w:rsidR="008D6892" w:rsidRPr="008D6892" w:rsidP="00F420A3" w14:paraId="2148F20C" w14:textId="77777777">
      <w:pPr>
        <w:ind w:left="288"/>
        <w:rPr>
          <w:rFonts w:eastAsia="Malgun Gothic"/>
          <w:b/>
          <w:bCs/>
          <w:szCs w:val="24"/>
        </w:rPr>
      </w:pPr>
      <w:r w:rsidRPr="00F420A3">
        <w:rPr>
          <w:rFonts w:eastAsia="Malgun Gothic"/>
          <w:i/>
          <w:iCs/>
          <w:szCs w:val="24"/>
        </w:rPr>
        <w:t>Reason for collecting date of birth (PII):</w:t>
      </w:r>
      <w:r w:rsidRPr="008D6892">
        <w:rPr>
          <w:rFonts w:eastAsia="Malgun Gothic"/>
          <w:b/>
          <w:bCs/>
          <w:szCs w:val="24"/>
        </w:rPr>
        <w:t xml:space="preserve"> </w:t>
      </w:r>
      <w:r w:rsidRPr="008D6892">
        <w:rPr>
          <w:rFonts w:eastAsia="Times New Roman"/>
          <w:szCs w:val="24"/>
          <w:shd w:val="clear" w:color="auto" w:fill="FFFFFF"/>
        </w:rPr>
        <w:t>We will cross-reference reported age and date of birth to ensure matching to reduce fraudulent responses.</w:t>
      </w:r>
    </w:p>
    <w:p w:rsidR="008D6892" w:rsidRPr="00F420A3" w:rsidP="00BF5DB0" w14:paraId="085E3017" w14:textId="25DFAED3">
      <w:pPr>
        <w:pStyle w:val="BodyText0"/>
        <w:spacing w:after="240"/>
        <w:ind w:left="288" w:firstLine="0"/>
        <w:rPr>
          <w:szCs w:val="24"/>
        </w:rPr>
      </w:pPr>
      <w:r w:rsidRPr="00F420A3">
        <w:rPr>
          <w:rFonts w:eastAsia="Malgun Gothic"/>
          <w:i/>
          <w:iCs/>
          <w:szCs w:val="24"/>
        </w:rPr>
        <w:t>Reason for collecting IP Address:</w:t>
      </w:r>
      <w:r w:rsidRPr="009B1A00">
        <w:rPr>
          <w:rFonts w:eastAsia="Malgun Gothic"/>
          <w:b/>
          <w:bCs/>
          <w:szCs w:val="24"/>
        </w:rPr>
        <w:t xml:space="preserve"> </w:t>
      </w:r>
      <w:r w:rsidRPr="009B1A00">
        <w:rPr>
          <w:rFonts w:eastAsia="Malgun Gothic"/>
          <w:szCs w:val="24"/>
        </w:rPr>
        <w:t xml:space="preserve">To reduce the potential of participants completing multiple screeners and to reduce non-U.S. based youth from completing screeners, IP addresses from </w:t>
      </w:r>
      <w:r w:rsidR="00B76014">
        <w:rPr>
          <w:rFonts w:eastAsia="Malgun Gothic"/>
          <w:szCs w:val="24"/>
        </w:rPr>
        <w:br/>
      </w:r>
      <w:r w:rsidRPr="009B1A00">
        <w:rPr>
          <w:rFonts w:eastAsia="Malgun Gothic"/>
          <w:szCs w:val="24"/>
        </w:rPr>
        <w:t>outside of the U.S. will be blocked from taking the screener. Additionally, we may maintain a list of IP addresses from which we receive repeated fraudulent activity as defined above. IP addresses appearing on this list may be blocked from accessing the screener.</w:t>
      </w:r>
    </w:p>
    <w:p w:rsidR="00CF620C" w:rsidP="00D35B3F" w14:paraId="7D1FB2A1" w14:textId="6DDF48C2">
      <w:pPr>
        <w:pStyle w:val="BodyText0"/>
        <w:ind w:firstLine="0"/>
      </w:pPr>
      <w:r>
        <w:t xml:space="preserve">This study is funded by the FDA, a Department of Health and Human Services supported agency, and is covered by a Certificate of Confidentiality (CoC). Section 2012 of the 21st Century Cures Act includes significant amendments, to the previous statutory authority for such </w:t>
      </w:r>
      <w:r>
        <w:t>protections, to enhance privacy protections for individuals who are the subjects of federally funded research, under subsection 301(d) of the Public Health Service Act (42 U.S.C. 241). Specifically, the amended authority requires the FDA to issue a CoC to investigators or institutions engaged in research funded by the Federal government to protect the privacy of individuals who are subjects of this research. We will notify participants in the assent form (and parental permission form) of the protections that the Certificate provides.</w:t>
      </w:r>
    </w:p>
    <w:p w:rsidR="004C6979" w:rsidRPr="00F43757" w:rsidP="00850940" w14:paraId="6A1E1E8E" w14:textId="77777777">
      <w:pPr>
        <w:pStyle w:val="Heading3"/>
      </w:pPr>
      <w:r w:rsidRPr="00F43757">
        <w:t>Justification for Sensitive Questions</w:t>
      </w:r>
    </w:p>
    <w:p w:rsidR="00005D92" w:rsidP="00005D92" w14:paraId="7EBEDB5C" w14:textId="25E033EE">
      <w:pPr>
        <w:pStyle w:val="BodyText0"/>
        <w:ind w:firstLine="0"/>
      </w:pPr>
      <w:r w:rsidRPr="00EB6BBC">
        <w:t>Most questions asked will not be of a sensitive nature.</w:t>
      </w:r>
      <w:r>
        <w:t xml:space="preserve"> </w:t>
      </w:r>
      <w:r w:rsidRPr="00EB6BBC">
        <w:t xml:space="preserve">However, it will be necessary to ask some questions that may be considered of a sensitive nature </w:t>
      </w:r>
      <w:r w:rsidRPr="00EB6BBC">
        <w:t>in order to</w:t>
      </w:r>
      <w:r w:rsidRPr="00EB6BBC">
        <w:t xml:space="preserve"> assess </w:t>
      </w:r>
      <w:r w:rsidRPr="00963A7B">
        <w:t xml:space="preserve">specific health behaviors, such as </w:t>
      </w:r>
      <w:r>
        <w:t xml:space="preserve">tobacco use. </w:t>
      </w:r>
      <w:r w:rsidRPr="00963A7B">
        <w:t>Asking such questions is critical to the objectives to this information collection</w:t>
      </w:r>
      <w:r>
        <w:t>.</w:t>
      </w:r>
    </w:p>
    <w:p w:rsidR="00F80375" w:rsidP="00D86484" w14:paraId="205D0237" w14:textId="7133FD49">
      <w:pPr>
        <w:pStyle w:val="BodyText0"/>
        <w:ind w:firstLine="0"/>
      </w:pPr>
      <w:r w:rsidRPr="00EB6BBC">
        <w:t>Some questions about tobacco use are potentially sensitive because tobacco use among adolescents under age 18 is illegal in a few states</w:t>
      </w:r>
      <w:r>
        <w:t>,</w:t>
      </w:r>
      <w:r w:rsidRPr="00EB6BBC">
        <w:t xml:space="preserve"> and sales to </w:t>
      </w:r>
      <w:r>
        <w:t>individuals</w:t>
      </w:r>
      <w:r w:rsidRPr="00EB6BBC">
        <w:t xml:space="preserve"> under age </w:t>
      </w:r>
      <w:r>
        <w:t>21</w:t>
      </w:r>
      <w:r w:rsidRPr="00EB6BBC">
        <w:t xml:space="preserve"> are illegal </w:t>
      </w:r>
      <w:r>
        <w:t>nationwide</w:t>
      </w:r>
      <w:r w:rsidRPr="00EB6BBC">
        <w:t>.</w:t>
      </w:r>
      <w:r>
        <w:t xml:space="preserve"> </w:t>
      </w:r>
      <w:r w:rsidRPr="00EB6BBC">
        <w:t>These questions are essential to the objectives of this information collection.</w:t>
      </w:r>
      <w:r>
        <w:t xml:space="preserve"> </w:t>
      </w:r>
    </w:p>
    <w:p w:rsidR="00761FFA" w:rsidP="00D86484" w14:paraId="49A2F2E8" w14:textId="602EE431">
      <w:pPr>
        <w:pStyle w:val="BodyText0"/>
        <w:ind w:firstLine="0"/>
      </w:pPr>
      <w:r>
        <w:t xml:space="preserve">Demographic questions such as race and ethnicity, </w:t>
      </w:r>
      <w:r w:rsidR="00FC2002">
        <w:t xml:space="preserve">country of origin/national background, </w:t>
      </w:r>
      <w:r>
        <w:t xml:space="preserve">gender identity, and sexual orientation could be considered sensitive. </w:t>
      </w:r>
      <w:r w:rsidRPr="00D46382">
        <w:t xml:space="preserve">The purpose of these questions is to </w:t>
      </w:r>
      <w:r>
        <w:t>ensure a representative</w:t>
      </w:r>
      <w:r w:rsidRPr="00D46382">
        <w:t xml:space="preserve"> respondent sample</w:t>
      </w:r>
      <w:r>
        <w:t xml:space="preserve"> that enables assessing </w:t>
      </w:r>
      <w:r>
        <w:rPr>
          <w:rStyle w:val="normaltextrun"/>
        </w:rPr>
        <w:t>potential differences</w:t>
      </w:r>
      <w:r w:rsidRPr="006D7918">
        <w:rPr>
          <w:rStyle w:val="normaltextrun"/>
          <w:szCs w:val="24"/>
        </w:rPr>
        <w:t xml:space="preserve"> in </w:t>
      </w:r>
      <w:r>
        <w:rPr>
          <w:rStyle w:val="normaltextrun"/>
        </w:rPr>
        <w:t xml:space="preserve">receptivity of </w:t>
      </w:r>
      <w:r w:rsidRPr="006D7918">
        <w:rPr>
          <w:rStyle w:val="normaltextrun"/>
          <w:szCs w:val="24"/>
        </w:rPr>
        <w:t xml:space="preserve">tobacco </w:t>
      </w:r>
      <w:r>
        <w:rPr>
          <w:rStyle w:val="normaltextrun"/>
        </w:rPr>
        <w:t xml:space="preserve">messages through </w:t>
      </w:r>
      <w:r>
        <w:t>subgroup comparisons.</w:t>
      </w:r>
      <w:r w:rsidRPr="00597D86">
        <w:t xml:space="preserve"> </w:t>
      </w:r>
    </w:p>
    <w:p w:rsidR="00A83E3B" w:rsidP="00D86484" w14:paraId="54C4449A" w14:textId="58861C76">
      <w:pPr>
        <w:pStyle w:val="BodyText0"/>
        <w:ind w:firstLine="0"/>
      </w:pPr>
      <w:r>
        <w:t>D</w:t>
      </w:r>
      <w:r w:rsidRPr="00597D86">
        <w:t>ecades of research has shown significant disparities in tobacco use by race (e.g., Harlow et al., 2019; Odani et al, 2018), gender identity (e.g., Johnson et al, 2019; Delahanty et al, 2019</w:t>
      </w:r>
      <w:r w:rsidR="009B3AE4">
        <w:t xml:space="preserve">). </w:t>
      </w:r>
      <w:r w:rsidR="00903903">
        <w:rPr>
          <w:rStyle w:val="ui-provider"/>
        </w:rPr>
        <w:t xml:space="preserve">We ask about </w:t>
      </w:r>
      <w:r>
        <w:rPr>
          <w:rStyle w:val="ui-provider"/>
        </w:rPr>
        <w:t>country of origin/national background when asking about Hispanic/Latino ethnicity</w:t>
      </w:r>
      <w:r w:rsidR="00903903">
        <w:rPr>
          <w:rStyle w:val="ui-provider"/>
        </w:rPr>
        <w:t xml:space="preserve"> because</w:t>
      </w:r>
      <w:r w:rsidR="0011160B">
        <w:rPr>
          <w:rStyle w:val="ui-provider"/>
        </w:rPr>
        <w:t xml:space="preserve"> </w:t>
      </w:r>
      <w:r w:rsidR="00903903">
        <w:rPr>
          <w:rStyle w:val="ui-provider"/>
        </w:rPr>
        <w:t xml:space="preserve">an abundance of </w:t>
      </w:r>
      <w:r>
        <w:rPr>
          <w:rStyle w:val="ui-provider"/>
        </w:rPr>
        <w:t>data shows disparities in tobacco use and susceptibility depending on Hispanic/Latino country of origin (</w:t>
      </w:r>
      <w:r>
        <w:rPr>
          <w:rStyle w:val="ui-provider"/>
        </w:rPr>
        <w:t>Slobig</w:t>
      </w:r>
      <w:r>
        <w:rPr>
          <w:rStyle w:val="ui-provider"/>
        </w:rPr>
        <w:t xml:space="preserve">, 2014; Kaplan et al., 2014; </w:t>
      </w:r>
      <w:r>
        <w:rPr>
          <w:rStyle w:val="ui-provider"/>
        </w:rPr>
        <w:t>Parrinello</w:t>
      </w:r>
      <w:r>
        <w:rPr>
          <w:rStyle w:val="ui-provider"/>
        </w:rPr>
        <w:t xml:space="preserve"> et al., 2015; Bandiera et al., 2015). </w:t>
      </w:r>
      <w:r w:rsidR="0011160B">
        <w:t>Response options include</w:t>
      </w:r>
      <w:r w:rsidRPr="0011160B" w:rsidR="0011160B">
        <w:t xml:space="preserve"> the top 5 countries of origin based on the 2020 U.S. Census data.</w:t>
      </w:r>
      <w:r>
        <w:rPr>
          <w:rStyle w:val="ui-provider"/>
        </w:rPr>
        <w:t xml:space="preserve"> </w:t>
      </w:r>
      <w:r w:rsidR="00903903">
        <w:rPr>
          <w:rStyle w:val="ui-provider"/>
        </w:rPr>
        <w:t xml:space="preserve">Given that </w:t>
      </w:r>
      <w:r w:rsidR="0011160B">
        <w:rPr>
          <w:rStyle w:val="ui-provider"/>
        </w:rPr>
        <w:t xml:space="preserve">nearly one in 5 (18.7%) Americans identify as </w:t>
      </w:r>
      <w:r w:rsidR="00903903">
        <w:rPr>
          <w:rStyle w:val="ui-provider"/>
        </w:rPr>
        <w:t>Hispanic/Latino it</w:t>
      </w:r>
      <w:r>
        <w:rPr>
          <w:rStyle w:val="ui-provider"/>
        </w:rPr>
        <w:t xml:space="preserve"> is important for CTP to capture this information </w:t>
      </w:r>
      <w:r w:rsidR="0011160B">
        <w:rPr>
          <w:rStyle w:val="ui-provider"/>
        </w:rPr>
        <w:t>to ensure our efforts in smoking cessation and prevention are not only reflective of U.S. population characteristics but can reach and reflect the needs of this sizeable segment of the population</w:t>
      </w:r>
      <w:r>
        <w:rPr>
          <w:rStyle w:val="ui-provider"/>
        </w:rPr>
        <w:t>.</w:t>
      </w:r>
    </w:p>
    <w:p w:rsidR="00F27F28" w:rsidP="00D86484" w14:paraId="3FDF1B52" w14:textId="27EC87FA">
      <w:pPr>
        <w:pStyle w:val="BodyText0"/>
        <w:ind w:firstLine="0"/>
      </w:pPr>
      <w:r>
        <w:t xml:space="preserve">Research has also shown significant disparities in tobacco use by </w:t>
      </w:r>
      <w:r w:rsidRPr="00597D86" w:rsidR="002C1D3F">
        <w:t xml:space="preserve">sexual orientation </w:t>
      </w:r>
      <w:r>
        <w:t>and gender</w:t>
      </w:r>
      <w:r w:rsidR="00A83E3B">
        <w:t xml:space="preserve"> identity</w:t>
      </w:r>
      <w:r>
        <w:t xml:space="preserve"> </w:t>
      </w:r>
      <w:r w:rsidRPr="00597D86" w:rsidR="002C1D3F">
        <w:t xml:space="preserve">(e.g., Johnson et al, 2019; McCabe et al., 2018). </w:t>
      </w:r>
      <w:r>
        <w:rPr>
          <w:rStyle w:val="normaltextrun"/>
          <w:color w:val="000000"/>
          <w:shd w:val="clear" w:color="auto" w:fill="FFFFFF"/>
        </w:rPr>
        <w:t>The 2021 National Youth Tobacco Survey (NYTS) found that adolescents who identified as sexual or gender minority had higher rates of tobacco use than their heterosexual or cisgender counterparts. For example, 17% of high school students in the NYTS who identified as gay, lesbian, or bisexual currently used tobacco, compared to 11% of heterosexual students. Approximately 25% of transgender high school students in NYTS 2021 currently used tobacco, compared to 12% of non-transgender students. </w:t>
      </w:r>
      <w:r w:rsidRPr="00597D86" w:rsidR="002C1D3F">
        <w:t xml:space="preserve">Therefore, collecting detailed information on these demographic characteristics </w:t>
      </w:r>
      <w:r w:rsidR="002C1D3F">
        <w:t xml:space="preserve">among our sample </w:t>
      </w:r>
      <w:r w:rsidRPr="00597D86" w:rsidR="002C1D3F">
        <w:t xml:space="preserve">will allow us to measure </w:t>
      </w:r>
      <w:r w:rsidR="002C1D3F">
        <w:t xml:space="preserve">subgroup </w:t>
      </w:r>
      <w:r w:rsidRPr="00597D86" w:rsidR="002C1D3F">
        <w:t xml:space="preserve">differences </w:t>
      </w:r>
      <w:r w:rsidR="002C1D3F">
        <w:t xml:space="preserve">in tobacco education message receptivity </w:t>
      </w:r>
      <w:r w:rsidRPr="00597D86" w:rsidR="002C1D3F">
        <w:t xml:space="preserve">with the goal of reducing these disparities. </w:t>
      </w:r>
    </w:p>
    <w:p w:rsidR="00F27F28" w:rsidP="00D86484" w14:paraId="07DD23C6" w14:textId="1C40A547">
      <w:pPr>
        <w:pStyle w:val="BodyText0"/>
        <w:ind w:firstLine="0"/>
      </w:pPr>
      <w:r w:rsidRPr="00F27F28">
        <w:t>Currently, there is no federal requirement for one uniform question to assess sexual orientation or gender identity</w:t>
      </w:r>
      <w:r>
        <w:t xml:space="preserve"> (SOGI)</w:t>
      </w:r>
      <w:r w:rsidRPr="00F27F28">
        <w:t xml:space="preserve">. For example, the most recent federal </w:t>
      </w:r>
      <w:hyperlink r:id="rId10" w:tgtFrame="_blank" w:history="1">
        <w:r w:rsidRPr="00F27F28">
          <w:t>guidance</w:t>
        </w:r>
      </w:hyperlink>
      <w:r w:rsidRPr="00F27F28">
        <w:t xml:space="preserve"> from the White House Office of the Chief Statistician of the United States (OCS) on assessing LGBTQ+ identity in federal surveys states that their guidance, “does not mandate any particular approach or create </w:t>
      </w:r>
      <w:r w:rsidRPr="00F27F28">
        <w:t>any new requirements for agencies. In the future, Federal agencies may need to diverge from the recommendations in this report to reflect new, evidence-based best practices</w:t>
      </w:r>
      <w:r w:rsidR="00E14054">
        <w:t>.</w:t>
      </w:r>
      <w:r w:rsidRPr="00F27F28">
        <w:t>”</w:t>
      </w:r>
      <w:r>
        <w:rPr>
          <w:rStyle w:val="FootnoteReference"/>
        </w:rPr>
        <w:footnoteReference w:id="6"/>
      </w:r>
      <w:r w:rsidRPr="00F27F28">
        <w:t xml:space="preserve"> It also states that the recommendations in its recent guidance are not intended to “limit the continued evolution and improvement of SOGI data collection methods.” </w:t>
      </w:r>
      <w:r w:rsidRPr="00542D30" w:rsidR="00542D30">
        <w:t>The gender identity and sexual orientation questions included in this protocol are based on OMB control number 0910-0914 options for the Monthly Monitoring Study.</w:t>
      </w:r>
    </w:p>
    <w:p w:rsidR="00F27F28" w:rsidRPr="00DD2279" w:rsidP="00DD2279" w14:paraId="4B4C896A" w14:textId="3108267C">
      <w:pPr>
        <w:pStyle w:val="BodyText0"/>
        <w:ind w:firstLine="0"/>
      </w:pPr>
      <w:r w:rsidRPr="00E14054">
        <w:t xml:space="preserve">We recognize that many studies assess sex assigned at birth, especially those that are focused on clinical or medical </w:t>
      </w:r>
      <w:r w:rsidRPr="00DD2279">
        <w:t>information. However, in this study, FDA is not collecting data for clinical/medical purposes and does not need to know the status of respondent’s sex assigned at birth. For the purposes of FDA’s</w:t>
      </w:r>
      <w:r w:rsidRPr="00E14054">
        <w:t xml:space="preserve"> campaign efforts, we are only able to craft messages, tailor campaigns, and tailor media strategy by</w:t>
      </w:r>
      <w:r w:rsidRPr="00BF5DB0">
        <w:t xml:space="preserve"> </w:t>
      </w:r>
      <w:r w:rsidRPr="00E14054">
        <w:rPr>
          <w:u w:val="single"/>
        </w:rPr>
        <w:t>gender</w:t>
      </w:r>
      <w:r w:rsidRPr="00E14054">
        <w:t xml:space="preserve"> identity (not sex)</w:t>
      </w:r>
      <w:r>
        <w:t>.</w:t>
      </w:r>
      <w:r w:rsidRPr="00E14054">
        <w:rPr>
          <w:rFonts w:ascii="Arial" w:hAnsi="Arial" w:cs="Arial"/>
          <w:color w:val="000000"/>
          <w:sz w:val="22"/>
          <w:shd w:val="clear" w:color="auto" w:fill="FFFFFF"/>
        </w:rPr>
        <w:t xml:space="preserve"> </w:t>
      </w:r>
      <w:r w:rsidRPr="00E14054">
        <w:t xml:space="preserve">Our focus only on gender identity aligns with the </w:t>
      </w:r>
      <w:r>
        <w:t xml:space="preserve">2022 </w:t>
      </w:r>
      <w:r w:rsidRPr="00E14054">
        <w:t>NASEM</w:t>
      </w:r>
      <w:r>
        <w:rPr>
          <w:rStyle w:val="FootnoteReference"/>
        </w:rPr>
        <w:footnoteReference w:id="7"/>
      </w:r>
      <w:r w:rsidRPr="00E14054">
        <w:t xml:space="preserve"> report’s argument that, “in many contexts...collection of data on gender is more relevant than collection of data on sex as a biological variable, particularly for the purposes of assessing inclusion and monitoring discrimination and other forms of disparate treatment.”</w:t>
      </w:r>
      <w:r>
        <w:t xml:space="preserve"> Additionally, </w:t>
      </w:r>
      <w:r w:rsidRPr="00E14054">
        <w:t>gender identity question</w:t>
      </w:r>
      <w:r>
        <w:t>s</w:t>
      </w:r>
      <w:r w:rsidRPr="00E14054">
        <w:t xml:space="preserve"> should contain a non-binary option (to </w:t>
      </w:r>
      <w:r w:rsidRPr="00DD2279">
        <w:t xml:space="preserve">encompass identities such as non-binary, genderqueer, gender non-conforming), as multiple studies of youth and young adults have </w:t>
      </w:r>
      <w:r w:rsidRPr="00DD2279" w:rsidR="001D68C2">
        <w:t>shown that</w:t>
      </w:r>
      <w:r w:rsidRPr="00DD2279">
        <w:t xml:space="preserve"> approximately 12%-32% of their samples identified with non-binary identities (e.g., The Human Rights Campaign 2018 LGBTQ+ Youth Report; The Trevor Project 2020 National Survey on LGBT Youth Mental Health; CTP’s evaluation of This Free Life campaign; </w:t>
      </w:r>
      <w:r w:rsidRPr="00DD2279">
        <w:t>Kosciw</w:t>
      </w:r>
      <w:r w:rsidRPr="00DD2279">
        <w:t>, 2021).</w:t>
      </w:r>
      <w:r w:rsidRPr="00DD2279" w:rsidR="001D68C2">
        <w:t xml:space="preserve"> </w:t>
      </w:r>
      <w:r w:rsidRPr="009354A9">
        <w:t>Non-binary identities are also recognized federally, as people in the United States can select “X” as their gender marker on their passport (</w:t>
      </w:r>
      <w:r w:rsidRPr="00DD2279">
        <w:t>U.S. Department of State, 2022</w:t>
      </w:r>
      <w:r w:rsidRPr="009354A9">
        <w:t>). </w:t>
      </w:r>
      <w:r w:rsidRPr="00DD2279">
        <w:t> </w:t>
      </w:r>
      <w:r w:rsidRPr="00DD2279" w:rsidR="0069281B">
        <w:t xml:space="preserve"> </w:t>
      </w:r>
    </w:p>
    <w:p w:rsidR="002C1D3F" w:rsidP="00DD2279" w14:paraId="4701D866" w14:textId="7EC838EC">
      <w:pPr>
        <w:pStyle w:val="BodyText0"/>
        <w:ind w:firstLine="0"/>
      </w:pPr>
      <w:bookmarkStart w:id="5" w:name="_Hlk136868669"/>
      <w:r w:rsidRPr="00DD2279">
        <w:t xml:space="preserve">CTP’s research has shown the need to provide an expanded set of options for sexual orientation. Data from </w:t>
      </w:r>
      <w:r w:rsidRPr="009354A9">
        <w:t>FDA/CTP’s This Free Life LGBTQ+ tobacco campaign evaluation (sample n=12,324) (OMB control number 0910-08</w:t>
      </w:r>
      <w:r w:rsidR="000B6FD3">
        <w:t xml:space="preserve">08, fielded </w:t>
      </w:r>
      <w:r w:rsidR="00BD6DD7">
        <w:t>from 2016 to 2019</w:t>
      </w:r>
      <w:r w:rsidRPr="009354A9">
        <w:t xml:space="preserve">) </w:t>
      </w:r>
      <w:r w:rsidRPr="00DD2279" w:rsidR="0069281B">
        <w:t>showed that nearly 10% of the sample identified with a sexual orientation other than lesbian, gay, or bisexual of which most reported using another label such as pansexual or queer.</w:t>
      </w:r>
      <w:r w:rsidRPr="00DD2279" w:rsidR="00453E61">
        <w:t xml:space="preserve"> A recently published </w:t>
      </w:r>
      <w:r w:rsidRPr="00DD2279" w:rsidR="00A61E37">
        <w:t xml:space="preserve">intersectional </w:t>
      </w:r>
      <w:r w:rsidRPr="00DD2279" w:rsidR="00453E61">
        <w:t>analysis using data from this study found</w:t>
      </w:r>
      <w:r w:rsidR="00453E61">
        <w:t xml:space="preserve"> important variations in tobacco</w:t>
      </w:r>
      <w:r w:rsidR="00A61E37">
        <w:t xml:space="preserve"> use across different sexual and gender minority subgroups,</w:t>
      </w:r>
      <w:r>
        <w:rPr>
          <w:rStyle w:val="FootnoteReference"/>
        </w:rPr>
        <w:footnoteReference w:id="8"/>
      </w:r>
      <w:r w:rsidR="00453E61">
        <w:t xml:space="preserve"> </w:t>
      </w:r>
      <w:r w:rsidR="00A61E37">
        <w:t xml:space="preserve">underscoring the need to ensure appropriate inclusion and measurement of these groups in tobacco research. </w:t>
      </w:r>
    </w:p>
    <w:p w:rsidR="002C1D3F" w:rsidRPr="00D46382" w:rsidP="00D86484" w14:paraId="4E39087C" w14:textId="113B27C2">
      <w:pPr>
        <w:pStyle w:val="BodyText0"/>
        <w:ind w:firstLine="0"/>
      </w:pPr>
      <w:bookmarkStart w:id="6" w:name="_Hlk129193422"/>
      <w:bookmarkEnd w:id="5"/>
      <w:r>
        <w:t>Participants may exit the screener</w:t>
      </w:r>
      <w:r w:rsidR="00AA4028">
        <w:t xml:space="preserve"> or survey instrument</w:t>
      </w:r>
      <w:r>
        <w:t xml:space="preserve"> at any time without penalty should they not wish to answer a question or longer wish to participate. I</w:t>
      </w:r>
      <w:r w:rsidRPr="00D46382">
        <w:t xml:space="preserve">f respondents are uncomfortable with any of the questions, they can terminate </w:t>
      </w:r>
      <w:r w:rsidR="00AA4028">
        <w:t>the screener or survey instrument</w:t>
      </w:r>
      <w:r w:rsidRPr="00D46382">
        <w:t xml:space="preserve"> at any time without penalty.</w:t>
      </w:r>
      <w:r w:rsidRPr="00D46382">
        <w:rPr>
          <w:lang w:bidi="en-US"/>
        </w:rPr>
        <w:t xml:space="preserve"> </w:t>
      </w:r>
    </w:p>
    <w:bookmarkEnd w:id="6"/>
    <w:p w:rsidR="00D86484" w:rsidRPr="00EB6BBC" w:rsidP="00D86484" w14:paraId="7D3A6726" w14:textId="77777777">
      <w:pPr>
        <w:pStyle w:val="BodyText0"/>
        <w:ind w:firstLine="0"/>
      </w:pPr>
      <w:r w:rsidRPr="00EB6BBC">
        <w:t>To address any concerns about inadvertent disclosure of sensitive information, respondents will be fully informed of the applicable privacy safeguards.</w:t>
      </w:r>
      <w:r>
        <w:t xml:space="preserve"> </w:t>
      </w:r>
      <w:r w:rsidRPr="00EB6BBC">
        <w:t xml:space="preserve">The </w:t>
      </w:r>
      <w:r>
        <w:t>assent form</w:t>
      </w:r>
      <w:r w:rsidRPr="00EB6BBC">
        <w:t xml:space="preserve"> will apprise respondents that the topic</w:t>
      </w:r>
      <w:r>
        <w:t xml:space="preserve"> of tobacco use</w:t>
      </w:r>
      <w:r w:rsidRPr="00EB6BBC">
        <w:t xml:space="preserve"> will be covered during the survey</w:t>
      </w:r>
      <w:r>
        <w:t xml:space="preserve">. </w:t>
      </w:r>
      <w:r w:rsidRPr="00A35E2D">
        <w:t xml:space="preserve">This study includes </w:t>
      </w:r>
      <w:r w:rsidRPr="00A35E2D">
        <w:t>a number of</w:t>
      </w:r>
      <w:r w:rsidRPr="00A35E2D">
        <w:t xml:space="preserve"> </w:t>
      </w:r>
      <w:r w:rsidRPr="00A35E2D">
        <w:t>procedures and methodological characteristics that will minimize potential negative reactions to these types of questions, including the following:</w:t>
      </w:r>
    </w:p>
    <w:p w:rsidR="00D86484" w:rsidRPr="00EB6BBC" w:rsidP="00D86484" w14:paraId="44940E65" w14:textId="77777777">
      <w:pPr>
        <w:pStyle w:val="ListBullet"/>
      </w:pPr>
      <w:r w:rsidRPr="00EB6BBC">
        <w:t xml:space="preserve">Respondents will be informed that </w:t>
      </w:r>
      <w:r>
        <w:t xml:space="preserve">they do not need participate and that if they choose to participate, </w:t>
      </w:r>
      <w:r w:rsidRPr="00EB6BBC">
        <w:t xml:space="preserve">they </w:t>
      </w:r>
      <w:r>
        <w:t xml:space="preserve">do not </w:t>
      </w:r>
      <w:r w:rsidRPr="00EB6BBC">
        <w:t xml:space="preserve">need answer any question </w:t>
      </w:r>
      <w:r>
        <w:t xml:space="preserve">on the survey (aside from required screening questions) </w:t>
      </w:r>
      <w:r w:rsidRPr="00EB6BBC">
        <w:t>that makes them feel uncomfortable or that they simply do not wish to answer.</w:t>
      </w:r>
    </w:p>
    <w:p w:rsidR="00D86484" w:rsidRPr="00EB6BBC" w:rsidP="00D86484" w14:paraId="7EF9209D" w14:textId="77777777">
      <w:pPr>
        <w:pStyle w:val="ListBullet"/>
      </w:pPr>
      <w:r>
        <w:t>The w</w:t>
      </w:r>
      <w:r w:rsidRPr="00EB6BBC">
        <w:t xml:space="preserve">eb survey </w:t>
      </w:r>
      <w:r>
        <w:t>is</w:t>
      </w:r>
      <w:r w:rsidRPr="00EB6BBC">
        <w:t xml:space="preserve"> entirely self-administered </w:t>
      </w:r>
      <w:r>
        <w:t>to</w:t>
      </w:r>
      <w:r w:rsidRPr="00EB6BBC">
        <w:t xml:space="preserve"> maximize respondent privacy without the need to verbalize responses.</w:t>
      </w:r>
    </w:p>
    <w:p w:rsidR="00D86484" w:rsidP="004950B3" w14:paraId="366524C4" w14:textId="77777777">
      <w:pPr>
        <w:pStyle w:val="ListBullet"/>
      </w:pPr>
      <w:r w:rsidRPr="00EB6BBC">
        <w:t xml:space="preserve">Participants will be provided with a specific toll-free phone number </w:t>
      </w:r>
      <w:r>
        <w:t>for</w:t>
      </w:r>
      <w:r w:rsidRPr="00EB6BBC">
        <w:t xml:space="preserve"> the RTI Office </w:t>
      </w:r>
      <w:r>
        <w:t xml:space="preserve">of Research Protection and the RTI Principal Investigator </w:t>
      </w:r>
      <w:r w:rsidRPr="00EB6BBC">
        <w:t xml:space="preserve">to </w:t>
      </w:r>
      <w:r>
        <w:t>contact</w:t>
      </w:r>
      <w:r w:rsidRPr="00EB6BBC">
        <w:t xml:space="preserve"> in case they have a question or concern about the sensitive issue.</w:t>
      </w:r>
    </w:p>
    <w:p w:rsidR="00587936" w:rsidP="004950B3" w14:paraId="14AE8C96" w14:textId="7B895AF6">
      <w:pPr>
        <w:pStyle w:val="paragraph"/>
        <w:spacing w:before="0" w:beforeAutospacing="0" w:after="0" w:afterAutospacing="0"/>
        <w:textAlignment w:val="baseline"/>
        <w:rPr>
          <w:rFonts w:ascii="Segoe UI" w:hAnsi="Segoe UI" w:cs="Segoe UI"/>
          <w:sz w:val="18"/>
          <w:szCs w:val="18"/>
        </w:rPr>
      </w:pPr>
      <w:r>
        <w:rPr>
          <w:rStyle w:val="normaltextrun"/>
        </w:rPr>
        <w:t>The project team will not conduct or report on statistical analysis for demographic groups for which there is insufficient statistical power. </w:t>
      </w:r>
      <w:r>
        <w:rPr>
          <w:rStyle w:val="eop"/>
        </w:rPr>
        <w:t> </w:t>
      </w:r>
    </w:p>
    <w:p w:rsidR="00005D92" w:rsidP="00005D92" w14:paraId="68C71EF7" w14:textId="77777777">
      <w:pPr>
        <w:pStyle w:val="Heading3"/>
      </w:pPr>
      <w:r w:rsidRPr="002A2B0F">
        <w:t>Estimates of Annualized Burden Hours and Costs</w:t>
      </w:r>
    </w:p>
    <w:p w:rsidR="00005D92" w:rsidRPr="00AD4C50" w:rsidP="00557455" w14:paraId="39FBCDE9" w14:textId="77777777">
      <w:pPr>
        <w:pStyle w:val="Heading4"/>
        <w:spacing w:after="240"/>
      </w:pPr>
      <w:r w:rsidRPr="00AD4C50">
        <w:t xml:space="preserve">12a. </w:t>
      </w:r>
      <w:r w:rsidRPr="00AD4C50">
        <w:rPr>
          <w:i/>
        </w:rPr>
        <w:t>Annualized Hour Burden Estimate</w:t>
      </w:r>
    </w:p>
    <w:p w:rsidR="00005D92" w:rsidP="00005D92" w14:paraId="237C9B5C" w14:textId="468F2C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szCs w:val="24"/>
          <w:lang w:eastAsia="en-US"/>
        </w:rPr>
      </w:pPr>
      <w:r>
        <w:rPr>
          <w:szCs w:val="24"/>
        </w:rPr>
        <w:t xml:space="preserve">An estimated one-time reporting burden for both adults and youth combined for this collection will be approximately </w:t>
      </w:r>
      <w:r w:rsidR="002643A3">
        <w:rPr>
          <w:szCs w:val="24"/>
        </w:rPr>
        <w:t xml:space="preserve">1,000 </w:t>
      </w:r>
      <w:r>
        <w:rPr>
          <w:szCs w:val="24"/>
        </w:rPr>
        <w:t xml:space="preserve">hours (Table 1). This includes a reporting burden of approximately </w:t>
      </w:r>
      <w:r w:rsidR="00D20053">
        <w:rPr>
          <w:szCs w:val="24"/>
        </w:rPr>
        <w:t>250</w:t>
      </w:r>
      <w:r>
        <w:rPr>
          <w:szCs w:val="24"/>
        </w:rPr>
        <w:t xml:space="preserve"> hours for adults and approximately </w:t>
      </w:r>
      <w:r w:rsidR="002643A3">
        <w:rPr>
          <w:szCs w:val="24"/>
        </w:rPr>
        <w:t xml:space="preserve">750 </w:t>
      </w:r>
      <w:r>
        <w:rPr>
          <w:szCs w:val="24"/>
        </w:rPr>
        <w:t xml:space="preserve">hours for youth. The total time burden for adults includes time associated with the parental consent process, which we anticipate will require </w:t>
      </w:r>
      <w:r w:rsidR="00D20053">
        <w:rPr>
          <w:szCs w:val="24"/>
        </w:rPr>
        <w:t>5</w:t>
      </w:r>
      <w:r>
        <w:rPr>
          <w:szCs w:val="24"/>
        </w:rPr>
        <w:t xml:space="preserve"> minutes per response to complete (0.0</w:t>
      </w:r>
      <w:r w:rsidR="00D20053">
        <w:rPr>
          <w:szCs w:val="24"/>
        </w:rPr>
        <w:t>833</w:t>
      </w:r>
      <w:r w:rsidR="00EF350A">
        <w:rPr>
          <w:szCs w:val="24"/>
        </w:rPr>
        <w:t xml:space="preserve"> hours</w:t>
      </w:r>
      <w:r>
        <w:rPr>
          <w:szCs w:val="24"/>
        </w:rPr>
        <w:t xml:space="preserve">). Among youth, we anticipate the assent process will also require </w:t>
      </w:r>
      <w:r w:rsidR="00D20053">
        <w:rPr>
          <w:szCs w:val="24"/>
        </w:rPr>
        <w:t>5</w:t>
      </w:r>
      <w:r>
        <w:rPr>
          <w:szCs w:val="24"/>
        </w:rPr>
        <w:t xml:space="preserve"> minutes per response to complete (0.0</w:t>
      </w:r>
      <w:r w:rsidR="00D20053">
        <w:rPr>
          <w:szCs w:val="24"/>
        </w:rPr>
        <w:t>833</w:t>
      </w:r>
      <w:r w:rsidR="00EF350A">
        <w:rPr>
          <w:szCs w:val="24"/>
        </w:rPr>
        <w:t xml:space="preserve"> hours</w:t>
      </w:r>
      <w:r>
        <w:rPr>
          <w:szCs w:val="24"/>
        </w:rPr>
        <w:t>)</w:t>
      </w:r>
      <w:r w:rsidR="00D20053">
        <w:rPr>
          <w:szCs w:val="24"/>
        </w:rPr>
        <w:t xml:space="preserve">, </w:t>
      </w:r>
      <w:r>
        <w:rPr>
          <w:szCs w:val="24"/>
        </w:rPr>
        <w:t xml:space="preserve">screening will require </w:t>
      </w:r>
      <w:r w:rsidR="00D20053">
        <w:rPr>
          <w:szCs w:val="24"/>
        </w:rPr>
        <w:t>5</w:t>
      </w:r>
      <w:r>
        <w:rPr>
          <w:szCs w:val="24"/>
        </w:rPr>
        <w:t xml:space="preserve"> minutes per response to complete (0.0</w:t>
      </w:r>
      <w:r w:rsidR="00D20053">
        <w:rPr>
          <w:szCs w:val="24"/>
        </w:rPr>
        <w:t>833</w:t>
      </w:r>
      <w:r w:rsidR="00EF350A">
        <w:rPr>
          <w:szCs w:val="24"/>
        </w:rPr>
        <w:t xml:space="preserve"> hours</w:t>
      </w:r>
      <w:r>
        <w:rPr>
          <w:szCs w:val="24"/>
        </w:rPr>
        <w:t>)</w:t>
      </w:r>
      <w:r w:rsidR="00D20053">
        <w:rPr>
          <w:szCs w:val="24"/>
        </w:rPr>
        <w:t>, and the survey will require 20 minutes per response to complete (0.3333</w:t>
      </w:r>
      <w:r w:rsidR="00EF350A">
        <w:rPr>
          <w:szCs w:val="24"/>
        </w:rPr>
        <w:t xml:space="preserve"> hours</w:t>
      </w:r>
      <w:r w:rsidR="00D20053">
        <w:rPr>
          <w:szCs w:val="24"/>
        </w:rPr>
        <w:t>).</w:t>
      </w:r>
    </w:p>
    <w:p w:rsidR="00005D92" w:rsidP="00005D92" w14:paraId="7E60E2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005D92" w:rsidP="00005D92" w14:paraId="65DC414C" w14:textId="6C92A9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 xml:space="preserve">To obtain a final sample of </w:t>
      </w:r>
      <w:r w:rsidR="00D81BA0">
        <w:rPr>
          <w:szCs w:val="24"/>
        </w:rPr>
        <w:t>900</w:t>
      </w:r>
      <w:r>
        <w:rPr>
          <w:szCs w:val="24"/>
        </w:rPr>
        <w:t xml:space="preserve"> youth aged 13-17 who have either </w:t>
      </w:r>
      <w:r w:rsidR="00D81BA0">
        <w:rPr>
          <w:szCs w:val="24"/>
        </w:rPr>
        <w:t>used e-cigarettes or cigarettes</w:t>
      </w:r>
      <w:r>
        <w:rPr>
          <w:szCs w:val="24"/>
        </w:rPr>
        <w:t xml:space="preserve"> or are </w:t>
      </w:r>
      <w:r w:rsidR="00D81BA0">
        <w:rPr>
          <w:szCs w:val="24"/>
        </w:rPr>
        <w:t>susceptible to e-cigarette or cigarette use</w:t>
      </w:r>
      <w:r>
        <w:rPr>
          <w:szCs w:val="24"/>
        </w:rPr>
        <w:t xml:space="preserve">, we </w:t>
      </w:r>
      <w:r w:rsidR="002643A3">
        <w:rPr>
          <w:szCs w:val="24"/>
        </w:rPr>
        <w:t>estimate</w:t>
      </w:r>
      <w:r>
        <w:rPr>
          <w:szCs w:val="24"/>
        </w:rPr>
        <w:t xml:space="preserve"> administer</w:t>
      </w:r>
      <w:r w:rsidR="002643A3">
        <w:rPr>
          <w:szCs w:val="24"/>
        </w:rPr>
        <w:t>ing</w:t>
      </w:r>
      <w:r>
        <w:rPr>
          <w:szCs w:val="24"/>
        </w:rPr>
        <w:t xml:space="preserve"> the study invitation and parental consent to </w:t>
      </w:r>
      <w:r w:rsidR="00D81BA0">
        <w:rPr>
          <w:szCs w:val="24"/>
        </w:rPr>
        <w:t>3,000</w:t>
      </w:r>
      <w:r>
        <w:rPr>
          <w:szCs w:val="24"/>
        </w:rPr>
        <w:t xml:space="preserve"> parents of potential participants. Based on experience from previous surveys, we anticipate about </w:t>
      </w:r>
      <w:r w:rsidR="00EF350A">
        <w:rPr>
          <w:szCs w:val="24"/>
        </w:rPr>
        <w:t>60</w:t>
      </w:r>
      <w:r>
        <w:rPr>
          <w:szCs w:val="24"/>
        </w:rPr>
        <w:t xml:space="preserve">% of parents who review the parental consent form will provide permission for their child to participate in the study. </w:t>
      </w:r>
      <w:r w:rsidR="00EF350A">
        <w:rPr>
          <w:szCs w:val="24"/>
        </w:rPr>
        <w:t xml:space="preserve">For social media recruitment directly to youth ages 15-17, based on previous experience, we anticipate about 10% of youth exposed to </w:t>
      </w:r>
      <w:r w:rsidR="002643A3">
        <w:rPr>
          <w:szCs w:val="24"/>
        </w:rPr>
        <w:t>a</w:t>
      </w:r>
      <w:r w:rsidR="00EF350A">
        <w:rPr>
          <w:szCs w:val="24"/>
        </w:rPr>
        <w:t xml:space="preserve"> recruitment ad </w:t>
      </w:r>
      <w:r w:rsidR="002643A3">
        <w:rPr>
          <w:szCs w:val="24"/>
        </w:rPr>
        <w:t xml:space="preserve">impression </w:t>
      </w:r>
      <w:r w:rsidR="00EF350A">
        <w:rPr>
          <w:szCs w:val="24"/>
        </w:rPr>
        <w:t xml:space="preserve">will click through. </w:t>
      </w:r>
      <w:r>
        <w:rPr>
          <w:szCs w:val="24"/>
        </w:rPr>
        <w:t xml:space="preserve">Of the potential youth participants, we anticipate approximately 40% have either </w:t>
      </w:r>
      <w:r w:rsidR="00D81BA0">
        <w:rPr>
          <w:szCs w:val="24"/>
        </w:rPr>
        <w:t>used e-cigarettes</w:t>
      </w:r>
      <w:r w:rsidR="00D20053">
        <w:rPr>
          <w:szCs w:val="24"/>
        </w:rPr>
        <w:t xml:space="preserve"> or cigarettes</w:t>
      </w:r>
      <w:r>
        <w:rPr>
          <w:szCs w:val="24"/>
        </w:rPr>
        <w:t xml:space="preserve"> or are </w:t>
      </w:r>
      <w:r w:rsidR="00D81BA0">
        <w:rPr>
          <w:szCs w:val="24"/>
        </w:rPr>
        <w:t>susceptible to e-cigarette use</w:t>
      </w:r>
      <w:r w:rsidR="00D20053">
        <w:rPr>
          <w:szCs w:val="24"/>
        </w:rPr>
        <w:t xml:space="preserve"> or cigarette smoking</w:t>
      </w:r>
      <w:r>
        <w:rPr>
          <w:szCs w:val="24"/>
        </w:rPr>
        <w:t xml:space="preserve"> and will consent to participate. </w:t>
      </w:r>
    </w:p>
    <w:p w:rsidR="006536FC" w:rsidP="00005D92" w14:paraId="3DC24419" w14:textId="77777777">
      <w:pPr>
        <w:spacing w:before="100" w:beforeAutospacing="1" w:after="120"/>
        <w:rPr>
          <w:b/>
          <w:bCs/>
          <w:szCs w:val="24"/>
        </w:rPr>
      </w:pPr>
    </w:p>
    <w:p w:rsidR="006536FC" w:rsidP="00005D92" w14:paraId="0A3B45AA" w14:textId="77777777">
      <w:pPr>
        <w:spacing w:before="100" w:beforeAutospacing="1" w:after="120"/>
        <w:rPr>
          <w:b/>
          <w:bCs/>
          <w:szCs w:val="24"/>
        </w:rPr>
      </w:pPr>
    </w:p>
    <w:p w:rsidR="006536FC" w:rsidP="00005D92" w14:paraId="66EE830C" w14:textId="77777777">
      <w:pPr>
        <w:spacing w:before="100" w:beforeAutospacing="1" w:after="120"/>
        <w:rPr>
          <w:b/>
          <w:bCs/>
          <w:szCs w:val="24"/>
        </w:rPr>
      </w:pPr>
    </w:p>
    <w:p w:rsidR="006536FC" w:rsidP="00005D92" w14:paraId="42906D7B" w14:textId="77777777">
      <w:pPr>
        <w:spacing w:before="100" w:beforeAutospacing="1" w:after="120"/>
        <w:rPr>
          <w:b/>
          <w:bCs/>
          <w:szCs w:val="24"/>
        </w:rPr>
      </w:pPr>
    </w:p>
    <w:p w:rsidR="00005D92" w:rsidP="00005D92" w14:paraId="4DC1F3A0" w14:textId="67264776">
      <w:pPr>
        <w:spacing w:before="100" w:beforeAutospacing="1" w:after="120"/>
        <w:rPr>
          <w:b/>
          <w:szCs w:val="24"/>
          <w:vertAlign w:val="superscript"/>
        </w:rPr>
      </w:pPr>
      <w:r>
        <w:rPr>
          <w:b/>
          <w:bCs/>
          <w:szCs w:val="24"/>
        </w:rPr>
        <w:t>Table 1. Estimated Annual Reporting Burden</w:t>
      </w:r>
    </w:p>
    <w:tbl>
      <w:tblPr>
        <w:tblW w:w="9255" w:type="dxa"/>
        <w:tblLayout w:type="fixed"/>
        <w:tblCellMar>
          <w:left w:w="29" w:type="dxa"/>
          <w:right w:w="29" w:type="dxa"/>
        </w:tblCellMar>
        <w:tblLook w:val="00A0"/>
      </w:tblPr>
      <w:tblGrid>
        <w:gridCol w:w="1800"/>
        <w:gridCol w:w="1711"/>
        <w:gridCol w:w="1261"/>
        <w:gridCol w:w="1351"/>
        <w:gridCol w:w="1081"/>
        <w:gridCol w:w="1081"/>
        <w:gridCol w:w="970"/>
      </w:tblGrid>
      <w:tr w14:paraId="3E2ECAD2" w14:textId="77777777" w:rsidTr="00005D92">
        <w:tblPrEx>
          <w:tblW w:w="9255" w:type="dxa"/>
          <w:tblLayout w:type="fixed"/>
          <w:tblCellMar>
            <w:left w:w="29" w:type="dxa"/>
            <w:right w:w="29" w:type="dxa"/>
          </w:tblCellMar>
          <w:tblLook w:val="00A0"/>
        </w:tblPrEx>
        <w:trPr>
          <w:cantSplit/>
        </w:trPr>
        <w:tc>
          <w:tcPr>
            <w:tcW w:w="1800" w:type="dxa"/>
            <w:tcBorders>
              <w:top w:val="single" w:sz="12" w:space="0" w:color="000000" w:themeColor="text1"/>
              <w:left w:val="nil"/>
              <w:bottom w:val="single" w:sz="4" w:space="0" w:color="000000" w:themeColor="text1"/>
              <w:right w:val="nil"/>
            </w:tcBorders>
            <w:vAlign w:val="center"/>
            <w:hideMark/>
          </w:tcPr>
          <w:p w:rsidR="00005D92" w14:paraId="24AC13FF" w14:textId="77777777">
            <w:pPr>
              <w:keepNext/>
              <w:spacing w:before="20" w:after="20"/>
              <w:rPr>
                <w:b/>
                <w:sz w:val="22"/>
              </w:rPr>
            </w:pPr>
            <w:r>
              <w:rPr>
                <w:b/>
                <w:sz w:val="22"/>
              </w:rPr>
              <w:t>Type of Respondent</w:t>
            </w:r>
          </w:p>
        </w:tc>
        <w:tc>
          <w:tcPr>
            <w:tcW w:w="1710" w:type="dxa"/>
            <w:tcBorders>
              <w:top w:val="single" w:sz="12" w:space="0" w:color="000000" w:themeColor="text1"/>
              <w:left w:val="nil"/>
              <w:bottom w:val="single" w:sz="4" w:space="0" w:color="000000" w:themeColor="text1"/>
              <w:right w:val="nil"/>
            </w:tcBorders>
            <w:vAlign w:val="center"/>
            <w:hideMark/>
          </w:tcPr>
          <w:p w:rsidR="00005D92" w14:paraId="7887F36D" w14:textId="77777777">
            <w:pPr>
              <w:keepNext/>
              <w:spacing w:before="20" w:after="20"/>
              <w:jc w:val="center"/>
              <w:rPr>
                <w:b/>
                <w:sz w:val="22"/>
              </w:rPr>
            </w:pPr>
            <w:r>
              <w:rPr>
                <w:b/>
                <w:sz w:val="22"/>
              </w:rPr>
              <w:t>Activity</w:t>
            </w:r>
          </w:p>
        </w:tc>
        <w:tc>
          <w:tcPr>
            <w:tcW w:w="1260" w:type="dxa"/>
            <w:tcBorders>
              <w:top w:val="single" w:sz="12" w:space="0" w:color="000000" w:themeColor="text1"/>
              <w:left w:val="nil"/>
              <w:bottom w:val="single" w:sz="4" w:space="0" w:color="000000" w:themeColor="text1"/>
              <w:right w:val="nil"/>
            </w:tcBorders>
            <w:vAlign w:val="center"/>
            <w:hideMark/>
          </w:tcPr>
          <w:p w:rsidR="00005D92" w14:paraId="12929BFB" w14:textId="77777777">
            <w:pPr>
              <w:keepNext/>
              <w:spacing w:before="20" w:after="20"/>
              <w:jc w:val="center"/>
              <w:rPr>
                <w:b/>
                <w:sz w:val="22"/>
              </w:rPr>
            </w:pPr>
            <w:r>
              <w:rPr>
                <w:b/>
                <w:sz w:val="22"/>
              </w:rPr>
              <w:t>Number of Respondents</w:t>
            </w:r>
          </w:p>
        </w:tc>
        <w:tc>
          <w:tcPr>
            <w:tcW w:w="1350" w:type="dxa"/>
            <w:tcBorders>
              <w:top w:val="single" w:sz="12" w:space="0" w:color="000000" w:themeColor="text1"/>
              <w:left w:val="nil"/>
              <w:bottom w:val="single" w:sz="4" w:space="0" w:color="000000" w:themeColor="text1"/>
              <w:right w:val="nil"/>
            </w:tcBorders>
            <w:vAlign w:val="center"/>
            <w:hideMark/>
          </w:tcPr>
          <w:p w:rsidR="00005D92" w14:paraId="1D769792" w14:textId="77777777">
            <w:pPr>
              <w:keepNext/>
              <w:spacing w:before="20" w:after="20"/>
              <w:jc w:val="center"/>
              <w:rPr>
                <w:b/>
                <w:sz w:val="22"/>
              </w:rPr>
            </w:pPr>
            <w:r>
              <w:rPr>
                <w:b/>
                <w:sz w:val="22"/>
              </w:rPr>
              <w:t>Number of Responses per Respondent</w:t>
            </w:r>
          </w:p>
        </w:tc>
        <w:tc>
          <w:tcPr>
            <w:tcW w:w="1080" w:type="dxa"/>
            <w:tcBorders>
              <w:top w:val="single" w:sz="12" w:space="0" w:color="000000" w:themeColor="text1"/>
              <w:left w:val="nil"/>
              <w:bottom w:val="single" w:sz="4" w:space="0" w:color="000000" w:themeColor="text1"/>
              <w:right w:val="nil"/>
            </w:tcBorders>
            <w:vAlign w:val="center"/>
            <w:hideMark/>
          </w:tcPr>
          <w:p w:rsidR="00005D92" w14:paraId="69A17608" w14:textId="77777777">
            <w:pPr>
              <w:keepNext/>
              <w:spacing w:before="20" w:after="20"/>
              <w:jc w:val="center"/>
              <w:rPr>
                <w:b/>
                <w:sz w:val="22"/>
              </w:rPr>
            </w:pPr>
            <w:r>
              <w:rPr>
                <w:b/>
                <w:sz w:val="22"/>
              </w:rPr>
              <w:t>Total Responses</w:t>
            </w:r>
          </w:p>
        </w:tc>
        <w:tc>
          <w:tcPr>
            <w:tcW w:w="1080" w:type="dxa"/>
            <w:tcBorders>
              <w:top w:val="single" w:sz="12" w:space="0" w:color="000000" w:themeColor="text1"/>
              <w:left w:val="nil"/>
              <w:bottom w:val="single" w:sz="4" w:space="0" w:color="000000" w:themeColor="text1"/>
              <w:right w:val="nil"/>
            </w:tcBorders>
            <w:vAlign w:val="center"/>
            <w:hideMark/>
          </w:tcPr>
          <w:p w:rsidR="00005D92" w14:paraId="723A015F" w14:textId="77777777">
            <w:pPr>
              <w:keepNext/>
              <w:spacing w:before="20" w:after="20"/>
              <w:jc w:val="center"/>
              <w:rPr>
                <w:b/>
                <w:sz w:val="22"/>
              </w:rPr>
            </w:pPr>
            <w:r>
              <w:rPr>
                <w:b/>
                <w:sz w:val="22"/>
              </w:rPr>
              <w:t>Average Burden per Response (in hours)</w:t>
            </w:r>
          </w:p>
        </w:tc>
        <w:tc>
          <w:tcPr>
            <w:tcW w:w="969" w:type="dxa"/>
            <w:tcBorders>
              <w:top w:val="single" w:sz="12" w:space="0" w:color="000000" w:themeColor="text1"/>
              <w:left w:val="nil"/>
              <w:bottom w:val="single" w:sz="4" w:space="0" w:color="000000" w:themeColor="text1"/>
              <w:right w:val="nil"/>
            </w:tcBorders>
            <w:vAlign w:val="center"/>
            <w:hideMark/>
          </w:tcPr>
          <w:p w:rsidR="00005D92" w14:paraId="36538C01" w14:textId="26FF1CC9">
            <w:pPr>
              <w:keepNext/>
              <w:spacing w:before="20" w:after="20"/>
              <w:jc w:val="center"/>
              <w:rPr>
                <w:b/>
                <w:sz w:val="22"/>
              </w:rPr>
            </w:pPr>
            <w:r>
              <w:rPr>
                <w:b/>
                <w:sz w:val="22"/>
              </w:rPr>
              <w:t>Total Hours</w:t>
            </w:r>
          </w:p>
        </w:tc>
      </w:tr>
      <w:tr w14:paraId="2ACB067A" w14:textId="77777777" w:rsidTr="00005D92">
        <w:tblPrEx>
          <w:tblW w:w="9255" w:type="dxa"/>
          <w:tblLayout w:type="fixed"/>
          <w:tblCellMar>
            <w:left w:w="29" w:type="dxa"/>
            <w:right w:w="29" w:type="dxa"/>
          </w:tblCellMar>
          <w:tblLook w:val="00A0"/>
        </w:tblPrEx>
        <w:trPr>
          <w:cantSplit/>
        </w:trPr>
        <w:tc>
          <w:tcPr>
            <w:tcW w:w="1800" w:type="dxa"/>
            <w:tcBorders>
              <w:top w:val="single" w:sz="12" w:space="0" w:color="000000" w:themeColor="text1"/>
              <w:left w:val="nil"/>
              <w:bottom w:val="single" w:sz="4" w:space="0" w:color="000000" w:themeColor="text1"/>
              <w:right w:val="nil"/>
            </w:tcBorders>
            <w:vAlign w:val="center"/>
          </w:tcPr>
          <w:p w:rsidR="00CF639E" w:rsidRPr="00D86484" w14:paraId="05F187DA" w14:textId="7981DF9C">
            <w:pPr>
              <w:keepNext/>
              <w:spacing w:before="20" w:after="20"/>
              <w:rPr>
                <w:bCs/>
                <w:sz w:val="22"/>
              </w:rPr>
            </w:pPr>
            <w:r>
              <w:rPr>
                <w:bCs/>
                <w:sz w:val="22"/>
              </w:rPr>
              <w:t>Youth aged 15-17</w:t>
            </w:r>
          </w:p>
        </w:tc>
        <w:tc>
          <w:tcPr>
            <w:tcW w:w="1710" w:type="dxa"/>
            <w:tcBorders>
              <w:top w:val="single" w:sz="12" w:space="0" w:color="000000" w:themeColor="text1"/>
              <w:left w:val="nil"/>
              <w:bottom w:val="single" w:sz="4" w:space="0" w:color="000000" w:themeColor="text1"/>
              <w:right w:val="nil"/>
            </w:tcBorders>
            <w:vAlign w:val="center"/>
          </w:tcPr>
          <w:p w:rsidR="00CF639E" w:rsidRPr="00D86484" w:rsidP="00D86484" w14:paraId="1DF57A3C" w14:textId="0E5E5BEA">
            <w:pPr>
              <w:keepNext/>
              <w:spacing w:before="20" w:after="20"/>
              <w:rPr>
                <w:bCs/>
                <w:sz w:val="22"/>
              </w:rPr>
            </w:pPr>
            <w:r>
              <w:rPr>
                <w:bCs/>
                <w:sz w:val="22"/>
              </w:rPr>
              <w:t>S</w:t>
            </w:r>
            <w:r>
              <w:rPr>
                <w:bCs/>
                <w:sz w:val="22"/>
              </w:rPr>
              <w:t>ocial media recruitment ad</w:t>
            </w:r>
            <w:r>
              <w:rPr>
                <w:bCs/>
                <w:sz w:val="22"/>
              </w:rPr>
              <w:t xml:space="preserve"> impression</w:t>
            </w:r>
          </w:p>
        </w:tc>
        <w:tc>
          <w:tcPr>
            <w:tcW w:w="1260" w:type="dxa"/>
            <w:tcBorders>
              <w:top w:val="single" w:sz="12" w:space="0" w:color="000000" w:themeColor="text1"/>
              <w:left w:val="nil"/>
              <w:bottom w:val="single" w:sz="4" w:space="0" w:color="000000" w:themeColor="text1"/>
              <w:right w:val="nil"/>
            </w:tcBorders>
            <w:vAlign w:val="center"/>
          </w:tcPr>
          <w:p w:rsidR="00CF639E" w:rsidRPr="00D86484" w:rsidP="00542D30" w14:paraId="6D5F0093" w14:textId="65DCB1FF">
            <w:pPr>
              <w:keepNext/>
              <w:spacing w:before="20" w:after="20"/>
              <w:jc w:val="center"/>
              <w:rPr>
                <w:bCs/>
                <w:sz w:val="22"/>
              </w:rPr>
            </w:pPr>
            <w:r>
              <w:rPr>
                <w:bCs/>
                <w:sz w:val="22"/>
              </w:rPr>
              <w:t>4,500</w:t>
            </w:r>
          </w:p>
        </w:tc>
        <w:tc>
          <w:tcPr>
            <w:tcW w:w="1350" w:type="dxa"/>
            <w:tcBorders>
              <w:top w:val="single" w:sz="12" w:space="0" w:color="000000" w:themeColor="text1"/>
              <w:left w:val="nil"/>
              <w:bottom w:val="single" w:sz="4" w:space="0" w:color="000000" w:themeColor="text1"/>
              <w:right w:val="nil"/>
            </w:tcBorders>
            <w:vAlign w:val="center"/>
          </w:tcPr>
          <w:p w:rsidR="00CF639E" w:rsidRPr="00D86484" w14:paraId="70A5EAC1" w14:textId="77F60DEA">
            <w:pPr>
              <w:keepNext/>
              <w:spacing w:before="20" w:after="20"/>
              <w:jc w:val="center"/>
              <w:rPr>
                <w:bCs/>
                <w:sz w:val="22"/>
              </w:rPr>
            </w:pPr>
            <w:r>
              <w:rPr>
                <w:bCs/>
                <w:sz w:val="22"/>
              </w:rPr>
              <w:t>1</w:t>
            </w:r>
          </w:p>
        </w:tc>
        <w:tc>
          <w:tcPr>
            <w:tcW w:w="1080" w:type="dxa"/>
            <w:tcBorders>
              <w:top w:val="single" w:sz="12" w:space="0" w:color="000000" w:themeColor="text1"/>
              <w:left w:val="nil"/>
              <w:bottom w:val="single" w:sz="4" w:space="0" w:color="000000" w:themeColor="text1"/>
              <w:right w:val="nil"/>
            </w:tcBorders>
            <w:vAlign w:val="center"/>
          </w:tcPr>
          <w:p w:rsidR="00CF639E" w:rsidRPr="00D86484" w14:paraId="282BE8EC" w14:textId="7A50014C">
            <w:pPr>
              <w:keepNext/>
              <w:spacing w:before="20" w:after="20"/>
              <w:jc w:val="center"/>
              <w:rPr>
                <w:bCs/>
                <w:sz w:val="22"/>
              </w:rPr>
            </w:pPr>
            <w:r>
              <w:rPr>
                <w:bCs/>
                <w:sz w:val="22"/>
              </w:rPr>
              <w:t>4,500</w:t>
            </w:r>
          </w:p>
        </w:tc>
        <w:tc>
          <w:tcPr>
            <w:tcW w:w="1080" w:type="dxa"/>
            <w:tcBorders>
              <w:top w:val="single" w:sz="12" w:space="0" w:color="000000" w:themeColor="text1"/>
              <w:left w:val="nil"/>
              <w:bottom w:val="single" w:sz="4" w:space="0" w:color="000000" w:themeColor="text1"/>
              <w:right w:val="nil"/>
            </w:tcBorders>
            <w:vAlign w:val="center"/>
          </w:tcPr>
          <w:p w:rsidR="00CF639E" w14:paraId="3017FB22" w14:textId="77777777">
            <w:pPr>
              <w:keepNext/>
              <w:spacing w:before="20" w:after="20"/>
              <w:jc w:val="center"/>
              <w:rPr>
                <w:bCs/>
                <w:sz w:val="22"/>
              </w:rPr>
            </w:pPr>
            <w:r>
              <w:rPr>
                <w:bCs/>
                <w:sz w:val="22"/>
              </w:rPr>
              <w:t>0.0166</w:t>
            </w:r>
          </w:p>
          <w:p w:rsidR="002643A3" w:rsidRPr="00D86484" w14:paraId="3793747C" w14:textId="111F9BF4">
            <w:pPr>
              <w:keepNext/>
              <w:spacing w:before="20" w:after="20"/>
              <w:jc w:val="center"/>
              <w:rPr>
                <w:bCs/>
                <w:sz w:val="22"/>
              </w:rPr>
            </w:pPr>
            <w:r>
              <w:rPr>
                <w:bCs/>
                <w:sz w:val="22"/>
              </w:rPr>
              <w:t>(1 min)</w:t>
            </w:r>
          </w:p>
        </w:tc>
        <w:tc>
          <w:tcPr>
            <w:tcW w:w="969" w:type="dxa"/>
            <w:tcBorders>
              <w:top w:val="single" w:sz="12" w:space="0" w:color="000000" w:themeColor="text1"/>
              <w:left w:val="nil"/>
              <w:bottom w:val="single" w:sz="4" w:space="0" w:color="000000" w:themeColor="text1"/>
              <w:right w:val="nil"/>
            </w:tcBorders>
            <w:vAlign w:val="center"/>
          </w:tcPr>
          <w:p w:rsidR="00CF639E" w14:paraId="2EE88F37" w14:textId="41B2BD8F">
            <w:pPr>
              <w:keepNext/>
              <w:spacing w:before="20" w:after="20"/>
              <w:jc w:val="center"/>
              <w:rPr>
                <w:b/>
                <w:sz w:val="22"/>
              </w:rPr>
            </w:pPr>
            <w:r>
              <w:rPr>
                <w:b/>
                <w:sz w:val="22"/>
              </w:rPr>
              <w:t>75</w:t>
            </w:r>
          </w:p>
        </w:tc>
      </w:tr>
      <w:tr w14:paraId="5932E008" w14:textId="77777777" w:rsidTr="00005D92">
        <w:tblPrEx>
          <w:tblW w:w="9255" w:type="dxa"/>
          <w:tblLayout w:type="fixed"/>
          <w:tblCellMar>
            <w:left w:w="29" w:type="dxa"/>
            <w:right w:w="29" w:type="dxa"/>
          </w:tblCellMar>
          <w:tblLook w:val="00A0"/>
        </w:tblPrEx>
        <w:trPr>
          <w:cantSplit/>
        </w:trPr>
        <w:tc>
          <w:tcPr>
            <w:tcW w:w="1800" w:type="dxa"/>
            <w:tcBorders>
              <w:top w:val="single" w:sz="4" w:space="0" w:color="000000" w:themeColor="text1"/>
              <w:left w:val="nil"/>
              <w:bottom w:val="single" w:sz="4" w:space="0" w:color="D9D9D9" w:themeColor="background1" w:themeShade="D9"/>
              <w:right w:val="nil"/>
            </w:tcBorders>
            <w:vAlign w:val="center"/>
            <w:hideMark/>
          </w:tcPr>
          <w:p w:rsidR="00005D92" w14:paraId="2427A691" w14:textId="77777777">
            <w:pPr>
              <w:keepNext/>
              <w:spacing w:before="20" w:after="20"/>
              <w:rPr>
                <w:sz w:val="22"/>
              </w:rPr>
            </w:pPr>
            <w:r>
              <w:rPr>
                <w:sz w:val="22"/>
              </w:rPr>
              <w:t>Adult, general population</w:t>
            </w:r>
          </w:p>
        </w:tc>
        <w:tc>
          <w:tcPr>
            <w:tcW w:w="1710" w:type="dxa"/>
            <w:tcBorders>
              <w:top w:val="single" w:sz="4" w:space="0" w:color="000000" w:themeColor="text1"/>
              <w:left w:val="nil"/>
              <w:bottom w:val="single" w:sz="4" w:space="0" w:color="D9D9D9" w:themeColor="background1" w:themeShade="D9"/>
              <w:right w:val="nil"/>
            </w:tcBorders>
            <w:vAlign w:val="center"/>
            <w:hideMark/>
          </w:tcPr>
          <w:p w:rsidR="00005D92" w14:paraId="202DDF12" w14:textId="77777777">
            <w:pPr>
              <w:keepNext/>
              <w:spacing w:before="20" w:after="20"/>
              <w:rPr>
                <w:sz w:val="22"/>
              </w:rPr>
            </w:pPr>
            <w:r>
              <w:rPr>
                <w:sz w:val="22"/>
              </w:rPr>
              <w:t xml:space="preserve">Invitation and Parental Consent </w:t>
            </w:r>
          </w:p>
        </w:tc>
        <w:tc>
          <w:tcPr>
            <w:tcW w:w="1260" w:type="dxa"/>
            <w:tcBorders>
              <w:top w:val="single" w:sz="4" w:space="0" w:color="000000" w:themeColor="text1"/>
              <w:left w:val="nil"/>
              <w:bottom w:val="single" w:sz="4" w:space="0" w:color="D9D9D9" w:themeColor="background1" w:themeShade="D9"/>
              <w:right w:val="nil"/>
            </w:tcBorders>
            <w:vAlign w:val="center"/>
            <w:hideMark/>
          </w:tcPr>
          <w:p w:rsidR="00005D92" w:rsidP="00542D30" w14:paraId="1AD37994" w14:textId="1017ADE2">
            <w:pPr>
              <w:keepNext/>
              <w:tabs>
                <w:tab w:val="decimal" w:pos="0"/>
              </w:tabs>
              <w:spacing w:before="20" w:after="20"/>
              <w:jc w:val="center"/>
              <w:rPr>
                <w:sz w:val="22"/>
              </w:rPr>
            </w:pPr>
            <w:r>
              <w:rPr>
                <w:sz w:val="22"/>
              </w:rPr>
              <w:t>3</w:t>
            </w:r>
            <w:r>
              <w:rPr>
                <w:sz w:val="22"/>
              </w:rPr>
              <w:t>,000</w:t>
            </w:r>
          </w:p>
        </w:tc>
        <w:tc>
          <w:tcPr>
            <w:tcW w:w="1350" w:type="dxa"/>
            <w:tcBorders>
              <w:top w:val="single" w:sz="4" w:space="0" w:color="000000" w:themeColor="text1"/>
              <w:left w:val="nil"/>
              <w:bottom w:val="single" w:sz="4" w:space="0" w:color="D9D9D9" w:themeColor="background1" w:themeShade="D9"/>
              <w:right w:val="nil"/>
            </w:tcBorders>
            <w:vAlign w:val="center"/>
            <w:hideMark/>
          </w:tcPr>
          <w:p w:rsidR="00005D92" w14:paraId="3DEBD38B" w14:textId="77777777">
            <w:pPr>
              <w:keepNext/>
              <w:spacing w:before="20" w:after="20"/>
              <w:jc w:val="center"/>
              <w:rPr>
                <w:sz w:val="22"/>
              </w:rPr>
            </w:pPr>
            <w:r>
              <w:rPr>
                <w:sz w:val="22"/>
              </w:rPr>
              <w:t>1</w:t>
            </w:r>
          </w:p>
        </w:tc>
        <w:tc>
          <w:tcPr>
            <w:tcW w:w="1080" w:type="dxa"/>
            <w:tcBorders>
              <w:top w:val="single" w:sz="4" w:space="0" w:color="000000" w:themeColor="text1"/>
              <w:left w:val="nil"/>
              <w:bottom w:val="single" w:sz="4" w:space="0" w:color="D9D9D9" w:themeColor="background1" w:themeShade="D9"/>
              <w:right w:val="nil"/>
            </w:tcBorders>
            <w:vAlign w:val="center"/>
            <w:hideMark/>
          </w:tcPr>
          <w:p w:rsidR="00005D92" w14:paraId="1B1F5EDB" w14:textId="3A9A42E1">
            <w:pPr>
              <w:keepNext/>
              <w:tabs>
                <w:tab w:val="decimal" w:pos="710"/>
              </w:tabs>
              <w:spacing w:before="20" w:after="20"/>
              <w:rPr>
                <w:sz w:val="22"/>
              </w:rPr>
            </w:pPr>
            <w:r>
              <w:rPr>
                <w:sz w:val="22"/>
              </w:rPr>
              <w:t>3,000</w:t>
            </w:r>
          </w:p>
        </w:tc>
        <w:tc>
          <w:tcPr>
            <w:tcW w:w="1080" w:type="dxa"/>
            <w:tcBorders>
              <w:top w:val="single" w:sz="4" w:space="0" w:color="000000" w:themeColor="text1"/>
              <w:left w:val="nil"/>
              <w:bottom w:val="single" w:sz="4" w:space="0" w:color="D9D9D9" w:themeColor="background1" w:themeShade="D9"/>
              <w:right w:val="nil"/>
            </w:tcBorders>
            <w:vAlign w:val="center"/>
            <w:hideMark/>
          </w:tcPr>
          <w:p w:rsidR="00F97C60" w:rsidP="00542D30" w14:paraId="5CDFE45B" w14:textId="1DC960AB">
            <w:pPr>
              <w:keepNext/>
              <w:tabs>
                <w:tab w:val="decimal" w:pos="0"/>
              </w:tabs>
              <w:spacing w:before="20" w:after="20"/>
              <w:jc w:val="center"/>
              <w:rPr>
                <w:sz w:val="22"/>
              </w:rPr>
            </w:pPr>
            <w:r>
              <w:rPr>
                <w:sz w:val="22"/>
              </w:rPr>
              <w:t>0.0</w:t>
            </w:r>
            <w:r w:rsidR="00D20053">
              <w:rPr>
                <w:sz w:val="22"/>
              </w:rPr>
              <w:t>833</w:t>
            </w:r>
          </w:p>
          <w:p w:rsidR="00005D92" w:rsidP="00542D30" w14:paraId="1D86A57E" w14:textId="61BE4EBF">
            <w:pPr>
              <w:keepNext/>
              <w:tabs>
                <w:tab w:val="decimal" w:pos="0"/>
              </w:tabs>
              <w:spacing w:before="20" w:after="20"/>
              <w:jc w:val="center"/>
              <w:rPr>
                <w:sz w:val="22"/>
              </w:rPr>
            </w:pPr>
            <w:r>
              <w:rPr>
                <w:sz w:val="22"/>
              </w:rPr>
              <w:t>(5 min)</w:t>
            </w:r>
          </w:p>
        </w:tc>
        <w:tc>
          <w:tcPr>
            <w:tcW w:w="969" w:type="dxa"/>
            <w:tcBorders>
              <w:top w:val="single" w:sz="4" w:space="0" w:color="000000" w:themeColor="text1"/>
              <w:left w:val="nil"/>
              <w:bottom w:val="single" w:sz="4" w:space="0" w:color="D9D9D9" w:themeColor="background1" w:themeShade="D9"/>
              <w:right w:val="nil"/>
            </w:tcBorders>
            <w:vAlign w:val="center"/>
            <w:hideMark/>
          </w:tcPr>
          <w:p w:rsidR="00005D92" w14:paraId="51879383" w14:textId="6E555E7D">
            <w:pPr>
              <w:jc w:val="center"/>
              <w:rPr>
                <w:b/>
                <w:sz w:val="22"/>
              </w:rPr>
            </w:pPr>
            <w:r>
              <w:rPr>
                <w:b/>
                <w:sz w:val="22"/>
              </w:rPr>
              <w:t>250</w:t>
            </w:r>
          </w:p>
        </w:tc>
      </w:tr>
      <w:tr w14:paraId="3D384EBE" w14:textId="77777777" w:rsidTr="00005D92">
        <w:tblPrEx>
          <w:tblW w:w="9255" w:type="dxa"/>
          <w:tblLayout w:type="fixed"/>
          <w:tblCellMar>
            <w:left w:w="29" w:type="dxa"/>
            <w:right w:w="29" w:type="dxa"/>
          </w:tblCellMar>
          <w:tblLook w:val="00A0"/>
        </w:tblPrEx>
        <w:trPr>
          <w:cantSplit/>
          <w:trHeight w:val="478"/>
        </w:trPr>
        <w:tc>
          <w:tcPr>
            <w:tcW w:w="9249" w:type="dxa"/>
            <w:gridSpan w:val="7"/>
            <w:tcBorders>
              <w:top w:val="single" w:sz="4" w:space="0" w:color="D9D9D9" w:themeColor="background1" w:themeShade="D9"/>
              <w:left w:val="nil"/>
              <w:bottom w:val="single" w:sz="4" w:space="0" w:color="D9D9D9" w:themeColor="background1" w:themeShade="D9"/>
              <w:right w:val="nil"/>
            </w:tcBorders>
            <w:vAlign w:val="center"/>
            <w:hideMark/>
          </w:tcPr>
          <w:p w:rsidR="00005D92" w:rsidP="00542D30" w14:paraId="0FC96BC6" w14:textId="77777777">
            <w:pPr>
              <w:rPr>
                <w:b/>
                <w:sz w:val="22"/>
              </w:rPr>
            </w:pPr>
            <w:r>
              <w:rPr>
                <w:b/>
                <w:sz w:val="22"/>
              </w:rPr>
              <w:t>Screened Potential Participants</w:t>
            </w:r>
          </w:p>
        </w:tc>
      </w:tr>
      <w:tr w14:paraId="7997227E" w14:textId="77777777" w:rsidTr="00005D92">
        <w:tblPrEx>
          <w:tblW w:w="9255" w:type="dxa"/>
          <w:tblLayout w:type="fixed"/>
          <w:tblCellMar>
            <w:left w:w="29" w:type="dxa"/>
            <w:right w:w="29" w:type="dxa"/>
          </w:tblCellMar>
          <w:tblLook w:val="00A0"/>
        </w:tblPrEx>
        <w:trPr>
          <w:cantSplit/>
          <w:trHeight w:val="534"/>
        </w:trPr>
        <w:tc>
          <w:tcPr>
            <w:tcW w:w="1800" w:type="dxa"/>
            <w:tcBorders>
              <w:top w:val="single" w:sz="4" w:space="0" w:color="D9D9D9" w:themeColor="background1" w:themeShade="D9"/>
              <w:left w:val="nil"/>
              <w:bottom w:val="single" w:sz="4" w:space="0" w:color="D9D9D9" w:themeColor="background1" w:themeShade="D9"/>
              <w:right w:val="nil"/>
            </w:tcBorders>
            <w:vAlign w:val="center"/>
            <w:hideMark/>
          </w:tcPr>
          <w:p w:rsidR="00005D92" w14:paraId="34319143" w14:textId="77777777">
            <w:pPr>
              <w:keepNext/>
              <w:spacing w:before="20" w:after="20"/>
              <w:rPr>
                <w:sz w:val="22"/>
              </w:rPr>
            </w:pPr>
            <w:r>
              <w:rPr>
                <w:sz w:val="22"/>
              </w:rPr>
              <w:t xml:space="preserve">Youth aged </w:t>
            </w:r>
            <w:r>
              <w:rPr>
                <w:sz w:val="22"/>
              </w:rPr>
              <w:br/>
              <w:t xml:space="preserve">13 to 17 </w:t>
            </w:r>
          </w:p>
        </w:tc>
        <w:tc>
          <w:tcPr>
            <w:tcW w:w="1710" w:type="dxa"/>
            <w:tcBorders>
              <w:top w:val="single" w:sz="4" w:space="0" w:color="D9D9D9" w:themeColor="background1" w:themeShade="D9"/>
              <w:left w:val="nil"/>
              <w:bottom w:val="single" w:sz="4" w:space="0" w:color="D9D9D9" w:themeColor="background1" w:themeShade="D9"/>
              <w:right w:val="nil"/>
            </w:tcBorders>
            <w:vAlign w:val="center"/>
            <w:hideMark/>
          </w:tcPr>
          <w:p w:rsidR="00005D92" w14:paraId="6C9E80B1" w14:textId="77777777">
            <w:pPr>
              <w:keepNext/>
              <w:spacing w:before="20" w:after="20"/>
              <w:rPr>
                <w:sz w:val="22"/>
              </w:rPr>
            </w:pPr>
            <w:r>
              <w:rPr>
                <w:sz w:val="22"/>
              </w:rPr>
              <w:t xml:space="preserve">Youth Assent </w:t>
            </w:r>
          </w:p>
        </w:tc>
        <w:tc>
          <w:tcPr>
            <w:tcW w:w="1260" w:type="dxa"/>
            <w:tcBorders>
              <w:top w:val="single" w:sz="4" w:space="0" w:color="D9D9D9" w:themeColor="background1" w:themeShade="D9"/>
              <w:left w:val="nil"/>
              <w:bottom w:val="single" w:sz="4" w:space="0" w:color="D9D9D9" w:themeColor="background1" w:themeShade="D9"/>
              <w:right w:val="nil"/>
            </w:tcBorders>
            <w:vAlign w:val="center"/>
            <w:hideMark/>
          </w:tcPr>
          <w:p w:rsidR="00005D92" w:rsidP="00542D30" w14:paraId="17BBFFD6" w14:textId="3168E112">
            <w:pPr>
              <w:keepNext/>
              <w:tabs>
                <w:tab w:val="decimal" w:pos="0"/>
              </w:tabs>
              <w:spacing w:before="20" w:after="20"/>
              <w:jc w:val="center"/>
              <w:rPr>
                <w:sz w:val="22"/>
              </w:rPr>
            </w:pPr>
            <w:r>
              <w:rPr>
                <w:sz w:val="22"/>
              </w:rPr>
              <w:t>2,250</w:t>
            </w:r>
          </w:p>
        </w:tc>
        <w:tc>
          <w:tcPr>
            <w:tcW w:w="1350" w:type="dxa"/>
            <w:tcBorders>
              <w:top w:val="single" w:sz="4" w:space="0" w:color="D9D9D9" w:themeColor="background1" w:themeShade="D9"/>
              <w:left w:val="nil"/>
              <w:bottom w:val="single" w:sz="4" w:space="0" w:color="D9D9D9" w:themeColor="background1" w:themeShade="D9"/>
              <w:right w:val="nil"/>
            </w:tcBorders>
            <w:vAlign w:val="center"/>
            <w:hideMark/>
          </w:tcPr>
          <w:p w:rsidR="00005D92" w14:paraId="22528032" w14:textId="77777777">
            <w:pPr>
              <w:keepNext/>
              <w:spacing w:before="20" w:after="20"/>
              <w:jc w:val="center"/>
              <w:rPr>
                <w:sz w:val="22"/>
              </w:rPr>
            </w:pPr>
            <w:r>
              <w:rPr>
                <w:sz w:val="22"/>
              </w:rPr>
              <w:t>1</w:t>
            </w:r>
          </w:p>
        </w:tc>
        <w:tc>
          <w:tcPr>
            <w:tcW w:w="1080" w:type="dxa"/>
            <w:tcBorders>
              <w:top w:val="single" w:sz="4" w:space="0" w:color="D9D9D9" w:themeColor="background1" w:themeShade="D9"/>
              <w:left w:val="nil"/>
              <w:bottom w:val="single" w:sz="4" w:space="0" w:color="D9D9D9" w:themeColor="background1" w:themeShade="D9"/>
              <w:right w:val="nil"/>
            </w:tcBorders>
            <w:vAlign w:val="center"/>
            <w:hideMark/>
          </w:tcPr>
          <w:p w:rsidR="00005D92" w14:paraId="520CD4A1" w14:textId="796BFD28">
            <w:pPr>
              <w:keepNext/>
              <w:tabs>
                <w:tab w:val="decimal" w:pos="710"/>
              </w:tabs>
              <w:spacing w:before="20" w:after="20"/>
              <w:rPr>
                <w:sz w:val="22"/>
              </w:rPr>
            </w:pPr>
            <w:r>
              <w:rPr>
                <w:sz w:val="22"/>
              </w:rPr>
              <w:t>2,250</w:t>
            </w:r>
          </w:p>
        </w:tc>
        <w:tc>
          <w:tcPr>
            <w:tcW w:w="1080" w:type="dxa"/>
            <w:tcBorders>
              <w:top w:val="single" w:sz="4" w:space="0" w:color="D9D9D9" w:themeColor="background1" w:themeShade="D9"/>
              <w:left w:val="nil"/>
              <w:bottom w:val="single" w:sz="4" w:space="0" w:color="D9D9D9" w:themeColor="background1" w:themeShade="D9"/>
              <w:right w:val="nil"/>
            </w:tcBorders>
            <w:vAlign w:val="center"/>
            <w:hideMark/>
          </w:tcPr>
          <w:p w:rsidR="00CF639E" w:rsidP="00542D30" w14:paraId="13ADC85D" w14:textId="77777777">
            <w:pPr>
              <w:keepNext/>
              <w:tabs>
                <w:tab w:val="decimal" w:pos="0"/>
              </w:tabs>
              <w:spacing w:before="20" w:after="20"/>
              <w:jc w:val="center"/>
              <w:rPr>
                <w:sz w:val="22"/>
              </w:rPr>
            </w:pPr>
            <w:r>
              <w:rPr>
                <w:sz w:val="22"/>
              </w:rPr>
              <w:t>0.0833</w:t>
            </w:r>
          </w:p>
          <w:p w:rsidR="00005D92" w:rsidP="00542D30" w14:paraId="514615DB" w14:textId="1864014E">
            <w:pPr>
              <w:keepNext/>
              <w:spacing w:before="20" w:after="20"/>
              <w:jc w:val="center"/>
              <w:rPr>
                <w:sz w:val="22"/>
              </w:rPr>
            </w:pPr>
            <w:r>
              <w:rPr>
                <w:sz w:val="22"/>
              </w:rPr>
              <w:t>(5 min)</w:t>
            </w:r>
          </w:p>
        </w:tc>
        <w:tc>
          <w:tcPr>
            <w:tcW w:w="969" w:type="dxa"/>
            <w:tcBorders>
              <w:top w:val="single" w:sz="4" w:space="0" w:color="D9D9D9" w:themeColor="background1" w:themeShade="D9"/>
              <w:left w:val="nil"/>
              <w:bottom w:val="single" w:sz="4" w:space="0" w:color="D9D9D9" w:themeColor="background1" w:themeShade="D9"/>
              <w:right w:val="nil"/>
            </w:tcBorders>
            <w:vAlign w:val="center"/>
            <w:hideMark/>
          </w:tcPr>
          <w:p w:rsidR="00005D92" w14:paraId="08C14595" w14:textId="33C4BC76">
            <w:pPr>
              <w:jc w:val="center"/>
              <w:rPr>
                <w:b/>
                <w:sz w:val="22"/>
              </w:rPr>
            </w:pPr>
            <w:r>
              <w:rPr>
                <w:b/>
                <w:sz w:val="22"/>
              </w:rPr>
              <w:t>187.5</w:t>
            </w:r>
          </w:p>
        </w:tc>
      </w:tr>
      <w:tr w14:paraId="23DC4CCD" w14:textId="77777777" w:rsidTr="00005D92">
        <w:tblPrEx>
          <w:tblW w:w="9255" w:type="dxa"/>
          <w:tblLayout w:type="fixed"/>
          <w:tblCellMar>
            <w:left w:w="29" w:type="dxa"/>
            <w:right w:w="29" w:type="dxa"/>
          </w:tblCellMar>
          <w:tblLook w:val="00A0"/>
        </w:tblPrEx>
        <w:trPr>
          <w:cantSplit/>
          <w:trHeight w:val="534"/>
        </w:trPr>
        <w:tc>
          <w:tcPr>
            <w:tcW w:w="1800" w:type="dxa"/>
            <w:tcBorders>
              <w:top w:val="single" w:sz="4" w:space="0" w:color="D9D9D9" w:themeColor="background1" w:themeShade="D9"/>
              <w:left w:val="nil"/>
              <w:bottom w:val="single" w:sz="4" w:space="0" w:color="D9D9D9" w:themeColor="background1" w:themeShade="D9"/>
              <w:right w:val="nil"/>
            </w:tcBorders>
            <w:vAlign w:val="center"/>
            <w:hideMark/>
          </w:tcPr>
          <w:p w:rsidR="00005D92" w14:paraId="361332E9" w14:textId="77777777">
            <w:pPr>
              <w:keepNext/>
              <w:spacing w:before="20" w:after="20"/>
              <w:rPr>
                <w:sz w:val="22"/>
              </w:rPr>
            </w:pPr>
            <w:r>
              <w:rPr>
                <w:sz w:val="22"/>
              </w:rPr>
              <w:t xml:space="preserve">Youth aged </w:t>
            </w:r>
            <w:r>
              <w:rPr>
                <w:sz w:val="22"/>
              </w:rPr>
              <w:br/>
              <w:t>13 to 17</w:t>
            </w:r>
          </w:p>
        </w:tc>
        <w:tc>
          <w:tcPr>
            <w:tcW w:w="1710" w:type="dxa"/>
            <w:tcBorders>
              <w:top w:val="single" w:sz="4" w:space="0" w:color="D9D9D9" w:themeColor="background1" w:themeShade="D9"/>
              <w:left w:val="nil"/>
              <w:bottom w:val="single" w:sz="4" w:space="0" w:color="D9D9D9" w:themeColor="background1" w:themeShade="D9"/>
              <w:right w:val="nil"/>
            </w:tcBorders>
            <w:vAlign w:val="center"/>
            <w:hideMark/>
          </w:tcPr>
          <w:p w:rsidR="00005D92" w14:paraId="1994E74B" w14:textId="77777777">
            <w:pPr>
              <w:keepNext/>
              <w:spacing w:before="20" w:after="20"/>
              <w:rPr>
                <w:sz w:val="22"/>
              </w:rPr>
            </w:pPr>
            <w:r>
              <w:rPr>
                <w:sz w:val="22"/>
              </w:rPr>
              <w:t>Youth Screening</w:t>
            </w:r>
          </w:p>
        </w:tc>
        <w:tc>
          <w:tcPr>
            <w:tcW w:w="1260" w:type="dxa"/>
            <w:tcBorders>
              <w:top w:val="single" w:sz="4" w:space="0" w:color="D9D9D9" w:themeColor="background1" w:themeShade="D9"/>
              <w:left w:val="nil"/>
              <w:bottom w:val="single" w:sz="4" w:space="0" w:color="D9D9D9" w:themeColor="background1" w:themeShade="D9"/>
              <w:right w:val="nil"/>
            </w:tcBorders>
            <w:vAlign w:val="center"/>
            <w:hideMark/>
          </w:tcPr>
          <w:p w:rsidR="00005D92" w:rsidP="00542D30" w14:paraId="0079E923" w14:textId="751B2E95">
            <w:pPr>
              <w:keepNext/>
              <w:tabs>
                <w:tab w:val="decimal" w:pos="0"/>
              </w:tabs>
              <w:spacing w:before="20" w:after="20"/>
              <w:jc w:val="center"/>
              <w:rPr>
                <w:sz w:val="22"/>
              </w:rPr>
            </w:pPr>
            <w:r>
              <w:rPr>
                <w:sz w:val="22"/>
              </w:rPr>
              <w:t>2,250</w:t>
            </w:r>
          </w:p>
        </w:tc>
        <w:tc>
          <w:tcPr>
            <w:tcW w:w="1350" w:type="dxa"/>
            <w:tcBorders>
              <w:top w:val="single" w:sz="4" w:space="0" w:color="D9D9D9" w:themeColor="background1" w:themeShade="D9"/>
              <w:left w:val="nil"/>
              <w:bottom w:val="single" w:sz="4" w:space="0" w:color="D9D9D9" w:themeColor="background1" w:themeShade="D9"/>
              <w:right w:val="nil"/>
            </w:tcBorders>
            <w:vAlign w:val="center"/>
            <w:hideMark/>
          </w:tcPr>
          <w:p w:rsidR="00005D92" w14:paraId="5FF1A2BA" w14:textId="77777777">
            <w:pPr>
              <w:keepNext/>
              <w:spacing w:before="20" w:after="20"/>
              <w:jc w:val="center"/>
              <w:rPr>
                <w:sz w:val="22"/>
              </w:rPr>
            </w:pPr>
            <w:r>
              <w:rPr>
                <w:sz w:val="22"/>
              </w:rPr>
              <w:t>1</w:t>
            </w:r>
          </w:p>
        </w:tc>
        <w:tc>
          <w:tcPr>
            <w:tcW w:w="1080" w:type="dxa"/>
            <w:tcBorders>
              <w:top w:val="single" w:sz="4" w:space="0" w:color="D9D9D9" w:themeColor="background1" w:themeShade="D9"/>
              <w:left w:val="nil"/>
              <w:bottom w:val="single" w:sz="4" w:space="0" w:color="D9D9D9" w:themeColor="background1" w:themeShade="D9"/>
              <w:right w:val="nil"/>
            </w:tcBorders>
            <w:vAlign w:val="center"/>
            <w:hideMark/>
          </w:tcPr>
          <w:p w:rsidR="00005D92" w14:paraId="53FCB08F" w14:textId="57732F7F">
            <w:pPr>
              <w:keepNext/>
              <w:tabs>
                <w:tab w:val="decimal" w:pos="710"/>
              </w:tabs>
              <w:spacing w:before="20" w:after="20"/>
              <w:rPr>
                <w:sz w:val="22"/>
              </w:rPr>
            </w:pPr>
            <w:r>
              <w:rPr>
                <w:sz w:val="22"/>
              </w:rPr>
              <w:t>2,250</w:t>
            </w:r>
          </w:p>
        </w:tc>
        <w:tc>
          <w:tcPr>
            <w:tcW w:w="1080" w:type="dxa"/>
            <w:tcBorders>
              <w:top w:val="single" w:sz="4" w:space="0" w:color="D9D9D9" w:themeColor="background1" w:themeShade="D9"/>
              <w:left w:val="nil"/>
              <w:bottom w:val="single" w:sz="4" w:space="0" w:color="D9D9D9" w:themeColor="background1" w:themeShade="D9"/>
              <w:right w:val="nil"/>
            </w:tcBorders>
            <w:vAlign w:val="center"/>
            <w:hideMark/>
          </w:tcPr>
          <w:p w:rsidR="00005D92" w:rsidP="00542D30" w14:paraId="7372A1D5" w14:textId="77777777">
            <w:pPr>
              <w:keepNext/>
              <w:tabs>
                <w:tab w:val="decimal" w:pos="0"/>
              </w:tabs>
              <w:spacing w:before="20" w:after="20"/>
              <w:jc w:val="center"/>
              <w:rPr>
                <w:sz w:val="22"/>
              </w:rPr>
            </w:pPr>
            <w:r>
              <w:rPr>
                <w:sz w:val="22"/>
              </w:rPr>
              <w:t>0.0833</w:t>
            </w:r>
          </w:p>
          <w:p w:rsidR="00CF639E" w:rsidP="00542D30" w14:paraId="200E2DFA" w14:textId="6EE8ED16">
            <w:pPr>
              <w:keepNext/>
              <w:tabs>
                <w:tab w:val="decimal" w:pos="0"/>
              </w:tabs>
              <w:spacing w:before="20" w:after="20"/>
              <w:jc w:val="center"/>
              <w:rPr>
                <w:sz w:val="22"/>
              </w:rPr>
            </w:pPr>
            <w:r>
              <w:rPr>
                <w:sz w:val="22"/>
              </w:rPr>
              <w:t>(5 min)</w:t>
            </w:r>
          </w:p>
        </w:tc>
        <w:tc>
          <w:tcPr>
            <w:tcW w:w="969" w:type="dxa"/>
            <w:tcBorders>
              <w:top w:val="single" w:sz="4" w:space="0" w:color="D9D9D9" w:themeColor="background1" w:themeShade="D9"/>
              <w:left w:val="nil"/>
              <w:bottom w:val="single" w:sz="4" w:space="0" w:color="D9D9D9" w:themeColor="background1" w:themeShade="D9"/>
              <w:right w:val="nil"/>
            </w:tcBorders>
            <w:vAlign w:val="center"/>
            <w:hideMark/>
          </w:tcPr>
          <w:p w:rsidR="00005D92" w14:paraId="5B0682FF" w14:textId="529C2EBB">
            <w:pPr>
              <w:jc w:val="center"/>
              <w:rPr>
                <w:b/>
                <w:sz w:val="22"/>
              </w:rPr>
            </w:pPr>
            <w:r>
              <w:rPr>
                <w:b/>
                <w:sz w:val="22"/>
              </w:rPr>
              <w:t>187.5</w:t>
            </w:r>
          </w:p>
        </w:tc>
      </w:tr>
      <w:tr w14:paraId="6E53EB45" w14:textId="77777777" w:rsidTr="00005D92">
        <w:tblPrEx>
          <w:tblW w:w="9255" w:type="dxa"/>
          <w:tblLayout w:type="fixed"/>
          <w:tblCellMar>
            <w:left w:w="29" w:type="dxa"/>
            <w:right w:w="29" w:type="dxa"/>
          </w:tblCellMar>
          <w:tblLook w:val="00A0"/>
        </w:tblPrEx>
        <w:trPr>
          <w:cantSplit/>
          <w:trHeight w:val="475"/>
        </w:trPr>
        <w:tc>
          <w:tcPr>
            <w:tcW w:w="9249" w:type="dxa"/>
            <w:gridSpan w:val="7"/>
            <w:tcBorders>
              <w:top w:val="single" w:sz="4" w:space="0" w:color="D9D9D9" w:themeColor="background1" w:themeShade="D9"/>
              <w:left w:val="nil"/>
              <w:bottom w:val="single" w:sz="4" w:space="0" w:color="D9D9D9" w:themeColor="background1" w:themeShade="D9"/>
              <w:right w:val="nil"/>
            </w:tcBorders>
            <w:vAlign w:val="center"/>
            <w:hideMark/>
          </w:tcPr>
          <w:p w:rsidR="00005D92" w:rsidP="00542D30" w14:paraId="557B17FB" w14:textId="77777777">
            <w:pPr>
              <w:rPr>
                <w:b/>
                <w:sz w:val="22"/>
              </w:rPr>
            </w:pPr>
            <w:r>
              <w:rPr>
                <w:b/>
                <w:sz w:val="22"/>
              </w:rPr>
              <w:t>Survey Participants</w:t>
            </w:r>
          </w:p>
        </w:tc>
      </w:tr>
      <w:tr w14:paraId="556C2C5F" w14:textId="77777777" w:rsidTr="00005D92">
        <w:tblPrEx>
          <w:tblW w:w="9255" w:type="dxa"/>
          <w:tblLayout w:type="fixed"/>
          <w:tblCellMar>
            <w:left w:w="29" w:type="dxa"/>
            <w:right w:w="29" w:type="dxa"/>
          </w:tblCellMar>
          <w:tblLook w:val="00A0"/>
        </w:tblPrEx>
        <w:trPr>
          <w:cantSplit/>
        </w:trPr>
        <w:tc>
          <w:tcPr>
            <w:tcW w:w="1800" w:type="dxa"/>
            <w:tcBorders>
              <w:top w:val="single" w:sz="4" w:space="0" w:color="D9D9D9" w:themeColor="background1" w:themeShade="D9"/>
              <w:left w:val="nil"/>
              <w:bottom w:val="single" w:sz="4" w:space="0" w:color="auto"/>
              <w:right w:val="nil"/>
            </w:tcBorders>
            <w:vAlign w:val="center"/>
            <w:hideMark/>
          </w:tcPr>
          <w:p w:rsidR="00005D92" w14:paraId="2475B645" w14:textId="77777777">
            <w:pPr>
              <w:keepNext/>
              <w:spacing w:before="20" w:after="20"/>
              <w:rPr>
                <w:sz w:val="22"/>
              </w:rPr>
            </w:pPr>
            <w:r>
              <w:rPr>
                <w:sz w:val="22"/>
              </w:rPr>
              <w:t xml:space="preserve">Youth aged </w:t>
            </w:r>
            <w:r>
              <w:rPr>
                <w:sz w:val="22"/>
              </w:rPr>
              <w:br/>
              <w:t xml:space="preserve">13 to 17  </w:t>
            </w:r>
          </w:p>
        </w:tc>
        <w:tc>
          <w:tcPr>
            <w:tcW w:w="1710" w:type="dxa"/>
            <w:tcBorders>
              <w:top w:val="single" w:sz="4" w:space="0" w:color="D9D9D9" w:themeColor="background1" w:themeShade="D9"/>
              <w:left w:val="nil"/>
              <w:bottom w:val="single" w:sz="4" w:space="0" w:color="auto"/>
              <w:right w:val="nil"/>
            </w:tcBorders>
            <w:vAlign w:val="center"/>
            <w:hideMark/>
          </w:tcPr>
          <w:p w:rsidR="00005D92" w14:paraId="52DE46D0" w14:textId="77777777">
            <w:pPr>
              <w:keepNext/>
              <w:spacing w:before="20" w:after="20"/>
              <w:rPr>
                <w:sz w:val="22"/>
              </w:rPr>
            </w:pPr>
            <w:r>
              <w:rPr>
                <w:sz w:val="22"/>
              </w:rPr>
              <w:t>Survey</w:t>
            </w:r>
          </w:p>
        </w:tc>
        <w:tc>
          <w:tcPr>
            <w:tcW w:w="1260" w:type="dxa"/>
            <w:tcBorders>
              <w:top w:val="single" w:sz="4" w:space="0" w:color="D9D9D9" w:themeColor="background1" w:themeShade="D9"/>
              <w:left w:val="nil"/>
              <w:bottom w:val="single" w:sz="4" w:space="0" w:color="auto"/>
              <w:right w:val="nil"/>
            </w:tcBorders>
            <w:vAlign w:val="center"/>
            <w:hideMark/>
          </w:tcPr>
          <w:p w:rsidR="00005D92" w:rsidP="00542D30" w14:paraId="344F79EC" w14:textId="71A96A18">
            <w:pPr>
              <w:keepNext/>
              <w:tabs>
                <w:tab w:val="decimal" w:pos="0"/>
              </w:tabs>
              <w:spacing w:before="20" w:after="20"/>
              <w:jc w:val="center"/>
              <w:rPr>
                <w:sz w:val="22"/>
              </w:rPr>
            </w:pPr>
            <w:r>
              <w:rPr>
                <w:sz w:val="22"/>
              </w:rPr>
              <w:t>900</w:t>
            </w:r>
          </w:p>
        </w:tc>
        <w:tc>
          <w:tcPr>
            <w:tcW w:w="1350" w:type="dxa"/>
            <w:tcBorders>
              <w:top w:val="single" w:sz="4" w:space="0" w:color="D9D9D9" w:themeColor="background1" w:themeShade="D9"/>
              <w:left w:val="nil"/>
              <w:bottom w:val="single" w:sz="4" w:space="0" w:color="auto"/>
              <w:right w:val="nil"/>
            </w:tcBorders>
            <w:vAlign w:val="center"/>
            <w:hideMark/>
          </w:tcPr>
          <w:p w:rsidR="00005D92" w14:paraId="68051CD6" w14:textId="77777777">
            <w:pPr>
              <w:keepNext/>
              <w:spacing w:before="20" w:after="20"/>
              <w:jc w:val="center"/>
              <w:rPr>
                <w:sz w:val="22"/>
              </w:rPr>
            </w:pPr>
            <w:r>
              <w:rPr>
                <w:sz w:val="22"/>
              </w:rPr>
              <w:t>1</w:t>
            </w:r>
          </w:p>
        </w:tc>
        <w:tc>
          <w:tcPr>
            <w:tcW w:w="1080" w:type="dxa"/>
            <w:tcBorders>
              <w:top w:val="single" w:sz="4" w:space="0" w:color="D9D9D9" w:themeColor="background1" w:themeShade="D9"/>
              <w:left w:val="nil"/>
              <w:bottom w:val="single" w:sz="4" w:space="0" w:color="auto"/>
              <w:right w:val="nil"/>
            </w:tcBorders>
            <w:vAlign w:val="center"/>
            <w:hideMark/>
          </w:tcPr>
          <w:p w:rsidR="00005D92" w:rsidP="00D86484" w14:paraId="2730303C" w14:textId="114878E7">
            <w:pPr>
              <w:keepNext/>
              <w:tabs>
                <w:tab w:val="decimal" w:pos="710"/>
              </w:tabs>
              <w:spacing w:before="20" w:after="20"/>
              <w:rPr>
                <w:sz w:val="22"/>
              </w:rPr>
            </w:pPr>
            <w:r>
              <w:rPr>
                <w:sz w:val="22"/>
              </w:rPr>
              <w:t>900</w:t>
            </w:r>
          </w:p>
        </w:tc>
        <w:tc>
          <w:tcPr>
            <w:tcW w:w="1080" w:type="dxa"/>
            <w:tcBorders>
              <w:top w:val="single" w:sz="4" w:space="0" w:color="D9D9D9" w:themeColor="background1" w:themeShade="D9"/>
              <w:left w:val="nil"/>
              <w:bottom w:val="single" w:sz="4" w:space="0" w:color="auto"/>
              <w:right w:val="nil"/>
            </w:tcBorders>
            <w:vAlign w:val="center"/>
            <w:hideMark/>
          </w:tcPr>
          <w:p w:rsidR="00005D92" w:rsidP="00542D30" w14:paraId="3C4B41A6" w14:textId="77777777">
            <w:pPr>
              <w:keepNext/>
              <w:tabs>
                <w:tab w:val="decimal" w:pos="0"/>
              </w:tabs>
              <w:spacing w:before="20" w:after="20"/>
              <w:jc w:val="center"/>
              <w:rPr>
                <w:sz w:val="22"/>
              </w:rPr>
            </w:pPr>
            <w:r>
              <w:rPr>
                <w:sz w:val="22"/>
              </w:rPr>
              <w:t>0.</w:t>
            </w:r>
            <w:r w:rsidR="00D20053">
              <w:rPr>
                <w:sz w:val="22"/>
              </w:rPr>
              <w:t>3333</w:t>
            </w:r>
          </w:p>
          <w:p w:rsidR="00F97C60" w:rsidP="00542D30" w14:paraId="7EB73640" w14:textId="630ABFBC">
            <w:pPr>
              <w:keepNext/>
              <w:spacing w:before="20" w:after="20"/>
              <w:jc w:val="center"/>
              <w:rPr>
                <w:sz w:val="22"/>
              </w:rPr>
            </w:pPr>
            <w:r>
              <w:rPr>
                <w:sz w:val="22"/>
              </w:rPr>
              <w:t>(20 min)</w:t>
            </w:r>
          </w:p>
        </w:tc>
        <w:tc>
          <w:tcPr>
            <w:tcW w:w="969" w:type="dxa"/>
            <w:tcBorders>
              <w:top w:val="single" w:sz="4" w:space="0" w:color="D9D9D9" w:themeColor="background1" w:themeShade="D9"/>
              <w:left w:val="nil"/>
              <w:bottom w:val="single" w:sz="4" w:space="0" w:color="auto"/>
              <w:right w:val="nil"/>
            </w:tcBorders>
            <w:vAlign w:val="center"/>
            <w:hideMark/>
          </w:tcPr>
          <w:p w:rsidR="00005D92" w14:paraId="55A927E4" w14:textId="162D02F2">
            <w:pPr>
              <w:jc w:val="center"/>
              <w:rPr>
                <w:b/>
                <w:bCs/>
                <w:sz w:val="22"/>
              </w:rPr>
            </w:pPr>
            <w:r>
              <w:rPr>
                <w:b/>
                <w:bCs/>
                <w:sz w:val="22"/>
              </w:rPr>
              <w:t>300</w:t>
            </w:r>
          </w:p>
        </w:tc>
      </w:tr>
      <w:tr w14:paraId="06C887DE" w14:textId="77777777" w:rsidTr="00005D92">
        <w:tblPrEx>
          <w:tblW w:w="9255" w:type="dxa"/>
          <w:tblLayout w:type="fixed"/>
          <w:tblCellMar>
            <w:left w:w="29" w:type="dxa"/>
            <w:right w:w="29" w:type="dxa"/>
          </w:tblCellMar>
          <w:tblLook w:val="00A0"/>
        </w:tblPrEx>
        <w:trPr>
          <w:cantSplit/>
        </w:trPr>
        <w:tc>
          <w:tcPr>
            <w:tcW w:w="1800" w:type="dxa"/>
            <w:tcBorders>
              <w:top w:val="single" w:sz="4" w:space="0" w:color="auto"/>
              <w:left w:val="nil"/>
              <w:bottom w:val="single" w:sz="12" w:space="0" w:color="000000" w:themeColor="text1"/>
              <w:right w:val="nil"/>
            </w:tcBorders>
            <w:vAlign w:val="center"/>
            <w:hideMark/>
          </w:tcPr>
          <w:p w:rsidR="00005D92" w14:paraId="31EF0A7C" w14:textId="77777777">
            <w:pPr>
              <w:keepNext/>
              <w:spacing w:before="20" w:after="20"/>
              <w:rPr>
                <w:b/>
                <w:sz w:val="22"/>
              </w:rPr>
            </w:pPr>
            <w:r>
              <w:rPr>
                <w:b/>
                <w:sz w:val="22"/>
              </w:rPr>
              <w:t>Total Annualized Hours</w:t>
            </w:r>
          </w:p>
        </w:tc>
        <w:tc>
          <w:tcPr>
            <w:tcW w:w="1710" w:type="dxa"/>
            <w:tcBorders>
              <w:top w:val="single" w:sz="4" w:space="0" w:color="auto"/>
              <w:left w:val="nil"/>
              <w:bottom w:val="single" w:sz="12" w:space="0" w:color="000000" w:themeColor="text1"/>
              <w:right w:val="nil"/>
            </w:tcBorders>
            <w:vAlign w:val="center"/>
          </w:tcPr>
          <w:p w:rsidR="00005D92" w14:paraId="3A7205F2" w14:textId="77777777">
            <w:pPr>
              <w:keepNext/>
              <w:spacing w:before="20" w:after="20"/>
              <w:rPr>
                <w:sz w:val="22"/>
              </w:rPr>
            </w:pPr>
          </w:p>
        </w:tc>
        <w:tc>
          <w:tcPr>
            <w:tcW w:w="1260" w:type="dxa"/>
            <w:tcBorders>
              <w:top w:val="single" w:sz="4" w:space="0" w:color="auto"/>
              <w:left w:val="nil"/>
              <w:bottom w:val="single" w:sz="12" w:space="0" w:color="000000" w:themeColor="text1"/>
              <w:right w:val="nil"/>
            </w:tcBorders>
            <w:vAlign w:val="center"/>
          </w:tcPr>
          <w:p w:rsidR="00005D92" w14:paraId="435AF905" w14:textId="77777777">
            <w:pPr>
              <w:keepNext/>
              <w:tabs>
                <w:tab w:val="decimal" w:pos="932"/>
              </w:tabs>
              <w:spacing w:before="20" w:after="20"/>
              <w:rPr>
                <w:sz w:val="22"/>
              </w:rPr>
            </w:pPr>
          </w:p>
        </w:tc>
        <w:tc>
          <w:tcPr>
            <w:tcW w:w="1350" w:type="dxa"/>
            <w:tcBorders>
              <w:top w:val="single" w:sz="4" w:space="0" w:color="auto"/>
              <w:left w:val="nil"/>
              <w:bottom w:val="single" w:sz="12" w:space="0" w:color="000000" w:themeColor="text1"/>
              <w:right w:val="nil"/>
            </w:tcBorders>
            <w:vAlign w:val="center"/>
          </w:tcPr>
          <w:p w:rsidR="00005D92" w14:paraId="14100212" w14:textId="77777777">
            <w:pPr>
              <w:keepNext/>
              <w:spacing w:before="20" w:after="20"/>
              <w:rPr>
                <w:sz w:val="22"/>
              </w:rPr>
            </w:pPr>
          </w:p>
        </w:tc>
        <w:tc>
          <w:tcPr>
            <w:tcW w:w="1080" w:type="dxa"/>
            <w:tcBorders>
              <w:top w:val="single" w:sz="4" w:space="0" w:color="auto"/>
              <w:left w:val="nil"/>
              <w:bottom w:val="single" w:sz="12" w:space="0" w:color="000000" w:themeColor="text1"/>
              <w:right w:val="nil"/>
            </w:tcBorders>
            <w:vAlign w:val="center"/>
          </w:tcPr>
          <w:p w:rsidR="00005D92" w14:paraId="452C2A6E" w14:textId="77777777">
            <w:pPr>
              <w:keepNext/>
              <w:tabs>
                <w:tab w:val="decimal" w:pos="710"/>
              </w:tabs>
              <w:spacing w:before="20" w:after="20"/>
              <w:rPr>
                <w:sz w:val="22"/>
              </w:rPr>
            </w:pPr>
          </w:p>
        </w:tc>
        <w:tc>
          <w:tcPr>
            <w:tcW w:w="1080" w:type="dxa"/>
            <w:tcBorders>
              <w:top w:val="single" w:sz="4" w:space="0" w:color="auto"/>
              <w:left w:val="nil"/>
              <w:bottom w:val="single" w:sz="12" w:space="0" w:color="000000" w:themeColor="text1"/>
              <w:right w:val="nil"/>
            </w:tcBorders>
            <w:vAlign w:val="center"/>
          </w:tcPr>
          <w:p w:rsidR="00005D92" w14:paraId="4A649926" w14:textId="77777777">
            <w:pPr>
              <w:keepNext/>
              <w:tabs>
                <w:tab w:val="decimal" w:pos="454"/>
              </w:tabs>
              <w:spacing w:before="20" w:after="20"/>
              <w:rPr>
                <w:sz w:val="22"/>
              </w:rPr>
            </w:pPr>
          </w:p>
        </w:tc>
        <w:tc>
          <w:tcPr>
            <w:tcW w:w="969" w:type="dxa"/>
            <w:tcBorders>
              <w:top w:val="single" w:sz="4" w:space="0" w:color="auto"/>
              <w:left w:val="nil"/>
              <w:bottom w:val="single" w:sz="12" w:space="0" w:color="000000" w:themeColor="text1"/>
              <w:right w:val="nil"/>
            </w:tcBorders>
            <w:vAlign w:val="center"/>
            <w:hideMark/>
          </w:tcPr>
          <w:p w:rsidR="00005D92" w14:paraId="105422D2" w14:textId="57D6C7CB">
            <w:pPr>
              <w:jc w:val="center"/>
              <w:rPr>
                <w:b/>
                <w:sz w:val="22"/>
              </w:rPr>
            </w:pPr>
            <w:r>
              <w:rPr>
                <w:b/>
                <w:sz w:val="22"/>
              </w:rPr>
              <w:t>1,000</w:t>
            </w:r>
          </w:p>
        </w:tc>
      </w:tr>
    </w:tbl>
    <w:p w:rsidR="00557455" w:rsidRPr="00557455" w:rsidP="00557455" w14:paraId="212A4533" w14:textId="77777777">
      <w:pPr>
        <w:spacing w:before="120"/>
        <w:rPr>
          <w:color w:val="000000"/>
          <w:sz w:val="20"/>
          <w:szCs w:val="20"/>
        </w:rPr>
      </w:pPr>
    </w:p>
    <w:p w:rsidR="00557455" w:rsidP="00557455" w14:paraId="3C5F4486" w14:textId="2DD4957C">
      <w:pPr>
        <w:pStyle w:val="Heading4"/>
        <w:spacing w:after="240"/>
      </w:pPr>
      <w:r w:rsidRPr="004E3C59">
        <w:t xml:space="preserve">12b. </w:t>
      </w:r>
      <w:r w:rsidRPr="004E3C59">
        <w:rPr>
          <w:i/>
        </w:rPr>
        <w:t>Annualized Cost Burden Estimate</w:t>
      </w:r>
    </w:p>
    <w:p w:rsidR="00D81BA0" w:rsidRPr="00C82008" w:rsidP="00C82008" w14:paraId="1F9EB801" w14:textId="2F48FA82">
      <w:pPr>
        <w:pStyle w:val="BodyText2"/>
        <w:spacing w:after="120"/>
        <w:rPr>
          <w:rFonts w:eastAsia="Times New Roman"/>
          <w:szCs w:val="24"/>
          <w:lang w:eastAsia="en-US"/>
        </w:rPr>
      </w:pPr>
      <w:r>
        <w:t>Respondents participate on a purely voluntary basis and, therefore, are subject to no direct costs other than time to participate. There are also no start-up or maintenance costs.</w:t>
      </w:r>
      <w:r>
        <w:t xml:space="preserve"> </w:t>
      </w:r>
      <w:r w:rsidRPr="004E3C59">
        <w:t>The estimated value of respondents’ time for participating in the information collection is $</w:t>
      </w:r>
      <w:r>
        <w:t>13,572.</w:t>
      </w:r>
      <w:r w:rsidRPr="004E3C59">
        <w:t xml:space="preserve"> </w:t>
      </w:r>
      <w:r>
        <w:t>To calculate this cost, the mean hourly wage of $7.25 was used for youth and $</w:t>
      </w:r>
      <w:r w:rsidR="003D5A31">
        <w:t>28.01</w:t>
      </w:r>
      <w:r>
        <w:t xml:space="preserve"> was used for parents. The youth price represents the minimum wage, and the parental costs represent the Department of Labor estimated mean for state, local, and private industry earnings. There are no direct costs to respondents associated with participation in this information collection. Thus, assuming an average hourly wage of $7.25 and $2</w:t>
      </w:r>
      <w:r w:rsidR="00BD6DD7">
        <w:t>8.01</w:t>
      </w:r>
      <w:r>
        <w:t xml:space="preserve"> (youth and parent), </w:t>
      </w:r>
      <w:r w:rsidR="003D5A31">
        <w:rPr>
          <w:rStyle w:val="normaltextrun"/>
          <w:color w:val="000000"/>
          <w:bdr w:val="none" w:sz="0" w:space="0" w:color="auto" w:frame="1"/>
        </w:rPr>
        <w:t xml:space="preserve">and doubling this to account for benefits and overhead, yielding an hourly wage rate of $14.50 for youth and $56.02 for parents, </w:t>
      </w:r>
      <w:r>
        <w:t xml:space="preserve">the estimated one-year annualized cost to participants will be </w:t>
      </w:r>
      <w:r w:rsidR="002643A3">
        <w:t>$24,880</w:t>
      </w:r>
      <w:r>
        <w:t>. The estimated value of respondents’ time for participating in the information collection is summarized in Table 2.</w:t>
      </w:r>
    </w:p>
    <w:p w:rsidR="006536FC" w:rsidP="00557455" w14:paraId="529C3160" w14:textId="77777777">
      <w:pPr>
        <w:spacing w:before="100" w:beforeAutospacing="1" w:after="120"/>
        <w:rPr>
          <w:b/>
          <w:szCs w:val="24"/>
        </w:rPr>
      </w:pPr>
    </w:p>
    <w:p w:rsidR="006536FC" w:rsidP="00557455" w14:paraId="3B17DF67" w14:textId="77777777">
      <w:pPr>
        <w:spacing w:before="100" w:beforeAutospacing="1" w:after="120"/>
        <w:rPr>
          <w:b/>
          <w:szCs w:val="24"/>
        </w:rPr>
      </w:pPr>
    </w:p>
    <w:p w:rsidR="006536FC" w:rsidP="00557455" w14:paraId="0CD97A0F" w14:textId="77777777">
      <w:pPr>
        <w:spacing w:before="100" w:beforeAutospacing="1" w:after="120"/>
        <w:rPr>
          <w:b/>
          <w:szCs w:val="24"/>
        </w:rPr>
      </w:pPr>
    </w:p>
    <w:p w:rsidR="006536FC" w:rsidP="00557455" w14:paraId="5331EBB5" w14:textId="77777777">
      <w:pPr>
        <w:spacing w:before="100" w:beforeAutospacing="1" w:after="120"/>
        <w:rPr>
          <w:b/>
          <w:szCs w:val="24"/>
        </w:rPr>
      </w:pPr>
    </w:p>
    <w:p w:rsidR="00557455" w:rsidP="00557455" w14:paraId="246DFC47" w14:textId="0E2C43CE">
      <w:pPr>
        <w:spacing w:before="100" w:beforeAutospacing="1" w:after="120"/>
        <w:rPr>
          <w:b/>
          <w:szCs w:val="24"/>
        </w:rPr>
      </w:pPr>
      <w:r>
        <w:rPr>
          <w:b/>
          <w:szCs w:val="24"/>
        </w:rPr>
        <w:t>Table 2. Estimated Annual Cost</w:t>
      </w:r>
    </w:p>
    <w:tbl>
      <w:tblPr>
        <w:tblW w:w="8820" w:type="dxa"/>
        <w:tblLayout w:type="fixed"/>
        <w:tblCellMar>
          <w:left w:w="58" w:type="dxa"/>
          <w:right w:w="58" w:type="dxa"/>
        </w:tblCellMar>
        <w:tblLook w:val="00A0"/>
      </w:tblPr>
      <w:tblGrid>
        <w:gridCol w:w="2582"/>
        <w:gridCol w:w="2610"/>
        <w:gridCol w:w="1350"/>
        <w:gridCol w:w="1080"/>
        <w:gridCol w:w="1198"/>
      </w:tblGrid>
      <w:tr w14:paraId="4661923A" w14:textId="77777777" w:rsidTr="00557455">
        <w:tblPrEx>
          <w:tblW w:w="8820" w:type="dxa"/>
          <w:tblLayout w:type="fixed"/>
          <w:tblCellMar>
            <w:left w:w="58" w:type="dxa"/>
            <w:right w:w="58" w:type="dxa"/>
          </w:tblCellMar>
          <w:tblLook w:val="00A0"/>
        </w:tblPrEx>
        <w:trPr>
          <w:cantSplit/>
          <w:tblHeader/>
        </w:trPr>
        <w:tc>
          <w:tcPr>
            <w:tcW w:w="2582" w:type="dxa"/>
            <w:tcBorders>
              <w:top w:val="single" w:sz="12" w:space="0" w:color="000000" w:themeColor="text1"/>
              <w:left w:val="nil"/>
              <w:bottom w:val="single" w:sz="4" w:space="0" w:color="000000" w:themeColor="text1"/>
              <w:right w:val="nil"/>
            </w:tcBorders>
            <w:vAlign w:val="center"/>
            <w:hideMark/>
          </w:tcPr>
          <w:p w:rsidR="00557455" w14:paraId="2A7407D6" w14:textId="77777777">
            <w:pPr>
              <w:keepNext/>
              <w:spacing w:before="60" w:after="60"/>
              <w:rPr>
                <w:b/>
                <w:sz w:val="22"/>
              </w:rPr>
            </w:pPr>
            <w:r>
              <w:rPr>
                <w:b/>
                <w:sz w:val="22"/>
              </w:rPr>
              <w:t>Type of Respondent</w:t>
            </w:r>
          </w:p>
        </w:tc>
        <w:tc>
          <w:tcPr>
            <w:tcW w:w="2610" w:type="dxa"/>
            <w:tcBorders>
              <w:top w:val="single" w:sz="12" w:space="0" w:color="000000" w:themeColor="text1"/>
              <w:left w:val="nil"/>
              <w:bottom w:val="single" w:sz="4" w:space="0" w:color="000000" w:themeColor="text1"/>
              <w:right w:val="nil"/>
            </w:tcBorders>
            <w:vAlign w:val="center"/>
            <w:hideMark/>
          </w:tcPr>
          <w:p w:rsidR="00557455" w14:paraId="405D60A1" w14:textId="77777777">
            <w:pPr>
              <w:keepNext/>
              <w:spacing w:before="60" w:after="60"/>
              <w:rPr>
                <w:b/>
                <w:sz w:val="22"/>
              </w:rPr>
            </w:pPr>
            <w:r>
              <w:rPr>
                <w:b/>
                <w:sz w:val="22"/>
              </w:rPr>
              <w:t>Activity</w:t>
            </w:r>
          </w:p>
        </w:tc>
        <w:tc>
          <w:tcPr>
            <w:tcW w:w="1350" w:type="dxa"/>
            <w:tcBorders>
              <w:top w:val="single" w:sz="12" w:space="0" w:color="000000" w:themeColor="text1"/>
              <w:left w:val="nil"/>
              <w:bottom w:val="single" w:sz="4" w:space="0" w:color="000000" w:themeColor="text1"/>
              <w:right w:val="nil"/>
            </w:tcBorders>
            <w:vAlign w:val="center"/>
            <w:hideMark/>
          </w:tcPr>
          <w:p w:rsidR="00557455" w14:paraId="5950C9B1" w14:textId="77777777">
            <w:pPr>
              <w:keepNext/>
              <w:spacing w:before="60" w:after="60"/>
              <w:jc w:val="center"/>
              <w:rPr>
                <w:b/>
                <w:sz w:val="22"/>
              </w:rPr>
            </w:pPr>
            <w:r>
              <w:rPr>
                <w:b/>
                <w:sz w:val="22"/>
              </w:rPr>
              <w:t>Annual Burden Hours</w:t>
            </w:r>
          </w:p>
        </w:tc>
        <w:tc>
          <w:tcPr>
            <w:tcW w:w="1080" w:type="dxa"/>
            <w:tcBorders>
              <w:top w:val="single" w:sz="12" w:space="0" w:color="000000" w:themeColor="text1"/>
              <w:left w:val="nil"/>
              <w:bottom w:val="single" w:sz="4" w:space="0" w:color="000000" w:themeColor="text1"/>
              <w:right w:val="nil"/>
            </w:tcBorders>
            <w:vAlign w:val="center"/>
            <w:hideMark/>
          </w:tcPr>
          <w:p w:rsidR="00557455" w14:paraId="0B5676E7" w14:textId="24A11935">
            <w:pPr>
              <w:keepNext/>
              <w:spacing w:before="60" w:after="60"/>
              <w:jc w:val="center"/>
              <w:rPr>
                <w:b/>
                <w:sz w:val="22"/>
              </w:rPr>
            </w:pPr>
            <w:r>
              <w:rPr>
                <w:b/>
                <w:sz w:val="22"/>
              </w:rPr>
              <w:t xml:space="preserve">Doubled </w:t>
            </w:r>
            <w:r>
              <w:rPr>
                <w:b/>
                <w:sz w:val="22"/>
              </w:rPr>
              <w:t>Hourly Wage Rate</w:t>
            </w:r>
          </w:p>
        </w:tc>
        <w:tc>
          <w:tcPr>
            <w:tcW w:w="1198" w:type="dxa"/>
            <w:tcBorders>
              <w:top w:val="single" w:sz="12" w:space="0" w:color="000000" w:themeColor="text1"/>
              <w:left w:val="nil"/>
              <w:bottom w:val="single" w:sz="4" w:space="0" w:color="000000" w:themeColor="text1"/>
              <w:right w:val="nil"/>
            </w:tcBorders>
            <w:vAlign w:val="center"/>
            <w:hideMark/>
          </w:tcPr>
          <w:p w:rsidR="00557455" w14:paraId="0F1C291A" w14:textId="77777777">
            <w:pPr>
              <w:keepNext/>
              <w:spacing w:before="60" w:after="60"/>
              <w:jc w:val="center"/>
              <w:rPr>
                <w:b/>
                <w:sz w:val="22"/>
              </w:rPr>
            </w:pPr>
            <w:r>
              <w:rPr>
                <w:b/>
                <w:sz w:val="22"/>
              </w:rPr>
              <w:t>Total Cost</w:t>
            </w:r>
          </w:p>
        </w:tc>
      </w:tr>
      <w:tr w14:paraId="083B7E27" w14:textId="77777777" w:rsidTr="00557455">
        <w:tblPrEx>
          <w:tblW w:w="8820" w:type="dxa"/>
          <w:tblLayout w:type="fixed"/>
          <w:tblCellMar>
            <w:left w:w="58" w:type="dxa"/>
            <w:right w:w="58" w:type="dxa"/>
          </w:tblCellMar>
          <w:tblLook w:val="00A0"/>
        </w:tblPrEx>
        <w:trPr>
          <w:cantSplit/>
          <w:trHeight w:val="444"/>
        </w:trPr>
        <w:tc>
          <w:tcPr>
            <w:tcW w:w="2582" w:type="dxa"/>
            <w:tcBorders>
              <w:top w:val="single" w:sz="4" w:space="0" w:color="000000" w:themeColor="text1"/>
              <w:left w:val="nil"/>
              <w:bottom w:val="single" w:sz="4" w:space="0" w:color="D9D9D9" w:themeColor="background1" w:themeShade="D9"/>
              <w:right w:val="nil"/>
            </w:tcBorders>
            <w:vAlign w:val="center"/>
            <w:hideMark/>
          </w:tcPr>
          <w:p w:rsidR="00557455" w14:paraId="2833955C" w14:textId="77777777">
            <w:pPr>
              <w:rPr>
                <w:sz w:val="22"/>
              </w:rPr>
            </w:pPr>
            <w:r>
              <w:rPr>
                <w:sz w:val="22"/>
              </w:rPr>
              <w:t>Parent</w:t>
            </w:r>
          </w:p>
        </w:tc>
        <w:tc>
          <w:tcPr>
            <w:tcW w:w="2610" w:type="dxa"/>
            <w:tcBorders>
              <w:top w:val="single" w:sz="4" w:space="0" w:color="000000" w:themeColor="text1"/>
              <w:left w:val="nil"/>
              <w:bottom w:val="single" w:sz="4" w:space="0" w:color="D9D9D9" w:themeColor="background1" w:themeShade="D9"/>
              <w:right w:val="nil"/>
            </w:tcBorders>
            <w:hideMark/>
          </w:tcPr>
          <w:p w:rsidR="00557455" w14:paraId="5DF5BF8A" w14:textId="77777777">
            <w:pPr>
              <w:keepNext/>
              <w:spacing w:before="60" w:after="60"/>
              <w:rPr>
                <w:sz w:val="22"/>
              </w:rPr>
            </w:pPr>
            <w:r>
              <w:rPr>
                <w:sz w:val="22"/>
              </w:rPr>
              <w:t xml:space="preserve">Invitation and Parental Permission Form </w:t>
            </w:r>
          </w:p>
        </w:tc>
        <w:tc>
          <w:tcPr>
            <w:tcW w:w="1350" w:type="dxa"/>
            <w:tcBorders>
              <w:top w:val="single" w:sz="4" w:space="0" w:color="000000" w:themeColor="text1"/>
              <w:left w:val="nil"/>
              <w:bottom w:val="single" w:sz="4" w:space="0" w:color="D9D9D9" w:themeColor="background1" w:themeShade="D9"/>
              <w:right w:val="nil"/>
            </w:tcBorders>
            <w:vAlign w:val="center"/>
            <w:hideMark/>
          </w:tcPr>
          <w:p w:rsidR="00557455" w14:paraId="37C1F829" w14:textId="7F5BCC9C">
            <w:pPr>
              <w:jc w:val="center"/>
              <w:rPr>
                <w:sz w:val="22"/>
              </w:rPr>
            </w:pPr>
            <w:r>
              <w:rPr>
                <w:sz w:val="22"/>
              </w:rPr>
              <w:t>250</w:t>
            </w:r>
          </w:p>
        </w:tc>
        <w:tc>
          <w:tcPr>
            <w:tcW w:w="1080" w:type="dxa"/>
            <w:tcBorders>
              <w:top w:val="single" w:sz="4" w:space="0" w:color="000000" w:themeColor="text1"/>
              <w:left w:val="nil"/>
              <w:bottom w:val="single" w:sz="4" w:space="0" w:color="D9D9D9" w:themeColor="background1" w:themeShade="D9"/>
              <w:right w:val="nil"/>
            </w:tcBorders>
            <w:vAlign w:val="center"/>
            <w:hideMark/>
          </w:tcPr>
          <w:p w:rsidR="00557455" w14:paraId="275A0D5F" w14:textId="5E820B85">
            <w:pPr>
              <w:jc w:val="center"/>
              <w:rPr>
                <w:sz w:val="22"/>
              </w:rPr>
            </w:pPr>
            <w:r>
              <w:rPr>
                <w:sz w:val="22"/>
              </w:rPr>
              <w:t xml:space="preserve">$ </w:t>
            </w:r>
            <w:r w:rsidR="003D5A31">
              <w:rPr>
                <w:sz w:val="22"/>
              </w:rPr>
              <w:t>56.02</w:t>
            </w:r>
          </w:p>
        </w:tc>
        <w:tc>
          <w:tcPr>
            <w:tcW w:w="1198" w:type="dxa"/>
            <w:tcBorders>
              <w:top w:val="single" w:sz="4" w:space="0" w:color="000000" w:themeColor="text1"/>
              <w:left w:val="nil"/>
              <w:bottom w:val="single" w:sz="4" w:space="0" w:color="D9D9D9" w:themeColor="background1" w:themeShade="D9"/>
              <w:right w:val="nil"/>
            </w:tcBorders>
            <w:vAlign w:val="center"/>
            <w:hideMark/>
          </w:tcPr>
          <w:p w:rsidR="00557455" w:rsidP="00342C5E" w14:paraId="44BFAC22" w14:textId="1F9E78AC">
            <w:pPr>
              <w:jc w:val="center"/>
              <w:rPr>
                <w:sz w:val="22"/>
              </w:rPr>
            </w:pPr>
            <w:r>
              <w:rPr>
                <w:sz w:val="22"/>
              </w:rPr>
              <w:t>$</w:t>
            </w:r>
            <w:r w:rsidR="003D5A31">
              <w:rPr>
                <w:sz w:val="22"/>
              </w:rPr>
              <w:t>14,005</w:t>
            </w:r>
            <w:r>
              <w:rPr>
                <w:sz w:val="22"/>
              </w:rPr>
              <w:t xml:space="preserve"> </w:t>
            </w:r>
          </w:p>
        </w:tc>
      </w:tr>
      <w:tr w14:paraId="7D7A1C55" w14:textId="77777777" w:rsidTr="00557455">
        <w:tblPrEx>
          <w:tblW w:w="8820" w:type="dxa"/>
          <w:tblLayout w:type="fixed"/>
          <w:tblCellMar>
            <w:left w:w="58" w:type="dxa"/>
            <w:right w:w="58" w:type="dxa"/>
          </w:tblCellMar>
          <w:tblLook w:val="00A0"/>
        </w:tblPrEx>
        <w:trPr>
          <w:cantSplit/>
          <w:trHeight w:val="444"/>
        </w:trPr>
        <w:tc>
          <w:tcPr>
            <w:tcW w:w="2582" w:type="dxa"/>
            <w:tcBorders>
              <w:top w:val="single" w:sz="4" w:space="0" w:color="D9D9D9" w:themeColor="background1" w:themeShade="D9"/>
              <w:left w:val="nil"/>
              <w:bottom w:val="single" w:sz="4" w:space="0" w:color="000000" w:themeColor="text1"/>
              <w:right w:val="nil"/>
            </w:tcBorders>
            <w:vAlign w:val="center"/>
            <w:hideMark/>
          </w:tcPr>
          <w:p w:rsidR="00557455" w14:paraId="6D6363EC" w14:textId="77777777">
            <w:pPr>
              <w:rPr>
                <w:sz w:val="22"/>
              </w:rPr>
            </w:pPr>
            <w:r>
              <w:rPr>
                <w:sz w:val="22"/>
              </w:rPr>
              <w:t>Youth</w:t>
            </w:r>
          </w:p>
        </w:tc>
        <w:tc>
          <w:tcPr>
            <w:tcW w:w="2610" w:type="dxa"/>
            <w:tcBorders>
              <w:top w:val="single" w:sz="4" w:space="0" w:color="D9D9D9" w:themeColor="background1" w:themeShade="D9"/>
              <w:left w:val="nil"/>
              <w:bottom w:val="single" w:sz="4" w:space="0" w:color="000000" w:themeColor="text1"/>
              <w:right w:val="nil"/>
            </w:tcBorders>
            <w:vAlign w:val="center"/>
            <w:hideMark/>
          </w:tcPr>
          <w:p w:rsidR="00557455" w14:paraId="18FD590F" w14:textId="77777777">
            <w:pPr>
              <w:keepNext/>
              <w:spacing w:before="60" w:after="60"/>
              <w:rPr>
                <w:sz w:val="22"/>
              </w:rPr>
            </w:pPr>
            <w:r>
              <w:rPr>
                <w:sz w:val="22"/>
              </w:rPr>
              <w:t xml:space="preserve">Assent, Screener, and Survey </w:t>
            </w:r>
          </w:p>
        </w:tc>
        <w:tc>
          <w:tcPr>
            <w:tcW w:w="1350" w:type="dxa"/>
            <w:tcBorders>
              <w:top w:val="single" w:sz="4" w:space="0" w:color="D9D9D9" w:themeColor="background1" w:themeShade="D9"/>
              <w:left w:val="nil"/>
              <w:bottom w:val="single" w:sz="4" w:space="0" w:color="000000" w:themeColor="text1"/>
              <w:right w:val="nil"/>
            </w:tcBorders>
            <w:vAlign w:val="center"/>
            <w:hideMark/>
          </w:tcPr>
          <w:p w:rsidR="00557455" w14:paraId="4A4E65E5" w14:textId="613682F4">
            <w:pPr>
              <w:jc w:val="center"/>
              <w:rPr>
                <w:sz w:val="22"/>
              </w:rPr>
            </w:pPr>
            <w:r>
              <w:rPr>
                <w:sz w:val="22"/>
              </w:rPr>
              <w:t>750</w:t>
            </w:r>
          </w:p>
        </w:tc>
        <w:tc>
          <w:tcPr>
            <w:tcW w:w="1080" w:type="dxa"/>
            <w:tcBorders>
              <w:top w:val="single" w:sz="4" w:space="0" w:color="D9D9D9" w:themeColor="background1" w:themeShade="D9"/>
              <w:left w:val="nil"/>
              <w:bottom w:val="single" w:sz="4" w:space="0" w:color="000000" w:themeColor="text1"/>
              <w:right w:val="nil"/>
            </w:tcBorders>
            <w:vAlign w:val="center"/>
            <w:hideMark/>
          </w:tcPr>
          <w:p w:rsidR="00557455" w14:paraId="3CA7ED0A" w14:textId="5FA54016">
            <w:pPr>
              <w:jc w:val="center"/>
              <w:rPr>
                <w:sz w:val="22"/>
              </w:rPr>
            </w:pPr>
            <w:r>
              <w:rPr>
                <w:sz w:val="22"/>
              </w:rPr>
              <w:t xml:space="preserve">$ </w:t>
            </w:r>
            <w:r w:rsidR="003D5A31">
              <w:rPr>
                <w:sz w:val="22"/>
              </w:rPr>
              <w:t>14.50</w:t>
            </w:r>
          </w:p>
        </w:tc>
        <w:tc>
          <w:tcPr>
            <w:tcW w:w="1198" w:type="dxa"/>
            <w:tcBorders>
              <w:top w:val="single" w:sz="4" w:space="0" w:color="D9D9D9" w:themeColor="background1" w:themeShade="D9"/>
              <w:left w:val="nil"/>
              <w:bottom w:val="single" w:sz="4" w:space="0" w:color="000000" w:themeColor="text1"/>
              <w:right w:val="nil"/>
            </w:tcBorders>
            <w:vAlign w:val="center"/>
            <w:hideMark/>
          </w:tcPr>
          <w:p w:rsidR="00557455" w14:paraId="113D7339" w14:textId="2D13EC88">
            <w:pPr>
              <w:jc w:val="center"/>
              <w:rPr>
                <w:sz w:val="22"/>
              </w:rPr>
            </w:pPr>
            <w:r>
              <w:rPr>
                <w:sz w:val="22"/>
              </w:rPr>
              <w:t>$10,875</w:t>
            </w:r>
            <w:r>
              <w:rPr>
                <w:sz w:val="22"/>
              </w:rPr>
              <w:t xml:space="preserve"> </w:t>
            </w:r>
          </w:p>
        </w:tc>
      </w:tr>
      <w:tr w14:paraId="4D0B80EE" w14:textId="77777777" w:rsidTr="00557455">
        <w:tblPrEx>
          <w:tblW w:w="8820" w:type="dxa"/>
          <w:tblLayout w:type="fixed"/>
          <w:tblCellMar>
            <w:left w:w="58" w:type="dxa"/>
            <w:right w:w="58" w:type="dxa"/>
          </w:tblCellMar>
          <w:tblLook w:val="00A0"/>
        </w:tblPrEx>
        <w:trPr>
          <w:cantSplit/>
        </w:trPr>
        <w:tc>
          <w:tcPr>
            <w:tcW w:w="2582" w:type="dxa"/>
            <w:tcBorders>
              <w:top w:val="single" w:sz="4" w:space="0" w:color="000000" w:themeColor="text1"/>
              <w:left w:val="nil"/>
              <w:bottom w:val="single" w:sz="12" w:space="0" w:color="000000" w:themeColor="text1"/>
              <w:right w:val="nil"/>
            </w:tcBorders>
            <w:vAlign w:val="center"/>
            <w:hideMark/>
          </w:tcPr>
          <w:p w:rsidR="00557455" w14:paraId="509DE5C9" w14:textId="77777777">
            <w:pPr>
              <w:spacing w:before="60" w:after="60"/>
              <w:rPr>
                <w:b/>
                <w:bCs/>
                <w:sz w:val="22"/>
              </w:rPr>
            </w:pPr>
            <w:r>
              <w:rPr>
                <w:b/>
                <w:bCs/>
                <w:sz w:val="22"/>
              </w:rPr>
              <w:t>Total</w:t>
            </w:r>
          </w:p>
        </w:tc>
        <w:tc>
          <w:tcPr>
            <w:tcW w:w="2610" w:type="dxa"/>
            <w:tcBorders>
              <w:top w:val="single" w:sz="4" w:space="0" w:color="000000" w:themeColor="text1"/>
              <w:left w:val="nil"/>
              <w:bottom w:val="single" w:sz="12" w:space="0" w:color="000000" w:themeColor="text1"/>
              <w:right w:val="nil"/>
            </w:tcBorders>
          </w:tcPr>
          <w:p w:rsidR="00557455" w14:paraId="54852211" w14:textId="77777777">
            <w:pPr>
              <w:keepNext/>
              <w:spacing w:before="60" w:after="60"/>
              <w:rPr>
                <w:b/>
                <w:bCs/>
                <w:sz w:val="22"/>
              </w:rPr>
            </w:pPr>
          </w:p>
        </w:tc>
        <w:tc>
          <w:tcPr>
            <w:tcW w:w="1350" w:type="dxa"/>
            <w:tcBorders>
              <w:top w:val="single" w:sz="4" w:space="0" w:color="000000" w:themeColor="text1"/>
              <w:left w:val="nil"/>
              <w:bottom w:val="single" w:sz="12" w:space="0" w:color="000000" w:themeColor="text1"/>
              <w:right w:val="nil"/>
            </w:tcBorders>
            <w:vAlign w:val="center"/>
            <w:hideMark/>
          </w:tcPr>
          <w:p w:rsidR="00557455" w14:paraId="1278BC0C" w14:textId="0D523AC2">
            <w:pPr>
              <w:jc w:val="center"/>
              <w:rPr>
                <w:b/>
                <w:bCs/>
                <w:sz w:val="22"/>
              </w:rPr>
            </w:pPr>
            <w:r>
              <w:rPr>
                <w:b/>
                <w:bCs/>
                <w:sz w:val="22"/>
              </w:rPr>
              <w:t>1</w:t>
            </w:r>
            <w:r w:rsidR="00FD4E5B">
              <w:rPr>
                <w:b/>
                <w:bCs/>
                <w:sz w:val="22"/>
              </w:rPr>
              <w:t>,</w:t>
            </w:r>
            <w:r>
              <w:rPr>
                <w:b/>
                <w:bCs/>
                <w:sz w:val="22"/>
              </w:rPr>
              <w:t>000</w:t>
            </w:r>
          </w:p>
        </w:tc>
        <w:tc>
          <w:tcPr>
            <w:tcW w:w="1080" w:type="dxa"/>
            <w:tcBorders>
              <w:top w:val="single" w:sz="4" w:space="0" w:color="000000" w:themeColor="text1"/>
              <w:left w:val="nil"/>
              <w:bottom w:val="single" w:sz="12" w:space="0" w:color="000000" w:themeColor="text1"/>
              <w:right w:val="nil"/>
            </w:tcBorders>
            <w:vAlign w:val="center"/>
          </w:tcPr>
          <w:p w:rsidR="00557455" w14:paraId="3CD2D1FB" w14:textId="77777777">
            <w:pPr>
              <w:jc w:val="center"/>
              <w:rPr>
                <w:b/>
                <w:bCs/>
                <w:sz w:val="22"/>
              </w:rPr>
            </w:pPr>
          </w:p>
        </w:tc>
        <w:tc>
          <w:tcPr>
            <w:tcW w:w="1198" w:type="dxa"/>
            <w:tcBorders>
              <w:top w:val="single" w:sz="4" w:space="0" w:color="000000" w:themeColor="text1"/>
              <w:left w:val="nil"/>
              <w:bottom w:val="single" w:sz="12" w:space="0" w:color="000000" w:themeColor="text1"/>
              <w:right w:val="nil"/>
            </w:tcBorders>
            <w:vAlign w:val="center"/>
            <w:hideMark/>
          </w:tcPr>
          <w:p w:rsidR="00557455" w14:paraId="7ECE57CE" w14:textId="7A4BB6C4">
            <w:pPr>
              <w:jc w:val="center"/>
              <w:rPr>
                <w:b/>
                <w:bCs/>
                <w:sz w:val="22"/>
              </w:rPr>
            </w:pPr>
            <w:r>
              <w:rPr>
                <w:b/>
                <w:bCs/>
                <w:sz w:val="22"/>
              </w:rPr>
              <w:t>$</w:t>
            </w:r>
            <w:r w:rsidR="002643A3">
              <w:rPr>
                <w:b/>
                <w:bCs/>
                <w:sz w:val="22"/>
              </w:rPr>
              <w:t>24,880</w:t>
            </w:r>
          </w:p>
        </w:tc>
      </w:tr>
    </w:tbl>
    <w:p w:rsidR="00005D92" w:rsidRPr="004E3C59" w:rsidP="00005D92" w14:paraId="157CA11D" w14:textId="77777777">
      <w:pPr>
        <w:pStyle w:val="Heading3"/>
        <w:spacing w:before="240" w:beforeAutospacing="0" w:after="240" w:afterAutospacing="0"/>
      </w:pPr>
      <w:r w:rsidRPr="004E3C59">
        <w:t>Estimates of Other Total Annual Costs to Respondents and/or Recordkeepers/Capital Costs</w:t>
      </w:r>
    </w:p>
    <w:p w:rsidR="00005D92" w:rsidRPr="004E3C59" w:rsidP="00B76014" w14:paraId="693D8FC1" w14:textId="77777777">
      <w:pPr>
        <w:pStyle w:val="BodyText0"/>
        <w:ind w:firstLine="0"/>
        <w:rPr>
          <w:u w:val="single"/>
        </w:rPr>
      </w:pPr>
      <w:r w:rsidRPr="004E3C59">
        <w:t>No capital, start-up, operating, or maintenance costs are associated with this information collection.</w:t>
      </w:r>
    </w:p>
    <w:p w:rsidR="00005D92" w:rsidRPr="00E04F96" w:rsidP="00005D92" w14:paraId="79C0BE1F" w14:textId="77777777">
      <w:pPr>
        <w:pStyle w:val="Heading3"/>
      </w:pPr>
      <w:r w:rsidRPr="00E04F96">
        <w:t>Annualized Cost to the Federal Government</w:t>
      </w:r>
    </w:p>
    <w:p w:rsidR="00005D92" w:rsidRPr="00E04F96" w:rsidP="00B76014" w14:paraId="724A9163" w14:textId="6716F778">
      <w:pPr>
        <w:pStyle w:val="BodyText0"/>
        <w:ind w:firstLine="0"/>
      </w:pPr>
      <w:r w:rsidRPr="00E04F96">
        <w:t>The total estimated cost to the Federal Government for this study is $</w:t>
      </w:r>
      <w:r w:rsidR="00B04251">
        <w:t>127,</w:t>
      </w:r>
      <w:r w:rsidR="00FD4E5B">
        <w:t>099.00</w:t>
      </w:r>
      <w:r w:rsidRPr="00E04F96">
        <w:t xml:space="preserve"> as shown in Table 3. Contractor costs attributable to this information collection are $</w:t>
      </w:r>
      <w:r w:rsidR="002B4247">
        <w:t>96,143</w:t>
      </w:r>
      <w:r w:rsidRPr="00E04F96">
        <w:t>. This includes costs to program the survey, draw the sample, and collect the data. Other contractor activities outside this data collection estimate include coordination with FDA to develop the instrument and deliver the final data set and reporting deliverables.</w:t>
      </w:r>
    </w:p>
    <w:p w:rsidR="00005D92" w:rsidRPr="00E04F96" w:rsidP="00005D92" w14:paraId="31B872FC" w14:textId="77777777">
      <w:pPr>
        <w:pStyle w:val="table-title"/>
      </w:pPr>
      <w:bookmarkStart w:id="7" w:name="_Toc361824171"/>
      <w:r w:rsidRPr="00E04F96">
        <w:t>Table 3. Itemized Cost to the Federal Government</w:t>
      </w:r>
      <w:bookmarkEnd w:id="7"/>
    </w:p>
    <w:tbl>
      <w:tblPr>
        <w:tblW w:w="9360" w:type="dxa"/>
        <w:tblBorders>
          <w:top w:val="single" w:sz="12" w:space="0" w:color="000000" w:themeColor="text1"/>
          <w:bottom w:val="single" w:sz="12" w:space="0" w:color="000000" w:themeColor="text1"/>
          <w:insideH w:val="single" w:sz="6" w:space="0" w:color="000000" w:themeColor="text1"/>
        </w:tblBorders>
        <w:tblLayout w:type="fixed"/>
        <w:tblCellMar>
          <w:left w:w="115" w:type="dxa"/>
          <w:right w:w="360" w:type="dxa"/>
        </w:tblCellMar>
        <w:tblLook w:val="0000"/>
      </w:tblPr>
      <w:tblGrid>
        <w:gridCol w:w="2815"/>
        <w:gridCol w:w="2181"/>
        <w:gridCol w:w="2182"/>
        <w:gridCol w:w="2182"/>
      </w:tblGrid>
      <w:tr w14:paraId="68135B64" w14:textId="77777777" w:rsidTr="001178F2">
        <w:tblPrEx>
          <w:tblW w:w="9360" w:type="dxa"/>
          <w:tblBorders>
            <w:top w:val="single" w:sz="12" w:space="0" w:color="000000" w:themeColor="text1"/>
            <w:bottom w:val="single" w:sz="12" w:space="0" w:color="000000" w:themeColor="text1"/>
            <w:insideH w:val="single" w:sz="6" w:space="0" w:color="000000" w:themeColor="text1"/>
          </w:tblBorders>
          <w:tblLayout w:type="fixed"/>
          <w:tblCellMar>
            <w:left w:w="115" w:type="dxa"/>
            <w:right w:w="360" w:type="dxa"/>
          </w:tblCellMar>
          <w:tblLook w:val="0000"/>
        </w:tblPrEx>
        <w:tc>
          <w:tcPr>
            <w:tcW w:w="2815" w:type="dxa"/>
            <w:shd w:val="clear" w:color="auto" w:fill="auto"/>
            <w:vAlign w:val="bottom"/>
          </w:tcPr>
          <w:p w:rsidR="00005D92" w:rsidRPr="00E04F96" w:rsidP="001178F2" w14:paraId="0C1FF64E" w14:textId="77777777">
            <w:pPr>
              <w:pStyle w:val="table-headers"/>
              <w:spacing w:before="60" w:after="60"/>
            </w:pPr>
            <w:r w:rsidRPr="00E04F96">
              <w:t>Government Personnel</w:t>
            </w:r>
          </w:p>
        </w:tc>
        <w:tc>
          <w:tcPr>
            <w:tcW w:w="2181" w:type="dxa"/>
            <w:shd w:val="clear" w:color="auto" w:fill="auto"/>
            <w:vAlign w:val="bottom"/>
          </w:tcPr>
          <w:p w:rsidR="00005D92" w:rsidRPr="00E04F96" w:rsidP="001178F2" w14:paraId="4138D020" w14:textId="77777777">
            <w:pPr>
              <w:pStyle w:val="table-headers"/>
              <w:spacing w:before="60" w:after="60"/>
            </w:pPr>
            <w:r w:rsidRPr="00E04F96">
              <w:t>Time Commitment</w:t>
            </w:r>
          </w:p>
        </w:tc>
        <w:tc>
          <w:tcPr>
            <w:tcW w:w="2182" w:type="dxa"/>
            <w:shd w:val="clear" w:color="auto" w:fill="auto"/>
            <w:vAlign w:val="bottom"/>
          </w:tcPr>
          <w:p w:rsidR="00005D92" w:rsidRPr="00E04F96" w:rsidP="001178F2" w14:paraId="3B952189" w14:textId="77777777">
            <w:pPr>
              <w:pStyle w:val="table-headers"/>
              <w:spacing w:before="60" w:after="60"/>
            </w:pPr>
            <w:r w:rsidRPr="00E04F96">
              <w:t>Average Annual Salary</w:t>
            </w:r>
          </w:p>
        </w:tc>
        <w:tc>
          <w:tcPr>
            <w:tcW w:w="2182" w:type="dxa"/>
            <w:shd w:val="clear" w:color="auto" w:fill="auto"/>
            <w:vAlign w:val="bottom"/>
          </w:tcPr>
          <w:p w:rsidR="00005D92" w:rsidRPr="00E04F96" w:rsidP="001178F2" w14:paraId="63344A4D" w14:textId="77777777">
            <w:pPr>
              <w:pStyle w:val="table-headers"/>
              <w:spacing w:before="60" w:after="60"/>
            </w:pPr>
            <w:r w:rsidRPr="00E04F96">
              <w:t>Total</w:t>
            </w:r>
          </w:p>
        </w:tc>
      </w:tr>
      <w:tr w14:paraId="14E39BB3" w14:textId="77777777" w:rsidTr="00EE2910">
        <w:tblPrEx>
          <w:tblW w:w="9360" w:type="dxa"/>
          <w:tblLayout w:type="fixed"/>
          <w:tblCellMar>
            <w:left w:w="115" w:type="dxa"/>
            <w:right w:w="360" w:type="dxa"/>
          </w:tblCellMar>
          <w:tblLook w:val="0000"/>
        </w:tblPrEx>
        <w:tc>
          <w:tcPr>
            <w:tcW w:w="2815" w:type="dxa"/>
            <w:shd w:val="clear" w:color="auto" w:fill="auto"/>
            <w:vAlign w:val="center"/>
          </w:tcPr>
          <w:p w:rsidR="002B4247" w:rsidRPr="00342C5E" w:rsidP="002B4247" w14:paraId="49A5E8FD" w14:textId="77777777">
            <w:pPr>
              <w:pStyle w:val="table-text"/>
              <w:spacing w:before="60" w:after="60"/>
            </w:pPr>
            <w:r w:rsidRPr="00342C5E">
              <w:t>GS-13</w:t>
            </w:r>
          </w:p>
        </w:tc>
        <w:tc>
          <w:tcPr>
            <w:tcW w:w="2181" w:type="dxa"/>
            <w:shd w:val="clear" w:color="auto" w:fill="auto"/>
          </w:tcPr>
          <w:p w:rsidR="002B4247" w:rsidRPr="00342C5E" w:rsidP="002B4247" w14:paraId="7CE80DB2" w14:textId="1A5B3521">
            <w:pPr>
              <w:pStyle w:val="table-text"/>
              <w:spacing w:before="60" w:after="60"/>
              <w:jc w:val="center"/>
            </w:pPr>
            <w:r w:rsidRPr="00342C5E">
              <w:t>20</w:t>
            </w:r>
            <w:r w:rsidRPr="00342C5E" w:rsidR="008215E1">
              <w:t>%</w:t>
            </w:r>
          </w:p>
        </w:tc>
        <w:tc>
          <w:tcPr>
            <w:tcW w:w="2182" w:type="dxa"/>
            <w:shd w:val="clear" w:color="auto" w:fill="auto"/>
          </w:tcPr>
          <w:p w:rsidR="002B4247" w:rsidRPr="00342C5E" w:rsidP="002B4247" w14:paraId="6D62530F" w14:textId="1DBF171C">
            <w:pPr>
              <w:pStyle w:val="table-text"/>
              <w:spacing w:before="60" w:after="60"/>
              <w:jc w:val="center"/>
            </w:pPr>
            <w:r w:rsidRPr="00342C5E">
              <w:t>$</w:t>
            </w:r>
            <w:r w:rsidR="00774648">
              <w:t>119,482</w:t>
            </w:r>
          </w:p>
        </w:tc>
        <w:tc>
          <w:tcPr>
            <w:tcW w:w="2182" w:type="dxa"/>
            <w:shd w:val="clear" w:color="auto" w:fill="auto"/>
          </w:tcPr>
          <w:p w:rsidR="002B4247" w:rsidRPr="00342C5E" w:rsidP="002B4247" w14:paraId="701947C7" w14:textId="46E64465">
            <w:pPr>
              <w:pStyle w:val="table-text"/>
              <w:spacing w:before="60" w:after="60"/>
              <w:jc w:val="center"/>
            </w:pPr>
            <w:r w:rsidRPr="00342C5E">
              <w:t>$</w:t>
            </w:r>
            <w:r w:rsidR="00774648">
              <w:t>23,896.40</w:t>
            </w:r>
          </w:p>
        </w:tc>
      </w:tr>
      <w:tr w14:paraId="241B3CED" w14:textId="77777777" w:rsidTr="00EE2910">
        <w:tblPrEx>
          <w:tblW w:w="9360" w:type="dxa"/>
          <w:tblLayout w:type="fixed"/>
          <w:tblCellMar>
            <w:left w:w="115" w:type="dxa"/>
            <w:right w:w="360" w:type="dxa"/>
          </w:tblCellMar>
          <w:tblLook w:val="0000"/>
        </w:tblPrEx>
        <w:tc>
          <w:tcPr>
            <w:tcW w:w="2815" w:type="dxa"/>
            <w:shd w:val="clear" w:color="auto" w:fill="auto"/>
            <w:vAlign w:val="center"/>
          </w:tcPr>
          <w:p w:rsidR="0049319E" w:rsidRPr="00342C5E" w:rsidP="002B4247" w14:paraId="522FFDEC" w14:textId="6690DDB0">
            <w:pPr>
              <w:pStyle w:val="table-text"/>
              <w:spacing w:before="60" w:after="60"/>
            </w:pPr>
            <w:r w:rsidRPr="00342C5E">
              <w:t>GS-14</w:t>
            </w:r>
          </w:p>
        </w:tc>
        <w:tc>
          <w:tcPr>
            <w:tcW w:w="2181" w:type="dxa"/>
            <w:shd w:val="clear" w:color="auto" w:fill="auto"/>
          </w:tcPr>
          <w:p w:rsidR="0049319E" w:rsidRPr="00342C5E" w:rsidP="002B4247" w14:paraId="162D1723" w14:textId="58601A9A">
            <w:pPr>
              <w:pStyle w:val="table-text"/>
              <w:spacing w:before="60" w:after="60"/>
              <w:jc w:val="center"/>
            </w:pPr>
            <w:r w:rsidRPr="00342C5E">
              <w:t>5%</w:t>
            </w:r>
          </w:p>
        </w:tc>
        <w:tc>
          <w:tcPr>
            <w:tcW w:w="2182" w:type="dxa"/>
            <w:shd w:val="clear" w:color="auto" w:fill="auto"/>
          </w:tcPr>
          <w:p w:rsidR="0049319E" w:rsidRPr="00342C5E" w:rsidP="002B4247" w14:paraId="5ADD495E" w14:textId="01F28BBF">
            <w:pPr>
              <w:pStyle w:val="table-text"/>
              <w:spacing w:before="60" w:after="60"/>
              <w:jc w:val="center"/>
            </w:pPr>
            <w:r w:rsidRPr="00342C5E">
              <w:t>$</w:t>
            </w:r>
            <w:r w:rsidR="00774648">
              <w:t>141,192</w:t>
            </w:r>
          </w:p>
        </w:tc>
        <w:tc>
          <w:tcPr>
            <w:tcW w:w="2182" w:type="dxa"/>
            <w:shd w:val="clear" w:color="auto" w:fill="auto"/>
          </w:tcPr>
          <w:p w:rsidR="0049319E" w:rsidRPr="00342C5E" w:rsidP="002B4247" w14:paraId="76548911" w14:textId="50E7D8FB">
            <w:pPr>
              <w:pStyle w:val="table-text"/>
              <w:spacing w:before="60" w:after="60"/>
              <w:jc w:val="center"/>
            </w:pPr>
            <w:r w:rsidRPr="00342C5E">
              <w:t>$</w:t>
            </w:r>
            <w:r w:rsidR="00774648">
              <w:t>7,059.60</w:t>
            </w:r>
          </w:p>
        </w:tc>
      </w:tr>
      <w:tr w14:paraId="202D1988" w14:textId="77777777" w:rsidTr="001178F2">
        <w:tblPrEx>
          <w:tblW w:w="9360" w:type="dxa"/>
          <w:tblLayout w:type="fixed"/>
          <w:tblCellMar>
            <w:left w:w="115" w:type="dxa"/>
            <w:right w:w="360" w:type="dxa"/>
          </w:tblCellMar>
          <w:tblLook w:val="0000"/>
        </w:tblPrEx>
        <w:tc>
          <w:tcPr>
            <w:tcW w:w="2815" w:type="dxa"/>
            <w:shd w:val="clear" w:color="auto" w:fill="auto"/>
            <w:vAlign w:val="center"/>
          </w:tcPr>
          <w:p w:rsidR="00005D92" w:rsidRPr="00342C5E" w:rsidP="001178F2" w14:paraId="6055C316" w14:textId="77777777">
            <w:pPr>
              <w:pStyle w:val="table-text"/>
              <w:spacing w:before="60" w:after="60"/>
            </w:pPr>
            <w:r w:rsidRPr="00342C5E">
              <w:t>Total Salary Costs</w:t>
            </w:r>
          </w:p>
        </w:tc>
        <w:tc>
          <w:tcPr>
            <w:tcW w:w="2181" w:type="dxa"/>
            <w:shd w:val="clear" w:color="auto" w:fill="auto"/>
            <w:vAlign w:val="center"/>
          </w:tcPr>
          <w:p w:rsidR="00005D92" w:rsidRPr="00342C5E" w:rsidP="001178F2" w14:paraId="552A1C86" w14:textId="77777777">
            <w:pPr>
              <w:pStyle w:val="table-text"/>
              <w:spacing w:before="60" w:after="60"/>
              <w:jc w:val="center"/>
            </w:pPr>
          </w:p>
        </w:tc>
        <w:tc>
          <w:tcPr>
            <w:tcW w:w="2182" w:type="dxa"/>
            <w:shd w:val="clear" w:color="auto" w:fill="auto"/>
            <w:vAlign w:val="center"/>
          </w:tcPr>
          <w:p w:rsidR="00005D92" w:rsidRPr="00342C5E" w:rsidP="001178F2" w14:paraId="4B953258" w14:textId="77777777">
            <w:pPr>
              <w:pStyle w:val="table-text"/>
              <w:spacing w:before="60" w:after="60"/>
              <w:jc w:val="center"/>
            </w:pPr>
          </w:p>
        </w:tc>
        <w:tc>
          <w:tcPr>
            <w:tcW w:w="2182" w:type="dxa"/>
            <w:shd w:val="clear" w:color="auto" w:fill="auto"/>
            <w:vAlign w:val="center"/>
          </w:tcPr>
          <w:p w:rsidR="00005D92" w:rsidRPr="00342C5E" w:rsidP="001178F2" w14:paraId="35B948DD" w14:textId="697BF0AC">
            <w:pPr>
              <w:pStyle w:val="table-text"/>
              <w:spacing w:before="60" w:after="60"/>
              <w:jc w:val="center"/>
            </w:pPr>
            <w:r w:rsidRPr="00342C5E">
              <w:t>$</w:t>
            </w:r>
            <w:r w:rsidR="00774648">
              <w:t>30,956.00</w:t>
            </w:r>
          </w:p>
        </w:tc>
      </w:tr>
      <w:tr w14:paraId="4B999CC1" w14:textId="77777777" w:rsidTr="001178F2">
        <w:tblPrEx>
          <w:tblW w:w="9360" w:type="dxa"/>
          <w:tblLayout w:type="fixed"/>
          <w:tblCellMar>
            <w:left w:w="115" w:type="dxa"/>
            <w:right w:w="360" w:type="dxa"/>
          </w:tblCellMar>
          <w:tblLook w:val="0000"/>
        </w:tblPrEx>
        <w:tc>
          <w:tcPr>
            <w:tcW w:w="2815" w:type="dxa"/>
            <w:shd w:val="clear" w:color="auto" w:fill="auto"/>
            <w:vAlign w:val="center"/>
          </w:tcPr>
          <w:p w:rsidR="00005D92" w:rsidRPr="00342C5E" w:rsidP="001178F2" w14:paraId="7D3948AD" w14:textId="77777777">
            <w:pPr>
              <w:pStyle w:val="table-text"/>
              <w:spacing w:before="60" w:after="60"/>
            </w:pPr>
            <w:r w:rsidRPr="00342C5E">
              <w:t>Contractor Costs</w:t>
            </w:r>
          </w:p>
        </w:tc>
        <w:tc>
          <w:tcPr>
            <w:tcW w:w="2181" w:type="dxa"/>
            <w:shd w:val="clear" w:color="auto" w:fill="auto"/>
            <w:vAlign w:val="center"/>
          </w:tcPr>
          <w:p w:rsidR="00005D92" w:rsidRPr="00342C5E" w:rsidP="001178F2" w14:paraId="19A5FFA0" w14:textId="77777777">
            <w:pPr>
              <w:pStyle w:val="table-text"/>
              <w:spacing w:before="60" w:after="60"/>
              <w:jc w:val="center"/>
            </w:pPr>
          </w:p>
        </w:tc>
        <w:tc>
          <w:tcPr>
            <w:tcW w:w="2182" w:type="dxa"/>
            <w:shd w:val="clear" w:color="auto" w:fill="auto"/>
            <w:vAlign w:val="center"/>
          </w:tcPr>
          <w:p w:rsidR="00005D92" w:rsidRPr="00342C5E" w:rsidP="001178F2" w14:paraId="104C4A76" w14:textId="77777777">
            <w:pPr>
              <w:pStyle w:val="table-text"/>
              <w:spacing w:before="60" w:after="60"/>
              <w:jc w:val="center"/>
            </w:pPr>
          </w:p>
        </w:tc>
        <w:tc>
          <w:tcPr>
            <w:tcW w:w="2182" w:type="dxa"/>
            <w:shd w:val="clear" w:color="auto" w:fill="auto"/>
            <w:vAlign w:val="center"/>
          </w:tcPr>
          <w:p w:rsidR="00005D92" w:rsidRPr="00342C5E" w:rsidP="001178F2" w14:paraId="59D14038" w14:textId="1CA2AEA2">
            <w:pPr>
              <w:pStyle w:val="table-text"/>
              <w:spacing w:before="60" w:after="60"/>
              <w:jc w:val="center"/>
            </w:pPr>
            <w:r w:rsidRPr="00342C5E">
              <w:t>$</w:t>
            </w:r>
            <w:r w:rsidRPr="00342C5E" w:rsidR="002B4247">
              <w:t>96,143.00</w:t>
            </w:r>
          </w:p>
        </w:tc>
      </w:tr>
      <w:tr w14:paraId="290CEC59" w14:textId="77777777" w:rsidTr="001178F2">
        <w:tblPrEx>
          <w:tblW w:w="9360" w:type="dxa"/>
          <w:tblLayout w:type="fixed"/>
          <w:tblCellMar>
            <w:left w:w="115" w:type="dxa"/>
            <w:right w:w="360" w:type="dxa"/>
          </w:tblCellMar>
          <w:tblLook w:val="0000"/>
        </w:tblPrEx>
        <w:tc>
          <w:tcPr>
            <w:tcW w:w="2815" w:type="dxa"/>
            <w:shd w:val="clear" w:color="auto" w:fill="auto"/>
            <w:vAlign w:val="center"/>
          </w:tcPr>
          <w:p w:rsidR="00005D92" w:rsidRPr="00342C5E" w:rsidP="001178F2" w14:paraId="5F1F6DFB" w14:textId="77777777">
            <w:pPr>
              <w:pStyle w:val="table-text"/>
              <w:spacing w:before="60" w:after="60"/>
              <w:rPr>
                <w:b/>
              </w:rPr>
            </w:pPr>
            <w:r w:rsidRPr="00342C5E">
              <w:rPr>
                <w:b/>
              </w:rPr>
              <w:t xml:space="preserve">Total </w:t>
            </w:r>
          </w:p>
        </w:tc>
        <w:tc>
          <w:tcPr>
            <w:tcW w:w="2181" w:type="dxa"/>
            <w:shd w:val="clear" w:color="auto" w:fill="auto"/>
            <w:vAlign w:val="center"/>
          </w:tcPr>
          <w:p w:rsidR="00005D92" w:rsidRPr="00342C5E" w:rsidP="001178F2" w14:paraId="53CB162A" w14:textId="77777777">
            <w:pPr>
              <w:pStyle w:val="table-text"/>
              <w:spacing w:before="60" w:after="60"/>
              <w:jc w:val="center"/>
              <w:rPr>
                <w:b/>
              </w:rPr>
            </w:pPr>
          </w:p>
        </w:tc>
        <w:tc>
          <w:tcPr>
            <w:tcW w:w="2182" w:type="dxa"/>
            <w:shd w:val="clear" w:color="auto" w:fill="auto"/>
            <w:vAlign w:val="center"/>
          </w:tcPr>
          <w:p w:rsidR="00005D92" w:rsidRPr="00342C5E" w:rsidP="001178F2" w14:paraId="311E3D3F" w14:textId="77777777">
            <w:pPr>
              <w:pStyle w:val="table-text"/>
              <w:spacing w:before="60" w:after="60"/>
              <w:jc w:val="center"/>
              <w:rPr>
                <w:b/>
              </w:rPr>
            </w:pPr>
          </w:p>
        </w:tc>
        <w:tc>
          <w:tcPr>
            <w:tcW w:w="2182" w:type="dxa"/>
            <w:shd w:val="clear" w:color="auto" w:fill="auto"/>
            <w:vAlign w:val="center"/>
          </w:tcPr>
          <w:p w:rsidR="00005D92" w:rsidRPr="00342C5E" w:rsidP="001178F2" w14:paraId="70207A9E" w14:textId="52CCDF02">
            <w:pPr>
              <w:pStyle w:val="table-text"/>
              <w:spacing w:before="60" w:after="60"/>
              <w:jc w:val="center"/>
              <w:rPr>
                <w:b/>
                <w:bCs/>
              </w:rPr>
            </w:pPr>
            <w:r w:rsidRPr="00342C5E">
              <w:rPr>
                <w:b/>
                <w:bCs/>
              </w:rPr>
              <w:t>$</w:t>
            </w:r>
            <w:r w:rsidRPr="00342C5E" w:rsidR="00B04251">
              <w:rPr>
                <w:b/>
                <w:bCs/>
              </w:rPr>
              <w:t>127,</w:t>
            </w:r>
            <w:r w:rsidR="00774648">
              <w:rPr>
                <w:b/>
                <w:bCs/>
              </w:rPr>
              <w:t>099.00</w:t>
            </w:r>
          </w:p>
        </w:tc>
      </w:tr>
    </w:tbl>
    <w:p w:rsidR="00005D92" w:rsidRPr="000A6CE6" w:rsidP="00005D92" w14:paraId="2AF960A1" w14:textId="77777777">
      <w:pPr>
        <w:pStyle w:val="Heading3"/>
      </w:pPr>
      <w:r w:rsidRPr="000A6CE6">
        <w:t>Explanation for Program Changes or Adjustments</w:t>
      </w:r>
    </w:p>
    <w:p w:rsidR="00005D92" w:rsidP="00B76014" w14:paraId="3BFCD96E" w14:textId="3D2C6F99">
      <w:pPr>
        <w:pStyle w:val="BodyText0"/>
        <w:ind w:firstLine="0"/>
      </w:pPr>
      <w:r>
        <w:t>This is a new da</w:t>
      </w:r>
      <w:r w:rsidRPr="00AD4C50">
        <w:t>ta collection.</w:t>
      </w:r>
    </w:p>
    <w:p w:rsidR="006536FC" w:rsidRPr="00AD4C50" w:rsidP="00B76014" w14:paraId="6CC2092F" w14:textId="77777777">
      <w:pPr>
        <w:pStyle w:val="BodyText0"/>
        <w:ind w:firstLine="0"/>
      </w:pPr>
    </w:p>
    <w:p w:rsidR="00005D92" w:rsidRPr="000A6CE6" w:rsidP="00005D92" w14:paraId="6E2E1BBD" w14:textId="77777777">
      <w:pPr>
        <w:pStyle w:val="Heading3"/>
      </w:pPr>
      <w:r w:rsidRPr="000A6CE6">
        <w:t>Plans for Tabulation and Publication and Project Time Schedule</w:t>
      </w:r>
    </w:p>
    <w:p w:rsidR="00005D92" w:rsidP="00B76014" w14:paraId="79EB0623" w14:textId="77777777">
      <w:pPr>
        <w:pStyle w:val="BodyText0"/>
        <w:ind w:firstLine="0"/>
      </w:pPr>
      <w:r>
        <w:t xml:space="preserve">The project schedule is shown in Table 4. Future development </w:t>
      </w:r>
      <w:r w:rsidRPr="007D70A6">
        <w:rPr>
          <w:color w:val="000000"/>
        </w:rPr>
        <w:t>and</w:t>
      </w:r>
      <w:r>
        <w:t xml:space="preserve"> research activities are dependent on the timely completion of the present study.</w:t>
      </w:r>
    </w:p>
    <w:p w:rsidR="00005D92" w:rsidRPr="00880FF9" w:rsidP="00005D92" w14:paraId="48575CE2" w14:textId="77777777">
      <w:pPr>
        <w:pStyle w:val="table-title"/>
      </w:pPr>
      <w:bookmarkStart w:id="8" w:name="_Toc66689102"/>
      <w:bookmarkStart w:id="9" w:name="_Toc140476560"/>
      <w:bookmarkStart w:id="10" w:name="_Toc216595340"/>
      <w:bookmarkStart w:id="11" w:name="_Toc361824172"/>
      <w:r w:rsidRPr="00287D6C">
        <w:t>Table 4.</w:t>
      </w:r>
      <w:bookmarkEnd w:id="8"/>
      <w:bookmarkEnd w:id="9"/>
      <w:bookmarkEnd w:id="10"/>
      <w:r w:rsidRPr="00287D6C">
        <w:t xml:space="preserve"> Project Schedule</w:t>
      </w:r>
      <w:bookmarkEnd w:id="11"/>
    </w:p>
    <w:tbl>
      <w:tblPr>
        <w:tblW w:w="6480" w:type="dxa"/>
        <w:tblInd w:w="1530" w:type="dxa"/>
        <w:tblBorders>
          <w:top w:val="single" w:sz="12" w:space="0" w:color="000000"/>
          <w:bottom w:val="single" w:sz="12" w:space="0" w:color="000000"/>
          <w:insideH w:val="single" w:sz="6" w:space="0" w:color="000000"/>
        </w:tblBorders>
        <w:tblLayout w:type="fixed"/>
        <w:tblLook w:val="0000"/>
      </w:tblPr>
      <w:tblGrid>
        <w:gridCol w:w="3240"/>
        <w:gridCol w:w="3240"/>
      </w:tblGrid>
      <w:tr w14:paraId="032652B1" w14:textId="77777777" w:rsidTr="001178F2">
        <w:tblPrEx>
          <w:tblW w:w="6480" w:type="dxa"/>
          <w:tblInd w:w="1530" w:type="dxa"/>
          <w:tblBorders>
            <w:top w:val="single" w:sz="12" w:space="0" w:color="000000"/>
            <w:bottom w:val="single" w:sz="12" w:space="0" w:color="000000"/>
            <w:insideH w:val="single" w:sz="6" w:space="0" w:color="000000"/>
          </w:tblBorders>
          <w:tblLayout w:type="fixed"/>
          <w:tblLook w:val="0000"/>
        </w:tblPrEx>
        <w:trPr>
          <w:trHeight w:val="409"/>
        </w:trPr>
        <w:tc>
          <w:tcPr>
            <w:tcW w:w="3240" w:type="dxa"/>
            <w:shd w:val="clear" w:color="auto" w:fill="auto"/>
            <w:vAlign w:val="bottom"/>
          </w:tcPr>
          <w:p w:rsidR="00005D92" w:rsidRPr="00BB1BEF" w:rsidP="001178F2" w14:paraId="5A9320CB" w14:textId="77777777">
            <w:pPr>
              <w:pStyle w:val="table-headers"/>
            </w:pPr>
            <w:r w:rsidRPr="00BB1BEF">
              <w:t>Activity</w:t>
            </w:r>
          </w:p>
        </w:tc>
        <w:tc>
          <w:tcPr>
            <w:tcW w:w="3240" w:type="dxa"/>
          </w:tcPr>
          <w:p w:rsidR="00005D92" w:rsidP="001178F2" w14:paraId="595DEBA7" w14:textId="77777777">
            <w:pPr>
              <w:pStyle w:val="table-headers"/>
            </w:pPr>
            <w:r>
              <w:t>Approximate Date</w:t>
            </w:r>
          </w:p>
        </w:tc>
      </w:tr>
      <w:tr w14:paraId="0400540E" w14:textId="77777777" w:rsidTr="001178F2">
        <w:tblPrEx>
          <w:tblW w:w="6480" w:type="dxa"/>
          <w:tblInd w:w="1530" w:type="dxa"/>
          <w:tblLayout w:type="fixed"/>
          <w:tblLook w:val="0000"/>
        </w:tblPrEx>
        <w:trPr>
          <w:cantSplit/>
        </w:trPr>
        <w:tc>
          <w:tcPr>
            <w:tcW w:w="3240" w:type="dxa"/>
            <w:shd w:val="clear" w:color="auto" w:fill="auto"/>
            <w:vAlign w:val="center"/>
          </w:tcPr>
          <w:p w:rsidR="00005D92" w:rsidRPr="00BB1BEF" w:rsidP="001178F2" w14:paraId="703F0ECA" w14:textId="77777777">
            <w:pPr>
              <w:pStyle w:val="table-text"/>
            </w:pPr>
            <w:r w:rsidRPr="00BB1BEF">
              <w:t>Data Collection</w:t>
            </w:r>
            <w:r>
              <w:t xml:space="preserve"> </w:t>
            </w:r>
          </w:p>
        </w:tc>
        <w:tc>
          <w:tcPr>
            <w:tcW w:w="3240" w:type="dxa"/>
          </w:tcPr>
          <w:p w:rsidR="00005D92" w:rsidP="001178F2" w14:paraId="3E2747F5" w14:textId="14B05D47">
            <w:pPr>
              <w:pStyle w:val="table-text"/>
            </w:pPr>
            <w:r>
              <w:t>August 2023</w:t>
            </w:r>
          </w:p>
        </w:tc>
      </w:tr>
      <w:tr w14:paraId="2DF731BC" w14:textId="77777777" w:rsidTr="001178F2">
        <w:tblPrEx>
          <w:tblW w:w="6480" w:type="dxa"/>
          <w:tblInd w:w="1530" w:type="dxa"/>
          <w:tblLayout w:type="fixed"/>
          <w:tblLook w:val="0000"/>
        </w:tblPrEx>
        <w:trPr>
          <w:cantSplit/>
        </w:trPr>
        <w:tc>
          <w:tcPr>
            <w:tcW w:w="3240" w:type="dxa"/>
            <w:shd w:val="clear" w:color="auto" w:fill="auto"/>
            <w:vAlign w:val="center"/>
          </w:tcPr>
          <w:p w:rsidR="00005D92" w:rsidRPr="00BB1BEF" w:rsidP="001178F2" w14:paraId="1BA54C98" w14:textId="77777777">
            <w:pPr>
              <w:pStyle w:val="table-text"/>
            </w:pPr>
            <w:r>
              <w:t xml:space="preserve">Draft Reporting Deliverables </w:t>
            </w:r>
          </w:p>
        </w:tc>
        <w:tc>
          <w:tcPr>
            <w:tcW w:w="3240" w:type="dxa"/>
          </w:tcPr>
          <w:p w:rsidR="00005D92" w:rsidRPr="00735143" w:rsidP="001178F2" w14:paraId="2F781CD7" w14:textId="6EAD72CE">
            <w:pPr>
              <w:pStyle w:val="table-text"/>
            </w:pPr>
            <w:r>
              <w:t>October 2023</w:t>
            </w:r>
          </w:p>
        </w:tc>
      </w:tr>
      <w:tr w14:paraId="3145706D" w14:textId="77777777" w:rsidTr="001178F2">
        <w:tblPrEx>
          <w:tblW w:w="6480" w:type="dxa"/>
          <w:tblInd w:w="1530" w:type="dxa"/>
          <w:tblLayout w:type="fixed"/>
          <w:tblLook w:val="0000"/>
        </w:tblPrEx>
        <w:trPr>
          <w:cantSplit/>
        </w:trPr>
        <w:tc>
          <w:tcPr>
            <w:tcW w:w="3240" w:type="dxa"/>
            <w:shd w:val="clear" w:color="auto" w:fill="auto"/>
            <w:vAlign w:val="center"/>
          </w:tcPr>
          <w:p w:rsidR="00005D92" w:rsidP="001178F2" w14:paraId="7F3BB3AA" w14:textId="77777777">
            <w:pPr>
              <w:pStyle w:val="table-text"/>
            </w:pPr>
            <w:r>
              <w:t>Final Reporting Deliverables</w:t>
            </w:r>
          </w:p>
        </w:tc>
        <w:tc>
          <w:tcPr>
            <w:tcW w:w="3240" w:type="dxa"/>
          </w:tcPr>
          <w:p w:rsidR="00005D92" w:rsidRPr="00735143" w:rsidP="001178F2" w14:paraId="30686DB4" w14:textId="6920E0D7">
            <w:pPr>
              <w:pStyle w:val="table-text"/>
            </w:pPr>
            <w:r>
              <w:t>November</w:t>
            </w:r>
            <w:r>
              <w:t xml:space="preserve"> </w:t>
            </w:r>
            <w:r>
              <w:t>2023</w:t>
            </w:r>
          </w:p>
        </w:tc>
      </w:tr>
    </w:tbl>
    <w:p w:rsidR="00005D92" w:rsidRPr="005C5A50" w:rsidP="00005D92" w14:paraId="4CAA4013" w14:textId="77777777">
      <w:pPr>
        <w:pStyle w:val="Heading3"/>
      </w:pPr>
      <w:r w:rsidRPr="005C5A50">
        <w:t>Reason(s) Display of OMB Expiration Date is Inappropriate</w:t>
      </w:r>
    </w:p>
    <w:p w:rsidR="00005D92" w:rsidP="00B76014" w14:paraId="3A68FC1C" w14:textId="77777777">
      <w:pPr>
        <w:pStyle w:val="BodyText0"/>
        <w:ind w:firstLine="0"/>
      </w:pPr>
      <w:r w:rsidRPr="00EB6BBC">
        <w:t>FDA is not requesting an exemption for display of the OMB expiration date and is also not seeking OMB approval to exclude the expiration date for this information collection.</w:t>
      </w:r>
      <w:r>
        <w:t xml:space="preserve"> </w:t>
      </w:r>
      <w:r w:rsidRPr="00EB6BBC">
        <w:t xml:space="preserve">The OMB approval and expiration date will be displayed on </w:t>
      </w:r>
      <w:r>
        <w:t>the relevant</w:t>
      </w:r>
      <w:r w:rsidRPr="00EB6BBC">
        <w:t xml:space="preserve"> materials associated with the study.</w:t>
      </w:r>
    </w:p>
    <w:p w:rsidR="00005D92" w:rsidRPr="005C5A50" w:rsidP="00005D92" w14:paraId="689C8487" w14:textId="77777777">
      <w:pPr>
        <w:pStyle w:val="Heading3"/>
      </w:pPr>
      <w:r w:rsidRPr="005C5A50">
        <w:t>Exceptions to Certification for Paperwork Reduction Act Submissions</w:t>
      </w:r>
    </w:p>
    <w:p w:rsidR="00005D92" w:rsidRPr="004C7D81" w:rsidP="00B76014" w14:paraId="57951E63" w14:textId="77777777">
      <w:pPr>
        <w:pStyle w:val="BodyText0"/>
        <w:ind w:firstLine="0"/>
      </w:pPr>
      <w:r>
        <w:t>There are no exceptions to the certification.</w:t>
      </w:r>
    </w:p>
    <w:p w:rsidR="00005D92" w:rsidP="00005D92" w14:paraId="3F883E34" w14:textId="77777777">
      <w:pPr>
        <w:pStyle w:val="BodyText0"/>
        <w:ind w:firstLine="0"/>
      </w:pPr>
    </w:p>
    <w:p w:rsidR="004A3927" w:rsidRPr="004C6979" w:rsidP="007044B2" w14:paraId="61962039" w14:textId="16DEFD8D">
      <w:pPr>
        <w:pStyle w:val="BodyText0"/>
      </w:pPr>
      <w:r>
        <w:fldChar w:fldCharType="begin"/>
      </w:r>
      <w:r>
        <w:instrText>ADDIN EN.REFLIST</w:instrText>
      </w:r>
      <w:r>
        <w:fldChar w:fldCharType="separate"/>
      </w:r>
      <w:r>
        <w:fldChar w:fldCharType="end"/>
      </w:r>
    </w:p>
    <w:sectPr w:rsidSect="00D3481D">
      <w:footerReference w:type="even" r:id="rId11"/>
      <w:footerReference w:type="default" r:id="rId12"/>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D53" w:rsidP="003F3DF5" w14:paraId="00D5028A" w14:textId="67BD75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2002">
      <w:rPr>
        <w:rStyle w:val="PageNumber"/>
        <w:noProof/>
      </w:rPr>
      <w:t>1</w:t>
    </w:r>
    <w:r>
      <w:rPr>
        <w:rStyle w:val="PageNumber"/>
      </w:rPr>
      <w:fldChar w:fldCharType="end"/>
    </w:r>
  </w:p>
  <w:p w:rsidR="00C43D53" w14:paraId="06CF1F6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D53" w:rsidP="00850940" w14:paraId="333E8A49" w14:textId="5EB6D1C0">
    <w:pPr>
      <w:pStyle w:val="Footer"/>
      <w:numPr>
        <w:ilvl w:val="0"/>
        <w:numId w:val="0"/>
      </w:numP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2BE6" w14:paraId="405F1E60" w14:textId="77777777">
      <w:r>
        <w:separator/>
      </w:r>
    </w:p>
  </w:footnote>
  <w:footnote w:type="continuationSeparator" w:id="1">
    <w:p w:rsidR="00822BE6" w14:paraId="252E33A1" w14:textId="77777777">
      <w:r>
        <w:continuationSeparator/>
      </w:r>
    </w:p>
  </w:footnote>
  <w:footnote w:type="continuationNotice" w:id="2">
    <w:p w:rsidR="00822BE6" w14:paraId="4A21D845" w14:textId="77777777"/>
  </w:footnote>
  <w:footnote w:id="3">
    <w:p w:rsidR="00C67B3B" w14:paraId="51ADACCF" w14:textId="730E3414">
      <w:pPr>
        <w:pStyle w:val="FootnoteText"/>
      </w:pPr>
      <w:r>
        <w:rPr>
          <w:rStyle w:val="FootnoteReference"/>
        </w:rPr>
        <w:footnoteRef/>
      </w:r>
      <w:r>
        <w:t xml:space="preserve"> </w:t>
      </w:r>
      <w:r w:rsidRPr="00AA6599">
        <w:t>Vaped or used cigarettes on 1 or more of the past 30 days.</w:t>
      </w:r>
    </w:p>
    <w:p w:rsidR="00C67B3B" w:rsidP="00D86484" w14:paraId="02F0E26C" w14:textId="77777777">
      <w:pPr>
        <w:pStyle w:val="FootnoteText"/>
        <w:ind w:left="0" w:firstLine="0"/>
      </w:pPr>
    </w:p>
  </w:footnote>
  <w:footnote w:id="4">
    <w:p w:rsidR="00C67B3B" w14:paraId="001A5AA1" w14:textId="1C3E1EE5">
      <w:pPr>
        <w:pStyle w:val="FootnoteText"/>
      </w:pPr>
      <w:r>
        <w:rPr>
          <w:rStyle w:val="FootnoteReference"/>
        </w:rPr>
        <w:footnoteRef/>
      </w:r>
      <w:r>
        <w:t xml:space="preserve"> </w:t>
      </w:r>
      <w:r w:rsidRPr="00AA6599">
        <w:rPr>
          <w:vertAlign w:val="superscript"/>
        </w:rPr>
        <w:t>2</w:t>
      </w:r>
      <w:r w:rsidRPr="00AA6599">
        <w:t>Never vaped or used cigarettes and respond anything but “Definitely not” to at least 1 of the survey 3 items about susceptibility (whether will vape/smoke in the next year, try vaping/smoking soon, and try vaping/smoking if offered by a friend).</w:t>
      </w:r>
    </w:p>
  </w:footnote>
  <w:footnote w:id="5">
    <w:p w:rsidR="005B7CF0" w:rsidP="005B7CF0" w14:paraId="6DC17AD9" w14:textId="77777777">
      <w:pPr>
        <w:pStyle w:val="FootnoteText"/>
      </w:pPr>
      <w:r>
        <w:rPr>
          <w:rStyle w:val="FootnoteReference"/>
        </w:rPr>
        <w:footnoteRef/>
      </w:r>
      <w:r>
        <w:t xml:space="preserve"> </w:t>
      </w:r>
      <w:r w:rsidRPr="00913ED5">
        <w:t xml:space="preserve">Insights Association. (2021). Code of Standards and Ethics for Market Research and Data Analytics. </w:t>
      </w:r>
      <w:hyperlink r:id="rId1" w:history="1">
        <w:r w:rsidRPr="00B71F8A">
          <w:rPr>
            <w:rStyle w:val="Hyperlink"/>
          </w:rPr>
          <w:t>https://www.insightsassociation.org/sites/default/files/misc_files/ia_code_revised_november_2021_finalv2.pdf</w:t>
        </w:r>
      </w:hyperlink>
      <w:r>
        <w:t xml:space="preserve"> </w:t>
      </w:r>
    </w:p>
  </w:footnote>
  <w:footnote w:id="6">
    <w:p w:rsidR="00E14054" w14:paraId="15B3E335" w14:textId="521C4E39">
      <w:pPr>
        <w:pStyle w:val="FootnoteText"/>
      </w:pPr>
      <w:r>
        <w:rPr>
          <w:rStyle w:val="FootnoteReference"/>
        </w:rPr>
        <w:footnoteRef/>
      </w:r>
      <w:r>
        <w:t xml:space="preserve"> </w:t>
      </w:r>
      <w:r w:rsidRPr="00E14054">
        <w:t>Office of the Chief Statistician of the United States. (2023). Recommendations on the best</w:t>
      </w:r>
      <w:r w:rsidR="009B75E3">
        <w:t xml:space="preserve"> </w:t>
      </w:r>
      <w:r w:rsidRPr="00E14054">
        <w:t>practices for the collection of sexual orientation and gender identity data on federal statistical surveys. https://www.whitehouse.gov/wp-content/uploads/2023/01/SOGI-Best-Practices.pdf </w:t>
      </w:r>
    </w:p>
  </w:footnote>
  <w:footnote w:id="7">
    <w:p w:rsidR="00E14054" w14:paraId="3C2CEB85" w14:textId="2F2C776B">
      <w:pPr>
        <w:pStyle w:val="FootnoteText"/>
      </w:pPr>
      <w:r>
        <w:rPr>
          <w:rStyle w:val="FootnoteReference"/>
        </w:rPr>
        <w:footnoteRef/>
      </w:r>
      <w:r>
        <w:t xml:space="preserve"> </w:t>
      </w:r>
      <w:r w:rsidRPr="00E14054">
        <w:t xml:space="preserve">National Academies of Sciences, Engineering, and Medicine 2022. Measuring Sex, Gender Identity, and Sexual Orientation. Washington, DC: The National Academies Press. </w:t>
      </w:r>
      <w:hyperlink r:id="rId2" w:tgtFrame="_blank" w:history="1">
        <w:r w:rsidRPr="00E14054">
          <w:rPr>
            <w:rStyle w:val="Hyperlink"/>
          </w:rPr>
          <w:t>https://doi.org/10.17226/26424</w:t>
        </w:r>
      </w:hyperlink>
      <w:r w:rsidRPr="00E14054">
        <w:t>. </w:t>
      </w:r>
    </w:p>
  </w:footnote>
  <w:footnote w:id="8">
    <w:p w:rsidR="00A61E37" w14:paraId="53A9E254" w14:textId="5EFD045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13F66"/>
    <w:multiLevelType w:val="hybridMultilevel"/>
    <w:tmpl w:val="F26C9DEE"/>
    <w:lvl w:ilvl="0">
      <w:start w:val="1"/>
      <w:numFmt w:val="bullet"/>
      <w:lvlText w:val=""/>
      <w:lvlJc w:val="left"/>
      <w:pPr>
        <w:ind w:left="99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1A1E2C"/>
    <w:multiLevelType w:val="multilevel"/>
    <w:tmpl w:val="5A64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225D8"/>
    <w:multiLevelType w:val="hybridMultilevel"/>
    <w:tmpl w:val="F496A2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B75942"/>
    <w:multiLevelType w:val="multilevel"/>
    <w:tmpl w:val="D52819A4"/>
    <w:styleLink w:val="Format2Number"/>
    <w:lvl w:ilvl="0">
      <w:start w:val="1"/>
      <w:numFmt w:val="decimal"/>
      <w:suff w:val="nothing"/>
      <w:lvlText w:val="Section %1."/>
      <w:lvlJc w:val="left"/>
      <w:pPr>
        <w:ind w:left="432" w:hanging="432"/>
      </w:pPr>
      <w:rPr>
        <w:rFonts w:ascii="Times New Roman" w:hAnsi="Times New Roman" w:hint="default"/>
        <w:b/>
        <w:i w:val="0"/>
        <w:sz w:val="24"/>
      </w:rPr>
    </w:lvl>
    <w:lvl w:ilvl="1">
      <w:start w:val="1"/>
      <w:numFmt w:val="decimal"/>
      <w:lvlText w:val="%1.%2"/>
      <w:lvlJc w:val="left"/>
      <w:pPr>
        <w:ind w:left="720" w:hanging="720"/>
      </w:pPr>
      <w:rPr>
        <w:rFonts w:ascii="Times New Roman" w:hAnsi="Times New Roman" w:cs="Times New Roman" w:hint="default"/>
        <w:b/>
        <w:i w:val="0"/>
        <w:sz w:val="24"/>
      </w:rPr>
    </w:lvl>
    <w:lvl w:ilvl="2">
      <w:start w:val="1"/>
      <w:numFmt w:val="decimal"/>
      <w:lvlText w:val="%1.%2.%3"/>
      <w:lvlJc w:val="left"/>
      <w:pPr>
        <w:ind w:left="864" w:hanging="864"/>
      </w:pPr>
      <w:rPr>
        <w:rFonts w:ascii="Times New Roman" w:hAnsi="Times New Roman" w:cs="Times New Roman" w:hint="default"/>
        <w:b/>
        <w:i/>
        <w:sz w:val="24"/>
      </w:rPr>
    </w:lvl>
    <w:lvl w:ilvl="3">
      <w:start w:val="1"/>
      <w:numFmt w:val="decimal"/>
      <w:lvlText w:val="%1.%2.%3.%4"/>
      <w:lvlJc w:val="left"/>
      <w:pPr>
        <w:ind w:left="864" w:hanging="86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B1855DF"/>
    <w:multiLevelType w:val="hybridMultilevel"/>
    <w:tmpl w:val="DDE2B548"/>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016939"/>
    <w:multiLevelType w:val="hybridMultilevel"/>
    <w:tmpl w:val="A1D03FBC"/>
    <w:lvl w:ilvl="0">
      <w:start w:val="1"/>
      <w:numFmt w:val="bullet"/>
      <w:pStyle w:val="Footer"/>
      <w:lvlText w:val="•"/>
      <w:lvlJc w:val="left"/>
      <w:pPr>
        <w:ind w:left="576" w:hanging="288"/>
      </w:pPr>
      <w:rPr>
        <w:rFonts w:ascii="Times New Roman" w:hAnsi="Times New Roman" w:cs="Times New Roman" w:hint="default"/>
        <w:sz w:val="24"/>
        <w:szCs w:val="24"/>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6">
    <w:nsid w:val="28A27CE7"/>
    <w:multiLevelType w:val="hybridMultilevel"/>
    <w:tmpl w:val="55DC362E"/>
    <w:lvl w:ilvl="0">
      <w:start w:val="1"/>
      <w:numFmt w:val="bullet"/>
      <w:pStyle w:val="bullets"/>
      <w:lvlText w:val="•"/>
      <w:lvlJc w:val="left"/>
      <w:pPr>
        <w:ind w:left="720" w:hanging="360"/>
      </w:pPr>
      <w:rPr>
        <w:rFonts w:ascii="Arial" w:hAnsi="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FA170FF"/>
    <w:multiLevelType w:val="hybridMultilevel"/>
    <w:tmpl w:val="6354115C"/>
    <w:lvl w:ilvl="0">
      <w:start w:val="1"/>
      <w:numFmt w:val="bullet"/>
      <w:pStyle w:val="table-bulletind"/>
      <w:lvlText w:val="•"/>
      <w:lvlJc w:val="left"/>
      <w:pPr>
        <w:ind w:left="1008"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2F941AC"/>
    <w:multiLevelType w:val="hybridMultilevel"/>
    <w:tmpl w:val="53EC0378"/>
    <w:lvl w:ilvl="0">
      <w:start w:val="1"/>
      <w:numFmt w:val="bullet"/>
      <w:pStyle w:val="bullets2nd-level"/>
      <w:lvlText w:val="–"/>
      <w:lvlJc w:val="left"/>
      <w:pPr>
        <w:ind w:left="108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99D09AB"/>
    <w:multiLevelType w:val="multilevel"/>
    <w:tmpl w:val="F04AD09E"/>
    <w:lvl w:ilvl="0">
      <w:start w:val="1"/>
      <w:numFmt w:val="decimal"/>
      <w:pStyle w:val="Heading3"/>
      <w:lvlText w:val="%1."/>
      <w:lvlJc w:val="left"/>
      <w:pPr>
        <w:tabs>
          <w:tab w:val="num" w:pos="720"/>
        </w:tabs>
        <w:ind w:left="720" w:hanging="360"/>
      </w:pPr>
      <w:rPr>
        <w:rFonts w:hint="default"/>
        <w:b w:val="0"/>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453D75A5"/>
    <w:multiLevelType w:val="hybridMultilevel"/>
    <w:tmpl w:val="216699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97819C7"/>
    <w:multiLevelType w:val="multilevel"/>
    <w:tmpl w:val="FD72B0CC"/>
    <w:lvl w:ilvl="0">
      <w:start w:val="1"/>
      <w:numFmt w:val="decimal"/>
      <w:lvlText w:val="%1)"/>
      <w:lvlJc w:val="left"/>
      <w:pPr>
        <w:ind w:left="360" w:hanging="360"/>
      </w:pPr>
      <w:rPr>
        <w:rFonts w:hint="default"/>
      </w:rPr>
    </w:lvl>
    <w:lvl w:ilvl="1">
      <w:start w:val="1"/>
      <w:numFmt w:val="bullet"/>
      <w:pStyle w:val="table-bullet2nd"/>
      <w:lvlText w:val=""/>
      <w:lvlJc w:val="left"/>
      <w:pPr>
        <w:ind w:left="576" w:hanging="288"/>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D251E1C"/>
    <w:multiLevelType w:val="hybridMultilevel"/>
    <w:tmpl w:val="9668AA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4D877C3"/>
    <w:multiLevelType w:val="hybridMultilevel"/>
    <w:tmpl w:val="7DDCC0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F294DEF"/>
    <w:multiLevelType w:val="hybridMultilevel"/>
    <w:tmpl w:val="3EFCDD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19654F1"/>
    <w:multiLevelType w:val="hybridMultilevel"/>
    <w:tmpl w:val="ABDC8C48"/>
    <w:lvl w:ilvl="0">
      <w:start w:val="1"/>
      <w:numFmt w:val="bullet"/>
      <w:pStyle w:val="textbox-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6352DEA"/>
    <w:multiLevelType w:val="hybridMultilevel"/>
    <w:tmpl w:val="44D02AE8"/>
    <w:lvl w:ilvl="0">
      <w:start w:val="1"/>
      <w:numFmt w:val="bullet"/>
      <w:pStyle w:val="table-bulletLM"/>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5055300">
    <w:abstractNumId w:val="9"/>
  </w:num>
  <w:num w:numId="2" w16cid:durableId="1867711135">
    <w:abstractNumId w:val="4"/>
  </w:num>
  <w:num w:numId="3" w16cid:durableId="1692103434">
    <w:abstractNumId w:val="6"/>
  </w:num>
  <w:num w:numId="4" w16cid:durableId="783427479">
    <w:abstractNumId w:val="8"/>
  </w:num>
  <w:num w:numId="5" w16cid:durableId="1064911886">
    <w:abstractNumId w:val="11"/>
  </w:num>
  <w:num w:numId="6" w16cid:durableId="1920140091">
    <w:abstractNumId w:val="3"/>
  </w:num>
  <w:num w:numId="7" w16cid:durableId="1356807604">
    <w:abstractNumId w:val="15"/>
  </w:num>
  <w:num w:numId="8" w16cid:durableId="1160928980">
    <w:abstractNumId w:val="5"/>
  </w:num>
  <w:num w:numId="9" w16cid:durableId="1613896257">
    <w:abstractNumId w:val="16"/>
  </w:num>
  <w:num w:numId="10" w16cid:durableId="617881884">
    <w:abstractNumId w:val="7"/>
  </w:num>
  <w:num w:numId="11" w16cid:durableId="1685204268">
    <w:abstractNumId w:val="1"/>
  </w:num>
  <w:num w:numId="12" w16cid:durableId="861012049">
    <w:abstractNumId w:val="12"/>
  </w:num>
  <w:num w:numId="13" w16cid:durableId="974019488">
    <w:abstractNumId w:val="0"/>
  </w:num>
  <w:num w:numId="14" w16cid:durableId="93013619">
    <w:abstractNumId w:val="10"/>
  </w:num>
  <w:num w:numId="15" w16cid:durableId="2141264628">
    <w:abstractNumId w:val="13"/>
  </w:num>
  <w:num w:numId="16" w16cid:durableId="254947418">
    <w:abstractNumId w:val="14"/>
  </w:num>
  <w:num w:numId="17" w16cid:durableId="900675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277423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821" w:allStyles="1" w:alternateStyleNames="0" w:clearFormatting="1" w:customStyles="0" w:directFormattingOnNumbering="0" w:directFormattingOnParagraphs="0" w:directFormattingOnRuns="0" w:directFormattingOnTables="1" w:headingStyles="1" w:latentStyles="0" w:numberingStyles="0" w:stylesInUse="0" w:tableStyles="0" w:top3HeadingStyles="1" w:visibleStyles="0"/>
  <w:stylePaneSortMethod w:val="name"/>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5D92"/>
    <w:rsid w:val="00012085"/>
    <w:rsid w:val="000133EC"/>
    <w:rsid w:val="00020A2C"/>
    <w:rsid w:val="00022ACA"/>
    <w:rsid w:val="00026758"/>
    <w:rsid w:val="00031A2C"/>
    <w:rsid w:val="000325F0"/>
    <w:rsid w:val="000360DE"/>
    <w:rsid w:val="00036AEA"/>
    <w:rsid w:val="00037E17"/>
    <w:rsid w:val="00042C48"/>
    <w:rsid w:val="00042DDD"/>
    <w:rsid w:val="00043000"/>
    <w:rsid w:val="00043C7F"/>
    <w:rsid w:val="000528A0"/>
    <w:rsid w:val="00060ECF"/>
    <w:rsid w:val="00065056"/>
    <w:rsid w:val="000654D1"/>
    <w:rsid w:val="0006570F"/>
    <w:rsid w:val="00065972"/>
    <w:rsid w:val="00066B3B"/>
    <w:rsid w:val="000727E2"/>
    <w:rsid w:val="00075590"/>
    <w:rsid w:val="0007566A"/>
    <w:rsid w:val="00075DE8"/>
    <w:rsid w:val="00085793"/>
    <w:rsid w:val="000911F1"/>
    <w:rsid w:val="00093297"/>
    <w:rsid w:val="00094500"/>
    <w:rsid w:val="000A12B5"/>
    <w:rsid w:val="000A4A77"/>
    <w:rsid w:val="000A51B9"/>
    <w:rsid w:val="000A6CE6"/>
    <w:rsid w:val="000B0EA7"/>
    <w:rsid w:val="000B14EC"/>
    <w:rsid w:val="000B340A"/>
    <w:rsid w:val="000B4496"/>
    <w:rsid w:val="000B6ABD"/>
    <w:rsid w:val="000B6FD3"/>
    <w:rsid w:val="000C0339"/>
    <w:rsid w:val="000C560C"/>
    <w:rsid w:val="000D1486"/>
    <w:rsid w:val="000D450D"/>
    <w:rsid w:val="000D48FD"/>
    <w:rsid w:val="000E1C64"/>
    <w:rsid w:val="000F55E1"/>
    <w:rsid w:val="000F7119"/>
    <w:rsid w:val="000F77C8"/>
    <w:rsid w:val="000F7AF1"/>
    <w:rsid w:val="000F7E48"/>
    <w:rsid w:val="00100739"/>
    <w:rsid w:val="00101871"/>
    <w:rsid w:val="0010244C"/>
    <w:rsid w:val="0010394D"/>
    <w:rsid w:val="001060CC"/>
    <w:rsid w:val="00107885"/>
    <w:rsid w:val="0011029C"/>
    <w:rsid w:val="0011160B"/>
    <w:rsid w:val="00114FC4"/>
    <w:rsid w:val="00116C6E"/>
    <w:rsid w:val="001178F2"/>
    <w:rsid w:val="0012329C"/>
    <w:rsid w:val="001238C6"/>
    <w:rsid w:val="0012520C"/>
    <w:rsid w:val="00125BCA"/>
    <w:rsid w:val="0012756D"/>
    <w:rsid w:val="00127C20"/>
    <w:rsid w:val="00132524"/>
    <w:rsid w:val="001337F6"/>
    <w:rsid w:val="00134FA7"/>
    <w:rsid w:val="001359CA"/>
    <w:rsid w:val="001376D0"/>
    <w:rsid w:val="00137950"/>
    <w:rsid w:val="00141F38"/>
    <w:rsid w:val="00150866"/>
    <w:rsid w:val="00152F29"/>
    <w:rsid w:val="001539E1"/>
    <w:rsid w:val="00156367"/>
    <w:rsid w:val="0016285A"/>
    <w:rsid w:val="001652D0"/>
    <w:rsid w:val="00170284"/>
    <w:rsid w:val="001737C0"/>
    <w:rsid w:val="00176EF3"/>
    <w:rsid w:val="00183B94"/>
    <w:rsid w:val="00185270"/>
    <w:rsid w:val="00190300"/>
    <w:rsid w:val="00191AAA"/>
    <w:rsid w:val="001936D4"/>
    <w:rsid w:val="001A25EA"/>
    <w:rsid w:val="001A39BD"/>
    <w:rsid w:val="001A3B5A"/>
    <w:rsid w:val="001A6F20"/>
    <w:rsid w:val="001B4551"/>
    <w:rsid w:val="001B7CE9"/>
    <w:rsid w:val="001C0CB0"/>
    <w:rsid w:val="001C3450"/>
    <w:rsid w:val="001C5571"/>
    <w:rsid w:val="001D495A"/>
    <w:rsid w:val="001D6267"/>
    <w:rsid w:val="001D68C2"/>
    <w:rsid w:val="001E205E"/>
    <w:rsid w:val="001E244C"/>
    <w:rsid w:val="001F031C"/>
    <w:rsid w:val="001F1437"/>
    <w:rsid w:val="0020402D"/>
    <w:rsid w:val="00205E21"/>
    <w:rsid w:val="002078EA"/>
    <w:rsid w:val="00213176"/>
    <w:rsid w:val="00213BF6"/>
    <w:rsid w:val="00214B8B"/>
    <w:rsid w:val="00215960"/>
    <w:rsid w:val="00216380"/>
    <w:rsid w:val="002176A9"/>
    <w:rsid w:val="002213E3"/>
    <w:rsid w:val="0022482A"/>
    <w:rsid w:val="002259EF"/>
    <w:rsid w:val="00225D0F"/>
    <w:rsid w:val="00226730"/>
    <w:rsid w:val="00226CA1"/>
    <w:rsid w:val="00233C91"/>
    <w:rsid w:val="00242ED1"/>
    <w:rsid w:val="002444BB"/>
    <w:rsid w:val="002463FF"/>
    <w:rsid w:val="002477A4"/>
    <w:rsid w:val="00254069"/>
    <w:rsid w:val="002541C1"/>
    <w:rsid w:val="00257969"/>
    <w:rsid w:val="002643A3"/>
    <w:rsid w:val="00264466"/>
    <w:rsid w:val="00266102"/>
    <w:rsid w:val="00267752"/>
    <w:rsid w:val="0026792F"/>
    <w:rsid w:val="00270748"/>
    <w:rsid w:val="00270DB7"/>
    <w:rsid w:val="002710A0"/>
    <w:rsid w:val="002734E5"/>
    <w:rsid w:val="002746DB"/>
    <w:rsid w:val="00280CAF"/>
    <w:rsid w:val="00281C30"/>
    <w:rsid w:val="002829E6"/>
    <w:rsid w:val="00282F09"/>
    <w:rsid w:val="0028348A"/>
    <w:rsid w:val="00285D64"/>
    <w:rsid w:val="00287D6C"/>
    <w:rsid w:val="00290A98"/>
    <w:rsid w:val="00293C01"/>
    <w:rsid w:val="002941A0"/>
    <w:rsid w:val="00297532"/>
    <w:rsid w:val="00297928"/>
    <w:rsid w:val="002A1210"/>
    <w:rsid w:val="002A2B0F"/>
    <w:rsid w:val="002B2269"/>
    <w:rsid w:val="002B4247"/>
    <w:rsid w:val="002B7229"/>
    <w:rsid w:val="002C0AE1"/>
    <w:rsid w:val="002C1D3F"/>
    <w:rsid w:val="002D0B4E"/>
    <w:rsid w:val="002D14D8"/>
    <w:rsid w:val="002D1C87"/>
    <w:rsid w:val="002D4799"/>
    <w:rsid w:val="002E3FA4"/>
    <w:rsid w:val="002E7E6E"/>
    <w:rsid w:val="002F0C84"/>
    <w:rsid w:val="002F10A9"/>
    <w:rsid w:val="002F2206"/>
    <w:rsid w:val="002F303A"/>
    <w:rsid w:val="002F3990"/>
    <w:rsid w:val="002F4CAF"/>
    <w:rsid w:val="002F530E"/>
    <w:rsid w:val="002F5765"/>
    <w:rsid w:val="002F594D"/>
    <w:rsid w:val="003007DA"/>
    <w:rsid w:val="00300AA3"/>
    <w:rsid w:val="003034FD"/>
    <w:rsid w:val="003036A3"/>
    <w:rsid w:val="003113FF"/>
    <w:rsid w:val="00315DDA"/>
    <w:rsid w:val="00316758"/>
    <w:rsid w:val="0032021A"/>
    <w:rsid w:val="0032277F"/>
    <w:rsid w:val="0034171E"/>
    <w:rsid w:val="00342AEF"/>
    <w:rsid w:val="00342C5E"/>
    <w:rsid w:val="0034398E"/>
    <w:rsid w:val="00346AB0"/>
    <w:rsid w:val="00350523"/>
    <w:rsid w:val="0035189D"/>
    <w:rsid w:val="003528FA"/>
    <w:rsid w:val="00353FCD"/>
    <w:rsid w:val="00360370"/>
    <w:rsid w:val="00362177"/>
    <w:rsid w:val="00362E3F"/>
    <w:rsid w:val="00373B2A"/>
    <w:rsid w:val="003740BC"/>
    <w:rsid w:val="00374503"/>
    <w:rsid w:val="003801A3"/>
    <w:rsid w:val="00383D90"/>
    <w:rsid w:val="00383F03"/>
    <w:rsid w:val="003918E2"/>
    <w:rsid w:val="003A1A27"/>
    <w:rsid w:val="003A385F"/>
    <w:rsid w:val="003A50CC"/>
    <w:rsid w:val="003A741E"/>
    <w:rsid w:val="003B42B3"/>
    <w:rsid w:val="003B6384"/>
    <w:rsid w:val="003B67CE"/>
    <w:rsid w:val="003B7592"/>
    <w:rsid w:val="003C3C6E"/>
    <w:rsid w:val="003C4EBB"/>
    <w:rsid w:val="003D1295"/>
    <w:rsid w:val="003D1531"/>
    <w:rsid w:val="003D2C83"/>
    <w:rsid w:val="003D5A31"/>
    <w:rsid w:val="003D646C"/>
    <w:rsid w:val="003D734C"/>
    <w:rsid w:val="003E4C29"/>
    <w:rsid w:val="003E4EC6"/>
    <w:rsid w:val="003E527E"/>
    <w:rsid w:val="003E553E"/>
    <w:rsid w:val="003E7078"/>
    <w:rsid w:val="003E7CA3"/>
    <w:rsid w:val="003F3DF5"/>
    <w:rsid w:val="003F481E"/>
    <w:rsid w:val="003F6251"/>
    <w:rsid w:val="00400D9D"/>
    <w:rsid w:val="00411179"/>
    <w:rsid w:val="00411AC3"/>
    <w:rsid w:val="00411D11"/>
    <w:rsid w:val="00411E68"/>
    <w:rsid w:val="00415E23"/>
    <w:rsid w:val="0041670D"/>
    <w:rsid w:val="0042079E"/>
    <w:rsid w:val="00420D77"/>
    <w:rsid w:val="00422BAB"/>
    <w:rsid w:val="00422D47"/>
    <w:rsid w:val="00424061"/>
    <w:rsid w:val="00426504"/>
    <w:rsid w:val="004328FD"/>
    <w:rsid w:val="004331D0"/>
    <w:rsid w:val="004412EF"/>
    <w:rsid w:val="00442A3C"/>
    <w:rsid w:val="00443969"/>
    <w:rsid w:val="00443C36"/>
    <w:rsid w:val="00444859"/>
    <w:rsid w:val="004452C4"/>
    <w:rsid w:val="00447C48"/>
    <w:rsid w:val="00447D74"/>
    <w:rsid w:val="00450A74"/>
    <w:rsid w:val="00453E61"/>
    <w:rsid w:val="004546BF"/>
    <w:rsid w:val="004556A4"/>
    <w:rsid w:val="00465350"/>
    <w:rsid w:val="00473E0D"/>
    <w:rsid w:val="00474D7F"/>
    <w:rsid w:val="00475AF3"/>
    <w:rsid w:val="00484557"/>
    <w:rsid w:val="004846BF"/>
    <w:rsid w:val="0048486E"/>
    <w:rsid w:val="0048735C"/>
    <w:rsid w:val="00490DB3"/>
    <w:rsid w:val="00492330"/>
    <w:rsid w:val="0049319E"/>
    <w:rsid w:val="004946A5"/>
    <w:rsid w:val="00494F44"/>
    <w:rsid w:val="004950B3"/>
    <w:rsid w:val="0049522A"/>
    <w:rsid w:val="00495CC8"/>
    <w:rsid w:val="00497C48"/>
    <w:rsid w:val="004A0520"/>
    <w:rsid w:val="004A0DF1"/>
    <w:rsid w:val="004A3855"/>
    <w:rsid w:val="004A3927"/>
    <w:rsid w:val="004A3B08"/>
    <w:rsid w:val="004A3C4C"/>
    <w:rsid w:val="004A5E35"/>
    <w:rsid w:val="004B0CB9"/>
    <w:rsid w:val="004B1042"/>
    <w:rsid w:val="004B66F1"/>
    <w:rsid w:val="004C063F"/>
    <w:rsid w:val="004C1458"/>
    <w:rsid w:val="004C1DB8"/>
    <w:rsid w:val="004C3B37"/>
    <w:rsid w:val="004C6979"/>
    <w:rsid w:val="004C7D81"/>
    <w:rsid w:val="004D03C4"/>
    <w:rsid w:val="004D0F94"/>
    <w:rsid w:val="004D3E7A"/>
    <w:rsid w:val="004D62EA"/>
    <w:rsid w:val="004D6DF8"/>
    <w:rsid w:val="004E04CF"/>
    <w:rsid w:val="004E3C59"/>
    <w:rsid w:val="004E44EA"/>
    <w:rsid w:val="004E4EDE"/>
    <w:rsid w:val="004E6C2A"/>
    <w:rsid w:val="004E6F4B"/>
    <w:rsid w:val="004F594B"/>
    <w:rsid w:val="004F61E1"/>
    <w:rsid w:val="00503BB7"/>
    <w:rsid w:val="00504142"/>
    <w:rsid w:val="0050502A"/>
    <w:rsid w:val="00505576"/>
    <w:rsid w:val="00512D81"/>
    <w:rsid w:val="00513BDC"/>
    <w:rsid w:val="00514889"/>
    <w:rsid w:val="005156DA"/>
    <w:rsid w:val="00520220"/>
    <w:rsid w:val="00522BEF"/>
    <w:rsid w:val="0053071F"/>
    <w:rsid w:val="00537D2E"/>
    <w:rsid w:val="00542D30"/>
    <w:rsid w:val="0054400E"/>
    <w:rsid w:val="00544138"/>
    <w:rsid w:val="0054698F"/>
    <w:rsid w:val="0055159B"/>
    <w:rsid w:val="00555FA8"/>
    <w:rsid w:val="00557455"/>
    <w:rsid w:val="0056205E"/>
    <w:rsid w:val="005625EE"/>
    <w:rsid w:val="00572A26"/>
    <w:rsid w:val="0057355D"/>
    <w:rsid w:val="00573862"/>
    <w:rsid w:val="005742CF"/>
    <w:rsid w:val="00574E80"/>
    <w:rsid w:val="00580A6E"/>
    <w:rsid w:val="00584583"/>
    <w:rsid w:val="00587936"/>
    <w:rsid w:val="00587AA4"/>
    <w:rsid w:val="00590EEB"/>
    <w:rsid w:val="0059520E"/>
    <w:rsid w:val="005968FF"/>
    <w:rsid w:val="0059730E"/>
    <w:rsid w:val="00597AC5"/>
    <w:rsid w:val="00597D86"/>
    <w:rsid w:val="005A4099"/>
    <w:rsid w:val="005B1F90"/>
    <w:rsid w:val="005B6472"/>
    <w:rsid w:val="005B7CF0"/>
    <w:rsid w:val="005C38B2"/>
    <w:rsid w:val="005C5029"/>
    <w:rsid w:val="005C55C2"/>
    <w:rsid w:val="005C5A50"/>
    <w:rsid w:val="005C745C"/>
    <w:rsid w:val="005C7F51"/>
    <w:rsid w:val="005D2874"/>
    <w:rsid w:val="005D2BE0"/>
    <w:rsid w:val="005D40BF"/>
    <w:rsid w:val="005D4470"/>
    <w:rsid w:val="005D4DF5"/>
    <w:rsid w:val="005D51CD"/>
    <w:rsid w:val="005E1DAC"/>
    <w:rsid w:val="005E2E7D"/>
    <w:rsid w:val="005E345F"/>
    <w:rsid w:val="005E3D18"/>
    <w:rsid w:val="005E6421"/>
    <w:rsid w:val="005F08E9"/>
    <w:rsid w:val="005F2F62"/>
    <w:rsid w:val="005F45ED"/>
    <w:rsid w:val="005F5AFB"/>
    <w:rsid w:val="005F658D"/>
    <w:rsid w:val="00601961"/>
    <w:rsid w:val="00605C16"/>
    <w:rsid w:val="0061175B"/>
    <w:rsid w:val="00611D6B"/>
    <w:rsid w:val="00611D79"/>
    <w:rsid w:val="00612781"/>
    <w:rsid w:val="00614754"/>
    <w:rsid w:val="00622682"/>
    <w:rsid w:val="00622860"/>
    <w:rsid w:val="0062294E"/>
    <w:rsid w:val="00625A39"/>
    <w:rsid w:val="006326EC"/>
    <w:rsid w:val="00634B6D"/>
    <w:rsid w:val="00635E98"/>
    <w:rsid w:val="006373B8"/>
    <w:rsid w:val="006437B2"/>
    <w:rsid w:val="0064429F"/>
    <w:rsid w:val="0064581B"/>
    <w:rsid w:val="0064780F"/>
    <w:rsid w:val="006503C2"/>
    <w:rsid w:val="006536FC"/>
    <w:rsid w:val="00662FE4"/>
    <w:rsid w:val="00663A42"/>
    <w:rsid w:val="006641C7"/>
    <w:rsid w:val="00665DCA"/>
    <w:rsid w:val="00670BE2"/>
    <w:rsid w:val="00676A28"/>
    <w:rsid w:val="006844A9"/>
    <w:rsid w:val="00690E06"/>
    <w:rsid w:val="0069281B"/>
    <w:rsid w:val="00692B65"/>
    <w:rsid w:val="00693F23"/>
    <w:rsid w:val="00694A0B"/>
    <w:rsid w:val="00697AAE"/>
    <w:rsid w:val="006A0E07"/>
    <w:rsid w:val="006A26C6"/>
    <w:rsid w:val="006A29FE"/>
    <w:rsid w:val="006A541C"/>
    <w:rsid w:val="006A63FF"/>
    <w:rsid w:val="006A7D5D"/>
    <w:rsid w:val="006B398A"/>
    <w:rsid w:val="006B6680"/>
    <w:rsid w:val="006C3BF8"/>
    <w:rsid w:val="006D0982"/>
    <w:rsid w:val="006D4D1E"/>
    <w:rsid w:val="006D5D57"/>
    <w:rsid w:val="006D72C4"/>
    <w:rsid w:val="006D7918"/>
    <w:rsid w:val="006E53BB"/>
    <w:rsid w:val="006F0E28"/>
    <w:rsid w:val="006F1F51"/>
    <w:rsid w:val="006F4D6D"/>
    <w:rsid w:val="006F6AB5"/>
    <w:rsid w:val="00703822"/>
    <w:rsid w:val="00703AED"/>
    <w:rsid w:val="007044B2"/>
    <w:rsid w:val="00704CA4"/>
    <w:rsid w:val="00704E96"/>
    <w:rsid w:val="00705086"/>
    <w:rsid w:val="00711F44"/>
    <w:rsid w:val="0071362C"/>
    <w:rsid w:val="00717E3B"/>
    <w:rsid w:val="00722A3B"/>
    <w:rsid w:val="007236D2"/>
    <w:rsid w:val="00727D55"/>
    <w:rsid w:val="00732BCC"/>
    <w:rsid w:val="00735143"/>
    <w:rsid w:val="00737956"/>
    <w:rsid w:val="00744EA1"/>
    <w:rsid w:val="00750761"/>
    <w:rsid w:val="00754497"/>
    <w:rsid w:val="00755348"/>
    <w:rsid w:val="00757855"/>
    <w:rsid w:val="00761FFA"/>
    <w:rsid w:val="00762364"/>
    <w:rsid w:val="00766D5D"/>
    <w:rsid w:val="00770666"/>
    <w:rsid w:val="007717CA"/>
    <w:rsid w:val="00774648"/>
    <w:rsid w:val="00780755"/>
    <w:rsid w:val="00782144"/>
    <w:rsid w:val="00787C39"/>
    <w:rsid w:val="00792CB3"/>
    <w:rsid w:val="00795DF3"/>
    <w:rsid w:val="007A373C"/>
    <w:rsid w:val="007A37A2"/>
    <w:rsid w:val="007A47F3"/>
    <w:rsid w:val="007B0DA4"/>
    <w:rsid w:val="007B0E0D"/>
    <w:rsid w:val="007B225C"/>
    <w:rsid w:val="007B3E47"/>
    <w:rsid w:val="007B5351"/>
    <w:rsid w:val="007B68DE"/>
    <w:rsid w:val="007C75B1"/>
    <w:rsid w:val="007C76E3"/>
    <w:rsid w:val="007D3DFC"/>
    <w:rsid w:val="007D42AD"/>
    <w:rsid w:val="007D6F38"/>
    <w:rsid w:val="007D70A6"/>
    <w:rsid w:val="007D7CB7"/>
    <w:rsid w:val="007E1BA4"/>
    <w:rsid w:val="007E2F07"/>
    <w:rsid w:val="007E518B"/>
    <w:rsid w:val="007E53EF"/>
    <w:rsid w:val="007F241B"/>
    <w:rsid w:val="007F2D8D"/>
    <w:rsid w:val="007F3C7D"/>
    <w:rsid w:val="007F4407"/>
    <w:rsid w:val="00804020"/>
    <w:rsid w:val="00805CE2"/>
    <w:rsid w:val="0080776D"/>
    <w:rsid w:val="00807BD1"/>
    <w:rsid w:val="00810145"/>
    <w:rsid w:val="008108FA"/>
    <w:rsid w:val="00810FF1"/>
    <w:rsid w:val="00812599"/>
    <w:rsid w:val="008159A0"/>
    <w:rsid w:val="00816DFC"/>
    <w:rsid w:val="008215E1"/>
    <w:rsid w:val="00822336"/>
    <w:rsid w:val="00822BE6"/>
    <w:rsid w:val="00823DFA"/>
    <w:rsid w:val="00823EDF"/>
    <w:rsid w:val="00823F5E"/>
    <w:rsid w:val="008255C1"/>
    <w:rsid w:val="008265FC"/>
    <w:rsid w:val="0084000C"/>
    <w:rsid w:val="00843752"/>
    <w:rsid w:val="0084479F"/>
    <w:rsid w:val="00850940"/>
    <w:rsid w:val="00853AEC"/>
    <w:rsid w:val="00853E88"/>
    <w:rsid w:val="0085725E"/>
    <w:rsid w:val="00857E2E"/>
    <w:rsid w:val="0086480C"/>
    <w:rsid w:val="00872FE6"/>
    <w:rsid w:val="008742C6"/>
    <w:rsid w:val="008745A4"/>
    <w:rsid w:val="0087609A"/>
    <w:rsid w:val="00880C53"/>
    <w:rsid w:val="00880FF9"/>
    <w:rsid w:val="008829DF"/>
    <w:rsid w:val="00885B09"/>
    <w:rsid w:val="00886F3F"/>
    <w:rsid w:val="00887C57"/>
    <w:rsid w:val="0089021F"/>
    <w:rsid w:val="00892400"/>
    <w:rsid w:val="00893D78"/>
    <w:rsid w:val="00895AD2"/>
    <w:rsid w:val="008961B4"/>
    <w:rsid w:val="008A0847"/>
    <w:rsid w:val="008A209D"/>
    <w:rsid w:val="008A22BB"/>
    <w:rsid w:val="008B0E29"/>
    <w:rsid w:val="008B0EFA"/>
    <w:rsid w:val="008B1ACE"/>
    <w:rsid w:val="008B30AB"/>
    <w:rsid w:val="008B37B8"/>
    <w:rsid w:val="008B5E11"/>
    <w:rsid w:val="008B637A"/>
    <w:rsid w:val="008C1D80"/>
    <w:rsid w:val="008C1ED2"/>
    <w:rsid w:val="008C246F"/>
    <w:rsid w:val="008C4682"/>
    <w:rsid w:val="008D04DA"/>
    <w:rsid w:val="008D397F"/>
    <w:rsid w:val="008D6892"/>
    <w:rsid w:val="008D7688"/>
    <w:rsid w:val="008D7B43"/>
    <w:rsid w:val="008E09BD"/>
    <w:rsid w:val="008E3A07"/>
    <w:rsid w:val="008E5F55"/>
    <w:rsid w:val="008E6E19"/>
    <w:rsid w:val="008E6EC1"/>
    <w:rsid w:val="008E77BE"/>
    <w:rsid w:val="008F3386"/>
    <w:rsid w:val="008F4453"/>
    <w:rsid w:val="008F6877"/>
    <w:rsid w:val="008F7C61"/>
    <w:rsid w:val="00903903"/>
    <w:rsid w:val="00905DEF"/>
    <w:rsid w:val="0091171E"/>
    <w:rsid w:val="00913B43"/>
    <w:rsid w:val="00913ED5"/>
    <w:rsid w:val="0091483E"/>
    <w:rsid w:val="00917B72"/>
    <w:rsid w:val="0092429F"/>
    <w:rsid w:val="00924789"/>
    <w:rsid w:val="00924A75"/>
    <w:rsid w:val="00924DE3"/>
    <w:rsid w:val="00925AE9"/>
    <w:rsid w:val="00925C2B"/>
    <w:rsid w:val="00930203"/>
    <w:rsid w:val="00930D88"/>
    <w:rsid w:val="009311D2"/>
    <w:rsid w:val="009311E6"/>
    <w:rsid w:val="00931275"/>
    <w:rsid w:val="009354A9"/>
    <w:rsid w:val="0093679C"/>
    <w:rsid w:val="00936AC7"/>
    <w:rsid w:val="009410FB"/>
    <w:rsid w:val="00941C06"/>
    <w:rsid w:val="00947BBD"/>
    <w:rsid w:val="009534D6"/>
    <w:rsid w:val="00953B64"/>
    <w:rsid w:val="009540BC"/>
    <w:rsid w:val="00954DF8"/>
    <w:rsid w:val="00962A1B"/>
    <w:rsid w:val="00963754"/>
    <w:rsid w:val="00963A7B"/>
    <w:rsid w:val="00972272"/>
    <w:rsid w:val="009752A8"/>
    <w:rsid w:val="009900C6"/>
    <w:rsid w:val="009A1674"/>
    <w:rsid w:val="009A2046"/>
    <w:rsid w:val="009B1A00"/>
    <w:rsid w:val="009B3AE4"/>
    <w:rsid w:val="009B53B8"/>
    <w:rsid w:val="009B75E3"/>
    <w:rsid w:val="009C0A41"/>
    <w:rsid w:val="009C1418"/>
    <w:rsid w:val="009C412D"/>
    <w:rsid w:val="009C598E"/>
    <w:rsid w:val="009C6626"/>
    <w:rsid w:val="009C671E"/>
    <w:rsid w:val="009C684F"/>
    <w:rsid w:val="009D074C"/>
    <w:rsid w:val="009D075B"/>
    <w:rsid w:val="009D3A63"/>
    <w:rsid w:val="009D74BC"/>
    <w:rsid w:val="009E1B91"/>
    <w:rsid w:val="009E4FE1"/>
    <w:rsid w:val="009E61B2"/>
    <w:rsid w:val="009E6678"/>
    <w:rsid w:val="009F1A95"/>
    <w:rsid w:val="009F1F1D"/>
    <w:rsid w:val="009F2B4F"/>
    <w:rsid w:val="009F58A3"/>
    <w:rsid w:val="009F66B5"/>
    <w:rsid w:val="00A0229E"/>
    <w:rsid w:val="00A13540"/>
    <w:rsid w:val="00A13B87"/>
    <w:rsid w:val="00A13FE6"/>
    <w:rsid w:val="00A1473A"/>
    <w:rsid w:val="00A16221"/>
    <w:rsid w:val="00A20A7D"/>
    <w:rsid w:val="00A22958"/>
    <w:rsid w:val="00A320ED"/>
    <w:rsid w:val="00A337EB"/>
    <w:rsid w:val="00A33DAA"/>
    <w:rsid w:val="00A35D42"/>
    <w:rsid w:val="00A35E2D"/>
    <w:rsid w:val="00A402F8"/>
    <w:rsid w:val="00A409D3"/>
    <w:rsid w:val="00A46CCF"/>
    <w:rsid w:val="00A50454"/>
    <w:rsid w:val="00A52258"/>
    <w:rsid w:val="00A53451"/>
    <w:rsid w:val="00A61E37"/>
    <w:rsid w:val="00A64C0C"/>
    <w:rsid w:val="00A65487"/>
    <w:rsid w:val="00A70426"/>
    <w:rsid w:val="00A83E3B"/>
    <w:rsid w:val="00A845EB"/>
    <w:rsid w:val="00A8484F"/>
    <w:rsid w:val="00A91E9A"/>
    <w:rsid w:val="00A93ED9"/>
    <w:rsid w:val="00A94967"/>
    <w:rsid w:val="00A94D2A"/>
    <w:rsid w:val="00A94E5F"/>
    <w:rsid w:val="00A96221"/>
    <w:rsid w:val="00AA25F0"/>
    <w:rsid w:val="00AA4028"/>
    <w:rsid w:val="00AA6599"/>
    <w:rsid w:val="00AB03A9"/>
    <w:rsid w:val="00AB599C"/>
    <w:rsid w:val="00AC6A99"/>
    <w:rsid w:val="00AD1F56"/>
    <w:rsid w:val="00AD4C50"/>
    <w:rsid w:val="00AF2568"/>
    <w:rsid w:val="00AF2817"/>
    <w:rsid w:val="00AF654B"/>
    <w:rsid w:val="00B00F73"/>
    <w:rsid w:val="00B02E1E"/>
    <w:rsid w:val="00B0321E"/>
    <w:rsid w:val="00B04251"/>
    <w:rsid w:val="00B04616"/>
    <w:rsid w:val="00B055EF"/>
    <w:rsid w:val="00B07E2B"/>
    <w:rsid w:val="00B10655"/>
    <w:rsid w:val="00B10AB2"/>
    <w:rsid w:val="00B14DD2"/>
    <w:rsid w:val="00B15945"/>
    <w:rsid w:val="00B23769"/>
    <w:rsid w:val="00B24A69"/>
    <w:rsid w:val="00B40BC9"/>
    <w:rsid w:val="00B40E8D"/>
    <w:rsid w:val="00B4183F"/>
    <w:rsid w:val="00B419F5"/>
    <w:rsid w:val="00B4356E"/>
    <w:rsid w:val="00B45B80"/>
    <w:rsid w:val="00B533CA"/>
    <w:rsid w:val="00B5650B"/>
    <w:rsid w:val="00B6428F"/>
    <w:rsid w:val="00B66830"/>
    <w:rsid w:val="00B71879"/>
    <w:rsid w:val="00B71D06"/>
    <w:rsid w:val="00B71F8A"/>
    <w:rsid w:val="00B74B48"/>
    <w:rsid w:val="00B76014"/>
    <w:rsid w:val="00B81808"/>
    <w:rsid w:val="00B82117"/>
    <w:rsid w:val="00B840A9"/>
    <w:rsid w:val="00B85905"/>
    <w:rsid w:val="00B86DFA"/>
    <w:rsid w:val="00B936D0"/>
    <w:rsid w:val="00B95684"/>
    <w:rsid w:val="00BB1BEF"/>
    <w:rsid w:val="00BB2F4D"/>
    <w:rsid w:val="00BB78A5"/>
    <w:rsid w:val="00BC0CF2"/>
    <w:rsid w:val="00BC4063"/>
    <w:rsid w:val="00BC51CB"/>
    <w:rsid w:val="00BC52D4"/>
    <w:rsid w:val="00BC7BAC"/>
    <w:rsid w:val="00BD1232"/>
    <w:rsid w:val="00BD3D5B"/>
    <w:rsid w:val="00BD6DD7"/>
    <w:rsid w:val="00BE3600"/>
    <w:rsid w:val="00BE6294"/>
    <w:rsid w:val="00BE7124"/>
    <w:rsid w:val="00BE7849"/>
    <w:rsid w:val="00BF1301"/>
    <w:rsid w:val="00BF26F6"/>
    <w:rsid w:val="00BF5DB0"/>
    <w:rsid w:val="00C016D3"/>
    <w:rsid w:val="00C01F6F"/>
    <w:rsid w:val="00C1063F"/>
    <w:rsid w:val="00C12125"/>
    <w:rsid w:val="00C12534"/>
    <w:rsid w:val="00C149AB"/>
    <w:rsid w:val="00C14B5D"/>
    <w:rsid w:val="00C14B8C"/>
    <w:rsid w:val="00C179AE"/>
    <w:rsid w:val="00C21948"/>
    <w:rsid w:val="00C21E60"/>
    <w:rsid w:val="00C222F7"/>
    <w:rsid w:val="00C25555"/>
    <w:rsid w:val="00C2752E"/>
    <w:rsid w:val="00C35253"/>
    <w:rsid w:val="00C36020"/>
    <w:rsid w:val="00C369EF"/>
    <w:rsid w:val="00C40694"/>
    <w:rsid w:val="00C41253"/>
    <w:rsid w:val="00C438C9"/>
    <w:rsid w:val="00C43D53"/>
    <w:rsid w:val="00C44E52"/>
    <w:rsid w:val="00C5641A"/>
    <w:rsid w:val="00C625E8"/>
    <w:rsid w:val="00C647C5"/>
    <w:rsid w:val="00C67B3B"/>
    <w:rsid w:val="00C70542"/>
    <w:rsid w:val="00C75CBF"/>
    <w:rsid w:val="00C8136F"/>
    <w:rsid w:val="00C82008"/>
    <w:rsid w:val="00C83338"/>
    <w:rsid w:val="00C834C7"/>
    <w:rsid w:val="00C8789C"/>
    <w:rsid w:val="00C91849"/>
    <w:rsid w:val="00C94CBC"/>
    <w:rsid w:val="00C967A4"/>
    <w:rsid w:val="00CA2D24"/>
    <w:rsid w:val="00CA3D68"/>
    <w:rsid w:val="00CA7D66"/>
    <w:rsid w:val="00CB179D"/>
    <w:rsid w:val="00CB23AF"/>
    <w:rsid w:val="00CB2B90"/>
    <w:rsid w:val="00CB6C94"/>
    <w:rsid w:val="00CB7FB0"/>
    <w:rsid w:val="00CC06A3"/>
    <w:rsid w:val="00CC0B15"/>
    <w:rsid w:val="00CC19F4"/>
    <w:rsid w:val="00CC2894"/>
    <w:rsid w:val="00CC6C32"/>
    <w:rsid w:val="00CD50AC"/>
    <w:rsid w:val="00CD5396"/>
    <w:rsid w:val="00CD77C3"/>
    <w:rsid w:val="00CD7E65"/>
    <w:rsid w:val="00CE04BC"/>
    <w:rsid w:val="00CE112C"/>
    <w:rsid w:val="00CE36FF"/>
    <w:rsid w:val="00CF2839"/>
    <w:rsid w:val="00CF317B"/>
    <w:rsid w:val="00CF51A9"/>
    <w:rsid w:val="00CF55D4"/>
    <w:rsid w:val="00CF620C"/>
    <w:rsid w:val="00CF639E"/>
    <w:rsid w:val="00CF75B1"/>
    <w:rsid w:val="00D04520"/>
    <w:rsid w:val="00D06862"/>
    <w:rsid w:val="00D07245"/>
    <w:rsid w:val="00D166D1"/>
    <w:rsid w:val="00D16AC7"/>
    <w:rsid w:val="00D174BD"/>
    <w:rsid w:val="00D20053"/>
    <w:rsid w:val="00D2366A"/>
    <w:rsid w:val="00D25CDB"/>
    <w:rsid w:val="00D27C41"/>
    <w:rsid w:val="00D30E1C"/>
    <w:rsid w:val="00D324B5"/>
    <w:rsid w:val="00D3481D"/>
    <w:rsid w:val="00D35B3F"/>
    <w:rsid w:val="00D414E9"/>
    <w:rsid w:val="00D434AA"/>
    <w:rsid w:val="00D45783"/>
    <w:rsid w:val="00D46382"/>
    <w:rsid w:val="00D46ED7"/>
    <w:rsid w:val="00D507CD"/>
    <w:rsid w:val="00D534D6"/>
    <w:rsid w:val="00D603D2"/>
    <w:rsid w:val="00D608DA"/>
    <w:rsid w:val="00D61D1A"/>
    <w:rsid w:val="00D730BF"/>
    <w:rsid w:val="00D81BA0"/>
    <w:rsid w:val="00D81FCD"/>
    <w:rsid w:val="00D829E3"/>
    <w:rsid w:val="00D85694"/>
    <w:rsid w:val="00D86484"/>
    <w:rsid w:val="00D86519"/>
    <w:rsid w:val="00D8736C"/>
    <w:rsid w:val="00D90ABB"/>
    <w:rsid w:val="00D948A6"/>
    <w:rsid w:val="00DA2557"/>
    <w:rsid w:val="00DA5635"/>
    <w:rsid w:val="00DB05CC"/>
    <w:rsid w:val="00DB1CFF"/>
    <w:rsid w:val="00DB6CEC"/>
    <w:rsid w:val="00DC163D"/>
    <w:rsid w:val="00DC3788"/>
    <w:rsid w:val="00DC76C7"/>
    <w:rsid w:val="00DD09F5"/>
    <w:rsid w:val="00DD2279"/>
    <w:rsid w:val="00DD4201"/>
    <w:rsid w:val="00DD5E9F"/>
    <w:rsid w:val="00DE01BD"/>
    <w:rsid w:val="00DE5711"/>
    <w:rsid w:val="00DE66CA"/>
    <w:rsid w:val="00DF0FEB"/>
    <w:rsid w:val="00DF7238"/>
    <w:rsid w:val="00DF77EC"/>
    <w:rsid w:val="00E00EA0"/>
    <w:rsid w:val="00E04F96"/>
    <w:rsid w:val="00E11D51"/>
    <w:rsid w:val="00E133AE"/>
    <w:rsid w:val="00E138F1"/>
    <w:rsid w:val="00E13B33"/>
    <w:rsid w:val="00E14054"/>
    <w:rsid w:val="00E14CC2"/>
    <w:rsid w:val="00E20B5A"/>
    <w:rsid w:val="00E212CB"/>
    <w:rsid w:val="00E22760"/>
    <w:rsid w:val="00E2309D"/>
    <w:rsid w:val="00E23399"/>
    <w:rsid w:val="00E24A18"/>
    <w:rsid w:val="00E26758"/>
    <w:rsid w:val="00E27B27"/>
    <w:rsid w:val="00E3075A"/>
    <w:rsid w:val="00E3269C"/>
    <w:rsid w:val="00E335F7"/>
    <w:rsid w:val="00E3673A"/>
    <w:rsid w:val="00E41212"/>
    <w:rsid w:val="00E4357B"/>
    <w:rsid w:val="00E54EA1"/>
    <w:rsid w:val="00E56393"/>
    <w:rsid w:val="00E56DD8"/>
    <w:rsid w:val="00E63DE5"/>
    <w:rsid w:val="00E65A37"/>
    <w:rsid w:val="00E74933"/>
    <w:rsid w:val="00E77B48"/>
    <w:rsid w:val="00E8110C"/>
    <w:rsid w:val="00E85E8E"/>
    <w:rsid w:val="00E86B80"/>
    <w:rsid w:val="00E91799"/>
    <w:rsid w:val="00E9403F"/>
    <w:rsid w:val="00E95901"/>
    <w:rsid w:val="00EA1073"/>
    <w:rsid w:val="00EA21FE"/>
    <w:rsid w:val="00EA34E3"/>
    <w:rsid w:val="00EA7348"/>
    <w:rsid w:val="00EA74DD"/>
    <w:rsid w:val="00EB0613"/>
    <w:rsid w:val="00EB328A"/>
    <w:rsid w:val="00EB60AF"/>
    <w:rsid w:val="00EB669D"/>
    <w:rsid w:val="00EB6BBC"/>
    <w:rsid w:val="00EB6E30"/>
    <w:rsid w:val="00EB7538"/>
    <w:rsid w:val="00EC2F13"/>
    <w:rsid w:val="00ED2839"/>
    <w:rsid w:val="00ED384D"/>
    <w:rsid w:val="00ED6748"/>
    <w:rsid w:val="00ED6BE5"/>
    <w:rsid w:val="00EE4D2E"/>
    <w:rsid w:val="00EE6468"/>
    <w:rsid w:val="00EF12F9"/>
    <w:rsid w:val="00EF350A"/>
    <w:rsid w:val="00EF4EBD"/>
    <w:rsid w:val="00F043EC"/>
    <w:rsid w:val="00F0480E"/>
    <w:rsid w:val="00F07A44"/>
    <w:rsid w:val="00F07AB7"/>
    <w:rsid w:val="00F10E33"/>
    <w:rsid w:val="00F11247"/>
    <w:rsid w:val="00F15578"/>
    <w:rsid w:val="00F156F2"/>
    <w:rsid w:val="00F207A4"/>
    <w:rsid w:val="00F22C8F"/>
    <w:rsid w:val="00F23FF4"/>
    <w:rsid w:val="00F24FA8"/>
    <w:rsid w:val="00F27F28"/>
    <w:rsid w:val="00F33179"/>
    <w:rsid w:val="00F3442F"/>
    <w:rsid w:val="00F355AC"/>
    <w:rsid w:val="00F37965"/>
    <w:rsid w:val="00F37C4B"/>
    <w:rsid w:val="00F40395"/>
    <w:rsid w:val="00F41C10"/>
    <w:rsid w:val="00F420A3"/>
    <w:rsid w:val="00F429C9"/>
    <w:rsid w:val="00F43757"/>
    <w:rsid w:val="00F52102"/>
    <w:rsid w:val="00F5367D"/>
    <w:rsid w:val="00F542A7"/>
    <w:rsid w:val="00F5448D"/>
    <w:rsid w:val="00F57531"/>
    <w:rsid w:val="00F6117F"/>
    <w:rsid w:val="00F6122A"/>
    <w:rsid w:val="00F629CB"/>
    <w:rsid w:val="00F64571"/>
    <w:rsid w:val="00F65956"/>
    <w:rsid w:val="00F65B95"/>
    <w:rsid w:val="00F670B9"/>
    <w:rsid w:val="00F71A5A"/>
    <w:rsid w:val="00F734AC"/>
    <w:rsid w:val="00F73F5E"/>
    <w:rsid w:val="00F769E0"/>
    <w:rsid w:val="00F80375"/>
    <w:rsid w:val="00F8147A"/>
    <w:rsid w:val="00F84072"/>
    <w:rsid w:val="00F868BC"/>
    <w:rsid w:val="00F90B75"/>
    <w:rsid w:val="00F97C60"/>
    <w:rsid w:val="00FA1946"/>
    <w:rsid w:val="00FA75FE"/>
    <w:rsid w:val="00FB1032"/>
    <w:rsid w:val="00FB7824"/>
    <w:rsid w:val="00FB7F79"/>
    <w:rsid w:val="00FC1D23"/>
    <w:rsid w:val="00FC2002"/>
    <w:rsid w:val="00FC6BDE"/>
    <w:rsid w:val="00FD0C5D"/>
    <w:rsid w:val="00FD1E65"/>
    <w:rsid w:val="00FD2EEA"/>
    <w:rsid w:val="00FD4C2F"/>
    <w:rsid w:val="00FD4E5B"/>
    <w:rsid w:val="00FE39BD"/>
    <w:rsid w:val="00FF489F"/>
    <w:rsid w:val="00FF4E11"/>
    <w:rsid w:val="00FF5F35"/>
    <w:rsid w:val="00FF76D8"/>
    <w:rsid w:val="0112BA42"/>
    <w:rsid w:val="0316ECE5"/>
    <w:rsid w:val="04F32AC3"/>
    <w:rsid w:val="0B08D66D"/>
    <w:rsid w:val="0BC08258"/>
    <w:rsid w:val="0F374061"/>
    <w:rsid w:val="0FD6B4C6"/>
    <w:rsid w:val="0FDC4790"/>
    <w:rsid w:val="15D5336A"/>
    <w:rsid w:val="1753E05A"/>
    <w:rsid w:val="188DAF20"/>
    <w:rsid w:val="1974DFE7"/>
    <w:rsid w:val="1C3832C8"/>
    <w:rsid w:val="1DF93394"/>
    <w:rsid w:val="2216C8D3"/>
    <w:rsid w:val="22562F99"/>
    <w:rsid w:val="23B29934"/>
    <w:rsid w:val="29B7DA22"/>
    <w:rsid w:val="2AA5097D"/>
    <w:rsid w:val="347453DC"/>
    <w:rsid w:val="360E548C"/>
    <w:rsid w:val="3A58489E"/>
    <w:rsid w:val="3B783C29"/>
    <w:rsid w:val="423DF38E"/>
    <w:rsid w:val="493B56CD"/>
    <w:rsid w:val="4ADE68B5"/>
    <w:rsid w:val="56BBE1F3"/>
    <w:rsid w:val="59DF1287"/>
    <w:rsid w:val="5BC51670"/>
    <w:rsid w:val="5C4343DA"/>
    <w:rsid w:val="62FB8047"/>
    <w:rsid w:val="67641B6F"/>
    <w:rsid w:val="687F4C3E"/>
    <w:rsid w:val="6BADD007"/>
    <w:rsid w:val="6BC039CE"/>
    <w:rsid w:val="6D52BD61"/>
    <w:rsid w:val="72A3A335"/>
    <w:rsid w:val="73A343BE"/>
    <w:rsid w:val="775BEF96"/>
    <w:rsid w:val="7A965755"/>
    <w:rsid w:val="7C2CD70D"/>
    <w:rsid w:val="7DB8F66B"/>
  </w:rsids>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ftazzr01ztp2nezaf7ppse12esvze5a0255&quot;&gt;DTM library&lt;record-ids&gt;&lt;item&gt;113&lt;/item&gt;&lt;/record-ids&gt;&lt;/item&gt;&lt;/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174C8DD"/>
  <w15:chartTrackingRefBased/>
  <w15:docId w15:val="{4FEC71C5-E343-4A77-87C2-D5D901E57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lsdException w:name="footer" w:uiPriority="99"/>
    <w:lsdException w:name="caption" w:semiHidden="1" w:unhideWhenUsed="1" w:qFormat="1"/>
    <w:lsdException w:name="table of figures" w:uiPriority="99"/>
    <w:lsdException w:name="footnote reference" w:uiPriority="99"/>
    <w:lsdException w:name="endnote reference" w:uiPriority="99"/>
    <w:lsdException w:name="endnote text" w:uiPriority="99"/>
    <w:lsdException w:name="Title" w:uiPriority="10" w:qFormat="1"/>
    <w:lsdException w:name="Default Paragraph Font" w:uiPriority="1"/>
    <w:lsdException w:name="Body Text" w:uiPriority="99"/>
    <w:lsdException w:name="List Continue 2" w:uiPriority="99"/>
    <w:lsdException w:name="Subtitle" w:uiPriority="11" w:qFormat="1"/>
    <w:lsdException w:name="Hyperlink" w:uiPriority="99"/>
    <w:lsdException w:name="FollowedHyperlink" w:uiPriority="99"/>
    <w:lsdException w:name="Strong" w:qFormat="1"/>
    <w:lsdException w:name="Emphasis"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850940"/>
    <w:rPr>
      <w:rFonts w:eastAsia="SimSun"/>
      <w:sz w:val="24"/>
      <w:szCs w:val="22"/>
      <w:lang w:eastAsia="zh-CN"/>
    </w:rPr>
  </w:style>
  <w:style w:type="paragraph" w:styleId="Heading1">
    <w:name w:val="heading 1"/>
    <w:basedOn w:val="Baseheading"/>
    <w:next w:val="Normal"/>
    <w:link w:val="Heading1Char"/>
    <w:uiPriority w:val="9"/>
    <w:qFormat/>
    <w:rsid w:val="007B0DA4"/>
    <w:pPr>
      <w:keepLines/>
      <w:spacing w:before="120" w:after="120"/>
      <w:ind w:left="720" w:hanging="720"/>
      <w:outlineLvl w:val="0"/>
    </w:pPr>
    <w:rPr>
      <w:rFonts w:ascii="Times New Roman Bold" w:hAnsi="Times New Roman Bold"/>
      <w:bCs/>
      <w:caps/>
      <w:szCs w:val="28"/>
    </w:rPr>
  </w:style>
  <w:style w:type="paragraph" w:styleId="Heading2">
    <w:name w:val="heading 2"/>
    <w:basedOn w:val="Baseheading"/>
    <w:next w:val="Normal"/>
    <w:link w:val="Heading2Char"/>
    <w:unhideWhenUsed/>
    <w:qFormat/>
    <w:rsid w:val="00850940"/>
    <w:pPr>
      <w:keepLines/>
      <w:spacing w:before="100" w:beforeAutospacing="1" w:after="100" w:afterAutospacing="1"/>
      <w:outlineLvl w:val="1"/>
    </w:pPr>
    <w:rPr>
      <w:rFonts w:eastAsia="Times New Roman"/>
      <w:bCs/>
      <w:kern w:val="0"/>
      <w:szCs w:val="24"/>
      <w:lang w:eastAsia="en-US"/>
    </w:rPr>
  </w:style>
  <w:style w:type="paragraph" w:styleId="Heading3">
    <w:name w:val="heading 3"/>
    <w:basedOn w:val="Normal"/>
    <w:next w:val="Normal"/>
    <w:link w:val="Heading3Char"/>
    <w:uiPriority w:val="9"/>
    <w:unhideWhenUsed/>
    <w:qFormat/>
    <w:rsid w:val="00AD4C50"/>
    <w:pPr>
      <w:keepNext/>
      <w:keepLines/>
      <w:numPr>
        <w:numId w:val="1"/>
      </w:numPr>
      <w:spacing w:before="100" w:beforeAutospacing="1" w:after="100" w:afterAutospacing="1"/>
      <w:outlineLvl w:val="2"/>
    </w:pPr>
    <w:rPr>
      <w:rFonts w:eastAsia="Times New Roman"/>
      <w:b/>
      <w:szCs w:val="24"/>
      <w:u w:val="single"/>
      <w:lang w:eastAsia="en-US"/>
    </w:rPr>
  </w:style>
  <w:style w:type="paragraph" w:styleId="Heading4">
    <w:name w:val="heading 4"/>
    <w:basedOn w:val="Normal"/>
    <w:next w:val="Normal"/>
    <w:link w:val="Heading4Char"/>
    <w:uiPriority w:val="9"/>
    <w:unhideWhenUsed/>
    <w:qFormat/>
    <w:rsid w:val="00AD4C50"/>
    <w:pPr>
      <w:keepNext/>
      <w:keepLines/>
      <w:ind w:left="720"/>
      <w:outlineLvl w:val="3"/>
    </w:pPr>
    <w:rPr>
      <w:b/>
    </w:rPr>
  </w:style>
  <w:style w:type="paragraph" w:styleId="Heading5">
    <w:name w:val="heading 5"/>
    <w:basedOn w:val="Baseheading"/>
    <w:next w:val="Normal"/>
    <w:link w:val="Heading5Char"/>
    <w:uiPriority w:val="9"/>
    <w:semiHidden/>
    <w:qFormat/>
    <w:rsid w:val="007B0DA4"/>
    <w:pPr>
      <w:keepLines/>
      <w:spacing w:after="60"/>
      <w:outlineLvl w:val="4"/>
    </w:pPr>
    <w:rPr>
      <w:i/>
      <w:sz w:val="20"/>
    </w:rPr>
  </w:style>
  <w:style w:type="paragraph" w:styleId="Heading6">
    <w:name w:val="heading 6"/>
    <w:basedOn w:val="Baseheading"/>
    <w:next w:val="BodyText0"/>
    <w:link w:val="Heading6Char"/>
    <w:uiPriority w:val="9"/>
    <w:semiHidden/>
    <w:qFormat/>
    <w:rsid w:val="007B0DA4"/>
    <w:pPr>
      <w:spacing w:after="60"/>
      <w:outlineLvl w:val="5"/>
    </w:pPr>
    <w:rPr>
      <w:bCs/>
      <w:sz w:val="20"/>
    </w:rPr>
  </w:style>
  <w:style w:type="paragraph" w:styleId="Heading7">
    <w:name w:val="heading 7"/>
    <w:basedOn w:val="Baseheading"/>
    <w:next w:val="Normal"/>
    <w:link w:val="Heading7Char"/>
    <w:uiPriority w:val="9"/>
    <w:semiHidden/>
    <w:qFormat/>
    <w:rsid w:val="007B0DA4"/>
    <w:pPr>
      <w:spacing w:before="120" w:after="120"/>
      <w:outlineLvl w:val="6"/>
    </w:pPr>
    <w:rPr>
      <w:rFonts w:eastAsia="MS Mincho"/>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7B0DA4"/>
    <w:rPr>
      <w:rFonts w:ascii="Segoe UI" w:hAnsi="Segoe UI" w:cs="Segoe UI"/>
      <w:sz w:val="18"/>
      <w:szCs w:val="18"/>
    </w:rPr>
  </w:style>
  <w:style w:type="table" w:styleId="TableGrid">
    <w:name w:val="Table Grid"/>
    <w:basedOn w:val="TableNormal"/>
    <w:uiPriority w:val="59"/>
    <w:rsid w:val="007B0DA4"/>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Basetext"/>
    <w:link w:val="FooterChar"/>
    <w:uiPriority w:val="99"/>
    <w:unhideWhenUsed/>
    <w:rsid w:val="007B0DA4"/>
    <w:pPr>
      <w:numPr>
        <w:numId w:val="8"/>
      </w:numPr>
      <w:tabs>
        <w:tab w:val="center" w:pos="4680"/>
        <w:tab w:val="right" w:pos="9360"/>
      </w:tabs>
      <w:ind w:left="0" w:firstLine="0"/>
      <w:jc w:val="center"/>
    </w:pPr>
  </w:style>
  <w:style w:type="character" w:styleId="PageNumber">
    <w:name w:val="page number"/>
    <w:unhideWhenUsed/>
    <w:rsid w:val="007B0DA4"/>
    <w:rPr>
      <w:rFonts w:ascii="Times New Roman" w:hAnsi="Times New Roman"/>
      <w:b w:val="0"/>
      <w:sz w:val="24"/>
    </w:rPr>
  </w:style>
  <w:style w:type="character" w:styleId="CommentReference">
    <w:name w:val="annotation reference"/>
    <w:unhideWhenUsed/>
    <w:rsid w:val="007B0DA4"/>
    <w:rPr>
      <w:sz w:val="16"/>
      <w:szCs w:val="16"/>
    </w:rPr>
  </w:style>
  <w:style w:type="paragraph" w:styleId="CommentText">
    <w:name w:val="annotation text"/>
    <w:basedOn w:val="Normal"/>
    <w:link w:val="CommentTextChar"/>
    <w:unhideWhenUsed/>
    <w:rsid w:val="007B0DA4"/>
    <w:rPr>
      <w:szCs w:val="20"/>
    </w:rPr>
  </w:style>
  <w:style w:type="character" w:customStyle="1" w:styleId="CommentTextChar">
    <w:name w:val="Comment Text Char"/>
    <w:link w:val="CommentText"/>
    <w:rsid w:val="007B0DA4"/>
    <w:rPr>
      <w:rFonts w:eastAsia="SimSun"/>
      <w:sz w:val="24"/>
      <w:lang w:eastAsia="zh-CN"/>
    </w:rPr>
  </w:style>
  <w:style w:type="paragraph" w:styleId="CommentSubject">
    <w:name w:val="annotation subject"/>
    <w:basedOn w:val="CommentText"/>
    <w:next w:val="CommentText"/>
    <w:link w:val="CommentSubjectChar"/>
    <w:uiPriority w:val="99"/>
    <w:unhideWhenUsed/>
    <w:rsid w:val="007B0DA4"/>
    <w:rPr>
      <w:b/>
      <w:bCs/>
      <w:sz w:val="20"/>
    </w:rPr>
  </w:style>
  <w:style w:type="character" w:customStyle="1" w:styleId="CommentSubjectChar">
    <w:name w:val="Comment Subject Char"/>
    <w:link w:val="CommentSubject"/>
    <w:uiPriority w:val="99"/>
    <w:rsid w:val="007B0DA4"/>
    <w:rPr>
      <w:rFonts w:eastAsia="SimSun"/>
      <w:b/>
      <w:bCs/>
      <w:lang w:eastAsia="zh-CN"/>
    </w:rPr>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列出段落,列出段落1"/>
    <w:basedOn w:val="Basetext"/>
    <w:link w:val="ListParagraphChar"/>
    <w:uiPriority w:val="34"/>
    <w:qFormat/>
    <w:rsid w:val="007B0DA4"/>
    <w:pPr>
      <w:ind w:left="720"/>
    </w:pPr>
  </w:style>
  <w:style w:type="paragraph" w:styleId="FootnoteText">
    <w:name w:val="footnote text"/>
    <w:basedOn w:val="Basetext"/>
    <w:link w:val="FootnoteTextChar"/>
    <w:uiPriority w:val="99"/>
    <w:unhideWhenUsed/>
    <w:rsid w:val="007B0DA4"/>
    <w:pPr>
      <w:ind w:left="274" w:hanging="274"/>
    </w:pPr>
    <w:rPr>
      <w:sz w:val="20"/>
      <w:szCs w:val="20"/>
    </w:rPr>
  </w:style>
  <w:style w:type="character" w:customStyle="1" w:styleId="FootnoteTextChar">
    <w:name w:val="Footnote Text Char"/>
    <w:link w:val="FootnoteText"/>
    <w:uiPriority w:val="99"/>
    <w:rsid w:val="007B0DA4"/>
    <w:rPr>
      <w:rFonts w:eastAsia="SimSun"/>
      <w:lang w:eastAsia="zh-CN"/>
    </w:rPr>
  </w:style>
  <w:style w:type="character" w:customStyle="1" w:styleId="doi1">
    <w:name w:val="doi1"/>
    <w:rsid w:val="003D1295"/>
  </w:style>
  <w:style w:type="character" w:styleId="FootnoteReference">
    <w:name w:val="footnote reference"/>
    <w:uiPriority w:val="99"/>
    <w:unhideWhenUsed/>
    <w:rsid w:val="007B0DA4"/>
    <w:rPr>
      <w:rFonts w:ascii="Times New Roman" w:hAnsi="Times New Roman"/>
      <w:spacing w:val="0"/>
      <w:w w:val="100"/>
      <w:kern w:val="0"/>
      <w:position w:val="0"/>
      <w:vertAlign w:val="superscript"/>
    </w:rPr>
  </w:style>
  <w:style w:type="character" w:styleId="Hyperlink">
    <w:name w:val="Hyperlink"/>
    <w:uiPriority w:val="99"/>
    <w:unhideWhenUsed/>
    <w:rsid w:val="007B0DA4"/>
    <w:rPr>
      <w:rFonts w:ascii="Times New Roman" w:hAnsi="Times New Roman"/>
      <w:color w:val="3333FF"/>
      <w:u w:val="single"/>
      <w:lang w:val="en-US"/>
    </w:rPr>
  </w:style>
  <w:style w:type="character" w:customStyle="1" w:styleId="nlmstring-name">
    <w:name w:val="nlm_string-name"/>
    <w:rsid w:val="004C7D81"/>
  </w:style>
  <w:style w:type="character" w:customStyle="1" w:styleId="nlmyear">
    <w:name w:val="nlm_year"/>
    <w:rsid w:val="004C7D81"/>
  </w:style>
  <w:style w:type="character" w:customStyle="1" w:styleId="nlmarticle-title">
    <w:name w:val="nlm_article-title"/>
    <w:rsid w:val="004C7D81"/>
  </w:style>
  <w:style w:type="character" w:customStyle="1" w:styleId="nlmfpage">
    <w:name w:val="nlm_fpage"/>
    <w:rsid w:val="004C7D81"/>
  </w:style>
  <w:style w:type="character" w:customStyle="1" w:styleId="nlmlpage">
    <w:name w:val="nlm_lpage"/>
    <w:rsid w:val="004C7D81"/>
  </w:style>
  <w:style w:type="character" w:customStyle="1" w:styleId="nlmpublisher-loc">
    <w:name w:val="nlm_publisher-loc"/>
    <w:rsid w:val="004C7D81"/>
  </w:style>
  <w:style w:type="character" w:customStyle="1" w:styleId="nlmpublisher-name">
    <w:name w:val="nlm_publisher-name"/>
    <w:rsid w:val="004C7D81"/>
  </w:style>
  <w:style w:type="character" w:customStyle="1" w:styleId="hlfld-contribauthor">
    <w:name w:val="hlfld-contribauthor"/>
    <w:rsid w:val="004C7D81"/>
  </w:style>
  <w:style w:type="character" w:customStyle="1" w:styleId="nlmgiven-names">
    <w:name w:val="nlm_given-names"/>
    <w:rsid w:val="004C7D81"/>
  </w:style>
  <w:style w:type="character" w:customStyle="1" w:styleId="apple-converted-space">
    <w:name w:val="apple-converted-space"/>
    <w:rsid w:val="004C7D81"/>
  </w:style>
  <w:style w:type="character" w:customStyle="1" w:styleId="BodyText2Char">
    <w:name w:val="Body Text 2 Char"/>
    <w:link w:val="BodyText2"/>
    <w:rsid w:val="00A13B87"/>
    <w:rPr>
      <w:sz w:val="24"/>
    </w:rPr>
  </w:style>
  <w:style w:type="character" w:customStyle="1" w:styleId="bodytextChar">
    <w:name w:val="body text Char"/>
    <w:aliases w:val="body tx Char,bt Char,flush Char,flush Char Char,indent Char,indent Char1"/>
    <w:link w:val="BodyText1"/>
    <w:locked/>
    <w:rsid w:val="005E2E7D"/>
    <w:rPr>
      <w:sz w:val="24"/>
    </w:rPr>
  </w:style>
  <w:style w:type="paragraph" w:customStyle="1" w:styleId="BodyText1">
    <w:name w:val="Body Text1"/>
    <w:aliases w:val="body text,body tx,bt,flush,indent"/>
    <w:basedOn w:val="Normal"/>
    <w:link w:val="bodytextChar"/>
    <w:rsid w:val="005E2E7D"/>
    <w:pPr>
      <w:spacing w:after="120" w:line="360" w:lineRule="auto"/>
      <w:ind w:firstLine="720"/>
    </w:pPr>
    <w:rPr>
      <w:szCs w:val="20"/>
    </w:rPr>
  </w:style>
  <w:style w:type="character" w:styleId="FollowedHyperlink">
    <w:name w:val="FollowedHyperlink"/>
    <w:uiPriority w:val="99"/>
    <w:rsid w:val="007B0DA4"/>
    <w:rPr>
      <w:rFonts w:ascii="Times New Roman" w:hAnsi="Times New Roman"/>
      <w:color w:val="6F57B5"/>
      <w:u w:val="single"/>
    </w:rPr>
  </w:style>
  <w:style w:type="paragraph" w:styleId="Header">
    <w:name w:val="header"/>
    <w:basedOn w:val="Basetext"/>
    <w:link w:val="HeaderChar"/>
    <w:unhideWhenUsed/>
    <w:rsid w:val="007B0DA4"/>
    <w:rPr>
      <w:sz w:val="20"/>
    </w:rPr>
  </w:style>
  <w:style w:type="character" w:customStyle="1" w:styleId="HeaderChar">
    <w:name w:val="Header Char"/>
    <w:link w:val="Header"/>
    <w:rsid w:val="007B0DA4"/>
    <w:rPr>
      <w:rFonts w:eastAsia="SimSun"/>
      <w:szCs w:val="22"/>
      <w:lang w:eastAsia="zh-CN"/>
    </w:rPr>
  </w:style>
  <w:style w:type="character" w:customStyle="1" w:styleId="FooterChar">
    <w:name w:val="Footer Char"/>
    <w:link w:val="Footer"/>
    <w:uiPriority w:val="99"/>
    <w:rsid w:val="007B0DA4"/>
    <w:rPr>
      <w:rFonts w:eastAsia="SimSun"/>
      <w:sz w:val="24"/>
      <w:szCs w:val="22"/>
      <w:lang w:eastAsia="zh-CN"/>
    </w:rPr>
  </w:style>
  <w:style w:type="character" w:customStyle="1" w:styleId="Heading1Char">
    <w:name w:val="Heading 1 Char"/>
    <w:link w:val="Heading1"/>
    <w:uiPriority w:val="9"/>
    <w:rsid w:val="007B0DA4"/>
    <w:rPr>
      <w:rFonts w:ascii="Times New Roman Bold" w:eastAsia="SimSun" w:hAnsi="Times New Roman Bold"/>
      <w:b/>
      <w:bCs/>
      <w:caps/>
      <w:kern w:val="28"/>
      <w:sz w:val="24"/>
      <w:szCs w:val="28"/>
      <w:lang w:eastAsia="zh-CN"/>
    </w:rPr>
  </w:style>
  <w:style w:type="character" w:customStyle="1" w:styleId="Heading2Char">
    <w:name w:val="Heading 2 Char"/>
    <w:link w:val="Heading2"/>
    <w:rsid w:val="00850940"/>
    <w:rPr>
      <w:b/>
      <w:bCs/>
      <w:sz w:val="24"/>
      <w:szCs w:val="24"/>
    </w:rPr>
  </w:style>
  <w:style w:type="character" w:customStyle="1" w:styleId="Heading3Char">
    <w:name w:val="Heading 3 Char"/>
    <w:link w:val="Heading3"/>
    <w:uiPriority w:val="9"/>
    <w:rsid w:val="00AD4C50"/>
    <w:rPr>
      <w:b/>
      <w:sz w:val="24"/>
      <w:szCs w:val="24"/>
      <w:u w:val="single"/>
    </w:rPr>
  </w:style>
  <w:style w:type="character" w:customStyle="1" w:styleId="Heading4Char">
    <w:name w:val="Heading 4 Char"/>
    <w:link w:val="Heading4"/>
    <w:uiPriority w:val="9"/>
    <w:rsid w:val="00AD4C50"/>
    <w:rPr>
      <w:rFonts w:eastAsia="SimSun"/>
      <w:b/>
      <w:sz w:val="24"/>
      <w:szCs w:val="22"/>
      <w:lang w:eastAsia="zh-CN"/>
    </w:rPr>
  </w:style>
  <w:style w:type="character" w:customStyle="1" w:styleId="Heading5Char">
    <w:name w:val="Heading 5 Char"/>
    <w:link w:val="Heading5"/>
    <w:uiPriority w:val="9"/>
    <w:semiHidden/>
    <w:rsid w:val="007B0DA4"/>
    <w:rPr>
      <w:rFonts w:eastAsia="SimSun"/>
      <w:b/>
      <w:i/>
      <w:kern w:val="28"/>
      <w:szCs w:val="22"/>
      <w:lang w:eastAsia="zh-CN"/>
    </w:rPr>
  </w:style>
  <w:style w:type="character" w:customStyle="1" w:styleId="Heading6Char">
    <w:name w:val="Heading 6 Char"/>
    <w:link w:val="Heading6"/>
    <w:uiPriority w:val="9"/>
    <w:semiHidden/>
    <w:rsid w:val="007B0DA4"/>
    <w:rPr>
      <w:rFonts w:eastAsia="SimSun"/>
      <w:b/>
      <w:bCs/>
      <w:kern w:val="28"/>
      <w:szCs w:val="22"/>
      <w:lang w:eastAsia="zh-CN"/>
    </w:rPr>
  </w:style>
  <w:style w:type="character" w:customStyle="1" w:styleId="Heading7Char">
    <w:name w:val="Heading 7 Char"/>
    <w:link w:val="Heading7"/>
    <w:uiPriority w:val="9"/>
    <w:semiHidden/>
    <w:rsid w:val="007B0DA4"/>
    <w:rPr>
      <w:rFonts w:eastAsia="MS Mincho"/>
      <w:b/>
      <w:i/>
      <w:kern w:val="28"/>
    </w:rPr>
  </w:style>
  <w:style w:type="paragraph" w:customStyle="1" w:styleId="DiscussionHeading">
    <w:name w:val="Discussion Heading"/>
    <w:basedOn w:val="Normal"/>
    <w:rsid w:val="007B0DA4"/>
    <w:pPr>
      <w:keepNext/>
      <w:spacing w:before="240" w:after="120" w:line="240" w:lineRule="exact"/>
      <w:jc w:val="center"/>
      <w:outlineLvl w:val="0"/>
    </w:pPr>
    <w:rPr>
      <w:rFonts w:ascii="Myriad Pro" w:eastAsia="Times New Roman" w:hAnsi="Myriad Pro" w:cs="Arial"/>
      <w:b/>
      <w:color w:val="7F7F7F"/>
      <w:kern w:val="28"/>
      <w:szCs w:val="28"/>
    </w:rPr>
  </w:style>
  <w:style w:type="paragraph" w:customStyle="1" w:styleId="Baseheading">
    <w:name w:val="Base_heading"/>
    <w:rsid w:val="007B0DA4"/>
    <w:pPr>
      <w:keepNext/>
      <w:spacing w:before="240" w:after="240"/>
      <w:outlineLvl w:val="0"/>
    </w:pPr>
    <w:rPr>
      <w:rFonts w:eastAsia="SimSun"/>
      <w:b/>
      <w:kern w:val="28"/>
      <w:sz w:val="24"/>
      <w:szCs w:val="22"/>
      <w:lang w:eastAsia="zh-CN"/>
    </w:rPr>
  </w:style>
  <w:style w:type="paragraph" w:customStyle="1" w:styleId="app-heading1">
    <w:name w:val="app-heading_1"/>
    <w:basedOn w:val="Baseheading"/>
    <w:rsid w:val="007B0DA4"/>
    <w:pPr>
      <w:spacing w:before="120" w:after="120"/>
    </w:pPr>
    <w:rPr>
      <w:rFonts w:ascii="Times New Roman Bold" w:hAnsi="Times New Roman Bold"/>
      <w:caps/>
    </w:rPr>
  </w:style>
  <w:style w:type="paragraph" w:customStyle="1" w:styleId="app-heading2">
    <w:name w:val="app-heading_2"/>
    <w:basedOn w:val="Baseheading"/>
    <w:rsid w:val="007B0DA4"/>
    <w:pPr>
      <w:ind w:left="720" w:hanging="720"/>
      <w:outlineLvl w:val="1"/>
    </w:pPr>
  </w:style>
  <w:style w:type="paragraph" w:customStyle="1" w:styleId="app-heading3">
    <w:name w:val="app-heading_3"/>
    <w:basedOn w:val="Baseheading"/>
    <w:rsid w:val="007B0DA4"/>
    <w:pPr>
      <w:ind w:left="720" w:hanging="720"/>
      <w:outlineLvl w:val="2"/>
    </w:pPr>
    <w:rPr>
      <w:i/>
    </w:rPr>
  </w:style>
  <w:style w:type="paragraph" w:customStyle="1" w:styleId="Basetext">
    <w:name w:val="Base_text"/>
    <w:rsid w:val="007B0DA4"/>
    <w:rPr>
      <w:rFonts w:eastAsia="SimSun"/>
      <w:sz w:val="24"/>
      <w:szCs w:val="22"/>
      <w:lang w:eastAsia="zh-CN"/>
    </w:rPr>
  </w:style>
  <w:style w:type="paragraph" w:customStyle="1" w:styleId="table-continued">
    <w:name w:val="table-continued"/>
    <w:basedOn w:val="Basetext"/>
    <w:rsid w:val="007B0DA4"/>
    <w:pPr>
      <w:spacing w:before="40"/>
      <w:ind w:right="-86"/>
      <w:jc w:val="right"/>
    </w:pPr>
    <w:rPr>
      <w:sz w:val="20"/>
    </w:rPr>
  </w:style>
  <w:style w:type="numbering" w:customStyle="1" w:styleId="Format2Number">
    <w:name w:val="Format2_Number"/>
    <w:uiPriority w:val="99"/>
    <w:rsid w:val="007B0DA4"/>
    <w:pPr>
      <w:numPr>
        <w:numId w:val="6"/>
      </w:numPr>
    </w:pPr>
  </w:style>
  <w:style w:type="paragraph" w:styleId="BodyText0">
    <w:name w:val="Body Text"/>
    <w:basedOn w:val="Basetext"/>
    <w:link w:val="BodyTextChar0"/>
    <w:uiPriority w:val="99"/>
    <w:rsid w:val="00AD4C50"/>
    <w:pPr>
      <w:spacing w:before="120" w:after="120"/>
      <w:ind w:firstLine="720"/>
    </w:pPr>
  </w:style>
  <w:style w:type="character" w:customStyle="1" w:styleId="BodyTextChar0">
    <w:name w:val="Body Text Char"/>
    <w:link w:val="BodyText0"/>
    <w:uiPriority w:val="99"/>
    <w:rsid w:val="00AD4C50"/>
    <w:rPr>
      <w:rFonts w:eastAsia="SimSun"/>
      <w:sz w:val="24"/>
      <w:szCs w:val="22"/>
      <w:lang w:eastAsia="zh-CN"/>
    </w:rPr>
  </w:style>
  <w:style w:type="paragraph" w:customStyle="1" w:styleId="bullets">
    <w:name w:val="bullets"/>
    <w:basedOn w:val="Basetext"/>
    <w:rsid w:val="007B0DA4"/>
    <w:pPr>
      <w:numPr>
        <w:numId w:val="3"/>
      </w:numPr>
      <w:spacing w:after="120"/>
      <w:ind w:left="1080"/>
    </w:pPr>
  </w:style>
  <w:style w:type="paragraph" w:customStyle="1" w:styleId="bullets2nd-level">
    <w:name w:val="bullets_2nd-level"/>
    <w:basedOn w:val="Basetext"/>
    <w:rsid w:val="007B0DA4"/>
    <w:pPr>
      <w:numPr>
        <w:numId w:val="4"/>
      </w:numPr>
      <w:spacing w:after="120"/>
      <w:ind w:left="1440"/>
    </w:pPr>
  </w:style>
  <w:style w:type="paragraph" w:customStyle="1" w:styleId="bullets3rd-level">
    <w:name w:val="bullets_3rd-level"/>
    <w:basedOn w:val="Basetext"/>
    <w:rsid w:val="007B0DA4"/>
    <w:pPr>
      <w:spacing w:after="120"/>
      <w:ind w:left="1800" w:hanging="360"/>
    </w:pPr>
  </w:style>
  <w:style w:type="paragraph" w:customStyle="1" w:styleId="figure-inline">
    <w:name w:val="figure-inline"/>
    <w:basedOn w:val="Basetext"/>
    <w:rsid w:val="007B0DA4"/>
    <w:pPr>
      <w:keepNext/>
      <w:spacing w:before="240"/>
      <w:jc w:val="center"/>
    </w:pPr>
  </w:style>
  <w:style w:type="paragraph" w:customStyle="1" w:styleId="cover-author">
    <w:name w:val="cover-author"/>
    <w:basedOn w:val="Basetext"/>
    <w:rsid w:val="007B0DA4"/>
    <w:pPr>
      <w:contextualSpacing/>
      <w:jc w:val="right"/>
    </w:pPr>
    <w:rPr>
      <w:rFonts w:ascii="Arial Black" w:hAnsi="Arial Black"/>
    </w:rPr>
  </w:style>
  <w:style w:type="paragraph" w:customStyle="1" w:styleId="cover-text">
    <w:name w:val="cover-text"/>
    <w:basedOn w:val="Basetext"/>
    <w:link w:val="cover-textChar"/>
    <w:rsid w:val="007B0DA4"/>
    <w:pPr>
      <w:spacing w:before="600" w:after="240"/>
      <w:contextualSpacing/>
      <w:jc w:val="right"/>
    </w:pPr>
    <w:rPr>
      <w:rFonts w:ascii="Arial" w:hAnsi="Arial"/>
    </w:rPr>
  </w:style>
  <w:style w:type="paragraph" w:customStyle="1" w:styleId="cover-title">
    <w:name w:val="cover-title"/>
    <w:basedOn w:val="Baseheading"/>
    <w:rsid w:val="007B0DA4"/>
    <w:pPr>
      <w:keepNext w:val="0"/>
      <w:spacing w:before="600" w:after="720"/>
      <w:contextualSpacing/>
      <w:jc w:val="right"/>
    </w:pPr>
    <w:rPr>
      <w:rFonts w:ascii="Arial Black" w:hAnsi="Arial Black"/>
      <w:b w:val="0"/>
      <w:sz w:val="48"/>
    </w:rPr>
  </w:style>
  <w:style w:type="paragraph" w:customStyle="1" w:styleId="cover-subtitle">
    <w:name w:val="cover-subtitle"/>
    <w:basedOn w:val="Baseheading"/>
    <w:rsid w:val="007B0DA4"/>
    <w:pPr>
      <w:keepNext w:val="0"/>
      <w:spacing w:before="0" w:after="1920"/>
      <w:jc w:val="right"/>
      <w:outlineLvl w:val="1"/>
    </w:pPr>
    <w:rPr>
      <w:rFonts w:ascii="Arial Black" w:hAnsi="Arial Black"/>
      <w:b w:val="0"/>
      <w:sz w:val="40"/>
    </w:rPr>
  </w:style>
  <w:style w:type="paragraph" w:customStyle="1" w:styleId="body-textcontinued">
    <w:name w:val="body-text_continued"/>
    <w:basedOn w:val="Basetext"/>
    <w:rsid w:val="00850940"/>
    <w:pPr>
      <w:spacing w:before="120" w:after="120"/>
    </w:pPr>
  </w:style>
  <w:style w:type="paragraph" w:customStyle="1" w:styleId="figure-notealt-1">
    <w:name w:val="figure-note_alt-1"/>
    <w:basedOn w:val="Basetext"/>
    <w:rsid w:val="007B0DA4"/>
    <w:pPr>
      <w:keepLines/>
      <w:spacing w:before="60"/>
      <w:ind w:left="187" w:hanging="187"/>
    </w:pPr>
    <w:rPr>
      <w:sz w:val="20"/>
    </w:rPr>
  </w:style>
  <w:style w:type="paragraph" w:customStyle="1" w:styleId="disclaimer-text">
    <w:name w:val="disclaimer-text"/>
    <w:basedOn w:val="Basetext"/>
    <w:rsid w:val="007B0DA4"/>
    <w:pPr>
      <w:spacing w:line="240" w:lineRule="exact"/>
      <w:jc w:val="right"/>
    </w:pPr>
    <w:rPr>
      <w:rFonts w:ascii="Arial" w:hAnsi="Arial"/>
      <w:sz w:val="16"/>
    </w:rPr>
  </w:style>
  <w:style w:type="character" w:styleId="EndnoteReference">
    <w:name w:val="endnote reference"/>
    <w:uiPriority w:val="99"/>
    <w:unhideWhenUsed/>
    <w:rsid w:val="007B0DA4"/>
    <w:rPr>
      <w:rFonts w:ascii="Times New Roman" w:hAnsi="Times New Roman"/>
      <w:spacing w:val="0"/>
      <w:w w:val="100"/>
      <w:kern w:val="0"/>
      <w:position w:val="0"/>
      <w:vertAlign w:val="superscript"/>
    </w:rPr>
  </w:style>
  <w:style w:type="paragraph" w:styleId="EndnoteText">
    <w:name w:val="endnote text"/>
    <w:basedOn w:val="Basetext"/>
    <w:link w:val="EndnoteTextChar"/>
    <w:uiPriority w:val="99"/>
    <w:unhideWhenUsed/>
    <w:rsid w:val="007B0DA4"/>
    <w:pPr>
      <w:keepLines/>
      <w:spacing w:after="240"/>
      <w:ind w:left="720" w:hanging="720"/>
    </w:pPr>
    <w:rPr>
      <w:szCs w:val="20"/>
    </w:rPr>
  </w:style>
  <w:style w:type="character" w:customStyle="1" w:styleId="EndnoteTextChar">
    <w:name w:val="Endnote Text Char"/>
    <w:link w:val="EndnoteText"/>
    <w:uiPriority w:val="99"/>
    <w:rsid w:val="007B0DA4"/>
    <w:rPr>
      <w:rFonts w:eastAsia="SimSun"/>
      <w:sz w:val="24"/>
      <w:lang w:eastAsia="zh-CN"/>
    </w:rPr>
  </w:style>
  <w:style w:type="paragraph" w:customStyle="1" w:styleId="equation">
    <w:name w:val="equation"/>
    <w:basedOn w:val="Basetext"/>
    <w:rsid w:val="007B0DA4"/>
    <w:pPr>
      <w:tabs>
        <w:tab w:val="center" w:pos="4680"/>
        <w:tab w:val="right" w:pos="9360"/>
      </w:tabs>
      <w:spacing w:after="240" w:line="480" w:lineRule="atLeast"/>
    </w:pPr>
  </w:style>
  <w:style w:type="paragraph" w:customStyle="1" w:styleId="es-heading1">
    <w:name w:val="es-heading_1"/>
    <w:basedOn w:val="Baseheading"/>
    <w:rsid w:val="007B0DA4"/>
    <w:pPr>
      <w:spacing w:before="120" w:after="120"/>
      <w:ind w:left="720" w:hanging="720"/>
    </w:pPr>
    <w:rPr>
      <w:rFonts w:ascii="Times New Roman Bold" w:hAnsi="Times New Roman Bold"/>
      <w:caps/>
    </w:rPr>
  </w:style>
  <w:style w:type="paragraph" w:customStyle="1" w:styleId="es-heading2">
    <w:name w:val="es-heading_2"/>
    <w:basedOn w:val="Baseheading"/>
    <w:rsid w:val="007B0DA4"/>
    <w:pPr>
      <w:ind w:left="720" w:hanging="720"/>
      <w:outlineLvl w:val="1"/>
    </w:pPr>
  </w:style>
  <w:style w:type="paragraph" w:customStyle="1" w:styleId="es-heading3">
    <w:name w:val="es-heading_3"/>
    <w:basedOn w:val="Baseheading"/>
    <w:rsid w:val="007B0DA4"/>
    <w:pPr>
      <w:ind w:left="720" w:hanging="720"/>
      <w:outlineLvl w:val="2"/>
    </w:pPr>
    <w:rPr>
      <w:i/>
    </w:rPr>
  </w:style>
  <w:style w:type="paragraph" w:customStyle="1" w:styleId="es-heading4">
    <w:name w:val="es-heading_4"/>
    <w:basedOn w:val="Baseheading"/>
    <w:rsid w:val="007B0DA4"/>
    <w:pPr>
      <w:ind w:left="720" w:hanging="720"/>
      <w:outlineLvl w:val="3"/>
    </w:pPr>
    <w:rPr>
      <w:b w:val="0"/>
      <w:i/>
    </w:rPr>
  </w:style>
  <w:style w:type="paragraph" w:customStyle="1" w:styleId="figure-inlinew-box">
    <w:name w:val="figure-inline_w-box"/>
    <w:basedOn w:val="Basetext"/>
    <w:rsid w:val="007B0DA4"/>
    <w:pPr>
      <w:keepNext/>
      <w:pBdr>
        <w:top w:val="single" w:sz="12" w:space="9" w:color="auto"/>
        <w:left w:val="single" w:sz="12" w:space="6" w:color="auto"/>
        <w:bottom w:val="single" w:sz="12" w:space="9" w:color="auto"/>
        <w:right w:val="single" w:sz="12" w:space="4" w:color="auto"/>
      </w:pBdr>
      <w:spacing w:before="240" w:after="120"/>
      <w:ind w:left="187" w:right="187"/>
      <w:jc w:val="center"/>
    </w:pPr>
  </w:style>
  <w:style w:type="paragraph" w:customStyle="1" w:styleId="textbox-bullet">
    <w:name w:val="textbox-bullet"/>
    <w:basedOn w:val="Basetext"/>
    <w:rsid w:val="007B0DA4"/>
    <w:pPr>
      <w:numPr>
        <w:numId w:val="7"/>
      </w:numPr>
      <w:spacing w:before="60" w:after="60"/>
      <w:ind w:left="245" w:hanging="245"/>
    </w:pPr>
    <w:rPr>
      <w:sz w:val="20"/>
      <w:szCs w:val="24"/>
    </w:rPr>
  </w:style>
  <w:style w:type="paragraph" w:customStyle="1" w:styleId="figure-title">
    <w:name w:val="figure-title"/>
    <w:basedOn w:val="Basetext"/>
    <w:rsid w:val="007B0DA4"/>
    <w:pPr>
      <w:keepNext/>
      <w:keepLines/>
      <w:tabs>
        <w:tab w:val="left" w:pos="1260"/>
      </w:tabs>
      <w:spacing w:before="240"/>
    </w:pPr>
    <w:rPr>
      <w:b/>
    </w:rPr>
  </w:style>
  <w:style w:type="paragraph" w:styleId="ListContinue">
    <w:name w:val="List Continue"/>
    <w:basedOn w:val="Basetext"/>
    <w:unhideWhenUsed/>
    <w:rsid w:val="007B0DA4"/>
    <w:pPr>
      <w:spacing w:after="120"/>
      <w:ind w:left="720"/>
    </w:pPr>
  </w:style>
  <w:style w:type="paragraph" w:styleId="ListContinue2">
    <w:name w:val="List Continue 2"/>
    <w:basedOn w:val="Basetext"/>
    <w:uiPriority w:val="99"/>
    <w:unhideWhenUsed/>
    <w:rsid w:val="007B0DA4"/>
    <w:pPr>
      <w:spacing w:after="120"/>
      <w:ind w:left="1080"/>
    </w:pPr>
  </w:style>
  <w:style w:type="paragraph" w:styleId="Quote">
    <w:name w:val="Quote"/>
    <w:basedOn w:val="Basetext"/>
    <w:link w:val="QuoteChar"/>
    <w:uiPriority w:val="29"/>
    <w:rsid w:val="007B0DA4"/>
    <w:pPr>
      <w:spacing w:after="160" w:line="280" w:lineRule="atLeast"/>
      <w:ind w:left="720" w:right="720"/>
    </w:pPr>
    <w:rPr>
      <w:iCs/>
    </w:rPr>
  </w:style>
  <w:style w:type="character" w:customStyle="1" w:styleId="QuoteChar">
    <w:name w:val="Quote Char"/>
    <w:link w:val="Quote"/>
    <w:uiPriority w:val="29"/>
    <w:rsid w:val="007B0DA4"/>
    <w:rPr>
      <w:rFonts w:eastAsia="SimSun"/>
      <w:iCs/>
      <w:sz w:val="24"/>
      <w:szCs w:val="22"/>
      <w:lang w:eastAsia="zh-CN"/>
    </w:rPr>
  </w:style>
  <w:style w:type="paragraph" w:styleId="Subtitle">
    <w:name w:val="Subtitle"/>
    <w:basedOn w:val="Normal"/>
    <w:next w:val="Normal"/>
    <w:link w:val="SubtitleChar"/>
    <w:uiPriority w:val="11"/>
    <w:qFormat/>
    <w:rsid w:val="007B0DA4"/>
    <w:pPr>
      <w:numPr>
        <w:ilvl w:val="1"/>
      </w:numPr>
      <w:spacing w:after="2400"/>
      <w:jc w:val="right"/>
      <w:outlineLvl w:val="1"/>
    </w:pPr>
    <w:rPr>
      <w:b/>
      <w:iCs/>
      <w:spacing w:val="15"/>
      <w:sz w:val="36"/>
      <w:szCs w:val="24"/>
    </w:rPr>
  </w:style>
  <w:style w:type="character" w:customStyle="1" w:styleId="SubtitleChar">
    <w:name w:val="Subtitle Char"/>
    <w:link w:val="Subtitle"/>
    <w:uiPriority w:val="11"/>
    <w:rsid w:val="007B0DA4"/>
    <w:rPr>
      <w:rFonts w:eastAsia="SimSun"/>
      <w:b/>
      <w:iCs/>
      <w:spacing w:val="15"/>
      <w:sz w:val="36"/>
      <w:szCs w:val="24"/>
      <w:lang w:eastAsia="zh-CN"/>
    </w:rPr>
  </w:style>
  <w:style w:type="paragraph" w:customStyle="1" w:styleId="figure-notealt-2">
    <w:name w:val="figure-note_alt-2"/>
    <w:basedOn w:val="Basetext"/>
    <w:rsid w:val="007B0DA4"/>
    <w:pPr>
      <w:keepLines/>
      <w:spacing w:before="60" w:after="240"/>
      <w:ind w:left="187" w:hanging="187"/>
    </w:pPr>
    <w:rPr>
      <w:sz w:val="20"/>
    </w:rPr>
  </w:style>
  <w:style w:type="paragraph" w:customStyle="1" w:styleId="figure-notestd">
    <w:name w:val="figure-note_std"/>
    <w:basedOn w:val="Basetext"/>
    <w:rsid w:val="007B0DA4"/>
    <w:pPr>
      <w:keepLines/>
      <w:spacing w:before="120"/>
      <w:ind w:left="187" w:hanging="187"/>
    </w:pPr>
    <w:rPr>
      <w:sz w:val="20"/>
    </w:rPr>
  </w:style>
  <w:style w:type="paragraph" w:customStyle="1" w:styleId="figure-sourcealt-1">
    <w:name w:val="figure-source_alt-1"/>
    <w:basedOn w:val="Basetext"/>
    <w:rsid w:val="007B0DA4"/>
    <w:pPr>
      <w:keepLines/>
      <w:spacing w:before="120"/>
      <w:ind w:left="720" w:hanging="720"/>
    </w:pPr>
    <w:rPr>
      <w:sz w:val="20"/>
    </w:rPr>
  </w:style>
  <w:style w:type="paragraph" w:customStyle="1" w:styleId="table-bullet2nd">
    <w:name w:val="table-bullet_2nd"/>
    <w:basedOn w:val="Basetext"/>
    <w:rsid w:val="007B0DA4"/>
    <w:pPr>
      <w:numPr>
        <w:ilvl w:val="1"/>
        <w:numId w:val="5"/>
      </w:numPr>
      <w:spacing w:before="80" w:after="80"/>
    </w:pPr>
    <w:rPr>
      <w:sz w:val="22"/>
    </w:rPr>
  </w:style>
  <w:style w:type="paragraph" w:customStyle="1" w:styleId="table-bulletind">
    <w:name w:val="table-bullet_ind"/>
    <w:basedOn w:val="Basetext"/>
    <w:rsid w:val="007B0DA4"/>
    <w:pPr>
      <w:numPr>
        <w:numId w:val="10"/>
      </w:numPr>
      <w:spacing w:before="80" w:after="80"/>
      <w:ind w:left="490" w:hanging="245"/>
    </w:pPr>
    <w:rPr>
      <w:rFonts w:eastAsia="MS Mincho"/>
      <w:sz w:val="22"/>
      <w:szCs w:val="18"/>
      <w:lang w:eastAsia="en-US"/>
    </w:rPr>
  </w:style>
  <w:style w:type="paragraph" w:customStyle="1" w:styleId="table-bulletLM">
    <w:name w:val="table-bullet_LM"/>
    <w:basedOn w:val="Basetext"/>
    <w:qFormat/>
    <w:rsid w:val="007B0DA4"/>
    <w:pPr>
      <w:numPr>
        <w:numId w:val="9"/>
      </w:numPr>
      <w:spacing w:before="80" w:after="80"/>
      <w:ind w:left="245" w:hanging="245"/>
    </w:pPr>
    <w:rPr>
      <w:sz w:val="22"/>
    </w:rPr>
  </w:style>
  <w:style w:type="paragraph" w:customStyle="1" w:styleId="table-headers">
    <w:name w:val="table-headers"/>
    <w:basedOn w:val="Basetext"/>
    <w:rsid w:val="007B0DA4"/>
    <w:pPr>
      <w:keepNext/>
      <w:spacing w:before="80" w:after="80"/>
      <w:jc w:val="center"/>
    </w:pPr>
    <w:rPr>
      <w:b/>
      <w:sz w:val="22"/>
    </w:rPr>
  </w:style>
  <w:style w:type="paragraph" w:styleId="TableofFigures">
    <w:name w:val="table of figures"/>
    <w:basedOn w:val="Basetext"/>
    <w:next w:val="Normal"/>
    <w:uiPriority w:val="99"/>
    <w:unhideWhenUsed/>
    <w:rsid w:val="007B0DA4"/>
    <w:pPr>
      <w:tabs>
        <w:tab w:val="right" w:leader="dot" w:pos="9360"/>
      </w:tabs>
      <w:spacing w:before="40" w:after="40"/>
      <w:ind w:left="1080" w:right="720" w:hanging="1080"/>
    </w:pPr>
    <w:rPr>
      <w:noProof/>
    </w:rPr>
  </w:style>
  <w:style w:type="paragraph" w:customStyle="1" w:styleId="table-text">
    <w:name w:val="table-text"/>
    <w:basedOn w:val="Basetext"/>
    <w:rsid w:val="007B0DA4"/>
    <w:pPr>
      <w:spacing w:before="80" w:after="80"/>
    </w:pPr>
    <w:rPr>
      <w:sz w:val="22"/>
    </w:rPr>
  </w:style>
  <w:style w:type="paragraph" w:customStyle="1" w:styleId="table-textindent">
    <w:name w:val="table-text_indent"/>
    <w:basedOn w:val="Basetext"/>
    <w:qFormat/>
    <w:rsid w:val="007B0DA4"/>
    <w:pPr>
      <w:spacing w:before="80" w:after="80"/>
      <w:ind w:left="245"/>
    </w:pPr>
    <w:rPr>
      <w:sz w:val="22"/>
    </w:rPr>
  </w:style>
  <w:style w:type="paragraph" w:customStyle="1" w:styleId="table-title">
    <w:name w:val="table-title"/>
    <w:basedOn w:val="Basetext"/>
    <w:rsid w:val="007B0DA4"/>
    <w:pPr>
      <w:keepNext/>
      <w:keepLines/>
      <w:spacing w:before="240" w:after="240"/>
    </w:pPr>
    <w:rPr>
      <w:b/>
    </w:rPr>
  </w:style>
  <w:style w:type="paragraph" w:customStyle="1" w:styleId="table-titlecontinued">
    <w:name w:val="table-title_continued"/>
    <w:basedOn w:val="Basetext"/>
    <w:rsid w:val="007B0DA4"/>
    <w:pPr>
      <w:keepNext/>
      <w:keepLines/>
      <w:spacing w:before="240" w:after="240"/>
    </w:pPr>
    <w:rPr>
      <w:b/>
    </w:rPr>
  </w:style>
  <w:style w:type="paragraph" w:customStyle="1" w:styleId="TOCsubheading">
    <w:name w:val="TOC_subheading"/>
    <w:basedOn w:val="Baseheading"/>
    <w:rsid w:val="007B0DA4"/>
    <w:pPr>
      <w:tabs>
        <w:tab w:val="right" w:pos="9360"/>
      </w:tabs>
      <w:spacing w:before="120"/>
      <w:outlineLvl w:val="9"/>
    </w:pPr>
  </w:style>
  <w:style w:type="paragraph" w:styleId="TOC1">
    <w:name w:val="toc 1"/>
    <w:basedOn w:val="Basetext"/>
    <w:next w:val="Normal"/>
    <w:uiPriority w:val="39"/>
    <w:unhideWhenUsed/>
    <w:rsid w:val="007B0DA4"/>
    <w:pPr>
      <w:tabs>
        <w:tab w:val="left" w:pos="720"/>
        <w:tab w:val="right" w:pos="9360"/>
      </w:tabs>
      <w:spacing w:before="240" w:after="120"/>
      <w:ind w:left="720" w:right="720" w:hanging="360"/>
    </w:pPr>
    <w:rPr>
      <w:noProof/>
    </w:rPr>
  </w:style>
  <w:style w:type="paragraph" w:styleId="TOC2">
    <w:name w:val="toc 2"/>
    <w:basedOn w:val="Basetext"/>
    <w:next w:val="Normal"/>
    <w:uiPriority w:val="39"/>
    <w:unhideWhenUsed/>
    <w:rsid w:val="007B0DA4"/>
    <w:pPr>
      <w:tabs>
        <w:tab w:val="left" w:pos="1350"/>
        <w:tab w:val="right" w:leader="dot" w:pos="9360"/>
      </w:tabs>
      <w:spacing w:before="120" w:after="120"/>
      <w:ind w:left="1354" w:right="720" w:hanging="634"/>
    </w:pPr>
    <w:rPr>
      <w:noProof/>
    </w:rPr>
  </w:style>
  <w:style w:type="paragraph" w:styleId="TOC3">
    <w:name w:val="toc 3"/>
    <w:basedOn w:val="Basetext"/>
    <w:next w:val="Normal"/>
    <w:uiPriority w:val="39"/>
    <w:unhideWhenUsed/>
    <w:rsid w:val="007B0DA4"/>
    <w:pPr>
      <w:tabs>
        <w:tab w:val="left" w:pos="2160"/>
        <w:tab w:val="right" w:leader="dot" w:pos="9360"/>
      </w:tabs>
      <w:spacing w:before="60" w:after="60"/>
      <w:ind w:left="2160" w:right="720" w:hanging="720"/>
    </w:pPr>
    <w:rPr>
      <w:noProof/>
    </w:rPr>
  </w:style>
  <w:style w:type="paragraph" w:styleId="TOC4">
    <w:name w:val="toc 4"/>
    <w:basedOn w:val="Basetext"/>
    <w:next w:val="Normal"/>
    <w:uiPriority w:val="39"/>
    <w:unhideWhenUsed/>
    <w:rsid w:val="007B0DA4"/>
    <w:pPr>
      <w:tabs>
        <w:tab w:val="left" w:pos="2880"/>
        <w:tab w:val="right" w:leader="dot" w:pos="9360"/>
      </w:tabs>
      <w:spacing w:after="100"/>
      <w:ind w:left="2880" w:hanging="720"/>
    </w:pPr>
    <w:rPr>
      <w:noProof/>
    </w:rPr>
  </w:style>
  <w:style w:type="paragraph" w:styleId="TOCHeading">
    <w:name w:val="TOC Heading"/>
    <w:basedOn w:val="Baseheading"/>
    <w:next w:val="Normal"/>
    <w:uiPriority w:val="39"/>
    <w:unhideWhenUsed/>
    <w:rsid w:val="007B0DA4"/>
    <w:pPr>
      <w:spacing w:before="0"/>
      <w:jc w:val="center"/>
      <w:outlineLvl w:val="9"/>
    </w:pPr>
    <w:rPr>
      <w:caps/>
      <w:kern w:val="0"/>
      <w:sz w:val="28"/>
    </w:rPr>
  </w:style>
  <w:style w:type="paragraph" w:customStyle="1" w:styleId="numbers">
    <w:name w:val="numbers"/>
    <w:basedOn w:val="Basetext"/>
    <w:rsid w:val="007B0DA4"/>
    <w:pPr>
      <w:spacing w:after="120"/>
      <w:ind w:left="1080" w:hanging="360"/>
    </w:pPr>
  </w:style>
  <w:style w:type="paragraph" w:customStyle="1" w:styleId="numbers2nd-level">
    <w:name w:val="numbers_2nd-level"/>
    <w:basedOn w:val="Basetext"/>
    <w:rsid w:val="007B0DA4"/>
    <w:pPr>
      <w:spacing w:after="120"/>
      <w:ind w:left="1440" w:hanging="360"/>
    </w:pPr>
  </w:style>
  <w:style w:type="paragraph" w:customStyle="1" w:styleId="cover-address">
    <w:name w:val="cover-address"/>
    <w:basedOn w:val="Basetext"/>
    <w:rsid w:val="007B0DA4"/>
    <w:pPr>
      <w:contextualSpacing/>
      <w:jc w:val="right"/>
    </w:pPr>
    <w:rPr>
      <w:rFonts w:ascii="Arial" w:hAnsi="Arial"/>
    </w:rPr>
  </w:style>
  <w:style w:type="paragraph" w:customStyle="1" w:styleId="cover-textbold">
    <w:name w:val="cover-text_bold"/>
    <w:basedOn w:val="Basetext"/>
    <w:rsid w:val="007B0DA4"/>
    <w:pPr>
      <w:spacing w:before="240" w:after="600"/>
      <w:contextualSpacing/>
      <w:jc w:val="right"/>
    </w:pPr>
    <w:rPr>
      <w:rFonts w:ascii="Arial" w:hAnsi="Arial"/>
      <w:b/>
    </w:rPr>
  </w:style>
  <w:style w:type="paragraph" w:customStyle="1" w:styleId="figure-sourcestd">
    <w:name w:val="figure-source_std"/>
    <w:basedOn w:val="Basetext"/>
    <w:rsid w:val="007B0DA4"/>
    <w:pPr>
      <w:keepLines/>
      <w:spacing w:before="120" w:after="240"/>
      <w:ind w:left="720" w:hanging="720"/>
    </w:pPr>
    <w:rPr>
      <w:sz w:val="20"/>
    </w:rPr>
  </w:style>
  <w:style w:type="character" w:customStyle="1" w:styleId="cover-textChar">
    <w:name w:val="cover-text Char"/>
    <w:link w:val="cover-text"/>
    <w:rsid w:val="007B0DA4"/>
    <w:rPr>
      <w:rFonts w:ascii="Arial" w:eastAsia="SimSun" w:hAnsi="Arial"/>
      <w:sz w:val="24"/>
      <w:szCs w:val="22"/>
      <w:lang w:eastAsia="zh-CN"/>
    </w:rPr>
  </w:style>
  <w:style w:type="paragraph" w:customStyle="1" w:styleId="biblio-entry">
    <w:name w:val="biblio-entry"/>
    <w:basedOn w:val="Basetext"/>
    <w:rsid w:val="007B0DA4"/>
    <w:pPr>
      <w:keepLines/>
      <w:spacing w:after="240"/>
      <w:ind w:left="720" w:hanging="720"/>
    </w:pPr>
  </w:style>
  <w:style w:type="paragraph" w:customStyle="1" w:styleId="textbox-heading">
    <w:name w:val="textbox-heading"/>
    <w:basedOn w:val="Baseheading"/>
    <w:rsid w:val="007B0DA4"/>
    <w:pPr>
      <w:spacing w:before="60" w:after="60"/>
      <w:jc w:val="center"/>
    </w:pPr>
    <w:rPr>
      <w:sz w:val="20"/>
    </w:rPr>
  </w:style>
  <w:style w:type="paragraph" w:customStyle="1" w:styleId="textbox-text">
    <w:name w:val="textbox-text"/>
    <w:basedOn w:val="Basetext"/>
    <w:rsid w:val="007B0DA4"/>
    <w:pPr>
      <w:spacing w:before="60" w:after="60"/>
    </w:pPr>
    <w:rPr>
      <w:sz w:val="20"/>
    </w:rPr>
  </w:style>
  <w:style w:type="paragraph" w:customStyle="1" w:styleId="summary-header">
    <w:name w:val="summary-header"/>
    <w:basedOn w:val="Baseheading"/>
    <w:rsid w:val="007B0DA4"/>
    <w:pPr>
      <w:spacing w:before="120" w:after="120"/>
      <w:ind w:left="720" w:hanging="720"/>
    </w:pPr>
    <w:rPr>
      <w:rFonts w:ascii="Times New Roman Bold" w:hAnsi="Times New Roman Bold"/>
      <w:caps/>
    </w:rPr>
  </w:style>
  <w:style w:type="paragraph" w:customStyle="1" w:styleId="summary-text">
    <w:name w:val="summary-text"/>
    <w:basedOn w:val="Basetext"/>
    <w:rsid w:val="007B0DA4"/>
    <w:pPr>
      <w:spacing w:after="160" w:line="320" w:lineRule="exact"/>
    </w:pPr>
  </w:style>
  <w:style w:type="paragraph" w:customStyle="1" w:styleId="author-affil-header">
    <w:name w:val="author-affil-header"/>
    <w:basedOn w:val="Baseheading"/>
    <w:rsid w:val="007B0DA4"/>
    <w:pPr>
      <w:spacing w:before="120" w:after="120"/>
      <w:ind w:left="720" w:hanging="720"/>
    </w:pPr>
    <w:rPr>
      <w:rFonts w:ascii="Times New Roman Bold" w:hAnsi="Times New Roman Bold"/>
      <w:caps/>
    </w:rPr>
  </w:style>
  <w:style w:type="paragraph" w:customStyle="1" w:styleId="author-affil-text">
    <w:name w:val="author-affil-text"/>
    <w:basedOn w:val="Basetext"/>
    <w:rsid w:val="007B0DA4"/>
    <w:pPr>
      <w:spacing w:after="120" w:line="360" w:lineRule="auto"/>
      <w:ind w:firstLine="720"/>
    </w:pPr>
  </w:style>
  <w:style w:type="paragraph" w:customStyle="1" w:styleId="author-bio-info">
    <w:name w:val="author-bio-info"/>
    <w:basedOn w:val="Basetext"/>
    <w:rsid w:val="007B0DA4"/>
    <w:pPr>
      <w:spacing w:after="160" w:line="320" w:lineRule="exact"/>
    </w:pPr>
  </w:style>
  <w:style w:type="paragraph" w:customStyle="1" w:styleId="author-list-header">
    <w:name w:val="author-list-header"/>
    <w:basedOn w:val="Baseheading"/>
    <w:rsid w:val="007B0DA4"/>
    <w:pPr>
      <w:spacing w:before="120" w:after="120"/>
      <w:ind w:left="720" w:hanging="720"/>
    </w:pPr>
    <w:rPr>
      <w:rFonts w:ascii="Times New Roman Bold" w:hAnsi="Times New Roman Bold"/>
      <w:caps/>
    </w:rPr>
  </w:style>
  <w:style w:type="paragraph" w:customStyle="1" w:styleId="author-list-name">
    <w:name w:val="author-list-name"/>
    <w:basedOn w:val="Basetext"/>
    <w:rsid w:val="007B0DA4"/>
    <w:pPr>
      <w:spacing w:after="720"/>
      <w:contextualSpacing/>
      <w:jc w:val="center"/>
    </w:pPr>
  </w:style>
  <w:style w:type="paragraph" w:customStyle="1" w:styleId="copyright-permissions">
    <w:name w:val="copyright-permissions"/>
    <w:basedOn w:val="Basetext"/>
    <w:rsid w:val="007B0DA4"/>
    <w:pPr>
      <w:spacing w:after="160" w:line="320" w:lineRule="exact"/>
    </w:pPr>
  </w:style>
  <w:style w:type="paragraph" w:customStyle="1" w:styleId="keywords-list">
    <w:name w:val="keywords-list"/>
    <w:basedOn w:val="Basetext"/>
    <w:rsid w:val="007B0DA4"/>
    <w:pPr>
      <w:spacing w:after="160" w:line="320" w:lineRule="exact"/>
    </w:pPr>
  </w:style>
  <w:style w:type="paragraph" w:customStyle="1" w:styleId="pub-series-info">
    <w:name w:val="pub-series-info"/>
    <w:basedOn w:val="Basetext"/>
    <w:rsid w:val="007B0DA4"/>
    <w:pPr>
      <w:spacing w:after="160" w:line="320" w:lineRule="exact"/>
    </w:pPr>
  </w:style>
  <w:style w:type="paragraph" w:customStyle="1" w:styleId="suggested-cite-header">
    <w:name w:val="suggested-cite-header"/>
    <w:basedOn w:val="Baseheading"/>
    <w:rsid w:val="007B0DA4"/>
    <w:pPr>
      <w:spacing w:before="120" w:after="120"/>
      <w:ind w:left="720" w:hanging="720"/>
    </w:pPr>
    <w:rPr>
      <w:rFonts w:ascii="Times New Roman Bold" w:hAnsi="Times New Roman Bold"/>
      <w:caps/>
    </w:rPr>
  </w:style>
  <w:style w:type="paragraph" w:customStyle="1" w:styleId="suggested-cite-text">
    <w:name w:val="suggested-cite-text"/>
    <w:basedOn w:val="Basetext"/>
    <w:rsid w:val="007B0DA4"/>
    <w:pPr>
      <w:spacing w:after="160" w:line="320" w:lineRule="exact"/>
    </w:pPr>
  </w:style>
  <w:style w:type="paragraph" w:customStyle="1" w:styleId="ack-header">
    <w:name w:val="ack-header"/>
    <w:basedOn w:val="Baseheading"/>
    <w:rsid w:val="007B0DA4"/>
    <w:pPr>
      <w:spacing w:before="120" w:after="120"/>
      <w:ind w:left="720" w:hanging="720"/>
    </w:pPr>
    <w:rPr>
      <w:rFonts w:ascii="Times New Roman Bold" w:hAnsi="Times New Roman Bold"/>
      <w:caps/>
    </w:rPr>
  </w:style>
  <w:style w:type="paragraph" w:customStyle="1" w:styleId="ack-text">
    <w:name w:val="ack-text"/>
    <w:basedOn w:val="Basetext"/>
    <w:rsid w:val="007B0DA4"/>
    <w:pPr>
      <w:spacing w:after="120" w:line="360" w:lineRule="auto"/>
      <w:ind w:firstLine="720"/>
    </w:pPr>
  </w:style>
  <w:style w:type="paragraph" w:customStyle="1" w:styleId="biblio-header">
    <w:name w:val="biblio-header"/>
    <w:basedOn w:val="Baseheading"/>
    <w:rsid w:val="007B0DA4"/>
    <w:pPr>
      <w:spacing w:before="120" w:after="120"/>
      <w:ind w:left="720" w:hanging="720"/>
    </w:pPr>
    <w:rPr>
      <w:rFonts w:ascii="Times New Roman Bold" w:hAnsi="Times New Roman Bold"/>
      <w:caps/>
    </w:rPr>
  </w:style>
  <w:style w:type="paragraph" w:customStyle="1" w:styleId="endnote-header">
    <w:name w:val="endnote-header"/>
    <w:basedOn w:val="Baseheading"/>
    <w:rsid w:val="007B0DA4"/>
    <w:pPr>
      <w:spacing w:before="120" w:after="120"/>
      <w:ind w:left="720" w:hanging="720"/>
    </w:pPr>
    <w:rPr>
      <w:rFonts w:ascii="Times New Roman Bold" w:hAnsi="Times New Roman Bold"/>
      <w:caps/>
    </w:rPr>
  </w:style>
  <w:style w:type="paragraph" w:customStyle="1" w:styleId="cover-date">
    <w:name w:val="cover-date"/>
    <w:basedOn w:val="Basetext"/>
    <w:rsid w:val="007B0DA4"/>
    <w:pPr>
      <w:spacing w:before="240" w:after="720"/>
      <w:jc w:val="right"/>
    </w:pPr>
    <w:rPr>
      <w:rFonts w:ascii="Arial" w:hAnsi="Arial"/>
      <w:b/>
      <w:sz w:val="28"/>
    </w:rPr>
  </w:style>
  <w:style w:type="paragraph" w:customStyle="1" w:styleId="table-notealt-1">
    <w:name w:val="table-note_alt-1"/>
    <w:basedOn w:val="Basetext"/>
    <w:rsid w:val="007B0DA4"/>
    <w:pPr>
      <w:keepLines/>
      <w:spacing w:before="60"/>
      <w:ind w:left="187" w:hanging="187"/>
    </w:pPr>
    <w:rPr>
      <w:sz w:val="20"/>
    </w:rPr>
  </w:style>
  <w:style w:type="paragraph" w:customStyle="1" w:styleId="table-notealt-2">
    <w:name w:val="table-note_alt-2"/>
    <w:basedOn w:val="Basetext"/>
    <w:rsid w:val="007B0DA4"/>
    <w:pPr>
      <w:keepLines/>
      <w:spacing w:before="60" w:after="240"/>
      <w:ind w:left="187" w:hanging="187"/>
    </w:pPr>
    <w:rPr>
      <w:sz w:val="20"/>
    </w:rPr>
  </w:style>
  <w:style w:type="paragraph" w:customStyle="1" w:styleId="table-notestd">
    <w:name w:val="table-note_std"/>
    <w:basedOn w:val="Basetext"/>
    <w:rsid w:val="007B0DA4"/>
    <w:pPr>
      <w:keepLines/>
      <w:spacing w:before="120"/>
      <w:ind w:left="187" w:hanging="187"/>
    </w:pPr>
    <w:rPr>
      <w:sz w:val="20"/>
    </w:rPr>
  </w:style>
  <w:style w:type="paragraph" w:customStyle="1" w:styleId="table-sourcealt-1">
    <w:name w:val="table-source_alt-1"/>
    <w:basedOn w:val="Basetext"/>
    <w:rsid w:val="007B0DA4"/>
    <w:pPr>
      <w:keepLines/>
      <w:spacing w:before="60"/>
      <w:ind w:left="187" w:hanging="187"/>
    </w:pPr>
    <w:rPr>
      <w:sz w:val="20"/>
    </w:rPr>
  </w:style>
  <w:style w:type="paragraph" w:customStyle="1" w:styleId="table-sourcestd">
    <w:name w:val="table-source_std"/>
    <w:basedOn w:val="Basetext"/>
    <w:rsid w:val="007B0DA4"/>
    <w:pPr>
      <w:keepLines/>
      <w:spacing w:before="120" w:after="400"/>
      <w:ind w:left="187" w:hanging="187"/>
    </w:pPr>
    <w:rPr>
      <w:sz w:val="20"/>
    </w:rPr>
  </w:style>
  <w:style w:type="paragraph" w:customStyle="1" w:styleId="cover-project-no">
    <w:name w:val="cover-project-no"/>
    <w:basedOn w:val="Basetext"/>
    <w:rsid w:val="007B0DA4"/>
    <w:pPr>
      <w:autoSpaceDE w:val="0"/>
      <w:autoSpaceDN w:val="0"/>
      <w:adjustRightInd w:val="0"/>
      <w:spacing w:before="600" w:after="240"/>
      <w:contextualSpacing/>
      <w:jc w:val="right"/>
    </w:pPr>
    <w:rPr>
      <w:rFonts w:ascii="Arial" w:eastAsia="Times New Roman" w:hAnsi="Arial"/>
      <w:szCs w:val="24"/>
    </w:rPr>
  </w:style>
  <w:style w:type="paragraph" w:customStyle="1" w:styleId="Disclaimer">
    <w:name w:val="Disclaimer"/>
    <w:basedOn w:val="Normal"/>
    <w:rsid w:val="007B0DA4"/>
    <w:pPr>
      <w:spacing w:line="240" w:lineRule="exact"/>
      <w:jc w:val="right"/>
    </w:pPr>
    <w:rPr>
      <w:rFonts w:ascii="Arial" w:eastAsia="MS Mincho" w:hAnsi="Arial"/>
      <w:bCs/>
      <w:sz w:val="16"/>
      <w:szCs w:val="16"/>
      <w:lang w:eastAsia="en-US"/>
    </w:rPr>
  </w:style>
  <w:style w:type="table" w:customStyle="1" w:styleId="RTITableOMB">
    <w:name w:val="RTI_Table_OMB"/>
    <w:basedOn w:val="TableNormal"/>
    <w:uiPriority w:val="99"/>
    <w:rsid w:val="007B0DA4"/>
    <w:rPr>
      <w:rFonts w:eastAsia="SimSun"/>
    </w:rPr>
    <w:tblPr>
      <w:tblBorders>
        <w:top w:val="single" w:sz="12" w:space="0" w:color="auto"/>
        <w:bottom w:val="single" w:sz="12" w:space="0" w:color="auto"/>
      </w:tblBorders>
    </w:tblPr>
    <w:tblStylePr w:type="firstRow">
      <w:tblPr/>
      <w:tcPr>
        <w:tcBorders>
          <w:bottom w:val="single" w:sz="4" w:space="0" w:color="auto"/>
        </w:tcBorders>
      </w:tcPr>
    </w:tblStylePr>
  </w:style>
  <w:style w:type="character" w:customStyle="1" w:styleId="BalloonTextChar">
    <w:name w:val="Balloon Text Char"/>
    <w:link w:val="BalloonText"/>
    <w:uiPriority w:val="99"/>
    <w:semiHidden/>
    <w:rsid w:val="007B0DA4"/>
    <w:rPr>
      <w:rFonts w:ascii="Segoe UI" w:eastAsia="SimSun" w:hAnsi="Segoe UI" w:cs="Segoe UI"/>
      <w:sz w:val="18"/>
      <w:szCs w:val="18"/>
      <w:lang w:eastAsia="zh-CN"/>
    </w:rPr>
  </w:style>
  <w:style w:type="paragraph" w:customStyle="1" w:styleId="titlepage-title">
    <w:name w:val="titlepage-title"/>
    <w:basedOn w:val="Basetext"/>
    <w:next w:val="Title"/>
    <w:rsid w:val="007B0DA4"/>
    <w:pPr>
      <w:spacing w:before="3120" w:after="480"/>
      <w:contextualSpacing/>
      <w:jc w:val="center"/>
    </w:pPr>
    <w:rPr>
      <w:rFonts w:ascii="Times New Roman Bold" w:hAnsi="Times New Roman Bold"/>
      <w:b/>
      <w:sz w:val="28"/>
      <w:szCs w:val="24"/>
    </w:rPr>
  </w:style>
  <w:style w:type="paragraph" w:customStyle="1" w:styleId="titlepage-text">
    <w:name w:val="titlepage-text"/>
    <w:basedOn w:val="Basetext"/>
    <w:rsid w:val="007B0DA4"/>
    <w:pPr>
      <w:spacing w:before="720"/>
      <w:jc w:val="center"/>
    </w:pPr>
  </w:style>
  <w:style w:type="paragraph" w:customStyle="1" w:styleId="rtitext">
    <w:name w:val="rti_text"/>
    <w:basedOn w:val="Normal"/>
    <w:qFormat/>
    <w:rsid w:val="007B0DA4"/>
    <w:pPr>
      <w:spacing w:before="2880"/>
      <w:jc w:val="center"/>
    </w:pPr>
    <w:rPr>
      <w:rFonts w:eastAsia="Times New Roman"/>
      <w:szCs w:val="20"/>
      <w:lang w:eastAsia="en-US"/>
    </w:rPr>
  </w:style>
  <w:style w:type="paragraph" w:styleId="Title">
    <w:name w:val="Title"/>
    <w:basedOn w:val="Normal"/>
    <w:next w:val="Normal"/>
    <w:link w:val="TitleChar"/>
    <w:uiPriority w:val="10"/>
    <w:qFormat/>
    <w:rsid w:val="007B0DA4"/>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7B0DA4"/>
    <w:rPr>
      <w:rFonts w:ascii="Calibri Light" w:hAnsi="Calibri Light"/>
      <w:b/>
      <w:bCs/>
      <w:kern w:val="28"/>
      <w:sz w:val="32"/>
      <w:szCs w:val="32"/>
      <w:lang w:eastAsia="zh-CN"/>
    </w:rPr>
  </w:style>
  <w:style w:type="paragraph" w:styleId="ListBullet">
    <w:name w:val="List Bullet"/>
    <w:basedOn w:val="Normal"/>
    <w:unhideWhenUsed/>
    <w:rsid w:val="00AD4C50"/>
    <w:pPr>
      <w:numPr>
        <w:numId w:val="2"/>
      </w:numPr>
      <w:autoSpaceDE w:val="0"/>
      <w:autoSpaceDN w:val="0"/>
      <w:adjustRightInd w:val="0"/>
      <w:spacing w:before="120" w:after="120"/>
    </w:pPr>
    <w:rPr>
      <w:rFonts w:eastAsia="Times New Roman" w:cs="Verdana"/>
      <w:szCs w:val="24"/>
      <w:lang w:eastAsia="en-US"/>
    </w:rPr>
  </w:style>
  <w:style w:type="character" w:styleId="UnresolvedMention">
    <w:name w:val="Unresolved Mention"/>
    <w:uiPriority w:val="99"/>
    <w:semiHidden/>
    <w:unhideWhenUsed/>
    <w:rsid w:val="008B5E11"/>
    <w:rPr>
      <w:color w:val="808080"/>
      <w:shd w:val="clear" w:color="auto" w:fill="E6E6E6"/>
    </w:rPr>
  </w:style>
  <w:style w:type="paragraph" w:styleId="Revision">
    <w:name w:val="Revision"/>
    <w:hidden/>
    <w:uiPriority w:val="99"/>
    <w:semiHidden/>
    <w:rsid w:val="00285D64"/>
    <w:rPr>
      <w:rFonts w:eastAsia="SimSun"/>
      <w:sz w:val="24"/>
      <w:szCs w:val="22"/>
      <w:lang w:eastAsia="zh-CN"/>
    </w:rPr>
  </w:style>
  <w:style w:type="paragraph" w:customStyle="1" w:styleId="EndNoteBibliographyTitle">
    <w:name w:val="EndNote Bibliography Title"/>
    <w:basedOn w:val="Normal"/>
    <w:link w:val="EndNoteBibliographyTitleChar"/>
    <w:rsid w:val="00026758"/>
    <w:pPr>
      <w:jc w:val="center"/>
    </w:pPr>
    <w:rPr>
      <w:noProof/>
    </w:rPr>
  </w:style>
  <w:style w:type="character" w:customStyle="1" w:styleId="EndNoteBibliographyTitleChar">
    <w:name w:val="EndNote Bibliography Title Char"/>
    <w:link w:val="EndNoteBibliographyTitle"/>
    <w:rsid w:val="00026758"/>
    <w:rPr>
      <w:rFonts w:eastAsia="SimSun"/>
      <w:noProof/>
      <w:sz w:val="24"/>
      <w:szCs w:val="22"/>
      <w:lang w:eastAsia="zh-CN"/>
    </w:rPr>
  </w:style>
  <w:style w:type="paragraph" w:customStyle="1" w:styleId="EndNoteBibliography">
    <w:name w:val="EndNote Bibliography"/>
    <w:basedOn w:val="Normal"/>
    <w:link w:val="EndNoteBibliographyChar"/>
    <w:rsid w:val="00026758"/>
    <w:rPr>
      <w:noProof/>
    </w:rPr>
  </w:style>
  <w:style w:type="character" w:customStyle="1" w:styleId="EndNoteBibliographyChar">
    <w:name w:val="EndNote Bibliography Char"/>
    <w:link w:val="EndNoteBibliography"/>
    <w:rsid w:val="00026758"/>
    <w:rPr>
      <w:rFonts w:eastAsia="SimSun"/>
      <w:noProof/>
      <w:sz w:val="24"/>
      <w:szCs w:val="22"/>
      <w:lang w:eastAsia="zh-CN"/>
    </w:rPr>
  </w:style>
  <w:style w:type="paragraph" w:styleId="BodyText3">
    <w:name w:val="Body Text 3"/>
    <w:basedOn w:val="Normal"/>
    <w:link w:val="BodyText3Char"/>
    <w:rsid w:val="0016285A"/>
    <w:pPr>
      <w:spacing w:after="120"/>
    </w:pPr>
    <w:rPr>
      <w:sz w:val="16"/>
      <w:szCs w:val="16"/>
    </w:rPr>
  </w:style>
  <w:style w:type="character" w:customStyle="1" w:styleId="BodyText3Char">
    <w:name w:val="Body Text 3 Char"/>
    <w:link w:val="BodyText3"/>
    <w:rsid w:val="0016285A"/>
    <w:rPr>
      <w:rFonts w:eastAsia="SimSun"/>
      <w:sz w:val="16"/>
      <w:szCs w:val="16"/>
      <w:lang w:eastAsia="zh-CN"/>
    </w:rPr>
  </w:style>
  <w:style w:type="character" w:customStyle="1" w:styleId="ListParagraphChar">
    <w:name w:val="List Paragraph Char"/>
    <w:aliases w:val="Bullet List Char,Bulletr List Paragraph Char,FooterText Char,List Paragraph1 Char,List Paragraph2 Char,Listeafsnit1 Char,Paragraphe de liste1 Char,Parágrafo da Lista1 Char,cS List Paragraph Char,numbered Char,列出段落 Char,列出段落1 Char"/>
    <w:link w:val="ListParagraph"/>
    <w:uiPriority w:val="34"/>
    <w:locked/>
    <w:rsid w:val="008D6892"/>
    <w:rPr>
      <w:rFonts w:eastAsia="SimSun"/>
      <w:sz w:val="24"/>
      <w:szCs w:val="22"/>
      <w:lang w:eastAsia="zh-CN"/>
    </w:rPr>
  </w:style>
  <w:style w:type="paragraph" w:customStyle="1" w:styleId="paragraph">
    <w:name w:val="paragraph"/>
    <w:basedOn w:val="Normal"/>
    <w:rsid w:val="00F80375"/>
    <w:pPr>
      <w:spacing w:before="100" w:beforeAutospacing="1" w:after="100" w:afterAutospacing="1"/>
    </w:pPr>
    <w:rPr>
      <w:rFonts w:eastAsia="Times New Roman"/>
      <w:szCs w:val="24"/>
      <w:lang w:eastAsia="en-US"/>
    </w:rPr>
  </w:style>
  <w:style w:type="character" w:customStyle="1" w:styleId="normaltextrun">
    <w:name w:val="normaltextrun"/>
    <w:basedOn w:val="DefaultParagraphFont"/>
    <w:rsid w:val="00F80375"/>
  </w:style>
  <w:style w:type="character" w:customStyle="1" w:styleId="eop">
    <w:name w:val="eop"/>
    <w:basedOn w:val="DefaultParagraphFont"/>
    <w:rsid w:val="00F80375"/>
  </w:style>
  <w:style w:type="character" w:customStyle="1" w:styleId="spellingerror">
    <w:name w:val="spellingerror"/>
    <w:basedOn w:val="DefaultParagraphFont"/>
    <w:rsid w:val="003D5A31"/>
  </w:style>
  <w:style w:type="character" w:customStyle="1" w:styleId="ui-provider">
    <w:name w:val="ui-provider"/>
    <w:basedOn w:val="DefaultParagraphFont"/>
    <w:rsid w:val="00A83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whitehouse.gov/wp-content/uploads/2023/01/SOGI-Best-Practices.pdf"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Emily.Sanders@fda.hhs.gov" TargetMode="External" /><Relationship Id="rId7" Type="http://schemas.openxmlformats.org/officeDocument/2006/relationships/hyperlink" Target="mailto:lindsay.pitzer@fda.hhs.gov" TargetMode="External" /><Relationship Id="rId8" Type="http://schemas.openxmlformats.org/officeDocument/2006/relationships/hyperlink" Target="mailto:meggers@rti.org" TargetMode="External" /><Relationship Id="rId9" Type="http://schemas.openxmlformats.org/officeDocument/2006/relationships/hyperlink" Target="mailto:jnonnemkaer@rti.org"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insightsassociation.org/sites/default/files/misc_files/ia_code_revised_november_2021_finalv2.pdf" TargetMode="External" /><Relationship Id="rId2" Type="http://schemas.openxmlformats.org/officeDocument/2006/relationships/hyperlink" Target="https://doi.org/10.17226/2642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F3398-4931-4A5B-8175-A2F87A873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4780</Words>
  <Characters>27139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Eggers, Matthew</dc:creator>
  <cp:lastModifiedBy>Capezzuto, JonnaLynn</cp:lastModifiedBy>
  <cp:revision>2</cp:revision>
  <dcterms:created xsi:type="dcterms:W3CDTF">2023-06-09T17:38:00Z</dcterms:created>
  <dcterms:modified xsi:type="dcterms:W3CDTF">2023-06-09T17:38:00Z</dcterms:modified>
</cp:coreProperties>
</file>