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E53" w:rsidP="000F0744" w14:paraId="37073D14" w14:textId="77777777">
      <w:pPr>
        <w:pStyle w:val="Header"/>
        <w:contextualSpacing/>
        <w:jc w:val="right"/>
        <w:rPr>
          <w:rFonts w:ascii="Times New Roman" w:hAnsi="Times New Roman" w:cs="Times New Roman"/>
          <w:b/>
          <w:bCs/>
          <w:sz w:val="22"/>
        </w:rPr>
      </w:pPr>
      <w:bookmarkStart w:id="0" w:name="_Hlk4767951"/>
      <w:r w:rsidRPr="19A30186">
        <w:rPr>
          <w:rFonts w:ascii="Times New Roman" w:hAnsi="Times New Roman"/>
          <w:b/>
          <w:bCs/>
          <w:sz w:val="22"/>
        </w:rPr>
        <w:t xml:space="preserve">OMB No. </w:t>
      </w:r>
      <w:r w:rsidRPr="00222E53">
        <w:rPr>
          <w:rFonts w:ascii="Times New Roman" w:hAnsi="Times New Roman" w:cs="Times New Roman"/>
          <w:b/>
          <w:bCs/>
          <w:sz w:val="22"/>
        </w:rPr>
        <w:t>0910-0810</w:t>
      </w:r>
    </w:p>
    <w:p w:rsidR="000F0744" w:rsidRPr="006B1D8F" w:rsidP="000F0744" w14:paraId="6BA2F967" w14:textId="309FEC76">
      <w:pPr>
        <w:pStyle w:val="Header"/>
        <w:contextualSpacing/>
        <w:jc w:val="right"/>
        <w:rPr>
          <w:rFonts w:ascii="Times New Roman" w:hAnsi="Times New Roman"/>
          <w:b/>
          <w:sz w:val="22"/>
        </w:rPr>
      </w:pPr>
      <w:r w:rsidRPr="006B1D8F">
        <w:rPr>
          <w:rFonts w:ascii="Times New Roman" w:hAnsi="Times New Roman"/>
          <w:b/>
          <w:sz w:val="22"/>
        </w:rPr>
        <w:t xml:space="preserve">Exp. Date: </w:t>
      </w:r>
      <w:r w:rsidRPr="009660BD" w:rsidR="008933D7">
        <w:rPr>
          <w:rFonts w:ascii="Times New Roman" w:hAnsi="Times New Roman"/>
          <w:b/>
          <w:sz w:val="22"/>
        </w:rPr>
        <w:t>12</w:t>
      </w:r>
      <w:r w:rsidRPr="009660BD">
        <w:rPr>
          <w:rFonts w:ascii="Times New Roman" w:hAnsi="Times New Roman"/>
          <w:b/>
          <w:sz w:val="22"/>
        </w:rPr>
        <w:t>/</w:t>
      </w:r>
      <w:r w:rsidRPr="009660BD" w:rsidR="008933D7">
        <w:rPr>
          <w:rFonts w:ascii="Times New Roman" w:hAnsi="Times New Roman"/>
          <w:b/>
          <w:sz w:val="22"/>
        </w:rPr>
        <w:t>31</w:t>
      </w:r>
      <w:r w:rsidRPr="009660BD">
        <w:rPr>
          <w:rFonts w:ascii="Times New Roman" w:hAnsi="Times New Roman"/>
          <w:b/>
          <w:sz w:val="22"/>
        </w:rPr>
        <w:t>/</w:t>
      </w:r>
      <w:r w:rsidRPr="009660BD" w:rsidR="008933D7">
        <w:rPr>
          <w:rFonts w:ascii="Times New Roman" w:hAnsi="Times New Roman"/>
          <w:b/>
          <w:sz w:val="22"/>
        </w:rPr>
        <w:t>20</w:t>
      </w:r>
      <w:r w:rsidRPr="00AE45C6" w:rsidR="008933D7">
        <w:rPr>
          <w:rFonts w:ascii="Times New Roman" w:hAnsi="Times New Roman"/>
          <w:b/>
          <w:sz w:val="22"/>
        </w:rPr>
        <w:t>24</w:t>
      </w:r>
    </w:p>
    <w:p w:rsidR="000F0744" w:rsidRPr="006B1D8F" w:rsidP="00CE3249" w14:paraId="13EBB7B1" w14:textId="77777777">
      <w:pPr>
        <w:pStyle w:val="Header"/>
        <w:contextualSpacing/>
        <w:jc w:val="center"/>
        <w:rPr>
          <w:rFonts w:ascii="Times New Roman" w:hAnsi="Times New Roman"/>
          <w:b/>
          <w:sz w:val="22"/>
        </w:rPr>
      </w:pPr>
    </w:p>
    <w:p w:rsidR="007D0768" w:rsidRPr="009660BD" w:rsidP="007D0768" w14:paraId="210230E1" w14:textId="4180DE17">
      <w:pPr>
        <w:pStyle w:val="Header"/>
        <w:contextualSpacing/>
        <w:jc w:val="center"/>
        <w:rPr>
          <w:rFonts w:ascii="Times New Roman" w:hAnsi="Times New Roman"/>
          <w:b/>
          <w:szCs w:val="24"/>
        </w:rPr>
      </w:pPr>
      <w:r w:rsidRPr="009660BD">
        <w:rPr>
          <w:rFonts w:ascii="Times New Roman" w:hAnsi="Times New Roman"/>
          <w:b/>
          <w:szCs w:val="24"/>
        </w:rPr>
        <w:t>U.S</w:t>
      </w:r>
      <w:r w:rsidR="008A0F0B">
        <w:rPr>
          <w:rFonts w:ascii="Times New Roman" w:hAnsi="Times New Roman"/>
          <w:b/>
          <w:szCs w:val="24"/>
        </w:rPr>
        <w:t>.</w:t>
      </w:r>
      <w:r w:rsidRPr="009660BD">
        <w:rPr>
          <w:rFonts w:ascii="Times New Roman" w:hAnsi="Times New Roman"/>
          <w:b/>
          <w:szCs w:val="24"/>
        </w:rPr>
        <w:t xml:space="preserve"> Food and Drug Administration</w:t>
      </w:r>
    </w:p>
    <w:p w:rsidR="007D0768" w:rsidRPr="009660BD" w:rsidP="007D0768" w14:paraId="6463597B" w14:textId="77777777">
      <w:pPr>
        <w:pStyle w:val="Header"/>
        <w:contextualSpacing/>
        <w:jc w:val="center"/>
        <w:rPr>
          <w:rFonts w:ascii="Times New Roman" w:hAnsi="Times New Roman"/>
          <w:b/>
          <w:szCs w:val="24"/>
        </w:rPr>
      </w:pPr>
      <w:r w:rsidRPr="009660BD">
        <w:rPr>
          <w:rFonts w:ascii="Times New Roman" w:hAnsi="Times New Roman"/>
          <w:b/>
          <w:szCs w:val="24"/>
        </w:rPr>
        <w:t>Center for Tobacco Products</w:t>
      </w:r>
    </w:p>
    <w:p w:rsidR="00CE3249" w:rsidRPr="00AE45C6" w:rsidP="007D0768" w14:paraId="17B37905" w14:textId="17E269B1">
      <w:pPr>
        <w:pStyle w:val="Header"/>
        <w:contextualSpacing/>
        <w:jc w:val="center"/>
        <w:rPr>
          <w:szCs w:val="24"/>
        </w:rPr>
      </w:pPr>
      <w:r>
        <w:rPr>
          <w:rFonts w:ascii="Times New Roman" w:hAnsi="Times New Roman"/>
          <w:b/>
          <w:szCs w:val="24"/>
        </w:rPr>
        <w:t xml:space="preserve">Increasing Understanding of </w:t>
      </w:r>
      <w:r w:rsidRPr="009660BD" w:rsidR="003F686E">
        <w:rPr>
          <w:rFonts w:ascii="Times New Roman" w:hAnsi="Times New Roman"/>
          <w:b/>
          <w:szCs w:val="24"/>
        </w:rPr>
        <w:t>Digital Advertising</w:t>
      </w:r>
      <w:r w:rsidR="0035674A">
        <w:rPr>
          <w:rFonts w:ascii="Times New Roman" w:hAnsi="Times New Roman"/>
          <w:b/>
          <w:szCs w:val="24"/>
        </w:rPr>
        <w:t>: Hookah Beliefs Survey</w:t>
      </w:r>
    </w:p>
    <w:bookmarkEnd w:id="0"/>
    <w:p w:rsidR="00BE1FCB" w:rsidRPr="009660BD" w:rsidP="05AC9209" w14:paraId="0341C426" w14:textId="3CCE7AA6">
      <w:pPr>
        <w:autoSpaceDE w:val="0"/>
        <w:autoSpaceDN w:val="0"/>
        <w:adjustRightInd w:val="0"/>
        <w:contextualSpacing/>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themeColor="text1"/>
          <w:szCs w:val="24"/>
        </w:rPr>
        <w:t xml:space="preserve">Generic IC </w:t>
      </w:r>
      <w:r w:rsidRPr="00AE45C6" w:rsidR="734DA391">
        <w:rPr>
          <w:rFonts w:ascii="Times New Roman" w:eastAsia="Times New Roman" w:hAnsi="Times New Roman" w:cs="Times New Roman"/>
          <w:b/>
          <w:bCs/>
          <w:color w:val="000000" w:themeColor="text1"/>
          <w:szCs w:val="24"/>
        </w:rPr>
        <w:t xml:space="preserve">Supporting Statement: </w:t>
      </w:r>
      <w:r w:rsidRPr="00AE45C6" w:rsidR="408557A7">
        <w:rPr>
          <w:rFonts w:ascii="Times New Roman" w:eastAsia="Times New Roman" w:hAnsi="Times New Roman" w:cs="Times New Roman"/>
          <w:b/>
          <w:bCs/>
          <w:color w:val="000000" w:themeColor="text1"/>
          <w:szCs w:val="24"/>
        </w:rPr>
        <w:t>Part A</w:t>
      </w:r>
    </w:p>
    <w:p w:rsidR="00BE1FCB" w:rsidRPr="009660BD" w:rsidP="00BE1FCB" w14:paraId="0D0E929E" w14:textId="77777777">
      <w:pPr>
        <w:autoSpaceDE w:val="0"/>
        <w:autoSpaceDN w:val="0"/>
        <w:adjustRightInd w:val="0"/>
        <w:rPr>
          <w:rFonts w:ascii="Times New Roman" w:eastAsia="Times New Roman" w:hAnsi="Times New Roman" w:cs="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C094503" w14:textId="77777777" w:rsidTr="00E243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98"/>
        </w:trPr>
        <w:tc>
          <w:tcPr>
            <w:tcW w:w="9350" w:type="dxa"/>
            <w:shd w:val="clear" w:color="auto" w:fill="auto"/>
          </w:tcPr>
          <w:p w:rsidR="00BE1FCB" w:rsidRPr="006B1D8F" w:rsidP="0038537C" w14:paraId="4BB25521" w14:textId="25228C02">
            <w:pPr>
              <w:pStyle w:val="ListParagraph"/>
              <w:numPr>
                <w:ilvl w:val="0"/>
                <w:numId w:val="2"/>
              </w:numPr>
              <w:autoSpaceDE w:val="0"/>
              <w:autoSpaceDN w:val="0"/>
              <w:adjustRightInd w:val="0"/>
              <w:rPr>
                <w:rFonts w:ascii="Times New Roman" w:eastAsia="Times New Roman" w:hAnsi="Times New Roman" w:cs="Times New Roman"/>
              </w:rPr>
            </w:pPr>
            <w:r w:rsidRPr="006B1D8F">
              <w:rPr>
                <w:rFonts w:ascii="Times New Roman" w:eastAsia="Times New Roman" w:hAnsi="Times New Roman" w:cs="Times New Roman"/>
              </w:rPr>
              <w:t xml:space="preserve">The purpose of the </w:t>
            </w:r>
            <w:r w:rsidR="003F686E">
              <w:rPr>
                <w:rFonts w:ascii="Times New Roman" w:eastAsia="Times New Roman" w:hAnsi="Times New Roman" w:cs="Times New Roman"/>
              </w:rPr>
              <w:t>Digital Advertising</w:t>
            </w:r>
            <w:r w:rsidRPr="006B1D8F" w:rsidR="00F1012C">
              <w:rPr>
                <w:rFonts w:ascii="Times New Roman" w:eastAsia="Times New Roman" w:hAnsi="Times New Roman" w:cs="Times New Roman"/>
              </w:rPr>
              <w:t xml:space="preserve"> </w:t>
            </w:r>
            <w:r w:rsidR="0023788E">
              <w:rPr>
                <w:rFonts w:ascii="Times New Roman" w:eastAsia="Times New Roman" w:hAnsi="Times New Roman" w:cs="Times New Roman"/>
              </w:rPr>
              <w:t>S</w:t>
            </w:r>
            <w:r w:rsidR="000D5DEB">
              <w:rPr>
                <w:rFonts w:ascii="Times New Roman" w:eastAsia="Times New Roman" w:hAnsi="Times New Roman" w:cs="Times New Roman"/>
              </w:rPr>
              <w:t>tudy</w:t>
            </w:r>
            <w:r w:rsidRPr="006B1D8F" w:rsidR="00B53EC0">
              <w:rPr>
                <w:rFonts w:ascii="Times New Roman" w:eastAsia="Times New Roman" w:hAnsi="Times New Roman" w:cs="Times New Roman"/>
              </w:rPr>
              <w:t xml:space="preserve"> </w:t>
            </w:r>
            <w:r w:rsidRPr="006B1D8F" w:rsidR="005C2CDF">
              <w:rPr>
                <w:rFonts w:ascii="Times New Roman" w:eastAsia="Times New Roman" w:hAnsi="Times New Roman" w:cs="Times New Roman"/>
              </w:rPr>
              <w:t>is</w:t>
            </w:r>
            <w:r w:rsidRPr="006B1D8F">
              <w:rPr>
                <w:rFonts w:ascii="Times New Roman" w:eastAsia="Times New Roman" w:hAnsi="Times New Roman" w:cs="Times New Roman"/>
              </w:rPr>
              <w:t xml:space="preserve"> </w:t>
            </w:r>
            <w:r w:rsidR="000D5DEB">
              <w:rPr>
                <w:rFonts w:ascii="Times New Roman" w:eastAsia="Times New Roman" w:hAnsi="Times New Roman" w:cs="Times New Roman"/>
              </w:rPr>
              <w:t xml:space="preserve">to </w:t>
            </w:r>
            <w:r w:rsidR="00F34A8D">
              <w:rPr>
                <w:rFonts w:ascii="Times New Roman" w:eastAsia="Times New Roman" w:hAnsi="Times New Roman" w:cs="Times New Roman"/>
              </w:rPr>
              <w:t xml:space="preserve">assess current knowledge, attitudes, and beliefs (KABs) about hookah use and identify KABs that could be targeted in a digital </w:t>
            </w:r>
            <w:r w:rsidRPr="001A30B0" w:rsidR="00F34A8D">
              <w:rPr>
                <w:rFonts w:ascii="Times New Roman" w:eastAsia="Times New Roman" w:hAnsi="Times New Roman" w:cs="Times New Roman"/>
              </w:rPr>
              <w:t>campaign</w:t>
            </w:r>
            <w:r w:rsidRPr="001A30B0">
              <w:rPr>
                <w:rFonts w:ascii="Times New Roman" w:eastAsia="Times New Roman" w:hAnsi="Times New Roman" w:cs="Times New Roman"/>
              </w:rPr>
              <w:t xml:space="preserve">. </w:t>
            </w:r>
            <w:r w:rsidRPr="001A30B0" w:rsidR="00E9252F">
              <w:rPr>
                <w:rFonts w:ascii="Times New Roman" w:eastAsia="Times New Roman" w:hAnsi="Times New Roman" w:cs="Times New Roman"/>
              </w:rPr>
              <w:t>W</w:t>
            </w:r>
            <w:r w:rsidRPr="006B1D8F" w:rsidR="00E9252F">
              <w:rPr>
                <w:rFonts w:ascii="Times New Roman" w:eastAsia="Times New Roman" w:hAnsi="Times New Roman" w:cs="Times New Roman"/>
              </w:rPr>
              <w:t xml:space="preserve">e will focus on these </w:t>
            </w:r>
            <w:r w:rsidRPr="006B1D8F" w:rsidR="00C9301C">
              <w:rPr>
                <w:rFonts w:ascii="Times New Roman" w:eastAsia="Times New Roman" w:hAnsi="Times New Roman" w:cs="Times New Roman"/>
              </w:rPr>
              <w:t>two</w:t>
            </w:r>
            <w:r w:rsidRPr="006B1D8F">
              <w:rPr>
                <w:rFonts w:ascii="Times New Roman" w:eastAsia="Times New Roman" w:hAnsi="Times New Roman" w:cs="Times New Roman"/>
              </w:rPr>
              <w:t xml:space="preserve"> target audiences:</w:t>
            </w:r>
            <w:r w:rsidRPr="006B1D8F" w:rsidR="00E9252F">
              <w:rPr>
                <w:rFonts w:ascii="Times New Roman" w:eastAsia="Times New Roman" w:hAnsi="Times New Roman" w:cs="Times New Roman"/>
              </w:rPr>
              <w:t xml:space="preserve"> </w:t>
            </w:r>
            <w:r w:rsidRPr="006B1D8F">
              <w:rPr>
                <w:rFonts w:ascii="Times New Roman" w:eastAsia="Times New Roman" w:hAnsi="Times New Roman" w:cs="Times New Roman"/>
              </w:rPr>
              <w:t xml:space="preserve">(1) </w:t>
            </w:r>
            <w:r w:rsidR="00F61451">
              <w:rPr>
                <w:rFonts w:ascii="Times New Roman" w:eastAsia="Times New Roman" w:hAnsi="Times New Roman" w:cs="Times New Roman"/>
              </w:rPr>
              <w:t>young adults</w:t>
            </w:r>
            <w:r w:rsidRPr="006B1D8F" w:rsidR="00F1012C">
              <w:rPr>
                <w:rFonts w:ascii="Times New Roman" w:eastAsia="Times New Roman" w:hAnsi="Times New Roman" w:cs="Times New Roman"/>
              </w:rPr>
              <w:t xml:space="preserve"> </w:t>
            </w:r>
            <w:r w:rsidRPr="006B1D8F" w:rsidR="001C3C90">
              <w:rPr>
                <w:rFonts w:ascii="Times New Roman" w:eastAsia="Times New Roman" w:hAnsi="Times New Roman" w:cs="Times New Roman"/>
              </w:rPr>
              <w:t>1</w:t>
            </w:r>
            <w:r w:rsidR="00F61451">
              <w:rPr>
                <w:rFonts w:ascii="Times New Roman" w:eastAsia="Times New Roman" w:hAnsi="Times New Roman" w:cs="Times New Roman"/>
              </w:rPr>
              <w:t>8</w:t>
            </w:r>
            <w:r w:rsidRPr="006B1D8F" w:rsidR="001C3C90">
              <w:rPr>
                <w:rFonts w:ascii="Times New Roman" w:eastAsia="Times New Roman" w:hAnsi="Times New Roman" w:cs="Times New Roman"/>
              </w:rPr>
              <w:t xml:space="preserve"> </w:t>
            </w:r>
            <w:r w:rsidRPr="006B1D8F" w:rsidR="00F1012C">
              <w:rPr>
                <w:rFonts w:ascii="Times New Roman" w:eastAsia="Times New Roman" w:hAnsi="Times New Roman" w:cs="Times New Roman"/>
              </w:rPr>
              <w:t xml:space="preserve">to </w:t>
            </w:r>
            <w:r w:rsidR="00F4284D">
              <w:rPr>
                <w:rFonts w:ascii="Times New Roman" w:eastAsia="Times New Roman" w:hAnsi="Times New Roman" w:cs="Times New Roman"/>
              </w:rPr>
              <w:t>20</w:t>
            </w:r>
            <w:r w:rsidRPr="006B1D8F" w:rsidR="00F4284D">
              <w:rPr>
                <w:rFonts w:ascii="Times New Roman" w:eastAsia="Times New Roman" w:hAnsi="Times New Roman" w:cs="Times New Roman"/>
              </w:rPr>
              <w:t xml:space="preserve"> </w:t>
            </w:r>
            <w:r w:rsidRPr="006B1D8F" w:rsidR="00F1012C">
              <w:rPr>
                <w:rFonts w:ascii="Times New Roman" w:eastAsia="Times New Roman" w:hAnsi="Times New Roman" w:cs="Times New Roman"/>
              </w:rPr>
              <w:t xml:space="preserve">in the United States who are both non-users and users of tobacco products </w:t>
            </w:r>
            <w:r w:rsidRPr="006B1D8F" w:rsidR="00836FFE">
              <w:rPr>
                <w:rFonts w:ascii="Times New Roman" w:eastAsia="Times New Roman" w:hAnsi="Times New Roman" w:cs="Times New Roman"/>
              </w:rPr>
              <w:t xml:space="preserve">and </w:t>
            </w:r>
            <w:r w:rsidRPr="006B1D8F" w:rsidR="000A61B9">
              <w:rPr>
                <w:rFonts w:ascii="Times New Roman" w:eastAsia="Times New Roman" w:hAnsi="Times New Roman" w:cs="Times New Roman"/>
              </w:rPr>
              <w:t xml:space="preserve">(2) </w:t>
            </w:r>
            <w:r w:rsidRPr="006B1D8F" w:rsidR="001C3C90">
              <w:rPr>
                <w:rFonts w:ascii="Times New Roman" w:eastAsia="Times New Roman" w:hAnsi="Times New Roman" w:cs="Times New Roman"/>
              </w:rPr>
              <w:t xml:space="preserve">young </w:t>
            </w:r>
            <w:r w:rsidRPr="006B1D8F" w:rsidR="00836FFE">
              <w:rPr>
                <w:rFonts w:ascii="Times New Roman" w:eastAsia="Times New Roman" w:hAnsi="Times New Roman" w:cs="Times New Roman"/>
              </w:rPr>
              <w:t xml:space="preserve">adults ages </w:t>
            </w:r>
            <w:r w:rsidR="00F4284D">
              <w:rPr>
                <w:rFonts w:ascii="Times New Roman" w:eastAsia="Times New Roman" w:hAnsi="Times New Roman" w:cs="Times New Roman"/>
              </w:rPr>
              <w:t>21</w:t>
            </w:r>
            <w:r w:rsidRPr="006B1D8F" w:rsidR="00836FFE">
              <w:rPr>
                <w:rFonts w:ascii="Times New Roman" w:eastAsia="Times New Roman" w:hAnsi="Times New Roman" w:cs="Times New Roman"/>
              </w:rPr>
              <w:t xml:space="preserve"> to </w:t>
            </w:r>
            <w:r w:rsidRPr="006B1D8F" w:rsidR="001C3C90">
              <w:rPr>
                <w:rFonts w:ascii="Times New Roman" w:eastAsia="Times New Roman" w:hAnsi="Times New Roman" w:cs="Times New Roman"/>
              </w:rPr>
              <w:t>24</w:t>
            </w:r>
            <w:r w:rsidRPr="006B1D8F" w:rsidR="00836FFE">
              <w:rPr>
                <w:rFonts w:ascii="Times New Roman" w:eastAsia="Times New Roman" w:hAnsi="Times New Roman" w:cs="Times New Roman"/>
              </w:rPr>
              <w:t xml:space="preserve"> years in the United States</w:t>
            </w:r>
            <w:r w:rsidRPr="006B1D8F" w:rsidR="0048512E">
              <w:rPr>
                <w:rFonts w:ascii="Times New Roman" w:eastAsia="Times New Roman" w:hAnsi="Times New Roman" w:cs="Times New Roman"/>
              </w:rPr>
              <w:t xml:space="preserve"> who are </w:t>
            </w:r>
            <w:r w:rsidRPr="006B1D8F" w:rsidR="0038537C">
              <w:rPr>
                <w:rFonts w:ascii="Times New Roman" w:eastAsia="Times New Roman" w:hAnsi="Times New Roman" w:cs="Times New Roman"/>
              </w:rPr>
              <w:t>non-users and users of tobacco products.</w:t>
            </w:r>
          </w:p>
          <w:p w:rsidR="0038537C" w:rsidRPr="006B1D8F" w:rsidP="0038537C" w14:paraId="4C11BFEB" w14:textId="77777777">
            <w:pPr>
              <w:pStyle w:val="ListParagraph"/>
              <w:autoSpaceDE w:val="0"/>
              <w:autoSpaceDN w:val="0"/>
              <w:adjustRightInd w:val="0"/>
              <w:ind w:left="360"/>
              <w:rPr>
                <w:rFonts w:ascii="Times New Roman" w:eastAsia="Times New Roman" w:hAnsi="Times New Roman" w:cs="Times New Roman"/>
              </w:rPr>
            </w:pPr>
          </w:p>
          <w:p w:rsidR="009A2EE5" w:rsidRPr="00CE258E" w:rsidP="0077007A" w14:paraId="305F7E70" w14:textId="36291CB5">
            <w:pPr>
              <w:pStyle w:val="ListParagraph"/>
              <w:numPr>
                <w:ilvl w:val="0"/>
                <w:numId w:val="2"/>
              </w:numPr>
              <w:autoSpaceDE w:val="0"/>
              <w:autoSpaceDN w:val="0"/>
              <w:adjustRightInd w:val="0"/>
              <w:rPr>
                <w:rFonts w:ascii="Times New Roman" w:eastAsia="Times New Roman" w:hAnsi="Times New Roman" w:cs="Times New Roman"/>
              </w:rPr>
            </w:pPr>
            <w:r w:rsidRPr="00CE258E">
              <w:rPr>
                <w:rFonts w:ascii="Times New Roman" w:eastAsia="Times New Roman" w:hAnsi="Times New Roman" w:cs="Times New Roman"/>
              </w:rPr>
              <w:t xml:space="preserve">RTI </w:t>
            </w:r>
            <w:r w:rsidR="00084FBD">
              <w:rPr>
                <w:rFonts w:ascii="Times New Roman" w:eastAsia="Times New Roman" w:hAnsi="Times New Roman" w:cs="Times New Roman"/>
              </w:rPr>
              <w:t>International (RTI)</w:t>
            </w:r>
            <w:r w:rsidRPr="00CE258E">
              <w:rPr>
                <w:rFonts w:ascii="Times New Roman" w:eastAsia="Times New Roman" w:hAnsi="Times New Roman" w:cs="Times New Roman"/>
              </w:rPr>
              <w:t xml:space="preserve"> will conduct </w:t>
            </w:r>
            <w:r w:rsidR="00612CFC">
              <w:rPr>
                <w:rFonts w:ascii="Times New Roman" w:eastAsia="Times New Roman" w:hAnsi="Times New Roman" w:cs="Times New Roman"/>
              </w:rPr>
              <w:t xml:space="preserve">an </w:t>
            </w:r>
            <w:r w:rsidRPr="00CE258E">
              <w:rPr>
                <w:rFonts w:ascii="Times New Roman" w:eastAsia="Times New Roman" w:hAnsi="Times New Roman" w:cs="Times New Roman"/>
              </w:rPr>
              <w:t xml:space="preserve">online survey with </w:t>
            </w:r>
            <w:r w:rsidRPr="00CE258E" w:rsidR="00A04D6B">
              <w:rPr>
                <w:rFonts w:ascii="Times New Roman" w:eastAsia="Times New Roman" w:hAnsi="Times New Roman" w:cs="Times New Roman"/>
              </w:rPr>
              <w:t xml:space="preserve">young </w:t>
            </w:r>
            <w:r w:rsidRPr="00CE258E">
              <w:rPr>
                <w:rFonts w:ascii="Times New Roman" w:eastAsia="Times New Roman" w:hAnsi="Times New Roman" w:cs="Times New Roman"/>
              </w:rPr>
              <w:t xml:space="preserve">adults in the United States recruited </w:t>
            </w:r>
            <w:r w:rsidRPr="416A1754">
              <w:rPr>
                <w:rFonts w:ascii="Times New Roman" w:eastAsia="Times New Roman" w:hAnsi="Times New Roman" w:cs="Times New Roman"/>
              </w:rPr>
              <w:t>through social media (</w:t>
            </w:r>
            <w:r w:rsidR="00A709B5">
              <w:rPr>
                <w:rFonts w:ascii="Times New Roman" w:eastAsia="Times New Roman" w:hAnsi="Times New Roman" w:cs="Times New Roman"/>
              </w:rPr>
              <w:t>e.g</w:t>
            </w:r>
            <w:r w:rsidRPr="416A1754">
              <w:rPr>
                <w:rFonts w:ascii="Times New Roman" w:eastAsia="Times New Roman" w:hAnsi="Times New Roman" w:cs="Times New Roman"/>
              </w:rPr>
              <w:t>., Facebook</w:t>
            </w:r>
            <w:r w:rsidR="004C493B">
              <w:rPr>
                <w:rFonts w:ascii="Times New Roman" w:eastAsia="Times New Roman" w:hAnsi="Times New Roman" w:cs="Times New Roman"/>
              </w:rPr>
              <w:t xml:space="preserve"> and </w:t>
            </w:r>
            <w:r w:rsidRPr="416A1754">
              <w:rPr>
                <w:rFonts w:ascii="Times New Roman" w:eastAsia="Times New Roman" w:hAnsi="Times New Roman" w:cs="Times New Roman"/>
              </w:rPr>
              <w:t>Instagram)</w:t>
            </w:r>
            <w:r w:rsidRPr="416A1754" w:rsidR="00A36DA0">
              <w:rPr>
                <w:rFonts w:ascii="Times New Roman" w:eastAsia="Times New Roman" w:hAnsi="Times New Roman" w:cs="Times New Roman"/>
              </w:rPr>
              <w:t xml:space="preserve">. The </w:t>
            </w:r>
            <w:r w:rsidRPr="416A1754" w:rsidR="003F686E">
              <w:rPr>
                <w:rFonts w:ascii="Times New Roman" w:eastAsia="Times New Roman" w:hAnsi="Times New Roman" w:cs="Times New Roman"/>
              </w:rPr>
              <w:t>Digital Advertising</w:t>
            </w:r>
            <w:r w:rsidRPr="416A1754" w:rsidR="00A36DA0">
              <w:rPr>
                <w:rFonts w:ascii="Times New Roman" w:eastAsia="Times New Roman" w:hAnsi="Times New Roman" w:cs="Times New Roman"/>
              </w:rPr>
              <w:t xml:space="preserve"> </w:t>
            </w:r>
            <w:r w:rsidR="00627454">
              <w:rPr>
                <w:rFonts w:ascii="Times New Roman" w:eastAsia="Times New Roman" w:hAnsi="Times New Roman" w:cs="Times New Roman"/>
              </w:rPr>
              <w:t>S</w:t>
            </w:r>
            <w:r w:rsidRPr="416A1754" w:rsidR="00A36DA0">
              <w:rPr>
                <w:rFonts w:ascii="Times New Roman" w:eastAsia="Times New Roman" w:hAnsi="Times New Roman" w:cs="Times New Roman"/>
              </w:rPr>
              <w:t>tud</w:t>
            </w:r>
            <w:r w:rsidRPr="416A1754" w:rsidR="00482D94">
              <w:rPr>
                <w:rFonts w:ascii="Times New Roman" w:eastAsia="Times New Roman" w:hAnsi="Times New Roman" w:cs="Times New Roman"/>
              </w:rPr>
              <w:t>y</w:t>
            </w:r>
            <w:r w:rsidRPr="416A1754" w:rsidR="00A36DA0">
              <w:rPr>
                <w:rFonts w:ascii="Times New Roman" w:eastAsia="Times New Roman" w:hAnsi="Times New Roman" w:cs="Times New Roman"/>
              </w:rPr>
              <w:t xml:space="preserve"> will measure </w:t>
            </w:r>
            <w:r w:rsidRPr="416A1754" w:rsidR="00454BE1">
              <w:rPr>
                <w:rFonts w:ascii="Times New Roman" w:eastAsia="Times New Roman" w:hAnsi="Times New Roman" w:cs="Times New Roman"/>
              </w:rPr>
              <w:t xml:space="preserve">perceived harms of hookah use, perceived benefits of hookah use, reasons for hookah use, and socio-demographics. </w:t>
            </w:r>
            <w:r w:rsidRPr="416A1754" w:rsidR="00C91DA0">
              <w:rPr>
                <w:rFonts w:ascii="Times New Roman" w:eastAsia="Times New Roman" w:hAnsi="Times New Roman" w:cs="Times New Roman"/>
              </w:rPr>
              <w:t xml:space="preserve">Once </w:t>
            </w:r>
            <w:r w:rsidRPr="416A1754">
              <w:rPr>
                <w:rFonts w:ascii="Times New Roman" w:eastAsia="Times New Roman" w:hAnsi="Times New Roman" w:cs="Times New Roman"/>
              </w:rPr>
              <w:t>approvals are received, we will begin data collection for a national, online</w:t>
            </w:r>
            <w:r w:rsidRPr="416A1754" w:rsidR="00854B6D">
              <w:rPr>
                <w:rFonts w:ascii="Times New Roman" w:eastAsia="Times New Roman" w:hAnsi="Times New Roman" w:cs="Times New Roman"/>
              </w:rPr>
              <w:t>,</w:t>
            </w:r>
            <w:r w:rsidRPr="416A1754">
              <w:rPr>
                <w:rFonts w:ascii="Times New Roman" w:eastAsia="Times New Roman" w:hAnsi="Times New Roman" w:cs="Times New Roman"/>
              </w:rPr>
              <w:t xml:space="preserve"> self-administered survey of approximately </w:t>
            </w:r>
            <w:r w:rsidR="0036676F">
              <w:rPr>
                <w:rStyle w:val="normaltextrun"/>
                <w:rFonts w:ascii="Times New Roman" w:hAnsi="Times New Roman" w:cs="Times New Roman"/>
                <w:color w:val="000000"/>
                <w:shd w:val="clear" w:color="auto" w:fill="FFFFFF"/>
              </w:rPr>
              <w:t>1,500</w:t>
            </w:r>
            <w:r w:rsidRPr="416A1754" w:rsidR="00E7295D">
              <w:rPr>
                <w:rStyle w:val="normaltextrun"/>
                <w:rFonts w:ascii="Times New Roman" w:hAnsi="Times New Roman" w:cs="Times New Roman"/>
                <w:color w:val="000000"/>
                <w:shd w:val="clear" w:color="auto" w:fill="FFFFFF"/>
              </w:rPr>
              <w:t xml:space="preserve"> you</w:t>
            </w:r>
            <w:r w:rsidRPr="416A1754" w:rsidR="00854B6D">
              <w:rPr>
                <w:rStyle w:val="normaltextrun"/>
                <w:rFonts w:ascii="Times New Roman" w:hAnsi="Times New Roman" w:cs="Times New Roman"/>
                <w:color w:val="000000" w:themeColor="text1"/>
              </w:rPr>
              <w:t>ng adults</w:t>
            </w:r>
            <w:r w:rsidRPr="416A1754" w:rsidR="00E7295D">
              <w:rPr>
                <w:rStyle w:val="normaltextrun"/>
                <w:rFonts w:ascii="Times New Roman" w:hAnsi="Times New Roman" w:cs="Times New Roman"/>
                <w:color w:val="000000"/>
                <w:shd w:val="clear" w:color="auto" w:fill="FFFFFF"/>
              </w:rPr>
              <w:t xml:space="preserve"> aged 1</w:t>
            </w:r>
            <w:r w:rsidRPr="416A1754" w:rsidR="00854B6D">
              <w:rPr>
                <w:rStyle w:val="normaltextrun"/>
                <w:rFonts w:ascii="Times New Roman" w:hAnsi="Times New Roman" w:cs="Times New Roman"/>
                <w:color w:val="000000" w:themeColor="text1"/>
              </w:rPr>
              <w:t>8</w:t>
            </w:r>
            <w:r w:rsidRPr="416A1754" w:rsidR="00E7295D">
              <w:rPr>
                <w:rStyle w:val="normaltextrun"/>
                <w:rFonts w:ascii="Times New Roman" w:hAnsi="Times New Roman" w:cs="Times New Roman"/>
                <w:color w:val="000000"/>
                <w:shd w:val="clear" w:color="auto" w:fill="FFFFFF"/>
              </w:rPr>
              <w:t>-2</w:t>
            </w:r>
            <w:r w:rsidR="00C72291">
              <w:rPr>
                <w:rStyle w:val="normaltextrun"/>
                <w:rFonts w:ascii="Times New Roman" w:hAnsi="Times New Roman" w:cs="Times New Roman"/>
                <w:color w:val="000000"/>
                <w:shd w:val="clear" w:color="auto" w:fill="FFFFFF"/>
              </w:rPr>
              <w:t>4.</w:t>
            </w:r>
          </w:p>
          <w:p w:rsidR="00CE258E" w:rsidRPr="00CE258E" w:rsidP="00CE258E" w14:paraId="49ECA972" w14:textId="77777777">
            <w:pPr>
              <w:autoSpaceDE w:val="0"/>
              <w:autoSpaceDN w:val="0"/>
              <w:adjustRightInd w:val="0"/>
              <w:rPr>
                <w:rFonts w:ascii="Times New Roman" w:eastAsia="Times New Roman" w:hAnsi="Times New Roman" w:cs="Times New Roman"/>
              </w:rPr>
            </w:pPr>
          </w:p>
          <w:p w:rsidR="00250CB6" w:rsidP="00250CB6" w14:paraId="42CF9AEF" w14:textId="71C5B275">
            <w:pPr>
              <w:pStyle w:val="ListParagraph"/>
              <w:numPr>
                <w:ilvl w:val="0"/>
                <w:numId w:val="2"/>
              </w:numPr>
              <w:autoSpaceDE w:val="0"/>
              <w:autoSpaceDN w:val="0"/>
              <w:adjustRightInd w:val="0"/>
              <w:rPr>
                <w:rFonts w:ascii="Times New Roman" w:eastAsia="Times New Roman" w:hAnsi="Times New Roman" w:cs="Times New Roman"/>
              </w:rPr>
            </w:pPr>
            <w:r w:rsidRPr="006B1D8F">
              <w:rPr>
                <w:rFonts w:ascii="Times New Roman" w:eastAsia="Times New Roman" w:hAnsi="Times New Roman" w:cs="Times New Roman"/>
              </w:rPr>
              <w:t xml:space="preserve">The results of the </w:t>
            </w:r>
            <w:r w:rsidR="003F686E">
              <w:rPr>
                <w:rFonts w:ascii="Times New Roman" w:eastAsia="Times New Roman" w:hAnsi="Times New Roman" w:cs="Times New Roman"/>
              </w:rPr>
              <w:t>Digital Advertising</w:t>
            </w:r>
            <w:r w:rsidRPr="006B1D8F">
              <w:rPr>
                <w:rFonts w:ascii="Times New Roman" w:eastAsia="Times New Roman" w:hAnsi="Times New Roman" w:cs="Times New Roman"/>
              </w:rPr>
              <w:t xml:space="preserve"> </w:t>
            </w:r>
            <w:r w:rsidR="00492721">
              <w:rPr>
                <w:rFonts w:ascii="Times New Roman" w:eastAsia="Times New Roman" w:hAnsi="Times New Roman" w:cs="Times New Roman"/>
              </w:rPr>
              <w:t>S</w:t>
            </w:r>
            <w:r w:rsidRPr="006B1D8F">
              <w:rPr>
                <w:rFonts w:ascii="Times New Roman" w:eastAsia="Times New Roman" w:hAnsi="Times New Roman" w:cs="Times New Roman"/>
              </w:rPr>
              <w:t>tud</w:t>
            </w:r>
            <w:r w:rsidR="00482D94">
              <w:rPr>
                <w:rFonts w:ascii="Times New Roman" w:eastAsia="Times New Roman" w:hAnsi="Times New Roman" w:cs="Times New Roman"/>
              </w:rPr>
              <w:t>y</w:t>
            </w:r>
            <w:r w:rsidRPr="006B1D8F">
              <w:rPr>
                <w:rFonts w:ascii="Times New Roman" w:eastAsia="Times New Roman" w:hAnsi="Times New Roman" w:cs="Times New Roman"/>
              </w:rPr>
              <w:t xml:space="preserve"> will be used to </w:t>
            </w:r>
            <w:r w:rsidR="00B60F04">
              <w:rPr>
                <w:rFonts w:ascii="Times New Roman" w:eastAsia="Times New Roman" w:hAnsi="Times New Roman" w:cs="Times New Roman"/>
              </w:rPr>
              <w:t>s</w:t>
            </w:r>
            <w:r w:rsidRPr="00B60F04" w:rsidR="00B60F04">
              <w:rPr>
                <w:rFonts w:ascii="Times New Roman" w:eastAsia="Times New Roman" w:hAnsi="Times New Roman" w:cs="Times New Roman"/>
              </w:rPr>
              <w:t>upport the development of a</w:t>
            </w:r>
            <w:r w:rsidR="000D1336">
              <w:rPr>
                <w:rFonts w:ascii="Times New Roman" w:eastAsia="Times New Roman" w:hAnsi="Times New Roman" w:cs="Times New Roman"/>
              </w:rPr>
              <w:t xml:space="preserve"> future</w:t>
            </w:r>
            <w:r w:rsidRPr="00B60F04" w:rsidR="00B60F04">
              <w:rPr>
                <w:rFonts w:ascii="Times New Roman" w:eastAsia="Times New Roman" w:hAnsi="Times New Roman" w:cs="Times New Roman"/>
              </w:rPr>
              <w:t xml:space="preserve"> </w:t>
            </w:r>
            <w:r w:rsidR="0088798A">
              <w:rPr>
                <w:rFonts w:ascii="Times New Roman" w:eastAsia="Times New Roman" w:hAnsi="Times New Roman" w:cs="Times New Roman"/>
              </w:rPr>
              <w:t xml:space="preserve">experimental </w:t>
            </w:r>
            <w:r w:rsidRPr="00B60F04" w:rsidR="00B60F04">
              <w:rPr>
                <w:rFonts w:ascii="Times New Roman" w:eastAsia="Times New Roman" w:hAnsi="Times New Roman" w:cs="Times New Roman"/>
              </w:rPr>
              <w:t xml:space="preserve">digital campaign </w:t>
            </w:r>
            <w:r w:rsidR="005E3D30">
              <w:rPr>
                <w:rFonts w:ascii="Times New Roman" w:eastAsia="Times New Roman" w:hAnsi="Times New Roman" w:cs="Times New Roman"/>
              </w:rPr>
              <w:t>intended to</w:t>
            </w:r>
            <w:r w:rsidRPr="00B60F04" w:rsidR="00B60F04">
              <w:rPr>
                <w:rFonts w:ascii="Times New Roman" w:eastAsia="Times New Roman" w:hAnsi="Times New Roman" w:cs="Times New Roman"/>
              </w:rPr>
              <w:t xml:space="preserve"> shift KABs about hookah use</w:t>
            </w:r>
            <w:r w:rsidR="00B60F04">
              <w:rPr>
                <w:rFonts w:ascii="Times New Roman" w:eastAsia="Times New Roman" w:hAnsi="Times New Roman" w:cs="Times New Roman"/>
              </w:rPr>
              <w:t xml:space="preserve">. </w:t>
            </w:r>
          </w:p>
          <w:p w:rsidR="00250CB6" w:rsidRPr="00250CB6" w:rsidP="00250CB6" w14:paraId="3177886F" w14:textId="77777777">
            <w:pPr>
              <w:pStyle w:val="ListParagraph"/>
              <w:rPr>
                <w:rFonts w:ascii="Times New Roman" w:eastAsia="Times New Roman" w:hAnsi="Times New Roman" w:cs="Times New Roman"/>
              </w:rPr>
            </w:pPr>
          </w:p>
          <w:p w:rsidR="00323D4B" w:rsidRPr="009660BD" w:rsidP="009660BD" w14:paraId="6EC5DEEF" w14:textId="7A2D7A98">
            <w:pPr>
              <w:pStyle w:val="ListParagraph"/>
              <w:numPr>
                <w:ilvl w:val="0"/>
                <w:numId w:val="2"/>
              </w:numPr>
              <w:autoSpaceDE w:val="0"/>
              <w:autoSpaceDN w:val="0"/>
              <w:adjustRightInd w:val="0"/>
              <w:rPr>
                <w:rFonts w:ascii="Times New Roman" w:eastAsia="Times New Roman" w:hAnsi="Times New Roman" w:cs="Times New Roman"/>
              </w:rPr>
            </w:pPr>
            <w:r w:rsidRPr="00595A82">
              <w:rPr>
                <w:rFonts w:ascii="Times New Roman" w:eastAsia="Times New Roman" w:hAnsi="Times New Roman" w:cs="Times New Roman"/>
              </w:rPr>
              <w:t xml:space="preserve">Results of the survey will help </w:t>
            </w:r>
            <w:r w:rsidR="006E4427">
              <w:rPr>
                <w:rFonts w:ascii="Times New Roman" w:eastAsia="Times New Roman" w:hAnsi="Times New Roman" w:cs="Times New Roman"/>
              </w:rPr>
              <w:t xml:space="preserve">the Food and Drug Administration’s </w:t>
            </w:r>
            <w:r w:rsidR="00CE0FEA">
              <w:rPr>
                <w:rFonts w:ascii="Times New Roman" w:eastAsia="Times New Roman" w:hAnsi="Times New Roman" w:cs="Times New Roman"/>
              </w:rPr>
              <w:t xml:space="preserve">(FDA) </w:t>
            </w:r>
            <w:r w:rsidR="006E4427">
              <w:rPr>
                <w:rFonts w:ascii="Times New Roman" w:eastAsia="Times New Roman" w:hAnsi="Times New Roman" w:cs="Times New Roman"/>
              </w:rPr>
              <w:t>Center for Tobacco Products (</w:t>
            </w:r>
            <w:r w:rsidRPr="00595A82">
              <w:rPr>
                <w:rFonts w:ascii="Times New Roman" w:eastAsia="Times New Roman" w:hAnsi="Times New Roman" w:cs="Times New Roman"/>
              </w:rPr>
              <w:t>CTP</w:t>
            </w:r>
            <w:r w:rsidR="006E4427">
              <w:rPr>
                <w:rFonts w:ascii="Times New Roman" w:eastAsia="Times New Roman" w:hAnsi="Times New Roman" w:cs="Times New Roman"/>
              </w:rPr>
              <w:t>)</w:t>
            </w:r>
            <w:r w:rsidRPr="00595A82">
              <w:rPr>
                <w:rFonts w:ascii="Times New Roman" w:eastAsia="Times New Roman" w:hAnsi="Times New Roman" w:cs="Times New Roman"/>
              </w:rPr>
              <w:t xml:space="preserve"> better understand</w:t>
            </w:r>
            <w:r w:rsidR="003C44C1">
              <w:rPr>
                <w:rFonts w:ascii="Times New Roman" w:eastAsia="Times New Roman" w:hAnsi="Times New Roman" w:cs="Times New Roman"/>
              </w:rPr>
              <w:t>:</w:t>
            </w:r>
          </w:p>
          <w:p w:rsidR="00430272" w:rsidRPr="00595A82" w:rsidP="00430272" w14:paraId="6359CADE" w14:textId="3DC514A0">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T</w:t>
            </w:r>
            <w:r w:rsidRPr="00595A82">
              <w:rPr>
                <w:rFonts w:ascii="Times New Roman" w:eastAsia="Times New Roman" w:hAnsi="Times New Roman" w:cs="Times New Roman"/>
              </w:rPr>
              <w:t xml:space="preserve">he level of agreement with </w:t>
            </w:r>
            <w:r w:rsidRPr="00595A82" w:rsidR="000053B3">
              <w:rPr>
                <w:rFonts w:ascii="Times New Roman" w:eastAsia="Times New Roman" w:hAnsi="Times New Roman" w:cs="Times New Roman"/>
              </w:rPr>
              <w:t>hookah</w:t>
            </w:r>
            <w:r w:rsidRPr="00595A82">
              <w:rPr>
                <w:rFonts w:ascii="Times New Roman" w:eastAsia="Times New Roman" w:hAnsi="Times New Roman" w:cs="Times New Roman"/>
              </w:rPr>
              <w:t>-related beliefs</w:t>
            </w:r>
            <w:r w:rsidRPr="00595A82" w:rsidR="006645B7">
              <w:rPr>
                <w:rFonts w:ascii="Times New Roman" w:eastAsia="Times New Roman" w:hAnsi="Times New Roman" w:cs="Times New Roman"/>
              </w:rPr>
              <w:t xml:space="preserve"> </w:t>
            </w:r>
            <w:r w:rsidR="003C44C1">
              <w:rPr>
                <w:rFonts w:ascii="Times New Roman" w:eastAsia="Times New Roman" w:hAnsi="Times New Roman" w:cs="Times New Roman"/>
              </w:rPr>
              <w:t>among</w:t>
            </w:r>
            <w:r w:rsidRPr="00595A82" w:rsidR="003C44C1">
              <w:rPr>
                <w:rFonts w:ascii="Times New Roman" w:eastAsia="Times New Roman" w:hAnsi="Times New Roman" w:cs="Times New Roman"/>
              </w:rPr>
              <w:t xml:space="preserve"> </w:t>
            </w:r>
            <w:r w:rsidRPr="00595A82" w:rsidR="00A04D6B">
              <w:rPr>
                <w:rFonts w:ascii="Times New Roman" w:eastAsia="Times New Roman" w:hAnsi="Times New Roman" w:cs="Times New Roman"/>
              </w:rPr>
              <w:t xml:space="preserve">young </w:t>
            </w:r>
            <w:r w:rsidRPr="00595A82" w:rsidR="006645B7">
              <w:rPr>
                <w:rFonts w:ascii="Times New Roman" w:eastAsia="Times New Roman" w:hAnsi="Times New Roman" w:cs="Times New Roman"/>
              </w:rPr>
              <w:t xml:space="preserve">adults ages </w:t>
            </w:r>
            <w:r w:rsidRPr="00595A82" w:rsidR="001C3C90">
              <w:rPr>
                <w:rFonts w:ascii="Times New Roman" w:eastAsia="Times New Roman" w:hAnsi="Times New Roman" w:cs="Times New Roman"/>
              </w:rPr>
              <w:t>1</w:t>
            </w:r>
            <w:r w:rsidR="00854B6D">
              <w:rPr>
                <w:rFonts w:ascii="Times New Roman" w:eastAsia="Times New Roman" w:hAnsi="Times New Roman" w:cs="Times New Roman"/>
              </w:rPr>
              <w:t>8</w:t>
            </w:r>
            <w:r w:rsidRPr="00595A82" w:rsidR="006645B7">
              <w:rPr>
                <w:rFonts w:ascii="Times New Roman" w:eastAsia="Times New Roman" w:hAnsi="Times New Roman" w:cs="Times New Roman"/>
              </w:rPr>
              <w:t>-</w:t>
            </w:r>
            <w:r w:rsidRPr="00595A82" w:rsidR="001C3C90">
              <w:rPr>
                <w:rFonts w:ascii="Times New Roman" w:eastAsia="Times New Roman" w:hAnsi="Times New Roman" w:cs="Times New Roman"/>
              </w:rPr>
              <w:t>24</w:t>
            </w:r>
            <w:r w:rsidRPr="00595A82" w:rsidR="006645B7">
              <w:rPr>
                <w:rFonts w:ascii="Times New Roman" w:eastAsia="Times New Roman" w:hAnsi="Times New Roman" w:cs="Times New Roman"/>
              </w:rPr>
              <w:t xml:space="preserve"> years old in the United States</w:t>
            </w:r>
            <w:r w:rsidR="003C44C1">
              <w:rPr>
                <w:rFonts w:ascii="Times New Roman" w:eastAsia="Times New Roman" w:hAnsi="Times New Roman" w:cs="Times New Roman"/>
              </w:rPr>
              <w:t>, and</w:t>
            </w:r>
          </w:p>
          <w:p w:rsidR="00430272" w:rsidRPr="00595A82" w:rsidP="00430272" w14:paraId="55F8C171" w14:textId="4CB51E42">
            <w:pPr>
              <w:numPr>
                <w:ilvl w:val="1"/>
                <w:numId w:val="2"/>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w:t>
            </w:r>
            <w:r w:rsidR="003C44C1">
              <w:rPr>
                <w:rFonts w:ascii="Times New Roman" w:eastAsia="Times New Roman" w:hAnsi="Times New Roman" w:cs="Times New Roman"/>
              </w:rPr>
              <w:t>hether</w:t>
            </w:r>
            <w:r w:rsidRPr="00595A82" w:rsidR="003C44C1">
              <w:rPr>
                <w:rFonts w:ascii="Times New Roman" w:eastAsia="Times New Roman" w:hAnsi="Times New Roman" w:cs="Times New Roman"/>
              </w:rPr>
              <w:t xml:space="preserve"> </w:t>
            </w:r>
            <w:r w:rsidRPr="00595A82" w:rsidR="00595A82">
              <w:rPr>
                <w:rFonts w:ascii="Times New Roman" w:eastAsia="Times New Roman" w:hAnsi="Times New Roman" w:cs="Times New Roman"/>
              </w:rPr>
              <w:t>hookah</w:t>
            </w:r>
            <w:r w:rsidRPr="00595A82">
              <w:rPr>
                <w:rFonts w:ascii="Times New Roman" w:eastAsia="Times New Roman" w:hAnsi="Times New Roman" w:cs="Times New Roman"/>
              </w:rPr>
              <w:t xml:space="preserve">-related beliefs </w:t>
            </w:r>
            <w:r w:rsidRPr="00595A82" w:rsidR="00670FD6">
              <w:rPr>
                <w:rFonts w:ascii="Times New Roman" w:eastAsia="Times New Roman" w:hAnsi="Times New Roman" w:cs="Times New Roman"/>
              </w:rPr>
              <w:t xml:space="preserve">are </w:t>
            </w:r>
            <w:r w:rsidRPr="00595A82">
              <w:rPr>
                <w:rFonts w:ascii="Times New Roman" w:eastAsia="Times New Roman" w:hAnsi="Times New Roman" w:cs="Times New Roman"/>
              </w:rPr>
              <w:t xml:space="preserve">likely to change </w:t>
            </w:r>
            <w:r w:rsidRPr="00595A82">
              <w:rPr>
                <w:rFonts w:ascii="Times New Roman" w:eastAsia="Times New Roman" w:hAnsi="Times New Roman" w:cs="Times New Roman"/>
              </w:rPr>
              <w:t>as a result of</w:t>
            </w:r>
            <w:r w:rsidRPr="00595A82">
              <w:rPr>
                <w:rFonts w:ascii="Times New Roman" w:eastAsia="Times New Roman" w:hAnsi="Times New Roman" w:cs="Times New Roman"/>
              </w:rPr>
              <w:t xml:space="preserve"> exposure to a </w:t>
            </w:r>
            <w:r w:rsidR="001D7FDC">
              <w:rPr>
                <w:rFonts w:ascii="Times New Roman" w:eastAsia="Times New Roman" w:hAnsi="Times New Roman" w:cs="Times New Roman"/>
              </w:rPr>
              <w:t xml:space="preserve">future </w:t>
            </w:r>
            <w:r w:rsidR="003D1CB8">
              <w:rPr>
                <w:rFonts w:ascii="Times New Roman" w:eastAsia="Times New Roman" w:hAnsi="Times New Roman" w:cs="Times New Roman"/>
              </w:rPr>
              <w:t xml:space="preserve">digital </w:t>
            </w:r>
            <w:r w:rsidRPr="00595A82">
              <w:rPr>
                <w:rFonts w:ascii="Times New Roman" w:eastAsia="Times New Roman" w:hAnsi="Times New Roman" w:cs="Times New Roman"/>
              </w:rPr>
              <w:t>media campaign</w:t>
            </w:r>
            <w:r w:rsidRPr="00595A82" w:rsidR="00670FD6">
              <w:rPr>
                <w:rFonts w:ascii="Times New Roman" w:eastAsia="Times New Roman" w:hAnsi="Times New Roman" w:cs="Times New Roman"/>
              </w:rPr>
              <w:t xml:space="preserve"> among </w:t>
            </w:r>
            <w:r w:rsidRPr="00595A82" w:rsidR="00A04D6B">
              <w:rPr>
                <w:rFonts w:ascii="Times New Roman" w:eastAsia="Times New Roman" w:hAnsi="Times New Roman" w:cs="Times New Roman"/>
              </w:rPr>
              <w:t xml:space="preserve">young </w:t>
            </w:r>
            <w:r w:rsidRPr="00595A82" w:rsidR="00670FD6">
              <w:rPr>
                <w:rFonts w:ascii="Times New Roman" w:eastAsia="Times New Roman" w:hAnsi="Times New Roman" w:cs="Times New Roman"/>
              </w:rPr>
              <w:t xml:space="preserve">adults ages </w:t>
            </w:r>
            <w:r w:rsidRPr="00595A82" w:rsidR="001C3C90">
              <w:rPr>
                <w:rFonts w:ascii="Times New Roman" w:eastAsia="Times New Roman" w:hAnsi="Times New Roman" w:cs="Times New Roman"/>
              </w:rPr>
              <w:t>1</w:t>
            </w:r>
            <w:r w:rsidR="006C7EED">
              <w:rPr>
                <w:rFonts w:ascii="Times New Roman" w:eastAsia="Times New Roman" w:hAnsi="Times New Roman" w:cs="Times New Roman"/>
              </w:rPr>
              <w:t>8</w:t>
            </w:r>
            <w:r w:rsidRPr="00595A82" w:rsidR="00670FD6">
              <w:rPr>
                <w:rFonts w:ascii="Times New Roman" w:eastAsia="Times New Roman" w:hAnsi="Times New Roman" w:cs="Times New Roman"/>
              </w:rPr>
              <w:t>-</w:t>
            </w:r>
            <w:r w:rsidRPr="00595A82" w:rsidR="001C3C90">
              <w:rPr>
                <w:rFonts w:ascii="Times New Roman" w:eastAsia="Times New Roman" w:hAnsi="Times New Roman" w:cs="Times New Roman"/>
              </w:rPr>
              <w:t>24</w:t>
            </w:r>
            <w:r w:rsidRPr="00595A82" w:rsidR="00670FD6">
              <w:rPr>
                <w:rFonts w:ascii="Times New Roman" w:eastAsia="Times New Roman" w:hAnsi="Times New Roman" w:cs="Times New Roman"/>
              </w:rPr>
              <w:t xml:space="preserve"> years old in the United States.</w:t>
            </w:r>
          </w:p>
          <w:p w:rsidR="00BE1FCB" w:rsidRPr="006B1D8F" w:rsidP="00F3750D" w14:paraId="6543A78F" w14:textId="77777777">
            <w:pPr>
              <w:autoSpaceDE w:val="0"/>
              <w:autoSpaceDN w:val="0"/>
              <w:adjustRightInd w:val="0"/>
              <w:ind w:left="360"/>
              <w:contextualSpacing/>
              <w:rPr>
                <w:rFonts w:ascii="Times New Roman" w:eastAsia="Times New Roman" w:hAnsi="Times New Roman" w:cs="Times New Roman"/>
              </w:rPr>
            </w:pPr>
          </w:p>
          <w:p w:rsidR="00BE1FCB" w:rsidRPr="006B1D8F" w:rsidP="00F475DC" w14:paraId="1D803F4E" w14:textId="52AFF88B">
            <w:pPr>
              <w:numPr>
                <w:ilvl w:val="0"/>
                <w:numId w:val="2"/>
              </w:numPr>
              <w:autoSpaceDE w:val="0"/>
              <w:autoSpaceDN w:val="0"/>
              <w:adjustRightInd w:val="0"/>
              <w:contextualSpacing/>
              <w:rPr>
                <w:rFonts w:ascii="Times New Roman" w:eastAsia="Times New Roman" w:hAnsi="Times New Roman" w:cs="Times New Roman"/>
              </w:rPr>
            </w:pPr>
            <w:r w:rsidRPr="19A30186">
              <w:rPr>
                <w:rFonts w:ascii="Times New Roman" w:eastAsia="Times New Roman" w:hAnsi="Times New Roman" w:cs="Times New Roman"/>
                <w:b/>
                <w:bCs/>
              </w:rPr>
              <w:t xml:space="preserve">REQUESTED APPROVAL DATE: </w:t>
            </w:r>
            <w:r w:rsidRPr="0066119E" w:rsidR="00AA619E">
              <w:rPr>
                <w:rFonts w:ascii="Times New Roman" w:eastAsia="Times New Roman" w:hAnsi="Times New Roman" w:cs="Times New Roman"/>
                <w:b/>
                <w:bCs/>
              </w:rPr>
              <w:t>1</w:t>
            </w:r>
            <w:r w:rsidRPr="002F315C" w:rsidR="00AA619E">
              <w:rPr>
                <w:rFonts w:ascii="Times New Roman" w:hAnsi="Times New Roman"/>
                <w:b/>
              </w:rPr>
              <w:t>/15</w:t>
            </w:r>
            <w:r w:rsidRPr="0066119E" w:rsidR="00AA619E">
              <w:rPr>
                <w:rFonts w:ascii="Times New Roman" w:eastAsia="Times New Roman" w:hAnsi="Times New Roman" w:cs="Times New Roman"/>
                <w:b/>
                <w:bCs/>
              </w:rPr>
              <w:t>/</w:t>
            </w:r>
            <w:r w:rsidRPr="00BC5CE1" w:rsidR="00AA619E">
              <w:rPr>
                <w:rFonts w:ascii="Times New Roman" w:eastAsia="Times New Roman" w:hAnsi="Times New Roman" w:cs="Times New Roman"/>
                <w:b/>
                <w:bCs/>
              </w:rPr>
              <w:t>202</w:t>
            </w:r>
            <w:r w:rsidRPr="00035A40" w:rsidR="00AA619E">
              <w:rPr>
                <w:rFonts w:ascii="Times New Roman" w:eastAsia="Times New Roman" w:hAnsi="Times New Roman" w:cs="Times New Roman"/>
                <w:b/>
                <w:bCs/>
              </w:rPr>
              <w:t>3</w:t>
            </w:r>
          </w:p>
        </w:tc>
      </w:tr>
    </w:tbl>
    <w:p w:rsidR="00900C46" w:rsidRPr="006B1D8F" w:rsidP="00BE1FCB" w14:paraId="058AA9C3" w14:textId="77777777">
      <w:pPr>
        <w:autoSpaceDE w:val="0"/>
        <w:autoSpaceDN w:val="0"/>
        <w:adjustRightInd w:val="0"/>
        <w:rPr>
          <w:rFonts w:ascii="Times New Roman" w:eastAsia="Times New Roman" w:hAnsi="Times New Roman" w:cs="Times New Roman"/>
          <w:b/>
          <w:color w:val="000000"/>
          <w:szCs w:val="20"/>
        </w:rPr>
      </w:pPr>
    </w:p>
    <w:p w:rsidR="00BE1FCB" w:rsidRPr="006B1D8F" w:rsidP="00BE1FCB" w14:paraId="00FAC8D1" w14:textId="6EB60137">
      <w:pPr>
        <w:autoSpaceDE w:val="0"/>
        <w:autoSpaceDN w:val="0"/>
        <w:adjustRightInd w:val="0"/>
        <w:rPr>
          <w:rFonts w:ascii="Times New Roman" w:eastAsia="Times New Roman" w:hAnsi="Times New Roman" w:cs="Times New Roman"/>
          <w:b/>
          <w:color w:val="000000"/>
          <w:szCs w:val="20"/>
        </w:rPr>
      </w:pPr>
      <w:r w:rsidRPr="006B1D8F">
        <w:rPr>
          <w:rFonts w:ascii="Times New Roman" w:eastAsia="Times New Roman" w:hAnsi="Times New Roman" w:cs="Times New Roman"/>
          <w:b/>
          <w:color w:val="000000"/>
          <w:szCs w:val="20"/>
        </w:rPr>
        <w:t xml:space="preserve">Study Materials (attached): </w:t>
      </w:r>
    </w:p>
    <w:p w:rsidR="00B83B8A" w:rsidP="000738BD" w14:paraId="2CF60D7F" w14:textId="0334D169">
      <w:pPr>
        <w:widowControl w:val="0"/>
        <w:rPr>
          <w:rFonts w:ascii="Times New Roman" w:eastAsia="Times New Roman" w:hAnsi="Times New Roman" w:cs="Times New Roman"/>
          <w:bCs/>
          <w:iCs/>
        </w:rPr>
      </w:pPr>
      <w:r w:rsidRPr="006B1D8F">
        <w:rPr>
          <w:rFonts w:ascii="Times New Roman" w:eastAsia="Times New Roman" w:hAnsi="Times New Roman" w:cs="Times New Roman"/>
          <w:bCs/>
          <w:iCs/>
        </w:rPr>
        <w:t xml:space="preserve">Attachment </w:t>
      </w:r>
      <w:r w:rsidR="00CF3B66">
        <w:rPr>
          <w:rFonts w:ascii="Times New Roman" w:eastAsia="Times New Roman" w:hAnsi="Times New Roman" w:cs="Times New Roman"/>
          <w:bCs/>
          <w:iCs/>
        </w:rPr>
        <w:t>A</w:t>
      </w:r>
      <w:r w:rsidRPr="006B1D8F">
        <w:rPr>
          <w:rFonts w:ascii="Times New Roman" w:eastAsia="Times New Roman" w:hAnsi="Times New Roman" w:cs="Times New Roman"/>
          <w:bCs/>
          <w:iCs/>
        </w:rPr>
        <w:t xml:space="preserve">: </w:t>
      </w:r>
      <w:r w:rsidRPr="00CF3B66" w:rsidR="00CF3B66">
        <w:rPr>
          <w:rFonts w:ascii="Times New Roman" w:eastAsia="Times New Roman" w:hAnsi="Times New Roman" w:cs="Times New Roman"/>
          <w:bCs/>
          <w:iCs/>
        </w:rPr>
        <w:t>Screener and Survey</w:t>
      </w:r>
    </w:p>
    <w:p w:rsidR="000738BD" w:rsidP="000738BD" w14:paraId="00B7ABBE" w14:textId="550A6DB7">
      <w:pPr>
        <w:widowControl w:val="0"/>
        <w:rPr>
          <w:rFonts w:ascii="Times New Roman" w:eastAsia="Times New Roman" w:hAnsi="Times New Roman" w:cs="Times New Roman"/>
          <w:bCs/>
          <w:iCs/>
        </w:rPr>
      </w:pPr>
      <w:r>
        <w:rPr>
          <w:rFonts w:ascii="Times New Roman" w:eastAsia="Times New Roman" w:hAnsi="Times New Roman" w:cs="Times New Roman"/>
          <w:bCs/>
          <w:iCs/>
        </w:rPr>
        <w:t xml:space="preserve">Attachment </w:t>
      </w:r>
      <w:r w:rsidR="00CF3B66">
        <w:rPr>
          <w:rFonts w:ascii="Times New Roman" w:eastAsia="Times New Roman" w:hAnsi="Times New Roman" w:cs="Times New Roman"/>
          <w:bCs/>
          <w:iCs/>
        </w:rPr>
        <w:t>B</w:t>
      </w:r>
      <w:r>
        <w:rPr>
          <w:rFonts w:ascii="Times New Roman" w:eastAsia="Times New Roman" w:hAnsi="Times New Roman" w:cs="Times New Roman"/>
          <w:bCs/>
          <w:iCs/>
        </w:rPr>
        <w:t>:</w:t>
      </w:r>
      <w:r w:rsidR="00FC43F1">
        <w:rPr>
          <w:rFonts w:ascii="Times New Roman" w:eastAsia="Times New Roman" w:hAnsi="Times New Roman" w:cs="Times New Roman"/>
          <w:bCs/>
          <w:iCs/>
        </w:rPr>
        <w:t xml:space="preserve"> </w:t>
      </w:r>
      <w:r w:rsidR="00CF3B66">
        <w:rPr>
          <w:rFonts w:ascii="Times New Roman" w:eastAsia="Times New Roman" w:hAnsi="Times New Roman" w:cs="Times New Roman"/>
          <w:bCs/>
          <w:iCs/>
        </w:rPr>
        <w:t>Digital Survey Recruitment Ads</w:t>
      </w:r>
    </w:p>
    <w:p w:rsidR="00CF3B66" w:rsidP="000738BD" w14:paraId="0C1FD907" w14:textId="0785C901">
      <w:pPr>
        <w:widowControl w:val="0"/>
        <w:rPr>
          <w:rFonts w:ascii="Times New Roman" w:eastAsia="Times New Roman" w:hAnsi="Times New Roman" w:cs="Times New Roman"/>
          <w:bCs/>
          <w:iCs/>
        </w:rPr>
      </w:pPr>
      <w:r>
        <w:rPr>
          <w:rFonts w:ascii="Times New Roman" w:eastAsia="Times New Roman" w:hAnsi="Times New Roman" w:cs="Times New Roman"/>
          <w:bCs/>
          <w:iCs/>
        </w:rPr>
        <w:t xml:space="preserve">Attachment C: </w:t>
      </w:r>
      <w:r w:rsidR="001E54F2">
        <w:rPr>
          <w:rFonts w:ascii="Times New Roman" w:eastAsia="Times New Roman" w:hAnsi="Times New Roman" w:cs="Times New Roman"/>
          <w:bCs/>
          <w:iCs/>
        </w:rPr>
        <w:t>Digital Survey Recruitment Ads FAQ</w:t>
      </w:r>
    </w:p>
    <w:p w:rsidR="001E54F2" w:rsidRPr="006B1D8F" w:rsidP="000738BD" w14:paraId="327CF22C" w14:textId="75804F9E">
      <w:pPr>
        <w:widowControl w:val="0"/>
        <w:rPr>
          <w:rFonts w:ascii="Times New Roman" w:eastAsia="Times New Roman" w:hAnsi="Times New Roman" w:cs="Times New Roman"/>
          <w:bCs/>
          <w:iCs/>
        </w:rPr>
      </w:pPr>
      <w:r>
        <w:rPr>
          <w:rFonts w:ascii="Times New Roman" w:eastAsia="Times New Roman" w:hAnsi="Times New Roman" w:cs="Times New Roman"/>
          <w:bCs/>
          <w:iCs/>
        </w:rPr>
        <w:t>Attachment D: Informed Consent</w:t>
      </w:r>
    </w:p>
    <w:p w:rsidR="00846644" w:rsidRPr="006B1D8F" w:rsidP="00846644" w14:paraId="663F1E84" w14:textId="77777777">
      <w:pPr>
        <w:widowControl w:val="0"/>
        <w:rPr>
          <w:rFonts w:ascii="Times New Roman" w:eastAsia="Times New Roman" w:hAnsi="Times New Roman" w:cs="Times New Roman"/>
        </w:rPr>
      </w:pPr>
    </w:p>
    <w:p w:rsidR="006B1EAE" w14:paraId="459A40CA" w14:textId="77777777">
      <w:pPr>
        <w:spacing w:after="160" w:line="259" w:lineRule="auto"/>
        <w:rPr>
          <w:rFonts w:ascii="Times New Roman" w:eastAsia="Times New Roman" w:hAnsi="Times New Roman" w:cs="Times New Roman"/>
          <w:b/>
          <w:sz w:val="22"/>
          <w:szCs w:val="20"/>
        </w:rPr>
      </w:pPr>
    </w:p>
    <w:p w:rsidR="006B1EAE" w14:paraId="65CEE147" w14:textId="3455E0FD">
      <w:pPr>
        <w:spacing w:after="160" w:line="259" w:lineRule="auto"/>
        <w:rPr>
          <w:rFonts w:ascii="Times New Roman" w:eastAsia="Times New Roman" w:hAnsi="Times New Roman" w:cs="Times New Roman"/>
          <w:b/>
          <w:sz w:val="22"/>
          <w:szCs w:val="20"/>
        </w:rPr>
      </w:pPr>
    </w:p>
    <w:p w:rsidR="001E54F2" w:rsidRPr="006B1D8F" w14:paraId="5DA518CF" w14:textId="77777777">
      <w:pPr>
        <w:spacing w:after="160" w:line="259" w:lineRule="auto"/>
        <w:rPr>
          <w:rFonts w:ascii="Times New Roman" w:eastAsia="Times New Roman" w:hAnsi="Times New Roman" w:cs="Times New Roman"/>
          <w:b/>
          <w:sz w:val="22"/>
          <w:szCs w:val="20"/>
        </w:rPr>
      </w:pPr>
    </w:p>
    <w:p w:rsidR="00BE1FCB" w:rsidRPr="009660BD" w:rsidP="005E16AA" w14:paraId="768CC595" w14:textId="173562FF">
      <w:pPr>
        <w:jc w:val="center"/>
        <w:outlineLvl w:val="0"/>
        <w:rPr>
          <w:rFonts w:ascii="Times New Roman" w:eastAsia="Times New Roman" w:hAnsi="Times New Roman" w:cs="Times New Roman"/>
          <w:b/>
          <w:szCs w:val="24"/>
        </w:rPr>
      </w:pPr>
      <w:r>
        <w:rPr>
          <w:rFonts w:ascii="Times New Roman" w:eastAsia="Times New Roman" w:hAnsi="Times New Roman" w:cs="Times New Roman"/>
          <w:b/>
          <w:szCs w:val="24"/>
        </w:rPr>
        <w:t xml:space="preserve">Increasing Understanding of </w:t>
      </w:r>
      <w:r w:rsidRPr="009660BD" w:rsidR="00BF1483">
        <w:rPr>
          <w:rFonts w:ascii="Times New Roman" w:eastAsia="Times New Roman" w:hAnsi="Times New Roman" w:cs="Times New Roman"/>
          <w:b/>
          <w:szCs w:val="24"/>
        </w:rPr>
        <w:t>Digital Advertising</w:t>
      </w:r>
      <w:r w:rsidR="002D4547">
        <w:rPr>
          <w:rFonts w:ascii="Times New Roman" w:eastAsia="Times New Roman" w:hAnsi="Times New Roman" w:cs="Times New Roman"/>
          <w:b/>
          <w:szCs w:val="24"/>
        </w:rPr>
        <w:t>: Hookah Beliefs Survey</w:t>
      </w:r>
    </w:p>
    <w:p w:rsidR="00BE1FCB" w:rsidP="00BE1FCB" w14:paraId="3039B841" w14:textId="4775A455">
      <w:pPr>
        <w:jc w:val="center"/>
        <w:rPr>
          <w:rFonts w:ascii="Times New Roman" w:eastAsia="Times New Roman" w:hAnsi="Times New Roman" w:cs="Times New Roman"/>
          <w:b/>
          <w:szCs w:val="24"/>
        </w:rPr>
      </w:pPr>
      <w:r>
        <w:rPr>
          <w:rFonts w:ascii="Times New Roman" w:eastAsia="Times New Roman" w:hAnsi="Times New Roman" w:cs="Times New Roman"/>
          <w:b/>
          <w:szCs w:val="24"/>
        </w:rPr>
        <w:t xml:space="preserve">Generic IC </w:t>
      </w:r>
      <w:r w:rsidRPr="00207578">
        <w:rPr>
          <w:rFonts w:ascii="Times New Roman" w:eastAsia="Times New Roman" w:hAnsi="Times New Roman" w:cs="Times New Roman"/>
          <w:b/>
          <w:szCs w:val="24"/>
        </w:rPr>
        <w:t>Supporting Statement: Part A</w:t>
      </w:r>
    </w:p>
    <w:p w:rsidR="001262DB" w:rsidRPr="00D4485E" w:rsidP="00BE1FCB" w14:paraId="4CCE3185" w14:textId="77777777">
      <w:pPr>
        <w:jc w:val="center"/>
        <w:rPr>
          <w:rFonts w:ascii="Times New Roman" w:eastAsia="Times New Roman" w:hAnsi="Times New Roman" w:cs="Times New Roman"/>
          <w:b/>
          <w:szCs w:val="24"/>
        </w:rPr>
      </w:pPr>
    </w:p>
    <w:p w:rsidR="00BE1FCB" w:rsidRPr="006B1D8F" w:rsidP="00BE1FCB" w14:paraId="315E5C7F" w14:textId="77777777">
      <w:pPr>
        <w:jc w:val="center"/>
        <w:rPr>
          <w:rFonts w:ascii="Times New Roman" w:eastAsia="Times New Roman" w:hAnsi="Times New Roman" w:cs="Times New Roman"/>
          <w:b/>
          <w:szCs w:val="24"/>
        </w:rPr>
      </w:pPr>
    </w:p>
    <w:p w:rsidR="00BE1FCB" w:rsidRPr="006B1D8F" w:rsidP="00BE1FCB" w14:paraId="0C0F4789"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1" w:name="_Toc239649220"/>
      <w:r w:rsidRPr="006B1D8F">
        <w:rPr>
          <w:rFonts w:ascii="Times New Roman" w:eastAsia="Times New Roman" w:hAnsi="Times New Roman" w:cs="Times New Roman"/>
          <w:b/>
          <w:bCs/>
          <w:szCs w:val="24"/>
        </w:rPr>
        <w:t>A. JUSTIFICATION</w:t>
      </w:r>
      <w:bookmarkEnd w:id="1"/>
    </w:p>
    <w:p w:rsidR="00BE1FCB" w:rsidRPr="006B1D8F" w:rsidP="00BE1FCB" w14:paraId="41380C9D"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6B1D8F" w:rsidP="28FCC94E" w14:paraId="1E48C591" w14:textId="2AEEC6E2">
      <w:pPr>
        <w:autoSpaceDE w:val="0"/>
        <w:autoSpaceDN w:val="0"/>
        <w:adjustRightInd w:val="0"/>
        <w:ind w:left="180"/>
        <w:outlineLvl w:val="2"/>
        <w:rPr>
          <w:rFonts w:ascii="Times New Roman" w:eastAsia="Times New Roman" w:hAnsi="Times New Roman" w:cs="Times New Roman"/>
          <w:b/>
          <w:u w:val="single"/>
        </w:rPr>
      </w:pPr>
      <w:bookmarkStart w:id="2" w:name="_Toc239649221"/>
      <w:r w:rsidRPr="28FCC94E">
        <w:rPr>
          <w:rFonts w:ascii="Times New Roman" w:eastAsia="Times New Roman" w:hAnsi="Times New Roman" w:cs="Times New Roman"/>
          <w:b/>
        </w:rPr>
        <w:t xml:space="preserve">1. </w:t>
      </w:r>
      <w:r w:rsidRPr="28FCC94E">
        <w:rPr>
          <w:rFonts w:ascii="Times New Roman" w:eastAsia="Times New Roman" w:hAnsi="Times New Roman" w:cs="Times New Roman"/>
          <w:b/>
          <w:u w:val="single"/>
        </w:rPr>
        <w:t>Circumstances Making the Collection of Information Necessary</w:t>
      </w:r>
      <w:bookmarkEnd w:id="2"/>
    </w:p>
    <w:p w:rsidR="00BE1FCB" w:rsidRPr="006B1D8F" w:rsidP="00BE1FCB" w14:paraId="68D0200B" w14:textId="5A31C8ED">
      <w:pPr>
        <w:numPr>
          <w:ilvl w:val="12"/>
          <w:numId w:val="0"/>
        </w:numPr>
        <w:autoSpaceDE w:val="0"/>
        <w:autoSpaceDN w:val="0"/>
        <w:adjustRightInd w:val="0"/>
        <w:ind w:left="180"/>
        <w:rPr>
          <w:rFonts w:ascii="Times New Roman" w:eastAsia="Times New Roman" w:hAnsi="Times New Roman" w:cs="Times New Roman"/>
          <w:szCs w:val="24"/>
        </w:rPr>
      </w:pPr>
    </w:p>
    <w:p w:rsidR="00F3178E" w:rsidP="00F3178E" w14:paraId="0C35111E" w14:textId="422F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rPr>
      </w:pPr>
      <w:r>
        <w:rPr>
          <w:rFonts w:ascii="Times New Roman" w:eastAsia="Times New Roman" w:hAnsi="Times New Roman" w:cs="Times New Roman"/>
        </w:rPr>
        <w:t>This information collection is proposing t</w:t>
      </w:r>
      <w:r w:rsidRPr="09A2EB1B" w:rsidR="007E4A7B">
        <w:rPr>
          <w:rFonts w:ascii="Times New Roman" w:eastAsia="Times New Roman" w:hAnsi="Times New Roman" w:cs="Times New Roman"/>
        </w:rPr>
        <w:t>o</w:t>
      </w:r>
      <w:r w:rsidRPr="28FCC94E" w:rsidR="007E4A7B">
        <w:rPr>
          <w:rFonts w:ascii="Times New Roman" w:eastAsia="Times New Roman" w:hAnsi="Times New Roman" w:cs="Times New Roman"/>
        </w:rPr>
        <w:t xml:space="preserve"> inform recommendations around the </w:t>
      </w:r>
      <w:r w:rsidR="00CE0FEA">
        <w:rPr>
          <w:rFonts w:ascii="Times New Roman" w:eastAsia="Times New Roman" w:hAnsi="Times New Roman" w:cs="Times New Roman"/>
        </w:rPr>
        <w:t>FDA’s</w:t>
      </w:r>
      <w:r w:rsidRPr="28FCC94E" w:rsidR="007E4A7B">
        <w:rPr>
          <w:rFonts w:ascii="Times New Roman" w:eastAsia="Times New Roman" w:hAnsi="Times New Roman" w:cs="Times New Roman"/>
        </w:rPr>
        <w:t xml:space="preserve"> public education programs’ impact and effectiveness in reducing tobacco-related death and disease</w:t>
      </w:r>
      <w:r w:rsidR="00CB4AE8">
        <w:rPr>
          <w:rFonts w:ascii="Times New Roman" w:eastAsia="Times New Roman" w:hAnsi="Times New Roman" w:cs="Times New Roman"/>
        </w:rPr>
        <w:t>.</w:t>
      </w:r>
      <w:r w:rsidRPr="28FCC94E" w:rsidR="007E4A7B">
        <w:rPr>
          <w:rFonts w:ascii="Times New Roman" w:eastAsia="Times New Roman" w:hAnsi="Times New Roman" w:cs="Times New Roman"/>
        </w:rPr>
        <w:t xml:space="preserve"> </w:t>
      </w:r>
      <w:r w:rsidR="00CB4AE8">
        <w:rPr>
          <w:rFonts w:ascii="Times New Roman" w:eastAsia="Times New Roman" w:hAnsi="Times New Roman" w:cs="Times New Roman"/>
        </w:rPr>
        <w:t>M</w:t>
      </w:r>
      <w:r w:rsidRPr="28FCC94E" w:rsidR="007E4A7B">
        <w:rPr>
          <w:rFonts w:ascii="Times New Roman" w:eastAsia="Times New Roman" w:hAnsi="Times New Roman" w:cs="Times New Roman"/>
        </w:rPr>
        <w:t>ore</w:t>
      </w:r>
      <w:r w:rsidR="00690CB8">
        <w:rPr>
          <w:rFonts w:ascii="Times New Roman" w:eastAsia="Times New Roman" w:hAnsi="Times New Roman" w:cs="Times New Roman"/>
        </w:rPr>
        <w:t xml:space="preserve"> </w:t>
      </w:r>
      <w:r w:rsidRPr="28FCC94E" w:rsidR="007E4A7B">
        <w:rPr>
          <w:rFonts w:ascii="Times New Roman" w:eastAsia="Times New Roman" w:hAnsi="Times New Roman" w:cs="Times New Roman"/>
        </w:rPr>
        <w:t xml:space="preserve">research is needed to understand the potential for digital anti-tobacco advertising to influence tobacco-related beliefs. </w:t>
      </w:r>
      <w:r w:rsidRPr="28FCC94E">
        <w:rPr>
          <w:rFonts w:ascii="Times New Roman" w:eastAsia="Times New Roman" w:hAnsi="Times New Roman" w:cs="Times New Roman"/>
        </w:rPr>
        <w:t>Digital marketing has clear value in the commercial space; advertising research on thousands of online advertising campaigns shows that digital advertising drives brand and ad awareness and positive attitudes toward brands (</w:t>
      </w:r>
      <w:r w:rsidRPr="28FCC94E">
        <w:rPr>
          <w:rFonts w:ascii="Times New Roman" w:eastAsia="Times New Roman" w:hAnsi="Times New Roman" w:cs="Times New Roman"/>
        </w:rPr>
        <w:t>Twose</w:t>
      </w:r>
      <w:r w:rsidRPr="28FCC94E">
        <w:rPr>
          <w:rFonts w:ascii="Times New Roman" w:eastAsia="Times New Roman" w:hAnsi="Times New Roman" w:cs="Times New Roman"/>
        </w:rPr>
        <w:t xml:space="preserve"> &amp; Elmore, 2015). However, there is still much to be learned about the use of digital advertising for public education campaigns, such as those discouraging tobacco use. Digital media metrics can reveal a lot about consumer experiences in aggregate: how often consumers were exposed to a video, how much of the video they watched, whether they shared it with their friends, and whether they reacted positively or negatively. We have </w:t>
      </w:r>
      <w:r w:rsidR="00CE0FEA">
        <w:rPr>
          <w:rFonts w:ascii="Times New Roman" w:eastAsia="Times New Roman" w:hAnsi="Times New Roman" w:cs="Times New Roman"/>
        </w:rPr>
        <w:t>us</w:t>
      </w:r>
      <w:r w:rsidR="00D767CB">
        <w:rPr>
          <w:rFonts w:ascii="Times New Roman" w:eastAsia="Times New Roman" w:hAnsi="Times New Roman" w:cs="Times New Roman"/>
        </w:rPr>
        <w:t>ed</w:t>
      </w:r>
      <w:r w:rsidRPr="28FCC94E">
        <w:rPr>
          <w:rFonts w:ascii="Times New Roman" w:eastAsia="Times New Roman" w:hAnsi="Times New Roman" w:cs="Times New Roman"/>
        </w:rPr>
        <w:t xml:space="preserve"> some of these metrics to develop a better understanding of the relative effectiveness of digital and broadcast advertising in generating ad/campaign awareness in the context of </w:t>
      </w:r>
      <w:r w:rsidR="00D767CB">
        <w:rPr>
          <w:rFonts w:ascii="Times New Roman" w:eastAsia="Times New Roman" w:hAnsi="Times New Roman" w:cs="Times New Roman"/>
        </w:rPr>
        <w:t>FDA CTP</w:t>
      </w:r>
      <w:r w:rsidRPr="28FCC94E">
        <w:rPr>
          <w:rFonts w:ascii="Times New Roman" w:eastAsia="Times New Roman" w:hAnsi="Times New Roman" w:cs="Times New Roman"/>
        </w:rPr>
        <w:t xml:space="preserve"> campaigns (described in detail in Section 2). However, many questions remain that can only be addressed in experimental studies or prospectively with </w:t>
      </w:r>
      <w:r w:rsidRPr="09A2EB1B">
        <w:rPr>
          <w:rFonts w:ascii="Times New Roman" w:eastAsia="Times New Roman" w:hAnsi="Times New Roman" w:cs="Times New Roman"/>
        </w:rPr>
        <w:t>campaign implementation approaches</w:t>
      </w:r>
      <w:r w:rsidRPr="28FCC94E">
        <w:rPr>
          <w:rFonts w:ascii="Times New Roman" w:eastAsia="Times New Roman" w:hAnsi="Times New Roman" w:cs="Times New Roman"/>
        </w:rPr>
        <w:t xml:space="preserve"> that have sufficient flexibility to manipulate media buying. </w:t>
      </w:r>
    </w:p>
    <w:p w:rsidR="00537B02" w:rsidRPr="006B1D8F" w:rsidP="00BE1FCB" w14:paraId="5BD64A21" w14:textId="77777777">
      <w:pPr>
        <w:numPr>
          <w:ilvl w:val="12"/>
          <w:numId w:val="0"/>
        </w:numPr>
        <w:autoSpaceDE w:val="0"/>
        <w:autoSpaceDN w:val="0"/>
        <w:adjustRightInd w:val="0"/>
        <w:ind w:left="180"/>
        <w:rPr>
          <w:rFonts w:ascii="Times New Roman" w:eastAsia="Times New Roman" w:hAnsi="Times New Roman" w:cs="Times New Roman"/>
          <w:szCs w:val="24"/>
        </w:rPr>
      </w:pPr>
    </w:p>
    <w:p w:rsidR="00BE1FCB" w:rsidRPr="006B1D8F" w:rsidP="00BE1FCB" w14:paraId="1655EED6"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3" w:name="_Toc239649222"/>
      <w:r w:rsidRPr="006B1D8F">
        <w:rPr>
          <w:rFonts w:ascii="Times New Roman" w:eastAsia="Times New Roman" w:hAnsi="Times New Roman" w:cs="Times New Roman"/>
          <w:b/>
          <w:bCs/>
          <w:szCs w:val="24"/>
        </w:rPr>
        <w:t xml:space="preserve">2. </w:t>
      </w:r>
      <w:r w:rsidRPr="006B1D8F">
        <w:rPr>
          <w:rFonts w:ascii="Times New Roman" w:eastAsia="Times New Roman" w:hAnsi="Times New Roman" w:cs="Times New Roman"/>
          <w:b/>
          <w:bCs/>
          <w:szCs w:val="24"/>
          <w:u w:val="single"/>
        </w:rPr>
        <w:t>Purpose and Use of the Information</w:t>
      </w:r>
      <w:bookmarkEnd w:id="3"/>
    </w:p>
    <w:p w:rsidR="00BE1FCB" w:rsidRPr="006B1D8F" w:rsidP="00BE1FCB" w14:paraId="79B83EA9" w14:textId="77777777">
      <w:pPr>
        <w:numPr>
          <w:ilvl w:val="12"/>
          <w:numId w:val="0"/>
        </w:numPr>
        <w:autoSpaceDE w:val="0"/>
        <w:autoSpaceDN w:val="0"/>
        <w:adjustRightInd w:val="0"/>
        <w:ind w:left="180"/>
        <w:rPr>
          <w:rFonts w:ascii="Times New Roman" w:eastAsia="Times New Roman" w:hAnsi="Times New Roman" w:cs="Times New Roman"/>
          <w:szCs w:val="24"/>
        </w:rPr>
      </w:pPr>
    </w:p>
    <w:p w:rsidR="00400983" w:rsidRPr="00F02ABC" w:rsidP="00400983" w14:paraId="41968278" w14:textId="29F9E463">
      <w:pPr>
        <w:spacing w:after="80"/>
        <w:ind w:left="180"/>
        <w:rPr>
          <w:rFonts w:ascii="Times New Roman" w:eastAsia="Times New Roman" w:hAnsi="Times New Roman" w:cs="Arial"/>
        </w:rPr>
      </w:pPr>
      <w:r w:rsidRPr="006B1D8F">
        <w:rPr>
          <w:rFonts w:ascii="Times New Roman" w:eastAsia="Times New Roman" w:hAnsi="Times New Roman" w:cs="Arial"/>
        </w:rPr>
        <w:t>RTI</w:t>
      </w:r>
      <w:r w:rsidR="00E32213">
        <w:rPr>
          <w:rFonts w:ascii="Times New Roman" w:eastAsia="Times New Roman" w:hAnsi="Times New Roman" w:cs="Arial"/>
        </w:rPr>
        <w:t xml:space="preserve"> International (RTI)</w:t>
      </w:r>
      <w:r w:rsidRPr="006B1D8F">
        <w:rPr>
          <w:rFonts w:ascii="Times New Roman" w:eastAsia="Times New Roman" w:hAnsi="Times New Roman" w:cs="Arial"/>
        </w:rPr>
        <w:t xml:space="preserve"> will conduct </w:t>
      </w:r>
      <w:r w:rsidRPr="006F7BC0" w:rsidR="00C561AE">
        <w:rPr>
          <w:rFonts w:ascii="Times New Roman" w:eastAsia="Times New Roman" w:hAnsi="Times New Roman" w:cs="Arial"/>
        </w:rPr>
        <w:t>a national,</w:t>
      </w:r>
      <w:r w:rsidRPr="006B1D8F" w:rsidR="00C561AE">
        <w:rPr>
          <w:rFonts w:ascii="Times New Roman" w:eastAsia="Times New Roman" w:hAnsi="Times New Roman" w:cs="Arial"/>
        </w:rPr>
        <w:t xml:space="preserve"> </w:t>
      </w:r>
      <w:r w:rsidRPr="006F7BC0" w:rsidR="00C561AE">
        <w:rPr>
          <w:rFonts w:ascii="Times New Roman" w:eastAsia="Times New Roman" w:hAnsi="Times New Roman" w:cs="Arial"/>
        </w:rPr>
        <w:t>online</w:t>
      </w:r>
      <w:r w:rsidR="00C561AE">
        <w:rPr>
          <w:rFonts w:ascii="Times New Roman" w:eastAsia="Times New Roman" w:hAnsi="Times New Roman" w:cs="Arial"/>
        </w:rPr>
        <w:t>,</w:t>
      </w:r>
      <w:r w:rsidRPr="006F7BC0" w:rsidR="00C561AE">
        <w:rPr>
          <w:rFonts w:ascii="Times New Roman" w:eastAsia="Times New Roman" w:hAnsi="Times New Roman" w:cs="Arial"/>
        </w:rPr>
        <w:t xml:space="preserve"> self-administered survey</w:t>
      </w:r>
      <w:r w:rsidR="00C561AE">
        <w:rPr>
          <w:rFonts w:ascii="Times New Roman" w:eastAsia="Times New Roman" w:hAnsi="Times New Roman" w:cs="Arial"/>
        </w:rPr>
        <w:t xml:space="preserve"> </w:t>
      </w:r>
      <w:r w:rsidRPr="006B1D8F">
        <w:rPr>
          <w:rFonts w:ascii="Times New Roman" w:eastAsia="Times New Roman" w:hAnsi="Times New Roman" w:cs="Arial"/>
        </w:rPr>
        <w:t xml:space="preserve">with </w:t>
      </w:r>
      <w:r w:rsidRPr="006B1D8F" w:rsidR="00CC131E">
        <w:rPr>
          <w:rFonts w:ascii="Times New Roman" w:eastAsia="Times New Roman" w:hAnsi="Times New Roman" w:cs="Arial"/>
        </w:rPr>
        <w:t xml:space="preserve">young </w:t>
      </w:r>
      <w:r w:rsidRPr="006B1D8F">
        <w:rPr>
          <w:rFonts w:ascii="Times New Roman" w:eastAsia="Times New Roman" w:hAnsi="Times New Roman" w:cs="Arial"/>
        </w:rPr>
        <w:t>adults in the United States recruited through social media (</w:t>
      </w:r>
      <w:r w:rsidR="00DF562D">
        <w:rPr>
          <w:rFonts w:ascii="Times New Roman" w:eastAsia="Times New Roman" w:hAnsi="Times New Roman" w:cs="Times New Roman"/>
        </w:rPr>
        <w:t>e.g</w:t>
      </w:r>
      <w:r w:rsidRPr="416A1754" w:rsidR="0001513D">
        <w:rPr>
          <w:rFonts w:ascii="Times New Roman" w:eastAsia="Times New Roman" w:hAnsi="Times New Roman" w:cs="Times New Roman"/>
        </w:rPr>
        <w:t>., Faceboo</w:t>
      </w:r>
      <w:r w:rsidR="00EA176C">
        <w:rPr>
          <w:rFonts w:ascii="Times New Roman" w:eastAsia="Times New Roman" w:hAnsi="Times New Roman" w:cs="Times New Roman"/>
        </w:rPr>
        <w:t xml:space="preserve">k and </w:t>
      </w:r>
      <w:r w:rsidRPr="416A1754" w:rsidR="0001513D">
        <w:rPr>
          <w:rFonts w:ascii="Times New Roman" w:eastAsia="Times New Roman" w:hAnsi="Times New Roman" w:cs="Times New Roman"/>
        </w:rPr>
        <w:t>Instagram</w:t>
      </w:r>
      <w:r w:rsidRPr="006B1D8F">
        <w:rPr>
          <w:rFonts w:ascii="Times New Roman" w:eastAsia="Times New Roman" w:hAnsi="Times New Roman" w:cs="Arial"/>
        </w:rPr>
        <w:t xml:space="preserve">) to </w:t>
      </w:r>
      <w:r w:rsidRPr="006B1D8F" w:rsidR="00686ACC">
        <w:rPr>
          <w:rFonts w:ascii="Times New Roman" w:eastAsia="Times New Roman" w:hAnsi="Times New Roman" w:cs="Arial"/>
        </w:rPr>
        <w:t xml:space="preserve">assess agreement with specific beliefs about </w:t>
      </w:r>
      <w:r w:rsidR="00183FEA">
        <w:rPr>
          <w:rFonts w:ascii="Times New Roman" w:eastAsia="Times New Roman" w:hAnsi="Times New Roman" w:cs="Arial"/>
        </w:rPr>
        <w:t>hookah</w:t>
      </w:r>
      <w:r w:rsidRPr="006B1D8F">
        <w:rPr>
          <w:rFonts w:ascii="Times New Roman" w:eastAsia="Times New Roman" w:hAnsi="Times New Roman" w:cs="Arial"/>
        </w:rPr>
        <w:t>.</w:t>
      </w:r>
      <w:r w:rsidR="00570E91">
        <w:rPr>
          <w:rFonts w:ascii="Times New Roman" w:eastAsia="Times New Roman" w:hAnsi="Times New Roman" w:cs="Arial"/>
        </w:rPr>
        <w:t xml:space="preserve"> </w:t>
      </w:r>
      <w:r w:rsidRPr="006F7BC0" w:rsidR="000738BD">
        <w:rPr>
          <w:rFonts w:ascii="Times New Roman" w:eastAsia="Times New Roman" w:hAnsi="Times New Roman" w:cs="Arial"/>
        </w:rPr>
        <w:t xml:space="preserve">We will survey </w:t>
      </w:r>
      <w:r w:rsidRPr="006F7BC0">
        <w:rPr>
          <w:rFonts w:ascii="Times New Roman" w:eastAsia="Times New Roman" w:hAnsi="Times New Roman" w:cs="Arial"/>
        </w:rPr>
        <w:t xml:space="preserve">approximately </w:t>
      </w:r>
      <w:r w:rsidR="00E54B4F">
        <w:rPr>
          <w:rFonts w:ascii="Times New Roman" w:eastAsia="Times New Roman" w:hAnsi="Times New Roman" w:cs="Arial"/>
        </w:rPr>
        <w:t>1,500</w:t>
      </w:r>
      <w:r w:rsidRPr="006F7BC0" w:rsidR="00686ACC">
        <w:rPr>
          <w:rFonts w:ascii="Times New Roman" w:eastAsia="Times New Roman" w:hAnsi="Times New Roman" w:cs="Arial"/>
        </w:rPr>
        <w:t xml:space="preserve"> </w:t>
      </w:r>
      <w:r w:rsidRPr="006F7BC0" w:rsidR="001C3C90">
        <w:rPr>
          <w:rFonts w:ascii="Times New Roman" w:eastAsia="Times New Roman" w:hAnsi="Times New Roman" w:cs="Arial"/>
        </w:rPr>
        <w:t xml:space="preserve">young </w:t>
      </w:r>
      <w:r w:rsidRPr="006F7BC0" w:rsidR="00686ACC">
        <w:rPr>
          <w:rFonts w:ascii="Times New Roman" w:eastAsia="Times New Roman" w:hAnsi="Times New Roman" w:cs="Arial"/>
        </w:rPr>
        <w:t xml:space="preserve">adults ages </w:t>
      </w:r>
      <w:r w:rsidRPr="006F7BC0" w:rsidR="001C3C90">
        <w:rPr>
          <w:rFonts w:ascii="Times New Roman" w:eastAsia="Times New Roman" w:hAnsi="Times New Roman" w:cs="Arial"/>
        </w:rPr>
        <w:t>1</w:t>
      </w:r>
      <w:r w:rsidR="0001513D">
        <w:rPr>
          <w:rFonts w:ascii="Times New Roman" w:eastAsia="Times New Roman" w:hAnsi="Times New Roman" w:cs="Arial"/>
        </w:rPr>
        <w:t>8</w:t>
      </w:r>
      <w:r w:rsidRPr="006F7BC0" w:rsidR="00686ACC">
        <w:rPr>
          <w:rFonts w:ascii="Times New Roman" w:eastAsia="Times New Roman" w:hAnsi="Times New Roman" w:cs="Arial"/>
        </w:rPr>
        <w:t xml:space="preserve"> to </w:t>
      </w:r>
      <w:r w:rsidRPr="006F7BC0" w:rsidR="001C3C90">
        <w:rPr>
          <w:rFonts w:ascii="Times New Roman" w:eastAsia="Times New Roman" w:hAnsi="Times New Roman" w:cs="Arial"/>
        </w:rPr>
        <w:t>24</w:t>
      </w:r>
      <w:r w:rsidRPr="006F7BC0">
        <w:rPr>
          <w:rFonts w:ascii="Times New Roman" w:eastAsia="Times New Roman" w:hAnsi="Times New Roman" w:cs="Arial"/>
        </w:rPr>
        <w:t xml:space="preserve">. </w:t>
      </w:r>
      <w:r w:rsidRPr="00F02ABC">
        <w:rPr>
          <w:rFonts w:ascii="Times New Roman" w:eastAsia="Times New Roman" w:hAnsi="Times New Roman" w:cs="Arial"/>
        </w:rPr>
        <w:t>The primary purpose</w:t>
      </w:r>
      <w:r>
        <w:rPr>
          <w:rFonts w:ascii="Times New Roman" w:eastAsia="Times New Roman" w:hAnsi="Times New Roman" w:cs="Arial"/>
        </w:rPr>
        <w:t>s</w:t>
      </w:r>
      <w:r w:rsidRPr="00F02ABC">
        <w:rPr>
          <w:rFonts w:ascii="Times New Roman" w:eastAsia="Times New Roman" w:hAnsi="Times New Roman" w:cs="Arial"/>
        </w:rPr>
        <w:t xml:space="preserve"> of the survey </w:t>
      </w:r>
      <w:r w:rsidR="00FE750B">
        <w:rPr>
          <w:rFonts w:ascii="Times New Roman" w:eastAsia="Times New Roman" w:hAnsi="Times New Roman" w:cs="Arial"/>
        </w:rPr>
        <w:t>are</w:t>
      </w:r>
      <w:r w:rsidRPr="00F02ABC">
        <w:rPr>
          <w:rFonts w:ascii="Times New Roman" w:eastAsia="Times New Roman" w:hAnsi="Times New Roman" w:cs="Arial"/>
        </w:rPr>
        <w:t xml:space="preserve"> to:</w:t>
      </w:r>
    </w:p>
    <w:p w:rsidR="00400983" w:rsidRPr="00935391" w:rsidP="00935391" w14:paraId="461816C7" w14:textId="3F9410C6">
      <w:pPr>
        <w:pStyle w:val="ListParagraph"/>
        <w:numPr>
          <w:ilvl w:val="0"/>
          <w:numId w:val="19"/>
        </w:numPr>
        <w:spacing w:after="80"/>
        <w:rPr>
          <w:rFonts w:ascii="Times New Roman" w:eastAsia="Times New Roman" w:hAnsi="Times New Roman" w:cs="Arial"/>
        </w:rPr>
      </w:pPr>
      <w:r w:rsidRPr="00935391">
        <w:rPr>
          <w:rFonts w:ascii="Times New Roman" w:eastAsia="Times New Roman" w:hAnsi="Times New Roman" w:cs="Arial"/>
        </w:rPr>
        <w:t xml:space="preserve">Characterize current </w:t>
      </w:r>
      <w:r w:rsidR="00D767CB">
        <w:rPr>
          <w:rFonts w:ascii="Times New Roman" w:eastAsia="Times New Roman" w:hAnsi="Times New Roman" w:cs="Arial"/>
        </w:rPr>
        <w:t>KABs</w:t>
      </w:r>
      <w:r w:rsidRPr="00935391">
        <w:rPr>
          <w:rFonts w:ascii="Times New Roman" w:eastAsia="Times New Roman" w:hAnsi="Times New Roman" w:cs="Arial"/>
        </w:rPr>
        <w:t xml:space="preserve"> about hookah use; and</w:t>
      </w:r>
    </w:p>
    <w:p w:rsidR="00400983" w:rsidRPr="00935391" w:rsidP="00935391" w14:paraId="252E9A53" w14:textId="385BB978">
      <w:pPr>
        <w:pStyle w:val="ListParagraph"/>
        <w:numPr>
          <w:ilvl w:val="0"/>
          <w:numId w:val="19"/>
        </w:numPr>
        <w:spacing w:after="80"/>
        <w:rPr>
          <w:rFonts w:ascii="Times New Roman" w:eastAsia="Times New Roman" w:hAnsi="Times New Roman" w:cs="Arial"/>
        </w:rPr>
      </w:pPr>
      <w:r w:rsidRPr="00935391">
        <w:rPr>
          <w:rFonts w:ascii="Times New Roman" w:eastAsia="Times New Roman" w:hAnsi="Times New Roman" w:cs="Arial"/>
        </w:rPr>
        <w:t>Identify KABs that could be targeted in a digital campaign.</w:t>
      </w:r>
    </w:p>
    <w:p w:rsidR="00D767CB" w:rsidP="00D4485E" w14:paraId="5ED09445" w14:textId="2D24638C">
      <w:pPr>
        <w:ind w:left="187"/>
        <w:rPr>
          <w:rFonts w:ascii="Times New Roman" w:eastAsia="Times New Roman" w:hAnsi="Times New Roman" w:cs="Arial"/>
        </w:rPr>
      </w:pPr>
      <w:r w:rsidRPr="00BC4AC3">
        <w:rPr>
          <w:rFonts w:ascii="Times New Roman" w:eastAsia="Times New Roman" w:hAnsi="Times New Roman" w:cs="Arial"/>
        </w:rPr>
        <w:t xml:space="preserve">The results of the </w:t>
      </w:r>
      <w:r w:rsidRPr="00BC4AC3" w:rsidR="00AA77C8">
        <w:rPr>
          <w:rFonts w:ascii="Times New Roman" w:eastAsia="Times New Roman" w:hAnsi="Times New Roman" w:cs="Arial"/>
        </w:rPr>
        <w:t>Digital Advertising</w:t>
      </w:r>
      <w:r w:rsidRPr="00BC4AC3">
        <w:rPr>
          <w:rFonts w:ascii="Times New Roman" w:eastAsia="Times New Roman" w:hAnsi="Times New Roman" w:cs="Arial"/>
        </w:rPr>
        <w:t xml:space="preserve"> </w:t>
      </w:r>
      <w:r w:rsidR="00627454">
        <w:rPr>
          <w:rFonts w:ascii="Times New Roman" w:eastAsia="Times New Roman" w:hAnsi="Times New Roman" w:cs="Arial"/>
        </w:rPr>
        <w:t>S</w:t>
      </w:r>
      <w:r w:rsidRPr="00BC4AC3">
        <w:rPr>
          <w:rFonts w:ascii="Times New Roman" w:eastAsia="Times New Roman" w:hAnsi="Times New Roman" w:cs="Arial"/>
        </w:rPr>
        <w:t>tud</w:t>
      </w:r>
      <w:r w:rsidRPr="00BC4AC3" w:rsidR="00482D94">
        <w:rPr>
          <w:rFonts w:ascii="Times New Roman" w:eastAsia="Times New Roman" w:hAnsi="Times New Roman" w:cs="Arial"/>
        </w:rPr>
        <w:t>y</w:t>
      </w:r>
      <w:r w:rsidRPr="00BC4AC3">
        <w:rPr>
          <w:rFonts w:ascii="Times New Roman" w:eastAsia="Times New Roman" w:hAnsi="Times New Roman" w:cs="Arial"/>
        </w:rPr>
        <w:t xml:space="preserve"> will be used to inform</w:t>
      </w:r>
      <w:r w:rsidRPr="00BC4AC3" w:rsidR="00400983">
        <w:rPr>
          <w:rFonts w:ascii="Times New Roman" w:eastAsia="Times New Roman" w:hAnsi="Times New Roman" w:cs="Arial"/>
        </w:rPr>
        <w:t xml:space="preserve"> development </w:t>
      </w:r>
      <w:r w:rsidRPr="00BC4AC3" w:rsidR="00DC6A65">
        <w:rPr>
          <w:rFonts w:ascii="Times New Roman" w:eastAsia="Times New Roman" w:hAnsi="Times New Roman" w:cs="Arial"/>
        </w:rPr>
        <w:t>of</w:t>
      </w:r>
      <w:r w:rsidRPr="00BC4AC3" w:rsidR="008B242D">
        <w:rPr>
          <w:rFonts w:ascii="Times New Roman" w:eastAsia="Times New Roman" w:hAnsi="Times New Roman" w:cs="Arial"/>
        </w:rPr>
        <w:t xml:space="preserve"> new campaign messages for a future experiment to test</w:t>
      </w:r>
      <w:r w:rsidRPr="00BC4AC3" w:rsidR="003176E9">
        <w:rPr>
          <w:rFonts w:ascii="Times New Roman" w:eastAsia="Times New Roman" w:hAnsi="Times New Roman" w:cs="Arial"/>
        </w:rPr>
        <w:t xml:space="preserve"> if digital advertising can influence young adults’ belief</w:t>
      </w:r>
      <w:r w:rsidRPr="00BC4AC3" w:rsidR="00BC4AC3">
        <w:rPr>
          <w:rFonts w:ascii="Times New Roman" w:eastAsia="Times New Roman" w:hAnsi="Times New Roman" w:cs="Arial"/>
        </w:rPr>
        <w:t>s about hookah use.</w:t>
      </w:r>
    </w:p>
    <w:p w:rsidR="00326F1D" w:rsidRPr="00326F1D" w:rsidP="00D4485E" w14:paraId="6F8EA845" w14:textId="77777777">
      <w:pPr>
        <w:ind w:left="187"/>
        <w:rPr>
          <w:rFonts w:ascii="Times New Roman" w:eastAsia="Times New Roman" w:hAnsi="Times New Roman" w:cs="Arial"/>
        </w:rPr>
      </w:pPr>
    </w:p>
    <w:p w:rsidR="00E02FFC" w14:paraId="7A6DF1BA" w14:textId="77777777">
      <w:pPr>
        <w:spacing w:after="160" w:line="259" w:lineRule="auto"/>
        <w:rPr>
          <w:rFonts w:ascii="Times New Roman" w:eastAsia="Times New Roman" w:hAnsi="Times New Roman" w:cs="Times New Roman"/>
          <w:b/>
          <w:bCs/>
          <w:szCs w:val="24"/>
        </w:rPr>
      </w:pPr>
      <w:bookmarkStart w:id="4" w:name="_Toc239649223"/>
      <w:r>
        <w:rPr>
          <w:rFonts w:ascii="Times New Roman" w:eastAsia="Times New Roman" w:hAnsi="Times New Roman" w:cs="Times New Roman"/>
          <w:b/>
          <w:bCs/>
          <w:szCs w:val="24"/>
        </w:rPr>
        <w:br w:type="page"/>
      </w:r>
    </w:p>
    <w:p w:rsidR="00BE1FCB" w:rsidRPr="006B1D8F" w:rsidP="00D4485E" w14:paraId="3885F75E" w14:textId="1A2E3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3. </w:t>
      </w:r>
      <w:r w:rsidRPr="006B1D8F">
        <w:rPr>
          <w:rFonts w:ascii="Times New Roman" w:eastAsia="Times New Roman" w:hAnsi="Times New Roman" w:cs="Times New Roman"/>
          <w:b/>
          <w:bCs/>
          <w:szCs w:val="24"/>
          <w:u w:val="single"/>
        </w:rPr>
        <w:t>Use of Information Technology and Burden Reduction</w:t>
      </w:r>
      <w:bookmarkEnd w:id="4"/>
    </w:p>
    <w:p w:rsidR="00BE1FCB" w:rsidRPr="006B1D8F" w:rsidP="00D4485E"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D4485E" w14:paraId="01EBE105" w14:textId="6E6D06BD">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color w:val="000000"/>
          <w:szCs w:val="24"/>
        </w:rPr>
      </w:pPr>
      <w:r w:rsidRPr="006B1D8F">
        <w:rPr>
          <w:rFonts w:ascii="Times New Roman" w:eastAsia="Times New Roman" w:hAnsi="Times New Roman" w:cs="Times New Roman"/>
          <w:color w:val="000000"/>
          <w:szCs w:val="24"/>
        </w:rPr>
        <w:t xml:space="preserve">This study will rely on web-based survey data collection </w:t>
      </w:r>
      <w:r w:rsidRPr="006B1D8F" w:rsidR="00CE514D">
        <w:rPr>
          <w:rFonts w:ascii="Times New Roman" w:eastAsia="Times New Roman" w:hAnsi="Times New Roman" w:cs="Times New Roman"/>
          <w:color w:val="000000"/>
          <w:szCs w:val="24"/>
        </w:rPr>
        <w:t xml:space="preserve">to collect primary data to </w:t>
      </w:r>
      <w:r w:rsidR="00DB7997">
        <w:rPr>
          <w:rFonts w:ascii="Times New Roman" w:eastAsia="Times New Roman" w:hAnsi="Times New Roman" w:cs="Times New Roman"/>
          <w:color w:val="000000"/>
          <w:szCs w:val="24"/>
        </w:rPr>
        <w:t>understand</w:t>
      </w:r>
      <w:r w:rsidRPr="006B1D8F" w:rsidR="00DB7997">
        <w:rPr>
          <w:rFonts w:ascii="Times New Roman" w:eastAsia="Times New Roman" w:hAnsi="Times New Roman" w:cs="Times New Roman"/>
          <w:color w:val="000000"/>
          <w:szCs w:val="24"/>
        </w:rPr>
        <w:t xml:space="preserve"> </w:t>
      </w:r>
      <w:r w:rsidR="007A6BAE">
        <w:rPr>
          <w:rFonts w:ascii="Times New Roman" w:eastAsia="Times New Roman" w:hAnsi="Times New Roman" w:cs="Times New Roman"/>
          <w:color w:val="000000"/>
          <w:szCs w:val="24"/>
        </w:rPr>
        <w:t>young</w:t>
      </w:r>
      <w:r w:rsidRPr="006B1D8F" w:rsidR="00CE514D">
        <w:rPr>
          <w:rFonts w:ascii="Times New Roman" w:eastAsia="Times New Roman" w:hAnsi="Times New Roman" w:cs="Times New Roman"/>
          <w:color w:val="000000"/>
          <w:szCs w:val="24"/>
        </w:rPr>
        <w:t xml:space="preserve"> adult</w:t>
      </w:r>
      <w:r w:rsidR="007A6BAE">
        <w:rPr>
          <w:rFonts w:ascii="Times New Roman" w:eastAsia="Times New Roman" w:hAnsi="Times New Roman" w:cs="Times New Roman"/>
          <w:color w:val="000000"/>
          <w:szCs w:val="24"/>
        </w:rPr>
        <w:t>s’</w:t>
      </w:r>
      <w:r w:rsidRPr="006B1D8F" w:rsidR="00CE514D">
        <w:rPr>
          <w:rFonts w:ascii="Times New Roman" w:eastAsia="Times New Roman" w:hAnsi="Times New Roman" w:cs="Times New Roman"/>
          <w:color w:val="000000"/>
          <w:szCs w:val="24"/>
        </w:rPr>
        <w:t xml:space="preserve"> </w:t>
      </w:r>
      <w:r w:rsidR="00AC04F8">
        <w:rPr>
          <w:rFonts w:ascii="Times New Roman" w:eastAsia="Times New Roman" w:hAnsi="Times New Roman" w:cs="Times New Roman"/>
          <w:color w:val="000000"/>
          <w:szCs w:val="24"/>
        </w:rPr>
        <w:t>KABs related to</w:t>
      </w:r>
      <w:r w:rsidRPr="006B1D8F" w:rsidR="00F95509">
        <w:rPr>
          <w:rFonts w:ascii="Times New Roman" w:eastAsia="Times New Roman" w:hAnsi="Times New Roman" w:cs="Times New Roman"/>
          <w:color w:val="000000"/>
          <w:szCs w:val="24"/>
        </w:rPr>
        <w:t xml:space="preserve"> </w:t>
      </w:r>
      <w:r w:rsidR="00D05366">
        <w:rPr>
          <w:rFonts w:ascii="Times New Roman" w:eastAsia="Times New Roman" w:hAnsi="Times New Roman" w:cs="Times New Roman"/>
          <w:color w:val="000000"/>
          <w:szCs w:val="24"/>
        </w:rPr>
        <w:t>hookah</w:t>
      </w:r>
      <w:r w:rsidR="00AC04F8">
        <w:rPr>
          <w:rFonts w:ascii="Times New Roman" w:eastAsia="Times New Roman" w:hAnsi="Times New Roman" w:cs="Times New Roman"/>
          <w:color w:val="000000"/>
          <w:szCs w:val="24"/>
        </w:rPr>
        <w:t xml:space="preserve"> </w:t>
      </w:r>
      <w:r w:rsidR="00E37D86">
        <w:rPr>
          <w:rFonts w:ascii="Times New Roman" w:eastAsia="Times New Roman" w:hAnsi="Times New Roman" w:cs="Times New Roman"/>
          <w:color w:val="000000"/>
          <w:szCs w:val="24"/>
        </w:rPr>
        <w:t>use</w:t>
      </w:r>
      <w:r w:rsidRPr="006B1D8F" w:rsidR="007512BC">
        <w:rPr>
          <w:rFonts w:ascii="Times New Roman" w:eastAsia="Times New Roman" w:hAnsi="Times New Roman" w:cs="Times New Roman"/>
          <w:color w:val="000000"/>
          <w:szCs w:val="24"/>
        </w:rPr>
        <w:t>.</w:t>
      </w:r>
      <w:r w:rsidRPr="006B1D8F" w:rsidR="001A5391">
        <w:rPr>
          <w:rFonts w:ascii="Times New Roman" w:eastAsia="Times New Roman" w:hAnsi="Times New Roman" w:cs="Times New Roman"/>
          <w:color w:val="000000"/>
          <w:szCs w:val="24"/>
        </w:rPr>
        <w:t xml:space="preserve"> </w:t>
      </w:r>
      <w:r w:rsidRPr="006B1D8F">
        <w:rPr>
          <w:rFonts w:ascii="Times New Roman" w:eastAsia="Times New Roman" w:hAnsi="Times New Roman" w:cs="Times New Roman"/>
          <w:color w:val="000000"/>
          <w:szCs w:val="24"/>
        </w:rPr>
        <w:t xml:space="preserve">Using an online survey allows the respondent to be candid with their responses. This </w:t>
      </w:r>
      <w:r w:rsidRPr="006B1D8F" w:rsidR="00201680">
        <w:rPr>
          <w:rFonts w:ascii="Times New Roman" w:eastAsia="Times New Roman" w:hAnsi="Times New Roman" w:cs="Times New Roman"/>
          <w:color w:val="000000"/>
          <w:szCs w:val="24"/>
        </w:rPr>
        <w:t>increases</w:t>
      </w:r>
      <w:r w:rsidRPr="006B1D8F">
        <w:rPr>
          <w:rFonts w:ascii="Times New Roman" w:eastAsia="Times New Roman" w:hAnsi="Times New Roman" w:cs="Times New Roman"/>
          <w:color w:val="000000"/>
          <w:szCs w:val="24"/>
        </w:rPr>
        <w:t xml:space="preserve"> accura</w:t>
      </w:r>
      <w:r w:rsidRPr="006B1D8F" w:rsidR="00201680">
        <w:rPr>
          <w:rFonts w:ascii="Times New Roman" w:eastAsia="Times New Roman" w:hAnsi="Times New Roman" w:cs="Times New Roman"/>
          <w:color w:val="000000"/>
          <w:szCs w:val="24"/>
        </w:rPr>
        <w:t>cy</w:t>
      </w:r>
      <w:r w:rsidRPr="006B1D8F">
        <w:rPr>
          <w:rFonts w:ascii="Times New Roman" w:eastAsia="Times New Roman" w:hAnsi="Times New Roman" w:cs="Times New Roman"/>
          <w:color w:val="000000"/>
          <w:szCs w:val="24"/>
        </w:rPr>
        <w:t xml:space="preserve"> </w:t>
      </w:r>
      <w:r w:rsidRPr="006B1D8F" w:rsidR="00201680">
        <w:rPr>
          <w:rFonts w:ascii="Times New Roman" w:eastAsia="Times New Roman" w:hAnsi="Times New Roman" w:cs="Times New Roman"/>
          <w:color w:val="000000"/>
          <w:szCs w:val="24"/>
        </w:rPr>
        <w:t xml:space="preserve">of the </w:t>
      </w:r>
      <w:r w:rsidRPr="006B1D8F">
        <w:rPr>
          <w:rFonts w:ascii="Times New Roman" w:eastAsia="Times New Roman" w:hAnsi="Times New Roman" w:cs="Times New Roman"/>
          <w:color w:val="000000"/>
          <w:szCs w:val="24"/>
        </w:rPr>
        <w:t>data because respondents provide more honest responses than when other types of data collection methods are employed. In addition, using a</w:t>
      </w:r>
      <w:r w:rsidR="00B333E6">
        <w:rPr>
          <w:rFonts w:ascii="Times New Roman" w:eastAsia="Times New Roman" w:hAnsi="Times New Roman" w:cs="Times New Roman"/>
          <w:color w:val="000000"/>
          <w:szCs w:val="24"/>
        </w:rPr>
        <w:t>n online</w:t>
      </w:r>
      <w:r w:rsidRPr="006B1D8F">
        <w:rPr>
          <w:rFonts w:ascii="Times New Roman" w:eastAsia="Times New Roman" w:hAnsi="Times New Roman" w:cs="Times New Roman"/>
          <w:color w:val="000000"/>
          <w:szCs w:val="24"/>
        </w:rPr>
        <w:t xml:space="preserve"> survey </w:t>
      </w:r>
      <w:r w:rsidR="00B333E6">
        <w:rPr>
          <w:rFonts w:ascii="Times New Roman" w:eastAsia="Times New Roman" w:hAnsi="Times New Roman" w:cs="Times New Roman"/>
          <w:color w:val="000000"/>
          <w:szCs w:val="24"/>
        </w:rPr>
        <w:t>is more cost-effective than in-person</w:t>
      </w:r>
      <w:r w:rsidR="00750587">
        <w:rPr>
          <w:rFonts w:ascii="Times New Roman" w:eastAsia="Times New Roman" w:hAnsi="Times New Roman" w:cs="Times New Roman"/>
          <w:color w:val="000000"/>
          <w:szCs w:val="24"/>
        </w:rPr>
        <w:t>, mail, or</w:t>
      </w:r>
      <w:r w:rsidR="00B333E6">
        <w:rPr>
          <w:rFonts w:ascii="Times New Roman" w:eastAsia="Times New Roman" w:hAnsi="Times New Roman" w:cs="Times New Roman"/>
          <w:color w:val="000000"/>
          <w:szCs w:val="24"/>
        </w:rPr>
        <w:t xml:space="preserve"> telephone surveys and</w:t>
      </w:r>
      <w:r w:rsidRPr="006B1D8F">
        <w:rPr>
          <w:rFonts w:ascii="Times New Roman" w:eastAsia="Times New Roman" w:hAnsi="Times New Roman" w:cs="Times New Roman"/>
          <w:color w:val="000000"/>
          <w:szCs w:val="24"/>
        </w:rPr>
        <w:t xml:space="preserve"> will allow for more participants to respond in a timely manner. The self-administered, web-based survey permits greater expediency with respect to data processing and analysis (e.g., 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 tobacco use) less threatening and enhances response validity and response rates.</w:t>
      </w:r>
    </w:p>
    <w:p w:rsidR="00BE1FCB" w:rsidRPr="006B1D8F" w:rsidP="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6B1D8F" w:rsidP="00D4485E"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5" w:name="_Toc239649224"/>
      <w:r w:rsidRPr="006B1D8F">
        <w:rPr>
          <w:rFonts w:ascii="Times New Roman" w:eastAsia="Times New Roman" w:hAnsi="Times New Roman" w:cs="Times New Roman"/>
          <w:b/>
          <w:bCs/>
          <w:szCs w:val="24"/>
        </w:rPr>
        <w:t xml:space="preserve">4. </w:t>
      </w:r>
      <w:r w:rsidRPr="006B1D8F">
        <w:rPr>
          <w:rFonts w:ascii="Times New Roman" w:eastAsia="Times New Roman" w:hAnsi="Times New Roman" w:cs="Times New Roman"/>
          <w:b/>
          <w:bCs/>
          <w:szCs w:val="24"/>
          <w:u w:val="single"/>
        </w:rPr>
        <w:t>Efforts to Identify Duplication and Use of Similar Information</w:t>
      </w:r>
      <w:bookmarkEnd w:id="5"/>
    </w:p>
    <w:p w:rsidR="00045B85" w:rsidRPr="004E43DA" w14:paraId="60164D5B" w14:textId="5496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rPr>
      </w:pPr>
    </w:p>
    <w:p w:rsidR="00361FC2" w:rsidRPr="006B1D8F" w:rsidP="000613D1" w14:paraId="186B0149" w14:textId="7FE34A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r w:rsidRPr="00B4241D">
        <w:rPr>
          <w:rFonts w:ascii="Times New Roman" w:eastAsia="Times New Roman" w:hAnsi="Times New Roman" w:cs="Times New Roman"/>
          <w:szCs w:val="24"/>
        </w:rPr>
        <w:t xml:space="preserve">In designing the proposed data collection activities, we </w:t>
      </w:r>
      <w:r w:rsidRPr="00B4241D" w:rsidR="00800620">
        <w:rPr>
          <w:rFonts w:ascii="Times New Roman" w:eastAsia="Times New Roman" w:hAnsi="Times New Roman" w:cs="Times New Roman"/>
          <w:szCs w:val="24"/>
        </w:rPr>
        <w:t>took</w:t>
      </w:r>
      <w:r w:rsidRPr="00B4241D">
        <w:rPr>
          <w:rFonts w:ascii="Times New Roman" w:eastAsia="Times New Roman" w:hAnsi="Times New Roman" w:cs="Times New Roman"/>
          <w:szCs w:val="24"/>
        </w:rPr>
        <w:t xml:space="preserve"> several steps to ensure that this effort does not duplicate ongoing efforts and that no existing data sets would address the proposed study questions.</w:t>
      </w:r>
      <w:r w:rsidRPr="00B4241D" w:rsidR="00987F60">
        <w:t xml:space="preserve"> </w:t>
      </w:r>
      <w:r w:rsidRPr="00B4241D" w:rsidR="00987F60">
        <w:rPr>
          <w:rFonts w:ascii="Times New Roman" w:eastAsia="Times New Roman" w:hAnsi="Times New Roman" w:cs="Times New Roman"/>
          <w:szCs w:val="24"/>
        </w:rPr>
        <w:t xml:space="preserve">We carefully reviewed existing data sets to determine whether any of them are sufficiently similar or could be modified to address FDA’s need for information on </w:t>
      </w:r>
      <w:r w:rsidRPr="00B4241D" w:rsidR="00277A81">
        <w:rPr>
          <w:rFonts w:ascii="Times New Roman" w:eastAsia="Times New Roman" w:hAnsi="Times New Roman" w:cs="Times New Roman"/>
          <w:szCs w:val="24"/>
        </w:rPr>
        <w:t>beliefs about various tobacco products</w:t>
      </w:r>
      <w:r w:rsidRPr="00B4241D" w:rsidR="00987F60">
        <w:rPr>
          <w:rFonts w:ascii="Times New Roman" w:eastAsia="Times New Roman" w:hAnsi="Times New Roman" w:cs="Times New Roman"/>
          <w:szCs w:val="24"/>
        </w:rPr>
        <w:t xml:space="preserve">. </w:t>
      </w:r>
      <w:r w:rsidRPr="00B4241D" w:rsidR="00392AE2">
        <w:rPr>
          <w:rFonts w:ascii="Times New Roman" w:eastAsia="Times New Roman" w:hAnsi="Times New Roman" w:cs="Times New Roman"/>
          <w:szCs w:val="24"/>
        </w:rPr>
        <w:t xml:space="preserve">We reviewed data collected to evaluate other national tobacco-focused media campaigns such as CDC’s Tips </w:t>
      </w:r>
      <w:r w:rsidRPr="00B4241D" w:rsidR="00392AE2">
        <w:rPr>
          <w:rFonts w:ascii="Times New Roman" w:eastAsia="Times New Roman" w:hAnsi="Times New Roman" w:cs="Times New Roman"/>
          <w:szCs w:val="24"/>
        </w:rPr>
        <w:t>From</w:t>
      </w:r>
      <w:r w:rsidRPr="00B4241D" w:rsidR="00392AE2">
        <w:rPr>
          <w:rFonts w:ascii="Times New Roman" w:eastAsia="Times New Roman" w:hAnsi="Times New Roman" w:cs="Times New Roman"/>
          <w:szCs w:val="24"/>
        </w:rPr>
        <w:t xml:space="preserve"> Former Smokers</w:t>
      </w:r>
      <w:r w:rsidR="00EC43C8">
        <w:rPr>
          <w:rFonts w:ascii="Times New Roman" w:eastAsia="Times New Roman" w:hAnsi="Times New Roman" w:cs="Times New Roman"/>
          <w:szCs w:val="24"/>
          <w:vertAlign w:val="superscript"/>
        </w:rPr>
        <w:t>®</w:t>
      </w:r>
      <w:r w:rsidRPr="00B4241D" w:rsidR="00392AE2">
        <w:rPr>
          <w:rFonts w:ascii="Times New Roman" w:eastAsia="Times New Roman" w:hAnsi="Times New Roman" w:cs="Times New Roman"/>
          <w:szCs w:val="24"/>
        </w:rPr>
        <w:t xml:space="preserve"> campaign and FDA’s The Real Cost. </w:t>
      </w:r>
      <w:r w:rsidRPr="00B4241D" w:rsidR="00B75039">
        <w:rPr>
          <w:rFonts w:ascii="Times New Roman" w:eastAsia="Times New Roman" w:hAnsi="Times New Roman" w:cs="Times New Roman"/>
          <w:szCs w:val="24"/>
        </w:rPr>
        <w:t>We also examined</w:t>
      </w:r>
      <w:r w:rsidRPr="00B4241D" w:rsidR="00CE5FFE">
        <w:rPr>
          <w:rFonts w:ascii="Times New Roman" w:eastAsia="Times New Roman" w:hAnsi="Times New Roman" w:cs="Times New Roman"/>
          <w:szCs w:val="24"/>
        </w:rPr>
        <w:t xml:space="preserve"> ongoing national surveillance systems such as the National </w:t>
      </w:r>
      <w:r w:rsidRPr="00B4241D" w:rsidR="00074DCB">
        <w:rPr>
          <w:rFonts w:ascii="Times New Roman" w:eastAsia="Times New Roman" w:hAnsi="Times New Roman" w:cs="Times New Roman"/>
          <w:szCs w:val="24"/>
        </w:rPr>
        <w:t>Youth</w:t>
      </w:r>
      <w:r w:rsidRPr="00B4241D" w:rsidR="00025BEE">
        <w:rPr>
          <w:rFonts w:ascii="Times New Roman" w:eastAsia="Times New Roman" w:hAnsi="Times New Roman" w:cs="Times New Roman"/>
          <w:szCs w:val="24"/>
        </w:rPr>
        <w:t xml:space="preserve"> </w:t>
      </w:r>
      <w:r w:rsidRPr="00B4241D" w:rsidR="00CE5FFE">
        <w:rPr>
          <w:rFonts w:ascii="Times New Roman" w:eastAsia="Times New Roman" w:hAnsi="Times New Roman" w:cs="Times New Roman"/>
          <w:szCs w:val="24"/>
        </w:rPr>
        <w:t>Tobacco Survey (NYTS), the Youth Risk Behavior Surveillance System (YRBSS)</w:t>
      </w:r>
      <w:r w:rsidRPr="00B4241D" w:rsidR="008F272E">
        <w:rPr>
          <w:rFonts w:ascii="Times New Roman" w:eastAsia="Times New Roman" w:hAnsi="Times New Roman" w:cs="Times New Roman"/>
          <w:szCs w:val="24"/>
        </w:rPr>
        <w:t>,</w:t>
      </w:r>
      <w:r w:rsidRPr="00B4241D" w:rsidR="00EB45BE">
        <w:rPr>
          <w:rFonts w:ascii="Times New Roman" w:eastAsia="Times New Roman" w:hAnsi="Times New Roman" w:cs="Times New Roman"/>
          <w:szCs w:val="24"/>
        </w:rPr>
        <w:t xml:space="preserve"> </w:t>
      </w:r>
      <w:r w:rsidRPr="00B4241D" w:rsidR="00CE5FFE">
        <w:rPr>
          <w:rFonts w:ascii="Times New Roman" w:eastAsia="Times New Roman" w:hAnsi="Times New Roman" w:cs="Times New Roman"/>
          <w:szCs w:val="24"/>
        </w:rPr>
        <w:t xml:space="preserve">the </w:t>
      </w:r>
      <w:r w:rsidRPr="00B4241D" w:rsidR="008D752E">
        <w:rPr>
          <w:rFonts w:ascii="Times New Roman" w:eastAsia="Times New Roman" w:hAnsi="Times New Roman" w:cs="Times New Roman"/>
          <w:szCs w:val="24"/>
        </w:rPr>
        <w:t>National Health Interview Survey (NHIS)</w:t>
      </w:r>
      <w:r w:rsidRPr="00B4241D" w:rsidR="008F272E">
        <w:rPr>
          <w:rFonts w:ascii="Times New Roman" w:eastAsia="Times New Roman" w:hAnsi="Times New Roman" w:cs="Times New Roman"/>
          <w:szCs w:val="24"/>
        </w:rPr>
        <w:t xml:space="preserve">, and the </w:t>
      </w:r>
      <w:r w:rsidRPr="00B4241D" w:rsidR="00CE5FFE">
        <w:rPr>
          <w:rFonts w:ascii="Times New Roman" w:eastAsia="Times New Roman" w:hAnsi="Times New Roman" w:cs="Times New Roman"/>
          <w:szCs w:val="24"/>
        </w:rPr>
        <w:t>Population Assessment of Tobacco and Health (PATH)</w:t>
      </w:r>
      <w:r w:rsidRPr="00B4241D" w:rsidR="004A4B4F">
        <w:rPr>
          <w:rFonts w:ascii="Times New Roman" w:eastAsia="Times New Roman" w:hAnsi="Times New Roman" w:cs="Times New Roman"/>
          <w:szCs w:val="24"/>
        </w:rPr>
        <w:t xml:space="preserve"> to see if they included survey items that would address our research questions</w:t>
      </w:r>
      <w:r w:rsidRPr="00B4241D" w:rsidR="008F272E">
        <w:rPr>
          <w:rFonts w:ascii="Times New Roman" w:eastAsia="Times New Roman" w:hAnsi="Times New Roman" w:cs="Times New Roman"/>
          <w:szCs w:val="24"/>
        </w:rPr>
        <w:t>.</w:t>
      </w:r>
      <w:r w:rsidRPr="00B4241D" w:rsidR="00CE5FFE">
        <w:rPr>
          <w:rFonts w:ascii="Times New Roman" w:eastAsia="Times New Roman" w:hAnsi="Times New Roman" w:cs="Times New Roman"/>
          <w:szCs w:val="24"/>
        </w:rPr>
        <w:t xml:space="preserve"> </w:t>
      </w:r>
      <w:r w:rsidRPr="00B4241D" w:rsidR="001908F9">
        <w:rPr>
          <w:rFonts w:ascii="Times New Roman" w:eastAsia="Times New Roman" w:hAnsi="Times New Roman" w:cs="Times New Roman"/>
          <w:szCs w:val="24"/>
        </w:rPr>
        <w:t>A</w:t>
      </w:r>
      <w:r w:rsidRPr="00B4241D" w:rsidR="00EB4780">
        <w:rPr>
          <w:rFonts w:ascii="Times New Roman" w:eastAsia="Times New Roman" w:hAnsi="Times New Roman" w:cs="Times New Roman"/>
          <w:szCs w:val="24"/>
        </w:rPr>
        <w:t xml:space="preserve">lthough </w:t>
      </w:r>
      <w:r w:rsidR="000613D1">
        <w:rPr>
          <w:rFonts w:ascii="Times New Roman" w:eastAsia="Times New Roman" w:hAnsi="Times New Roman" w:cs="Times New Roman"/>
          <w:szCs w:val="24"/>
        </w:rPr>
        <w:t xml:space="preserve">these </w:t>
      </w:r>
      <w:r w:rsidRPr="00B4241D" w:rsidR="00EB45BE">
        <w:rPr>
          <w:rFonts w:ascii="Times New Roman" w:eastAsia="Times New Roman" w:hAnsi="Times New Roman" w:cs="Times New Roman"/>
          <w:szCs w:val="24"/>
        </w:rPr>
        <w:t>data sources</w:t>
      </w:r>
      <w:r w:rsidRPr="00B4241D" w:rsidR="00EB4780">
        <w:rPr>
          <w:rFonts w:ascii="Times New Roman" w:eastAsia="Times New Roman" w:hAnsi="Times New Roman" w:cs="Times New Roman"/>
          <w:szCs w:val="24"/>
        </w:rPr>
        <w:t xml:space="preserve"> measure </w:t>
      </w:r>
      <w:r w:rsidRPr="00B4241D" w:rsidR="00800620">
        <w:rPr>
          <w:rFonts w:ascii="Times New Roman" w:eastAsia="Times New Roman" w:hAnsi="Times New Roman" w:cs="Times New Roman"/>
          <w:szCs w:val="24"/>
        </w:rPr>
        <w:t>tobacco</w:t>
      </w:r>
      <w:r w:rsidRPr="00B4241D" w:rsidR="00EB4780">
        <w:rPr>
          <w:rFonts w:ascii="Times New Roman" w:eastAsia="Times New Roman" w:hAnsi="Times New Roman" w:cs="Times New Roman"/>
          <w:szCs w:val="24"/>
        </w:rPr>
        <w:t xml:space="preserve"> use</w:t>
      </w:r>
      <w:r w:rsidRPr="00B4241D" w:rsidR="002F4027">
        <w:rPr>
          <w:rFonts w:ascii="Times New Roman" w:eastAsia="Times New Roman" w:hAnsi="Times New Roman" w:cs="Times New Roman"/>
          <w:szCs w:val="24"/>
        </w:rPr>
        <w:t xml:space="preserve"> and beliefs</w:t>
      </w:r>
      <w:r w:rsidRPr="00B4241D" w:rsidR="00EB4780">
        <w:rPr>
          <w:rFonts w:ascii="Times New Roman" w:eastAsia="Times New Roman" w:hAnsi="Times New Roman" w:cs="Times New Roman"/>
          <w:szCs w:val="24"/>
        </w:rPr>
        <w:t xml:space="preserve">, they do not include </w:t>
      </w:r>
      <w:r w:rsidRPr="00B4241D" w:rsidR="001C3C90">
        <w:rPr>
          <w:rFonts w:ascii="Times New Roman" w:eastAsia="Times New Roman" w:hAnsi="Times New Roman" w:cs="Times New Roman"/>
          <w:szCs w:val="24"/>
        </w:rPr>
        <w:t xml:space="preserve">the full range of </w:t>
      </w:r>
      <w:r w:rsidRPr="00B4241D" w:rsidR="00EB4780">
        <w:rPr>
          <w:rFonts w:ascii="Times New Roman" w:eastAsia="Times New Roman" w:hAnsi="Times New Roman" w:cs="Times New Roman"/>
          <w:szCs w:val="24"/>
        </w:rPr>
        <w:t>measures</w:t>
      </w:r>
      <w:r w:rsidRPr="00B4241D" w:rsidR="00800620">
        <w:rPr>
          <w:rFonts w:ascii="Times New Roman" w:eastAsia="Times New Roman" w:hAnsi="Times New Roman" w:cs="Times New Roman"/>
          <w:szCs w:val="24"/>
        </w:rPr>
        <w:t xml:space="preserve"> </w:t>
      </w:r>
      <w:r w:rsidRPr="00B4241D" w:rsidR="007F194A">
        <w:rPr>
          <w:rFonts w:ascii="Times New Roman" w:eastAsia="Times New Roman" w:hAnsi="Times New Roman" w:cs="Times New Roman"/>
          <w:szCs w:val="24"/>
        </w:rPr>
        <w:t xml:space="preserve">or utilize a study design </w:t>
      </w:r>
      <w:r w:rsidRPr="00B4241D" w:rsidR="00800620">
        <w:rPr>
          <w:rFonts w:ascii="Times New Roman" w:eastAsia="Times New Roman" w:hAnsi="Times New Roman" w:cs="Times New Roman"/>
          <w:szCs w:val="24"/>
        </w:rPr>
        <w:t xml:space="preserve">that would allow us to </w:t>
      </w:r>
      <w:r w:rsidRPr="00B4241D" w:rsidR="00F11234">
        <w:rPr>
          <w:rFonts w:ascii="Times New Roman" w:eastAsia="Times New Roman" w:hAnsi="Times New Roman" w:cs="Times New Roman"/>
          <w:szCs w:val="24"/>
        </w:rPr>
        <w:t>determine the association that may exist</w:t>
      </w:r>
      <w:r w:rsidRPr="00B4241D" w:rsidR="00B16E5F">
        <w:rPr>
          <w:rFonts w:ascii="Times New Roman" w:eastAsia="Times New Roman" w:hAnsi="Times New Roman" w:cs="Times New Roman"/>
          <w:szCs w:val="24"/>
        </w:rPr>
        <w:t xml:space="preserve"> </w:t>
      </w:r>
      <w:r w:rsidRPr="00B4241D" w:rsidR="003D6A04">
        <w:rPr>
          <w:rFonts w:ascii="Times New Roman" w:eastAsia="Times New Roman" w:hAnsi="Times New Roman" w:cs="Times New Roman"/>
          <w:szCs w:val="24"/>
        </w:rPr>
        <w:t xml:space="preserve">between beliefs </w:t>
      </w:r>
      <w:r w:rsidR="00EB6E13">
        <w:rPr>
          <w:rFonts w:ascii="Times New Roman" w:eastAsia="Times New Roman" w:hAnsi="Times New Roman" w:cs="Times New Roman"/>
          <w:szCs w:val="24"/>
        </w:rPr>
        <w:t>about</w:t>
      </w:r>
      <w:r w:rsidRPr="00B4241D" w:rsidR="003D6A04">
        <w:rPr>
          <w:rFonts w:ascii="Times New Roman" w:eastAsia="Times New Roman" w:hAnsi="Times New Roman" w:cs="Times New Roman"/>
          <w:szCs w:val="24"/>
        </w:rPr>
        <w:t xml:space="preserve"> tobacco product</w:t>
      </w:r>
      <w:r w:rsidR="00EB6E13">
        <w:rPr>
          <w:rFonts w:ascii="Times New Roman" w:eastAsia="Times New Roman" w:hAnsi="Times New Roman" w:cs="Times New Roman"/>
          <w:szCs w:val="24"/>
        </w:rPr>
        <w:t>s</w:t>
      </w:r>
      <w:r w:rsidRPr="00B4241D" w:rsidR="003D6A04">
        <w:rPr>
          <w:rFonts w:ascii="Times New Roman" w:eastAsia="Times New Roman" w:hAnsi="Times New Roman" w:cs="Times New Roman"/>
          <w:szCs w:val="24"/>
        </w:rPr>
        <w:t xml:space="preserve"> and intentions to use tobacco product</w:t>
      </w:r>
      <w:r w:rsidRPr="00B4241D" w:rsidR="00375FFB">
        <w:rPr>
          <w:rFonts w:ascii="Times New Roman" w:eastAsia="Times New Roman" w:hAnsi="Times New Roman" w:cs="Times New Roman"/>
          <w:szCs w:val="24"/>
        </w:rPr>
        <w:t>s</w:t>
      </w:r>
      <w:r w:rsidRPr="00B4241D" w:rsidR="00800620">
        <w:rPr>
          <w:rFonts w:ascii="Times New Roman" w:eastAsia="Times New Roman" w:hAnsi="Times New Roman" w:cs="Times New Roman"/>
          <w:szCs w:val="24"/>
        </w:rPr>
        <w:t xml:space="preserve">, which is necessary to inform </w:t>
      </w:r>
      <w:r w:rsidR="000613D1">
        <w:rPr>
          <w:rFonts w:ascii="Times New Roman" w:eastAsia="Times New Roman" w:hAnsi="Times New Roman" w:cs="Times New Roman"/>
          <w:szCs w:val="24"/>
        </w:rPr>
        <w:t>a</w:t>
      </w:r>
      <w:r w:rsidRPr="00B4241D" w:rsidR="000613D1">
        <w:rPr>
          <w:rFonts w:ascii="Times New Roman" w:eastAsia="Times New Roman" w:hAnsi="Times New Roman" w:cs="Times New Roman"/>
          <w:szCs w:val="24"/>
        </w:rPr>
        <w:t xml:space="preserve"> </w:t>
      </w:r>
      <w:r w:rsidR="000613D1">
        <w:rPr>
          <w:rFonts w:ascii="Times New Roman" w:eastAsia="Times New Roman" w:hAnsi="Times New Roman" w:cs="Times New Roman"/>
          <w:szCs w:val="24"/>
        </w:rPr>
        <w:t xml:space="preserve">future </w:t>
      </w:r>
      <w:r w:rsidRPr="000613D1" w:rsidR="000613D1">
        <w:rPr>
          <w:rFonts w:ascii="Times New Roman" w:eastAsia="Times New Roman" w:hAnsi="Times New Roman" w:cs="Times New Roman"/>
          <w:szCs w:val="24"/>
        </w:rPr>
        <w:t>experimental digital campaign intended to shift KABs about hookah use</w:t>
      </w:r>
    </w:p>
    <w:p w:rsidR="00CF5A7E" w:rsidRPr="006B1D8F" w:rsidP="00D4485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14:paraId="26F4174A" w14:textId="77777777">
      <w:pPr>
        <w:ind w:left="180"/>
        <w:rPr>
          <w:rFonts w:ascii="Times New Roman" w:eastAsia="Times New Roman" w:hAnsi="Times New Roman" w:cs="Times New Roman"/>
          <w:b/>
          <w:bCs/>
          <w:szCs w:val="24"/>
        </w:rPr>
      </w:pPr>
      <w:bookmarkStart w:id="6" w:name="_Toc239649225"/>
      <w:r w:rsidRPr="006B1D8F">
        <w:rPr>
          <w:rFonts w:ascii="Times New Roman" w:eastAsia="Times New Roman" w:hAnsi="Times New Roman" w:cs="Times New Roman"/>
          <w:b/>
          <w:bCs/>
          <w:szCs w:val="24"/>
        </w:rPr>
        <w:t>5.</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Impact on Small Businesses or Other Small Entities</w:t>
      </w:r>
      <w:bookmarkEnd w:id="6"/>
    </w:p>
    <w:p w:rsidR="00BE1FCB" w:rsidRPr="006B1D8F"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7" w:name="_Toc239649226"/>
    </w:p>
    <w:p w:rsidR="00BE1FCB" w:rsidRPr="006B1D8F" w14:paraId="742D091A" w14:textId="4D9EB12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Respondents in this study will be members of the </w:t>
      </w:r>
      <w:r w:rsidRPr="006B1D8F">
        <w:rPr>
          <w:rFonts w:ascii="Times New Roman" w:eastAsia="Times New Roman" w:hAnsi="Times New Roman" w:cs="Times New Roman"/>
          <w:szCs w:val="24"/>
        </w:rPr>
        <w:t>general public</w:t>
      </w:r>
      <w:r w:rsidRPr="006B1D8F">
        <w:rPr>
          <w:rFonts w:ascii="Times New Roman" w:eastAsia="Times New Roman" w:hAnsi="Times New Roman" w:cs="Times New Roman"/>
          <w:szCs w:val="24"/>
        </w:rPr>
        <w:t xml:space="preserve">, specific </w:t>
      </w:r>
      <w:r w:rsidRPr="006B1D8F" w:rsidR="000613D1">
        <w:rPr>
          <w:rFonts w:ascii="Times New Roman" w:eastAsia="Times New Roman" w:hAnsi="Times New Roman" w:cs="Times New Roman"/>
          <w:szCs w:val="24"/>
        </w:rPr>
        <w:t>subpopulations,</w:t>
      </w:r>
      <w:r w:rsidRPr="006B1D8F">
        <w:rPr>
          <w:rFonts w:ascii="Times New Roman" w:eastAsia="Times New Roman" w:hAnsi="Times New Roman" w:cs="Times New Roman"/>
          <w:szCs w:val="24"/>
        </w:rPr>
        <w:t xml:space="preserve"> or specific professions, not business entities. No impact on small businesses or other small entities is anticipated.</w:t>
      </w:r>
    </w:p>
    <w:p w:rsidR="00BE1FCB" w:rsidRPr="006B1D8F"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rsidR="00BE1FCB" w:rsidRPr="006B1D8F"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6.</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Consequence of Collecting the Information Less Frequently</w:t>
      </w:r>
      <w:bookmarkEnd w:id="7"/>
    </w:p>
    <w:p w:rsidR="00BE1FCB" w:rsidRPr="006B1D8F"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BE1FCB" w:rsidRPr="006B1D8F" w14:paraId="5240C679" w14:textId="06F546A9">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8" w:name="_Toc239649227"/>
      <w:r>
        <w:rPr>
          <w:rFonts w:ascii="Times New Roman" w:eastAsia="Times New Roman" w:hAnsi="Times New Roman" w:cs="Times New Roman"/>
          <w:szCs w:val="24"/>
        </w:rPr>
        <w:t>This is a one-time data collection</w:t>
      </w:r>
      <w:r w:rsidRPr="006B1D8F">
        <w:rPr>
          <w:rFonts w:ascii="Times New Roman" w:eastAsia="Times New Roman" w:hAnsi="Times New Roman" w:cs="Times New Roman"/>
          <w:szCs w:val="24"/>
        </w:rPr>
        <w:t xml:space="preserve">. </w:t>
      </w:r>
    </w:p>
    <w:p w:rsidR="00BE1FCB" w:rsidRPr="006B1D8F" w14:paraId="5391F8D5" w14:textId="2EE5A1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6B1D8F">
        <w:rPr>
          <w:rFonts w:ascii="Times New Roman" w:eastAsia="Times New Roman" w:hAnsi="Times New Roman" w:cs="Times New Roman"/>
          <w:b/>
          <w:bCs/>
          <w:szCs w:val="24"/>
        </w:rPr>
        <w:t>7.</w:t>
      </w:r>
      <w:r w:rsidRPr="006B1D8F">
        <w:rPr>
          <w:rFonts w:ascii="Times New Roman" w:eastAsia="Times New Roman" w:hAnsi="Times New Roman" w:cs="Times New Roman"/>
          <w:b/>
          <w:szCs w:val="24"/>
        </w:rPr>
        <w:t xml:space="preserve"> </w:t>
      </w:r>
      <w:r w:rsidRPr="006B1D8F">
        <w:rPr>
          <w:rFonts w:ascii="Times New Roman" w:eastAsia="Times New Roman" w:hAnsi="Times New Roman" w:cs="Times New Roman"/>
          <w:b/>
          <w:bCs/>
          <w:szCs w:val="24"/>
          <w:u w:val="single"/>
        </w:rPr>
        <w:t>Special Circumstances Relating to the Guidelines of 5 CFR 1320.5</w:t>
      </w:r>
      <w:bookmarkEnd w:id="8"/>
    </w:p>
    <w:p w:rsidR="00BE1FCB" w:rsidRPr="006B1D8F"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14:paraId="0CB177D5" w14:textId="5423BC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There are no special circumstances for this collection of information that require the data collection to be conducted in a manner inconsistent with 5 CRF 1320.5(d)(2). </w:t>
      </w:r>
    </w:p>
    <w:p w:rsidR="000613D1" w:rsidP="006B73DB" w14:paraId="4061DD77" w14:textId="0579F1C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0613D1" w:rsidRPr="006B1D8F" w:rsidP="00D4485E" w14:paraId="6E21E19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EC604E" w:rsidRPr="006B1D8F" w:rsidP="009660BD" w14:paraId="4559C21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ourier 10cpi" w:eastAsia="Times New Roman" w:hAnsi="Courier 10cpi" w:cs="Times New Roman"/>
          <w:sz w:val="20"/>
          <w:szCs w:val="20"/>
        </w:rPr>
      </w:pPr>
    </w:p>
    <w:p w:rsidR="00BE1FCB" w:rsidRPr="006B1D8F" w:rsidP="00D4485E" w14:paraId="618F3B21" w14:textId="1ED0F2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9" w:name="_Toc239649228"/>
      <w:r w:rsidRPr="006B1D8F">
        <w:rPr>
          <w:rFonts w:ascii="Times New Roman" w:eastAsia="Times New Roman" w:hAnsi="Times New Roman" w:cs="Times New Roman"/>
          <w:b/>
          <w:bCs/>
          <w:szCs w:val="24"/>
        </w:rPr>
        <w:t xml:space="preserve">8. </w:t>
      </w:r>
      <w:r w:rsidRPr="006B1D8F">
        <w:rPr>
          <w:rFonts w:ascii="Times New Roman" w:eastAsia="Times New Roman" w:hAnsi="Times New Roman" w:cs="Times New Roman"/>
          <w:b/>
          <w:bCs/>
          <w:szCs w:val="24"/>
          <w:u w:val="single"/>
        </w:rPr>
        <w:t>Comments in Response to the Federal Register Notice and Efforts to Consult Outside</w:t>
      </w:r>
      <w:bookmarkEnd w:id="9"/>
      <w:r w:rsidRPr="006B1D8F">
        <w:rPr>
          <w:rFonts w:ascii="Times New Roman" w:eastAsia="Times New Roman" w:hAnsi="Times New Roman" w:cs="Times New Roman"/>
          <w:b/>
          <w:bCs/>
          <w:szCs w:val="24"/>
          <w:u w:val="single"/>
        </w:rPr>
        <w:t xml:space="preserve"> </w:t>
      </w:r>
    </w:p>
    <w:p w:rsidR="00BE1FCB" w:rsidRPr="006B1D8F"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
          <w:bCs/>
          <w:szCs w:val="24"/>
          <w:u w:val="single"/>
        </w:rPr>
      </w:pPr>
      <w:bookmarkStart w:id="10" w:name="_Toc239649229"/>
      <w:r w:rsidRPr="006B1D8F">
        <w:rPr>
          <w:rFonts w:ascii="Times New Roman" w:eastAsia="Times New Roman" w:hAnsi="Times New Roman" w:cs="Times New Roman"/>
          <w:b/>
          <w:bCs/>
          <w:szCs w:val="24"/>
        </w:rPr>
        <w:tab/>
      </w:r>
      <w:r w:rsidRPr="006B1D8F">
        <w:rPr>
          <w:rFonts w:ascii="Times New Roman" w:eastAsia="Times New Roman" w:hAnsi="Times New Roman" w:cs="Times New Roman"/>
          <w:b/>
          <w:bCs/>
          <w:szCs w:val="24"/>
          <w:u w:val="single"/>
        </w:rPr>
        <w:t>Agency</w:t>
      </w:r>
      <w:bookmarkEnd w:id="10"/>
    </w:p>
    <w:p w:rsidR="00BE1FCB" w:rsidRPr="006B1D8F"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F734AC" w:rsidRPr="006B1D8F"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 xml:space="preserve">The following individuals inside the agency have been consulted on the design of the </w:t>
      </w:r>
      <w:r w:rsidRPr="006B1D8F" w:rsidR="002462E5">
        <w:rPr>
          <w:rFonts w:ascii="Times New Roman" w:eastAsia="Times New Roman" w:hAnsi="Times New Roman" w:cs="Times New Roman"/>
          <w:bCs/>
          <w:szCs w:val="24"/>
        </w:rPr>
        <w:t>study</w:t>
      </w:r>
      <w:r w:rsidRPr="006B1D8F">
        <w:rPr>
          <w:rFonts w:ascii="Times New Roman" w:eastAsia="Times New Roman" w:hAnsi="Times New Roman" w:cs="Times New Roman"/>
          <w:bCs/>
          <w:szCs w:val="24"/>
        </w:rPr>
        <w:t xml:space="preserve">, </w:t>
      </w:r>
      <w:r w:rsidRPr="006B1D8F" w:rsidR="00333524">
        <w:rPr>
          <w:rFonts w:ascii="Times New Roman" w:eastAsia="Times New Roman" w:hAnsi="Times New Roman" w:cs="Times New Roman"/>
          <w:bCs/>
          <w:szCs w:val="24"/>
        </w:rPr>
        <w:t>instrument</w:t>
      </w:r>
      <w:r w:rsidRPr="006B1D8F">
        <w:rPr>
          <w:rFonts w:ascii="Times New Roman" w:eastAsia="Times New Roman" w:hAnsi="Times New Roman" w:cs="Times New Roman"/>
          <w:bCs/>
          <w:szCs w:val="24"/>
        </w:rPr>
        <w:t xml:space="preserve"> development, or intra-agency coordination of information collection efforts:</w:t>
      </w:r>
    </w:p>
    <w:p w:rsidR="00BE1FCB" w:rsidRPr="006B1D8F" w:rsidP="00BE1FCB"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rsidR="002D2866" w:rsidRPr="002D2866" w:rsidP="002D2866" w14:paraId="25B02CF9" w14:textId="2D2A589F">
      <w:pPr>
        <w:ind w:left="180"/>
        <w:rPr>
          <w:rFonts w:ascii="Times New Roman" w:hAnsi="Times New Roman" w:cs="Times New Roman"/>
          <w:szCs w:val="24"/>
        </w:rPr>
      </w:pPr>
      <w:r>
        <w:rPr>
          <w:rFonts w:ascii="Times New Roman" w:hAnsi="Times New Roman" w:cs="Times New Roman"/>
          <w:szCs w:val="24"/>
        </w:rPr>
        <w:t xml:space="preserve">Elizabeth </w:t>
      </w:r>
      <w:r w:rsidRPr="002D2866">
        <w:rPr>
          <w:rFonts w:ascii="Times New Roman" w:hAnsi="Times New Roman" w:cs="Times New Roman"/>
          <w:szCs w:val="24"/>
        </w:rPr>
        <w:t>Petru</w:t>
      </w:r>
      <w:r w:rsidR="00326F1D">
        <w:rPr>
          <w:rFonts w:ascii="Times New Roman" w:hAnsi="Times New Roman" w:cs="Times New Roman"/>
          <w:szCs w:val="24"/>
        </w:rPr>
        <w:t>n</w:t>
      </w:r>
      <w:r>
        <w:rPr>
          <w:rFonts w:ascii="Times New Roman" w:hAnsi="Times New Roman" w:cs="Times New Roman"/>
          <w:szCs w:val="24"/>
        </w:rPr>
        <w:t xml:space="preserve"> </w:t>
      </w:r>
      <w:r w:rsidRPr="002D2866">
        <w:rPr>
          <w:rFonts w:ascii="Times New Roman" w:hAnsi="Times New Roman" w:cs="Times New Roman"/>
          <w:szCs w:val="24"/>
        </w:rPr>
        <w:t>Sayers</w:t>
      </w:r>
    </w:p>
    <w:p w:rsidR="002D2866" w:rsidRPr="002D2866" w:rsidP="002D2866" w14:paraId="1F7B0128" w14:textId="77777777">
      <w:pPr>
        <w:ind w:left="180"/>
        <w:rPr>
          <w:rFonts w:ascii="Times New Roman" w:hAnsi="Times New Roman" w:cs="Times New Roman"/>
          <w:szCs w:val="24"/>
        </w:rPr>
      </w:pPr>
      <w:r w:rsidRPr="002D2866">
        <w:rPr>
          <w:rFonts w:ascii="Times New Roman" w:hAnsi="Times New Roman" w:cs="Times New Roman"/>
          <w:szCs w:val="24"/>
        </w:rPr>
        <w:t>Office of Health Communication &amp; Education</w:t>
      </w:r>
    </w:p>
    <w:p w:rsidR="002D2866" w:rsidRPr="002D2866" w:rsidP="002D2866" w14:paraId="4CE81A3F" w14:textId="77777777">
      <w:pPr>
        <w:ind w:left="180"/>
        <w:rPr>
          <w:rFonts w:ascii="Times New Roman" w:hAnsi="Times New Roman" w:cs="Times New Roman"/>
          <w:szCs w:val="24"/>
        </w:rPr>
      </w:pPr>
      <w:r w:rsidRPr="002D2866">
        <w:rPr>
          <w:rFonts w:ascii="Times New Roman" w:hAnsi="Times New Roman" w:cs="Times New Roman"/>
          <w:szCs w:val="24"/>
        </w:rPr>
        <w:t>Center for Tobacco Products</w:t>
      </w:r>
    </w:p>
    <w:p w:rsidR="002D2866" w:rsidRPr="002D2866" w:rsidP="002D2866" w14:paraId="7F43BDFF" w14:textId="77777777">
      <w:pPr>
        <w:ind w:left="180"/>
        <w:rPr>
          <w:rFonts w:ascii="Times New Roman" w:hAnsi="Times New Roman" w:cs="Times New Roman"/>
          <w:szCs w:val="24"/>
        </w:rPr>
      </w:pPr>
      <w:r w:rsidRPr="002D2866">
        <w:rPr>
          <w:rFonts w:ascii="Times New Roman" w:hAnsi="Times New Roman" w:cs="Times New Roman"/>
          <w:szCs w:val="24"/>
        </w:rPr>
        <w:t>Food and Drug Administration</w:t>
      </w:r>
    </w:p>
    <w:p w:rsidR="002D2866" w:rsidRPr="009660BD" w:rsidP="002D2866" w14:paraId="64DCDB0B" w14:textId="4C9690EC">
      <w:pPr>
        <w:ind w:left="180"/>
        <w:rPr>
          <w:rFonts w:ascii="Times New Roman" w:hAnsi="Times New Roman" w:cs="Times New Roman"/>
          <w:szCs w:val="24"/>
        </w:rPr>
      </w:pPr>
      <w:r w:rsidRPr="009660BD">
        <w:rPr>
          <w:rFonts w:ascii="Times New Roman" w:hAnsi="Times New Roman" w:cs="Times New Roman"/>
          <w:szCs w:val="24"/>
        </w:rPr>
        <w:t>10903 New Hampshire Avenue</w:t>
      </w:r>
    </w:p>
    <w:p w:rsidR="002D2866" w:rsidRPr="009660BD" w:rsidP="002D2866" w14:paraId="07CC1522" w14:textId="5C5B1AF7">
      <w:pPr>
        <w:ind w:left="180"/>
        <w:rPr>
          <w:rFonts w:ascii="Times New Roman" w:hAnsi="Times New Roman" w:cs="Times New Roman"/>
          <w:szCs w:val="24"/>
        </w:rPr>
      </w:pPr>
      <w:r w:rsidRPr="009660BD">
        <w:rPr>
          <w:rFonts w:ascii="Times New Roman" w:hAnsi="Times New Roman" w:cs="Times New Roman"/>
          <w:szCs w:val="24"/>
        </w:rPr>
        <w:t>Silver Spring</w:t>
      </w:r>
      <w:r w:rsidRPr="009660BD">
        <w:rPr>
          <w:rFonts w:ascii="Times New Roman" w:hAnsi="Times New Roman" w:cs="Times New Roman"/>
          <w:szCs w:val="24"/>
        </w:rPr>
        <w:t xml:space="preserve">, MD </w:t>
      </w:r>
      <w:r w:rsidRPr="009660BD" w:rsidR="00FC13C3">
        <w:rPr>
          <w:rFonts w:ascii="Times New Roman" w:hAnsi="Times New Roman" w:cs="Times New Roman"/>
          <w:szCs w:val="24"/>
        </w:rPr>
        <w:t>20993</w:t>
      </w:r>
    </w:p>
    <w:p w:rsidR="002D2866" w:rsidRPr="002D2866" w:rsidP="002D2866" w14:paraId="54E78190" w14:textId="09B782A0">
      <w:pPr>
        <w:ind w:left="180"/>
        <w:rPr>
          <w:rFonts w:ascii="Times New Roman" w:hAnsi="Times New Roman" w:cs="Times New Roman"/>
          <w:szCs w:val="24"/>
        </w:rPr>
      </w:pPr>
      <w:r w:rsidRPr="009660BD">
        <w:rPr>
          <w:rFonts w:ascii="Times New Roman" w:hAnsi="Times New Roman" w:cs="Times New Roman"/>
          <w:szCs w:val="24"/>
        </w:rPr>
        <w:t>Phone:</w:t>
      </w:r>
      <w:r w:rsidRPr="00AE45C6">
        <w:rPr>
          <w:rFonts w:ascii="Times New Roman" w:hAnsi="Times New Roman" w:cs="Times New Roman"/>
          <w:szCs w:val="24"/>
        </w:rPr>
        <w:t xml:space="preserve"> </w:t>
      </w:r>
      <w:r w:rsidRPr="00AE45C6" w:rsidR="004A08CE">
        <w:rPr>
          <w:rFonts w:ascii="Times New Roman" w:hAnsi="Times New Roman" w:cs="Times New Roman"/>
          <w:szCs w:val="24"/>
        </w:rPr>
        <w:t>240</w:t>
      </w:r>
      <w:r w:rsidR="004A08CE">
        <w:rPr>
          <w:rFonts w:ascii="Times New Roman" w:hAnsi="Times New Roman" w:cs="Times New Roman"/>
          <w:szCs w:val="24"/>
        </w:rPr>
        <w:t>-750</w:t>
      </w:r>
      <w:r w:rsidR="0026609A">
        <w:rPr>
          <w:rFonts w:ascii="Times New Roman" w:hAnsi="Times New Roman" w:cs="Times New Roman"/>
          <w:szCs w:val="24"/>
        </w:rPr>
        <w:t>-5297</w:t>
      </w:r>
    </w:p>
    <w:p w:rsidR="00AE3AA3" w:rsidRPr="006B1D8F" w:rsidP="538077BC" w14:paraId="6B8C77D6" w14:textId="04B165B2">
      <w:pPr>
        <w:ind w:left="180"/>
        <w:rPr>
          <w:rFonts w:ascii="Times New Roman" w:hAnsi="Times New Roman" w:cs="Times New Roman"/>
        </w:rPr>
      </w:pPr>
      <w:r w:rsidRPr="538077BC">
        <w:rPr>
          <w:rFonts w:ascii="Times New Roman" w:hAnsi="Times New Roman" w:cs="Times New Roman"/>
        </w:rPr>
        <w:t xml:space="preserve">E-mail: </w:t>
      </w:r>
      <w:r w:rsidRPr="00804CFA" w:rsidR="00B678C6">
        <w:rPr>
          <w:rFonts w:ascii="Times New Roman" w:eastAsia="Times New Roman" w:hAnsi="Times New Roman" w:cs="Times New Roman"/>
        </w:rPr>
        <w:t>Elizabeth.Petrun@fda.hhs.gov</w:t>
      </w:r>
    </w:p>
    <w:p w:rsidR="00BE0C3B" w:rsidP="00326F1D" w14:paraId="6DC8DF4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Cs/>
          <w:szCs w:val="24"/>
        </w:rPr>
      </w:pPr>
    </w:p>
    <w:p w:rsidR="003409FF" w:rsidP="003409FF" w14:paraId="04F6C04D" w14:textId="41963B8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Pr>
          <w:rFonts w:ascii="Times New Roman" w:eastAsia="Times New Roman" w:hAnsi="Times New Roman" w:cs="Times New Roman"/>
          <w:bCs/>
          <w:szCs w:val="24"/>
        </w:rPr>
        <w:t>Alex</w:t>
      </w:r>
      <w:r w:rsidR="00B86D11">
        <w:rPr>
          <w:rFonts w:ascii="Times New Roman" w:eastAsia="Times New Roman" w:hAnsi="Times New Roman" w:cs="Times New Roman"/>
          <w:bCs/>
          <w:szCs w:val="24"/>
        </w:rPr>
        <w:t>andra</w:t>
      </w:r>
      <w:r>
        <w:rPr>
          <w:rFonts w:ascii="Times New Roman" w:eastAsia="Times New Roman" w:hAnsi="Times New Roman" w:cs="Times New Roman"/>
          <w:bCs/>
          <w:szCs w:val="24"/>
        </w:rPr>
        <w:t xml:space="preserve"> Budenz</w:t>
      </w:r>
    </w:p>
    <w:p w:rsidR="00B86D11" w:rsidRPr="00B86D11" w:rsidP="00B86D11" w14:paraId="4BF568A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sidRPr="00B86D11">
        <w:rPr>
          <w:rFonts w:ascii="Times New Roman" w:eastAsia="Times New Roman" w:hAnsi="Times New Roman" w:cs="Times New Roman"/>
          <w:bCs/>
          <w:szCs w:val="24"/>
        </w:rPr>
        <w:t>Office of Health Communication &amp; Education</w:t>
      </w:r>
    </w:p>
    <w:p w:rsidR="00B86D11" w:rsidRPr="00B86D11" w:rsidP="00B86D11" w14:paraId="20BD000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sidRPr="00B86D11">
        <w:rPr>
          <w:rFonts w:ascii="Times New Roman" w:eastAsia="Times New Roman" w:hAnsi="Times New Roman" w:cs="Times New Roman"/>
          <w:bCs/>
          <w:szCs w:val="24"/>
        </w:rPr>
        <w:t>Center for Tobacco Products</w:t>
      </w:r>
    </w:p>
    <w:p w:rsidR="00B86D11" w:rsidRPr="00B86D11" w:rsidP="00B86D11" w14:paraId="0DB6BDD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sidRPr="00B86D11">
        <w:rPr>
          <w:rFonts w:ascii="Times New Roman" w:eastAsia="Times New Roman" w:hAnsi="Times New Roman" w:cs="Times New Roman"/>
          <w:bCs/>
          <w:szCs w:val="24"/>
        </w:rPr>
        <w:t>Food and Drug Administration</w:t>
      </w:r>
    </w:p>
    <w:p w:rsidR="00B86D11" w:rsidRPr="00B86D11" w:rsidP="00B86D11" w14:paraId="369DF53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sidRPr="00B86D11">
        <w:rPr>
          <w:rFonts w:ascii="Times New Roman" w:eastAsia="Times New Roman" w:hAnsi="Times New Roman" w:cs="Times New Roman"/>
          <w:bCs/>
          <w:szCs w:val="24"/>
        </w:rPr>
        <w:t>10903 New Hampshire Avenue</w:t>
      </w:r>
    </w:p>
    <w:p w:rsidR="00B86D11" w:rsidP="00B86D11" w14:paraId="3FE872C7" w14:textId="64D602F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Cs/>
          <w:szCs w:val="24"/>
        </w:rPr>
      </w:pPr>
      <w:r w:rsidRPr="00B86D11">
        <w:rPr>
          <w:rFonts w:ascii="Times New Roman" w:eastAsia="Times New Roman" w:hAnsi="Times New Roman" w:cs="Times New Roman"/>
          <w:bCs/>
          <w:szCs w:val="24"/>
        </w:rPr>
        <w:t>Silver Spring, MD 20993</w:t>
      </w:r>
    </w:p>
    <w:p w:rsidR="0053257C" w:rsidRPr="00A752CC" w:rsidP="0053257C" w14:paraId="151AB73F" w14:textId="70E16A08">
      <w:pPr>
        <w:ind w:left="180"/>
        <w:rPr>
          <w:rFonts w:ascii="Times New Roman" w:hAnsi="Times New Roman" w:cs="Times New Roman"/>
          <w:szCs w:val="24"/>
        </w:rPr>
      </w:pPr>
      <w:r w:rsidRPr="00A752CC">
        <w:rPr>
          <w:rFonts w:ascii="Times New Roman" w:hAnsi="Times New Roman" w:cs="Times New Roman"/>
          <w:szCs w:val="24"/>
        </w:rPr>
        <w:t>Phone: 202-</w:t>
      </w:r>
      <w:r w:rsidRPr="00A752CC" w:rsidR="00B678C6">
        <w:rPr>
          <w:rFonts w:ascii="Times New Roman" w:hAnsi="Times New Roman" w:cs="Times New Roman"/>
          <w:szCs w:val="24"/>
        </w:rPr>
        <w:t>423-8075</w:t>
      </w:r>
    </w:p>
    <w:p w:rsidR="0053257C" w:rsidRPr="009660BD" w:rsidP="538077BC" w14:paraId="765E2768" w14:textId="60778736">
      <w:pPr>
        <w:ind w:left="180"/>
        <w:rPr>
          <w:rFonts w:ascii="Times New Roman" w:hAnsi="Times New Roman" w:cs="Times New Roman"/>
        </w:rPr>
      </w:pPr>
      <w:r w:rsidRPr="538077BC">
        <w:rPr>
          <w:rFonts w:ascii="Times New Roman" w:hAnsi="Times New Roman" w:cs="Times New Roman"/>
        </w:rPr>
        <w:t xml:space="preserve">E-mail: </w:t>
      </w:r>
      <w:r w:rsidRPr="00804CFA" w:rsidR="00B678C6">
        <w:rPr>
          <w:rFonts w:ascii="Times" w:eastAsia="Times" w:hAnsi="Times" w:cs="Times"/>
        </w:rPr>
        <w:t>Alexandra.Budenz@fda.hhs.gov</w:t>
      </w:r>
    </w:p>
    <w:p w:rsidR="003409FF" w:rsidP="00326F1D" w14:paraId="5150CFE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Cs/>
          <w:szCs w:val="24"/>
        </w:rPr>
      </w:pPr>
    </w:p>
    <w:p w:rsidR="004F27E6" w:rsidRPr="006B1D8F" w:rsidP="004F27E6" w14:paraId="6A1E4F80" w14:textId="5509F78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FDA collaborates with other agencies that sponsor or endorse health communication project</w:t>
      </w:r>
      <w:r w:rsidRPr="006B1D8F" w:rsidR="00BD20BF">
        <w:rPr>
          <w:rFonts w:ascii="Times New Roman" w:eastAsia="Times New Roman" w:hAnsi="Times New Roman" w:cs="Times New Roman"/>
          <w:bCs/>
          <w:szCs w:val="24"/>
        </w:rPr>
        <w:t xml:space="preserve">s. </w:t>
      </w:r>
      <w:r w:rsidRPr="006B1D8F">
        <w:rPr>
          <w:rFonts w:ascii="Times New Roman" w:eastAsia="Times New Roman" w:hAnsi="Times New Roman" w:cs="Times New Roman"/>
          <w:bCs/>
          <w:szCs w:val="24"/>
        </w:rPr>
        <w:t>These affiliations serve as information channels, help prevent redundancy, and promote use of consistent measures of effectiveness. Coordination activities include:</w:t>
      </w:r>
    </w:p>
    <w:p w:rsidR="004F27E6" w:rsidRPr="006B1D8F" w:rsidP="004F27E6"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 xml:space="preserve">Review of questionnaires for testing </w:t>
      </w:r>
      <w:r w:rsidRPr="006B1D8F">
        <w:rPr>
          <w:rFonts w:ascii="Times New Roman" w:eastAsia="Times New Roman" w:hAnsi="Times New Roman" w:cs="Times New Roman"/>
          <w:bCs/>
          <w:szCs w:val="24"/>
        </w:rPr>
        <w:t>purposes;</w:t>
      </w:r>
    </w:p>
    <w:p w:rsidR="004F27E6" w:rsidRPr="006B1D8F" w:rsidP="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Sharing data; and</w:t>
      </w:r>
    </w:p>
    <w:p w:rsidR="004F27E6" w:rsidRPr="006B1D8F" w:rsidP="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 xml:space="preserve">Standardizing survey tools where at all possible. </w:t>
      </w:r>
    </w:p>
    <w:p w:rsidR="004F27E6" w:rsidRPr="006B1D8F" w:rsidP="004412EF" w14:paraId="5C094163" w14:textId="77777777">
      <w:pPr>
        <w:ind w:left="180"/>
        <w:rPr>
          <w:rFonts w:ascii="Times New Roman" w:hAnsi="Times New Roman" w:cs="Times New Roman"/>
          <w:szCs w:val="24"/>
        </w:rPr>
      </w:pPr>
    </w:p>
    <w:p w:rsidR="00EE663A" w14:paraId="3C183204" w14:textId="77777777">
      <w:pPr>
        <w:spacing w:after="160" w:line="259" w:lineRule="auto"/>
        <w:rPr>
          <w:rFonts w:ascii="Times New Roman" w:hAnsi="Times New Roman" w:cs="Times New Roman"/>
          <w:szCs w:val="24"/>
        </w:rPr>
      </w:pPr>
      <w:r>
        <w:rPr>
          <w:rFonts w:ascii="Times New Roman" w:hAnsi="Times New Roman" w:cs="Times New Roman"/>
          <w:szCs w:val="24"/>
        </w:rPr>
        <w:br w:type="page"/>
      </w:r>
    </w:p>
    <w:p w:rsidR="004412EF" w:rsidRPr="006B1D8F" w:rsidP="004412EF" w14:paraId="6F2D089F" w14:textId="2BECF24D">
      <w:pPr>
        <w:ind w:left="180"/>
        <w:rPr>
          <w:rFonts w:ascii="Times New Roman" w:hAnsi="Times New Roman" w:cs="Times New Roman"/>
          <w:szCs w:val="24"/>
        </w:rPr>
      </w:pPr>
      <w:r w:rsidRPr="006B1D8F">
        <w:rPr>
          <w:rFonts w:ascii="Times New Roman" w:hAnsi="Times New Roman" w:cs="Times New Roman"/>
          <w:szCs w:val="24"/>
        </w:rPr>
        <w:t xml:space="preserve">The following individuals outside of the agency have been consulted on questionnaire development. </w:t>
      </w:r>
    </w:p>
    <w:p w:rsidR="00EA0D40" w:rsidRPr="006B1D8F" w:rsidP="00EA0D40" w14:paraId="6A756158" w14:textId="62CF6EE1">
      <w:pPr>
        <w:ind w:left="180"/>
      </w:pPr>
    </w:p>
    <w:p w:rsidR="007E1BA4" w:rsidRPr="006B1D8F" w:rsidP="007E1BA4" w14:paraId="6699DB63" w14:textId="12991A5A">
      <w:pPr>
        <w:ind w:left="180"/>
        <w:rPr>
          <w:rFonts w:ascii="Times New Roman" w:hAnsi="Times New Roman" w:cs="Times New Roman"/>
        </w:rPr>
      </w:pPr>
      <w:r w:rsidRPr="006B1D8F">
        <w:rPr>
          <w:rFonts w:ascii="Times New Roman" w:hAnsi="Times New Roman" w:cs="Times New Roman"/>
        </w:rPr>
        <w:t xml:space="preserve">Matthew </w:t>
      </w:r>
      <w:r w:rsidRPr="006B1D8F">
        <w:rPr>
          <w:rFonts w:ascii="Times New Roman" w:hAnsi="Times New Roman" w:cs="Times New Roman"/>
        </w:rPr>
        <w:t>Farrelly</w:t>
      </w:r>
    </w:p>
    <w:p w:rsidR="007E1BA4" w:rsidRPr="006B1D8F" w:rsidP="007E1BA4" w14:paraId="37824805" w14:textId="77777777">
      <w:pPr>
        <w:ind w:left="180"/>
        <w:rPr>
          <w:rFonts w:ascii="Times New Roman" w:hAnsi="Times New Roman" w:cs="Times New Roman"/>
        </w:rPr>
      </w:pPr>
      <w:r w:rsidRPr="006B1D8F">
        <w:rPr>
          <w:rFonts w:ascii="Times New Roman" w:hAnsi="Times New Roman" w:cs="Times New Roman"/>
        </w:rPr>
        <w:t>RTI International</w:t>
      </w:r>
    </w:p>
    <w:p w:rsidR="007E1BA4" w:rsidRPr="006B1D8F" w:rsidP="007E1BA4" w14:paraId="1C11C69A" w14:textId="77777777">
      <w:pPr>
        <w:ind w:left="180"/>
        <w:rPr>
          <w:rFonts w:ascii="Times New Roman" w:hAnsi="Times New Roman" w:cs="Times New Roman"/>
        </w:rPr>
      </w:pPr>
      <w:r w:rsidRPr="006B1D8F">
        <w:rPr>
          <w:rFonts w:ascii="Times New Roman" w:hAnsi="Times New Roman" w:cs="Times New Roman"/>
        </w:rPr>
        <w:t>3040 Cornwallis Road</w:t>
      </w:r>
    </w:p>
    <w:p w:rsidR="007E1BA4" w:rsidRPr="006B1D8F" w:rsidP="007E1BA4" w14:paraId="70FCD32A" w14:textId="77777777">
      <w:pPr>
        <w:ind w:left="180"/>
        <w:rPr>
          <w:rFonts w:ascii="Times New Roman" w:hAnsi="Times New Roman" w:cs="Times New Roman"/>
        </w:rPr>
      </w:pPr>
      <w:r w:rsidRPr="006B1D8F">
        <w:rPr>
          <w:rFonts w:ascii="Times New Roman" w:hAnsi="Times New Roman" w:cs="Times New Roman"/>
        </w:rPr>
        <w:t>Research Triangle Park, NC 27709</w:t>
      </w:r>
    </w:p>
    <w:p w:rsidR="007E1BA4" w:rsidRPr="006B1D8F" w:rsidP="007E1BA4" w14:paraId="2E3DEE91" w14:textId="045B3F54">
      <w:pPr>
        <w:ind w:left="180"/>
        <w:rPr>
          <w:rFonts w:ascii="Times New Roman" w:hAnsi="Times New Roman" w:cs="Times New Roman"/>
        </w:rPr>
      </w:pPr>
      <w:r w:rsidRPr="006B1D8F">
        <w:rPr>
          <w:rFonts w:ascii="Times New Roman" w:hAnsi="Times New Roman" w:cs="Times New Roman"/>
        </w:rPr>
        <w:t>Phone: 919-541-6852</w:t>
      </w:r>
    </w:p>
    <w:p w:rsidR="007E1BA4" w:rsidRPr="006B1D8F" w:rsidP="007E1BA4" w14:paraId="18F5F157" w14:textId="42A1A60B">
      <w:pPr>
        <w:ind w:left="180"/>
        <w:rPr>
          <w:rFonts w:ascii="Times New Roman" w:hAnsi="Times New Roman" w:cs="Times New Roman"/>
        </w:rPr>
      </w:pPr>
      <w:r w:rsidRPr="006B1D8F">
        <w:rPr>
          <w:rFonts w:ascii="Times New Roman" w:hAnsi="Times New Roman" w:cs="Times New Roman"/>
        </w:rPr>
        <w:t xml:space="preserve">E-mail: </w:t>
      </w:r>
      <w:hyperlink r:id="rId8" w:history="1">
        <w:r w:rsidRPr="006B1D8F">
          <w:rPr>
            <w:rStyle w:val="Hyperlink"/>
            <w:rFonts w:ascii="Times New Roman" w:hAnsi="Times New Roman" w:cs="Times New Roman"/>
          </w:rPr>
          <w:t>mcf@rti.org</w:t>
        </w:r>
      </w:hyperlink>
    </w:p>
    <w:p w:rsidR="007E1BA4" w:rsidP="007E1BA4" w14:paraId="4E6BCC56" w14:textId="24D8B4E7">
      <w:pPr>
        <w:ind w:left="180"/>
        <w:rPr>
          <w:rFonts w:ascii="Times New Roman" w:hAnsi="Times New Roman" w:cs="Times New Roman"/>
        </w:rPr>
      </w:pPr>
    </w:p>
    <w:p w:rsidR="007E1BA4" w:rsidRPr="006B1D8F" w:rsidP="007E1BA4" w14:paraId="56CEB4C1" w14:textId="792FF677">
      <w:pPr>
        <w:ind w:left="180"/>
        <w:rPr>
          <w:rFonts w:ascii="Times New Roman" w:hAnsi="Times New Roman" w:cs="Times New Roman"/>
        </w:rPr>
      </w:pPr>
      <w:r>
        <w:rPr>
          <w:rFonts w:ascii="Times New Roman" w:hAnsi="Times New Roman" w:cs="Times New Roman"/>
        </w:rPr>
        <w:t>Kim Hayes</w:t>
      </w:r>
    </w:p>
    <w:p w:rsidR="007E1BA4" w:rsidRPr="006B1D8F" w:rsidP="007E1BA4" w14:paraId="52F928C1" w14:textId="77777777">
      <w:pPr>
        <w:ind w:left="180"/>
        <w:rPr>
          <w:rFonts w:ascii="Times New Roman" w:hAnsi="Times New Roman" w:cs="Times New Roman"/>
        </w:rPr>
      </w:pPr>
      <w:r w:rsidRPr="006B1D8F">
        <w:rPr>
          <w:rFonts w:ascii="Times New Roman" w:hAnsi="Times New Roman" w:cs="Times New Roman"/>
        </w:rPr>
        <w:t>RTI International</w:t>
      </w:r>
    </w:p>
    <w:p w:rsidR="007E1BA4" w:rsidRPr="006B1D8F" w:rsidP="007E1BA4" w14:paraId="3B9D4962" w14:textId="77777777">
      <w:pPr>
        <w:ind w:left="180"/>
        <w:rPr>
          <w:rFonts w:ascii="Times New Roman" w:hAnsi="Times New Roman" w:cs="Times New Roman"/>
        </w:rPr>
      </w:pPr>
      <w:r w:rsidRPr="006B1D8F">
        <w:rPr>
          <w:rFonts w:ascii="Times New Roman" w:hAnsi="Times New Roman" w:cs="Times New Roman"/>
        </w:rPr>
        <w:t>3040 Cornwallis Road</w:t>
      </w:r>
    </w:p>
    <w:p w:rsidR="007E1BA4" w:rsidRPr="006B1D8F" w:rsidP="007E1BA4" w14:paraId="1C150334" w14:textId="77777777">
      <w:pPr>
        <w:ind w:left="180"/>
        <w:rPr>
          <w:rFonts w:ascii="Times New Roman" w:hAnsi="Times New Roman" w:cs="Times New Roman"/>
        </w:rPr>
      </w:pPr>
      <w:r w:rsidRPr="006B1D8F">
        <w:rPr>
          <w:rFonts w:ascii="Times New Roman" w:hAnsi="Times New Roman" w:cs="Times New Roman"/>
        </w:rPr>
        <w:t>Research Triangle Park, NC 27709</w:t>
      </w:r>
    </w:p>
    <w:p w:rsidR="007E1BA4" w:rsidRPr="006B1D8F" w:rsidP="007E1BA4" w14:paraId="6D28AA1E" w14:textId="71939895">
      <w:pPr>
        <w:ind w:left="180"/>
        <w:rPr>
          <w:rFonts w:ascii="Times New Roman" w:hAnsi="Times New Roman" w:cs="Times New Roman"/>
        </w:rPr>
      </w:pPr>
      <w:r w:rsidRPr="006B1D8F">
        <w:rPr>
          <w:rFonts w:ascii="Times New Roman" w:hAnsi="Times New Roman" w:cs="Times New Roman"/>
        </w:rPr>
        <w:t xml:space="preserve">Phone: </w:t>
      </w:r>
      <w:r w:rsidR="00AA77C8">
        <w:rPr>
          <w:rFonts w:ascii="Times New Roman" w:hAnsi="Times New Roman" w:cs="Times New Roman"/>
        </w:rPr>
        <w:t>919-541-1215</w:t>
      </w:r>
    </w:p>
    <w:p w:rsidR="00F758E3" w:rsidP="00326F1D" w14:paraId="66C5070A" w14:textId="1E0C1E16">
      <w:pPr>
        <w:ind w:left="180"/>
        <w:rPr>
          <w:rFonts w:ascii="Times New Roman" w:hAnsi="Times New Roman" w:cs="Times New Roman"/>
        </w:rPr>
      </w:pPr>
      <w:r w:rsidRPr="006B1D8F">
        <w:rPr>
          <w:rFonts w:ascii="Times New Roman" w:hAnsi="Times New Roman" w:cs="Times New Roman"/>
        </w:rPr>
        <w:t>E-mail:</w:t>
      </w:r>
      <w:r w:rsidRPr="006B1D8F" w:rsidR="00193625">
        <w:rPr>
          <w:rFonts w:ascii="Times New Roman" w:hAnsi="Times New Roman" w:cs="Times New Roman"/>
        </w:rPr>
        <w:t xml:space="preserve"> </w:t>
      </w:r>
      <w:hyperlink r:id="rId9" w:history="1">
        <w:r w:rsidRPr="00CD1FCF" w:rsidR="00AA77C8">
          <w:rPr>
            <w:rStyle w:val="Hyperlink"/>
            <w:rFonts w:ascii="Times New Roman" w:hAnsi="Times New Roman" w:cs="Times New Roman"/>
          </w:rPr>
          <w:t>khayes@rti.org</w:t>
        </w:r>
      </w:hyperlink>
    </w:p>
    <w:p w:rsidR="00F758E3" w:rsidP="0052711D" w14:paraId="75A16B7D" w14:textId="77777777">
      <w:pPr>
        <w:ind w:left="180"/>
        <w:rPr>
          <w:rFonts w:ascii="Times New Roman" w:hAnsi="Times New Roman" w:cs="Times New Roman"/>
        </w:rPr>
      </w:pPr>
    </w:p>
    <w:p w:rsidR="000F5C22" w:rsidP="0052711D" w14:paraId="1C931441" w14:textId="2FAC0751">
      <w:pPr>
        <w:ind w:left="180"/>
        <w:rPr>
          <w:rFonts w:ascii="Times New Roman" w:hAnsi="Times New Roman" w:cs="Times New Roman"/>
        </w:rPr>
      </w:pPr>
      <w:r>
        <w:rPr>
          <w:rFonts w:ascii="Times New Roman" w:hAnsi="Times New Roman" w:cs="Times New Roman"/>
        </w:rPr>
        <w:t>J</w:t>
      </w:r>
      <w:r w:rsidR="009E3BB9">
        <w:rPr>
          <w:rFonts w:ascii="Times New Roman" w:hAnsi="Times New Roman" w:cs="Times New Roman"/>
        </w:rPr>
        <w:t>essica So</w:t>
      </w:r>
      <w:r w:rsidR="00E36FCD">
        <w:rPr>
          <w:rFonts w:ascii="Times New Roman" w:hAnsi="Times New Roman" w:cs="Times New Roman"/>
        </w:rPr>
        <w:t>bolewski</w:t>
      </w:r>
    </w:p>
    <w:p w:rsidR="00E36FCD" w:rsidP="0052711D" w14:paraId="5C67F867" w14:textId="7A676037">
      <w:pPr>
        <w:ind w:left="180"/>
        <w:rPr>
          <w:rFonts w:ascii="Times New Roman" w:hAnsi="Times New Roman" w:cs="Times New Roman"/>
        </w:rPr>
      </w:pPr>
      <w:r>
        <w:rPr>
          <w:rFonts w:ascii="Times New Roman" w:hAnsi="Times New Roman" w:cs="Times New Roman"/>
        </w:rPr>
        <w:t>RTI Intern</w:t>
      </w:r>
      <w:r w:rsidR="009D5484">
        <w:rPr>
          <w:rFonts w:ascii="Times New Roman" w:hAnsi="Times New Roman" w:cs="Times New Roman"/>
        </w:rPr>
        <w:t xml:space="preserve">ational </w:t>
      </w:r>
    </w:p>
    <w:p w:rsidR="00485CA0" w:rsidP="0052711D" w14:paraId="33364064" w14:textId="72BABEE1">
      <w:pPr>
        <w:ind w:left="180"/>
        <w:rPr>
          <w:rFonts w:ascii="Times New Roman" w:hAnsi="Times New Roman" w:cs="Times New Roman"/>
        </w:rPr>
      </w:pPr>
      <w:r>
        <w:rPr>
          <w:rFonts w:ascii="Times New Roman" w:hAnsi="Times New Roman" w:cs="Times New Roman"/>
        </w:rPr>
        <w:t>3040 Cornwallis Road</w:t>
      </w:r>
    </w:p>
    <w:p w:rsidR="00485CA0" w:rsidP="0052711D" w14:paraId="1F5B16BF" w14:textId="7DFE22A5">
      <w:pPr>
        <w:ind w:left="180"/>
        <w:rPr>
          <w:rFonts w:ascii="Times New Roman" w:hAnsi="Times New Roman" w:cs="Times New Roman"/>
        </w:rPr>
      </w:pPr>
      <w:r>
        <w:rPr>
          <w:rFonts w:ascii="Times New Roman" w:hAnsi="Times New Roman" w:cs="Times New Roman"/>
        </w:rPr>
        <w:t>Research Triangle Park, NC 27709</w:t>
      </w:r>
    </w:p>
    <w:p w:rsidR="00AB38B8" w:rsidP="0052711D" w14:paraId="7C8F6F64" w14:textId="0746CBEF">
      <w:pPr>
        <w:ind w:left="180"/>
        <w:rPr>
          <w:rFonts w:ascii="Times New Roman" w:hAnsi="Times New Roman" w:cs="Times New Roman"/>
        </w:rPr>
      </w:pPr>
      <w:r>
        <w:rPr>
          <w:rFonts w:ascii="Times New Roman" w:hAnsi="Times New Roman" w:cs="Times New Roman"/>
        </w:rPr>
        <w:t>Phone: 919-541-6657</w:t>
      </w:r>
    </w:p>
    <w:p w:rsidR="00E1016F" w:rsidP="00326F1D" w14:paraId="60AB01E3" w14:textId="1BB929A8">
      <w:pPr>
        <w:ind w:left="180"/>
        <w:rPr>
          <w:rFonts w:ascii="Times New Roman" w:hAnsi="Times New Roman" w:cs="Times New Roman"/>
        </w:rPr>
      </w:pPr>
      <w:r>
        <w:rPr>
          <w:rFonts w:ascii="Times New Roman" w:hAnsi="Times New Roman" w:cs="Times New Roman"/>
        </w:rPr>
        <w:t>Email</w:t>
      </w:r>
      <w:r w:rsidR="00173375">
        <w:rPr>
          <w:rFonts w:ascii="Times New Roman" w:hAnsi="Times New Roman" w:cs="Times New Roman"/>
        </w:rPr>
        <w:t xml:space="preserve">: </w:t>
      </w:r>
      <w:hyperlink r:id="rId10" w:history="1">
        <w:r w:rsidRPr="00087882" w:rsidR="00173375">
          <w:rPr>
            <w:rStyle w:val="Hyperlink"/>
            <w:rFonts w:ascii="Times New Roman" w:hAnsi="Times New Roman" w:cs="Times New Roman"/>
          </w:rPr>
          <w:t>jsobolewski@rti.org</w:t>
        </w:r>
      </w:hyperlink>
    </w:p>
    <w:p w:rsidR="000613D1" w:rsidP="00D3358C" w14:paraId="0AE96AB2" w14:textId="77777777">
      <w:pPr>
        <w:ind w:left="180"/>
        <w:rPr>
          <w:rFonts w:ascii="Times New Roman" w:hAnsi="Times New Roman" w:cs="Times New Roman"/>
        </w:rPr>
      </w:pPr>
    </w:p>
    <w:p w:rsidR="00D3358C" w:rsidP="00D3358C" w14:paraId="6419CC57" w14:textId="7EAE9725">
      <w:pPr>
        <w:ind w:left="180"/>
        <w:rPr>
          <w:rFonts w:ascii="Times New Roman" w:hAnsi="Times New Roman" w:cs="Times New Roman"/>
        </w:rPr>
      </w:pPr>
      <w:r>
        <w:rPr>
          <w:rFonts w:ascii="Times New Roman" w:hAnsi="Times New Roman" w:cs="Times New Roman"/>
        </w:rPr>
        <w:t>Vaughn Armbrister</w:t>
      </w:r>
    </w:p>
    <w:p w:rsidR="00D3358C" w:rsidP="00D3358C" w14:paraId="4CC102AA" w14:textId="77777777">
      <w:pPr>
        <w:ind w:left="180"/>
        <w:rPr>
          <w:rFonts w:ascii="Times New Roman" w:hAnsi="Times New Roman" w:cs="Times New Roman"/>
        </w:rPr>
      </w:pPr>
      <w:r>
        <w:rPr>
          <w:rFonts w:ascii="Times New Roman" w:hAnsi="Times New Roman" w:cs="Times New Roman"/>
        </w:rPr>
        <w:t>RTI International</w:t>
      </w:r>
    </w:p>
    <w:p w:rsidR="00D3358C" w:rsidP="00D3358C" w14:paraId="23902487" w14:textId="77777777">
      <w:pPr>
        <w:ind w:left="180"/>
        <w:rPr>
          <w:rFonts w:ascii="Times New Roman" w:hAnsi="Times New Roman" w:cs="Times New Roman"/>
        </w:rPr>
      </w:pPr>
      <w:r>
        <w:rPr>
          <w:rFonts w:ascii="Times New Roman" w:hAnsi="Times New Roman" w:cs="Times New Roman"/>
        </w:rPr>
        <w:t>3040 Cornwallis Road</w:t>
      </w:r>
    </w:p>
    <w:p w:rsidR="00D3358C" w:rsidP="00D3358C" w14:paraId="6BD610AE" w14:textId="77777777">
      <w:pPr>
        <w:ind w:left="180"/>
        <w:rPr>
          <w:rFonts w:ascii="Times New Roman" w:hAnsi="Times New Roman" w:cs="Times New Roman"/>
        </w:rPr>
      </w:pPr>
      <w:r>
        <w:rPr>
          <w:rFonts w:ascii="Times New Roman" w:hAnsi="Times New Roman" w:cs="Times New Roman"/>
        </w:rPr>
        <w:t>Research Triangle Park, NC 27709</w:t>
      </w:r>
    </w:p>
    <w:p w:rsidR="00D3358C" w:rsidP="00D3358C" w14:paraId="0E4AC18D" w14:textId="77777777">
      <w:pPr>
        <w:ind w:left="180"/>
        <w:rPr>
          <w:rFonts w:ascii="Times New Roman" w:hAnsi="Times New Roman" w:cs="Times New Roman"/>
        </w:rPr>
      </w:pPr>
      <w:r>
        <w:rPr>
          <w:rFonts w:ascii="Times New Roman" w:hAnsi="Times New Roman" w:cs="Times New Roman"/>
        </w:rPr>
        <w:t>Phone: 919-248-8521</w:t>
      </w:r>
    </w:p>
    <w:p w:rsidR="00D3358C" w:rsidP="00D3358C" w14:paraId="64EFE5B5" w14:textId="297FDA44">
      <w:pPr>
        <w:ind w:left="180"/>
        <w:rPr>
          <w:rFonts w:ascii="Times New Roman" w:hAnsi="Times New Roman" w:cs="Times New Roman"/>
        </w:rPr>
      </w:pPr>
      <w:r>
        <w:rPr>
          <w:rFonts w:ascii="Times New Roman" w:hAnsi="Times New Roman" w:cs="Times New Roman"/>
        </w:rPr>
        <w:t xml:space="preserve">Email: </w:t>
      </w:r>
      <w:hyperlink r:id="rId11" w:history="1">
        <w:r w:rsidRPr="00087882">
          <w:rPr>
            <w:rStyle w:val="Hyperlink"/>
            <w:rFonts w:ascii="Times New Roman" w:hAnsi="Times New Roman" w:cs="Times New Roman"/>
          </w:rPr>
          <w:t>aarmbrister@rti.org</w:t>
        </w:r>
      </w:hyperlink>
      <w:r>
        <w:rPr>
          <w:rFonts w:ascii="Times New Roman" w:hAnsi="Times New Roman" w:cs="Times New Roman"/>
        </w:rPr>
        <w:t xml:space="preserve"> </w:t>
      </w:r>
    </w:p>
    <w:p w:rsidR="00D3358C" w:rsidP="0052711D" w14:paraId="61E83962" w14:textId="77777777">
      <w:pPr>
        <w:ind w:left="180"/>
        <w:rPr>
          <w:rFonts w:ascii="Times New Roman" w:hAnsi="Times New Roman" w:cs="Times New Roman"/>
        </w:rPr>
      </w:pPr>
    </w:p>
    <w:p w:rsidR="001D081E" w:rsidP="0052711D" w14:paraId="7CAAD2D9" w14:textId="3B69B8ED">
      <w:pPr>
        <w:ind w:left="180"/>
        <w:rPr>
          <w:rFonts w:ascii="Times New Roman" w:hAnsi="Times New Roman" w:cs="Times New Roman"/>
        </w:rPr>
      </w:pPr>
      <w:r>
        <w:rPr>
          <w:rFonts w:ascii="Times New Roman" w:hAnsi="Times New Roman" w:cs="Times New Roman"/>
        </w:rPr>
        <w:t>J</w:t>
      </w:r>
      <w:r w:rsidR="00B904B2">
        <w:rPr>
          <w:rFonts w:ascii="Times New Roman" w:hAnsi="Times New Roman" w:cs="Times New Roman"/>
        </w:rPr>
        <w:t xml:space="preserve">amie Guillory </w:t>
      </w:r>
    </w:p>
    <w:p w:rsidR="006B11EF" w:rsidP="0052711D" w14:paraId="76D0E359" w14:textId="6B6AA2EF">
      <w:pPr>
        <w:ind w:left="180"/>
        <w:rPr>
          <w:rFonts w:ascii="Times New Roman" w:hAnsi="Times New Roman" w:cs="Times New Roman"/>
          <w:szCs w:val="24"/>
        </w:rPr>
      </w:pPr>
      <w:r w:rsidRPr="009E5CCD">
        <w:rPr>
          <w:rFonts w:ascii="Times New Roman" w:hAnsi="Times New Roman" w:cs="Times New Roman"/>
          <w:szCs w:val="24"/>
        </w:rPr>
        <w:t>Prime Affect Research</w:t>
      </w:r>
      <w:r w:rsidR="009E5CCD">
        <w:rPr>
          <w:rFonts w:ascii="Times New Roman" w:hAnsi="Times New Roman" w:cs="Times New Roman"/>
          <w:szCs w:val="24"/>
        </w:rPr>
        <w:t>, Ltd</w:t>
      </w:r>
    </w:p>
    <w:p w:rsidR="009E5CCD" w:rsidP="0052711D" w14:paraId="055105D3" w14:textId="2B23547D">
      <w:pPr>
        <w:ind w:left="180"/>
        <w:rPr>
          <w:rFonts w:ascii="Times New Roman" w:hAnsi="Times New Roman" w:cs="Times New Roman"/>
          <w:szCs w:val="24"/>
        </w:rPr>
      </w:pPr>
      <w:r>
        <w:rPr>
          <w:rFonts w:ascii="Times New Roman" w:hAnsi="Times New Roman" w:cs="Times New Roman"/>
          <w:szCs w:val="24"/>
        </w:rPr>
        <w:t>64 Dame Street</w:t>
      </w:r>
    </w:p>
    <w:p w:rsidR="009E5CCD" w:rsidRPr="009E5CCD" w:rsidP="0052711D" w14:paraId="43D93028" w14:textId="781350EF">
      <w:pPr>
        <w:ind w:left="180"/>
        <w:rPr>
          <w:rFonts w:ascii="Times New Roman" w:hAnsi="Times New Roman" w:cs="Times New Roman"/>
          <w:szCs w:val="24"/>
        </w:rPr>
      </w:pPr>
      <w:r>
        <w:rPr>
          <w:rFonts w:ascii="Times New Roman" w:hAnsi="Times New Roman" w:cs="Times New Roman"/>
          <w:szCs w:val="24"/>
        </w:rPr>
        <w:t>Dublin D02RTY72, Ireland</w:t>
      </w:r>
    </w:p>
    <w:p w:rsidR="009E5CCD" w:rsidP="0052711D" w14:paraId="7368A287" w14:textId="0B1B419D">
      <w:pPr>
        <w:ind w:left="180"/>
        <w:rPr>
          <w:rFonts w:ascii="Times New Roman" w:hAnsi="Times New Roman" w:cs="Times New Roman"/>
          <w:szCs w:val="24"/>
        </w:rPr>
      </w:pPr>
      <w:r w:rsidRPr="009E5CCD">
        <w:rPr>
          <w:rFonts w:ascii="Times New Roman" w:hAnsi="Times New Roman" w:cs="Times New Roman"/>
          <w:szCs w:val="24"/>
        </w:rPr>
        <w:t xml:space="preserve">Phone: </w:t>
      </w:r>
      <w:r>
        <w:rPr>
          <w:rFonts w:ascii="Times New Roman" w:hAnsi="Times New Roman" w:cs="Times New Roman"/>
          <w:szCs w:val="24"/>
        </w:rPr>
        <w:t>919-695-9264</w:t>
      </w:r>
    </w:p>
    <w:p w:rsidR="00F758E3" w:rsidP="0052711D" w14:paraId="5BF13D71" w14:textId="28E52594">
      <w:pPr>
        <w:ind w:left="180"/>
        <w:rPr>
          <w:rFonts w:ascii="Times New Roman" w:hAnsi="Times New Roman" w:cs="Times New Roman"/>
        </w:rPr>
      </w:pPr>
      <w:r>
        <w:rPr>
          <w:rFonts w:ascii="Times New Roman" w:hAnsi="Times New Roman" w:cs="Times New Roman"/>
        </w:rPr>
        <w:t>Email:</w:t>
      </w:r>
      <w:r w:rsidR="00C230EE">
        <w:rPr>
          <w:rFonts w:ascii="Times New Roman" w:hAnsi="Times New Roman" w:cs="Times New Roman"/>
        </w:rPr>
        <w:t xml:space="preserve"> </w:t>
      </w:r>
      <w:hyperlink r:id="rId12" w:history="1">
        <w:r w:rsidRPr="001A3D46" w:rsidR="00C303BE">
          <w:rPr>
            <w:rStyle w:val="Hyperlink"/>
            <w:rFonts w:ascii="Times New Roman" w:hAnsi="Times New Roman" w:cs="Times New Roman"/>
          </w:rPr>
          <w:t>jamieguillory.contractor@rti.org</w:t>
        </w:r>
      </w:hyperlink>
      <w:r>
        <w:rPr>
          <w:rFonts w:ascii="Times New Roman" w:hAnsi="Times New Roman" w:cs="Times New Roman"/>
        </w:rPr>
        <w:t xml:space="preserve"> </w:t>
      </w:r>
    </w:p>
    <w:p w:rsidR="00DE30B3" w:rsidP="00DE30B3" w14:paraId="00D64D92" w14:textId="748F11A5">
      <w:pPr>
        <w:ind w:left="180"/>
        <w:rPr>
          <w:rFonts w:ascii="Times New Roman" w:hAnsi="Times New Roman" w:cs="Times New Roman"/>
        </w:rPr>
      </w:pPr>
      <w:r w:rsidRPr="00DE30B3">
        <w:rPr>
          <w:rFonts w:ascii="Times New Roman" w:hAnsi="Times New Roman" w:cs="Times New Roman"/>
        </w:rPr>
        <w:t> </w:t>
      </w:r>
    </w:p>
    <w:p w:rsidR="00392721" w:rsidRPr="006B1D8F" w:rsidP="00326F1D" w14:paraId="12101F97" w14:textId="77777777">
      <w:pPr>
        <w:rPr>
          <w:rFonts w:ascii="Times New Roman" w:hAnsi="Times New Roman" w:cs="Times New Roman"/>
        </w:rPr>
      </w:pPr>
    </w:p>
    <w:p w:rsidR="00BE1FCB" w:rsidRPr="006B1D8F" w:rsidP="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1" w:name="_Toc239649230"/>
      <w:r w:rsidRPr="006B1D8F">
        <w:rPr>
          <w:rFonts w:ascii="Times New Roman" w:eastAsia="Times New Roman" w:hAnsi="Times New Roman" w:cs="Times New Roman"/>
          <w:b/>
          <w:bCs/>
          <w:szCs w:val="24"/>
        </w:rPr>
        <w:t xml:space="preserve">9. </w:t>
      </w:r>
      <w:r w:rsidRPr="006B1D8F">
        <w:rPr>
          <w:rFonts w:ascii="Times New Roman" w:eastAsia="Times New Roman" w:hAnsi="Times New Roman" w:cs="Times New Roman"/>
          <w:b/>
          <w:bCs/>
          <w:szCs w:val="24"/>
          <w:u w:val="single"/>
        </w:rPr>
        <w:t>Explanation of Any Payment or Gift to Respondents</w:t>
      </w:r>
      <w:bookmarkStart w:id="12" w:name="_Toc239649231"/>
      <w:bookmarkEnd w:id="11"/>
    </w:p>
    <w:p w:rsidR="00BE1FCB" w:rsidRPr="006B1D8F" w:rsidP="00CE3249" w14:paraId="405DF652" w14:textId="77777777"/>
    <w:p w:rsidR="000613D1" w:rsidP="00326F1D" w14:paraId="79873C88" w14:textId="4629A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bookmarkStart w:id="13" w:name="_Hlk3981578"/>
      <w:r w:rsidRPr="2EFDD1FC">
        <w:rPr>
          <w:rFonts w:ascii="Times New Roman" w:eastAsia="Times New Roman" w:hAnsi="Times New Roman" w:cs="Times New Roman"/>
        </w:rPr>
        <w:t xml:space="preserve">As a token of appreciation, participants who complete </w:t>
      </w:r>
      <w:r w:rsidRPr="2EFDD1FC" w:rsidR="00D97670">
        <w:rPr>
          <w:rFonts w:ascii="Times New Roman" w:eastAsia="Times New Roman" w:hAnsi="Times New Roman" w:cs="Times New Roman"/>
        </w:rPr>
        <w:t xml:space="preserve">the survey </w:t>
      </w:r>
      <w:r w:rsidRPr="2EFDD1FC" w:rsidR="002C5950">
        <w:rPr>
          <w:rFonts w:ascii="Times New Roman" w:eastAsia="Times New Roman" w:hAnsi="Times New Roman" w:cs="Times New Roman"/>
        </w:rPr>
        <w:t>and are deemed non-fraud</w:t>
      </w:r>
      <w:r w:rsidRPr="2EFDD1FC" w:rsidR="004D7FD8">
        <w:rPr>
          <w:rFonts w:ascii="Times New Roman" w:eastAsia="Times New Roman" w:hAnsi="Times New Roman" w:cs="Times New Roman"/>
        </w:rPr>
        <w:t>ulent or non-duplicate</w:t>
      </w:r>
      <w:r w:rsidRPr="2EFDD1FC" w:rsidR="00D97670">
        <w:rPr>
          <w:rFonts w:ascii="Times New Roman" w:eastAsia="Times New Roman" w:hAnsi="Times New Roman" w:cs="Times New Roman"/>
        </w:rPr>
        <w:t xml:space="preserve"> </w:t>
      </w:r>
      <w:r w:rsidRPr="2EFDD1FC">
        <w:rPr>
          <w:rFonts w:ascii="Times New Roman" w:eastAsia="Times New Roman" w:hAnsi="Times New Roman" w:cs="Times New Roman"/>
        </w:rPr>
        <w:t xml:space="preserve">will receive a </w:t>
      </w:r>
      <w:r w:rsidRPr="2EFDD1FC" w:rsidR="131861ED">
        <w:rPr>
          <w:rFonts w:ascii="Times New Roman" w:eastAsia="Times New Roman" w:hAnsi="Times New Roman" w:cs="Times New Roman"/>
        </w:rPr>
        <w:t>$</w:t>
      </w:r>
      <w:r w:rsidRPr="2EFDD1FC" w:rsidR="43C49F35">
        <w:rPr>
          <w:rFonts w:ascii="Times New Roman" w:eastAsia="Times New Roman" w:hAnsi="Times New Roman" w:cs="Times New Roman"/>
        </w:rPr>
        <w:t>5</w:t>
      </w:r>
      <w:r w:rsidRPr="2EFDD1FC" w:rsidR="131861ED">
        <w:rPr>
          <w:rFonts w:ascii="Times New Roman" w:eastAsia="Times New Roman" w:hAnsi="Times New Roman" w:cs="Times New Roman"/>
        </w:rPr>
        <w:t xml:space="preserve"> </w:t>
      </w:r>
      <w:r w:rsidRPr="2EFDD1FC" w:rsidR="00CE0CDF">
        <w:rPr>
          <w:rFonts w:ascii="Times New Roman" w:eastAsia="Times New Roman" w:hAnsi="Times New Roman" w:cs="Times New Roman"/>
        </w:rPr>
        <w:t>token of appreciation</w:t>
      </w:r>
      <w:r w:rsidRPr="2EFDD1FC">
        <w:rPr>
          <w:rFonts w:ascii="Times New Roman" w:eastAsia="Times New Roman" w:hAnsi="Times New Roman" w:cs="Times New Roman"/>
        </w:rPr>
        <w:t xml:space="preserve">. </w:t>
      </w:r>
      <w:r w:rsidRPr="2EFDD1FC" w:rsidR="3DC525F9">
        <w:rPr>
          <w:rFonts w:ascii="Times New Roman" w:hAnsi="Times New Roman" w:cs="Times New Roman"/>
        </w:rPr>
        <w:t xml:space="preserve">This </w:t>
      </w:r>
      <w:r w:rsidRPr="2EFDD1FC" w:rsidR="00AE45C6">
        <w:rPr>
          <w:rFonts w:ascii="Times New Roman" w:hAnsi="Times New Roman" w:cs="Times New Roman"/>
        </w:rPr>
        <w:t xml:space="preserve">token of appreciation </w:t>
      </w:r>
      <w:r w:rsidRPr="2EFDD1FC" w:rsidR="3DC525F9">
        <w:rPr>
          <w:rFonts w:ascii="Times New Roman" w:hAnsi="Times New Roman" w:cs="Times New Roman"/>
        </w:rPr>
        <w:t xml:space="preserve">amount reflects the burden of spending an average of </w:t>
      </w:r>
      <w:r w:rsidRPr="2EFDD1FC" w:rsidR="00041F56">
        <w:rPr>
          <w:rFonts w:ascii="Times New Roman" w:hAnsi="Times New Roman" w:cs="Times New Roman"/>
        </w:rPr>
        <w:t>15</w:t>
      </w:r>
      <w:r w:rsidRPr="2EFDD1FC" w:rsidR="007A57B0">
        <w:rPr>
          <w:rFonts w:ascii="Times New Roman" w:hAnsi="Times New Roman" w:cs="Times New Roman"/>
        </w:rPr>
        <w:t xml:space="preserve"> </w:t>
      </w:r>
      <w:r w:rsidRPr="2EFDD1FC" w:rsidR="3DC525F9">
        <w:rPr>
          <w:rFonts w:ascii="Times New Roman" w:hAnsi="Times New Roman" w:cs="Times New Roman"/>
        </w:rPr>
        <w:t xml:space="preserve">minutes taking the survey. </w:t>
      </w:r>
      <w:r w:rsidRPr="2EFDD1FC" w:rsidR="002377CB">
        <w:rPr>
          <w:rFonts w:ascii="Times New Roman" w:hAnsi="Times New Roman" w:cs="Times New Roman"/>
        </w:rPr>
        <w:t>There is no incentive for completing the web screener.</w:t>
      </w:r>
      <w:r w:rsidR="002377CB">
        <w:t xml:space="preserve"> </w:t>
      </w:r>
    </w:p>
    <w:p w:rsidR="00E821D1" w:rsidP="00E559AC" w14:paraId="0155FE7C" w14:textId="4137FBA0">
      <w:pPr>
        <w:ind w:left="180"/>
        <w:rPr>
          <w:rFonts w:ascii="Times New Roman" w:eastAsia="Times New Roman" w:hAnsi="Times New Roman" w:cs="Times New Roman"/>
          <w:szCs w:val="24"/>
        </w:rPr>
      </w:pPr>
      <w:r w:rsidRPr="2EFDD1FC">
        <w:rPr>
          <w:rFonts w:ascii="Times New Roman" w:eastAsia="Times New Roman" w:hAnsi="Times New Roman" w:cs="Times New Roman"/>
          <w:szCs w:val="24"/>
        </w:rPr>
        <w:t>A token of appreciation treats participants justly and with respect by recognizing and acknowledging the effort they expend to participate. The token of appreciation must be high enough to equalize the burden placed on participants with respect to their time and cost of participation. Too low of an amount may result in a difficult and lengthy recruitment process and/or respondents who agree to participate and then drop out early. Empirical studies show that incentives can increase response rates in cross-sectional surveys and reduce attrition in longitudinal surveys within some respondent populations</w:t>
      </w:r>
      <w:r w:rsidR="001300D6">
        <w:rPr>
          <w:rFonts w:ascii="Times New Roman" w:eastAsia="Times New Roman" w:hAnsi="Times New Roman" w:cs="Times New Roman"/>
          <w:szCs w:val="24"/>
        </w:rPr>
        <w:t xml:space="preserve"> (Singer &amp; Ye, 2013</w:t>
      </w:r>
      <w:r w:rsidR="00E25848">
        <w:rPr>
          <w:rFonts w:ascii="Times New Roman" w:eastAsia="Times New Roman" w:hAnsi="Times New Roman" w:cs="Times New Roman"/>
          <w:szCs w:val="24"/>
        </w:rPr>
        <w:t xml:space="preserve">; </w:t>
      </w:r>
      <w:r w:rsidR="00E25848">
        <w:rPr>
          <w:rFonts w:ascii="Times New Roman" w:eastAsia="Times New Roman" w:hAnsi="Times New Roman" w:cs="Times New Roman"/>
          <w:szCs w:val="24"/>
        </w:rPr>
        <w:t>LeClere</w:t>
      </w:r>
      <w:r w:rsidR="00E25848">
        <w:rPr>
          <w:rFonts w:ascii="Times New Roman" w:eastAsia="Times New Roman" w:hAnsi="Times New Roman" w:cs="Times New Roman"/>
          <w:szCs w:val="24"/>
        </w:rPr>
        <w:t xml:space="preserve"> et al., 2012; Cantor et al., 2003; Singer, 2002; Singer et al., 1998</w:t>
      </w:r>
      <w:r w:rsidR="001300D6">
        <w:rPr>
          <w:rFonts w:ascii="Times New Roman" w:eastAsia="Times New Roman" w:hAnsi="Times New Roman" w:cs="Times New Roman"/>
          <w:szCs w:val="24"/>
        </w:rPr>
        <w:t>)</w:t>
      </w:r>
      <w:r w:rsidRPr="2EFDD1FC">
        <w:rPr>
          <w:rFonts w:ascii="Times New Roman" w:eastAsia="Times New Roman" w:hAnsi="Times New Roman" w:cs="Times New Roman"/>
          <w:szCs w:val="24"/>
        </w:rPr>
        <w:t xml:space="preserve"> Several studies have shown the effects of incentives within the context of a web-based survey. For example, a 2006 meta-analysis of 32 studies indicates that incentives increase the odds that potential respondents will begin a web survey, and a second meta-analysis of 26 studies shows that incentives increase the odds of completing a web survey once respondents have begun it</w:t>
      </w:r>
      <w:r w:rsidR="006C0CA7">
        <w:rPr>
          <w:rFonts w:ascii="Times New Roman" w:eastAsia="Times New Roman" w:hAnsi="Times New Roman" w:cs="Times New Roman"/>
          <w:szCs w:val="24"/>
        </w:rPr>
        <w:t xml:space="preserve"> (Goritz, 2006).</w:t>
      </w:r>
      <w:r w:rsidRPr="2EFDD1FC">
        <w:rPr>
          <w:rFonts w:ascii="Times New Roman" w:eastAsia="Times New Roman" w:hAnsi="Times New Roman" w:cs="Times New Roman"/>
          <w:szCs w:val="24"/>
        </w:rPr>
        <w:t xml:space="preserve">  </w:t>
      </w:r>
    </w:p>
    <w:p w:rsidR="005D23B5" w:rsidP="00E559AC" w14:paraId="6A9598BA" w14:textId="77777777">
      <w:pPr>
        <w:ind w:left="180"/>
        <w:rPr>
          <w:rFonts w:ascii="Times New Roman" w:eastAsia="Times New Roman" w:hAnsi="Times New Roman" w:cs="Times New Roman"/>
          <w:szCs w:val="24"/>
        </w:rPr>
      </w:pPr>
    </w:p>
    <w:p w:rsidR="00E821D1" w:rsidP="00E559AC" w14:paraId="4F8F3992" w14:textId="3A840DCB">
      <w:pPr>
        <w:ind w:left="180"/>
        <w:rPr>
          <w:rFonts w:ascii="Times New Roman" w:eastAsia="Times New Roman" w:hAnsi="Times New Roman" w:cs="Times New Roman"/>
          <w:szCs w:val="24"/>
        </w:rPr>
      </w:pPr>
      <w:r w:rsidRPr="2EFDD1FC">
        <w:rPr>
          <w:rFonts w:ascii="Times New Roman" w:eastAsia="Times New Roman" w:hAnsi="Times New Roman" w:cs="Times New Roman"/>
          <w:szCs w:val="24"/>
        </w:rPr>
        <w:t>A reasonable token of appreciation is standard practice for research and is suggested by organizations that set the standards for conducting ethical industry-led research among human subjects (Code of Ethics and Standards for Market Research and Data Analytics, 2021)</w:t>
      </w:r>
      <w:r w:rsidR="006C0CA7">
        <w:rPr>
          <w:rFonts w:ascii="Times New Roman" w:eastAsia="Times New Roman" w:hAnsi="Times New Roman" w:cs="Times New Roman"/>
          <w:szCs w:val="24"/>
        </w:rPr>
        <w:t xml:space="preserve"> (Insights Association (2021)</w:t>
      </w:r>
      <w:r w:rsidRPr="2EFDD1FC">
        <w:rPr>
          <w:rFonts w:ascii="Times New Roman" w:eastAsia="Times New Roman" w:hAnsi="Times New Roman" w:cs="Times New Roman"/>
          <w:szCs w:val="24"/>
        </w:rPr>
        <w:t xml:space="preserve"> </w:t>
      </w:r>
    </w:p>
    <w:p w:rsidR="00530D8E" w:rsidRPr="00524646" w:rsidP="00524646" w14:paraId="5CF22D45" w14:textId="222674CA">
      <w:pPr>
        <w:ind w:left="180"/>
        <w:rPr>
          <w:rFonts w:ascii="Times New Roman" w:hAnsi="Times New Roman" w:cs="Times New Roman"/>
        </w:rPr>
      </w:pPr>
      <w:r>
        <w:br/>
      </w:r>
      <w:r w:rsidRPr="00524646">
        <w:rPr>
          <w:rFonts w:ascii="Times New Roman" w:hAnsi="Times New Roman" w:cs="Times New Roman"/>
        </w:rPr>
        <w:t>A previous “Promising Themes” study (OMB control number 0910-0810) of a similar length took 13 weeks to recruit 2,622 youth and young adults of a targeted 3,000 completes with while offering a $5 token of appreciation. Studies with that focused on similar products and participants, such as the Monthly Monitoring Studies (OMB control number 0910-0810) and had success recruiting 1,501 participants when a $5 token of appreciation was offered.</w:t>
      </w:r>
    </w:p>
    <w:p w:rsidR="00530D8E" w:rsidP="00530D8E" w14:paraId="0B9C77B1" w14:textId="77777777">
      <w:pPr>
        <w:rPr>
          <w:rFonts w:ascii="Calibri" w:hAnsi="Calibri"/>
          <w:sz w:val="22"/>
        </w:rPr>
      </w:pPr>
    </w:p>
    <w:bookmarkEnd w:id="13"/>
    <w:p w:rsidR="00BE1FCB" w:rsidRPr="006B1D8F" w:rsidP="290B2E33" w14:paraId="5719D0DE" w14:textId="49ADD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u w:val="single"/>
        </w:rPr>
      </w:pPr>
      <w:r w:rsidRPr="290B2E33">
        <w:rPr>
          <w:rFonts w:ascii="Times New Roman" w:eastAsia="Times New Roman" w:hAnsi="Times New Roman" w:cs="Times New Roman"/>
          <w:b/>
        </w:rPr>
        <w:t xml:space="preserve">10. </w:t>
      </w:r>
      <w:r w:rsidRPr="290B2E33">
        <w:rPr>
          <w:rFonts w:ascii="Times New Roman" w:eastAsia="Times New Roman" w:hAnsi="Times New Roman" w:cs="Times New Roman"/>
          <w:b/>
          <w:u w:val="single"/>
        </w:rPr>
        <w:t>Assurance of Confidentiality Provided to Respondents</w:t>
      </w:r>
      <w:bookmarkEnd w:id="12"/>
    </w:p>
    <w:p w:rsidR="00BE1FCB" w:rsidRPr="006B1D8F" w:rsidP="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742791" w:rsidRPr="009660BD" w:rsidP="009660BD" w14:paraId="28B08001" w14:textId="77777777">
      <w:pPr>
        <w:pStyle w:val="CommentText"/>
        <w:ind w:left="180"/>
        <w:rPr>
          <w:rFonts w:ascii="Times New Roman" w:hAnsi="Times New Roman" w:cs="Times New Roman"/>
          <w:sz w:val="24"/>
          <w:szCs w:val="24"/>
        </w:rPr>
      </w:pPr>
      <w:r w:rsidRPr="009660BD">
        <w:rPr>
          <w:rFonts w:ascii="Times New Roman" w:hAnsi="Times New Roman" w:cs="Times New Roman"/>
          <w:sz w:val="24"/>
          <w:szCs w:val="24"/>
        </w:rPr>
        <w:t>OMB Control Number 0910-0810 is covered underneath a Privacy Impact Assessment that has been approved by the Department of Health and Human Services (PIA Unique Identifier: P-9008729-198376).</w:t>
      </w:r>
    </w:p>
    <w:p w:rsidR="00C800B6" w:rsidRPr="006B1D8F" w:rsidP="00060E16" w14:paraId="01B79BA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060E16" w:rsidRPr="006B1D8F" w:rsidP="00060E16" w14:paraId="09E2F76E" w14:textId="21620AA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PII Collection</w:t>
      </w:r>
    </w:p>
    <w:p w:rsidR="00060E16" w:rsidRPr="006B1D8F" w:rsidP="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RPr="006B1D8F" w:rsidP="43E7EE84" w14:paraId="408FAB4D" w14:textId="72F7F8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43E7EE84">
        <w:rPr>
          <w:rFonts w:ascii="Times New Roman" w:eastAsia="Times New Roman" w:hAnsi="Times New Roman" w:cs="Times New Roman"/>
        </w:rPr>
        <w:t>As part of this study, RTI International, the contractor acting on behalf of FDA, is collecting and maintaining personally identifiable information (PII) about participants who complete the online screener</w:t>
      </w:r>
      <w:r w:rsidRPr="43E7EE84" w:rsidR="00E25223">
        <w:rPr>
          <w:rFonts w:ascii="Times New Roman" w:eastAsia="Times New Roman" w:hAnsi="Times New Roman" w:cs="Times New Roman"/>
        </w:rPr>
        <w:t xml:space="preserve"> and</w:t>
      </w:r>
      <w:r w:rsidRPr="43E7EE84">
        <w:rPr>
          <w:rFonts w:ascii="Times New Roman" w:eastAsia="Times New Roman" w:hAnsi="Times New Roman" w:cs="Times New Roman"/>
        </w:rPr>
        <w:t xml:space="preserve"> </w:t>
      </w:r>
      <w:r w:rsidRPr="43E7EE84" w:rsidR="00023F60">
        <w:rPr>
          <w:rFonts w:ascii="Times New Roman" w:eastAsia="Times New Roman" w:hAnsi="Times New Roman" w:cs="Times New Roman"/>
        </w:rPr>
        <w:t>the</w:t>
      </w:r>
      <w:r w:rsidRPr="43E7EE84">
        <w:rPr>
          <w:rFonts w:ascii="Times New Roman" w:eastAsia="Times New Roman" w:hAnsi="Times New Roman" w:cs="Times New Roman"/>
        </w:rPr>
        <w:t xml:space="preserve"> online survey</w:t>
      </w:r>
      <w:r w:rsidRPr="43E7EE84" w:rsidR="00023F60">
        <w:rPr>
          <w:rFonts w:ascii="Times New Roman" w:eastAsia="Times New Roman" w:hAnsi="Times New Roman" w:cs="Times New Roman"/>
        </w:rPr>
        <w:t>.</w:t>
      </w:r>
      <w:r w:rsidRPr="006B1D8F" w:rsidR="0020465D">
        <w:t xml:space="preserve"> </w:t>
      </w:r>
      <w:r w:rsidRPr="43E7EE84" w:rsidR="0020465D">
        <w:rPr>
          <w:rFonts w:ascii="Times New Roman" w:eastAsia="Times New Roman" w:hAnsi="Times New Roman" w:cs="Times New Roman"/>
        </w:rPr>
        <w:t xml:space="preserve">The only PII </w:t>
      </w:r>
      <w:r w:rsidRPr="09A2EB1B" w:rsidR="0020465D">
        <w:rPr>
          <w:rFonts w:ascii="Times New Roman" w:eastAsia="Times New Roman" w:hAnsi="Times New Roman" w:cs="Times New Roman"/>
        </w:rPr>
        <w:t>RTI</w:t>
      </w:r>
      <w:r w:rsidRPr="43E7EE84" w:rsidR="0020465D">
        <w:rPr>
          <w:rFonts w:ascii="Times New Roman" w:eastAsia="Times New Roman" w:hAnsi="Times New Roman" w:cs="Times New Roman"/>
        </w:rPr>
        <w:t xml:space="preserve"> will be collecting is email address</w:t>
      </w:r>
      <w:r w:rsidRPr="43E7EE84" w:rsidR="00757FBF">
        <w:rPr>
          <w:rFonts w:ascii="Times New Roman" w:eastAsia="Times New Roman" w:hAnsi="Times New Roman" w:cs="Times New Roman"/>
        </w:rPr>
        <w:t xml:space="preserve">, </w:t>
      </w:r>
      <w:r w:rsidRPr="43E7EE84" w:rsidR="0020465D">
        <w:rPr>
          <w:rFonts w:ascii="Times New Roman" w:eastAsia="Times New Roman" w:hAnsi="Times New Roman" w:cs="Times New Roman"/>
        </w:rPr>
        <w:t>IP address,</w:t>
      </w:r>
      <w:r w:rsidRPr="43E7EE84" w:rsidR="00757FBF">
        <w:rPr>
          <w:rFonts w:ascii="Times New Roman" w:eastAsia="Times New Roman" w:hAnsi="Times New Roman" w:cs="Times New Roman"/>
        </w:rPr>
        <w:t xml:space="preserve"> </w:t>
      </w:r>
      <w:r w:rsidR="00040CE4">
        <w:rPr>
          <w:rFonts w:ascii="Times New Roman" w:eastAsia="Times New Roman" w:hAnsi="Times New Roman" w:cs="Times New Roman"/>
        </w:rPr>
        <w:t>zip code</w:t>
      </w:r>
      <w:r w:rsidRPr="43E7EE84" w:rsidR="0020465D">
        <w:rPr>
          <w:rFonts w:ascii="Times New Roman" w:eastAsia="Times New Roman" w:hAnsi="Times New Roman" w:cs="Times New Roman"/>
        </w:rPr>
        <w:t>,</w:t>
      </w:r>
      <w:r w:rsidRPr="43E7EE84" w:rsidR="00757FBF">
        <w:rPr>
          <w:rFonts w:ascii="Times New Roman" w:eastAsia="Times New Roman" w:hAnsi="Times New Roman" w:cs="Times New Roman"/>
        </w:rPr>
        <w:t xml:space="preserve"> and birthdate</w:t>
      </w:r>
      <w:r w:rsidRPr="43E7EE84" w:rsidR="00CA5F05">
        <w:rPr>
          <w:rFonts w:ascii="Times New Roman" w:eastAsia="Times New Roman" w:hAnsi="Times New Roman" w:cs="Times New Roman"/>
        </w:rPr>
        <w:t>; each of these pieces of</w:t>
      </w:r>
      <w:r w:rsidRPr="43E7EE84" w:rsidR="0020465D">
        <w:rPr>
          <w:rFonts w:ascii="Times New Roman" w:eastAsia="Times New Roman" w:hAnsi="Times New Roman" w:cs="Times New Roman"/>
        </w:rPr>
        <w:t xml:space="preserve"> information will be stored separately from </w:t>
      </w:r>
      <w:r w:rsidRPr="43E7EE84" w:rsidR="00CA5F05">
        <w:rPr>
          <w:rFonts w:ascii="Times New Roman" w:eastAsia="Times New Roman" w:hAnsi="Times New Roman" w:cs="Times New Roman"/>
        </w:rPr>
        <w:t>one another</w:t>
      </w:r>
      <w:r w:rsidRPr="43E7EE84" w:rsidR="0020465D">
        <w:rPr>
          <w:rFonts w:ascii="Times New Roman" w:eastAsia="Times New Roman" w:hAnsi="Times New Roman" w:cs="Times New Roman"/>
        </w:rPr>
        <w:t xml:space="preserve"> and from survey responses (except for </w:t>
      </w:r>
      <w:r w:rsidR="00535BE0">
        <w:rPr>
          <w:rFonts w:ascii="Times New Roman" w:eastAsia="Times New Roman" w:hAnsi="Times New Roman" w:cs="Times New Roman"/>
        </w:rPr>
        <w:t>48</w:t>
      </w:r>
      <w:r w:rsidRPr="43E7EE84" w:rsidR="0020465D">
        <w:rPr>
          <w:rFonts w:ascii="Times New Roman" w:eastAsia="Times New Roman" w:hAnsi="Times New Roman" w:cs="Times New Roman"/>
        </w:rPr>
        <w:t xml:space="preserve"> hours after download </w:t>
      </w:r>
      <w:r w:rsidRPr="43E7EE84" w:rsidR="00D3739D">
        <w:rPr>
          <w:rFonts w:ascii="Times New Roman" w:eastAsia="Times New Roman" w:hAnsi="Times New Roman" w:cs="Times New Roman"/>
        </w:rPr>
        <w:t xml:space="preserve">while </w:t>
      </w:r>
      <w:r w:rsidRPr="43E7EE84" w:rsidR="0020465D">
        <w:rPr>
          <w:rFonts w:ascii="Times New Roman" w:eastAsia="Times New Roman" w:hAnsi="Times New Roman" w:cs="Times New Roman"/>
        </w:rPr>
        <w:t>the fraud detection procedures are completed). We are not collecting any</w:t>
      </w:r>
      <w:r w:rsidRPr="43E7EE84" w:rsidR="00D54A74">
        <w:rPr>
          <w:rFonts w:ascii="Times New Roman" w:eastAsia="Times New Roman" w:hAnsi="Times New Roman" w:cs="Times New Roman"/>
        </w:rPr>
        <w:t xml:space="preserve"> Protected Health Information,</w:t>
      </w:r>
      <w:r w:rsidRPr="43E7EE84" w:rsidR="0020465D">
        <w:rPr>
          <w:rFonts w:ascii="Times New Roman" w:eastAsia="Times New Roman" w:hAnsi="Times New Roman" w:cs="Times New Roman"/>
        </w:rPr>
        <w:t xml:space="preserve"> defined as “Personally identifiable information that relates to a person's health, medical </w:t>
      </w:r>
      <w:r w:rsidRPr="43E7EE84" w:rsidR="0020465D">
        <w:rPr>
          <w:rFonts w:ascii="Times New Roman" w:eastAsia="Times New Roman" w:hAnsi="Times New Roman" w:cs="Times New Roman"/>
        </w:rPr>
        <w:t>treatment</w:t>
      </w:r>
      <w:r w:rsidRPr="43E7EE84" w:rsidR="0020465D">
        <w:rPr>
          <w:rFonts w:ascii="Times New Roman" w:eastAsia="Times New Roman" w:hAnsi="Times New Roman" w:cs="Times New Roman"/>
        </w:rPr>
        <w:t xml:space="preserve"> or payment, and which was obtained from a "covered entity" (health care provider, health plan, or healthcare clearinghouse), as defined by HIPAA (Health Insurance Portability and Accountability Act) regulations.” </w:t>
      </w:r>
      <w:r w:rsidRPr="43E7EE84" w:rsidR="0034447E">
        <w:rPr>
          <w:rFonts w:ascii="Times New Roman" w:eastAsia="Times New Roman" w:hAnsi="Times New Roman" w:cs="Times New Roman"/>
        </w:rPr>
        <w:t>S</w:t>
      </w:r>
      <w:r w:rsidRPr="43E7EE84" w:rsidR="0020465D">
        <w:rPr>
          <w:rFonts w:ascii="Times New Roman" w:eastAsia="Times New Roman" w:hAnsi="Times New Roman" w:cs="Times New Roman"/>
        </w:rPr>
        <w:t xml:space="preserve">urvey data will be kept separate from PII and/or stored on the </w:t>
      </w:r>
      <w:r w:rsidRPr="43E7EE84" w:rsidR="001C34F8">
        <w:rPr>
          <w:rFonts w:ascii="Times New Roman" w:eastAsia="Times New Roman" w:hAnsi="Times New Roman" w:cs="Times New Roman"/>
        </w:rPr>
        <w:t xml:space="preserve">Federal Information Processing Standards (FIPS) 199 </w:t>
      </w:r>
      <w:r w:rsidRPr="43E7EE84" w:rsidR="0020465D">
        <w:rPr>
          <w:rFonts w:ascii="Times New Roman" w:eastAsia="Times New Roman" w:hAnsi="Times New Roman" w:cs="Times New Roman"/>
        </w:rPr>
        <w:t xml:space="preserve">except for the </w:t>
      </w:r>
      <w:r w:rsidR="001D24DB">
        <w:rPr>
          <w:rFonts w:ascii="Times New Roman" w:eastAsia="Times New Roman" w:hAnsi="Times New Roman" w:cs="Times New Roman"/>
        </w:rPr>
        <w:t>48</w:t>
      </w:r>
      <w:r w:rsidRPr="43E7EE84" w:rsidR="0020465D">
        <w:rPr>
          <w:rFonts w:ascii="Times New Roman" w:eastAsia="Times New Roman" w:hAnsi="Times New Roman" w:cs="Times New Roman"/>
        </w:rPr>
        <w:t>-hour period after download when the combined dataset is stored temporarily on the study share drive so that the fraud detection procedures can be conducted.</w:t>
      </w:r>
    </w:p>
    <w:p w:rsidR="00BE1FCB" w:rsidRPr="006B1D8F" w:rsidP="2AE93E33" w14:paraId="5ED39026" w14:textId="163030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2AE93E33">
        <w:rPr>
          <w:rFonts w:ascii="Times New Roman" w:eastAsia="Times New Roman" w:hAnsi="Times New Roman" w:cs="Times New Roman"/>
        </w:rPr>
        <w:t>This study is funded by the FDA, a D</w:t>
      </w:r>
      <w:r w:rsidRPr="2AE93E33" w:rsidR="00091895">
        <w:rPr>
          <w:rFonts w:ascii="Times New Roman" w:eastAsia="Times New Roman" w:hAnsi="Times New Roman" w:cs="Times New Roman"/>
        </w:rPr>
        <w:t xml:space="preserve">epartment of </w:t>
      </w:r>
      <w:r w:rsidRPr="2AE93E33">
        <w:rPr>
          <w:rFonts w:ascii="Times New Roman" w:eastAsia="Times New Roman" w:hAnsi="Times New Roman" w:cs="Times New Roman"/>
        </w:rPr>
        <w:t>H</w:t>
      </w:r>
      <w:r w:rsidRPr="2AE93E33" w:rsidR="00091895">
        <w:rPr>
          <w:rFonts w:ascii="Times New Roman" w:eastAsia="Times New Roman" w:hAnsi="Times New Roman" w:cs="Times New Roman"/>
        </w:rPr>
        <w:t xml:space="preserve">ealth and </w:t>
      </w:r>
      <w:r w:rsidRPr="2AE93E33">
        <w:rPr>
          <w:rFonts w:ascii="Times New Roman" w:eastAsia="Times New Roman" w:hAnsi="Times New Roman" w:cs="Times New Roman"/>
        </w:rPr>
        <w:t>H</w:t>
      </w:r>
      <w:r w:rsidRPr="2AE93E33" w:rsidR="00091895">
        <w:rPr>
          <w:rFonts w:ascii="Times New Roman" w:eastAsia="Times New Roman" w:hAnsi="Times New Roman" w:cs="Times New Roman"/>
        </w:rPr>
        <w:t xml:space="preserve">uman </w:t>
      </w:r>
      <w:r w:rsidRPr="2AE93E33">
        <w:rPr>
          <w:rFonts w:ascii="Times New Roman" w:eastAsia="Times New Roman" w:hAnsi="Times New Roman" w:cs="Times New Roman"/>
        </w:rPr>
        <w:t>S</w:t>
      </w:r>
      <w:r w:rsidRPr="2AE93E33" w:rsidR="00091895">
        <w:rPr>
          <w:rFonts w:ascii="Times New Roman" w:eastAsia="Times New Roman" w:hAnsi="Times New Roman" w:cs="Times New Roman"/>
        </w:rPr>
        <w:t>ervices</w:t>
      </w:r>
      <w:r w:rsidRPr="2AE93E33">
        <w:rPr>
          <w:rFonts w:ascii="Times New Roman" w:eastAsia="Times New Roman" w:hAnsi="Times New Roman" w:cs="Times New Roman"/>
        </w:rPr>
        <w:t xml:space="preserve"> supported agency, and is covered by a Certificate of Confidentiality (CoC). The </w:t>
      </w:r>
      <w:r w:rsidRPr="2AE93E33" w:rsidR="00091895">
        <w:rPr>
          <w:rFonts w:ascii="Times New Roman" w:eastAsia="Times New Roman" w:hAnsi="Times New Roman" w:cs="Times New Roman"/>
        </w:rPr>
        <w:t>study</w:t>
      </w:r>
      <w:r w:rsidRPr="2AE93E33">
        <w:rPr>
          <w:rFonts w:ascii="Times New Roman" w:eastAsia="Times New Roman" w:hAnsi="Times New Roman" w:cs="Times New Roman"/>
        </w:rPr>
        <w:t xml:space="preserve"> involves Human Subjects as defined by 45 CFR Part 46. </w:t>
      </w:r>
    </w:p>
    <w:p w:rsidR="00BE1FCB" w:rsidP="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83C74" w:rsidRPr="00F91A3C" w:rsidP="00A83C74" w14:paraId="34C348C4" w14:textId="581E0E95">
      <w:pPr>
        <w:numPr>
          <w:ilvl w:val="12"/>
          <w:numId w:val="0"/>
        </w:numPr>
        <w:autoSpaceDE w:val="0"/>
        <w:autoSpaceDN w:val="0"/>
        <w:ind w:left="180"/>
        <w:rPr>
          <w:rFonts w:ascii="Times New Roman" w:hAnsi="Times New Roman" w:cs="Times New Roman"/>
          <w:szCs w:val="24"/>
        </w:rPr>
      </w:pPr>
      <w:r w:rsidRPr="00F91A3C">
        <w:rPr>
          <w:rFonts w:ascii="Times New Roman" w:hAnsi="Times New Roman" w:cs="Times New Roman"/>
          <w:szCs w:val="24"/>
        </w:rPr>
        <w:t xml:space="preserve">Data management procedures will be carried out so that personally identifiable information is stripped from individual </w:t>
      </w:r>
      <w:r w:rsidRPr="00F91A3C">
        <w:rPr>
          <w:rFonts w:ascii="Times New Roman" w:hAnsi="Times New Roman" w:cs="Times New Roman"/>
          <w:szCs w:val="24"/>
        </w:rPr>
        <w:t>records</w:t>
      </w:r>
      <w:r w:rsidRPr="00F91A3C">
        <w:rPr>
          <w:rFonts w:ascii="Times New Roman" w:hAnsi="Times New Roman" w:cs="Times New Roman"/>
          <w:szCs w:val="24"/>
        </w:rPr>
        <w:t xml:space="preserve"> so it is not possible to disclose individual identities and experiences. No respondent identifiers will be contained in reports to FDA, results will only be presented in aggregate form, and all data will be deidentified before delivery to FDA. Any data made available for public use will undergo additional scrutiny to remove small cell sizes with data, or combinations of data, that could be used to deduce the identity of participants.</w:t>
      </w:r>
    </w:p>
    <w:p w:rsidR="000F06BD" w:rsidRPr="006B1D8F" w:rsidP="00BE1FCB" w14:paraId="7B01A1A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6417F9E7" w14:textId="542A1C1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Data Collection System</w:t>
      </w:r>
    </w:p>
    <w:p w:rsidR="000613D1" w:rsidRPr="006B1D8F" w:rsidP="00BE1FCB" w14:paraId="6E83E9A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E070C7" w:rsidRPr="006B1D8F" w:rsidP="05AC9209" w14:paraId="6970C13D" w14:textId="37E2DC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All information will be collected electronically through a self-administered survey instrument hosted in a secure, web-based data collection system. Approximately </w:t>
      </w:r>
      <w:r w:rsidR="00E54B4F">
        <w:rPr>
          <w:rFonts w:ascii="Times New Roman" w:eastAsia="Times New Roman" w:hAnsi="Times New Roman" w:cs="Times New Roman"/>
        </w:rPr>
        <w:t>1,500</w:t>
      </w:r>
      <w:r w:rsidRPr="05AC9209" w:rsidR="5DEC4730">
        <w:rPr>
          <w:rFonts w:ascii="Times New Roman" w:eastAsia="Times New Roman" w:hAnsi="Times New Roman" w:cs="Times New Roman"/>
        </w:rPr>
        <w:t xml:space="preserve"> </w:t>
      </w:r>
      <w:r w:rsidRPr="05AC9209">
        <w:rPr>
          <w:rFonts w:ascii="Times New Roman" w:eastAsia="Times New Roman" w:hAnsi="Times New Roman" w:cs="Times New Roman"/>
        </w:rPr>
        <w:t xml:space="preserve">participants will be recruited via social media. All participants will be screened for eligibility prior to administration of the survey instrument. </w:t>
      </w:r>
      <w:r w:rsidRPr="05AC9209" w:rsidR="3E39F3AA">
        <w:rPr>
          <w:rFonts w:ascii="Times New Roman" w:eastAsia="Times New Roman" w:hAnsi="Times New Roman" w:cs="Times New Roman"/>
        </w:rPr>
        <w:t>The screener is designed</w:t>
      </w:r>
      <w:r w:rsidRPr="09A2EB1B" w:rsidR="3E39F3AA">
        <w:rPr>
          <w:rFonts w:ascii="Times New Roman" w:eastAsia="Times New Roman" w:hAnsi="Times New Roman" w:cs="Times New Roman"/>
        </w:rPr>
        <w:t xml:space="preserve"> not to</w:t>
      </w:r>
      <w:r w:rsidRPr="05AC9209" w:rsidR="3E39F3AA">
        <w:rPr>
          <w:rFonts w:ascii="Times New Roman" w:eastAsia="Times New Roman" w:hAnsi="Times New Roman" w:cs="Times New Roman"/>
        </w:rPr>
        <w:t xml:space="preserve"> reveal specifically why a respondent is </w:t>
      </w:r>
      <w:r w:rsidR="007E5C5D">
        <w:rPr>
          <w:rFonts w:ascii="Times New Roman" w:eastAsia="Times New Roman" w:hAnsi="Times New Roman" w:cs="Times New Roman"/>
        </w:rPr>
        <w:t>in</w:t>
      </w:r>
      <w:r w:rsidRPr="05AC9209" w:rsidR="3E39F3AA">
        <w:rPr>
          <w:rFonts w:ascii="Times New Roman" w:eastAsia="Times New Roman" w:hAnsi="Times New Roman" w:cs="Times New Roman"/>
        </w:rPr>
        <w:t xml:space="preserve">eligible. All respondents, regardless of age, gender, race/ethnicity, tobacco use behavior, and residence will complete the full screener. Respondents must complete all screener questions to find out whether they can move on to the survey. </w:t>
      </w:r>
      <w:r w:rsidRPr="05AC9209" w:rsidR="6ECCF2D8">
        <w:rPr>
          <w:rFonts w:ascii="Times New Roman" w:eastAsia="Times New Roman" w:hAnsi="Times New Roman" w:cs="Times New Roman"/>
        </w:rPr>
        <w:t xml:space="preserve">To recruit for the survey, RTI will place ads on </w:t>
      </w:r>
      <w:r w:rsidR="00BC4AA4">
        <w:rPr>
          <w:rFonts w:ascii="Times New Roman" w:eastAsia="Times New Roman" w:hAnsi="Times New Roman" w:cs="Times New Roman"/>
        </w:rPr>
        <w:t xml:space="preserve">social media </w:t>
      </w:r>
      <w:r w:rsidRPr="416A1754" w:rsidR="00BC4AA4">
        <w:rPr>
          <w:rFonts w:ascii="Times New Roman" w:eastAsia="Times New Roman" w:hAnsi="Times New Roman" w:cs="Times New Roman"/>
        </w:rPr>
        <w:t>(</w:t>
      </w:r>
      <w:r w:rsidR="00BC4AA4">
        <w:rPr>
          <w:rFonts w:ascii="Times New Roman" w:eastAsia="Times New Roman" w:hAnsi="Times New Roman" w:cs="Times New Roman"/>
        </w:rPr>
        <w:t>e.g</w:t>
      </w:r>
      <w:r w:rsidRPr="416A1754" w:rsidR="00BC4AA4">
        <w:rPr>
          <w:rFonts w:ascii="Times New Roman" w:eastAsia="Times New Roman" w:hAnsi="Times New Roman" w:cs="Times New Roman"/>
        </w:rPr>
        <w:t>., Facebook</w:t>
      </w:r>
      <w:r w:rsidR="00EA176C">
        <w:rPr>
          <w:rFonts w:ascii="Times New Roman" w:eastAsia="Times New Roman" w:hAnsi="Times New Roman" w:cs="Times New Roman"/>
        </w:rPr>
        <w:t xml:space="preserve"> and </w:t>
      </w:r>
      <w:r w:rsidRPr="416A1754" w:rsidR="00BC4AA4">
        <w:rPr>
          <w:rFonts w:ascii="Times New Roman" w:eastAsia="Times New Roman" w:hAnsi="Times New Roman" w:cs="Times New Roman"/>
        </w:rPr>
        <w:t>Instagram)</w:t>
      </w:r>
      <w:r w:rsidRPr="05AC9209" w:rsidR="6ECCF2D8">
        <w:rPr>
          <w:rFonts w:ascii="Times New Roman" w:eastAsia="Times New Roman" w:hAnsi="Times New Roman" w:cs="Times New Roman"/>
        </w:rPr>
        <w:t xml:space="preserve">. As much as possible, these ads will target potentially eligible respondents who are thought to be age </w:t>
      </w:r>
      <w:r w:rsidRPr="05AC9209" w:rsidR="00D61FEC">
        <w:rPr>
          <w:rFonts w:ascii="Times New Roman" w:eastAsia="Times New Roman" w:hAnsi="Times New Roman" w:cs="Times New Roman"/>
        </w:rPr>
        <w:t>1</w:t>
      </w:r>
      <w:r w:rsidR="00D61FEC">
        <w:rPr>
          <w:rFonts w:ascii="Times New Roman" w:eastAsia="Times New Roman" w:hAnsi="Times New Roman" w:cs="Times New Roman"/>
        </w:rPr>
        <w:t>8</w:t>
      </w:r>
      <w:r w:rsidRPr="05AC9209" w:rsidR="6ECCF2D8">
        <w:rPr>
          <w:rFonts w:ascii="Times New Roman" w:eastAsia="Times New Roman" w:hAnsi="Times New Roman" w:cs="Times New Roman"/>
        </w:rPr>
        <w:t>-</w:t>
      </w:r>
      <w:r w:rsidRPr="05AC9209" w:rsidR="275336B2">
        <w:rPr>
          <w:rFonts w:ascii="Times New Roman" w:eastAsia="Times New Roman" w:hAnsi="Times New Roman" w:cs="Times New Roman"/>
        </w:rPr>
        <w:t>24</w:t>
      </w:r>
      <w:r w:rsidRPr="05AC9209" w:rsidR="265B2561">
        <w:rPr>
          <w:rFonts w:ascii="Times New Roman" w:eastAsia="Times New Roman" w:hAnsi="Times New Roman" w:cs="Times New Roman"/>
        </w:rPr>
        <w:t>.</w:t>
      </w:r>
      <w:r w:rsidRPr="05AC9209" w:rsidR="6ECCF2D8">
        <w:rPr>
          <w:rFonts w:ascii="Times New Roman" w:eastAsia="Times New Roman" w:hAnsi="Times New Roman" w:cs="Times New Roman"/>
        </w:rPr>
        <w:t xml:space="preserve"> </w:t>
      </w:r>
    </w:p>
    <w:p w:rsidR="00E070C7" w:rsidRPr="006B1D8F" w:rsidP="00BE1FCB"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5AC9209" w14:paraId="06DB118D" w14:textId="78A402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Each participant will </w:t>
      </w:r>
      <w:r w:rsidRPr="05AC9209" w:rsidR="73E26FC3">
        <w:rPr>
          <w:rFonts w:ascii="Times New Roman" w:eastAsia="Times New Roman" w:hAnsi="Times New Roman" w:cs="Times New Roman"/>
        </w:rPr>
        <w:t>answer items about</w:t>
      </w:r>
      <w:r w:rsidRPr="05AC9209">
        <w:rPr>
          <w:rFonts w:ascii="Times New Roman" w:eastAsia="Times New Roman" w:hAnsi="Times New Roman" w:cs="Times New Roman"/>
        </w:rPr>
        <w:t xml:space="preserve"> </w:t>
      </w:r>
      <w:r w:rsidRPr="05AC9209" w:rsidR="40DEB735">
        <w:rPr>
          <w:rFonts w:ascii="Times New Roman" w:eastAsia="Times New Roman" w:hAnsi="Times New Roman" w:cs="Times New Roman"/>
        </w:rPr>
        <w:t xml:space="preserve">their </w:t>
      </w:r>
      <w:r w:rsidRPr="05AC9209" w:rsidR="237AF33B">
        <w:rPr>
          <w:rFonts w:ascii="Times New Roman" w:eastAsia="Times New Roman" w:hAnsi="Times New Roman" w:cs="Times New Roman"/>
        </w:rPr>
        <w:t>hookah</w:t>
      </w:r>
      <w:r w:rsidRPr="05AC9209" w:rsidR="0FD567F6">
        <w:rPr>
          <w:rFonts w:ascii="Times New Roman" w:eastAsia="Times New Roman" w:hAnsi="Times New Roman" w:cs="Times New Roman"/>
        </w:rPr>
        <w:t xml:space="preserve"> use </w:t>
      </w:r>
      <w:r w:rsidRPr="05AC9209" w:rsidR="73E26FC3">
        <w:rPr>
          <w:rFonts w:ascii="Times New Roman" w:eastAsia="Times New Roman" w:hAnsi="Times New Roman" w:cs="Times New Roman"/>
        </w:rPr>
        <w:t>behavior</w:t>
      </w:r>
      <w:r w:rsidRPr="05AC9209">
        <w:rPr>
          <w:rFonts w:ascii="Times New Roman" w:eastAsia="Times New Roman" w:hAnsi="Times New Roman" w:cs="Times New Roman"/>
        </w:rPr>
        <w:t xml:space="preserve">, </w:t>
      </w:r>
      <w:r w:rsidR="00132675">
        <w:rPr>
          <w:rFonts w:ascii="Times New Roman" w:eastAsia="Times New Roman" w:hAnsi="Times New Roman" w:cs="Times New Roman"/>
        </w:rPr>
        <w:t>hookah-related</w:t>
      </w:r>
      <w:r w:rsidR="00132675">
        <w:rPr>
          <w:rFonts w:ascii="Times New Roman" w:eastAsia="Times New Roman" w:hAnsi="Times New Roman" w:cs="Times New Roman"/>
        </w:rPr>
        <w:t xml:space="preserve"> </w:t>
      </w:r>
      <w:r w:rsidRPr="05AC9209" w:rsidR="73E26FC3">
        <w:rPr>
          <w:rFonts w:ascii="Times New Roman" w:eastAsia="Times New Roman" w:hAnsi="Times New Roman" w:cs="Times New Roman"/>
        </w:rPr>
        <w:t>KABs</w:t>
      </w:r>
      <w:r w:rsidRPr="05AC9209">
        <w:rPr>
          <w:rFonts w:ascii="Times New Roman" w:eastAsia="Times New Roman" w:hAnsi="Times New Roman" w:cs="Times New Roman"/>
        </w:rPr>
        <w:t xml:space="preserve">, and demographic information. </w:t>
      </w:r>
      <w:r w:rsidR="00471136">
        <w:rPr>
          <w:rFonts w:ascii="Times New Roman" w:eastAsia="Times New Roman" w:hAnsi="Times New Roman" w:cs="Times New Roman"/>
        </w:rPr>
        <w:t>P</w:t>
      </w:r>
      <w:r w:rsidRPr="05AC9209">
        <w:rPr>
          <w:rFonts w:ascii="Times New Roman" w:eastAsia="Times New Roman" w:hAnsi="Times New Roman" w:cs="Times New Roman"/>
        </w:rPr>
        <w:t>articipant</w:t>
      </w:r>
      <w:r w:rsidR="00471136">
        <w:rPr>
          <w:rFonts w:ascii="Times New Roman" w:eastAsia="Times New Roman" w:hAnsi="Times New Roman" w:cs="Times New Roman"/>
        </w:rPr>
        <w:t>s</w:t>
      </w:r>
      <w:r w:rsidRPr="05AC9209">
        <w:rPr>
          <w:rFonts w:ascii="Times New Roman" w:eastAsia="Times New Roman" w:hAnsi="Times New Roman" w:cs="Times New Roman"/>
        </w:rPr>
        <w:t xml:space="preserve"> will complete the survey at the time of </w:t>
      </w:r>
      <w:r w:rsidRPr="05AC9209" w:rsidR="2ADD259F">
        <w:rPr>
          <w:rFonts w:ascii="Times New Roman" w:eastAsia="Times New Roman" w:hAnsi="Times New Roman" w:cs="Times New Roman"/>
        </w:rPr>
        <w:t>their</w:t>
      </w:r>
      <w:r w:rsidRPr="05AC9209">
        <w:rPr>
          <w:rFonts w:ascii="Times New Roman" w:eastAsia="Times New Roman" w:hAnsi="Times New Roman" w:cs="Times New Roman"/>
        </w:rPr>
        <w:t xml:space="preserve"> choosing. There is no website content directed at children younger than 13 years of age. </w:t>
      </w:r>
    </w:p>
    <w:p w:rsidR="00560FFC" w:rsidP="00560FFC" w14:paraId="179706DE" w14:textId="77777777">
      <w:pPr>
        <w:numPr>
          <w:ilvl w:val="12"/>
          <w:numId w:val="0"/>
        </w:numPr>
        <w:autoSpaceDE w:val="0"/>
        <w:autoSpaceDN w:val="0"/>
        <w:ind w:left="180"/>
        <w:rPr>
          <w:rFonts w:ascii="Times New Roman" w:hAnsi="Times New Roman" w:cs="Times New Roman"/>
          <w:szCs w:val="24"/>
        </w:rPr>
      </w:pPr>
    </w:p>
    <w:p w:rsidR="00560FFC" w:rsidRPr="00F91A3C" w:rsidP="00560FFC" w14:paraId="65CD43F6" w14:textId="23588FF2">
      <w:pPr>
        <w:numPr>
          <w:ilvl w:val="12"/>
          <w:numId w:val="0"/>
        </w:numPr>
        <w:autoSpaceDE w:val="0"/>
        <w:autoSpaceDN w:val="0"/>
        <w:ind w:left="180"/>
        <w:rPr>
          <w:rFonts w:ascii="Times New Roman" w:hAnsi="Times New Roman" w:cs="Times New Roman"/>
          <w:szCs w:val="24"/>
        </w:rPr>
      </w:pPr>
      <w:r w:rsidRPr="00F91A3C">
        <w:rPr>
          <w:rFonts w:ascii="Times New Roman" w:hAnsi="Times New Roman" w:cs="Times New Roman"/>
          <w:szCs w:val="24"/>
        </w:rPr>
        <w:t xml:space="preserve">Data management procedures will be carried out so that personally identifiable information is stripped from individual </w:t>
      </w:r>
      <w:r w:rsidRPr="00F91A3C">
        <w:rPr>
          <w:rFonts w:ascii="Times New Roman" w:hAnsi="Times New Roman" w:cs="Times New Roman"/>
          <w:szCs w:val="24"/>
        </w:rPr>
        <w:t>records</w:t>
      </w:r>
      <w:r w:rsidRPr="00F91A3C">
        <w:rPr>
          <w:rFonts w:ascii="Times New Roman" w:hAnsi="Times New Roman" w:cs="Times New Roman"/>
          <w:szCs w:val="24"/>
        </w:rPr>
        <w:t xml:space="preserve"> so it is not possible to disclose individual identities and experiences. No respondent identifiers will be contained in reports to FDA, results will only be presented in aggregate form, and all data will be deidentified before delivery to FDA. Any data made available for public use will undergo additional scrutiny to remove small cell sizes with data, or combinations of data, that could be used to deduce the identity of participants.</w:t>
      </w:r>
    </w:p>
    <w:p w:rsidR="00560FFC" w:rsidRPr="006B1D8F" w:rsidP="05AC9209" w14:paraId="70AE325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D40586" w:rsidRPr="006B1D8F" w:rsidP="00BE1FCB"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484EC382" w14:textId="55A89DD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How Information will be Shared and for What Purposes</w:t>
      </w:r>
    </w:p>
    <w:p w:rsidR="000613D1" w:rsidRPr="006B1D8F" w:rsidP="00BE1FCB" w14:paraId="40BB1A1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11DFA9A0" w14:paraId="2E0EB942" w14:textId="071338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6F9BFC3B">
        <w:rPr>
          <w:rFonts w:ascii="Times New Roman" w:eastAsia="Times New Roman" w:hAnsi="Times New Roman" w:cs="Times New Roman"/>
        </w:rPr>
        <w:t xml:space="preserve">All data will be downloaded from Qualtrics (which requires a password) and stored in databases only on RTI’s </w:t>
      </w:r>
      <w:r w:rsidR="00AB4B59">
        <w:rPr>
          <w:rFonts w:ascii="Times New Roman" w:eastAsia="Times New Roman" w:hAnsi="Times New Roman" w:cs="Times New Roman"/>
        </w:rPr>
        <w:t>F</w:t>
      </w:r>
      <w:r w:rsidRPr="6F9BFC3B" w:rsidR="006A1FB1">
        <w:rPr>
          <w:rFonts w:ascii="Times New Roman" w:eastAsia="Times New Roman" w:hAnsi="Times New Roman" w:cs="Times New Roman"/>
        </w:rPr>
        <w:t>ederal Information Processing Standards (FIPS) 199</w:t>
      </w:r>
      <w:r w:rsidR="00AB4B59">
        <w:rPr>
          <w:rFonts w:ascii="Times New Roman" w:eastAsia="Times New Roman" w:hAnsi="Times New Roman" w:cs="Times New Roman"/>
        </w:rPr>
        <w:t xml:space="preserve"> moderate </w:t>
      </w:r>
      <w:r w:rsidR="00AB4B59">
        <w:rPr>
          <w:rFonts w:ascii="Times New Roman" w:eastAsia="Times New Roman" w:hAnsi="Times New Roman" w:cs="Times New Roman"/>
        </w:rPr>
        <w:t>network</w:t>
      </w:r>
      <w:r w:rsidR="00471136">
        <w:rPr>
          <w:rFonts w:ascii="Times New Roman" w:eastAsia="Times New Roman" w:hAnsi="Times New Roman" w:cs="Times New Roman"/>
        </w:rPr>
        <w:t>,</w:t>
      </w:r>
      <w:r w:rsidR="00AB4B59">
        <w:rPr>
          <w:rFonts w:ascii="Times New Roman" w:eastAsia="Times New Roman" w:hAnsi="Times New Roman" w:cs="Times New Roman"/>
        </w:rPr>
        <w:t xml:space="preserve"> which is</w:t>
      </w:r>
      <w:r w:rsidRPr="6F9BFC3B">
        <w:rPr>
          <w:rFonts w:ascii="Times New Roman" w:eastAsia="Times New Roman" w:hAnsi="Times New Roman" w:cs="Times New Roman"/>
        </w:rPr>
        <w:t xml:space="preserve"> only accessible by </w:t>
      </w:r>
      <w:r w:rsidRPr="73D96362">
        <w:rPr>
          <w:rFonts w:ascii="Times New Roman" w:eastAsia="Times New Roman" w:hAnsi="Times New Roman" w:cs="Times New Roman"/>
        </w:rPr>
        <w:t xml:space="preserve">RTI </w:t>
      </w:r>
      <w:r w:rsidRPr="6F9BFC3B">
        <w:rPr>
          <w:rFonts w:ascii="Times New Roman" w:eastAsia="Times New Roman" w:hAnsi="Times New Roman" w:cs="Times New Roman"/>
        </w:rPr>
        <w:t xml:space="preserve">study staff trained in human subjects. At the completion of data collection, the data will be deleted from </w:t>
      </w:r>
      <w:r w:rsidRPr="2AE93E33">
        <w:rPr>
          <w:rFonts w:ascii="Times New Roman" w:eastAsia="Times New Roman" w:hAnsi="Times New Roman" w:cs="Times New Roman"/>
        </w:rPr>
        <w:t>RTI’s</w:t>
      </w:r>
      <w:r w:rsidR="00E73128">
        <w:rPr>
          <w:rFonts w:ascii="Times New Roman" w:eastAsia="Times New Roman" w:hAnsi="Times New Roman" w:cs="Times New Roman"/>
        </w:rPr>
        <w:t xml:space="preserve"> </w:t>
      </w:r>
      <w:r w:rsidRPr="6F9BFC3B">
        <w:rPr>
          <w:rFonts w:ascii="Times New Roman" w:eastAsia="Times New Roman" w:hAnsi="Times New Roman" w:cs="Times New Roman"/>
        </w:rPr>
        <w:t xml:space="preserve">Qualtrics account and remain only on RTI’s </w:t>
      </w:r>
      <w:r w:rsidR="005F25B8">
        <w:rPr>
          <w:rFonts w:ascii="Times New Roman" w:eastAsia="Times New Roman" w:hAnsi="Times New Roman" w:cs="Times New Roman"/>
        </w:rPr>
        <w:t xml:space="preserve">FIPS 199 moderate network. </w:t>
      </w:r>
    </w:p>
    <w:p w:rsidR="00801C98" w:rsidRPr="006B1D8F" w:rsidP="00BE1FCB"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0D411B" w14:paraId="4FD413AB" w14:textId="77777777">
      <w:pPr>
        <w:spacing w:after="160" w:line="259"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br w:type="page"/>
      </w:r>
    </w:p>
    <w:p w:rsidR="00BE1FCB" w:rsidP="00BE1FCB" w14:paraId="05E5EFAC" w14:textId="74111EB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the Impact the Proposed Collection will have on the Respondent’s Privacy</w:t>
      </w:r>
    </w:p>
    <w:p w:rsidR="000613D1" w:rsidRPr="006B1D8F" w:rsidP="00BE1FCB" w14:paraId="37166DB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53CFE5DC" w14:paraId="61285307" w14:textId="22D239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3CFE5DC">
        <w:rPr>
          <w:rFonts w:ascii="Times New Roman" w:eastAsia="Times New Roman" w:hAnsi="Times New Roman" w:cs="Times New Roman"/>
        </w:rPr>
        <w:t xml:space="preserve">The following procedures will be used to ensure participant privacy before, during, and after fielding: (1) PII in the form of participants’ </w:t>
      </w:r>
      <w:r w:rsidRPr="53CFE5DC" w:rsidR="00741BE6">
        <w:rPr>
          <w:rFonts w:ascii="Times New Roman" w:eastAsia="Times New Roman" w:hAnsi="Times New Roman" w:cs="Times New Roman"/>
        </w:rPr>
        <w:t xml:space="preserve">IP </w:t>
      </w:r>
      <w:r w:rsidRPr="53CFE5DC" w:rsidR="00904BD7">
        <w:rPr>
          <w:rFonts w:ascii="Times New Roman" w:eastAsia="Times New Roman" w:hAnsi="Times New Roman" w:cs="Times New Roman"/>
        </w:rPr>
        <w:t xml:space="preserve">address, </w:t>
      </w:r>
      <w:r w:rsidRPr="53CFE5DC">
        <w:rPr>
          <w:rFonts w:ascii="Times New Roman" w:eastAsia="Times New Roman" w:hAnsi="Times New Roman" w:cs="Times New Roman"/>
        </w:rPr>
        <w:t>email address</w:t>
      </w:r>
      <w:r w:rsidR="00CA6797">
        <w:rPr>
          <w:rFonts w:ascii="Times New Roman" w:eastAsia="Times New Roman" w:hAnsi="Times New Roman" w:cs="Times New Roman"/>
        </w:rPr>
        <w:t>,</w:t>
      </w:r>
      <w:r w:rsidRPr="53CFE5DC" w:rsidR="00D2633C">
        <w:rPr>
          <w:rFonts w:ascii="Times New Roman" w:eastAsia="Times New Roman" w:hAnsi="Times New Roman" w:cs="Times New Roman"/>
        </w:rPr>
        <w:t xml:space="preserve"> </w:t>
      </w:r>
      <w:r w:rsidR="005B0922">
        <w:rPr>
          <w:rFonts w:ascii="Times New Roman" w:eastAsia="Times New Roman" w:hAnsi="Times New Roman" w:cs="Times New Roman"/>
        </w:rPr>
        <w:t xml:space="preserve">zip code, </w:t>
      </w:r>
      <w:r w:rsidRPr="53CFE5DC" w:rsidR="00D2633C">
        <w:rPr>
          <w:rFonts w:ascii="Times New Roman" w:eastAsia="Times New Roman" w:hAnsi="Times New Roman" w:cs="Times New Roman"/>
        </w:rPr>
        <w:t>and birthdate</w:t>
      </w:r>
      <w:r w:rsidRPr="53CFE5DC">
        <w:rPr>
          <w:rFonts w:ascii="Times New Roman" w:eastAsia="Times New Roman" w:hAnsi="Times New Roman" w:cs="Times New Roman"/>
        </w:rPr>
        <w:t xml:space="preserve"> will be stored separately from screening-related data and survey data, and </w:t>
      </w:r>
      <w:r w:rsidRPr="53CFE5DC" w:rsidR="00741BE6">
        <w:rPr>
          <w:rFonts w:ascii="Times New Roman" w:eastAsia="Times New Roman" w:hAnsi="Times New Roman" w:cs="Times New Roman"/>
        </w:rPr>
        <w:t xml:space="preserve">IP and </w:t>
      </w:r>
      <w:r w:rsidRPr="53CFE5DC">
        <w:rPr>
          <w:rFonts w:ascii="Times New Roman" w:eastAsia="Times New Roman" w:hAnsi="Times New Roman" w:cs="Times New Roman"/>
        </w:rPr>
        <w:t>email addresses</w:t>
      </w:r>
      <w:r w:rsidR="00A81326">
        <w:rPr>
          <w:rFonts w:ascii="Times New Roman" w:eastAsia="Times New Roman" w:hAnsi="Times New Roman" w:cs="Times New Roman"/>
        </w:rPr>
        <w:t>, zip code,</w:t>
      </w:r>
      <w:r w:rsidRPr="53CFE5DC">
        <w:rPr>
          <w:rFonts w:ascii="Times New Roman" w:eastAsia="Times New Roman" w:hAnsi="Times New Roman" w:cs="Times New Roman"/>
        </w:rPr>
        <w:t xml:space="preserve"> </w:t>
      </w:r>
      <w:r w:rsidRPr="53CFE5DC" w:rsidR="00D2633C">
        <w:rPr>
          <w:rFonts w:ascii="Times New Roman" w:eastAsia="Times New Roman" w:hAnsi="Times New Roman" w:cs="Times New Roman"/>
        </w:rPr>
        <w:t xml:space="preserve">and birthdate </w:t>
      </w:r>
      <w:r w:rsidRPr="53CFE5DC">
        <w:rPr>
          <w:rFonts w:ascii="Times New Roman" w:eastAsia="Times New Roman" w:hAnsi="Times New Roman" w:cs="Times New Roman"/>
        </w:rPr>
        <w:t xml:space="preserve">will be deleted after </w:t>
      </w:r>
      <w:r w:rsidRPr="53CFE5DC" w:rsidR="00174AD6">
        <w:rPr>
          <w:rFonts w:ascii="Times New Roman" w:eastAsia="Times New Roman" w:hAnsi="Times New Roman" w:cs="Times New Roman"/>
        </w:rPr>
        <w:t xml:space="preserve">study </w:t>
      </w:r>
      <w:r w:rsidRPr="53CFE5DC">
        <w:rPr>
          <w:rFonts w:ascii="Times New Roman" w:eastAsia="Times New Roman" w:hAnsi="Times New Roman" w:cs="Times New Roman"/>
        </w:rPr>
        <w:t>completion; (2) datasets</w:t>
      </w:r>
      <w:r w:rsidRPr="53CFE5DC" w:rsidR="002A2C08">
        <w:rPr>
          <w:rFonts w:ascii="Times New Roman" w:eastAsia="Times New Roman" w:hAnsi="Times New Roman" w:cs="Times New Roman"/>
        </w:rPr>
        <w:t xml:space="preserve"> of screener and survey responses</w:t>
      </w:r>
      <w:r w:rsidRPr="53CFE5DC">
        <w:rPr>
          <w:rFonts w:ascii="Times New Roman" w:eastAsia="Times New Roman" w:hAnsi="Times New Roman" w:cs="Times New Roman"/>
        </w:rPr>
        <w:t xml:space="preserve">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00BE1FCB" w:rsidRPr="006B1D8F" w:rsidP="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583432" w:rsidRPr="006B1D8F" w:rsidP="609EC1A4" w14:paraId="2C592734" w14:textId="3FC04B1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2AE93E33">
        <w:rPr>
          <w:rFonts w:ascii="Times New Roman" w:eastAsia="Times New Roman" w:hAnsi="Times New Roman" w:cs="Times New Roman"/>
        </w:rPr>
        <w:t>RTI</w:t>
      </w:r>
      <w:r>
        <w:rPr>
          <w:rFonts w:ascii="Times New Roman" w:eastAsia="Times New Roman" w:hAnsi="Times New Roman" w:cs="Times New Roman"/>
        </w:rPr>
        <w:t xml:space="preserve"> will collect</w:t>
      </w:r>
      <w:r w:rsidRPr="609EC1A4" w:rsidR="00BE1FCB">
        <w:rPr>
          <w:rFonts w:ascii="Times New Roman" w:eastAsia="Times New Roman" w:hAnsi="Times New Roman" w:cs="Times New Roman"/>
        </w:rPr>
        <w:t xml:space="preserve"> email addresses for the purposes of </w:t>
      </w:r>
      <w:r w:rsidRPr="609EC1A4" w:rsidR="003D6A14">
        <w:rPr>
          <w:rFonts w:ascii="Times New Roman" w:eastAsia="Times New Roman" w:hAnsi="Times New Roman" w:cs="Times New Roman"/>
        </w:rPr>
        <w:t xml:space="preserve">distributing the </w:t>
      </w:r>
      <w:r w:rsidRPr="00AE45C6" w:rsidR="00AE45C6">
        <w:rPr>
          <w:rFonts w:ascii="Times New Roman" w:eastAsia="Times New Roman" w:hAnsi="Times New Roman" w:cs="Times New Roman"/>
        </w:rPr>
        <w:t>token of appreciation</w:t>
      </w:r>
      <w:r w:rsidRPr="609EC1A4" w:rsidR="00D2633C">
        <w:rPr>
          <w:rFonts w:ascii="Times New Roman" w:eastAsia="Times New Roman" w:hAnsi="Times New Roman" w:cs="Times New Roman"/>
        </w:rPr>
        <w:t xml:space="preserve"> and birthdate to confirm age</w:t>
      </w:r>
      <w:r w:rsidRPr="609EC1A4" w:rsidR="00BE1FCB">
        <w:rPr>
          <w:rFonts w:ascii="Times New Roman" w:eastAsia="Times New Roman" w:hAnsi="Times New Roman" w:cs="Times New Roman"/>
        </w:rPr>
        <w:t xml:space="preserve">. </w:t>
      </w:r>
      <w:r w:rsidR="003E6203">
        <w:rPr>
          <w:rFonts w:ascii="Times New Roman" w:eastAsia="Times New Roman" w:hAnsi="Times New Roman" w:cs="Times New Roman"/>
        </w:rPr>
        <w:t xml:space="preserve">IP addresses will be collected to verify participants are </w:t>
      </w:r>
      <w:r w:rsidR="002B17C8">
        <w:rPr>
          <w:rFonts w:ascii="Times New Roman" w:eastAsia="Times New Roman" w:hAnsi="Times New Roman" w:cs="Times New Roman"/>
        </w:rPr>
        <w:t xml:space="preserve">taking the survey from within the United States. </w:t>
      </w:r>
      <w:r w:rsidRPr="609EC1A4" w:rsidR="00BE1FCB">
        <w:rPr>
          <w:rFonts w:ascii="Times New Roman" w:eastAsia="Times New Roman" w:hAnsi="Times New Roman" w:cs="Times New Roman"/>
        </w:rPr>
        <w:t>No additional personal identifiers (e.g., full name, phone number, social security number) will be collected aside from basic demographic information (e.g., gender, age, and race). PII will be stored separately from any survey responses</w:t>
      </w:r>
      <w:r w:rsidRPr="609EC1A4" w:rsidR="001B0020">
        <w:rPr>
          <w:rFonts w:ascii="Times New Roman" w:eastAsia="Times New Roman" w:hAnsi="Times New Roman" w:cs="Times New Roman"/>
        </w:rPr>
        <w:t xml:space="preserve">. </w:t>
      </w:r>
      <w:r w:rsidRPr="609EC1A4" w:rsidR="00BE1FCB">
        <w:rPr>
          <w:rFonts w:ascii="Times New Roman" w:eastAsia="Times New Roman" w:hAnsi="Times New Roman" w:cs="Times New Roman"/>
        </w:rPr>
        <w:t xml:space="preserve"> </w:t>
      </w:r>
    </w:p>
    <w:p w:rsidR="00583432" w:rsidRPr="006B1D8F" w:rsidP="00A35C6D"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P="00BE1FCB" w14:paraId="6BD6427F" w14:textId="727ADB3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 xml:space="preserve">Overview of Voluntary Participation </w:t>
      </w:r>
    </w:p>
    <w:p w:rsidR="000613D1" w:rsidRPr="006B1D8F" w:rsidP="00BE1FCB" w14:paraId="6E39BF5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4D42B69E" w14:paraId="15C1E80B" w14:textId="3BA75E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4D42B69E">
        <w:rPr>
          <w:rFonts w:ascii="Times New Roman" w:eastAsia="Times New Roman" w:hAnsi="Times New Roman" w:cs="Times New Roman"/>
        </w:rPr>
        <w:t xml:space="preserve">Potential participants will be advised of the nature of the survey, the length of time it will require, and that participation is voluntary. Participants will be assured that they will incur no penalties if they wish not to respond to the data collection as a whole or to any specific questions. Participants will have the option to decline to respond to any item in the survey for any reason and may drop out of the survey at any time. These procedures conform to ethical practices for collecting data from human participants. </w:t>
      </w:r>
    </w:p>
    <w:p w:rsidR="00BE1FCB" w:rsidRPr="006B1D8F" w:rsidP="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DC0D52" w:rsidRPr="008265FC" w:rsidP="00DC0D52" w14:paraId="1E75888E" w14:textId="55E41D6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CA7DE4">
        <w:rPr>
          <w:rFonts w:ascii="Times New Roman" w:eastAsia="Times New Roman" w:hAnsi="Times New Roman" w:cs="Times New Roman"/>
          <w:szCs w:val="24"/>
        </w:rPr>
        <w:t>Survey respondents</w:t>
      </w:r>
      <w:r>
        <w:rPr>
          <w:rFonts w:ascii="Times New Roman" w:eastAsia="Times New Roman" w:hAnsi="Times New Roman" w:cs="Times New Roman"/>
          <w:szCs w:val="24"/>
        </w:rPr>
        <w:t xml:space="preserve"> will</w:t>
      </w:r>
      <w:r w:rsidRPr="00CA7DE4">
        <w:rPr>
          <w:rFonts w:ascii="Times New Roman" w:eastAsia="Times New Roman" w:hAnsi="Times New Roman" w:cs="Times New Roman"/>
          <w:szCs w:val="24"/>
        </w:rPr>
        <w:t xml:space="preserve"> have the option to only answer the items that they select to answer. They may end the end a survey at their discretion. We </w:t>
      </w:r>
      <w:r>
        <w:rPr>
          <w:rFonts w:ascii="Times New Roman" w:eastAsia="Times New Roman" w:hAnsi="Times New Roman" w:cs="Times New Roman"/>
          <w:szCs w:val="24"/>
        </w:rPr>
        <w:t xml:space="preserve">will </w:t>
      </w:r>
      <w:r w:rsidRPr="00CA7DE4">
        <w:rPr>
          <w:rFonts w:ascii="Times New Roman" w:eastAsia="Times New Roman" w:hAnsi="Times New Roman" w:cs="Times New Roman"/>
          <w:szCs w:val="24"/>
        </w:rPr>
        <w:t>take every measure to ensure that respondents are aware of their choices and provide consent to participate.</w:t>
      </w:r>
      <w:r>
        <w:rPr>
          <w:rFonts w:ascii="Times New Roman" w:eastAsia="Times New Roman" w:hAnsi="Times New Roman" w:cs="Times New Roman"/>
          <w:szCs w:val="24"/>
        </w:rPr>
        <w:t xml:space="preserve"> </w:t>
      </w:r>
      <w:r w:rsidRPr="0029778B">
        <w:rPr>
          <w:rFonts w:ascii="Times New Roman" w:eastAsia="Times New Roman" w:hAnsi="Times New Roman" w:cs="Times New Roman"/>
          <w:szCs w:val="24"/>
        </w:rPr>
        <w:t xml:space="preserve">Before requesting any information from participants, RTI will provide information about data security and ways to request data removal from RTI databases. RTI will also inform participants that they can select “prefer not to answer” to any question and will recommend that participants complete the survey where no one can see their answers. RTI </w:t>
      </w:r>
      <w:r>
        <w:rPr>
          <w:rFonts w:ascii="Times New Roman" w:eastAsia="Times New Roman" w:hAnsi="Times New Roman" w:cs="Times New Roman"/>
          <w:szCs w:val="24"/>
        </w:rPr>
        <w:t xml:space="preserve">will </w:t>
      </w:r>
      <w:r w:rsidRPr="0029778B">
        <w:rPr>
          <w:rFonts w:ascii="Times New Roman" w:eastAsia="Times New Roman" w:hAnsi="Times New Roman" w:cs="Times New Roman"/>
          <w:szCs w:val="24"/>
        </w:rPr>
        <w:t>provide study information through informed consent and conclude the survey immediately for participants who state that they do not want to take the survey after reading the study information.</w:t>
      </w:r>
    </w:p>
    <w:p w:rsidR="00DC0D52" w:rsidP="290B2E33" w14:paraId="6B8D154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p>
    <w:p w:rsidR="00BE1FCB" w:rsidP="290B2E33" w14:paraId="66406E8F" w14:textId="66E6D85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r w:rsidRPr="290B2E33">
        <w:rPr>
          <w:rFonts w:ascii="Times New Roman" w:eastAsia="Times New Roman" w:hAnsi="Times New Roman" w:cs="Times New Roman"/>
          <w:u w:val="single"/>
        </w:rPr>
        <w:t>Overview of Data Security</w:t>
      </w:r>
    </w:p>
    <w:p w:rsidR="000613D1" w:rsidRPr="006B1D8F" w:rsidP="00BE1FCB" w14:paraId="09F6185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06147E" w:rsidRPr="00A34752" w:rsidP="0006147E" w14:paraId="0C98D692" w14:textId="06E4EA8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0A34752">
        <w:rPr>
          <w:rFonts w:ascii="Times New Roman" w:eastAsia="Times New Roman" w:hAnsi="Times New Roman" w:cs="Times New Roman"/>
        </w:rPr>
        <w:t xml:space="preserve">Data security procedures are of the highest standard and actively implemented to ensure data are used as intended. Data </w:t>
      </w:r>
      <w:r>
        <w:rPr>
          <w:rFonts w:ascii="Times New Roman" w:eastAsia="Times New Roman" w:hAnsi="Times New Roman" w:cs="Times New Roman"/>
        </w:rPr>
        <w:t>will be</w:t>
      </w:r>
      <w:r w:rsidRPr="00A34752">
        <w:rPr>
          <w:rFonts w:ascii="Times New Roman" w:eastAsia="Times New Roman" w:hAnsi="Times New Roman" w:cs="Times New Roman"/>
        </w:rPr>
        <w:t xml:space="preserve"> collected through a web-based survey hosted on Qualtrics for the social media recruitment. </w:t>
      </w:r>
      <w:r>
        <w:rPr>
          <w:rFonts w:ascii="Times New Roman" w:eastAsia="Times New Roman" w:hAnsi="Times New Roman" w:cs="Times New Roman"/>
        </w:rPr>
        <w:t>Qualtrics is used</w:t>
      </w:r>
      <w:r w:rsidRPr="00A34752">
        <w:rPr>
          <w:rFonts w:ascii="Times New Roman" w:eastAsia="Times New Roman" w:hAnsi="Times New Roman" w:cs="Times New Roman"/>
        </w:rPr>
        <w:t xml:space="preserve"> widely for statistical and scientific research and </w:t>
      </w:r>
      <w:r>
        <w:rPr>
          <w:rFonts w:ascii="Times New Roman" w:eastAsia="Times New Roman" w:hAnsi="Times New Roman" w:cs="Times New Roman"/>
        </w:rPr>
        <w:t>is</w:t>
      </w:r>
      <w:r w:rsidRPr="00A34752">
        <w:rPr>
          <w:rFonts w:ascii="Times New Roman" w:eastAsia="Times New Roman" w:hAnsi="Times New Roman" w:cs="Times New Roman"/>
        </w:rPr>
        <w:t xml:space="preserve"> secure. To date, no known breaches of data in </w:t>
      </w:r>
      <w:r>
        <w:rPr>
          <w:rFonts w:ascii="Times New Roman" w:eastAsia="Times New Roman" w:hAnsi="Times New Roman" w:cs="Times New Roman"/>
        </w:rPr>
        <w:t>this platform</w:t>
      </w:r>
      <w:r w:rsidRPr="00A34752">
        <w:rPr>
          <w:rFonts w:ascii="Times New Roman" w:eastAsia="Times New Roman" w:hAnsi="Times New Roman" w:cs="Times New Roman"/>
        </w:rPr>
        <w:t xml:space="preserve"> have occurred in RTI studies. </w:t>
      </w:r>
    </w:p>
    <w:p w:rsidR="0006147E" w:rsidP="5CCF1F5B" w14:paraId="7882021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C6326" w:rsidRPr="00A34752" w:rsidP="00BC6326" w14:paraId="7CBF06A5" w14:textId="70CC17B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0A34752">
        <w:rPr>
          <w:rFonts w:ascii="Times New Roman" w:eastAsia="Times New Roman" w:hAnsi="Times New Roman" w:cs="Times New Roman"/>
        </w:rPr>
        <w:t xml:space="preserve">The social media recruitment will be hosted on Qualtrics’ secured servers. RTI will use a unique alphanumeric variable (i.e., Case ID) to connect screener data (that contain Personally Identifiable Information (PII)) and survey data (that do not contain PII) and to determine if a participant has completed the survey. Screener data and survey data will be stored separately on Qualtrics servers and encrypted. RTI will use a Secure Sockets Layer (SSL) connection to download data from Qualtrics servers to RTI servers. RTI servers are restricted, requiring credentials to access. Each project team is granted as-needed access only to the projects they are assigned and only RTI project team staff who need access to the data (for programming, sampling, recruitment, or analysis) will be granted access within project folders. </w:t>
      </w:r>
      <w:r w:rsidRPr="00A34752" w:rsidR="009C5F35">
        <w:rPr>
          <w:rFonts w:ascii="Times New Roman" w:eastAsia="Times New Roman" w:hAnsi="Times New Roman" w:cs="Times New Roman"/>
        </w:rPr>
        <w:t>FDA will not have access to survey data files during data collection.</w:t>
      </w:r>
      <w:r>
        <w:rPr>
          <w:rFonts w:ascii="Times New Roman" w:eastAsia="Times New Roman" w:hAnsi="Times New Roman" w:cs="Times New Roman"/>
        </w:rPr>
        <w:t xml:space="preserve"> </w:t>
      </w:r>
      <w:r w:rsidRPr="00A34752">
        <w:rPr>
          <w:rFonts w:ascii="Times New Roman" w:eastAsia="Times New Roman" w:hAnsi="Times New Roman" w:cs="Times New Roman"/>
        </w:rPr>
        <w:t xml:space="preserve">Data files containing PII will be stored on the FIPS 199 moderate server for five years after the project has ended. </w:t>
      </w:r>
    </w:p>
    <w:p w:rsidR="00F037DB" w:rsidP="5CCF1F5B" w14:paraId="5F0ED107" w14:textId="476EDB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F037DB" w:rsidP="5CCF1F5B" w14:paraId="0326B22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A35C6D" w:rsidRPr="006B1D8F" w:rsidP="5CCF1F5B" w14:paraId="649AC07E" w14:textId="226948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CCF1F5B">
        <w:rPr>
          <w:rFonts w:ascii="Times New Roman" w:eastAsia="Times New Roman" w:hAnsi="Times New Roman" w:cs="Times New Roman"/>
        </w:rPr>
        <w:t>E-mail addresses</w:t>
      </w:r>
      <w:r w:rsidR="00A81326">
        <w:rPr>
          <w:rFonts w:ascii="Times New Roman" w:eastAsia="Times New Roman" w:hAnsi="Times New Roman" w:cs="Times New Roman"/>
        </w:rPr>
        <w:t>,</w:t>
      </w:r>
      <w:r w:rsidR="00973294">
        <w:rPr>
          <w:rFonts w:ascii="Times New Roman" w:eastAsia="Times New Roman" w:hAnsi="Times New Roman" w:cs="Times New Roman"/>
        </w:rPr>
        <w:t xml:space="preserve"> zip code,</w:t>
      </w:r>
      <w:r w:rsidRPr="5CCF1F5B">
        <w:rPr>
          <w:rFonts w:ascii="Times New Roman" w:eastAsia="Times New Roman" w:hAnsi="Times New Roman" w:cs="Times New Roman"/>
        </w:rPr>
        <w:t xml:space="preserve"> </w:t>
      </w:r>
      <w:r w:rsidRPr="5CCF1F5B" w:rsidR="00D2633C">
        <w:rPr>
          <w:rFonts w:ascii="Times New Roman" w:eastAsia="Times New Roman" w:hAnsi="Times New Roman" w:cs="Times New Roman"/>
        </w:rPr>
        <w:t xml:space="preserve">and birthdate </w:t>
      </w:r>
      <w:r w:rsidRPr="5CCF1F5B">
        <w:rPr>
          <w:rFonts w:ascii="Times New Roman" w:eastAsia="Times New Roman" w:hAnsi="Times New Roman" w:cs="Times New Roman"/>
        </w:rPr>
        <w:t xml:space="preserve">will </w:t>
      </w:r>
      <w:r w:rsidRPr="5CCF1F5B" w:rsidR="00D2633C">
        <w:rPr>
          <w:rFonts w:ascii="Times New Roman" w:eastAsia="Times New Roman" w:hAnsi="Times New Roman" w:cs="Times New Roman"/>
        </w:rPr>
        <w:t xml:space="preserve">each </w:t>
      </w:r>
      <w:r w:rsidRPr="5CCF1F5B">
        <w:rPr>
          <w:rFonts w:ascii="Times New Roman" w:eastAsia="Times New Roman" w:hAnsi="Times New Roman" w:cs="Times New Roman"/>
        </w:rPr>
        <w:t xml:space="preserve">be collected </w:t>
      </w:r>
      <w:r w:rsidRPr="5CCF1F5B" w:rsidR="00D2633C">
        <w:rPr>
          <w:rFonts w:ascii="Times New Roman" w:eastAsia="Times New Roman" w:hAnsi="Times New Roman" w:cs="Times New Roman"/>
        </w:rPr>
        <w:t xml:space="preserve">separately </w:t>
      </w:r>
      <w:r w:rsidRPr="5CCF1F5B">
        <w:rPr>
          <w:rFonts w:ascii="Times New Roman" w:eastAsia="Times New Roman" w:hAnsi="Times New Roman" w:cs="Times New Roman"/>
        </w:rPr>
        <w:t xml:space="preserve">in the Qualtrics survey platform and stored in </w:t>
      </w:r>
      <w:r w:rsidRPr="5CCF1F5B" w:rsidR="00D2633C">
        <w:rPr>
          <w:rFonts w:ascii="Times New Roman" w:eastAsia="Times New Roman" w:hAnsi="Times New Roman" w:cs="Times New Roman"/>
        </w:rPr>
        <w:t xml:space="preserve">separate </w:t>
      </w:r>
      <w:r w:rsidRPr="5CCF1F5B">
        <w:rPr>
          <w:rFonts w:ascii="Times New Roman" w:eastAsia="Times New Roman" w:hAnsi="Times New Roman" w:cs="Times New Roman"/>
        </w:rPr>
        <w:t xml:space="preserve">isolated </w:t>
      </w:r>
      <w:r w:rsidRPr="09A2EB1B" w:rsidR="00A82A18">
        <w:rPr>
          <w:rFonts w:ascii="Times New Roman" w:eastAsia="Times New Roman" w:hAnsi="Times New Roman" w:cs="Times New Roman"/>
        </w:rPr>
        <w:t>data</w:t>
      </w:r>
      <w:r w:rsidRPr="09A2EB1B" w:rsidR="00C97C13">
        <w:rPr>
          <w:rFonts w:ascii="Times New Roman" w:eastAsia="Times New Roman" w:hAnsi="Times New Roman" w:cs="Times New Roman"/>
        </w:rPr>
        <w:t>sets</w:t>
      </w:r>
      <w:r w:rsidRPr="5CCF1F5B" w:rsidR="00A82A18">
        <w:rPr>
          <w:rFonts w:ascii="Times New Roman" w:eastAsia="Times New Roman" w:hAnsi="Times New Roman" w:cs="Times New Roman"/>
        </w:rPr>
        <w:t xml:space="preserve"> </w:t>
      </w:r>
      <w:r w:rsidRPr="5CCF1F5B">
        <w:rPr>
          <w:rFonts w:ascii="Times New Roman" w:eastAsia="Times New Roman" w:hAnsi="Times New Roman" w:cs="Times New Roman"/>
        </w:rPr>
        <w:t>that will contain a</w:t>
      </w:r>
      <w:r w:rsidR="001552FA">
        <w:rPr>
          <w:rFonts w:ascii="Times New Roman" w:eastAsia="Times New Roman" w:hAnsi="Times New Roman" w:cs="Times New Roman"/>
        </w:rPr>
        <w:t>n</w:t>
      </w:r>
      <w:r w:rsidRPr="5CCF1F5B">
        <w:rPr>
          <w:rFonts w:ascii="Times New Roman" w:eastAsia="Times New Roman" w:hAnsi="Times New Roman" w:cs="Times New Roman"/>
        </w:rPr>
        <w:t xml:space="preserve"> RTI-assigned unique ID. IP address will be collected in the survey platform in an isolated </w:t>
      </w:r>
      <w:r w:rsidRPr="5CCF1F5B" w:rsidR="00C97C13">
        <w:rPr>
          <w:rFonts w:ascii="Times New Roman" w:eastAsia="Times New Roman" w:hAnsi="Times New Roman" w:cs="Times New Roman"/>
        </w:rPr>
        <w:t xml:space="preserve">dataset </w:t>
      </w:r>
      <w:r w:rsidRPr="5CCF1F5B">
        <w:rPr>
          <w:rFonts w:ascii="Times New Roman" w:eastAsia="Times New Roman" w:hAnsi="Times New Roman" w:cs="Times New Roman"/>
        </w:rPr>
        <w:t>that contains IP address, RTI-assigned unique ID, and screener responses. Responses to the body of the survey will be collected in the Qualtrics survey platform and stored in an isolated survey. IP address</w:t>
      </w:r>
      <w:r w:rsidRPr="5CCF1F5B" w:rsidR="00D2633C">
        <w:rPr>
          <w:rFonts w:ascii="Times New Roman" w:eastAsia="Times New Roman" w:hAnsi="Times New Roman" w:cs="Times New Roman"/>
        </w:rPr>
        <w:t xml:space="preserve">, </w:t>
      </w:r>
      <w:r w:rsidRPr="5CCF1F5B">
        <w:rPr>
          <w:rFonts w:ascii="Times New Roman" w:eastAsia="Times New Roman" w:hAnsi="Times New Roman" w:cs="Times New Roman"/>
        </w:rPr>
        <w:t>e-mail address</w:t>
      </w:r>
      <w:r w:rsidRPr="5CCF1F5B" w:rsidR="00D2633C">
        <w:rPr>
          <w:rFonts w:ascii="Times New Roman" w:eastAsia="Times New Roman" w:hAnsi="Times New Roman" w:cs="Times New Roman"/>
        </w:rPr>
        <w:t>,</w:t>
      </w:r>
      <w:r w:rsidR="00E54841">
        <w:rPr>
          <w:rFonts w:ascii="Times New Roman" w:eastAsia="Times New Roman" w:hAnsi="Times New Roman" w:cs="Times New Roman"/>
        </w:rPr>
        <w:t xml:space="preserve"> zip code</w:t>
      </w:r>
      <w:r w:rsidRPr="5CCF1F5B" w:rsidR="00D2633C">
        <w:rPr>
          <w:rFonts w:ascii="Times New Roman" w:eastAsia="Times New Roman" w:hAnsi="Times New Roman" w:cs="Times New Roman"/>
        </w:rPr>
        <w:t>, and birthdate</w:t>
      </w:r>
      <w:r w:rsidRPr="5CCF1F5B">
        <w:rPr>
          <w:rFonts w:ascii="Times New Roman" w:eastAsia="Times New Roman" w:hAnsi="Times New Roman" w:cs="Times New Roman"/>
        </w:rPr>
        <w:t xml:space="preserve"> will not be collected in the same file. </w:t>
      </w:r>
    </w:p>
    <w:p w:rsidR="00A35C6D" w:rsidRPr="006B1D8F" w:rsidP="00A35C6D"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ab/>
      </w:r>
    </w:p>
    <w:p w:rsidR="00A35C6D" w:rsidRPr="006B1D8F" w:rsidP="5E992B3F" w14:paraId="2C1220A7" w14:textId="4F0D3F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E992B3F">
        <w:rPr>
          <w:rFonts w:ascii="Times New Roman" w:eastAsia="Times New Roman" w:hAnsi="Times New Roman" w:cs="Times New Roman"/>
        </w:rPr>
        <w:t>All survey data files (</w:t>
      </w:r>
      <w:r w:rsidRPr="5E992B3F" w:rsidR="00D37856">
        <w:rPr>
          <w:rFonts w:ascii="Times New Roman" w:eastAsia="Times New Roman" w:hAnsi="Times New Roman" w:cs="Times New Roman"/>
        </w:rPr>
        <w:t xml:space="preserve">i.e., separate files for </w:t>
      </w:r>
      <w:r w:rsidRPr="5E992B3F">
        <w:rPr>
          <w:rFonts w:ascii="Times New Roman" w:eastAsia="Times New Roman" w:hAnsi="Times New Roman" w:cs="Times New Roman"/>
        </w:rPr>
        <w:t xml:space="preserve">IP address, e-mail, </w:t>
      </w:r>
      <w:r w:rsidR="00DF1114">
        <w:rPr>
          <w:rFonts w:ascii="Times New Roman" w:eastAsia="Times New Roman" w:hAnsi="Times New Roman" w:cs="Times New Roman"/>
        </w:rPr>
        <w:t>zip code,</w:t>
      </w:r>
      <w:r w:rsidRPr="5E992B3F">
        <w:rPr>
          <w:rFonts w:ascii="Times New Roman" w:eastAsia="Times New Roman" w:hAnsi="Times New Roman" w:cs="Times New Roman"/>
        </w:rPr>
        <w:t xml:space="preserve"> </w:t>
      </w:r>
      <w:r w:rsidRPr="5E992B3F" w:rsidR="00D2633C">
        <w:rPr>
          <w:rFonts w:ascii="Times New Roman" w:eastAsia="Times New Roman" w:hAnsi="Times New Roman" w:cs="Times New Roman"/>
        </w:rPr>
        <w:t xml:space="preserve">birthdate, </w:t>
      </w:r>
      <w:r w:rsidRPr="5E992B3F">
        <w:rPr>
          <w:rFonts w:ascii="Times New Roman" w:eastAsia="Times New Roman" w:hAnsi="Times New Roman" w:cs="Times New Roman"/>
        </w:rPr>
        <w:t xml:space="preserve">and </w:t>
      </w:r>
      <w:r w:rsidRPr="5E992B3F" w:rsidR="00D37856">
        <w:rPr>
          <w:rFonts w:ascii="Times New Roman" w:eastAsia="Times New Roman" w:hAnsi="Times New Roman" w:cs="Times New Roman"/>
        </w:rPr>
        <w:t>screener/</w:t>
      </w:r>
      <w:r w:rsidRPr="5E992B3F">
        <w:rPr>
          <w:rFonts w:ascii="Times New Roman" w:eastAsia="Times New Roman" w:hAnsi="Times New Roman" w:cs="Times New Roman"/>
        </w:rPr>
        <w:t xml:space="preserve">survey responses) will be downloaded separately from Qualtrics (which requires a password). Since the </w:t>
      </w:r>
      <w:r w:rsidRPr="5E992B3F" w:rsidR="00927E99">
        <w:rPr>
          <w:rFonts w:ascii="Times New Roman" w:eastAsia="Times New Roman" w:hAnsi="Times New Roman" w:cs="Times New Roman"/>
        </w:rPr>
        <w:t xml:space="preserve">Federal Information Processing Standards (FIPS) 199 </w:t>
      </w:r>
      <w:r w:rsidRPr="5E992B3F">
        <w:rPr>
          <w:rFonts w:ascii="Times New Roman" w:eastAsia="Times New Roman" w:hAnsi="Times New Roman" w:cs="Times New Roman"/>
        </w:rPr>
        <w:t xml:space="preserve">does not permit access to the internet (and downloading the data from Qualtrics requires an internet connection), the files will be downloaded to the secure RTI study share drive and stored on the study share drive for no more than </w:t>
      </w:r>
      <w:r w:rsidR="00A61198">
        <w:rPr>
          <w:rFonts w:ascii="Times New Roman" w:eastAsia="Times New Roman" w:hAnsi="Times New Roman" w:cs="Times New Roman"/>
        </w:rPr>
        <w:t>48</w:t>
      </w:r>
      <w:r w:rsidRPr="5E992B3F" w:rsidR="00A61198">
        <w:rPr>
          <w:rFonts w:ascii="Times New Roman" w:eastAsia="Times New Roman" w:hAnsi="Times New Roman" w:cs="Times New Roman"/>
        </w:rPr>
        <w:t xml:space="preserve"> </w:t>
      </w:r>
      <w:r w:rsidRPr="5E992B3F">
        <w:rPr>
          <w:rFonts w:ascii="Times New Roman" w:eastAsia="Times New Roman" w:hAnsi="Times New Roman" w:cs="Times New Roman"/>
        </w:rPr>
        <w:t xml:space="preserve">hours after download. </w:t>
      </w:r>
      <w:r w:rsidRPr="2AE93E33">
        <w:rPr>
          <w:rFonts w:ascii="Times New Roman" w:eastAsia="Times New Roman" w:hAnsi="Times New Roman" w:cs="Times New Roman"/>
        </w:rPr>
        <w:t>RTI study</w:t>
      </w:r>
      <w:r w:rsidRPr="5E992B3F">
        <w:rPr>
          <w:rFonts w:ascii="Times New Roman" w:eastAsia="Times New Roman" w:hAnsi="Times New Roman" w:cs="Times New Roman"/>
        </w:rPr>
        <w:t xml:space="preserve"> staff will be given as-needed access to the data files on the share during that </w:t>
      </w:r>
      <w:r w:rsidR="008A6E75">
        <w:rPr>
          <w:rFonts w:ascii="Times New Roman" w:eastAsia="Times New Roman" w:hAnsi="Times New Roman" w:cs="Times New Roman"/>
        </w:rPr>
        <w:t>48</w:t>
      </w:r>
      <w:r w:rsidRPr="5E992B3F">
        <w:rPr>
          <w:rFonts w:ascii="Times New Roman" w:eastAsia="Times New Roman" w:hAnsi="Times New Roman" w:cs="Times New Roman"/>
        </w:rPr>
        <w:t xml:space="preserve">-hour period to conduct fraud detection procedures, at which point data from the individual will be combined to check for fraudulent responses. </w:t>
      </w:r>
    </w:p>
    <w:p w:rsidR="00A35C6D" w:rsidRPr="006B1D8F" w:rsidP="00A35C6D"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ab/>
      </w:r>
    </w:p>
    <w:p w:rsidR="00BE1FCB" w:rsidRPr="006B1D8F" w:rsidP="6ABE55F6" w14:paraId="7A81EE34" w14:textId="2A513C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6ABE55F6">
        <w:rPr>
          <w:rFonts w:ascii="Times New Roman" w:eastAsia="Times New Roman" w:hAnsi="Times New Roman" w:cs="Times New Roman"/>
        </w:rPr>
        <w:t xml:space="preserve">At the end of data collection, a member of the </w:t>
      </w:r>
      <w:r w:rsidRPr="2AE93E33">
        <w:rPr>
          <w:rFonts w:ascii="Times New Roman" w:eastAsia="Times New Roman" w:hAnsi="Times New Roman" w:cs="Times New Roman"/>
        </w:rPr>
        <w:t xml:space="preserve">RTI </w:t>
      </w:r>
      <w:r w:rsidRPr="6ABE55F6">
        <w:rPr>
          <w:rFonts w:ascii="Times New Roman" w:eastAsia="Times New Roman" w:hAnsi="Times New Roman" w:cs="Times New Roman"/>
        </w:rPr>
        <w:t xml:space="preserve">project staff will export the data from the survey and out of the </w:t>
      </w:r>
      <w:r w:rsidRPr="6ABE55F6" w:rsidR="00D43F21">
        <w:rPr>
          <w:rFonts w:ascii="Times New Roman" w:eastAsia="Times New Roman" w:hAnsi="Times New Roman" w:cs="Times New Roman"/>
        </w:rPr>
        <w:t>FIPS 199</w:t>
      </w:r>
      <w:r w:rsidR="000D20D8">
        <w:rPr>
          <w:rFonts w:ascii="Times New Roman" w:eastAsia="Times New Roman" w:hAnsi="Times New Roman" w:cs="Times New Roman"/>
        </w:rPr>
        <w:t xml:space="preserve"> moderate network</w:t>
      </w:r>
      <w:r w:rsidRPr="6ABE55F6">
        <w:rPr>
          <w:rFonts w:ascii="Times New Roman" w:eastAsia="Times New Roman" w:hAnsi="Times New Roman" w:cs="Times New Roman"/>
        </w:rPr>
        <w:t>,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00D54A74" w:rsidRPr="006B1D8F" w:rsidP="00326F1D" w14:paraId="71DA70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2E6BD3" w14:paraId="2CF8CAD0" w14:textId="77777777">
      <w:pPr>
        <w:spacing w:after="160" w:line="259" w:lineRule="auto"/>
        <w:rPr>
          <w:rFonts w:ascii="Times New Roman" w:eastAsia="Times New Roman" w:hAnsi="Times New Roman" w:cs="Times New Roman"/>
          <w:b/>
          <w:bCs/>
          <w:szCs w:val="24"/>
        </w:rPr>
      </w:pPr>
      <w:bookmarkStart w:id="14" w:name="_Toc239649232"/>
      <w:r>
        <w:rPr>
          <w:rFonts w:ascii="Times New Roman" w:eastAsia="Times New Roman" w:hAnsi="Times New Roman" w:cs="Times New Roman"/>
          <w:b/>
          <w:bCs/>
          <w:szCs w:val="24"/>
        </w:rPr>
        <w:br w:type="page"/>
      </w:r>
    </w:p>
    <w:p w:rsidR="00BE1FCB" w:rsidRPr="006B1D8F" w:rsidP="00BE1FCB" w14:paraId="659C4763" w14:textId="493C64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11. </w:t>
      </w:r>
      <w:r w:rsidRPr="006B1D8F">
        <w:rPr>
          <w:rFonts w:ascii="Times New Roman" w:eastAsia="Times New Roman" w:hAnsi="Times New Roman" w:cs="Times New Roman"/>
          <w:b/>
          <w:bCs/>
          <w:szCs w:val="24"/>
          <w:u w:val="single"/>
        </w:rPr>
        <w:t>Justification for Sensitive Questions</w:t>
      </w:r>
      <w:bookmarkEnd w:id="14"/>
    </w:p>
    <w:p w:rsidR="00BE1FCB" w:rsidRPr="006B1D8F" w:rsidP="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918BA" w:rsidP="05AC9209" w14:paraId="612BA8BB" w14:textId="0874A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pPr>
      <w:r w:rsidRPr="2AE93E33">
        <w:rPr>
          <w:rFonts w:ascii="Times New Roman" w:eastAsia="Times New Roman" w:hAnsi="Times New Roman" w:cs="Times New Roman"/>
        </w:rPr>
        <w:t>Most</w:t>
      </w:r>
      <w:r w:rsidRPr="05AC9209">
        <w:rPr>
          <w:rFonts w:ascii="Times New Roman" w:eastAsia="Times New Roman" w:hAnsi="Times New Roman" w:cs="Times New Roman"/>
        </w:rPr>
        <w:t xml:space="preserve"> questions asked will not be of a sensitive nature. However, it will be necessary to ask some questions that may </w:t>
      </w:r>
      <w:r w:rsidRPr="2AE93E33">
        <w:rPr>
          <w:rFonts w:ascii="Times New Roman" w:eastAsia="Times New Roman" w:hAnsi="Times New Roman" w:cs="Times New Roman"/>
        </w:rPr>
        <w:t>be</w:t>
      </w:r>
      <w:r w:rsidRPr="05AC9209">
        <w:rPr>
          <w:rFonts w:ascii="Times New Roman" w:eastAsia="Times New Roman" w:hAnsi="Times New Roman" w:cs="Times New Roman"/>
        </w:rPr>
        <w:t xml:space="preserve"> of a sensitive nature </w:t>
      </w:r>
      <w:r w:rsidRPr="05AC9209">
        <w:rPr>
          <w:rFonts w:ascii="Times New Roman" w:eastAsia="Times New Roman" w:hAnsi="Times New Roman" w:cs="Times New Roman"/>
        </w:rPr>
        <w:t>in order to</w:t>
      </w:r>
      <w:r w:rsidRPr="05AC9209">
        <w:rPr>
          <w:rFonts w:ascii="Times New Roman" w:eastAsia="Times New Roman" w:hAnsi="Times New Roman" w:cs="Times New Roman"/>
        </w:rPr>
        <w:t xml:space="preserve"> assess tobacco use</w:t>
      </w:r>
      <w:r w:rsidRPr="05AC9209" w:rsidR="412C9452">
        <w:rPr>
          <w:rFonts w:ascii="Times New Roman" w:eastAsia="Times New Roman" w:hAnsi="Times New Roman" w:cs="Times New Roman"/>
        </w:rPr>
        <w:t xml:space="preserve"> </w:t>
      </w:r>
      <w:r w:rsidRPr="05AC9209" w:rsidR="25D9B9C4">
        <w:rPr>
          <w:rFonts w:ascii="Times New Roman" w:eastAsia="Times New Roman" w:hAnsi="Times New Roman" w:cs="Times New Roman"/>
        </w:rPr>
        <w:t xml:space="preserve">among </w:t>
      </w:r>
      <w:r w:rsidRPr="05AC9209" w:rsidR="412C9452">
        <w:rPr>
          <w:rFonts w:ascii="Times New Roman" w:eastAsia="Times New Roman" w:hAnsi="Times New Roman" w:cs="Times New Roman"/>
        </w:rPr>
        <w:t xml:space="preserve">respondents under </w:t>
      </w:r>
      <w:r w:rsidRPr="05AC9209" w:rsidR="6882E4D5">
        <w:rPr>
          <w:rFonts w:ascii="Times New Roman" w:eastAsia="Times New Roman" w:hAnsi="Times New Roman" w:cs="Times New Roman"/>
        </w:rPr>
        <w:t xml:space="preserve">21 </w:t>
      </w:r>
      <w:r w:rsidRPr="05AC9209" w:rsidR="412C9452">
        <w:rPr>
          <w:rFonts w:ascii="Times New Roman" w:eastAsia="Times New Roman" w:hAnsi="Times New Roman" w:cs="Times New Roman"/>
        </w:rPr>
        <w:t>years old</w:t>
      </w:r>
      <w:r w:rsidRPr="05AC9209" w:rsidR="25D9B9C4">
        <w:rPr>
          <w:rFonts w:ascii="Times New Roman" w:eastAsia="Times New Roman" w:hAnsi="Times New Roman" w:cs="Times New Roman"/>
        </w:rPr>
        <w:t xml:space="preserve"> (the minimum age for legal purchase of tobacco products)</w:t>
      </w:r>
      <w:r w:rsidRPr="05AC9209" w:rsidR="0699656C">
        <w:rPr>
          <w:rFonts w:ascii="Times New Roman" w:eastAsia="Times New Roman" w:hAnsi="Times New Roman" w:cs="Times New Roman"/>
        </w:rPr>
        <w:t xml:space="preserve">. </w:t>
      </w:r>
      <w:r w:rsidRPr="05AC9209">
        <w:rPr>
          <w:rFonts w:ascii="Times New Roman" w:eastAsia="Times New Roman" w:hAnsi="Times New Roman" w:cs="Times New Roman"/>
        </w:rPr>
        <w:t>These questions are essential to the objectives of this data collection. Although we do not anticipate any risks from these health questions, some participants may perceive them to be sensitive. Questions about lifestyle (e.g., tobacco product use) and some demographic information, such as race and ethnicity</w:t>
      </w:r>
      <w:r w:rsidR="00690DB8">
        <w:rPr>
          <w:rFonts w:ascii="Times New Roman" w:eastAsia="Times New Roman" w:hAnsi="Times New Roman" w:cs="Times New Roman"/>
        </w:rPr>
        <w:t xml:space="preserve"> and </w:t>
      </w:r>
      <w:r w:rsidR="00E47B7E">
        <w:rPr>
          <w:rFonts w:ascii="Times New Roman" w:eastAsia="Times New Roman" w:hAnsi="Times New Roman" w:cs="Times New Roman"/>
        </w:rPr>
        <w:t>gender identity and sexual orientation</w:t>
      </w:r>
      <w:r w:rsidR="00656095">
        <w:rPr>
          <w:rFonts w:ascii="Times New Roman" w:eastAsia="Times New Roman" w:hAnsi="Times New Roman" w:cs="Times New Roman"/>
        </w:rPr>
        <w:t>,</w:t>
      </w:r>
      <w:r w:rsidRPr="05AC9209">
        <w:rPr>
          <w:rFonts w:ascii="Times New Roman" w:eastAsia="Times New Roman" w:hAnsi="Times New Roman" w:cs="Times New Roman"/>
        </w:rPr>
        <w:t xml:space="preserve"> could also be considered sensitive, </w:t>
      </w:r>
      <w:r w:rsidRPr="007524A2">
        <w:rPr>
          <w:rFonts w:ascii="Times New Roman" w:eastAsia="Times New Roman" w:hAnsi="Times New Roman" w:cs="Times New Roman"/>
        </w:rPr>
        <w:t xml:space="preserve">but not highly sensitive. </w:t>
      </w:r>
      <w:r w:rsidRPr="006F73A3" w:rsidR="00C249F9">
        <w:rPr>
          <w:rFonts w:ascii="Times New Roman" w:eastAsia="Times New Roman" w:hAnsi="Times New Roman" w:cs="Times New Roman"/>
        </w:rPr>
        <w:t xml:space="preserve">Collection of these data is </w:t>
      </w:r>
      <w:r w:rsidRPr="00524646" w:rsidR="00C249F9">
        <w:rPr>
          <w:rFonts w:ascii="Times New Roman" w:hAnsi="Times New Roman" w:cs="Times New Roman"/>
        </w:rPr>
        <w:t xml:space="preserve">necessary </w:t>
      </w:r>
      <w:r w:rsidRPr="00524646" w:rsidR="00C249F9">
        <w:rPr>
          <w:rFonts w:ascii="Times New Roman" w:hAnsi="Times New Roman" w:cs="Times New Roman"/>
        </w:rPr>
        <w:t>in order to</w:t>
      </w:r>
      <w:r w:rsidRPr="00524646" w:rsidR="00C249F9">
        <w:rPr>
          <w:rFonts w:ascii="Times New Roman" w:hAnsi="Times New Roman" w:cs="Times New Roman"/>
        </w:rPr>
        <w:t xml:space="preserve"> assess disparities in tobacco use and possible differences in campaign impact across different populations.</w:t>
      </w:r>
      <w:r w:rsidR="00C249F9">
        <w:t> </w:t>
      </w:r>
    </w:p>
    <w:p w:rsidR="006F2FEA" w:rsidP="05AC9209" w14:paraId="0CCEE2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pPr>
    </w:p>
    <w:p w:rsidR="00807705" w14:paraId="0110C7C1" w14:textId="296B87DC">
      <w:pPr>
        <w:ind w:left="180"/>
        <w:rPr>
          <w:rFonts w:ascii="Times New Roman" w:hAnsi="Times New Roman" w:cs="Times New Roman"/>
        </w:rPr>
      </w:pPr>
      <w:r w:rsidRPr="00524646">
        <w:rPr>
          <w:rFonts w:ascii="Times New Roman" w:hAnsi="Times New Roman" w:cs="Times New Roman"/>
        </w:rPr>
        <w:t>Decades of research has shown significant disparities in tobacco use by race/ethnicity (e.g., Harlow et al., 2019; Odani et al, 2018), gender identity (e.g., Johnson et al, 2019; Delahanty et al, 2019), and sexual orientation (e.g., Johnson et al, 2019; McCabe et al., 2018). Therefore, collecting detailed information on these demographic characteristics will allow us to measure these differences with the goal of reducing these disparities.</w:t>
      </w:r>
      <w:r w:rsidRPr="00524646" w:rsidR="006F73A3">
        <w:rPr>
          <w:rFonts w:ascii="Times New Roman" w:hAnsi="Times New Roman" w:cs="Times New Roman"/>
        </w:rPr>
        <w:t xml:space="preserve"> </w:t>
      </w:r>
    </w:p>
    <w:p w:rsidR="00CC7CD2" w14:paraId="4BFAC88B" w14:textId="77777777">
      <w:pPr>
        <w:ind w:left="180"/>
        <w:rPr>
          <w:rFonts w:ascii="Times New Roman" w:hAnsi="Times New Roman" w:cs="Times New Roman"/>
        </w:rPr>
      </w:pPr>
    </w:p>
    <w:p w:rsidR="00E53206" w:rsidRPr="00952FD2" w:rsidP="00E559AC" w14:paraId="3D5C2E93" w14:textId="2679DE61">
      <w:pPr>
        <w:ind w:left="180"/>
        <w:rPr>
          <w:rFonts w:ascii="Times New Roman" w:hAnsi="Times New Roman"/>
          <w:sz w:val="22"/>
          <w:highlight w:val="green"/>
        </w:rPr>
      </w:pPr>
      <w:r w:rsidRPr="00B41795">
        <w:rPr>
          <w:rFonts w:ascii="Times New Roman" w:hAnsi="Times New Roman" w:cs="Times New Roman"/>
        </w:rPr>
        <w:t>The questions asking about race and ethnicity are modeled after the 2020 U.S. Census which includes country of origin/national background when asking about Hispanic/Latino ethnicity. We are including the top</w:t>
      </w:r>
      <w:r w:rsidR="00B41795">
        <w:rPr>
          <w:rFonts w:ascii="Times New Roman" w:hAnsi="Times New Roman" w:cs="Times New Roman"/>
        </w:rPr>
        <w:t xml:space="preserve">3 </w:t>
      </w:r>
      <w:r w:rsidRPr="00B41795">
        <w:rPr>
          <w:rFonts w:ascii="Times New Roman" w:hAnsi="Times New Roman" w:cs="Times New Roman"/>
        </w:rPr>
        <w:t>countries of origin based on the 2020 U.S. Census data. This level of detail is necessary as data shows disparities in tobacco use and susceptibility depending on Hispanic/Latino country of origin (</w:t>
      </w:r>
      <w:r w:rsidRPr="00B41795" w:rsidR="005B02A9">
        <w:rPr>
          <w:rFonts w:ascii="Times New Roman" w:hAnsi="Times New Roman" w:cs="Times New Roman"/>
        </w:rPr>
        <w:t>Slobig</w:t>
      </w:r>
      <w:r w:rsidRPr="00B41795" w:rsidR="005B02A9">
        <w:rPr>
          <w:rFonts w:ascii="Times New Roman" w:hAnsi="Times New Roman" w:cs="Times New Roman"/>
        </w:rPr>
        <w:t xml:space="preserve">, 2014; Kaplan et al., 2014; </w:t>
      </w:r>
      <w:r w:rsidRPr="00B41795" w:rsidR="005B02A9">
        <w:rPr>
          <w:rFonts w:ascii="Times New Roman" w:hAnsi="Times New Roman" w:cs="Times New Roman"/>
        </w:rPr>
        <w:t>Parrinello</w:t>
      </w:r>
      <w:r w:rsidRPr="00B41795" w:rsidR="005B02A9">
        <w:rPr>
          <w:rFonts w:ascii="Times New Roman" w:hAnsi="Times New Roman" w:cs="Times New Roman"/>
        </w:rPr>
        <w:t xml:space="preserve"> et al., 2015; </w:t>
      </w:r>
      <w:r w:rsidRPr="00B41795" w:rsidR="005B02A9">
        <w:rPr>
          <w:rFonts w:ascii="Times New Roman" w:hAnsi="Times New Roman" w:cs="Times New Roman"/>
        </w:rPr>
        <w:t>Bandiera</w:t>
      </w:r>
      <w:r w:rsidRPr="00B41795" w:rsidR="005B02A9">
        <w:rPr>
          <w:rFonts w:ascii="Times New Roman" w:hAnsi="Times New Roman" w:cs="Times New Roman"/>
        </w:rPr>
        <w:t xml:space="preserve"> et al., </w:t>
      </w:r>
      <w:r w:rsidRPr="00B41795" w:rsidR="00F44868">
        <w:rPr>
          <w:rFonts w:ascii="Times New Roman" w:hAnsi="Times New Roman" w:cs="Times New Roman"/>
        </w:rPr>
        <w:t>2015</w:t>
      </w:r>
      <w:r w:rsidRPr="00B41795">
        <w:rPr>
          <w:rFonts w:ascii="Times New Roman" w:hAnsi="Times New Roman" w:cs="Times New Roman"/>
        </w:rPr>
        <w:t xml:space="preserve">).  It is important for CTP to capture this information to better understand Hispanic/Latino tobacco use and prevention. </w:t>
      </w:r>
    </w:p>
    <w:p w:rsidR="001B7AFB" w:rsidRPr="00952FD2" w:rsidP="001B7AFB" w14:paraId="27FEF1E3" w14:textId="147389D5">
      <w:pPr>
        <w:ind w:left="180"/>
        <w:rPr>
          <w:rFonts w:ascii="Times New Roman" w:hAnsi="Times New Roman"/>
          <w:highlight w:val="green"/>
        </w:rPr>
      </w:pPr>
    </w:p>
    <w:p w:rsidR="00C378FD" w:rsidP="00952FD2" w14:paraId="114334E3" w14:textId="7D4217A7">
      <w:pPr>
        <w:autoSpaceDE w:val="0"/>
        <w:autoSpaceDN w:val="0"/>
        <w:adjustRightInd w:val="0"/>
        <w:ind w:left="180"/>
        <w:rPr>
          <w:rFonts w:ascii="Times New Roman" w:hAnsi="Times New Roman" w:cs="Times New Roman"/>
        </w:rPr>
      </w:pPr>
      <w:r w:rsidRPr="00524646">
        <w:rPr>
          <w:rFonts w:ascii="Times New Roman" w:hAnsi="Times New Roman" w:cs="Times New Roman"/>
        </w:rPr>
        <w:t xml:space="preserve">As multiple studies of youth and young adults have reported approximately 12-15% of the sample identified as gender non-conforming/non-binary (e.g., The Human Rights Campaign 2018 LGBTQ+ Youth Report; The Trevor Project 2020 National Survey on LGBT Youth Mental Health; CTP’s evaluation of This Free Life campaign), including gender non-conforming/non-binary response options is necessary to identify and assess tobacco use and campaign effectiveness among this population. </w:t>
      </w:r>
      <w:r w:rsidR="00B54D24">
        <w:rPr>
          <w:rFonts w:ascii="Times New Roman" w:hAnsi="Times New Roman" w:cs="Times New Roman"/>
        </w:rPr>
        <w:t xml:space="preserve">  </w:t>
      </w:r>
      <w:r w:rsidRPr="004A3E11">
        <w:rPr>
          <w:rFonts w:ascii="Times New Roman" w:hAnsi="Times New Roman" w:cs="Times New Roman"/>
        </w:rPr>
        <w:t>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r w:rsidRPr="00B54D24" w:rsidR="00B54D24">
        <w:rPr>
          <w:rFonts w:ascii="Times New Roman" w:hAnsi="Times New Roman" w:cs="Times New Roman"/>
        </w:rPr>
        <w:t xml:space="preserve"> </w:t>
      </w:r>
      <w:r w:rsidRPr="00524646" w:rsidR="00B54D24">
        <w:rPr>
          <w:rFonts w:ascii="Times New Roman" w:hAnsi="Times New Roman" w:cs="Times New Roman"/>
        </w:rPr>
        <w:t xml:space="preserve">Gender identity questions with gender queer/gender non-conforming/non-binary response options have been approved by OMB for </w:t>
      </w:r>
      <w:r w:rsidRPr="00524646" w:rsidR="00B54D24">
        <w:rPr>
          <w:rFonts w:ascii="Times New Roman" w:hAnsi="Times New Roman" w:cs="Times New Roman"/>
        </w:rPr>
        <w:t>ExPECTT</w:t>
      </w:r>
      <w:r w:rsidRPr="00524646" w:rsidR="00B54D24">
        <w:rPr>
          <w:rFonts w:ascii="Times New Roman" w:hAnsi="Times New Roman" w:cs="Times New Roman"/>
        </w:rPr>
        <w:t xml:space="preserve"> (0910-0753), and for RESPECT (0910-0808), and Formative Research Support: Outcomes and Awareness Measurement Research (0910-0810).</w:t>
      </w:r>
    </w:p>
    <w:p w:rsidR="00C378FD" w:rsidP="00952FD2" w14:paraId="3F644F3A" w14:textId="06403573">
      <w:pPr>
        <w:autoSpaceDE w:val="0"/>
        <w:autoSpaceDN w:val="0"/>
        <w:adjustRightInd w:val="0"/>
        <w:ind w:left="180"/>
        <w:rPr>
          <w:rFonts w:ascii="Times New Roman" w:hAnsi="Times New Roman" w:cs="Times New Roman"/>
        </w:rPr>
      </w:pPr>
    </w:p>
    <w:p w:rsidR="00BE1FCB" w:rsidRPr="006B1D8F" w:rsidP="00952FD2" w14:paraId="3197FF68" w14:textId="070B3D9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To address any concerns about inadvertent disclosure of sensitive information, participants will be fully informed of the applicable privacy safeguards. This study includes </w:t>
      </w:r>
      <w:r w:rsidRPr="2AE93E33">
        <w:rPr>
          <w:rFonts w:ascii="Times New Roman" w:eastAsia="Times New Roman" w:hAnsi="Times New Roman" w:cs="Times New Roman"/>
        </w:rPr>
        <w:t>several</w:t>
      </w:r>
      <w:r w:rsidRPr="05AC9209">
        <w:rPr>
          <w:rFonts w:ascii="Times New Roman" w:eastAsia="Times New Roman" w:hAnsi="Times New Roman" w:cs="Times New Roman"/>
        </w:rPr>
        <w:t xml:space="preserve"> procedures and methodological characteristics that will minimize potential negative reactions to these types of questions, including the following:</w:t>
      </w:r>
    </w:p>
    <w:p w:rsidR="00BE1FCB" w:rsidRPr="006B1D8F" w:rsidP="00BE1FCB" w14:paraId="2F2DFBF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Participants will be informed that they need not answer any question that makes them feel uncomfortable or that they simply do not wish to </w:t>
      </w:r>
      <w:r w:rsidRPr="006B1D8F">
        <w:rPr>
          <w:rFonts w:ascii="Times New Roman" w:eastAsia="Times New Roman" w:hAnsi="Times New Roman" w:cs="Times New Roman"/>
          <w:szCs w:val="24"/>
        </w:rPr>
        <w:t>answer;</w:t>
      </w:r>
    </w:p>
    <w:p w:rsidR="00BE1FCB" w:rsidRPr="006B1D8F" w:rsidP="00BE1FCB" w14:paraId="1229167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Web surveys are entirely self-administered and maximize respondent privacy without the need to verbalize responses; and</w:t>
      </w:r>
    </w:p>
    <w:p w:rsidR="00BE1FCB" w:rsidRPr="006B1D8F" w:rsidP="00BE1FCB" w14:paraId="4D50A3BC" w14:textId="315B5305">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Participants will be provided with a</w:t>
      </w:r>
      <w:r w:rsidR="00067DE4">
        <w:rPr>
          <w:rFonts w:ascii="Times New Roman" w:eastAsia="Times New Roman" w:hAnsi="Times New Roman" w:cs="Times New Roman"/>
          <w:szCs w:val="24"/>
        </w:rPr>
        <w:t>n</w:t>
      </w:r>
      <w:r w:rsidRPr="006B1D8F">
        <w:rPr>
          <w:rFonts w:ascii="Times New Roman" w:eastAsia="Times New Roman" w:hAnsi="Times New Roman" w:cs="Times New Roman"/>
          <w:szCs w:val="24"/>
        </w:rPr>
        <w:t xml:space="preserve"> email address </w:t>
      </w:r>
      <w:r w:rsidR="00067DE4">
        <w:rPr>
          <w:rFonts w:ascii="Times New Roman" w:eastAsia="Times New Roman" w:hAnsi="Times New Roman" w:cs="Times New Roman"/>
          <w:szCs w:val="24"/>
        </w:rPr>
        <w:t xml:space="preserve">to contact </w:t>
      </w:r>
      <w:r w:rsidRPr="006B1D8F">
        <w:rPr>
          <w:rFonts w:ascii="Times New Roman" w:eastAsia="Times New Roman" w:hAnsi="Times New Roman" w:cs="Times New Roman"/>
          <w:szCs w:val="24"/>
        </w:rPr>
        <w:t xml:space="preserve">should they have any questions or concerns about the study. </w:t>
      </w:r>
    </w:p>
    <w:p w:rsidR="00BE1FCB" w:rsidRPr="006B1D8F" w:rsidP="00326F1D" w14:paraId="68116A11" w14:textId="538AA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rPr>
      </w:pPr>
      <w:bookmarkStart w:id="15" w:name="_Toc239649233"/>
    </w:p>
    <w:p w:rsidR="0053661E" w:rsidRPr="001D78CC" w:rsidP="0053661E" w14:paraId="0DDDD207" w14:textId="77777777">
      <w:pPr>
        <w:ind w:left="180"/>
        <w:rPr>
          <w:rFonts w:ascii="Times New Roman" w:hAnsi="Times New Roman" w:cs="Times New Roman"/>
          <w:szCs w:val="24"/>
        </w:rPr>
      </w:pPr>
      <w:r w:rsidRPr="001D78CC">
        <w:rPr>
          <w:rFonts w:ascii="Times New Roman" w:hAnsi="Times New Roman" w:cs="Times New Roman"/>
          <w:szCs w:val="24"/>
        </w:rPr>
        <w:t>Survey respondents</w:t>
      </w:r>
      <w:r>
        <w:rPr>
          <w:rFonts w:ascii="Times New Roman" w:hAnsi="Times New Roman" w:cs="Times New Roman"/>
          <w:szCs w:val="24"/>
        </w:rPr>
        <w:t xml:space="preserve"> will</w:t>
      </w:r>
      <w:r w:rsidRPr="001D78CC">
        <w:rPr>
          <w:rFonts w:ascii="Times New Roman" w:hAnsi="Times New Roman" w:cs="Times New Roman"/>
          <w:szCs w:val="24"/>
        </w:rPr>
        <w:t xml:space="preserve"> have the option to only answer the items that they select to answer. They may end the end a survey at their discretion. We</w:t>
      </w:r>
      <w:r>
        <w:rPr>
          <w:rFonts w:ascii="Times New Roman" w:hAnsi="Times New Roman" w:cs="Times New Roman"/>
          <w:szCs w:val="24"/>
        </w:rPr>
        <w:t xml:space="preserve"> will</w:t>
      </w:r>
      <w:r w:rsidRPr="001D78CC">
        <w:rPr>
          <w:rFonts w:ascii="Times New Roman" w:hAnsi="Times New Roman" w:cs="Times New Roman"/>
          <w:szCs w:val="24"/>
        </w:rPr>
        <w:t xml:space="preserve"> take every measure to ensure that respondents are aware of their choices and provide assent or consent to participate. </w:t>
      </w:r>
    </w:p>
    <w:p w:rsidR="0053661E" w:rsidRPr="001D78CC" w:rsidP="0053661E" w14:paraId="11CF0287" w14:textId="77777777">
      <w:pPr>
        <w:ind w:left="180"/>
        <w:rPr>
          <w:rFonts w:ascii="Times New Roman" w:hAnsi="Times New Roman" w:cs="Times New Roman"/>
          <w:szCs w:val="24"/>
        </w:rPr>
      </w:pPr>
    </w:p>
    <w:p w:rsidR="00E02FFC" w:rsidP="002F315C" w14:paraId="7CF666D2" w14:textId="5ACA9BE7">
      <w:pPr>
        <w:ind w:left="180"/>
        <w:rPr>
          <w:rFonts w:ascii="Times New Roman" w:eastAsia="Times New Roman" w:hAnsi="Times New Roman" w:cs="Times New Roman"/>
          <w:b/>
          <w:bCs/>
          <w:szCs w:val="24"/>
        </w:rPr>
      </w:pPr>
      <w:r w:rsidRPr="001D78CC">
        <w:rPr>
          <w:rFonts w:ascii="Times New Roman" w:hAnsi="Times New Roman" w:cs="Times New Roman"/>
          <w:szCs w:val="24"/>
        </w:rPr>
        <w:t>Before requesting any information from participants, RTI will provide information about data security and ways to request data removal from RTI databases. RTI will also inform participants that they can select “prefer not to answer” to any question and will recommend that participants complete the survey where no one can see their answers. RTI</w:t>
      </w:r>
      <w:r>
        <w:rPr>
          <w:rFonts w:ascii="Times New Roman" w:hAnsi="Times New Roman" w:cs="Times New Roman"/>
          <w:szCs w:val="24"/>
        </w:rPr>
        <w:t xml:space="preserve"> will</w:t>
      </w:r>
      <w:r w:rsidRPr="001D78CC">
        <w:rPr>
          <w:rFonts w:ascii="Times New Roman" w:hAnsi="Times New Roman" w:cs="Times New Roman"/>
          <w:szCs w:val="24"/>
        </w:rPr>
        <w:t xml:space="preserve"> provide study information through informed consent and conclude the survey immediately for participants who state that they do not want to take the survey after reading the study information.</w:t>
      </w:r>
      <w:r w:rsidR="00700E5B">
        <w:rPr>
          <w:rFonts w:ascii="Times New Roman" w:hAnsi="Times New Roman" w:cs="Times New Roman"/>
          <w:szCs w:val="24"/>
        </w:rPr>
        <w:t xml:space="preserve"> </w:t>
      </w:r>
      <w:r w:rsidRPr="005B7E93" w:rsidR="001A0F63">
        <w:rPr>
          <w:rFonts w:ascii="Times New Roman" w:hAnsi="Times New Roman" w:cs="Times New Roman"/>
          <w:szCs w:val="24"/>
        </w:rPr>
        <w:t>The project team will not conduct or report on statistical analysis for demographic groups for which there is insufficient statistical power.</w:t>
      </w:r>
      <w:r w:rsidR="001A0F63">
        <w:rPr>
          <w:rFonts w:ascii="Times New Roman" w:hAnsi="Times New Roman" w:cs="Times New Roman"/>
          <w:szCs w:val="24"/>
        </w:rPr>
        <w:t xml:space="preserve"> </w:t>
      </w:r>
    </w:p>
    <w:p w:rsidR="002E6BD3" w:rsidP="00BE1FCB" w14:paraId="35D7C6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p>
    <w:p w:rsidR="002E6BD3" w14:paraId="358C7225" w14:textId="77777777">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BE1FCB" w:rsidRPr="006B1D8F" w:rsidP="00BE1FCB" w14:paraId="7F1F0875" w14:textId="31D438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12.  </w:t>
      </w:r>
      <w:r w:rsidRPr="006B1D8F">
        <w:rPr>
          <w:rFonts w:ascii="Times New Roman" w:eastAsia="Times New Roman" w:hAnsi="Times New Roman" w:cs="Times New Roman"/>
          <w:b/>
          <w:bCs/>
          <w:szCs w:val="24"/>
          <w:u w:val="single"/>
        </w:rPr>
        <w:t>Estimates of Annualized Burden Hours and Costs</w:t>
      </w:r>
      <w:bookmarkEnd w:id="15"/>
    </w:p>
    <w:p w:rsidR="00BE1FCB" w:rsidRPr="006B1D8F" w:rsidP="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BE1FCB" w14:paraId="2A78C6C0" w14:textId="4452CDA7">
      <w:pPr>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12 a. Annualized Hour Burden Estimate</w:t>
      </w:r>
    </w:p>
    <w:p w:rsidR="00E73128" w:rsidRPr="006B1D8F" w:rsidP="00BE1FCB" w14:paraId="37A84786" w14:textId="77777777">
      <w:pPr>
        <w:autoSpaceDE w:val="0"/>
        <w:autoSpaceDN w:val="0"/>
        <w:adjustRightInd w:val="0"/>
        <w:ind w:left="180"/>
        <w:rPr>
          <w:rFonts w:ascii="Times New Roman" w:eastAsia="Times New Roman" w:hAnsi="Times New Roman" w:cs="Times New Roman"/>
          <w:szCs w:val="24"/>
        </w:rPr>
      </w:pPr>
    </w:p>
    <w:p w:rsidR="00326F1D" w:rsidP="00E2437D" w14:paraId="71062A1D" w14:textId="51ECCD76">
      <w:pPr>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An estimated one-time reporting burden for this collection will be </w:t>
      </w:r>
      <w:r w:rsidRPr="00DD4484">
        <w:rPr>
          <w:rFonts w:ascii="Times New Roman" w:eastAsia="Times New Roman" w:hAnsi="Times New Roman" w:cs="Times New Roman"/>
          <w:szCs w:val="24"/>
        </w:rPr>
        <w:t xml:space="preserve">approximately </w:t>
      </w:r>
      <w:r w:rsidR="00771148">
        <w:rPr>
          <w:rFonts w:ascii="Times New Roman" w:eastAsia="Times New Roman" w:hAnsi="Times New Roman" w:cs="Times New Roman"/>
          <w:szCs w:val="24"/>
        </w:rPr>
        <w:t>700</w:t>
      </w:r>
      <w:r w:rsidRPr="00DD4484" w:rsidR="00771148">
        <w:rPr>
          <w:rFonts w:ascii="Times New Roman" w:eastAsia="Times New Roman" w:hAnsi="Times New Roman" w:cs="Times New Roman"/>
          <w:szCs w:val="24"/>
        </w:rPr>
        <w:t xml:space="preserve"> </w:t>
      </w:r>
      <w:r w:rsidRPr="00DD4484">
        <w:rPr>
          <w:rFonts w:ascii="Times New Roman" w:eastAsia="Times New Roman" w:hAnsi="Times New Roman" w:cs="Times New Roman"/>
          <w:szCs w:val="24"/>
        </w:rPr>
        <w:t>ho</w:t>
      </w:r>
      <w:r w:rsidRPr="006B1D8F">
        <w:rPr>
          <w:rFonts w:ascii="Times New Roman" w:eastAsia="Times New Roman" w:hAnsi="Times New Roman" w:cs="Times New Roman"/>
          <w:szCs w:val="24"/>
        </w:rPr>
        <w:t xml:space="preserve">urs </w:t>
      </w:r>
      <w:r w:rsidRPr="006B1D8F" w:rsidR="00512F19">
        <w:rPr>
          <w:rFonts w:ascii="Times New Roman" w:eastAsia="Times New Roman" w:hAnsi="Times New Roman" w:cs="Times New Roman"/>
          <w:szCs w:val="24"/>
        </w:rPr>
        <w:t xml:space="preserve">annually </w:t>
      </w:r>
      <w:r w:rsidRPr="006B1D8F">
        <w:rPr>
          <w:rFonts w:ascii="Times New Roman" w:eastAsia="Times New Roman" w:hAnsi="Times New Roman" w:cs="Times New Roman"/>
          <w:szCs w:val="24"/>
        </w:rPr>
        <w:t>(Table 1</w:t>
      </w:r>
      <w:bookmarkStart w:id="16" w:name="_Toc361824170"/>
      <w:r w:rsidRPr="006B1D8F">
        <w:rPr>
          <w:rFonts w:ascii="Times New Roman" w:eastAsia="Times New Roman" w:hAnsi="Times New Roman" w:cs="Times New Roman"/>
          <w:szCs w:val="24"/>
        </w:rPr>
        <w:t>). This includes the time burden associated with the screener</w:t>
      </w:r>
      <w:r w:rsidRPr="006B1D8F" w:rsidR="00BE2747">
        <w:rPr>
          <w:rFonts w:ascii="Times New Roman" w:eastAsia="Times New Roman" w:hAnsi="Times New Roman" w:cs="Times New Roman"/>
          <w:szCs w:val="24"/>
        </w:rPr>
        <w:t xml:space="preserve"> and informed consent</w:t>
      </w:r>
      <w:r w:rsidRPr="006B1D8F">
        <w:rPr>
          <w:rFonts w:ascii="Times New Roman" w:eastAsia="Times New Roman" w:hAnsi="Times New Roman" w:cs="Times New Roman"/>
          <w:szCs w:val="24"/>
        </w:rPr>
        <w:t xml:space="preserve">. </w:t>
      </w:r>
      <w:bookmarkStart w:id="17" w:name="_Hlk45028396"/>
      <w:r w:rsidRPr="006B1D8F" w:rsidR="003F6F63">
        <w:rPr>
          <w:rFonts w:ascii="Times New Roman" w:eastAsia="Times New Roman" w:hAnsi="Times New Roman" w:cs="Times New Roman"/>
          <w:szCs w:val="24"/>
        </w:rPr>
        <w:t xml:space="preserve">We will obtain a final sample </w:t>
      </w:r>
      <w:r w:rsidRPr="00915DD3" w:rsidR="003F6F63">
        <w:rPr>
          <w:rFonts w:ascii="Times New Roman" w:eastAsia="Times New Roman" w:hAnsi="Times New Roman" w:cs="Times New Roman"/>
          <w:szCs w:val="24"/>
        </w:rPr>
        <w:t xml:space="preserve">size of </w:t>
      </w:r>
      <w:r w:rsidR="00E54B4F">
        <w:rPr>
          <w:rFonts w:ascii="Times New Roman" w:eastAsia="Times New Roman" w:hAnsi="Times New Roman" w:cs="Times New Roman"/>
          <w:szCs w:val="24"/>
        </w:rPr>
        <w:t>1,500</w:t>
      </w:r>
      <w:r w:rsidRPr="00915DD3" w:rsidR="005F3AD8">
        <w:rPr>
          <w:rFonts w:ascii="Times New Roman" w:eastAsia="Times New Roman" w:hAnsi="Times New Roman" w:cs="Times New Roman"/>
          <w:szCs w:val="24"/>
        </w:rPr>
        <w:t xml:space="preserve"> </w:t>
      </w:r>
      <w:r w:rsidRPr="00915DD3" w:rsidR="00BE2747">
        <w:rPr>
          <w:rFonts w:ascii="Times New Roman" w:eastAsia="Times New Roman" w:hAnsi="Times New Roman" w:cs="Times New Roman"/>
          <w:szCs w:val="24"/>
        </w:rPr>
        <w:t xml:space="preserve">young </w:t>
      </w:r>
      <w:r w:rsidRPr="00915DD3" w:rsidR="003F6F63">
        <w:rPr>
          <w:rFonts w:ascii="Times New Roman" w:eastAsia="Times New Roman" w:hAnsi="Times New Roman" w:cs="Times New Roman"/>
          <w:szCs w:val="24"/>
        </w:rPr>
        <w:t>adults</w:t>
      </w:r>
      <w:r w:rsidR="00DF436C">
        <w:rPr>
          <w:rFonts w:ascii="Times New Roman" w:eastAsia="Times New Roman" w:hAnsi="Times New Roman" w:cs="Times New Roman"/>
          <w:szCs w:val="24"/>
        </w:rPr>
        <w:t xml:space="preserve"> aged 18-24</w:t>
      </w:r>
      <w:r w:rsidRPr="00915DD3" w:rsidR="003F6F63">
        <w:rPr>
          <w:rFonts w:ascii="Times New Roman" w:eastAsia="Times New Roman" w:hAnsi="Times New Roman" w:cs="Times New Roman"/>
          <w:szCs w:val="24"/>
        </w:rPr>
        <w:t>.</w:t>
      </w:r>
      <w:bookmarkEnd w:id="17"/>
      <w:r w:rsidRPr="00915DD3" w:rsidR="003F6F63">
        <w:rPr>
          <w:rFonts w:ascii="Times New Roman" w:eastAsia="Times New Roman" w:hAnsi="Times New Roman" w:cs="Times New Roman"/>
          <w:szCs w:val="24"/>
        </w:rPr>
        <w:t xml:space="preserve"> </w:t>
      </w:r>
    </w:p>
    <w:p w:rsidR="00E73128" w:rsidRPr="006B1D8F" w:rsidP="00326F1D" w14:paraId="4312882F" w14:textId="77777777">
      <w:pPr>
        <w:autoSpaceDE w:val="0"/>
        <w:autoSpaceDN w:val="0"/>
        <w:adjustRightInd w:val="0"/>
        <w:ind w:left="180"/>
        <w:rPr>
          <w:rFonts w:ascii="Times New Roman" w:eastAsia="Times New Roman" w:hAnsi="Times New Roman" w:cs="Times New Roman"/>
          <w:szCs w:val="24"/>
        </w:rPr>
      </w:pPr>
    </w:p>
    <w:p w:rsidR="00BE1FCB" w:rsidRPr="002E7027" w:rsidP="00BE1FCB" w14:paraId="6E572B79" w14:textId="259C678D">
      <w:pPr>
        <w:autoSpaceDE w:val="0"/>
        <w:autoSpaceDN w:val="0"/>
        <w:adjustRightInd w:val="0"/>
        <w:ind w:left="180"/>
        <w:rPr>
          <w:rFonts w:ascii="Times New Roman" w:eastAsia="Times New Roman" w:hAnsi="Times New Roman" w:cs="Times New Roman"/>
          <w:b/>
          <w:szCs w:val="24"/>
          <w:vertAlign w:val="superscript"/>
        </w:rPr>
      </w:pPr>
      <w:r w:rsidRPr="002E7027">
        <w:rPr>
          <w:rFonts w:ascii="Times New Roman" w:eastAsia="Times New Roman" w:hAnsi="Times New Roman" w:cs="Times New Roman"/>
          <w:b/>
          <w:szCs w:val="24"/>
        </w:rPr>
        <w:t>Table 1. Estimated Annual Reporting Burden</w:t>
      </w:r>
      <w:bookmarkEnd w:id="16"/>
    </w:p>
    <w:tbl>
      <w:tblPr>
        <w:tblW w:w="5000" w:type="pct"/>
        <w:jc w:val="center"/>
        <w:tblBorders>
          <w:top w:val="single" w:sz="12" w:space="0" w:color="auto"/>
          <w:bottom w:val="single" w:sz="12" w:space="0" w:color="auto"/>
          <w:insideH w:val="single" w:sz="6" w:space="0" w:color="auto"/>
          <w:insideV w:val="single" w:sz="6" w:space="0" w:color="auto"/>
        </w:tblBorders>
        <w:tblCellMar>
          <w:left w:w="29" w:type="dxa"/>
          <w:right w:w="29" w:type="dxa"/>
        </w:tblCellMar>
        <w:tblLook w:val="00A0"/>
      </w:tblPr>
      <w:tblGrid>
        <w:gridCol w:w="26"/>
        <w:gridCol w:w="2181"/>
        <w:gridCol w:w="1803"/>
        <w:gridCol w:w="987"/>
        <w:gridCol w:w="1046"/>
        <w:gridCol w:w="1046"/>
        <w:gridCol w:w="1279"/>
        <w:gridCol w:w="943"/>
        <w:gridCol w:w="49"/>
      </w:tblGrid>
      <w:tr w14:paraId="0D53B4C4" w14:textId="77777777" w:rsidTr="005A3EA4">
        <w:tblPrEx>
          <w:tblW w:w="5000" w:type="pct"/>
          <w:jc w:val="center"/>
          <w:tblBorders>
            <w:top w:val="single" w:sz="12" w:space="0" w:color="auto"/>
            <w:bottom w:val="single" w:sz="12" w:space="0" w:color="auto"/>
            <w:insideH w:val="single" w:sz="6" w:space="0" w:color="auto"/>
            <w:insideV w:val="single" w:sz="6" w:space="0" w:color="auto"/>
          </w:tblBorders>
          <w:tblCellMar>
            <w:left w:w="29" w:type="dxa"/>
            <w:right w:w="29" w:type="dxa"/>
          </w:tblCellMar>
          <w:tblLook w:val="00A0"/>
        </w:tblPrEx>
        <w:trPr>
          <w:gridBefore w:val="1"/>
          <w:gridAfter w:val="1"/>
          <w:wBefore w:w="26" w:type="dxa"/>
          <w:wAfter w:w="26" w:type="dxa"/>
          <w:cantSplit/>
          <w:jc w:val="center"/>
        </w:trPr>
        <w:tc>
          <w:tcPr>
            <w:tcW w:w="1165" w:type="pct"/>
            <w:vAlign w:val="bottom"/>
          </w:tcPr>
          <w:p w:rsidR="00BE1FCB" w:rsidRPr="002E7027" w:rsidP="00F3750D" w14:paraId="212BAAC2" w14:textId="77777777">
            <w:pPr>
              <w:keepNext/>
              <w:autoSpaceDE w:val="0"/>
              <w:autoSpaceDN w:val="0"/>
              <w:adjustRightInd w:val="0"/>
              <w:ind w:left="18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Type of Respondent</w:t>
            </w:r>
          </w:p>
        </w:tc>
        <w:tc>
          <w:tcPr>
            <w:tcW w:w="963" w:type="pct"/>
            <w:vAlign w:val="bottom"/>
          </w:tcPr>
          <w:p w:rsidR="00BE1FCB" w:rsidRPr="002E7027" w:rsidP="0017568B" w14:paraId="23429A3D"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Activity</w:t>
            </w:r>
          </w:p>
        </w:tc>
        <w:tc>
          <w:tcPr>
            <w:tcW w:w="527" w:type="pct"/>
            <w:vAlign w:val="bottom"/>
          </w:tcPr>
          <w:p w:rsidR="00BE1FCB" w:rsidRPr="002E7027" w:rsidP="0017568B" w14:paraId="4D23CDC2" w14:textId="77777777">
            <w:pPr>
              <w:keepNext/>
              <w:autoSpaceDE w:val="0"/>
              <w:autoSpaceDN w:val="0"/>
              <w:adjustRightInd w:val="0"/>
              <w:ind w:left="-66"/>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Number of Respondents</w:t>
            </w:r>
          </w:p>
        </w:tc>
        <w:tc>
          <w:tcPr>
            <w:tcW w:w="559" w:type="pct"/>
            <w:vAlign w:val="bottom"/>
          </w:tcPr>
          <w:p w:rsidR="00BE1FCB" w:rsidRPr="002E7027" w:rsidP="0017568B" w14:paraId="71995CC5"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Number of Responses per Respondent</w:t>
            </w:r>
          </w:p>
        </w:tc>
        <w:tc>
          <w:tcPr>
            <w:tcW w:w="559" w:type="pct"/>
            <w:vAlign w:val="bottom"/>
          </w:tcPr>
          <w:p w:rsidR="00BE1FCB" w:rsidRPr="002E7027" w:rsidP="0017568B" w14:paraId="2388F4D8"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Total Responses</w:t>
            </w:r>
          </w:p>
        </w:tc>
        <w:tc>
          <w:tcPr>
            <w:tcW w:w="683" w:type="pct"/>
            <w:vAlign w:val="bottom"/>
          </w:tcPr>
          <w:p w:rsidR="00BE1FCB" w:rsidRPr="002E7027" w:rsidP="0017568B" w14:paraId="5825BEEF"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Average Burden per Response (in hours)</w:t>
            </w:r>
          </w:p>
        </w:tc>
        <w:tc>
          <w:tcPr>
            <w:tcW w:w="504" w:type="pct"/>
            <w:vAlign w:val="bottom"/>
          </w:tcPr>
          <w:p w:rsidR="00BE1FCB" w:rsidRPr="002E7027" w:rsidP="0017568B" w14:paraId="3B1AC711" w14:textId="37A0105B">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Total Hours</w:t>
            </w:r>
          </w:p>
        </w:tc>
      </w:tr>
      <w:tr w14:paraId="7EDFDFEC" w14:textId="77777777" w:rsidTr="005A3EA4">
        <w:tblPrEx>
          <w:tblW w:w="5000" w:type="pct"/>
          <w:jc w:val="center"/>
          <w:tblCellMar>
            <w:left w:w="29" w:type="dxa"/>
            <w:right w:w="29" w:type="dxa"/>
          </w:tblCellMar>
          <w:tblLook w:val="00A0"/>
        </w:tblPrEx>
        <w:trPr>
          <w:cantSplit/>
          <w:trHeight w:val="183"/>
          <w:jc w:val="center"/>
        </w:trPr>
        <w:tc>
          <w:tcPr>
            <w:tcW w:w="1179" w:type="pct"/>
            <w:gridSpan w:val="2"/>
            <w:vAlign w:val="center"/>
          </w:tcPr>
          <w:p w:rsidR="008A0924" w:rsidRPr="00AB1955" w:rsidP="008A0924" w14:paraId="737A5E92" w14:textId="5C210E51">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w:t>
            </w:r>
            <w:r w:rsidRPr="00AB1955" w:rsidR="00BE2747">
              <w:rPr>
                <w:rFonts w:ascii="Times New Roman" w:eastAsia="Times New Roman" w:hAnsi="Times New Roman" w:cs="Times New Roman"/>
                <w:sz w:val="16"/>
                <w:szCs w:val="24"/>
              </w:rPr>
              <w:t xml:space="preserve">24 </w:t>
            </w:r>
          </w:p>
        </w:tc>
        <w:tc>
          <w:tcPr>
            <w:tcW w:w="963" w:type="pct"/>
            <w:vAlign w:val="center"/>
          </w:tcPr>
          <w:p w:rsidR="008A0924" w:rsidRPr="00AB1955" w:rsidP="0017568B" w14:paraId="388B0884" w14:textId="3D02256E">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Recruiting and Screening</w:t>
            </w:r>
          </w:p>
        </w:tc>
        <w:tc>
          <w:tcPr>
            <w:tcW w:w="527" w:type="pct"/>
            <w:vAlign w:val="center"/>
          </w:tcPr>
          <w:p w:rsidR="008A0924" w:rsidRPr="00254FC0" w:rsidP="0017568B" w14:paraId="48D284FF" w14:textId="498D5235">
            <w:pPr>
              <w:keepNext/>
              <w:autoSpaceDE w:val="0"/>
              <w:autoSpaceDN w:val="0"/>
              <w:adjustRightInd w:val="0"/>
              <w:jc w:val="center"/>
              <w:rPr>
                <w:rFonts w:ascii="Times New Roman" w:eastAsia="Times New Roman" w:hAnsi="Times New Roman" w:cs="Times New Roman"/>
                <w:sz w:val="16"/>
                <w:szCs w:val="24"/>
              </w:rPr>
            </w:pPr>
            <w:r w:rsidRPr="00254FC0">
              <w:rPr>
                <w:rFonts w:ascii="Times New Roman" w:eastAsia="Times New Roman" w:hAnsi="Times New Roman" w:cs="Times New Roman"/>
                <w:sz w:val="16"/>
                <w:szCs w:val="24"/>
              </w:rPr>
              <w:t>5,000</w:t>
            </w:r>
          </w:p>
        </w:tc>
        <w:tc>
          <w:tcPr>
            <w:tcW w:w="559" w:type="pct"/>
            <w:vAlign w:val="center"/>
          </w:tcPr>
          <w:p w:rsidR="008A0924" w:rsidRPr="00254FC0" w:rsidP="0017568B" w14:paraId="4F450AB2" w14:textId="1959597F">
            <w:pPr>
              <w:keepNext/>
              <w:autoSpaceDE w:val="0"/>
              <w:autoSpaceDN w:val="0"/>
              <w:adjustRightInd w:val="0"/>
              <w:jc w:val="center"/>
              <w:rPr>
                <w:rFonts w:ascii="Times New Roman" w:eastAsia="Times New Roman" w:hAnsi="Times New Roman" w:cs="Times New Roman"/>
                <w:sz w:val="16"/>
                <w:szCs w:val="24"/>
              </w:rPr>
            </w:pPr>
            <w:r w:rsidRPr="00254FC0">
              <w:rPr>
                <w:rFonts w:ascii="Times New Roman" w:eastAsia="Times New Roman" w:hAnsi="Times New Roman" w:cs="Times New Roman"/>
                <w:sz w:val="16"/>
                <w:szCs w:val="24"/>
              </w:rPr>
              <w:t>1</w:t>
            </w:r>
          </w:p>
        </w:tc>
        <w:tc>
          <w:tcPr>
            <w:tcW w:w="559" w:type="pct"/>
            <w:vAlign w:val="center"/>
          </w:tcPr>
          <w:p w:rsidR="008A0924" w:rsidRPr="00254FC0" w:rsidP="0017568B" w14:paraId="26B82343" w14:textId="7CE6F388">
            <w:pPr>
              <w:keepNext/>
              <w:tabs>
                <w:tab w:val="decimal" w:pos="313"/>
              </w:tabs>
              <w:autoSpaceDE w:val="0"/>
              <w:autoSpaceDN w:val="0"/>
              <w:adjustRightInd w:val="0"/>
              <w:jc w:val="center"/>
              <w:rPr>
                <w:rFonts w:ascii="Times New Roman" w:eastAsia="Times New Roman" w:hAnsi="Times New Roman" w:cs="Times New Roman"/>
                <w:sz w:val="16"/>
                <w:szCs w:val="14"/>
              </w:rPr>
            </w:pPr>
            <w:r w:rsidRPr="00254FC0">
              <w:rPr>
                <w:rFonts w:ascii="Times New Roman" w:eastAsia="Times New Roman" w:hAnsi="Times New Roman" w:cs="Times New Roman"/>
                <w:sz w:val="16"/>
                <w:szCs w:val="14"/>
              </w:rPr>
              <w:t>5,000</w:t>
            </w:r>
          </w:p>
        </w:tc>
        <w:tc>
          <w:tcPr>
            <w:tcW w:w="683" w:type="pct"/>
            <w:vAlign w:val="center"/>
          </w:tcPr>
          <w:p w:rsidR="008A0924" w:rsidRPr="00254FC0" w:rsidP="0017568B" w14:paraId="012D7798" w14:textId="49343EA0">
            <w:pPr>
              <w:keepNext/>
              <w:tabs>
                <w:tab w:val="decimal" w:pos="0"/>
              </w:tabs>
              <w:autoSpaceDE w:val="0"/>
              <w:autoSpaceDN w:val="0"/>
              <w:adjustRightInd w:val="0"/>
              <w:jc w:val="center"/>
              <w:rPr>
                <w:rFonts w:ascii="Times New Roman" w:eastAsia="Times New Roman" w:hAnsi="Times New Roman" w:cs="Times New Roman"/>
                <w:sz w:val="16"/>
                <w:szCs w:val="24"/>
              </w:rPr>
            </w:pPr>
            <w:r w:rsidRPr="00254FC0">
              <w:rPr>
                <w:rFonts w:ascii="Times New Roman" w:eastAsia="Times New Roman" w:hAnsi="Times New Roman" w:cs="Times New Roman"/>
                <w:sz w:val="16"/>
                <w:szCs w:val="24"/>
              </w:rPr>
              <w:t>0.</w:t>
            </w:r>
            <w:r w:rsidRPr="00254FC0" w:rsidR="00BE2747">
              <w:rPr>
                <w:rFonts w:ascii="Times New Roman" w:eastAsia="Times New Roman" w:hAnsi="Times New Roman" w:cs="Times New Roman"/>
                <w:sz w:val="16"/>
                <w:szCs w:val="24"/>
              </w:rPr>
              <w:t>05</w:t>
            </w:r>
            <w:r w:rsidRPr="00254FC0">
              <w:rPr>
                <w:rFonts w:ascii="Times New Roman" w:eastAsia="Times New Roman" w:hAnsi="Times New Roman" w:cs="Times New Roman"/>
                <w:sz w:val="16"/>
                <w:szCs w:val="24"/>
              </w:rPr>
              <w:br/>
              <w:t>(</w:t>
            </w:r>
            <w:r w:rsidRPr="00254FC0" w:rsidR="00BE2747">
              <w:rPr>
                <w:rFonts w:ascii="Times New Roman" w:eastAsia="Times New Roman" w:hAnsi="Times New Roman" w:cs="Times New Roman"/>
                <w:sz w:val="16"/>
                <w:szCs w:val="24"/>
              </w:rPr>
              <w:t xml:space="preserve">3 </w:t>
            </w:r>
            <w:r w:rsidRPr="00254FC0">
              <w:rPr>
                <w:rFonts w:ascii="Times New Roman" w:eastAsia="Times New Roman" w:hAnsi="Times New Roman" w:cs="Times New Roman"/>
                <w:sz w:val="16"/>
                <w:szCs w:val="24"/>
              </w:rPr>
              <w:t>minutes)</w:t>
            </w:r>
          </w:p>
        </w:tc>
        <w:tc>
          <w:tcPr>
            <w:tcW w:w="530" w:type="pct"/>
            <w:gridSpan w:val="2"/>
            <w:vAlign w:val="center"/>
          </w:tcPr>
          <w:p w:rsidR="008A0924" w:rsidRPr="00254FC0" w:rsidP="0017568B" w14:paraId="4851A2D0" w14:textId="4090756A">
            <w:pPr>
              <w:autoSpaceDE w:val="0"/>
              <w:autoSpaceDN w:val="0"/>
              <w:adjustRightInd w:val="0"/>
              <w:jc w:val="center"/>
              <w:rPr>
                <w:rFonts w:ascii="Times New Roman" w:eastAsia="Times New Roman" w:hAnsi="Times New Roman" w:cs="Times New Roman"/>
                <w:b/>
                <w:bCs/>
                <w:sz w:val="16"/>
                <w:szCs w:val="14"/>
              </w:rPr>
            </w:pPr>
            <w:r w:rsidRPr="00254FC0">
              <w:rPr>
                <w:rFonts w:ascii="Times New Roman" w:eastAsia="Times New Roman" w:hAnsi="Times New Roman" w:cs="Times New Roman"/>
                <w:b/>
                <w:bCs/>
                <w:sz w:val="16"/>
                <w:szCs w:val="14"/>
              </w:rPr>
              <w:t>250</w:t>
            </w:r>
          </w:p>
        </w:tc>
      </w:tr>
      <w:tr w14:paraId="6731368E" w14:textId="77777777" w:rsidTr="005A3EA4">
        <w:tblPrEx>
          <w:tblW w:w="5000" w:type="pct"/>
          <w:jc w:val="center"/>
          <w:tblCellMar>
            <w:left w:w="29" w:type="dxa"/>
            <w:right w:w="29" w:type="dxa"/>
          </w:tblCellMar>
          <w:tblLook w:val="00A0"/>
        </w:tblPrEx>
        <w:trPr>
          <w:cantSplit/>
          <w:trHeight w:val="65"/>
          <w:jc w:val="center"/>
        </w:trPr>
        <w:tc>
          <w:tcPr>
            <w:tcW w:w="1179" w:type="pct"/>
            <w:gridSpan w:val="2"/>
            <w:vAlign w:val="center"/>
          </w:tcPr>
          <w:p w:rsidR="00AB1955" w:rsidRPr="00AB1955" w:rsidP="00AB1955" w14:paraId="0767EB43" w14:textId="30A746C0">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 xml:space="preserve">-24 </w:t>
            </w:r>
          </w:p>
        </w:tc>
        <w:tc>
          <w:tcPr>
            <w:tcW w:w="963" w:type="pct"/>
            <w:vAlign w:val="center"/>
          </w:tcPr>
          <w:p w:rsidR="00AB1955" w:rsidRPr="00AB1955" w:rsidP="0017568B" w14:paraId="38B9238F" w14:textId="31A5ED58">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Consent</w:t>
            </w:r>
          </w:p>
        </w:tc>
        <w:tc>
          <w:tcPr>
            <w:tcW w:w="527" w:type="pct"/>
            <w:tcBorders>
              <w:top w:val="single" w:sz="4" w:space="0" w:color="auto"/>
            </w:tcBorders>
            <w:vAlign w:val="center"/>
          </w:tcPr>
          <w:p w:rsidR="00AB1955" w:rsidRPr="00DF436C" w:rsidP="0017568B" w14:paraId="319603F6" w14:textId="7BCAF575">
            <w:pPr>
              <w:keepNext/>
              <w:autoSpaceDE w:val="0"/>
              <w:autoSpaceDN w:val="0"/>
              <w:adjustRightInd w:val="0"/>
              <w:jc w:val="center"/>
              <w:rPr>
                <w:rFonts w:ascii="Times New Roman" w:eastAsia="Times New Roman" w:hAnsi="Times New Roman" w:cs="Times New Roman"/>
                <w:sz w:val="16"/>
                <w:szCs w:val="24"/>
              </w:rPr>
            </w:pPr>
            <w:r w:rsidRPr="00DF436C">
              <w:rPr>
                <w:rFonts w:ascii="Times New Roman" w:eastAsia="Times New Roman" w:hAnsi="Times New Roman" w:cs="Times New Roman"/>
                <w:sz w:val="16"/>
                <w:szCs w:val="24"/>
              </w:rPr>
              <w:t>1,500</w:t>
            </w:r>
          </w:p>
        </w:tc>
        <w:tc>
          <w:tcPr>
            <w:tcW w:w="559" w:type="pct"/>
            <w:tcBorders>
              <w:top w:val="single" w:sz="4" w:space="0" w:color="auto"/>
            </w:tcBorders>
            <w:vAlign w:val="center"/>
          </w:tcPr>
          <w:p w:rsidR="00AB1955" w:rsidRPr="00DF436C" w:rsidP="0017568B" w14:paraId="6322B421" w14:textId="15DA0415">
            <w:pPr>
              <w:keepNext/>
              <w:autoSpaceDE w:val="0"/>
              <w:autoSpaceDN w:val="0"/>
              <w:adjustRightInd w:val="0"/>
              <w:jc w:val="center"/>
              <w:rPr>
                <w:rFonts w:ascii="Times New Roman" w:eastAsia="Times New Roman" w:hAnsi="Times New Roman" w:cs="Times New Roman"/>
                <w:sz w:val="16"/>
                <w:szCs w:val="24"/>
              </w:rPr>
            </w:pPr>
            <w:r w:rsidRPr="00DF436C">
              <w:rPr>
                <w:rFonts w:ascii="Times New Roman" w:eastAsia="Times New Roman" w:hAnsi="Times New Roman" w:cs="Times New Roman"/>
                <w:sz w:val="16"/>
                <w:szCs w:val="24"/>
              </w:rPr>
              <w:t>1</w:t>
            </w:r>
          </w:p>
        </w:tc>
        <w:tc>
          <w:tcPr>
            <w:tcW w:w="559" w:type="pct"/>
            <w:tcBorders>
              <w:top w:val="single" w:sz="4" w:space="0" w:color="auto"/>
            </w:tcBorders>
            <w:vAlign w:val="center"/>
          </w:tcPr>
          <w:p w:rsidR="00AB1955" w:rsidRPr="00DF436C" w:rsidP="0017568B" w14:paraId="456545EE" w14:textId="1F5691F3">
            <w:pPr>
              <w:keepNext/>
              <w:tabs>
                <w:tab w:val="decimal" w:pos="223"/>
              </w:tabs>
              <w:autoSpaceDE w:val="0"/>
              <w:autoSpaceDN w:val="0"/>
              <w:adjustRightInd w:val="0"/>
              <w:jc w:val="center"/>
              <w:rPr>
                <w:rFonts w:ascii="Times New Roman" w:hAnsi="Times New Roman" w:cs="Times New Roman"/>
                <w:sz w:val="16"/>
                <w:szCs w:val="14"/>
              </w:rPr>
            </w:pPr>
            <w:r w:rsidRPr="00DF436C">
              <w:rPr>
                <w:rFonts w:ascii="Times New Roman" w:eastAsia="Times New Roman" w:hAnsi="Times New Roman" w:cs="Times New Roman"/>
                <w:sz w:val="16"/>
                <w:szCs w:val="24"/>
              </w:rPr>
              <w:t>1,500</w:t>
            </w:r>
          </w:p>
        </w:tc>
        <w:tc>
          <w:tcPr>
            <w:tcW w:w="683" w:type="pct"/>
            <w:tcBorders>
              <w:top w:val="single" w:sz="4" w:space="0" w:color="auto"/>
            </w:tcBorders>
            <w:vAlign w:val="center"/>
          </w:tcPr>
          <w:p w:rsidR="00AB1955" w:rsidRPr="002E6FE8" w:rsidP="0017568B" w14:paraId="5938A389" w14:textId="25D4679D">
            <w:pPr>
              <w:keepNext/>
              <w:tabs>
                <w:tab w:val="left" w:pos="85"/>
              </w:tabs>
              <w:autoSpaceDE w:val="0"/>
              <w:autoSpaceDN w:val="0"/>
              <w:adjustRightInd w:val="0"/>
              <w:jc w:val="center"/>
              <w:rPr>
                <w:rFonts w:ascii="Times New Roman" w:eastAsia="Times New Roman" w:hAnsi="Times New Roman" w:cs="Times New Roman"/>
                <w:sz w:val="16"/>
                <w:szCs w:val="24"/>
              </w:rPr>
            </w:pPr>
            <w:r w:rsidRPr="002E6FE8">
              <w:rPr>
                <w:rFonts w:ascii="Times New Roman" w:eastAsia="Times New Roman" w:hAnsi="Times New Roman" w:cs="Times New Roman"/>
                <w:sz w:val="16"/>
                <w:szCs w:val="24"/>
              </w:rPr>
              <w:t>0.05</w:t>
            </w:r>
            <w:r w:rsidRPr="002E6FE8">
              <w:rPr>
                <w:rFonts w:ascii="Times New Roman" w:eastAsia="Times New Roman" w:hAnsi="Times New Roman" w:cs="Times New Roman"/>
                <w:sz w:val="16"/>
                <w:szCs w:val="24"/>
              </w:rPr>
              <w:br/>
              <w:t xml:space="preserve"> </w:t>
            </w:r>
            <w:r w:rsidRPr="002E6FE8">
              <w:rPr>
                <w:rFonts w:ascii="Times New Roman" w:eastAsia="Times New Roman" w:hAnsi="Times New Roman" w:cs="Times New Roman"/>
                <w:sz w:val="16"/>
                <w:szCs w:val="24"/>
              </w:rPr>
              <w:t>(</w:t>
            </w:r>
            <w:r w:rsidRPr="002E6FE8">
              <w:rPr>
                <w:rFonts w:ascii="Times New Roman" w:eastAsia="Times New Roman" w:hAnsi="Times New Roman" w:cs="Times New Roman"/>
                <w:sz w:val="16"/>
                <w:szCs w:val="24"/>
              </w:rPr>
              <w:t>3</w:t>
            </w:r>
            <w:r w:rsidRPr="002E6FE8">
              <w:rPr>
                <w:rFonts w:ascii="Times New Roman" w:eastAsia="Times New Roman" w:hAnsi="Times New Roman" w:cs="Times New Roman"/>
                <w:sz w:val="16"/>
                <w:szCs w:val="24"/>
              </w:rPr>
              <w:t xml:space="preserve"> minutes)</w:t>
            </w:r>
          </w:p>
        </w:tc>
        <w:tc>
          <w:tcPr>
            <w:tcW w:w="530" w:type="pct"/>
            <w:gridSpan w:val="2"/>
            <w:tcBorders>
              <w:top w:val="single" w:sz="4" w:space="0" w:color="auto"/>
            </w:tcBorders>
            <w:vAlign w:val="center"/>
          </w:tcPr>
          <w:p w:rsidR="00AB1955" w:rsidRPr="00AA04E9" w:rsidP="0017568B" w14:paraId="6CE6A412" w14:textId="26697AFD">
            <w:pPr>
              <w:autoSpaceDE w:val="0"/>
              <w:autoSpaceDN w:val="0"/>
              <w:adjustRightInd w:val="0"/>
              <w:jc w:val="center"/>
              <w:rPr>
                <w:rFonts w:ascii="Times New Roman" w:hAnsi="Times New Roman" w:cs="Times New Roman"/>
                <w:b/>
                <w:bCs/>
                <w:sz w:val="16"/>
                <w:szCs w:val="14"/>
                <w:highlight w:val="lightGray"/>
              </w:rPr>
            </w:pPr>
            <w:r w:rsidRPr="00201C2D">
              <w:rPr>
                <w:rFonts w:ascii="Times New Roman" w:hAnsi="Times New Roman" w:cs="Times New Roman"/>
                <w:b/>
                <w:bCs/>
                <w:sz w:val="16"/>
                <w:szCs w:val="14"/>
              </w:rPr>
              <w:t>75</w:t>
            </w:r>
          </w:p>
        </w:tc>
      </w:tr>
      <w:tr w14:paraId="0738F7CE" w14:textId="77777777" w:rsidTr="005A3EA4">
        <w:tblPrEx>
          <w:tblW w:w="5000" w:type="pct"/>
          <w:jc w:val="center"/>
          <w:tblCellMar>
            <w:left w:w="29" w:type="dxa"/>
            <w:right w:w="29" w:type="dxa"/>
          </w:tblCellMar>
          <w:tblLook w:val="00A0"/>
        </w:tblPrEx>
        <w:trPr>
          <w:gridBefore w:val="1"/>
          <w:gridAfter w:val="1"/>
          <w:wBefore w:w="26" w:type="dxa"/>
          <w:wAfter w:w="26" w:type="dxa"/>
          <w:cantSplit/>
          <w:trHeight w:val="65"/>
          <w:jc w:val="center"/>
        </w:trPr>
        <w:tc>
          <w:tcPr>
            <w:tcW w:w="1165" w:type="pct"/>
            <w:vAlign w:val="center"/>
          </w:tcPr>
          <w:p w:rsidR="00AB1955" w:rsidRPr="00AB1955" w:rsidP="00AB1955" w14:paraId="376B0FBE" w14:textId="08AFC989">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 xml:space="preserve">-24 </w:t>
            </w:r>
          </w:p>
        </w:tc>
        <w:tc>
          <w:tcPr>
            <w:tcW w:w="963" w:type="pct"/>
            <w:vAlign w:val="center"/>
          </w:tcPr>
          <w:p w:rsidR="00AB1955" w:rsidRPr="00AB1955" w:rsidP="0017568B" w14:paraId="2147CC29" w14:textId="2486E7FF">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Online Survey</w:t>
            </w:r>
          </w:p>
        </w:tc>
        <w:tc>
          <w:tcPr>
            <w:tcW w:w="527" w:type="pct"/>
            <w:vAlign w:val="center"/>
          </w:tcPr>
          <w:p w:rsidR="00AB1955" w:rsidRPr="00DF436C" w:rsidP="0017568B" w14:paraId="5A6FF618" w14:textId="7BBC52AB">
            <w:pPr>
              <w:keepNext/>
              <w:autoSpaceDE w:val="0"/>
              <w:autoSpaceDN w:val="0"/>
              <w:adjustRightInd w:val="0"/>
              <w:jc w:val="center"/>
              <w:rPr>
                <w:rFonts w:ascii="Times New Roman" w:eastAsia="Times New Roman" w:hAnsi="Times New Roman" w:cs="Times New Roman"/>
                <w:sz w:val="16"/>
                <w:szCs w:val="24"/>
              </w:rPr>
            </w:pPr>
            <w:r w:rsidRPr="00DF436C">
              <w:rPr>
                <w:rFonts w:ascii="Times New Roman" w:eastAsia="Times New Roman" w:hAnsi="Times New Roman" w:cs="Times New Roman"/>
                <w:sz w:val="16"/>
                <w:szCs w:val="24"/>
              </w:rPr>
              <w:t>1,500</w:t>
            </w:r>
          </w:p>
        </w:tc>
        <w:tc>
          <w:tcPr>
            <w:tcW w:w="559" w:type="pct"/>
            <w:vAlign w:val="center"/>
          </w:tcPr>
          <w:p w:rsidR="00AB1955" w:rsidRPr="00DF436C" w:rsidP="0017568B" w14:paraId="1440CF36" w14:textId="773CB343">
            <w:pPr>
              <w:keepNext/>
              <w:autoSpaceDE w:val="0"/>
              <w:autoSpaceDN w:val="0"/>
              <w:adjustRightInd w:val="0"/>
              <w:jc w:val="center"/>
              <w:rPr>
                <w:rFonts w:ascii="Times New Roman" w:eastAsia="Times New Roman" w:hAnsi="Times New Roman" w:cs="Times New Roman"/>
                <w:sz w:val="16"/>
                <w:szCs w:val="24"/>
              </w:rPr>
            </w:pPr>
            <w:r w:rsidRPr="00DF436C">
              <w:rPr>
                <w:rFonts w:ascii="Times New Roman" w:eastAsia="Times New Roman" w:hAnsi="Times New Roman" w:cs="Times New Roman"/>
                <w:sz w:val="16"/>
                <w:szCs w:val="24"/>
              </w:rPr>
              <w:t>1</w:t>
            </w:r>
          </w:p>
        </w:tc>
        <w:tc>
          <w:tcPr>
            <w:tcW w:w="559" w:type="pct"/>
            <w:vAlign w:val="center"/>
          </w:tcPr>
          <w:p w:rsidR="00AB1955" w:rsidRPr="00DF436C" w:rsidP="0017568B" w14:paraId="155A11F4" w14:textId="7C327154">
            <w:pPr>
              <w:keepNext/>
              <w:tabs>
                <w:tab w:val="decimal" w:pos="313"/>
              </w:tabs>
              <w:autoSpaceDE w:val="0"/>
              <w:autoSpaceDN w:val="0"/>
              <w:adjustRightInd w:val="0"/>
              <w:jc w:val="center"/>
              <w:rPr>
                <w:rFonts w:ascii="Times New Roman" w:eastAsia="Times New Roman" w:hAnsi="Times New Roman" w:cs="Times New Roman"/>
                <w:sz w:val="16"/>
                <w:szCs w:val="24"/>
              </w:rPr>
            </w:pPr>
            <w:r w:rsidRPr="00DF436C">
              <w:rPr>
                <w:rFonts w:ascii="Times New Roman" w:eastAsia="Times New Roman" w:hAnsi="Times New Roman" w:cs="Times New Roman"/>
                <w:sz w:val="16"/>
                <w:szCs w:val="24"/>
              </w:rPr>
              <w:t>1,500</w:t>
            </w:r>
          </w:p>
        </w:tc>
        <w:tc>
          <w:tcPr>
            <w:tcW w:w="683" w:type="pct"/>
            <w:vAlign w:val="center"/>
          </w:tcPr>
          <w:p w:rsidR="00AB1955" w:rsidRPr="005A71A4" w:rsidP="0017568B" w14:paraId="54BFD1E5" w14:textId="04930B60">
            <w:pPr>
              <w:keepNext/>
              <w:tabs>
                <w:tab w:val="decimal" w:pos="0"/>
              </w:tabs>
              <w:autoSpaceDE w:val="0"/>
              <w:autoSpaceDN w:val="0"/>
              <w:adjustRightInd w:val="0"/>
              <w:jc w:val="center"/>
              <w:rPr>
                <w:rFonts w:ascii="Times New Roman" w:eastAsia="Times New Roman" w:hAnsi="Times New Roman" w:cs="Times New Roman"/>
                <w:sz w:val="16"/>
                <w:szCs w:val="24"/>
              </w:rPr>
            </w:pPr>
            <w:r>
              <w:rPr>
                <w:rFonts w:ascii="Times New Roman" w:eastAsia="Times New Roman" w:hAnsi="Times New Roman" w:cs="Times New Roman"/>
                <w:sz w:val="16"/>
                <w:szCs w:val="24"/>
              </w:rPr>
              <w:t>.25</w:t>
            </w:r>
          </w:p>
          <w:p w:rsidR="00AB1955" w:rsidRPr="00AA04E9" w:rsidP="0017568B" w14:paraId="3B6F6E1F" w14:textId="38928E56">
            <w:pPr>
              <w:keepNext/>
              <w:tabs>
                <w:tab w:val="decimal" w:pos="0"/>
              </w:tabs>
              <w:autoSpaceDE w:val="0"/>
              <w:autoSpaceDN w:val="0"/>
              <w:adjustRightInd w:val="0"/>
              <w:jc w:val="center"/>
              <w:rPr>
                <w:rFonts w:ascii="Times New Roman" w:eastAsia="Times New Roman" w:hAnsi="Times New Roman" w:cs="Times New Roman"/>
                <w:sz w:val="16"/>
                <w:szCs w:val="24"/>
                <w:highlight w:val="lightGray"/>
              </w:rPr>
            </w:pPr>
            <w:r w:rsidRPr="00041F56">
              <w:rPr>
                <w:rFonts w:ascii="Times New Roman" w:eastAsia="Times New Roman" w:hAnsi="Times New Roman" w:cs="Times New Roman"/>
                <w:sz w:val="16"/>
                <w:szCs w:val="24"/>
              </w:rPr>
              <w:t>(</w:t>
            </w:r>
            <w:r w:rsidRPr="00041F56" w:rsidR="00041F56">
              <w:rPr>
                <w:rFonts w:ascii="Times New Roman" w:eastAsia="Times New Roman" w:hAnsi="Times New Roman" w:cs="Times New Roman"/>
                <w:sz w:val="16"/>
                <w:szCs w:val="24"/>
              </w:rPr>
              <w:t>15</w:t>
            </w:r>
            <w:r w:rsidRPr="00041F56">
              <w:rPr>
                <w:rFonts w:ascii="Times New Roman" w:eastAsia="Times New Roman" w:hAnsi="Times New Roman" w:cs="Times New Roman"/>
                <w:sz w:val="16"/>
                <w:szCs w:val="24"/>
              </w:rPr>
              <w:t xml:space="preserve"> minutes</w:t>
            </w:r>
            <w:r w:rsidRPr="005A71A4">
              <w:rPr>
                <w:rFonts w:ascii="Times New Roman" w:eastAsia="Times New Roman" w:hAnsi="Times New Roman" w:cs="Times New Roman"/>
                <w:sz w:val="16"/>
                <w:szCs w:val="24"/>
              </w:rPr>
              <w:t>)</w:t>
            </w:r>
          </w:p>
        </w:tc>
        <w:tc>
          <w:tcPr>
            <w:tcW w:w="504" w:type="pct"/>
            <w:vAlign w:val="center"/>
          </w:tcPr>
          <w:p w:rsidR="00AB1955" w:rsidRPr="00A922AE" w:rsidP="0017568B" w14:paraId="3CE062BE" w14:textId="3D26806D">
            <w:pPr>
              <w:autoSpaceDE w:val="0"/>
              <w:autoSpaceDN w:val="0"/>
              <w:adjustRightInd w:val="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375</w:t>
            </w:r>
          </w:p>
        </w:tc>
      </w:tr>
      <w:tr w14:paraId="34F320D2" w14:textId="77777777" w:rsidTr="005A3EA4">
        <w:tblPrEx>
          <w:tblW w:w="5000" w:type="pct"/>
          <w:jc w:val="center"/>
          <w:tblCellMar>
            <w:left w:w="29" w:type="dxa"/>
            <w:right w:w="29" w:type="dxa"/>
          </w:tblCellMar>
          <w:tblLook w:val="00A0"/>
        </w:tblPrEx>
        <w:trPr>
          <w:gridBefore w:val="1"/>
          <w:gridAfter w:val="1"/>
          <w:wBefore w:w="26" w:type="dxa"/>
          <w:wAfter w:w="26" w:type="dxa"/>
          <w:cantSplit/>
          <w:jc w:val="center"/>
        </w:trPr>
        <w:tc>
          <w:tcPr>
            <w:tcW w:w="1165" w:type="pct"/>
            <w:vAlign w:val="center"/>
          </w:tcPr>
          <w:p w:rsidR="00BE1FCB" w:rsidRPr="00AA04E9" w:rsidP="00AB1955" w14:paraId="1670D87D" w14:textId="77777777">
            <w:pPr>
              <w:keepNext/>
              <w:autoSpaceDE w:val="0"/>
              <w:autoSpaceDN w:val="0"/>
              <w:adjustRightInd w:val="0"/>
              <w:rPr>
                <w:rFonts w:ascii="Times New Roman" w:eastAsia="Times New Roman" w:hAnsi="Times New Roman" w:cs="Times New Roman"/>
                <w:b/>
                <w:sz w:val="16"/>
                <w:szCs w:val="24"/>
                <w:highlight w:val="lightGray"/>
              </w:rPr>
            </w:pPr>
            <w:r w:rsidRPr="00AB1955">
              <w:rPr>
                <w:rFonts w:ascii="Times New Roman" w:eastAsia="Times New Roman" w:hAnsi="Times New Roman" w:cs="Times New Roman"/>
                <w:b/>
                <w:sz w:val="16"/>
                <w:szCs w:val="24"/>
              </w:rPr>
              <w:t>Total Annualized Hours</w:t>
            </w:r>
          </w:p>
        </w:tc>
        <w:tc>
          <w:tcPr>
            <w:tcW w:w="963" w:type="pct"/>
            <w:vAlign w:val="center"/>
          </w:tcPr>
          <w:p w:rsidR="00BE1FCB" w:rsidRPr="00AA04E9" w:rsidP="0017568B" w14:paraId="022DDE33" w14:textId="77777777">
            <w:pPr>
              <w:keepNext/>
              <w:autoSpaceDE w:val="0"/>
              <w:autoSpaceDN w:val="0"/>
              <w:adjustRightInd w:val="0"/>
              <w:ind w:left="180"/>
              <w:jc w:val="center"/>
              <w:rPr>
                <w:rFonts w:ascii="Times New Roman" w:eastAsia="Times New Roman" w:hAnsi="Times New Roman" w:cs="Times New Roman"/>
                <w:sz w:val="16"/>
                <w:szCs w:val="24"/>
                <w:highlight w:val="lightGray"/>
              </w:rPr>
            </w:pPr>
          </w:p>
        </w:tc>
        <w:tc>
          <w:tcPr>
            <w:tcW w:w="527" w:type="pct"/>
            <w:vAlign w:val="center"/>
          </w:tcPr>
          <w:p w:rsidR="00BE1FCB" w:rsidRPr="00AA04E9" w:rsidP="0017568B" w14:paraId="34B1F324" w14:textId="77777777">
            <w:pPr>
              <w:keepNext/>
              <w:tabs>
                <w:tab w:val="decimal" w:pos="932"/>
              </w:tabs>
              <w:autoSpaceDE w:val="0"/>
              <w:autoSpaceDN w:val="0"/>
              <w:adjustRightInd w:val="0"/>
              <w:ind w:left="180"/>
              <w:jc w:val="center"/>
              <w:rPr>
                <w:rFonts w:ascii="Times New Roman" w:eastAsia="Times New Roman" w:hAnsi="Times New Roman" w:cs="Times New Roman"/>
                <w:sz w:val="16"/>
                <w:szCs w:val="24"/>
                <w:highlight w:val="lightGray"/>
              </w:rPr>
            </w:pPr>
          </w:p>
        </w:tc>
        <w:tc>
          <w:tcPr>
            <w:tcW w:w="559" w:type="pct"/>
            <w:vAlign w:val="center"/>
          </w:tcPr>
          <w:p w:rsidR="00BE1FCB" w:rsidRPr="00AA04E9" w:rsidP="0017568B" w14:paraId="29C970CB" w14:textId="77777777">
            <w:pPr>
              <w:keepNext/>
              <w:autoSpaceDE w:val="0"/>
              <w:autoSpaceDN w:val="0"/>
              <w:adjustRightInd w:val="0"/>
              <w:ind w:left="180"/>
              <w:jc w:val="center"/>
              <w:rPr>
                <w:rFonts w:ascii="Times New Roman" w:eastAsia="Times New Roman" w:hAnsi="Times New Roman" w:cs="Times New Roman"/>
                <w:sz w:val="16"/>
                <w:szCs w:val="24"/>
                <w:highlight w:val="lightGray"/>
              </w:rPr>
            </w:pPr>
          </w:p>
        </w:tc>
        <w:tc>
          <w:tcPr>
            <w:tcW w:w="559" w:type="pct"/>
            <w:vAlign w:val="center"/>
          </w:tcPr>
          <w:p w:rsidR="00BE1FCB" w:rsidRPr="00AA04E9" w:rsidP="0017568B" w14:paraId="2FF8D584" w14:textId="77777777">
            <w:pPr>
              <w:keepNext/>
              <w:tabs>
                <w:tab w:val="decimal" w:pos="710"/>
              </w:tabs>
              <w:autoSpaceDE w:val="0"/>
              <w:autoSpaceDN w:val="0"/>
              <w:adjustRightInd w:val="0"/>
              <w:ind w:left="180"/>
              <w:jc w:val="center"/>
              <w:rPr>
                <w:rFonts w:ascii="Times New Roman" w:eastAsia="Times New Roman" w:hAnsi="Times New Roman" w:cs="Times New Roman"/>
                <w:sz w:val="16"/>
                <w:szCs w:val="24"/>
                <w:highlight w:val="lightGray"/>
              </w:rPr>
            </w:pPr>
          </w:p>
        </w:tc>
        <w:tc>
          <w:tcPr>
            <w:tcW w:w="683" w:type="pct"/>
            <w:vAlign w:val="center"/>
          </w:tcPr>
          <w:p w:rsidR="00BE1FCB" w:rsidRPr="00AA04E9" w:rsidP="0017568B" w14:paraId="78240483" w14:textId="77777777">
            <w:pPr>
              <w:keepNext/>
              <w:tabs>
                <w:tab w:val="decimal" w:pos="454"/>
              </w:tabs>
              <w:autoSpaceDE w:val="0"/>
              <w:autoSpaceDN w:val="0"/>
              <w:adjustRightInd w:val="0"/>
              <w:ind w:left="180"/>
              <w:jc w:val="center"/>
              <w:rPr>
                <w:rFonts w:ascii="Times New Roman" w:eastAsia="Times New Roman" w:hAnsi="Times New Roman" w:cs="Times New Roman"/>
                <w:sz w:val="16"/>
                <w:szCs w:val="24"/>
                <w:highlight w:val="lightGray"/>
              </w:rPr>
            </w:pPr>
          </w:p>
        </w:tc>
        <w:tc>
          <w:tcPr>
            <w:tcW w:w="504" w:type="pct"/>
            <w:vAlign w:val="center"/>
          </w:tcPr>
          <w:p w:rsidR="00BE1FCB" w:rsidRPr="00A922AE" w:rsidP="0017568B" w14:paraId="18CE1472" w14:textId="69112A6C">
            <w:pPr>
              <w:autoSpaceDE w:val="0"/>
              <w:autoSpaceDN w:val="0"/>
              <w:adjustRightInd w:val="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700</w:t>
            </w:r>
          </w:p>
        </w:tc>
      </w:tr>
    </w:tbl>
    <w:p w:rsidR="007E58CF" w:rsidRPr="006B1D8F" w:rsidP="00BE1FCB" w14:paraId="2F336D8E" w14:textId="77777777">
      <w:pPr>
        <w:autoSpaceDE w:val="0"/>
        <w:autoSpaceDN w:val="0"/>
        <w:adjustRightInd w:val="0"/>
        <w:ind w:left="180"/>
        <w:jc w:val="both"/>
        <w:rPr>
          <w:rFonts w:ascii="Times New Roman" w:eastAsia="Times New Roman" w:hAnsi="Times New Roman" w:cs="Times New Roman"/>
          <w:szCs w:val="24"/>
          <w:u w:val="single"/>
        </w:rPr>
      </w:pPr>
    </w:p>
    <w:p w:rsidR="00BE1FCB" w:rsidP="00BE1FCB" w14:paraId="7E35F210" w14:textId="62FE9ACE">
      <w:pPr>
        <w:autoSpaceDE w:val="0"/>
        <w:autoSpaceDN w:val="0"/>
        <w:adjustRightInd w:val="0"/>
        <w:ind w:left="180"/>
        <w:jc w:val="both"/>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12b. Annualized Cost Burden Estimate</w:t>
      </w:r>
    </w:p>
    <w:p w:rsidR="003F2AD1" w:rsidRPr="006B1D8F" w:rsidP="00BE1FCB" w14:paraId="63FB0AAB" w14:textId="77777777">
      <w:pPr>
        <w:autoSpaceDE w:val="0"/>
        <w:autoSpaceDN w:val="0"/>
        <w:adjustRightInd w:val="0"/>
        <w:ind w:left="180"/>
        <w:jc w:val="both"/>
        <w:rPr>
          <w:rFonts w:ascii="Times New Roman" w:eastAsia="Times New Roman" w:hAnsi="Times New Roman" w:cs="Times New Roman"/>
          <w:szCs w:val="24"/>
          <w:u w:val="single"/>
        </w:rPr>
      </w:pPr>
    </w:p>
    <w:p w:rsidR="00BE1FCB" w:rsidRPr="006B1D8F" w:rsidP="00BE1FCB" w14:paraId="2F564EA1" w14:textId="696B540E">
      <w:pPr>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Respondents participate on a purely voluntary basis and, therefore, are subject to no direct costs other than time to participate. There are also no start-up or maintenance costs. </w:t>
      </w:r>
      <w:r w:rsidRPr="006B1D8F" w:rsidR="00ED74D1">
        <w:rPr>
          <w:rFonts w:ascii="Times New Roman" w:eastAsia="Times New Roman" w:hAnsi="Times New Roman" w:cs="Times New Roman"/>
          <w:szCs w:val="24"/>
        </w:rPr>
        <w:t>RTI</w:t>
      </w:r>
      <w:r w:rsidRPr="006B1D8F">
        <w:rPr>
          <w:rFonts w:ascii="Times New Roman" w:eastAsia="Times New Roman" w:hAnsi="Times New Roman" w:cs="Times New Roman"/>
          <w:szCs w:val="24"/>
        </w:rPr>
        <w:t xml:space="preserve"> has conducted many </w:t>
      </w:r>
      <w:r w:rsidR="00213B44">
        <w:rPr>
          <w:rFonts w:ascii="Times New Roman" w:eastAsia="Times New Roman" w:hAnsi="Times New Roman" w:cs="Times New Roman"/>
          <w:szCs w:val="24"/>
        </w:rPr>
        <w:t>tobacco</w:t>
      </w:r>
      <w:r w:rsidRPr="006B1D8F">
        <w:rPr>
          <w:rFonts w:ascii="Times New Roman" w:eastAsia="Times New Roman" w:hAnsi="Times New Roman" w:cs="Times New Roman"/>
          <w:szCs w:val="24"/>
        </w:rPr>
        <w:t xml:space="preserve">-related surveys of similar length among </w:t>
      </w:r>
      <w:r w:rsidRPr="006B1D8F" w:rsidR="00BE2747">
        <w:rPr>
          <w:rFonts w:ascii="Times New Roman" w:eastAsia="Times New Roman" w:hAnsi="Times New Roman" w:cs="Times New Roman"/>
          <w:szCs w:val="24"/>
        </w:rPr>
        <w:t xml:space="preserve">young </w:t>
      </w:r>
      <w:r w:rsidRPr="006B1D8F" w:rsidR="00ED74D1">
        <w:rPr>
          <w:rFonts w:ascii="Times New Roman" w:eastAsia="Times New Roman" w:hAnsi="Times New Roman" w:cs="Times New Roman"/>
          <w:szCs w:val="24"/>
        </w:rPr>
        <w:t>adults</w:t>
      </w:r>
      <w:r w:rsidRPr="006B1D8F">
        <w:rPr>
          <w:rFonts w:ascii="Times New Roman" w:eastAsia="Times New Roman" w:hAnsi="Times New Roman" w:cs="Times New Roman"/>
          <w:szCs w:val="24"/>
        </w:rPr>
        <w:t xml:space="preserve">. We have examined diagnostic data from prior surveys and estimate that data collection for this study will take approximately </w:t>
      </w:r>
      <w:r w:rsidR="006627CE">
        <w:rPr>
          <w:rFonts w:ascii="Times New Roman" w:eastAsia="Times New Roman" w:hAnsi="Times New Roman" w:cs="Times New Roman"/>
          <w:szCs w:val="24"/>
        </w:rPr>
        <w:t>6</w:t>
      </w:r>
      <w:r w:rsidRPr="006B1D8F" w:rsidR="003807AB">
        <w:rPr>
          <w:rFonts w:ascii="Times New Roman" w:eastAsia="Times New Roman" w:hAnsi="Times New Roman" w:cs="Times New Roman"/>
          <w:szCs w:val="24"/>
        </w:rPr>
        <w:t xml:space="preserve"> minutes per respondent for screening </w:t>
      </w:r>
      <w:r w:rsidRPr="006B1D8F" w:rsidR="00BE2747">
        <w:rPr>
          <w:rFonts w:ascii="Times New Roman" w:eastAsia="Times New Roman" w:hAnsi="Times New Roman" w:cs="Times New Roman"/>
          <w:szCs w:val="24"/>
        </w:rPr>
        <w:t xml:space="preserve">and informed consent, </w:t>
      </w:r>
      <w:r w:rsidRPr="006B1D8F" w:rsidR="003807AB">
        <w:rPr>
          <w:rFonts w:ascii="Times New Roman" w:eastAsia="Times New Roman" w:hAnsi="Times New Roman" w:cs="Times New Roman"/>
          <w:szCs w:val="24"/>
        </w:rPr>
        <w:t xml:space="preserve">and </w:t>
      </w:r>
      <w:r w:rsidRPr="00041F56" w:rsidR="003807AB">
        <w:rPr>
          <w:rFonts w:ascii="Times New Roman" w:eastAsia="Times New Roman" w:hAnsi="Times New Roman" w:cs="Times New Roman"/>
          <w:szCs w:val="24"/>
        </w:rPr>
        <w:t xml:space="preserve">approximately </w:t>
      </w:r>
      <w:r w:rsidRPr="00041F56" w:rsidR="00041F56">
        <w:rPr>
          <w:rFonts w:ascii="Times New Roman" w:eastAsia="Times New Roman" w:hAnsi="Times New Roman" w:cs="Times New Roman"/>
          <w:szCs w:val="24"/>
        </w:rPr>
        <w:t>15</w:t>
      </w:r>
      <w:r w:rsidRPr="00041F56" w:rsidR="00DC0CFB">
        <w:rPr>
          <w:rFonts w:ascii="Times New Roman" w:eastAsia="Times New Roman" w:hAnsi="Times New Roman" w:cs="Times New Roman"/>
          <w:szCs w:val="24"/>
        </w:rPr>
        <w:t xml:space="preserve"> </w:t>
      </w:r>
      <w:r w:rsidRPr="00041F56">
        <w:rPr>
          <w:rFonts w:ascii="Times New Roman" w:eastAsia="Times New Roman" w:hAnsi="Times New Roman" w:cs="Times New Roman"/>
          <w:szCs w:val="24"/>
        </w:rPr>
        <w:t>minutes per</w:t>
      </w:r>
      <w:r w:rsidRPr="006B1D8F">
        <w:rPr>
          <w:rFonts w:ascii="Times New Roman" w:eastAsia="Times New Roman" w:hAnsi="Times New Roman" w:cs="Times New Roman"/>
          <w:szCs w:val="24"/>
        </w:rPr>
        <w:t xml:space="preserve"> </w:t>
      </w:r>
      <w:r w:rsidRPr="006B1D8F" w:rsidR="003807AB">
        <w:rPr>
          <w:rFonts w:ascii="Times New Roman" w:eastAsia="Times New Roman" w:hAnsi="Times New Roman" w:cs="Times New Roman"/>
          <w:szCs w:val="24"/>
        </w:rPr>
        <w:t>respondent for the online survey</w:t>
      </w:r>
      <w:r w:rsidRPr="006B1D8F">
        <w:rPr>
          <w:rFonts w:ascii="Times New Roman" w:eastAsia="Times New Roman" w:hAnsi="Times New Roman" w:cs="Times New Roman"/>
          <w:szCs w:val="24"/>
        </w:rPr>
        <w:t xml:space="preserve">. </w:t>
      </w:r>
    </w:p>
    <w:p w:rsidR="007E58CF" w:rsidRPr="006B1D8F" w:rsidP="00BE1FCB" w14:paraId="1AD6D22A" w14:textId="77777777">
      <w:pPr>
        <w:autoSpaceDE w:val="0"/>
        <w:autoSpaceDN w:val="0"/>
        <w:adjustRightInd w:val="0"/>
        <w:ind w:left="180"/>
        <w:rPr>
          <w:rFonts w:ascii="Times New Roman" w:eastAsia="Times New Roman" w:hAnsi="Times New Roman" w:cs="Times New Roman"/>
          <w:szCs w:val="24"/>
        </w:rPr>
      </w:pPr>
    </w:p>
    <w:p w:rsidR="00BE1FCB" w:rsidRPr="006B1D8F" w:rsidP="0001513D" w14:paraId="1D132FF6" w14:textId="254071E4">
      <w:pPr>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To calculate </w:t>
      </w:r>
      <w:r w:rsidRPr="05AC9209" w:rsidR="71553D80">
        <w:rPr>
          <w:rFonts w:ascii="Times New Roman" w:eastAsia="Times New Roman" w:hAnsi="Times New Roman" w:cs="Times New Roman"/>
        </w:rPr>
        <w:t>the estimate</w:t>
      </w:r>
      <w:r w:rsidR="001E11EE">
        <w:rPr>
          <w:rFonts w:ascii="Times New Roman" w:eastAsia="Times New Roman" w:hAnsi="Times New Roman" w:cs="Times New Roman"/>
        </w:rPr>
        <w:t>d</w:t>
      </w:r>
      <w:r w:rsidRPr="05AC9209" w:rsidR="71553D80">
        <w:rPr>
          <w:rFonts w:ascii="Times New Roman" w:eastAsia="Times New Roman" w:hAnsi="Times New Roman" w:cs="Times New Roman"/>
        </w:rPr>
        <w:t xml:space="preserve"> annual </w:t>
      </w:r>
      <w:r w:rsidRPr="05AC9209">
        <w:rPr>
          <w:rFonts w:ascii="Times New Roman" w:eastAsia="Times New Roman" w:hAnsi="Times New Roman" w:cs="Times New Roman"/>
        </w:rPr>
        <w:t xml:space="preserve">cost, </w:t>
      </w:r>
      <w:r w:rsidR="003D3B9F">
        <w:rPr>
          <w:rFonts w:ascii="Times New Roman" w:eastAsia="Times New Roman" w:hAnsi="Times New Roman" w:cs="Times New Roman"/>
        </w:rPr>
        <w:t xml:space="preserve">we used </w:t>
      </w:r>
      <w:r w:rsidRPr="001E11EE">
        <w:rPr>
          <w:rFonts w:ascii="Times New Roman" w:eastAsia="Times New Roman" w:hAnsi="Times New Roman" w:cs="Times New Roman"/>
        </w:rPr>
        <w:t xml:space="preserve">the mean hourly wage </w:t>
      </w:r>
      <w:r w:rsidRPr="001E11EE" w:rsidR="000F186D">
        <w:rPr>
          <w:rFonts w:ascii="Times New Roman" w:eastAsia="Times New Roman" w:hAnsi="Times New Roman" w:cs="Times New Roman"/>
        </w:rPr>
        <w:t>$</w:t>
      </w:r>
      <w:r w:rsidR="00771148">
        <w:rPr>
          <w:rFonts w:ascii="Times New Roman" w:eastAsia="Times New Roman" w:hAnsi="Times New Roman" w:cs="Times New Roman"/>
        </w:rPr>
        <w:t>28.0</w:t>
      </w:r>
      <w:r w:rsidR="00FD1CE4">
        <w:rPr>
          <w:rFonts w:ascii="Times New Roman" w:eastAsia="Times New Roman" w:hAnsi="Times New Roman" w:cs="Times New Roman"/>
        </w:rPr>
        <w:t xml:space="preserve">1 </w:t>
      </w:r>
      <w:r w:rsidRPr="001E11EE" w:rsidR="0095597C">
        <w:rPr>
          <w:rFonts w:ascii="Times New Roman" w:eastAsia="Times New Roman" w:hAnsi="Times New Roman" w:cs="Times New Roman"/>
        </w:rPr>
        <w:t xml:space="preserve">from the </w:t>
      </w:r>
      <w:r w:rsidRPr="001E11EE" w:rsidR="3850A275">
        <w:rPr>
          <w:rFonts w:ascii="Times New Roman" w:eastAsia="Times New Roman" w:hAnsi="Times New Roman" w:cs="Times New Roman"/>
        </w:rPr>
        <w:t>U.S. Department of Labor Bureau of Labor Statistics</w:t>
      </w:r>
      <w:r w:rsidRPr="001E11EE" w:rsidR="0095597C">
        <w:rPr>
          <w:rFonts w:ascii="Times New Roman" w:eastAsia="Times New Roman" w:hAnsi="Times New Roman" w:cs="Times New Roman"/>
        </w:rPr>
        <w:t xml:space="preserve"> (May </w:t>
      </w:r>
      <w:r w:rsidR="00771148">
        <w:rPr>
          <w:rFonts w:ascii="Times New Roman" w:eastAsia="Times New Roman" w:hAnsi="Times New Roman" w:cs="Times New Roman"/>
        </w:rPr>
        <w:t>2021</w:t>
      </w:r>
      <w:r w:rsidRPr="001E11EE" w:rsidR="00771148">
        <w:rPr>
          <w:rFonts w:ascii="Times New Roman" w:eastAsia="Times New Roman" w:hAnsi="Times New Roman" w:cs="Times New Roman"/>
        </w:rPr>
        <w:t xml:space="preserve"> </w:t>
      </w:r>
      <w:r w:rsidRPr="001E11EE" w:rsidR="0095597C">
        <w:rPr>
          <w:rFonts w:ascii="Times New Roman" w:eastAsia="Times New Roman" w:hAnsi="Times New Roman" w:cs="Times New Roman"/>
        </w:rPr>
        <w:t xml:space="preserve">data). </w:t>
      </w:r>
      <w:r w:rsidRPr="001E11EE">
        <w:rPr>
          <w:rFonts w:ascii="Times New Roman" w:eastAsia="Times New Roman" w:hAnsi="Times New Roman" w:cs="Times New Roman"/>
        </w:rPr>
        <w:t>There</w:t>
      </w:r>
      <w:r w:rsidRPr="05AC9209">
        <w:rPr>
          <w:rFonts w:ascii="Times New Roman" w:eastAsia="Times New Roman" w:hAnsi="Times New Roman" w:cs="Times New Roman"/>
        </w:rPr>
        <w:t xml:space="preserve"> are no direct costs to respondents associated with participation in this information collection. </w:t>
      </w:r>
      <w:r w:rsidRPr="05AC9209" w:rsidR="0CBA182C">
        <w:rPr>
          <w:rFonts w:ascii="Times New Roman" w:eastAsia="Times New Roman" w:hAnsi="Times New Roman" w:cs="Times New Roman"/>
        </w:rPr>
        <w:t xml:space="preserve">RTI has conducted many </w:t>
      </w:r>
      <w:r w:rsidRPr="05AC9209" w:rsidR="38668716">
        <w:rPr>
          <w:rFonts w:ascii="Times New Roman" w:eastAsia="Times New Roman" w:hAnsi="Times New Roman" w:cs="Times New Roman"/>
        </w:rPr>
        <w:t>tobacco</w:t>
      </w:r>
      <w:r w:rsidRPr="05AC9209" w:rsidR="0CBA182C">
        <w:rPr>
          <w:rFonts w:ascii="Times New Roman" w:eastAsia="Times New Roman" w:hAnsi="Times New Roman" w:cs="Times New Roman"/>
        </w:rPr>
        <w:t xml:space="preserve">-related surveys of similar length among </w:t>
      </w:r>
      <w:r w:rsidRPr="05AC9209" w:rsidR="4E05E6ED">
        <w:rPr>
          <w:rFonts w:ascii="Times New Roman" w:eastAsia="Times New Roman" w:hAnsi="Times New Roman" w:cs="Times New Roman"/>
        </w:rPr>
        <w:t xml:space="preserve">young </w:t>
      </w:r>
      <w:r w:rsidRPr="05AC9209" w:rsidR="0CBA182C">
        <w:rPr>
          <w:rFonts w:ascii="Times New Roman" w:eastAsia="Times New Roman" w:hAnsi="Times New Roman" w:cs="Times New Roman"/>
        </w:rPr>
        <w:t xml:space="preserve">adults. </w:t>
      </w:r>
      <w:r w:rsidRPr="05AC9209" w:rsidR="4D1142C1">
        <w:rPr>
          <w:rFonts w:ascii="Times New Roman" w:eastAsia="Times New Roman" w:hAnsi="Times New Roman" w:cs="Times New Roman"/>
        </w:rPr>
        <w:t xml:space="preserve">We have examined diagnostic data from each of these prior surveys and estimate that data collection for this study will take, on average, </w:t>
      </w:r>
      <w:r w:rsidR="00125FFB">
        <w:rPr>
          <w:rFonts w:ascii="Times New Roman" w:eastAsia="Times New Roman" w:hAnsi="Times New Roman" w:cs="Times New Roman"/>
        </w:rPr>
        <w:t>6</w:t>
      </w:r>
      <w:r w:rsidRPr="05AC9209" w:rsidR="4D1142C1">
        <w:rPr>
          <w:rFonts w:ascii="Times New Roman" w:eastAsia="Times New Roman" w:hAnsi="Times New Roman" w:cs="Times New Roman"/>
        </w:rPr>
        <w:t xml:space="preserve"> minutes per respondent for screening </w:t>
      </w:r>
      <w:r w:rsidRPr="05AC9209" w:rsidR="4E05E6ED">
        <w:rPr>
          <w:rFonts w:ascii="Times New Roman" w:eastAsia="Times New Roman" w:hAnsi="Times New Roman" w:cs="Times New Roman"/>
        </w:rPr>
        <w:t xml:space="preserve">and informed consent </w:t>
      </w:r>
      <w:r w:rsidRPr="05AC9209" w:rsidR="663FE15E">
        <w:rPr>
          <w:rFonts w:ascii="Times New Roman" w:eastAsia="Times New Roman" w:hAnsi="Times New Roman" w:cs="Times New Roman"/>
        </w:rPr>
        <w:t>and</w:t>
      </w:r>
      <w:r w:rsidRPr="05AC9209" w:rsidR="4D1142C1">
        <w:rPr>
          <w:rFonts w:ascii="Times New Roman" w:eastAsia="Times New Roman" w:hAnsi="Times New Roman" w:cs="Times New Roman"/>
        </w:rPr>
        <w:t xml:space="preserve"> </w:t>
      </w:r>
      <w:r w:rsidR="00E52B8E">
        <w:rPr>
          <w:rFonts w:ascii="Times New Roman" w:eastAsia="Times New Roman" w:hAnsi="Times New Roman" w:cs="Times New Roman"/>
        </w:rPr>
        <w:t>15</w:t>
      </w:r>
      <w:r w:rsidRPr="05AC9209" w:rsidR="4D1142C1">
        <w:rPr>
          <w:rFonts w:ascii="Times New Roman" w:eastAsia="Times New Roman" w:hAnsi="Times New Roman" w:cs="Times New Roman"/>
        </w:rPr>
        <w:t xml:space="preserve"> minutes per respondent for the </w:t>
      </w:r>
      <w:r w:rsidRPr="05AC9209" w:rsidR="11660704">
        <w:rPr>
          <w:rFonts w:ascii="Times New Roman" w:eastAsia="Times New Roman" w:hAnsi="Times New Roman" w:cs="Times New Roman"/>
        </w:rPr>
        <w:t xml:space="preserve">online </w:t>
      </w:r>
      <w:r w:rsidRPr="05AC9209" w:rsidR="4D1142C1">
        <w:rPr>
          <w:rFonts w:ascii="Times New Roman" w:eastAsia="Times New Roman" w:hAnsi="Times New Roman" w:cs="Times New Roman"/>
        </w:rPr>
        <w:t xml:space="preserve">survey. </w:t>
      </w:r>
      <w:r w:rsidRPr="001B0336">
        <w:rPr>
          <w:rFonts w:ascii="Times New Roman" w:eastAsia="Times New Roman" w:hAnsi="Times New Roman" w:cs="Times New Roman"/>
        </w:rPr>
        <w:t>Thus, assuming an average hourly wage of $</w:t>
      </w:r>
      <w:r w:rsidR="00771148">
        <w:rPr>
          <w:rFonts w:ascii="Times New Roman" w:eastAsia="Times New Roman" w:hAnsi="Times New Roman" w:cs="Times New Roman"/>
        </w:rPr>
        <w:t>28.01</w:t>
      </w:r>
      <w:r w:rsidRPr="001B0336">
        <w:rPr>
          <w:rFonts w:ascii="Times New Roman" w:eastAsia="Times New Roman" w:hAnsi="Times New Roman" w:cs="Times New Roman"/>
        </w:rPr>
        <w:t xml:space="preserve">, the estimated one-year cost to participants will be </w:t>
      </w:r>
      <w:r w:rsidRPr="00C17E05" w:rsidR="00C17E05">
        <w:rPr>
          <w:rFonts w:ascii="Times New Roman" w:eastAsia="Times New Roman" w:hAnsi="Times New Roman" w:cs="Times New Roman"/>
          <w:szCs w:val="36"/>
        </w:rPr>
        <w:t>$</w:t>
      </w:r>
      <w:r w:rsidR="00771148">
        <w:rPr>
          <w:rFonts w:ascii="Times New Roman" w:eastAsia="Times New Roman" w:hAnsi="Times New Roman" w:cs="Times New Roman"/>
          <w:szCs w:val="36"/>
        </w:rPr>
        <w:t>19,608</w:t>
      </w:r>
      <w:r w:rsidRPr="001B0336">
        <w:rPr>
          <w:rFonts w:ascii="Times New Roman" w:eastAsia="Times New Roman" w:hAnsi="Times New Roman" w:cs="Times New Roman"/>
        </w:rPr>
        <w:t>.</w:t>
      </w:r>
      <w:r w:rsidRPr="05AC9209">
        <w:rPr>
          <w:rFonts w:ascii="Times New Roman" w:eastAsia="Times New Roman" w:hAnsi="Times New Roman" w:cs="Times New Roman"/>
        </w:rPr>
        <w:t xml:space="preserve"> The estimated value of respondents’ time for participating in the information collection is summarized in Table 2.</w:t>
      </w:r>
    </w:p>
    <w:p w:rsidR="00BE1FCB" w:rsidRPr="006B1D8F" w:rsidP="00BE1FCB" w14:paraId="0423B00F" w14:textId="77777777">
      <w:pPr>
        <w:keepNext/>
        <w:keepLines/>
        <w:autoSpaceDE w:val="0"/>
        <w:autoSpaceDN w:val="0"/>
        <w:adjustRightInd w:val="0"/>
        <w:ind w:left="180"/>
        <w:rPr>
          <w:rFonts w:ascii="Times New Roman" w:eastAsia="Times New Roman" w:hAnsi="Times New Roman" w:cs="Times New Roman"/>
          <w:b/>
          <w:szCs w:val="24"/>
        </w:rPr>
      </w:pPr>
    </w:p>
    <w:p w:rsidR="00BE1FCB" w:rsidRPr="005A0499" w:rsidP="00BE1FCB" w14:paraId="6825F20F" w14:textId="77777777">
      <w:pPr>
        <w:keepNext/>
        <w:keepLines/>
        <w:autoSpaceDE w:val="0"/>
        <w:autoSpaceDN w:val="0"/>
        <w:adjustRightInd w:val="0"/>
        <w:ind w:left="180"/>
        <w:rPr>
          <w:rFonts w:ascii="Times New Roman" w:eastAsia="Times New Roman" w:hAnsi="Times New Roman" w:cs="Times New Roman"/>
          <w:b/>
          <w:szCs w:val="24"/>
        </w:rPr>
      </w:pPr>
      <w:r w:rsidRPr="005A0499">
        <w:rPr>
          <w:rFonts w:ascii="Times New Roman" w:eastAsia="Times New Roman" w:hAnsi="Times New Roman" w:cs="Times New Roman"/>
          <w:b/>
          <w:szCs w:val="24"/>
        </w:rPr>
        <w:t>Table 2. Estimated Annual Cost</w:t>
      </w:r>
    </w:p>
    <w:tbl>
      <w:tblPr>
        <w:tblW w:w="5000" w:type="pct"/>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2341"/>
        <w:gridCol w:w="2714"/>
        <w:gridCol w:w="1526"/>
        <w:gridCol w:w="1221"/>
        <w:gridCol w:w="1558"/>
      </w:tblGrid>
      <w:tr w14:paraId="7F676096" w14:textId="77777777" w:rsidTr="009660BD">
        <w:tblPrEx>
          <w:tblW w:w="5000" w:type="pct"/>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blHeader/>
        </w:trPr>
        <w:tc>
          <w:tcPr>
            <w:tcW w:w="1250" w:type="pct"/>
            <w:vAlign w:val="bottom"/>
          </w:tcPr>
          <w:p w:rsidR="00BE1FCB" w:rsidRPr="005A0499" w:rsidP="00F3750D" w14:paraId="12C415A6"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Type of Respondent</w:t>
            </w:r>
          </w:p>
        </w:tc>
        <w:tc>
          <w:tcPr>
            <w:tcW w:w="1450" w:type="pct"/>
            <w:vAlign w:val="bottom"/>
          </w:tcPr>
          <w:p w:rsidR="00BE1FCB" w:rsidRPr="005A0499" w:rsidP="00F3750D" w14:paraId="077F3FE0"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Activity</w:t>
            </w:r>
          </w:p>
        </w:tc>
        <w:tc>
          <w:tcPr>
            <w:tcW w:w="815" w:type="pct"/>
            <w:vAlign w:val="bottom"/>
          </w:tcPr>
          <w:p w:rsidR="00BE1FCB" w:rsidRPr="005A0499" w:rsidP="00F3750D" w14:paraId="37C21B30"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Annual Burden Hours</w:t>
            </w:r>
          </w:p>
        </w:tc>
        <w:tc>
          <w:tcPr>
            <w:tcW w:w="652" w:type="pct"/>
            <w:vAlign w:val="bottom"/>
          </w:tcPr>
          <w:p w:rsidR="00BE1FCB" w:rsidRPr="005A0499" w:rsidP="00F3750D" w14:paraId="2C99DDBA"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Hourly Wage Rate</w:t>
            </w:r>
          </w:p>
        </w:tc>
        <w:tc>
          <w:tcPr>
            <w:tcW w:w="832" w:type="pct"/>
            <w:vAlign w:val="bottom"/>
          </w:tcPr>
          <w:p w:rsidR="00BE1FCB" w:rsidRPr="005A0499" w:rsidP="00F3750D" w14:paraId="25DBE185"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Total Cost</w:t>
            </w:r>
            <w:r w:rsidRPr="005A0499">
              <w:rPr>
                <w:rFonts w:ascii="Times New Roman" w:eastAsia="Times New Roman" w:hAnsi="Times New Roman" w:cs="Times New Roman"/>
                <w:b/>
                <w:sz w:val="18"/>
                <w:szCs w:val="24"/>
                <w:vertAlign w:val="superscript"/>
              </w:rPr>
              <w:t>1</w:t>
            </w:r>
          </w:p>
        </w:tc>
      </w:tr>
      <w:tr w14:paraId="0E7ACC8E" w14:textId="77777777" w:rsidTr="009660BD">
        <w:tblPrEx>
          <w:tblW w:w="5000" w:type="pct"/>
          <w:tblLayout w:type="fixed"/>
          <w:tblCellMar>
            <w:left w:w="58" w:type="dxa"/>
            <w:right w:w="58" w:type="dxa"/>
          </w:tblCellMar>
          <w:tblLook w:val="00A0"/>
        </w:tblPrEx>
        <w:trPr>
          <w:cantSplit/>
        </w:trPr>
        <w:tc>
          <w:tcPr>
            <w:tcW w:w="1250" w:type="pct"/>
            <w:vMerge w:val="restart"/>
            <w:vAlign w:val="center"/>
          </w:tcPr>
          <w:p w:rsidR="004A062E" w:rsidRPr="005A0499" w:rsidP="005055A6" w14:paraId="6766E7B1" w14:textId="48620A74">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Young adult aged </w:t>
            </w:r>
          </w:p>
          <w:p w:rsidR="004A062E" w:rsidRPr="005A0499" w:rsidP="005055A6" w14:paraId="3BF16051" w14:textId="7437D0A4">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1</w:t>
            </w:r>
            <w:r w:rsidR="0001513D">
              <w:rPr>
                <w:rFonts w:ascii="Times New Roman" w:eastAsia="Times New Roman" w:hAnsi="Times New Roman" w:cs="Times New Roman"/>
                <w:sz w:val="16"/>
                <w:szCs w:val="24"/>
              </w:rPr>
              <w:t>8</w:t>
            </w:r>
            <w:r w:rsidRPr="005A0499">
              <w:rPr>
                <w:rFonts w:ascii="Times New Roman" w:eastAsia="Times New Roman" w:hAnsi="Times New Roman" w:cs="Times New Roman"/>
                <w:sz w:val="16"/>
                <w:szCs w:val="24"/>
              </w:rPr>
              <w:t>–</w:t>
            </w:r>
            <w:r w:rsidRPr="005A0499" w:rsidR="005A0499">
              <w:rPr>
                <w:rFonts w:ascii="Times New Roman" w:eastAsia="Times New Roman" w:hAnsi="Times New Roman" w:cs="Times New Roman"/>
                <w:sz w:val="16"/>
                <w:szCs w:val="24"/>
              </w:rPr>
              <w:t>2</w:t>
            </w:r>
            <w:r w:rsidR="00782D91">
              <w:rPr>
                <w:rFonts w:ascii="Times New Roman" w:eastAsia="Times New Roman" w:hAnsi="Times New Roman" w:cs="Times New Roman"/>
                <w:sz w:val="16"/>
                <w:szCs w:val="24"/>
              </w:rPr>
              <w:t>4</w:t>
            </w:r>
          </w:p>
        </w:tc>
        <w:tc>
          <w:tcPr>
            <w:tcW w:w="1450" w:type="pct"/>
          </w:tcPr>
          <w:p w:rsidR="004A062E" w:rsidRPr="005A0499" w:rsidP="002C6917" w14:paraId="7D5D6410" w14:textId="52D3C033">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Recruiting and Screening</w:t>
            </w:r>
          </w:p>
        </w:tc>
        <w:tc>
          <w:tcPr>
            <w:tcW w:w="815" w:type="pct"/>
            <w:vAlign w:val="center"/>
          </w:tcPr>
          <w:p w:rsidR="004A062E" w:rsidRPr="0063102D" w:rsidP="00F3750D" w14:paraId="02D4B11A" w14:textId="77FF9313">
            <w:pPr>
              <w:autoSpaceDE w:val="0"/>
              <w:autoSpaceDN w:val="0"/>
              <w:adjustRightInd w:val="0"/>
              <w:ind w:left="180"/>
              <w:jc w:val="center"/>
              <w:rPr>
                <w:rFonts w:ascii="Times New Roman" w:eastAsia="Times New Roman" w:hAnsi="Times New Roman" w:cs="Times New Roman"/>
                <w:sz w:val="18"/>
                <w:szCs w:val="24"/>
              </w:rPr>
            </w:pPr>
            <w:r w:rsidRPr="0063102D">
              <w:rPr>
                <w:rFonts w:ascii="Times New Roman" w:eastAsia="Times New Roman" w:hAnsi="Times New Roman" w:cs="Times New Roman"/>
                <w:sz w:val="18"/>
                <w:szCs w:val="24"/>
              </w:rPr>
              <w:t>250</w:t>
            </w:r>
          </w:p>
        </w:tc>
        <w:tc>
          <w:tcPr>
            <w:tcW w:w="652" w:type="pct"/>
            <w:vAlign w:val="center"/>
          </w:tcPr>
          <w:p w:rsidR="004A062E" w:rsidRPr="0063102D" w:rsidP="00F3750D" w14:paraId="349AEC84" w14:textId="5A9DCF15">
            <w:pPr>
              <w:autoSpaceDE w:val="0"/>
              <w:autoSpaceDN w:val="0"/>
              <w:adjustRightInd w:val="0"/>
              <w:ind w:left="180"/>
              <w:jc w:val="center"/>
              <w:rPr>
                <w:rFonts w:ascii="Times New Roman" w:eastAsia="Times New Roman" w:hAnsi="Times New Roman" w:cs="Times New Roman"/>
                <w:sz w:val="18"/>
                <w:szCs w:val="24"/>
              </w:rPr>
            </w:pPr>
            <w:r w:rsidRPr="0063102D">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28.01</w:t>
            </w:r>
          </w:p>
        </w:tc>
        <w:tc>
          <w:tcPr>
            <w:tcW w:w="832" w:type="pct"/>
            <w:vAlign w:val="center"/>
          </w:tcPr>
          <w:p w:rsidR="004A062E" w:rsidRPr="0063102D" w:rsidP="00F3750D" w14:paraId="36705507" w14:textId="731E34F0">
            <w:pPr>
              <w:autoSpaceDE w:val="0"/>
              <w:autoSpaceDN w:val="0"/>
              <w:adjustRightInd w:val="0"/>
              <w:ind w:left="180"/>
              <w:jc w:val="center"/>
              <w:rPr>
                <w:rFonts w:ascii="Times New Roman" w:eastAsia="Times New Roman" w:hAnsi="Times New Roman" w:cs="Times New Roman"/>
                <w:sz w:val="18"/>
                <w:szCs w:val="24"/>
              </w:rPr>
            </w:pPr>
            <w:r w:rsidRPr="0063102D">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7,003</w:t>
            </w:r>
          </w:p>
        </w:tc>
      </w:tr>
      <w:tr w14:paraId="4FDF32FF" w14:textId="77777777" w:rsidTr="009660BD">
        <w:tblPrEx>
          <w:tblW w:w="5000" w:type="pct"/>
          <w:tblLayout w:type="fixed"/>
          <w:tblCellMar>
            <w:left w:w="58" w:type="dxa"/>
            <w:right w:w="58" w:type="dxa"/>
          </w:tblCellMar>
          <w:tblLook w:val="00A0"/>
        </w:tblPrEx>
        <w:trPr>
          <w:cantSplit/>
        </w:trPr>
        <w:tc>
          <w:tcPr>
            <w:tcW w:w="1250" w:type="pct"/>
            <w:vMerge/>
            <w:vAlign w:val="center"/>
          </w:tcPr>
          <w:p w:rsidR="004A062E" w:rsidRPr="005A0499" w:rsidP="00F3750D" w14:paraId="1806235A" w14:textId="77777777">
            <w:pPr>
              <w:autoSpaceDE w:val="0"/>
              <w:autoSpaceDN w:val="0"/>
              <w:adjustRightInd w:val="0"/>
              <w:ind w:left="180"/>
              <w:rPr>
                <w:rFonts w:ascii="Times New Roman" w:eastAsia="Times New Roman" w:hAnsi="Times New Roman" w:cs="Times New Roman"/>
                <w:sz w:val="16"/>
                <w:szCs w:val="24"/>
              </w:rPr>
            </w:pPr>
          </w:p>
        </w:tc>
        <w:tc>
          <w:tcPr>
            <w:tcW w:w="1450" w:type="pct"/>
          </w:tcPr>
          <w:p w:rsidR="004A062E" w:rsidRPr="005A0499" w:rsidP="002C6917" w14:paraId="6F63902A" w14:textId="7709D5B6">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Consent</w:t>
            </w:r>
          </w:p>
        </w:tc>
        <w:tc>
          <w:tcPr>
            <w:tcW w:w="815" w:type="pct"/>
            <w:vAlign w:val="center"/>
          </w:tcPr>
          <w:p w:rsidR="004A062E" w:rsidRPr="00EB1B7E" w:rsidP="00F3750D" w14:paraId="599E8B46" w14:textId="153597C5">
            <w:pPr>
              <w:autoSpaceDE w:val="0"/>
              <w:autoSpaceDN w:val="0"/>
              <w:adjustRightInd w:val="0"/>
              <w:ind w:left="180"/>
              <w:jc w:val="center"/>
              <w:rPr>
                <w:rFonts w:ascii="Times New Roman" w:eastAsia="Times New Roman" w:hAnsi="Times New Roman" w:cs="Times New Roman"/>
                <w:sz w:val="18"/>
                <w:szCs w:val="24"/>
              </w:rPr>
            </w:pPr>
            <w:r w:rsidRPr="00EB1B7E">
              <w:rPr>
                <w:rFonts w:ascii="Times New Roman" w:eastAsia="Times New Roman" w:hAnsi="Times New Roman" w:cs="Times New Roman"/>
                <w:sz w:val="18"/>
                <w:szCs w:val="24"/>
              </w:rPr>
              <w:t>75</w:t>
            </w:r>
          </w:p>
        </w:tc>
        <w:tc>
          <w:tcPr>
            <w:tcW w:w="652" w:type="pct"/>
            <w:vAlign w:val="center"/>
          </w:tcPr>
          <w:p w:rsidR="004A062E" w:rsidRPr="00AA04E9" w:rsidP="00F3750D" w14:paraId="3251EB8D" w14:textId="68E1D2FF">
            <w:pPr>
              <w:autoSpaceDE w:val="0"/>
              <w:autoSpaceDN w:val="0"/>
              <w:adjustRightInd w:val="0"/>
              <w:ind w:left="180"/>
              <w:jc w:val="center"/>
              <w:rPr>
                <w:rFonts w:ascii="Times New Roman" w:eastAsia="Times New Roman" w:hAnsi="Times New Roman" w:cs="Times New Roman"/>
                <w:sz w:val="18"/>
                <w:szCs w:val="24"/>
                <w:highlight w:val="lightGray"/>
              </w:rPr>
            </w:pPr>
            <w:r w:rsidRPr="00125FFB">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28.01</w:t>
            </w:r>
          </w:p>
        </w:tc>
        <w:tc>
          <w:tcPr>
            <w:tcW w:w="832" w:type="pct"/>
            <w:vAlign w:val="center"/>
          </w:tcPr>
          <w:p w:rsidR="004A062E" w:rsidRPr="0044663D" w:rsidP="00F3750D" w14:paraId="0BC64203" w14:textId="24B1ED47">
            <w:pPr>
              <w:autoSpaceDE w:val="0"/>
              <w:autoSpaceDN w:val="0"/>
              <w:adjustRightInd w:val="0"/>
              <w:ind w:left="180"/>
              <w:jc w:val="center"/>
              <w:rPr>
                <w:rFonts w:ascii="Times New Roman" w:eastAsia="Times New Roman" w:hAnsi="Times New Roman" w:cs="Times New Roman"/>
                <w:sz w:val="18"/>
                <w:szCs w:val="24"/>
              </w:rPr>
            </w:pPr>
            <w:r w:rsidRPr="0044663D">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2,101</w:t>
            </w:r>
          </w:p>
        </w:tc>
      </w:tr>
      <w:tr w14:paraId="3BEC3BBA" w14:textId="77777777" w:rsidTr="009660BD">
        <w:tblPrEx>
          <w:tblW w:w="5000" w:type="pct"/>
          <w:tblLayout w:type="fixed"/>
          <w:tblCellMar>
            <w:left w:w="58" w:type="dxa"/>
            <w:right w:w="58" w:type="dxa"/>
          </w:tblCellMar>
          <w:tblLook w:val="00A0"/>
        </w:tblPrEx>
        <w:trPr>
          <w:cantSplit/>
          <w:trHeight w:val="237"/>
        </w:trPr>
        <w:tc>
          <w:tcPr>
            <w:tcW w:w="1250" w:type="pct"/>
            <w:vMerge/>
            <w:vAlign w:val="center"/>
          </w:tcPr>
          <w:p w:rsidR="004A062E" w:rsidRPr="005A0499" w:rsidP="00F3750D" w14:paraId="6F206C47" w14:textId="77777777">
            <w:pPr>
              <w:autoSpaceDE w:val="0"/>
              <w:autoSpaceDN w:val="0"/>
              <w:adjustRightInd w:val="0"/>
              <w:ind w:left="180"/>
              <w:rPr>
                <w:rFonts w:ascii="Times New Roman" w:eastAsia="Times New Roman" w:hAnsi="Times New Roman" w:cs="Times New Roman"/>
                <w:sz w:val="16"/>
                <w:szCs w:val="24"/>
              </w:rPr>
            </w:pPr>
          </w:p>
        </w:tc>
        <w:tc>
          <w:tcPr>
            <w:tcW w:w="1450" w:type="pct"/>
            <w:vAlign w:val="center"/>
          </w:tcPr>
          <w:p w:rsidR="004A062E" w:rsidRPr="005A0499" w:rsidP="00F3750D" w14:paraId="49E6E158" w14:textId="18CA5037">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Online Survey</w:t>
            </w:r>
          </w:p>
        </w:tc>
        <w:tc>
          <w:tcPr>
            <w:tcW w:w="815" w:type="pct"/>
            <w:vAlign w:val="center"/>
          </w:tcPr>
          <w:p w:rsidR="004A062E" w:rsidRPr="00EB1B7E" w:rsidP="00F3750D" w14:paraId="395FC90E" w14:textId="3A686B8F">
            <w:pPr>
              <w:autoSpaceDE w:val="0"/>
              <w:autoSpaceDN w:val="0"/>
              <w:adjustRightInd w:val="0"/>
              <w:ind w:left="180"/>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375</w:t>
            </w:r>
          </w:p>
        </w:tc>
        <w:tc>
          <w:tcPr>
            <w:tcW w:w="652" w:type="pct"/>
            <w:vAlign w:val="center"/>
          </w:tcPr>
          <w:p w:rsidR="004A062E" w:rsidRPr="00AA04E9" w:rsidP="00F3750D" w14:paraId="2AB100FE" w14:textId="52F32E81">
            <w:pPr>
              <w:autoSpaceDE w:val="0"/>
              <w:autoSpaceDN w:val="0"/>
              <w:adjustRightInd w:val="0"/>
              <w:ind w:left="180"/>
              <w:jc w:val="center"/>
              <w:rPr>
                <w:rFonts w:ascii="Times New Roman" w:eastAsia="Times New Roman" w:hAnsi="Times New Roman" w:cs="Times New Roman"/>
                <w:sz w:val="18"/>
                <w:szCs w:val="24"/>
                <w:highlight w:val="lightGray"/>
              </w:rPr>
            </w:pPr>
            <w:r w:rsidRPr="00125FFB">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28.01</w:t>
            </w:r>
          </w:p>
        </w:tc>
        <w:tc>
          <w:tcPr>
            <w:tcW w:w="832" w:type="pct"/>
            <w:vAlign w:val="center"/>
          </w:tcPr>
          <w:p w:rsidR="004A062E" w:rsidRPr="0044663D" w:rsidP="00F3750D" w14:paraId="637FE11F" w14:textId="564BF7BC">
            <w:pPr>
              <w:autoSpaceDE w:val="0"/>
              <w:autoSpaceDN w:val="0"/>
              <w:adjustRightInd w:val="0"/>
              <w:ind w:left="180"/>
              <w:jc w:val="center"/>
              <w:rPr>
                <w:rFonts w:ascii="Times New Roman" w:eastAsia="Times New Roman" w:hAnsi="Times New Roman" w:cs="Times New Roman"/>
                <w:sz w:val="18"/>
                <w:szCs w:val="24"/>
              </w:rPr>
            </w:pPr>
            <w:r w:rsidRPr="0044663D">
              <w:rPr>
                <w:rFonts w:ascii="Times New Roman" w:eastAsia="Times New Roman" w:hAnsi="Times New Roman" w:cs="Times New Roman"/>
                <w:sz w:val="18"/>
                <w:szCs w:val="24"/>
              </w:rPr>
              <w:t>$</w:t>
            </w:r>
            <w:r w:rsidR="00771148">
              <w:rPr>
                <w:rFonts w:ascii="Times New Roman" w:eastAsia="Times New Roman" w:hAnsi="Times New Roman" w:cs="Times New Roman"/>
                <w:sz w:val="18"/>
                <w:szCs w:val="24"/>
              </w:rPr>
              <w:t>10,504</w:t>
            </w:r>
          </w:p>
        </w:tc>
      </w:tr>
      <w:tr w14:paraId="3BE2644A" w14:textId="77777777" w:rsidTr="009660BD">
        <w:tblPrEx>
          <w:tblW w:w="5000" w:type="pct"/>
          <w:tblLayout w:type="fixed"/>
          <w:tblCellMar>
            <w:left w:w="58" w:type="dxa"/>
            <w:right w:w="58" w:type="dxa"/>
          </w:tblCellMar>
          <w:tblLook w:val="00A0"/>
        </w:tblPrEx>
        <w:trPr>
          <w:cantSplit/>
        </w:trPr>
        <w:tc>
          <w:tcPr>
            <w:tcW w:w="1250" w:type="pct"/>
            <w:vAlign w:val="center"/>
          </w:tcPr>
          <w:p w:rsidR="00BE1FCB" w:rsidRPr="00AA04E9" w:rsidP="00F3750D" w14:paraId="45706442" w14:textId="77777777">
            <w:pPr>
              <w:autoSpaceDE w:val="0"/>
              <w:autoSpaceDN w:val="0"/>
              <w:adjustRightInd w:val="0"/>
              <w:ind w:left="180"/>
              <w:rPr>
                <w:rFonts w:ascii="Times New Roman" w:eastAsia="Times New Roman" w:hAnsi="Times New Roman" w:cs="Times New Roman"/>
                <w:sz w:val="18"/>
                <w:szCs w:val="24"/>
                <w:highlight w:val="lightGray"/>
              </w:rPr>
            </w:pPr>
            <w:r w:rsidRPr="005A0499">
              <w:rPr>
                <w:rFonts w:ascii="Times New Roman" w:eastAsia="Times New Roman" w:hAnsi="Times New Roman" w:cs="Times New Roman"/>
                <w:sz w:val="18"/>
                <w:szCs w:val="24"/>
              </w:rPr>
              <w:t>Total</w:t>
            </w:r>
          </w:p>
        </w:tc>
        <w:tc>
          <w:tcPr>
            <w:tcW w:w="1450" w:type="pct"/>
          </w:tcPr>
          <w:p w:rsidR="00BE1FCB" w:rsidRPr="00AA04E9" w:rsidP="00F3750D" w14:paraId="03C319FD" w14:textId="77777777">
            <w:pPr>
              <w:keepNext/>
              <w:autoSpaceDE w:val="0"/>
              <w:autoSpaceDN w:val="0"/>
              <w:adjustRightInd w:val="0"/>
              <w:ind w:left="180"/>
              <w:rPr>
                <w:rFonts w:ascii="Times New Roman" w:eastAsia="Times New Roman" w:hAnsi="Times New Roman" w:cs="Times New Roman"/>
                <w:sz w:val="18"/>
                <w:szCs w:val="24"/>
                <w:highlight w:val="lightGray"/>
              </w:rPr>
            </w:pPr>
          </w:p>
        </w:tc>
        <w:tc>
          <w:tcPr>
            <w:tcW w:w="815" w:type="pct"/>
            <w:vAlign w:val="center"/>
          </w:tcPr>
          <w:p w:rsidR="00BE1FCB" w:rsidRPr="00AA04E9" w:rsidP="00F3750D" w14:paraId="6EC8A280" w14:textId="496115EF">
            <w:pPr>
              <w:autoSpaceDE w:val="0"/>
              <w:autoSpaceDN w:val="0"/>
              <w:adjustRightInd w:val="0"/>
              <w:ind w:left="180"/>
              <w:jc w:val="center"/>
              <w:rPr>
                <w:rFonts w:ascii="Times New Roman" w:eastAsia="Times New Roman" w:hAnsi="Times New Roman" w:cs="Times New Roman"/>
                <w:sz w:val="18"/>
                <w:szCs w:val="24"/>
                <w:highlight w:val="lightGray"/>
              </w:rPr>
            </w:pPr>
          </w:p>
        </w:tc>
        <w:tc>
          <w:tcPr>
            <w:tcW w:w="652" w:type="pct"/>
            <w:vAlign w:val="center"/>
          </w:tcPr>
          <w:p w:rsidR="00BE1FCB" w:rsidRPr="00AA04E9" w:rsidP="00F3750D" w14:paraId="220EED0E" w14:textId="77777777">
            <w:pPr>
              <w:autoSpaceDE w:val="0"/>
              <w:autoSpaceDN w:val="0"/>
              <w:adjustRightInd w:val="0"/>
              <w:ind w:left="180"/>
              <w:jc w:val="center"/>
              <w:rPr>
                <w:rFonts w:ascii="Times New Roman" w:eastAsia="Times New Roman" w:hAnsi="Times New Roman" w:cs="Times New Roman"/>
                <w:sz w:val="18"/>
                <w:szCs w:val="24"/>
                <w:highlight w:val="lightGray"/>
              </w:rPr>
            </w:pPr>
          </w:p>
        </w:tc>
        <w:tc>
          <w:tcPr>
            <w:tcW w:w="832" w:type="pct"/>
            <w:vAlign w:val="center"/>
          </w:tcPr>
          <w:p w:rsidR="00BE1FCB" w:rsidRPr="00610532" w:rsidP="00F3750D" w14:paraId="31A902EF" w14:textId="1509FF21">
            <w:pPr>
              <w:autoSpaceDE w:val="0"/>
              <w:autoSpaceDN w:val="0"/>
              <w:adjustRightInd w:val="0"/>
              <w:ind w:left="180"/>
              <w:jc w:val="center"/>
              <w:rPr>
                <w:rFonts w:ascii="Times New Roman" w:eastAsia="Times New Roman" w:hAnsi="Times New Roman" w:cs="Times New Roman"/>
                <w:b/>
                <w:sz w:val="18"/>
                <w:szCs w:val="18"/>
              </w:rPr>
            </w:pPr>
            <w:r w:rsidRPr="00610532">
              <w:rPr>
                <w:rFonts w:ascii="Times New Roman" w:eastAsia="Times New Roman" w:hAnsi="Times New Roman" w:cs="Times New Roman"/>
                <w:b/>
                <w:sz w:val="18"/>
                <w:szCs w:val="18"/>
              </w:rPr>
              <w:t>$</w:t>
            </w:r>
            <w:r w:rsidR="00771148">
              <w:rPr>
                <w:rFonts w:ascii="Times New Roman" w:eastAsia="Times New Roman" w:hAnsi="Times New Roman" w:cs="Times New Roman"/>
                <w:b/>
                <w:sz w:val="18"/>
                <w:szCs w:val="18"/>
              </w:rPr>
              <w:t>19,608</w:t>
            </w:r>
          </w:p>
        </w:tc>
      </w:tr>
    </w:tbl>
    <w:p w:rsidR="00BE1FCB" w:rsidRPr="006B1D8F" w:rsidP="00BE1FCB" w14:paraId="772E4013" w14:textId="77777777">
      <w:pPr>
        <w:autoSpaceDE w:val="0"/>
        <w:autoSpaceDN w:val="0"/>
        <w:adjustRightInd w:val="0"/>
        <w:ind w:left="180" w:firstLine="540"/>
        <w:rPr>
          <w:rFonts w:ascii="Times New Roman" w:eastAsia="Times New Roman" w:hAnsi="Times New Roman" w:cs="Times New Roman"/>
          <w:color w:val="000000"/>
          <w:sz w:val="16"/>
          <w:szCs w:val="24"/>
        </w:rPr>
      </w:pPr>
      <w:r w:rsidRPr="006B1D8F">
        <w:rPr>
          <w:rFonts w:ascii="Times New Roman" w:eastAsia="Times New Roman" w:hAnsi="Times New Roman" w:cs="Times New Roman"/>
          <w:color w:val="000000"/>
          <w:sz w:val="16"/>
          <w:szCs w:val="24"/>
          <w:vertAlign w:val="superscript"/>
        </w:rPr>
        <w:t>1</w:t>
      </w:r>
      <w:r w:rsidRPr="006B1D8F">
        <w:rPr>
          <w:rFonts w:ascii="Times New Roman" w:eastAsia="Times New Roman" w:hAnsi="Times New Roman" w:cs="Times New Roman"/>
          <w:sz w:val="12"/>
          <w:szCs w:val="20"/>
        </w:rPr>
        <w:t xml:space="preserve"> </w:t>
      </w:r>
      <w:r w:rsidRPr="006B1D8F">
        <w:rPr>
          <w:rFonts w:ascii="Times New Roman" w:eastAsia="Times New Roman" w:hAnsi="Times New Roman" w:cs="Times New Roman"/>
          <w:color w:val="000000"/>
          <w:sz w:val="16"/>
          <w:szCs w:val="24"/>
        </w:rPr>
        <w:t>Cost was rounded up to the next dollar.</w:t>
      </w:r>
    </w:p>
    <w:p w:rsidR="00087882" w:rsidRPr="006B1D8F" w:rsidP="0017568B" w14:paraId="42B89C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E02FFC" w14:paraId="34B8E313" w14:textId="77777777">
      <w:pPr>
        <w:spacing w:after="160" w:line="259" w:lineRule="auto"/>
        <w:rPr>
          <w:rFonts w:ascii="Times New Roman" w:eastAsia="Times New Roman" w:hAnsi="Times New Roman" w:cs="Times New Roman"/>
          <w:b/>
          <w:bCs/>
          <w:szCs w:val="24"/>
        </w:rPr>
      </w:pPr>
      <w:bookmarkStart w:id="18" w:name="_Toc239649234"/>
      <w:r>
        <w:rPr>
          <w:rFonts w:ascii="Times New Roman" w:eastAsia="Times New Roman" w:hAnsi="Times New Roman" w:cs="Times New Roman"/>
          <w:b/>
          <w:bCs/>
          <w:szCs w:val="24"/>
        </w:rPr>
        <w:br w:type="page"/>
      </w:r>
    </w:p>
    <w:p w:rsidR="00BE1FCB" w:rsidRPr="006B1D8F" w:rsidP="00BE1FCB" w14:paraId="3FDE71E8" w14:textId="13D385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13.  </w:t>
      </w:r>
      <w:r w:rsidRPr="006B1D8F">
        <w:rPr>
          <w:rFonts w:ascii="Times New Roman" w:eastAsia="Times New Roman" w:hAnsi="Times New Roman" w:cs="Times New Roman"/>
          <w:b/>
          <w:bCs/>
          <w:szCs w:val="24"/>
          <w:u w:val="single"/>
        </w:rPr>
        <w:t>Estimates of Other Total Annual Cost Burden to Respondents or Record Keepers</w:t>
      </w:r>
      <w:bookmarkEnd w:id="18"/>
    </w:p>
    <w:p w:rsidR="00BE1FCB" w:rsidRPr="006B1D8F" w:rsidP="00BE1FCB" w14:paraId="53C4AEA4" w14:textId="77777777">
      <w:pPr>
        <w:ind w:left="180"/>
        <w:contextualSpacing/>
        <w:rPr>
          <w:rFonts w:ascii="Times New Roman" w:eastAsia="Times New Roman" w:hAnsi="Times New Roman" w:cs="Times New Roman"/>
          <w:szCs w:val="24"/>
        </w:rPr>
      </w:pPr>
    </w:p>
    <w:p w:rsidR="00BE1FCB" w:rsidRPr="006B1D8F" w:rsidP="00BE1FCB" w14:paraId="3B6CAFDB" w14:textId="0A9C16EC">
      <w:pPr>
        <w:ind w:left="180"/>
        <w:contextualSpacing/>
        <w:rPr>
          <w:rFonts w:ascii="Times New Roman" w:eastAsia="Times New Roman" w:hAnsi="Times New Roman" w:cs="Times New Roman"/>
        </w:rPr>
      </w:pPr>
      <w:r w:rsidRPr="73D96362">
        <w:rPr>
          <w:rFonts w:ascii="Times New Roman" w:eastAsia="Times New Roman" w:hAnsi="Times New Roman" w:cs="Times New Roman"/>
        </w:rPr>
        <w:t xml:space="preserve">There </w:t>
      </w:r>
      <w:r w:rsidRPr="73D96362">
        <w:rPr>
          <w:rFonts w:ascii="Times New Roman" w:eastAsia="Times New Roman" w:hAnsi="Times New Roman" w:cs="Times New Roman"/>
        </w:rPr>
        <w:t>are</w:t>
      </w:r>
      <w:r w:rsidRPr="73D96362">
        <w:rPr>
          <w:rFonts w:ascii="Times New Roman" w:eastAsia="Times New Roman" w:hAnsi="Times New Roman" w:cs="Times New Roman"/>
        </w:rPr>
        <w:t xml:space="preserve"> no capital, start-up, operating, or maintenance costs associated with this data collection.</w:t>
      </w:r>
    </w:p>
    <w:p w:rsidR="00645FFC" w:rsidRPr="00B42DEC" w:rsidP="00B42DEC" w14:paraId="7E2EEC08" w14:textId="55F80407">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id="19" w:name="_Toc239649235"/>
      <w:r w:rsidRPr="006B1D8F">
        <w:rPr>
          <w:rFonts w:ascii="Times New Roman" w:hAnsi="Times New Roman" w:cs="Times New Roman"/>
          <w:b/>
          <w:u w:val="single"/>
        </w:rPr>
        <w:t>Annualized Cost to the Federal Government</w:t>
      </w:r>
    </w:p>
    <w:p w:rsidR="00B42DEC" w:rsidP="009E386A" w14:paraId="18DB122B" w14:textId="77777777">
      <w:pPr>
        <w:pStyle w:val="ListParagraph"/>
        <w:spacing w:before="100" w:beforeAutospacing="1" w:after="100" w:afterAutospacing="1"/>
        <w:ind w:left="180"/>
        <w:rPr>
          <w:rFonts w:ascii="Times New Roman" w:hAnsi="Times New Roman" w:cs="Times New Roman"/>
          <w:bCs/>
        </w:rPr>
      </w:pPr>
    </w:p>
    <w:p w:rsidR="00645FFC" w:rsidP="001B0ADA" w14:paraId="52F93849" w14:textId="20E40478">
      <w:pPr>
        <w:pStyle w:val="ListParagraph"/>
        <w:ind w:left="187"/>
        <w:rPr>
          <w:rFonts w:ascii="Times New Roman" w:hAnsi="Times New Roman" w:cs="Times New Roman"/>
          <w:bCs/>
        </w:rPr>
      </w:pPr>
      <w:r>
        <w:rPr>
          <w:rFonts w:ascii="Times New Roman" w:hAnsi="Times New Roman" w:cs="Times New Roman"/>
          <w:bCs/>
        </w:rPr>
        <w:t xml:space="preserve">The total estimated cost to the Federal Government for this study is </w:t>
      </w:r>
      <w:r w:rsidR="00E818B6">
        <w:rPr>
          <w:rFonts w:ascii="Times New Roman" w:hAnsi="Times New Roman" w:cs="Times New Roman"/>
          <w:bCs/>
        </w:rPr>
        <w:t>$73,523</w:t>
      </w:r>
      <w:r w:rsidR="00A21813">
        <w:rPr>
          <w:rFonts w:ascii="Times New Roman" w:hAnsi="Times New Roman" w:cs="Times New Roman"/>
          <w:bCs/>
        </w:rPr>
        <w:t xml:space="preserve"> as shown in Table 3. </w:t>
      </w:r>
      <w:r w:rsidR="00C410C6">
        <w:rPr>
          <w:rFonts w:ascii="Times New Roman" w:hAnsi="Times New Roman" w:cs="Times New Roman"/>
          <w:bCs/>
        </w:rPr>
        <w:t xml:space="preserve">Contractor costs attributable to this information collection are </w:t>
      </w:r>
      <w:r w:rsidR="00E818B6">
        <w:rPr>
          <w:rFonts w:ascii="Times New Roman" w:hAnsi="Times New Roman" w:cs="Times New Roman"/>
          <w:bCs/>
        </w:rPr>
        <w:t>$42,545</w:t>
      </w:r>
      <w:r w:rsidR="00C410C6">
        <w:rPr>
          <w:rFonts w:ascii="Times New Roman" w:hAnsi="Times New Roman" w:cs="Times New Roman"/>
          <w:bCs/>
        </w:rPr>
        <w:t xml:space="preserve">. </w:t>
      </w:r>
      <w:r w:rsidRPr="00DA041A" w:rsidR="00DA041A">
        <w:rPr>
          <w:rFonts w:ascii="Times New Roman" w:hAnsi="Times New Roman" w:cs="Times New Roman"/>
          <w:bCs/>
        </w:rPr>
        <w:t xml:space="preserve">This includes costs to program the survey, </w:t>
      </w:r>
      <w:r w:rsidR="00E0068D">
        <w:rPr>
          <w:rFonts w:ascii="Times New Roman" w:hAnsi="Times New Roman" w:cs="Times New Roman"/>
          <w:bCs/>
        </w:rPr>
        <w:t>recruit</w:t>
      </w:r>
      <w:r w:rsidRPr="00DA041A" w:rsidR="00DA041A">
        <w:rPr>
          <w:rFonts w:ascii="Times New Roman" w:hAnsi="Times New Roman" w:cs="Times New Roman"/>
          <w:bCs/>
        </w:rPr>
        <w:t xml:space="preserve"> the sample, and collect the data. Other contractor activities outside this data collection estimate include coordination with FDA to develop the instrument and deliver the final data set and reporting deliverables.</w:t>
      </w:r>
    </w:p>
    <w:p w:rsidR="001B0ADA" w:rsidRPr="006B1D8F" w:rsidP="009660BD" w14:paraId="4F8EA41E" w14:textId="77777777">
      <w:pPr>
        <w:pStyle w:val="ListParagraph"/>
        <w:ind w:left="187"/>
        <w:rPr>
          <w:rFonts w:ascii="Times New Roman" w:hAnsi="Times New Roman" w:cs="Times New Roman"/>
          <w:bCs/>
        </w:rPr>
      </w:pPr>
    </w:p>
    <w:p w:rsidR="00BE1FCB" w:rsidRPr="006B1D8F" w:rsidP="009660BD" w14:paraId="56A6E28C" w14:textId="77777777">
      <w:pPr>
        <w:pStyle w:val="FigureTitle"/>
        <w:spacing w:before="0" w:after="0"/>
        <w:ind w:left="187"/>
      </w:pPr>
      <w:r w:rsidRPr="006B1D8F">
        <w:t>Table 3. Itemized Cost to the Federal Government</w:t>
      </w:r>
    </w:p>
    <w:tbl>
      <w:tblPr>
        <w:tblW w:w="5000" w:type="pct"/>
        <w:tblCellMar>
          <w:left w:w="0" w:type="dxa"/>
          <w:right w:w="0" w:type="dxa"/>
        </w:tblCellMar>
        <w:tblLook w:val="04A0"/>
      </w:tblPr>
      <w:tblGrid>
        <w:gridCol w:w="2554"/>
        <w:gridCol w:w="2158"/>
        <w:gridCol w:w="2911"/>
        <w:gridCol w:w="1737"/>
      </w:tblGrid>
      <w:tr w14:paraId="0AD30C32" w14:textId="77777777" w:rsidTr="000F4B45">
        <w:tblPrEx>
          <w:tblW w:w="5000" w:type="pct"/>
          <w:tblCellMar>
            <w:left w:w="0" w:type="dxa"/>
            <w:right w:w="0" w:type="dxa"/>
          </w:tblCellMar>
          <w:tblLook w:val="04A0"/>
        </w:tblPrEx>
        <w:trPr>
          <w:trHeight w:val="107"/>
        </w:trPr>
        <w:tc>
          <w:tcPr>
            <w:tcW w:w="1364"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BE1FCB" w:rsidRPr="006B1D8F" w:rsidP="000F4B45" w14:paraId="5B4E01A7" w14:textId="77777777">
            <w:pPr>
              <w:pStyle w:val="FigureTitle"/>
              <w:spacing w:before="0" w:after="0"/>
              <w:jc w:val="center"/>
            </w:pPr>
            <w:r w:rsidRPr="006B1D8F">
              <w:rPr>
                <w:sz w:val="22"/>
                <w:szCs w:val="22"/>
              </w:rPr>
              <w:t>Government Personnel</w:t>
            </w:r>
          </w:p>
        </w:tc>
        <w:tc>
          <w:tcPr>
            <w:tcW w:w="1153"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BE1FCB" w:rsidRPr="006B1D8F" w:rsidP="000F4B45" w14:paraId="5AA259FA" w14:textId="77777777">
            <w:pPr>
              <w:pStyle w:val="FigureTitle"/>
              <w:spacing w:before="0" w:after="0"/>
              <w:jc w:val="center"/>
            </w:pPr>
            <w:r w:rsidRPr="006B1D8F">
              <w:rPr>
                <w:sz w:val="22"/>
                <w:szCs w:val="22"/>
              </w:rPr>
              <w:t>Time Commitment</w:t>
            </w:r>
          </w:p>
        </w:tc>
        <w:tc>
          <w:tcPr>
            <w:tcW w:w="1555"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BE1FCB" w:rsidRPr="006B1D8F" w:rsidP="000F4B45" w14:paraId="2162C4C2" w14:textId="77777777">
            <w:pPr>
              <w:pStyle w:val="FigureTitle"/>
              <w:spacing w:before="0" w:after="0"/>
              <w:jc w:val="center"/>
            </w:pPr>
            <w:r w:rsidRPr="006B1D8F">
              <w:rPr>
                <w:sz w:val="22"/>
                <w:szCs w:val="22"/>
              </w:rPr>
              <w:t>Average Annual Salary</w:t>
            </w:r>
          </w:p>
        </w:tc>
        <w:tc>
          <w:tcPr>
            <w:tcW w:w="928" w:type="pct"/>
            <w:tcBorders>
              <w:top w:val="single" w:sz="12" w:space="0" w:color="auto"/>
              <w:left w:val="nil"/>
              <w:bottom w:val="single" w:sz="8" w:space="0" w:color="auto"/>
              <w:right w:val="nil"/>
            </w:tcBorders>
            <w:tcMar>
              <w:top w:w="0" w:type="dxa"/>
              <w:left w:w="108" w:type="dxa"/>
              <w:bottom w:w="0" w:type="dxa"/>
              <w:right w:w="108" w:type="dxa"/>
            </w:tcMar>
            <w:vAlign w:val="center"/>
            <w:hideMark/>
          </w:tcPr>
          <w:p w:rsidR="00BE1FCB" w:rsidRPr="006B1D8F" w:rsidP="000F4B45" w14:paraId="65230065" w14:textId="77777777">
            <w:pPr>
              <w:pStyle w:val="FigureTitle"/>
              <w:spacing w:before="0" w:after="0"/>
              <w:jc w:val="center"/>
            </w:pPr>
            <w:r w:rsidRPr="006B1D8F">
              <w:rPr>
                <w:sz w:val="22"/>
                <w:szCs w:val="22"/>
              </w:rPr>
              <w:t>Total</w:t>
            </w:r>
            <w:r w:rsidRPr="006B1D8F">
              <w:rPr>
                <w:sz w:val="22"/>
                <w:szCs w:val="22"/>
                <w:vertAlign w:val="superscript"/>
              </w:rPr>
              <w:t>1</w:t>
            </w:r>
          </w:p>
        </w:tc>
      </w:tr>
      <w:tr w14:paraId="1C103E5C" w14:textId="77777777" w:rsidTr="000F4B45">
        <w:tblPrEx>
          <w:tblW w:w="5000" w:type="pct"/>
          <w:tblCellMar>
            <w:left w:w="0" w:type="dxa"/>
            <w:right w:w="0" w:type="dxa"/>
          </w:tblCellMar>
          <w:tblLook w:val="04A0"/>
        </w:tblPrEx>
        <w:trPr>
          <w:trHeight w:val="368"/>
        </w:trPr>
        <w:tc>
          <w:tcPr>
            <w:tcW w:w="1364"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0F4B45" w14:paraId="5D87840C" w14:textId="3B37C1E0">
            <w:pPr>
              <w:pStyle w:val="FigureTitle"/>
              <w:spacing w:before="0" w:after="0"/>
              <w:rPr>
                <w:b w:val="0"/>
                <w:sz w:val="22"/>
                <w:szCs w:val="22"/>
              </w:rPr>
            </w:pPr>
            <w:r w:rsidRPr="009660BD">
              <w:rPr>
                <w:b w:val="0"/>
                <w:sz w:val="22"/>
                <w:szCs w:val="22"/>
              </w:rPr>
              <w:t>GS</w:t>
            </w:r>
            <w:r w:rsidRPr="009660BD" w:rsidR="000172BC">
              <w:rPr>
                <w:b w:val="0"/>
                <w:sz w:val="22"/>
                <w:szCs w:val="22"/>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0F4B45" w14:paraId="32E1AECE" w14:textId="47F7AC4D">
            <w:pPr>
              <w:pStyle w:val="FigureTitle"/>
              <w:spacing w:before="0" w:after="0"/>
              <w:jc w:val="center"/>
              <w:rPr>
                <w:b w:val="0"/>
                <w:sz w:val="22"/>
                <w:szCs w:val="22"/>
              </w:rPr>
            </w:pPr>
            <w:r w:rsidRPr="009660BD">
              <w:rPr>
                <w:b w:val="0"/>
                <w:sz w:val="22"/>
                <w:szCs w:val="22"/>
              </w:rPr>
              <w:t>15</w:t>
            </w:r>
            <w:r w:rsidRPr="009660BD" w:rsidR="00BD3130">
              <w:rPr>
                <w:b w:val="0"/>
                <w:sz w:val="22"/>
                <w:szCs w:val="22"/>
              </w:rPr>
              <w:t>%</w:t>
            </w:r>
          </w:p>
        </w:tc>
        <w:tc>
          <w:tcPr>
            <w:tcW w:w="1555"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0F4B45" w14:paraId="16FBE4A3" w14:textId="14178F65">
            <w:pPr>
              <w:pStyle w:val="FigureTitle"/>
              <w:spacing w:before="0" w:after="0"/>
              <w:jc w:val="center"/>
              <w:rPr>
                <w:b w:val="0"/>
                <w:sz w:val="22"/>
                <w:szCs w:val="22"/>
              </w:rPr>
            </w:pPr>
            <w:r w:rsidRPr="009660BD">
              <w:rPr>
                <w:b w:val="0"/>
                <w:sz w:val="22"/>
                <w:szCs w:val="22"/>
              </w:rPr>
              <w:t>$</w:t>
            </w:r>
            <w:r w:rsidRPr="009660BD" w:rsidR="00FC672C">
              <w:rPr>
                <w:b w:val="0"/>
                <w:sz w:val="22"/>
                <w:szCs w:val="22"/>
              </w:rPr>
              <w:t>135,308</w:t>
            </w:r>
          </w:p>
        </w:tc>
        <w:tc>
          <w:tcPr>
            <w:tcW w:w="928" w:type="pct"/>
            <w:tcBorders>
              <w:top w:val="nil"/>
              <w:left w:val="nil"/>
              <w:bottom w:val="single" w:sz="8" w:space="0" w:color="auto"/>
              <w:right w:val="nil"/>
            </w:tcBorders>
            <w:tcMar>
              <w:top w:w="0" w:type="dxa"/>
              <w:left w:w="108" w:type="dxa"/>
              <w:bottom w:w="0" w:type="dxa"/>
              <w:right w:w="108" w:type="dxa"/>
            </w:tcMar>
            <w:vAlign w:val="center"/>
          </w:tcPr>
          <w:p w:rsidR="0021111A" w:rsidRPr="009660BD" w:rsidP="000F4B45" w14:paraId="587F05D9" w14:textId="3483F20B">
            <w:pPr>
              <w:pStyle w:val="FigureTitle"/>
              <w:spacing w:before="0" w:after="0"/>
              <w:jc w:val="center"/>
              <w:rPr>
                <w:b w:val="0"/>
                <w:sz w:val="22"/>
                <w:szCs w:val="22"/>
              </w:rPr>
            </w:pPr>
            <w:r w:rsidRPr="009660BD">
              <w:rPr>
                <w:b w:val="0"/>
                <w:sz w:val="22"/>
                <w:szCs w:val="22"/>
              </w:rPr>
              <w:t>$</w:t>
            </w:r>
            <w:r w:rsidRPr="009660BD" w:rsidR="00EA0ACE">
              <w:rPr>
                <w:b w:val="0"/>
                <w:sz w:val="22"/>
                <w:szCs w:val="22"/>
              </w:rPr>
              <w:t>20,296</w:t>
            </w:r>
          </w:p>
        </w:tc>
      </w:tr>
      <w:tr w14:paraId="3C8DA0E7" w14:textId="77777777" w:rsidTr="000F4B45">
        <w:tblPrEx>
          <w:tblW w:w="5000" w:type="pct"/>
          <w:tblCellMar>
            <w:left w:w="0" w:type="dxa"/>
            <w:right w:w="0" w:type="dxa"/>
          </w:tblCellMar>
          <w:tblLook w:val="04A0"/>
        </w:tblPrEx>
        <w:tc>
          <w:tcPr>
            <w:tcW w:w="1364"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363511CF" w14:textId="3AE47301">
            <w:pPr>
              <w:pStyle w:val="FigureTitle"/>
              <w:spacing w:before="0" w:after="60"/>
              <w:rPr>
                <w:b w:val="0"/>
                <w:sz w:val="22"/>
                <w:szCs w:val="22"/>
              </w:rPr>
            </w:pPr>
            <w:r w:rsidRPr="009660BD">
              <w:rPr>
                <w:b w:val="0"/>
                <w:sz w:val="22"/>
                <w:szCs w:val="22"/>
              </w:rPr>
              <w:t>GS-13</w:t>
            </w:r>
          </w:p>
        </w:tc>
        <w:tc>
          <w:tcPr>
            <w:tcW w:w="1153"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2CF9097E" w14:textId="42E6AC51">
            <w:pPr>
              <w:pStyle w:val="FigureTitle"/>
              <w:spacing w:before="0" w:after="60"/>
              <w:jc w:val="center"/>
              <w:rPr>
                <w:b w:val="0"/>
                <w:sz w:val="22"/>
                <w:szCs w:val="22"/>
              </w:rPr>
            </w:pPr>
            <w:r w:rsidRPr="009660BD">
              <w:rPr>
                <w:b w:val="0"/>
                <w:sz w:val="22"/>
                <w:szCs w:val="22"/>
              </w:rPr>
              <w:t>1</w:t>
            </w:r>
            <w:r w:rsidRPr="009660BD" w:rsidR="007846F9">
              <w:rPr>
                <w:b w:val="0"/>
                <w:sz w:val="22"/>
                <w:szCs w:val="22"/>
              </w:rPr>
              <w:t>0%</w:t>
            </w:r>
          </w:p>
        </w:tc>
        <w:tc>
          <w:tcPr>
            <w:tcW w:w="1555"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68EDF1B3" w14:textId="39D24192">
            <w:pPr>
              <w:pStyle w:val="FigureTitle"/>
              <w:spacing w:before="0" w:after="60"/>
              <w:jc w:val="center"/>
              <w:rPr>
                <w:b w:val="0"/>
                <w:sz w:val="22"/>
                <w:szCs w:val="22"/>
              </w:rPr>
            </w:pPr>
            <w:r w:rsidRPr="009660BD">
              <w:rPr>
                <w:b w:val="0"/>
                <w:sz w:val="22"/>
                <w:szCs w:val="22"/>
              </w:rPr>
              <w:t>$</w:t>
            </w:r>
            <w:r w:rsidRPr="009660BD" w:rsidR="008F50B6">
              <w:rPr>
                <w:b w:val="0"/>
                <w:sz w:val="22"/>
                <w:szCs w:val="22"/>
              </w:rPr>
              <w:t>106,823</w:t>
            </w:r>
          </w:p>
        </w:tc>
        <w:tc>
          <w:tcPr>
            <w:tcW w:w="928" w:type="pct"/>
            <w:tcBorders>
              <w:top w:val="nil"/>
              <w:left w:val="nil"/>
              <w:bottom w:val="single" w:sz="8" w:space="0" w:color="auto"/>
              <w:right w:val="nil"/>
            </w:tcBorders>
            <w:tcMar>
              <w:top w:w="0" w:type="dxa"/>
              <w:left w:w="108" w:type="dxa"/>
              <w:bottom w:w="0" w:type="dxa"/>
              <w:right w:w="108" w:type="dxa"/>
            </w:tcMar>
            <w:vAlign w:val="center"/>
          </w:tcPr>
          <w:p w:rsidR="0021111A" w:rsidRPr="009660BD" w:rsidP="000F4B45" w14:paraId="0B5E5272" w14:textId="2CE2AC0F">
            <w:pPr>
              <w:pStyle w:val="FigureTitle"/>
              <w:spacing w:before="0" w:after="60"/>
              <w:jc w:val="center"/>
              <w:rPr>
                <w:b w:val="0"/>
                <w:sz w:val="22"/>
                <w:szCs w:val="22"/>
              </w:rPr>
            </w:pPr>
            <w:r w:rsidRPr="009660BD">
              <w:rPr>
                <w:b w:val="0"/>
                <w:sz w:val="22"/>
                <w:szCs w:val="22"/>
              </w:rPr>
              <w:t>$</w:t>
            </w:r>
            <w:r w:rsidRPr="009660BD" w:rsidR="00EA0ACE">
              <w:rPr>
                <w:b w:val="0"/>
                <w:sz w:val="22"/>
                <w:szCs w:val="22"/>
              </w:rPr>
              <w:t>10,682</w:t>
            </w:r>
          </w:p>
        </w:tc>
      </w:tr>
      <w:tr w14:paraId="01FA2176" w14:textId="77777777" w:rsidTr="000F4B45">
        <w:tblPrEx>
          <w:tblW w:w="5000" w:type="pct"/>
          <w:tblCellMar>
            <w:left w:w="0" w:type="dxa"/>
            <w:right w:w="0" w:type="dxa"/>
          </w:tblCellMar>
          <w:tblLook w:val="04A0"/>
        </w:tblPrEx>
        <w:trPr>
          <w:trHeight w:val="260"/>
        </w:trPr>
        <w:tc>
          <w:tcPr>
            <w:tcW w:w="1364"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20628E51" w14:textId="6AE01609">
            <w:pPr>
              <w:pStyle w:val="FigureTitle"/>
              <w:spacing w:before="0" w:after="60"/>
              <w:rPr>
                <w:b w:val="0"/>
                <w:sz w:val="22"/>
                <w:szCs w:val="22"/>
              </w:rPr>
            </w:pPr>
            <w:r w:rsidRPr="009660BD">
              <w:rPr>
                <w:b w:val="0"/>
                <w:sz w:val="22"/>
                <w:szCs w:val="22"/>
              </w:rPr>
              <w:t xml:space="preserve">Total salary costs </w:t>
            </w:r>
          </w:p>
        </w:tc>
        <w:tc>
          <w:tcPr>
            <w:tcW w:w="1153"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7FFA8F71" w14:textId="7EE85BF8">
            <w:pPr>
              <w:pStyle w:val="FigureTitle"/>
              <w:spacing w:before="0" w:after="60"/>
              <w:jc w:val="center"/>
              <w:rPr>
                <w:b w:val="0"/>
                <w:sz w:val="22"/>
                <w:szCs w:val="22"/>
              </w:rPr>
            </w:pPr>
          </w:p>
        </w:tc>
        <w:tc>
          <w:tcPr>
            <w:tcW w:w="1555"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0F4B45" w14:paraId="4A5DCFF8" w14:textId="331D2AE9">
            <w:pPr>
              <w:pStyle w:val="FigureTitle"/>
              <w:spacing w:before="0" w:after="60"/>
              <w:jc w:val="center"/>
              <w:rPr>
                <w:b w:val="0"/>
                <w:sz w:val="22"/>
                <w:szCs w:val="22"/>
              </w:rPr>
            </w:pPr>
          </w:p>
        </w:tc>
        <w:tc>
          <w:tcPr>
            <w:tcW w:w="928" w:type="pct"/>
            <w:tcBorders>
              <w:top w:val="nil"/>
              <w:left w:val="nil"/>
              <w:bottom w:val="single" w:sz="8" w:space="0" w:color="auto"/>
              <w:right w:val="nil"/>
            </w:tcBorders>
            <w:tcMar>
              <w:top w:w="0" w:type="dxa"/>
              <w:left w:w="108" w:type="dxa"/>
              <w:bottom w:w="0" w:type="dxa"/>
              <w:right w:w="108" w:type="dxa"/>
            </w:tcMar>
            <w:vAlign w:val="center"/>
          </w:tcPr>
          <w:p w:rsidR="0021111A" w:rsidRPr="009660BD" w:rsidP="00771148" w14:paraId="0C0048EB" w14:textId="6D6796EA">
            <w:pPr>
              <w:pStyle w:val="FigureTitle"/>
              <w:spacing w:before="0" w:after="60"/>
              <w:jc w:val="center"/>
              <w:rPr>
                <w:b w:val="0"/>
                <w:sz w:val="22"/>
                <w:szCs w:val="22"/>
              </w:rPr>
            </w:pPr>
            <w:r w:rsidRPr="009660BD">
              <w:rPr>
                <w:b w:val="0"/>
                <w:sz w:val="22"/>
                <w:szCs w:val="22"/>
              </w:rPr>
              <w:t>$</w:t>
            </w:r>
            <w:r w:rsidRPr="009660BD" w:rsidR="0004618F">
              <w:rPr>
                <w:b w:val="0"/>
                <w:sz w:val="22"/>
                <w:szCs w:val="22"/>
              </w:rPr>
              <w:t>30,978</w:t>
            </w:r>
          </w:p>
        </w:tc>
      </w:tr>
      <w:tr w14:paraId="12D12122" w14:textId="77777777" w:rsidTr="000F4B45">
        <w:tblPrEx>
          <w:tblW w:w="5000" w:type="pct"/>
          <w:tblCellMar>
            <w:left w:w="0" w:type="dxa"/>
            <w:right w:w="0" w:type="dxa"/>
          </w:tblCellMar>
          <w:tblLook w:val="04A0"/>
        </w:tblPrEx>
        <w:trPr>
          <w:trHeight w:val="260"/>
        </w:trPr>
        <w:tc>
          <w:tcPr>
            <w:tcW w:w="1364"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73E26748" w14:textId="0551534E">
            <w:pPr>
              <w:pStyle w:val="FigureTitle"/>
              <w:spacing w:before="0" w:after="60"/>
              <w:rPr>
                <w:b w:val="0"/>
                <w:sz w:val="22"/>
                <w:szCs w:val="22"/>
              </w:rPr>
            </w:pPr>
            <w:r w:rsidRPr="009660BD">
              <w:rPr>
                <w:b w:val="0"/>
                <w:sz w:val="22"/>
                <w:szCs w:val="22"/>
              </w:rPr>
              <w:t>Contractor costs</w:t>
            </w:r>
          </w:p>
        </w:tc>
        <w:tc>
          <w:tcPr>
            <w:tcW w:w="1153"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771148" w14:paraId="4FA136EF" w14:textId="77777777">
            <w:pPr>
              <w:pStyle w:val="FigureTitle"/>
              <w:spacing w:before="0" w:after="60"/>
              <w:jc w:val="center"/>
              <w:rPr>
                <w:b w:val="0"/>
                <w:sz w:val="22"/>
                <w:szCs w:val="22"/>
              </w:rPr>
            </w:pPr>
          </w:p>
        </w:tc>
        <w:tc>
          <w:tcPr>
            <w:tcW w:w="1555" w:type="pct"/>
            <w:tcBorders>
              <w:top w:val="nil"/>
              <w:left w:val="nil"/>
              <w:bottom w:val="single" w:sz="8" w:space="0" w:color="auto"/>
              <w:right w:val="single" w:sz="8" w:space="0" w:color="auto"/>
            </w:tcBorders>
            <w:tcMar>
              <w:top w:w="0" w:type="dxa"/>
              <w:left w:w="108" w:type="dxa"/>
              <w:bottom w:w="0" w:type="dxa"/>
              <w:right w:w="108" w:type="dxa"/>
            </w:tcMar>
            <w:vAlign w:val="center"/>
          </w:tcPr>
          <w:p w:rsidR="0021111A" w:rsidRPr="009660BD" w:rsidP="000F4B45" w14:paraId="76C55074" w14:textId="11FB1A6A">
            <w:pPr>
              <w:pStyle w:val="FigureTitle"/>
              <w:spacing w:before="0" w:after="60"/>
              <w:jc w:val="center"/>
              <w:rPr>
                <w:sz w:val="22"/>
                <w:szCs w:val="22"/>
              </w:rPr>
            </w:pPr>
          </w:p>
        </w:tc>
        <w:tc>
          <w:tcPr>
            <w:tcW w:w="928" w:type="pct"/>
            <w:tcBorders>
              <w:top w:val="nil"/>
              <w:left w:val="nil"/>
              <w:bottom w:val="single" w:sz="8" w:space="0" w:color="auto"/>
              <w:right w:val="nil"/>
            </w:tcBorders>
            <w:tcMar>
              <w:top w:w="0" w:type="dxa"/>
              <w:left w:w="108" w:type="dxa"/>
              <w:bottom w:w="0" w:type="dxa"/>
              <w:right w:w="108" w:type="dxa"/>
            </w:tcMar>
            <w:vAlign w:val="center"/>
          </w:tcPr>
          <w:p w:rsidR="0021111A" w:rsidRPr="009660BD" w:rsidP="00771148" w14:paraId="0AAC65FC" w14:textId="3C4B9998">
            <w:pPr>
              <w:pStyle w:val="FigureTitle"/>
              <w:spacing w:before="0" w:after="60"/>
              <w:jc w:val="center"/>
              <w:rPr>
                <w:b w:val="0"/>
                <w:sz w:val="22"/>
                <w:szCs w:val="22"/>
              </w:rPr>
            </w:pPr>
            <w:r>
              <w:rPr>
                <w:b w:val="0"/>
                <w:sz w:val="22"/>
                <w:szCs w:val="22"/>
              </w:rPr>
              <w:t>$42,545</w:t>
            </w:r>
          </w:p>
        </w:tc>
      </w:tr>
      <w:tr w14:paraId="310CE124" w14:textId="77777777" w:rsidTr="000F4B45">
        <w:tblPrEx>
          <w:tblW w:w="5000" w:type="pct"/>
          <w:tblCellMar>
            <w:left w:w="0" w:type="dxa"/>
            <w:right w:w="0" w:type="dxa"/>
          </w:tblCellMar>
          <w:tblLook w:val="04A0"/>
        </w:tblPrEx>
        <w:trPr>
          <w:trHeight w:val="458"/>
        </w:trPr>
        <w:tc>
          <w:tcPr>
            <w:tcW w:w="4072" w:type="pct"/>
            <w:gridSpan w:val="3"/>
            <w:tcBorders>
              <w:top w:val="nil"/>
              <w:left w:val="nil"/>
              <w:bottom w:val="single" w:sz="12" w:space="0" w:color="auto"/>
              <w:right w:val="single" w:sz="8" w:space="0" w:color="auto"/>
            </w:tcBorders>
            <w:tcMar>
              <w:top w:w="0" w:type="dxa"/>
              <w:left w:w="108" w:type="dxa"/>
              <w:bottom w:w="0" w:type="dxa"/>
              <w:right w:w="108" w:type="dxa"/>
            </w:tcMar>
            <w:vAlign w:val="center"/>
          </w:tcPr>
          <w:p w:rsidR="00BE1FCB" w:rsidRPr="009660BD" w:rsidP="00771148" w14:paraId="7BF0CBBF" w14:textId="05F2C7AE">
            <w:pPr>
              <w:pStyle w:val="FigureTitle"/>
              <w:spacing w:before="0" w:after="60"/>
              <w:rPr>
                <w:sz w:val="22"/>
                <w:szCs w:val="22"/>
              </w:rPr>
            </w:pPr>
            <w:r w:rsidRPr="009660BD">
              <w:rPr>
                <w:sz w:val="22"/>
                <w:szCs w:val="22"/>
              </w:rPr>
              <w:t>Total</w:t>
            </w:r>
          </w:p>
        </w:tc>
        <w:tc>
          <w:tcPr>
            <w:tcW w:w="928" w:type="pct"/>
            <w:tcBorders>
              <w:top w:val="nil"/>
              <w:left w:val="nil"/>
              <w:bottom w:val="single" w:sz="12" w:space="0" w:color="auto"/>
              <w:right w:val="nil"/>
            </w:tcBorders>
            <w:tcMar>
              <w:top w:w="0" w:type="dxa"/>
              <w:left w:w="108" w:type="dxa"/>
              <w:bottom w:w="0" w:type="dxa"/>
              <w:right w:w="108" w:type="dxa"/>
            </w:tcMar>
            <w:vAlign w:val="center"/>
          </w:tcPr>
          <w:p w:rsidR="00BE1FCB" w:rsidRPr="009660BD" w:rsidP="00771148" w14:paraId="5FC559A4" w14:textId="6B1D5EF1">
            <w:pPr>
              <w:pStyle w:val="FigureTitle"/>
              <w:spacing w:before="0" w:after="60"/>
              <w:jc w:val="center"/>
              <w:rPr>
                <w:b w:val="0"/>
                <w:sz w:val="22"/>
                <w:szCs w:val="22"/>
              </w:rPr>
            </w:pPr>
            <w:r w:rsidRPr="00610532">
              <w:rPr>
                <w:sz w:val="22"/>
                <w:szCs w:val="22"/>
              </w:rPr>
              <w:t>$</w:t>
            </w:r>
            <w:r w:rsidRPr="73D96362">
              <w:rPr>
                <w:sz w:val="22"/>
                <w:szCs w:val="22"/>
              </w:rPr>
              <w:t>73,523</w:t>
            </w:r>
          </w:p>
        </w:tc>
      </w:tr>
    </w:tbl>
    <w:p w:rsidR="00BE1FCB" w:rsidRPr="006B1D8F" w:rsidP="009660BD" w14:paraId="76710257" w14:textId="215C1B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color w:val="000000"/>
          <w:sz w:val="16"/>
          <w:szCs w:val="24"/>
        </w:rPr>
      </w:pPr>
      <w:r w:rsidRPr="006B1D8F">
        <w:rPr>
          <w:rFonts w:ascii="Times New Roman" w:eastAsia="Times New Roman" w:hAnsi="Times New Roman" w:cs="Times New Roman"/>
          <w:color w:val="000000"/>
          <w:sz w:val="16"/>
          <w:szCs w:val="24"/>
          <w:vertAlign w:val="superscript"/>
        </w:rPr>
        <w:t xml:space="preserve"> 1</w:t>
      </w:r>
      <w:r w:rsidRPr="006B1D8F">
        <w:rPr>
          <w:rFonts w:ascii="Times New Roman" w:eastAsia="Times New Roman" w:hAnsi="Times New Roman" w:cs="Times New Roman"/>
          <w:sz w:val="12"/>
          <w:szCs w:val="20"/>
        </w:rPr>
        <w:t xml:space="preserve"> </w:t>
      </w:r>
      <w:r w:rsidRPr="006B1D8F">
        <w:rPr>
          <w:rFonts w:ascii="Times New Roman" w:eastAsia="Times New Roman" w:hAnsi="Times New Roman" w:cs="Times New Roman"/>
          <w:color w:val="000000"/>
          <w:sz w:val="16"/>
          <w:szCs w:val="24"/>
        </w:rPr>
        <w:t>Cost was rounded up to the next dollar.</w:t>
      </w:r>
    </w:p>
    <w:p w:rsidR="00BE1FCB" w:rsidRPr="006B1D8F" w:rsidP="009660BD"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rPr>
      </w:pPr>
    </w:p>
    <w:p w:rsidR="00BE1FCB" w:rsidRPr="006B1D8F" w:rsidP="009660BD" w14:paraId="38DBB406" w14:textId="7168C5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u w:val="single"/>
        </w:rPr>
      </w:pPr>
      <w:bookmarkStart w:id="20" w:name="_Toc239649236"/>
      <w:bookmarkEnd w:id="19"/>
      <w:r w:rsidRPr="006B1D8F">
        <w:rPr>
          <w:rFonts w:ascii="Times New Roman" w:eastAsia="Times New Roman" w:hAnsi="Times New Roman" w:cs="Times New Roman"/>
          <w:b/>
          <w:bCs/>
          <w:szCs w:val="24"/>
        </w:rPr>
        <w:t>1</w:t>
      </w:r>
      <w:r w:rsidRPr="006B1D8F" w:rsidR="00CF281F">
        <w:rPr>
          <w:rFonts w:ascii="Times New Roman" w:eastAsia="Times New Roman" w:hAnsi="Times New Roman" w:cs="Times New Roman"/>
          <w:b/>
          <w:bCs/>
          <w:szCs w:val="24"/>
        </w:rPr>
        <w:t>5</w:t>
      </w:r>
      <w:r w:rsidRPr="006B1D8F">
        <w:rPr>
          <w:rFonts w:ascii="Times New Roman" w:eastAsia="Times New Roman" w:hAnsi="Times New Roman" w:cs="Times New Roman"/>
          <w:b/>
          <w:bCs/>
          <w:szCs w:val="24"/>
        </w:rPr>
        <w:t>.</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Explanation for Program Changes or Adjustments</w:t>
      </w:r>
      <w:bookmarkEnd w:id="20"/>
    </w:p>
    <w:p w:rsidR="00BE1FCB" w:rsidRPr="006B1D8F" w:rsidP="009660BD"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9660BD" w14:paraId="1C165AD4" w14:textId="60DBD5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r>
        <w:rPr>
          <w:rFonts w:ascii="Times New Roman" w:eastAsia="Times New Roman" w:hAnsi="Times New Roman" w:cs="Times New Roman"/>
          <w:szCs w:val="24"/>
        </w:rPr>
        <w:t>This section in not applicable as t</w:t>
      </w:r>
      <w:r w:rsidRPr="006B1D8F">
        <w:rPr>
          <w:rFonts w:ascii="Times New Roman" w:eastAsia="Times New Roman" w:hAnsi="Times New Roman" w:cs="Times New Roman"/>
          <w:szCs w:val="24"/>
        </w:rPr>
        <w:t xml:space="preserve">his is a new </w:t>
      </w:r>
      <w:r w:rsidR="00E74282">
        <w:rPr>
          <w:rFonts w:ascii="Times New Roman" w:eastAsia="Times New Roman" w:hAnsi="Times New Roman" w:cs="Times New Roman"/>
          <w:szCs w:val="24"/>
        </w:rPr>
        <w:t xml:space="preserve">study under the </w:t>
      </w:r>
      <w:r w:rsidRPr="006B1D8F">
        <w:rPr>
          <w:rFonts w:ascii="Times New Roman" w:eastAsia="Times New Roman" w:hAnsi="Times New Roman" w:cs="Times New Roman"/>
          <w:szCs w:val="24"/>
        </w:rPr>
        <w:t>generic data collection</w:t>
      </w:r>
      <w:r w:rsidR="00E74282">
        <w:rPr>
          <w:rFonts w:ascii="Times New Roman" w:eastAsia="Times New Roman" w:hAnsi="Times New Roman" w:cs="Times New Roman"/>
          <w:szCs w:val="24"/>
        </w:rPr>
        <w:t xml:space="preserve"> package.</w:t>
      </w:r>
    </w:p>
    <w:p w:rsidR="0017568B" w:rsidRPr="006B1D8F" w:rsidP="009660BD" w14:paraId="778D98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9660BD"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u w:val="single"/>
        </w:rPr>
      </w:pPr>
      <w:bookmarkStart w:id="21" w:name="_Toc239649237"/>
      <w:r w:rsidRPr="006B1D8F">
        <w:rPr>
          <w:rFonts w:ascii="Times New Roman" w:eastAsia="Times New Roman" w:hAnsi="Times New Roman" w:cs="Times New Roman"/>
          <w:b/>
          <w:bCs/>
          <w:szCs w:val="24"/>
        </w:rPr>
        <w:t>1</w:t>
      </w:r>
      <w:r w:rsidRPr="006B1D8F" w:rsidR="004B3D08">
        <w:rPr>
          <w:rFonts w:ascii="Times New Roman" w:eastAsia="Times New Roman" w:hAnsi="Times New Roman" w:cs="Times New Roman"/>
          <w:b/>
          <w:bCs/>
          <w:szCs w:val="24"/>
        </w:rPr>
        <w:t>6</w:t>
      </w:r>
      <w:r w:rsidRPr="006B1D8F">
        <w:rPr>
          <w:rFonts w:ascii="Times New Roman" w:eastAsia="Times New Roman" w:hAnsi="Times New Roman" w:cs="Times New Roman"/>
          <w:b/>
          <w:bCs/>
          <w:szCs w:val="24"/>
        </w:rPr>
        <w:t>.</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Plans for Reporting and Project Time Schedule</w:t>
      </w:r>
      <w:bookmarkEnd w:id="21"/>
    </w:p>
    <w:p w:rsidR="00BE1FCB" w:rsidRPr="006B1D8F" w:rsidP="009660BD"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9660BD" w14:paraId="344BDA12" w14:textId="6867CA8F">
      <w:pPr>
        <w:ind w:left="187"/>
        <w:rPr>
          <w:rFonts w:ascii="Times New Roman" w:eastAsia="Times New Roman" w:hAnsi="Times New Roman" w:cs="Times New Roman"/>
        </w:rPr>
      </w:pPr>
      <w:r w:rsidRPr="09A2EB1B">
        <w:rPr>
          <w:rFonts w:ascii="Times New Roman" w:eastAsia="Times New Roman" w:hAnsi="Times New Roman" w:cs="Times New Roman"/>
        </w:rPr>
        <w:t>Data from this information collection will be</w:t>
      </w:r>
      <w:r w:rsidRPr="09A2EB1B" w:rsidR="000A5D80">
        <w:rPr>
          <w:rFonts w:ascii="Times New Roman" w:eastAsia="Times New Roman" w:hAnsi="Times New Roman" w:cs="Times New Roman"/>
        </w:rPr>
        <w:t xml:space="preserve"> used to enable </w:t>
      </w:r>
      <w:r w:rsidRPr="09A2EB1B" w:rsidR="00C864D9">
        <w:rPr>
          <w:rFonts w:ascii="Times New Roman" w:eastAsia="Times New Roman" w:hAnsi="Times New Roman" w:cs="Times New Roman"/>
        </w:rPr>
        <w:t xml:space="preserve">the </w:t>
      </w:r>
      <w:r w:rsidRPr="09A2EB1B" w:rsidR="000A5D80">
        <w:rPr>
          <w:rFonts w:ascii="Times New Roman" w:eastAsia="Times New Roman" w:hAnsi="Times New Roman" w:cs="Times New Roman"/>
        </w:rPr>
        <w:t xml:space="preserve">FDA to identify, monitor, assess, or investigate </w:t>
      </w:r>
      <w:r w:rsidRPr="09A2EB1B" w:rsidR="00213B44">
        <w:rPr>
          <w:rFonts w:ascii="Times New Roman" w:eastAsia="Times New Roman" w:hAnsi="Times New Roman" w:cs="Times New Roman"/>
        </w:rPr>
        <w:t>attitudes about hookah use</w:t>
      </w:r>
      <w:r w:rsidRPr="09A2EB1B" w:rsidR="000A5D80">
        <w:rPr>
          <w:rFonts w:ascii="Times New Roman" w:eastAsia="Times New Roman" w:hAnsi="Times New Roman" w:cs="Times New Roman"/>
        </w:rPr>
        <w:t xml:space="preserve">. This activity will allow the FDA to set priorities and raise situational awareness because </w:t>
      </w:r>
      <w:r w:rsidRPr="09A2EB1B" w:rsidR="006916EF">
        <w:rPr>
          <w:rFonts w:ascii="Times New Roman" w:eastAsia="Times New Roman" w:hAnsi="Times New Roman" w:cs="Times New Roman"/>
        </w:rPr>
        <w:t>hooka</w:t>
      </w:r>
      <w:r w:rsidRPr="09A2EB1B" w:rsidR="00310C64">
        <w:rPr>
          <w:rFonts w:ascii="Times New Roman" w:eastAsia="Times New Roman" w:hAnsi="Times New Roman" w:cs="Times New Roman"/>
        </w:rPr>
        <w:t>h</w:t>
      </w:r>
      <w:r w:rsidRPr="09A2EB1B" w:rsidR="006916EF">
        <w:rPr>
          <w:rFonts w:ascii="Times New Roman" w:eastAsia="Times New Roman" w:hAnsi="Times New Roman" w:cs="Times New Roman"/>
        </w:rPr>
        <w:t xml:space="preserve"> </w:t>
      </w:r>
      <w:r w:rsidRPr="09A2EB1B" w:rsidR="000A5D80">
        <w:rPr>
          <w:rFonts w:ascii="Times New Roman" w:eastAsia="Times New Roman" w:hAnsi="Times New Roman" w:cs="Times New Roman"/>
        </w:rPr>
        <w:t xml:space="preserve">and the use of other tobacco products are a threat to public health. These data will allow us to </w:t>
      </w:r>
      <w:r w:rsidRPr="09A2EB1B" w:rsidR="00266298">
        <w:rPr>
          <w:rFonts w:ascii="Times New Roman" w:eastAsia="Times New Roman" w:hAnsi="Times New Roman" w:cs="Times New Roman"/>
        </w:rPr>
        <w:t>identify hookah-related beliefs that may be effectively targeted by tobacco campaigns,</w:t>
      </w:r>
      <w:r w:rsidRPr="09A2EB1B" w:rsidR="000A5D80">
        <w:rPr>
          <w:rFonts w:ascii="Times New Roman" w:eastAsia="Times New Roman" w:hAnsi="Times New Roman" w:cs="Times New Roman"/>
        </w:rPr>
        <w:t xml:space="preserve"> so that the FDA can </w:t>
      </w:r>
      <w:r w:rsidRPr="09A2EB1B" w:rsidR="00A84A53">
        <w:rPr>
          <w:rFonts w:ascii="Times New Roman" w:eastAsia="Times New Roman" w:hAnsi="Times New Roman" w:cs="Times New Roman"/>
        </w:rPr>
        <w:t>test digital</w:t>
      </w:r>
      <w:r w:rsidRPr="09A2EB1B" w:rsidR="000A5D80">
        <w:rPr>
          <w:rFonts w:ascii="Times New Roman" w:eastAsia="Times New Roman" w:hAnsi="Times New Roman" w:cs="Times New Roman"/>
        </w:rPr>
        <w:t xml:space="preserve"> media campaign messages related to </w:t>
      </w:r>
      <w:r w:rsidRPr="09A2EB1B" w:rsidR="00A84A53">
        <w:rPr>
          <w:rFonts w:ascii="Times New Roman" w:eastAsia="Times New Roman" w:hAnsi="Times New Roman" w:cs="Times New Roman"/>
        </w:rPr>
        <w:t>hookah that resonate with</w:t>
      </w:r>
      <w:r w:rsidRPr="09A2EB1B" w:rsidR="00F964A0">
        <w:rPr>
          <w:rFonts w:ascii="Times New Roman" w:eastAsia="Times New Roman" w:hAnsi="Times New Roman" w:cs="Times New Roman"/>
        </w:rPr>
        <w:t xml:space="preserve"> </w:t>
      </w:r>
      <w:r w:rsidRPr="09A2EB1B" w:rsidR="000A5D80">
        <w:rPr>
          <w:rFonts w:ascii="Times New Roman" w:eastAsia="Times New Roman" w:hAnsi="Times New Roman" w:cs="Times New Roman"/>
        </w:rPr>
        <w:t>young adults ages 1</w:t>
      </w:r>
      <w:r w:rsidRPr="09A2EB1B" w:rsidR="00F67616">
        <w:rPr>
          <w:rFonts w:ascii="Times New Roman" w:eastAsia="Times New Roman" w:hAnsi="Times New Roman" w:cs="Times New Roman"/>
        </w:rPr>
        <w:t>8</w:t>
      </w:r>
      <w:r w:rsidRPr="09A2EB1B" w:rsidR="000A5D80">
        <w:rPr>
          <w:rFonts w:ascii="Times New Roman" w:eastAsia="Times New Roman" w:hAnsi="Times New Roman" w:cs="Times New Roman"/>
        </w:rPr>
        <w:t xml:space="preserve"> to 24 years old in the United States</w:t>
      </w:r>
      <w:r w:rsidRPr="09A2EB1B">
        <w:rPr>
          <w:rFonts w:ascii="Times New Roman" w:eastAsia="Times New Roman" w:hAnsi="Times New Roman" w:cs="Times New Roman"/>
        </w:rPr>
        <w:t>.</w:t>
      </w:r>
      <w:r w:rsidRPr="09A2EB1B">
        <w:rPr>
          <w:rFonts w:ascii="Times New Roman" w:eastAsia="Times New Roman" w:hAnsi="Times New Roman" w:cs="Times New Roman"/>
        </w:rPr>
        <w:t xml:space="preserve"> Findings from these analyses will be used to inform </w:t>
      </w:r>
      <w:r w:rsidRPr="09A2EB1B" w:rsidR="00F964A0">
        <w:rPr>
          <w:rFonts w:ascii="Times New Roman" w:eastAsia="Times New Roman" w:hAnsi="Times New Roman" w:cs="Times New Roman"/>
        </w:rPr>
        <w:t xml:space="preserve">future experiments to test the potential for digital advertising to influence tobacco-related beliefs. </w:t>
      </w:r>
    </w:p>
    <w:p w:rsidR="00BE1FCB" w:rsidRPr="006B1D8F" w:rsidP="00BE1FCB" w14:paraId="5CF9C33F" w14:textId="77777777">
      <w:pPr>
        <w:ind w:left="180"/>
        <w:rPr>
          <w:rFonts w:ascii="Times New Roman" w:eastAsia="Times New Roman" w:hAnsi="Times New Roman" w:cs="Times New Roman"/>
          <w:b/>
          <w:szCs w:val="20"/>
          <w:u w:val="single"/>
        </w:rPr>
      </w:pPr>
    </w:p>
    <w:p w:rsidR="00E02FFC" w14:paraId="02EDF386" w14:textId="77777777">
      <w:pPr>
        <w:spacing w:after="160" w:line="259"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br w:type="page"/>
      </w:r>
    </w:p>
    <w:p w:rsidR="00BE1FCB" w:rsidP="00BE1FCB" w14:paraId="74C43880" w14:textId="33EC14FD">
      <w:pPr>
        <w:ind w:left="180"/>
        <w:rPr>
          <w:rFonts w:ascii="Times New Roman" w:eastAsia="Times New Roman" w:hAnsi="Times New Roman" w:cs="Times New Roman"/>
          <w:szCs w:val="20"/>
          <w:u w:val="single"/>
        </w:rPr>
      </w:pPr>
      <w:r w:rsidRPr="006B1D8F">
        <w:rPr>
          <w:rFonts w:ascii="Times New Roman" w:eastAsia="Times New Roman" w:hAnsi="Times New Roman" w:cs="Times New Roman"/>
          <w:szCs w:val="20"/>
          <w:u w:val="single"/>
        </w:rPr>
        <w:t>Reporting</w:t>
      </w:r>
    </w:p>
    <w:p w:rsidR="00817809" w:rsidRPr="006B1D8F" w:rsidP="00BE1FCB" w14:paraId="5A8B18B1" w14:textId="77777777">
      <w:pPr>
        <w:ind w:left="180"/>
        <w:rPr>
          <w:rFonts w:ascii="Times New Roman" w:eastAsia="Times New Roman" w:hAnsi="Times New Roman" w:cs="Times New Roman"/>
          <w:szCs w:val="20"/>
          <w:u w:val="single"/>
        </w:rPr>
      </w:pPr>
    </w:p>
    <w:p w:rsidR="00BE1FCB" w:rsidRPr="00806E56" w:rsidP="00BE1FCB" w14:paraId="26B886EE" w14:textId="4E905CBE">
      <w:pPr>
        <w:ind w:left="180"/>
        <w:rPr>
          <w:rFonts w:ascii="Times New Roman" w:eastAsia="Times New Roman" w:hAnsi="Times New Roman" w:cs="Times New Roman"/>
          <w:szCs w:val="20"/>
        </w:rPr>
      </w:pPr>
      <w:r w:rsidRPr="00806E56">
        <w:rPr>
          <w:rFonts w:ascii="Times New Roman" w:eastAsia="Times New Roman" w:hAnsi="Times New Roman" w:cs="Times New Roman"/>
          <w:szCs w:val="20"/>
        </w:rPr>
        <w:t>At the end of the study, a draft report and a final report containing background information on the project objectives, scope</w:t>
      </w:r>
      <w:r w:rsidR="007221A4">
        <w:rPr>
          <w:rFonts w:ascii="Times New Roman" w:eastAsia="Times New Roman" w:hAnsi="Times New Roman" w:cs="Times New Roman"/>
          <w:szCs w:val="20"/>
        </w:rPr>
        <w:t>,</w:t>
      </w:r>
      <w:r w:rsidRPr="00806E56">
        <w:rPr>
          <w:rFonts w:ascii="Times New Roman" w:eastAsia="Times New Roman" w:hAnsi="Times New Roman" w:cs="Times New Roman"/>
          <w:szCs w:val="20"/>
        </w:rPr>
        <w:t xml:space="preserve"> methodology, key findings</w:t>
      </w:r>
      <w:r w:rsidR="00D55A92">
        <w:rPr>
          <w:rFonts w:ascii="Times New Roman" w:eastAsia="Times New Roman" w:hAnsi="Times New Roman" w:cs="Times New Roman"/>
          <w:szCs w:val="20"/>
        </w:rPr>
        <w:t>,</w:t>
      </w:r>
      <w:r w:rsidRPr="00806E56">
        <w:rPr>
          <w:rFonts w:ascii="Times New Roman" w:eastAsia="Times New Roman" w:hAnsi="Times New Roman" w:cs="Times New Roman"/>
          <w:szCs w:val="20"/>
        </w:rPr>
        <w:t xml:space="preserve"> and conclusions will be completed. The approximate dates for completing project tasks are listed in Table </w:t>
      </w:r>
      <w:r w:rsidRPr="00806E56" w:rsidR="00952539">
        <w:rPr>
          <w:rFonts w:ascii="Times New Roman" w:eastAsia="Times New Roman" w:hAnsi="Times New Roman" w:cs="Times New Roman"/>
          <w:szCs w:val="20"/>
        </w:rPr>
        <w:t>4</w:t>
      </w:r>
      <w:r w:rsidRPr="00806E56">
        <w:rPr>
          <w:rFonts w:ascii="Times New Roman" w:eastAsia="Times New Roman" w:hAnsi="Times New Roman" w:cs="Times New Roman"/>
          <w:szCs w:val="20"/>
        </w:rPr>
        <w:t>.</w:t>
      </w:r>
    </w:p>
    <w:p w:rsidR="00BE1FCB" w:rsidP="00BE1FCB" w14:paraId="101D18D4" w14:textId="77777777">
      <w:pPr>
        <w:ind w:left="180"/>
        <w:rPr>
          <w:rFonts w:ascii="Times New Roman" w:eastAsia="Times New Roman" w:hAnsi="Times New Roman" w:cs="Times New Roman"/>
          <w:szCs w:val="20"/>
        </w:rPr>
      </w:pPr>
    </w:p>
    <w:p w:rsidR="00E2437D" w:rsidRPr="00806E56" w:rsidP="00BE1FCB" w14:paraId="7CF15B22" w14:textId="77777777">
      <w:pPr>
        <w:ind w:left="180"/>
        <w:rPr>
          <w:rFonts w:ascii="Times New Roman" w:eastAsia="Times New Roman" w:hAnsi="Times New Roman" w:cs="Times New Roman"/>
          <w:szCs w:val="20"/>
        </w:rPr>
      </w:pPr>
    </w:p>
    <w:p w:rsidR="00BE1FCB" w:rsidRPr="00806E56" w:rsidP="00BE1FCB" w14:paraId="474E319D" w14:textId="41411533">
      <w:pPr>
        <w:keepNext/>
        <w:keepLines/>
        <w:ind w:left="180"/>
        <w:rPr>
          <w:rFonts w:ascii="Times New Roman" w:eastAsia="Times New Roman" w:hAnsi="Times New Roman" w:cs="Times New Roman"/>
          <w:b/>
          <w:szCs w:val="20"/>
        </w:rPr>
      </w:pPr>
      <w:bookmarkStart w:id="22" w:name="_Ref216592722"/>
      <w:bookmarkStart w:id="23" w:name="_Toc66689102"/>
      <w:bookmarkStart w:id="24" w:name="_Toc140476560"/>
      <w:bookmarkStart w:id="25" w:name="_Toc216595340"/>
      <w:bookmarkStart w:id="26" w:name="_Toc361824172"/>
      <w:r w:rsidRPr="00806E56">
        <w:rPr>
          <w:rFonts w:ascii="Times New Roman" w:eastAsia="Times New Roman" w:hAnsi="Times New Roman" w:cs="Times New Roman"/>
          <w:b/>
          <w:szCs w:val="20"/>
        </w:rPr>
        <w:t xml:space="preserve">Table </w:t>
      </w:r>
      <w:bookmarkEnd w:id="22"/>
      <w:r w:rsidRPr="00806E56" w:rsidR="00952539">
        <w:rPr>
          <w:rFonts w:ascii="Times New Roman" w:eastAsia="Times New Roman" w:hAnsi="Times New Roman" w:cs="Times New Roman"/>
          <w:b/>
          <w:szCs w:val="20"/>
        </w:rPr>
        <w:t>4</w:t>
      </w:r>
      <w:r w:rsidRPr="00806E56">
        <w:rPr>
          <w:rFonts w:ascii="Times New Roman" w:eastAsia="Times New Roman" w:hAnsi="Times New Roman" w:cs="Times New Roman"/>
          <w:b/>
          <w:szCs w:val="20"/>
        </w:rPr>
        <w:t>.</w:t>
      </w:r>
      <w:bookmarkEnd w:id="23"/>
      <w:bookmarkEnd w:id="24"/>
      <w:bookmarkEnd w:id="25"/>
      <w:r w:rsidRPr="00806E56">
        <w:rPr>
          <w:rFonts w:ascii="Times New Roman" w:eastAsia="Times New Roman" w:hAnsi="Times New Roman" w:cs="Times New Roman"/>
          <w:b/>
          <w:szCs w:val="20"/>
        </w:rPr>
        <w:t xml:space="preserve"> Approximate Project Schedule</w:t>
      </w:r>
      <w:bookmarkEnd w:id="26"/>
    </w:p>
    <w:p w:rsidR="00BE1FCB" w:rsidRPr="00D44203" w:rsidP="00BE1FCB" w14:paraId="1DD24182" w14:textId="77777777">
      <w:pPr>
        <w:autoSpaceDE w:val="0"/>
        <w:autoSpaceDN w:val="0"/>
        <w:adjustRightInd w:val="0"/>
        <w:ind w:left="180"/>
        <w:rPr>
          <w:rFonts w:ascii="Courier 10cpi" w:eastAsia="Times New Roman" w:hAnsi="Courier 10cpi" w:cs="Times New Roman"/>
          <w:sz w:val="20"/>
          <w:szCs w:val="20"/>
          <w:highlight w:val="lightGray"/>
        </w:rPr>
      </w:pPr>
    </w:p>
    <w:tbl>
      <w:tblPr>
        <w:tblW w:w="5000" w:type="pct"/>
        <w:tblBorders>
          <w:top w:val="single" w:sz="12" w:space="0" w:color="auto"/>
        </w:tblBorders>
        <w:tblLayout w:type="fixed"/>
        <w:tblCellMar>
          <w:top w:w="29" w:type="dxa"/>
          <w:left w:w="115" w:type="dxa"/>
          <w:right w:w="115" w:type="dxa"/>
        </w:tblCellMar>
        <w:tblLook w:val="01E0"/>
      </w:tblPr>
      <w:tblGrid>
        <w:gridCol w:w="3441"/>
        <w:gridCol w:w="5919"/>
      </w:tblGrid>
      <w:tr w14:paraId="4ED93619" w14:textId="77777777" w:rsidTr="009660BD">
        <w:tblPrEx>
          <w:tblW w:w="5000" w:type="pct"/>
          <w:tblBorders>
            <w:top w:val="single" w:sz="12" w:space="0" w:color="auto"/>
          </w:tblBorders>
          <w:tblLayout w:type="fixed"/>
          <w:tblCellMar>
            <w:top w:w="29" w:type="dxa"/>
            <w:left w:w="115" w:type="dxa"/>
            <w:right w:w="115" w:type="dxa"/>
          </w:tblCellMar>
          <w:tblLook w:val="01E0"/>
        </w:tblPrEx>
        <w:trPr>
          <w:cantSplit/>
        </w:trPr>
        <w:tc>
          <w:tcPr>
            <w:tcW w:w="1838" w:type="pct"/>
            <w:tcBorders>
              <w:top w:val="single" w:sz="12" w:space="0" w:color="auto"/>
              <w:bottom w:val="single" w:sz="6" w:space="0" w:color="auto"/>
            </w:tcBorders>
            <w:vAlign w:val="bottom"/>
          </w:tcPr>
          <w:p w:rsidR="00BE1FCB" w:rsidRPr="00806E56" w:rsidP="00F3750D" w14:paraId="2627DA2A" w14:textId="77777777">
            <w:pPr>
              <w:keepNext/>
              <w:ind w:left="180"/>
              <w:rPr>
                <w:rFonts w:ascii="Times New Roman" w:eastAsia="Times New Roman" w:hAnsi="Times New Roman" w:cs="Times New Roman"/>
                <w:b/>
                <w:bCs/>
                <w:sz w:val="18"/>
              </w:rPr>
            </w:pPr>
            <w:r w:rsidRPr="00806E56">
              <w:rPr>
                <w:rFonts w:ascii="Times New Roman" w:eastAsia="Times New Roman" w:hAnsi="Times New Roman" w:cs="Times New Roman"/>
                <w:b/>
                <w:bCs/>
                <w:sz w:val="18"/>
              </w:rPr>
              <w:t>Project Activity</w:t>
            </w:r>
          </w:p>
        </w:tc>
        <w:tc>
          <w:tcPr>
            <w:tcW w:w="3162" w:type="pct"/>
            <w:tcBorders>
              <w:top w:val="single" w:sz="12" w:space="0" w:color="auto"/>
              <w:bottom w:val="single" w:sz="6" w:space="0" w:color="auto"/>
            </w:tcBorders>
            <w:vAlign w:val="bottom"/>
          </w:tcPr>
          <w:p w:rsidR="00BE1FCB" w:rsidRPr="00806E56" w:rsidP="00F3750D" w14:paraId="61E9511A" w14:textId="77777777">
            <w:pPr>
              <w:keepNext/>
              <w:ind w:left="180"/>
              <w:rPr>
                <w:rFonts w:ascii="Times New Roman" w:eastAsia="Times New Roman" w:hAnsi="Times New Roman" w:cs="Times New Roman"/>
                <w:b/>
                <w:bCs/>
                <w:sz w:val="18"/>
              </w:rPr>
            </w:pPr>
            <w:r w:rsidRPr="00806E56">
              <w:rPr>
                <w:rFonts w:ascii="Times New Roman" w:eastAsia="Times New Roman" w:hAnsi="Times New Roman" w:cs="Times New Roman"/>
                <w:b/>
                <w:bCs/>
                <w:sz w:val="18"/>
              </w:rPr>
              <w:t>Date</w:t>
            </w:r>
          </w:p>
        </w:tc>
      </w:tr>
      <w:tr w14:paraId="273C2B97" w14:textId="77777777" w:rsidTr="009660BD">
        <w:tblPrEx>
          <w:tblW w:w="5000" w:type="pct"/>
          <w:tblLayout w:type="fixed"/>
          <w:tblCellMar>
            <w:top w:w="0" w:type="dxa"/>
            <w:left w:w="115" w:type="dxa"/>
            <w:right w:w="115" w:type="dxa"/>
          </w:tblCellMar>
          <w:tblLook w:val="01E0"/>
        </w:tblPrEx>
        <w:trPr>
          <w:cantSplit/>
        </w:trPr>
        <w:tc>
          <w:tcPr>
            <w:tcW w:w="1838" w:type="pct"/>
          </w:tcPr>
          <w:p w:rsidR="00BE1FCB" w:rsidRPr="00323749" w:rsidP="00F3750D" w14:paraId="7DFD4D3F" w14:textId="77777777">
            <w:pPr>
              <w:keepNext/>
              <w:autoSpaceDE w:val="0"/>
              <w:autoSpaceDN w:val="0"/>
              <w:adjustRightInd w:val="0"/>
              <w:ind w:left="180"/>
              <w:rPr>
                <w:rFonts w:ascii="Times New Roman" w:eastAsia="Times New Roman" w:hAnsi="Times New Roman" w:cs="Times New Roman"/>
                <w:sz w:val="18"/>
              </w:rPr>
            </w:pPr>
            <w:r w:rsidRPr="00323749">
              <w:rPr>
                <w:rFonts w:ascii="Times New Roman" w:eastAsia="Times New Roman" w:hAnsi="Times New Roman" w:cs="Times New Roman"/>
                <w:sz w:val="18"/>
              </w:rPr>
              <w:t>Survey</w:t>
            </w:r>
          </w:p>
        </w:tc>
        <w:tc>
          <w:tcPr>
            <w:tcW w:w="3162" w:type="pct"/>
          </w:tcPr>
          <w:p w:rsidR="00BE1FCB" w:rsidRPr="00323749" w:rsidP="00F3750D" w14:paraId="798966DD" w14:textId="3EB44F32">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 xml:space="preserve">Approximately 6 weeks </w:t>
            </w:r>
            <w:r w:rsidR="009C6980">
              <w:rPr>
                <w:rFonts w:ascii="Times New Roman" w:eastAsia="Times New Roman" w:hAnsi="Times New Roman" w:cs="Times New Roman"/>
                <w:sz w:val="18"/>
              </w:rPr>
              <w:t xml:space="preserve">after </w:t>
            </w:r>
            <w:r>
              <w:rPr>
                <w:rFonts w:ascii="Times New Roman" w:eastAsia="Times New Roman" w:hAnsi="Times New Roman" w:cs="Times New Roman"/>
                <w:sz w:val="18"/>
              </w:rPr>
              <w:t>OMB approval</w:t>
            </w:r>
          </w:p>
        </w:tc>
      </w:tr>
      <w:tr w14:paraId="6C7B8C7C" w14:textId="77777777" w:rsidTr="009660BD">
        <w:tblPrEx>
          <w:tblW w:w="5000" w:type="pct"/>
          <w:tblLayout w:type="fixed"/>
          <w:tblCellMar>
            <w:top w:w="0" w:type="dxa"/>
            <w:left w:w="115" w:type="dxa"/>
            <w:right w:w="115" w:type="dxa"/>
          </w:tblCellMar>
          <w:tblLook w:val="01E0"/>
        </w:tblPrEx>
        <w:trPr>
          <w:cantSplit/>
        </w:trPr>
        <w:tc>
          <w:tcPr>
            <w:tcW w:w="1838" w:type="pct"/>
            <w:tcBorders>
              <w:bottom w:val="nil"/>
            </w:tcBorders>
          </w:tcPr>
          <w:p w:rsidR="001E6213" w:rsidRPr="00806E56" w:rsidP="001E6213" w14:paraId="6D783EB6" w14:textId="26B7A1CA">
            <w:pPr>
              <w:keepNext/>
              <w:autoSpaceDE w:val="0"/>
              <w:autoSpaceDN w:val="0"/>
              <w:adjustRightInd w:val="0"/>
              <w:ind w:left="180"/>
              <w:rPr>
                <w:rFonts w:ascii="Times New Roman" w:eastAsia="Times New Roman" w:hAnsi="Times New Roman" w:cs="Times New Roman"/>
                <w:sz w:val="18"/>
              </w:rPr>
            </w:pPr>
            <w:r w:rsidRPr="00806E56">
              <w:rPr>
                <w:rFonts w:ascii="Times New Roman" w:hAnsi="Times New Roman" w:cs="Times New Roman"/>
                <w:sz w:val="18"/>
                <w:szCs w:val="16"/>
              </w:rPr>
              <w:t>Preparation of analytic data file</w:t>
            </w:r>
          </w:p>
        </w:tc>
        <w:tc>
          <w:tcPr>
            <w:tcW w:w="3162" w:type="pct"/>
          </w:tcPr>
          <w:p w:rsidR="001E6213" w:rsidRPr="00806E56" w:rsidP="001E6213" w14:paraId="390AC02F" w14:textId="3CEEDC56">
            <w:pPr>
              <w:keepNext/>
              <w:autoSpaceDE w:val="0"/>
              <w:autoSpaceDN w:val="0"/>
              <w:adjustRightInd w:val="0"/>
              <w:ind w:left="180"/>
              <w:rPr>
                <w:rFonts w:ascii="Times New Roman" w:eastAsia="Times New Roman" w:hAnsi="Times New Roman" w:cs="Times New Roman"/>
                <w:sz w:val="18"/>
                <w:szCs w:val="18"/>
              </w:rPr>
            </w:pPr>
            <w:r w:rsidRPr="00806E56">
              <w:rPr>
                <w:rFonts w:ascii="Times New Roman" w:hAnsi="Times New Roman" w:cs="Times New Roman"/>
                <w:sz w:val="18"/>
                <w:szCs w:val="18"/>
              </w:rPr>
              <w:t xml:space="preserve">Approximately </w:t>
            </w:r>
            <w:r w:rsidRPr="00806E56" w:rsidR="00801EB0">
              <w:rPr>
                <w:rFonts w:ascii="Times New Roman" w:hAnsi="Times New Roman" w:cs="Times New Roman"/>
                <w:sz w:val="18"/>
                <w:szCs w:val="18"/>
              </w:rPr>
              <w:t>1</w:t>
            </w:r>
            <w:r w:rsidRPr="00806E56">
              <w:rPr>
                <w:rFonts w:ascii="Times New Roman" w:hAnsi="Times New Roman" w:cs="Times New Roman"/>
                <w:sz w:val="18"/>
                <w:szCs w:val="18"/>
              </w:rPr>
              <w:t>–</w:t>
            </w:r>
            <w:r w:rsidRPr="00806E56" w:rsidR="00801EB0">
              <w:rPr>
                <w:rFonts w:ascii="Times New Roman" w:hAnsi="Times New Roman" w:cs="Times New Roman"/>
                <w:sz w:val="18"/>
                <w:szCs w:val="18"/>
              </w:rPr>
              <w:t>2</w:t>
            </w:r>
            <w:r w:rsidRPr="00806E56">
              <w:rPr>
                <w:rFonts w:ascii="Times New Roman" w:hAnsi="Times New Roman" w:cs="Times New Roman"/>
                <w:sz w:val="18"/>
                <w:szCs w:val="18"/>
              </w:rPr>
              <w:t xml:space="preserve"> weeks after completion of data collection</w:t>
            </w:r>
          </w:p>
        </w:tc>
      </w:tr>
      <w:tr w14:paraId="6AD5697F" w14:textId="77777777" w:rsidTr="009660BD">
        <w:tblPrEx>
          <w:tblW w:w="5000" w:type="pct"/>
          <w:tblLayout w:type="fixed"/>
          <w:tblCellMar>
            <w:top w:w="0" w:type="dxa"/>
            <w:left w:w="115" w:type="dxa"/>
            <w:right w:w="115" w:type="dxa"/>
          </w:tblCellMar>
          <w:tblLook w:val="01E0"/>
        </w:tblPrEx>
        <w:trPr>
          <w:cantSplit/>
        </w:trPr>
        <w:tc>
          <w:tcPr>
            <w:tcW w:w="1838" w:type="pct"/>
            <w:tcBorders>
              <w:bottom w:val="nil"/>
            </w:tcBorders>
          </w:tcPr>
          <w:p w:rsidR="001E6213" w:rsidRPr="00806E56" w:rsidP="001E6213" w14:paraId="4A610AB5" w14:textId="77777777">
            <w:pPr>
              <w:keepNext/>
              <w:autoSpaceDE w:val="0"/>
              <w:autoSpaceDN w:val="0"/>
              <w:adjustRightInd w:val="0"/>
              <w:ind w:left="180"/>
              <w:rPr>
                <w:rFonts w:ascii="Times New Roman" w:eastAsia="Times New Roman" w:hAnsi="Times New Roman" w:cs="Times New Roman"/>
                <w:sz w:val="18"/>
              </w:rPr>
            </w:pPr>
            <w:r w:rsidRPr="00806E56">
              <w:rPr>
                <w:rFonts w:ascii="Times New Roman" w:eastAsia="Times New Roman" w:hAnsi="Times New Roman" w:cs="Times New Roman"/>
                <w:sz w:val="18"/>
              </w:rPr>
              <w:t>Data Analysis</w:t>
            </w:r>
          </w:p>
        </w:tc>
        <w:tc>
          <w:tcPr>
            <w:tcW w:w="3162" w:type="pct"/>
          </w:tcPr>
          <w:p w:rsidR="001E6213" w:rsidRPr="00806E56" w:rsidP="001E6213" w14:paraId="07E4AD34" w14:textId="178B7208">
            <w:pPr>
              <w:keepNext/>
              <w:autoSpaceDE w:val="0"/>
              <w:autoSpaceDN w:val="0"/>
              <w:adjustRightInd w:val="0"/>
              <w:ind w:left="180"/>
              <w:rPr>
                <w:rFonts w:ascii="Times New Roman" w:eastAsia="Times New Roman" w:hAnsi="Times New Roman" w:cs="Times New Roman"/>
                <w:sz w:val="18"/>
                <w:szCs w:val="18"/>
              </w:rPr>
            </w:pPr>
            <w:r w:rsidRPr="00806E56">
              <w:rPr>
                <w:rFonts w:ascii="Times New Roman" w:hAnsi="Times New Roman" w:cs="Times New Roman"/>
                <w:sz w:val="18"/>
                <w:szCs w:val="18"/>
              </w:rPr>
              <w:t xml:space="preserve">Approximately </w:t>
            </w:r>
            <w:r w:rsidRPr="00806E56" w:rsidR="00801EB0">
              <w:rPr>
                <w:rFonts w:ascii="Times New Roman" w:hAnsi="Times New Roman" w:cs="Times New Roman"/>
                <w:sz w:val="18"/>
                <w:szCs w:val="18"/>
              </w:rPr>
              <w:t>3</w:t>
            </w:r>
            <w:r w:rsidRPr="00806E56">
              <w:rPr>
                <w:rFonts w:ascii="Times New Roman" w:hAnsi="Times New Roman" w:cs="Times New Roman"/>
                <w:sz w:val="18"/>
                <w:szCs w:val="18"/>
              </w:rPr>
              <w:t>–</w:t>
            </w:r>
            <w:r w:rsidRPr="00806E56" w:rsidR="00801EB0">
              <w:rPr>
                <w:rFonts w:ascii="Times New Roman" w:hAnsi="Times New Roman" w:cs="Times New Roman"/>
                <w:sz w:val="18"/>
                <w:szCs w:val="18"/>
              </w:rPr>
              <w:t>5</w:t>
            </w:r>
            <w:r w:rsidRPr="00806E56">
              <w:rPr>
                <w:rFonts w:ascii="Times New Roman" w:hAnsi="Times New Roman" w:cs="Times New Roman"/>
                <w:sz w:val="18"/>
                <w:szCs w:val="18"/>
              </w:rPr>
              <w:t xml:space="preserve"> weeks </w:t>
            </w:r>
            <w:r w:rsidRPr="00806E56" w:rsidR="000A3256">
              <w:rPr>
                <w:rFonts w:ascii="Times New Roman" w:hAnsi="Times New Roman" w:cs="Times New Roman"/>
                <w:sz w:val="18"/>
                <w:szCs w:val="18"/>
              </w:rPr>
              <w:t>after completion of data collection</w:t>
            </w:r>
          </w:p>
        </w:tc>
      </w:tr>
      <w:tr w14:paraId="21373182" w14:textId="77777777" w:rsidTr="009660BD">
        <w:tblPrEx>
          <w:tblW w:w="5000" w:type="pct"/>
          <w:tblLayout w:type="fixed"/>
          <w:tblCellMar>
            <w:top w:w="0" w:type="dxa"/>
            <w:left w:w="115" w:type="dxa"/>
            <w:right w:w="115" w:type="dxa"/>
          </w:tblCellMar>
          <w:tblLook w:val="01E0"/>
        </w:tblPrEx>
        <w:trPr>
          <w:cantSplit/>
        </w:trPr>
        <w:tc>
          <w:tcPr>
            <w:tcW w:w="1838" w:type="pct"/>
            <w:tcBorders>
              <w:top w:val="nil"/>
              <w:bottom w:val="single" w:sz="12" w:space="0" w:color="auto"/>
            </w:tcBorders>
          </w:tcPr>
          <w:p w:rsidR="00BE1FCB" w:rsidRPr="00806E56" w:rsidP="00F3750D" w14:paraId="183D2387" w14:textId="77777777">
            <w:pPr>
              <w:keepNext/>
              <w:autoSpaceDE w:val="0"/>
              <w:autoSpaceDN w:val="0"/>
              <w:adjustRightInd w:val="0"/>
              <w:ind w:left="180"/>
              <w:rPr>
                <w:rFonts w:ascii="Times New Roman" w:eastAsia="Times New Roman" w:hAnsi="Times New Roman" w:cs="Times New Roman"/>
                <w:sz w:val="18"/>
              </w:rPr>
            </w:pPr>
            <w:r w:rsidRPr="00806E56">
              <w:rPr>
                <w:rFonts w:ascii="Times New Roman" w:eastAsia="Times New Roman" w:hAnsi="Times New Roman" w:cs="Times New Roman"/>
                <w:sz w:val="18"/>
              </w:rPr>
              <w:t xml:space="preserve">Report Writing </w:t>
            </w:r>
          </w:p>
        </w:tc>
        <w:tc>
          <w:tcPr>
            <w:tcW w:w="3162" w:type="pct"/>
            <w:tcBorders>
              <w:top w:val="nil"/>
              <w:bottom w:val="single" w:sz="12" w:space="0" w:color="auto"/>
            </w:tcBorders>
          </w:tcPr>
          <w:p w:rsidR="00BE1FCB" w:rsidRPr="006B1D8F" w:rsidP="00F3750D" w14:paraId="7C88A537" w14:textId="5BA251BB">
            <w:pPr>
              <w:keepNext/>
              <w:autoSpaceDE w:val="0"/>
              <w:autoSpaceDN w:val="0"/>
              <w:adjustRightInd w:val="0"/>
              <w:ind w:left="180"/>
              <w:rPr>
                <w:rFonts w:ascii="Times New Roman" w:eastAsia="Times New Roman" w:hAnsi="Times New Roman" w:cs="Times New Roman"/>
                <w:sz w:val="18"/>
              </w:rPr>
            </w:pPr>
            <w:r w:rsidRPr="00806E56">
              <w:rPr>
                <w:rFonts w:ascii="Times New Roman" w:eastAsia="Times New Roman" w:hAnsi="Times New Roman" w:cs="Times New Roman"/>
                <w:sz w:val="18"/>
              </w:rPr>
              <w:t xml:space="preserve">Approximately </w:t>
            </w:r>
            <w:r w:rsidRPr="00806E56" w:rsidR="00801EB0">
              <w:rPr>
                <w:rFonts w:ascii="Times New Roman" w:eastAsia="Times New Roman" w:hAnsi="Times New Roman" w:cs="Times New Roman"/>
                <w:sz w:val="18"/>
              </w:rPr>
              <w:t>6</w:t>
            </w:r>
            <w:r w:rsidRPr="00806E56">
              <w:rPr>
                <w:rFonts w:ascii="Times New Roman" w:eastAsia="Times New Roman" w:hAnsi="Times New Roman" w:cs="Times New Roman"/>
                <w:sz w:val="18"/>
              </w:rPr>
              <w:t>-</w:t>
            </w:r>
            <w:r w:rsidRPr="00806E56" w:rsidR="000A3256">
              <w:rPr>
                <w:rFonts w:ascii="Times New Roman" w:eastAsia="Times New Roman" w:hAnsi="Times New Roman" w:cs="Times New Roman"/>
                <w:sz w:val="18"/>
              </w:rPr>
              <w:t>8</w:t>
            </w:r>
            <w:r w:rsidRPr="00806E56">
              <w:rPr>
                <w:rFonts w:ascii="Times New Roman" w:eastAsia="Times New Roman" w:hAnsi="Times New Roman" w:cs="Times New Roman"/>
                <w:sz w:val="18"/>
              </w:rPr>
              <w:t xml:space="preserve"> weeks </w:t>
            </w:r>
            <w:r w:rsidRPr="00806E56" w:rsidR="000A3256">
              <w:rPr>
                <w:rFonts w:ascii="Times New Roman" w:eastAsia="Times New Roman" w:hAnsi="Times New Roman" w:cs="Times New Roman"/>
                <w:sz w:val="18"/>
              </w:rPr>
              <w:t>after completion of data collection</w:t>
            </w:r>
          </w:p>
        </w:tc>
      </w:tr>
    </w:tbl>
    <w:p w:rsidR="00817809" w:rsidRPr="006B1D8F" w:rsidP="009660BD" w14:paraId="718D2AF0" w14:textId="4EFF090A">
      <w:pPr>
        <w:autoSpaceDE w:val="0"/>
        <w:autoSpaceDN w:val="0"/>
        <w:adjustRightInd w:val="0"/>
        <w:rPr>
          <w:rFonts w:ascii="Courier 10cpi" w:eastAsia="Times New Roman" w:hAnsi="Courier 10cpi" w:cs="Times New Roman"/>
          <w:sz w:val="20"/>
          <w:szCs w:val="20"/>
        </w:rPr>
      </w:pPr>
    </w:p>
    <w:p w:rsidR="00BE1FCB" w:rsidRPr="006B1D8F" w:rsidP="00BE1FCB" w14:paraId="219BDE2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27" w:name="_Toc239649238"/>
      <w:r w:rsidRPr="006B1D8F">
        <w:rPr>
          <w:rFonts w:ascii="Times New Roman" w:eastAsia="Times New Roman" w:hAnsi="Times New Roman" w:cs="Times New Roman"/>
          <w:b/>
          <w:bCs/>
          <w:szCs w:val="24"/>
        </w:rPr>
        <w:t xml:space="preserve">16.  </w:t>
      </w:r>
      <w:r w:rsidRPr="006B1D8F">
        <w:rPr>
          <w:rFonts w:ascii="Times New Roman" w:eastAsia="Times New Roman" w:hAnsi="Times New Roman" w:cs="Times New Roman"/>
          <w:b/>
          <w:bCs/>
          <w:szCs w:val="24"/>
          <w:u w:val="single"/>
        </w:rPr>
        <w:t>Reason(s) Display of OMB Expiration Date is Inappropriate</w:t>
      </w:r>
      <w:bookmarkEnd w:id="27"/>
    </w:p>
    <w:p w:rsidR="00BE1FCB" w:rsidRPr="006B1D8F" w:rsidP="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BE1FCB"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6B1D8F">
        <w:rPr>
          <w:rFonts w:ascii="Times New Roman" w:eastAsia="Times New Roman" w:hAnsi="Times New Roman" w:cs="Times New Roman"/>
          <w:szCs w:val="24"/>
        </w:rPr>
        <w:t>Not applicable. All data collection instruments will display the expiration date for OMB approval of the information collection.</w:t>
      </w:r>
    </w:p>
    <w:p w:rsidR="00BE1FCB" w:rsidRPr="006B1D8F" w:rsidP="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28" w:name="_Toc239649239"/>
    </w:p>
    <w:p w:rsidR="00BE1FCB" w:rsidRPr="006B1D8F" w:rsidP="00BE1FCB" w14:paraId="4695FE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17.  </w:t>
      </w:r>
      <w:r w:rsidRPr="006B1D8F">
        <w:rPr>
          <w:rFonts w:ascii="Times New Roman" w:eastAsia="Times New Roman" w:hAnsi="Times New Roman" w:cs="Times New Roman"/>
          <w:b/>
          <w:bCs/>
          <w:szCs w:val="24"/>
          <w:u w:val="single"/>
        </w:rPr>
        <w:t>Exceptions to Certification for Paperwork Reduction Act Submissions</w:t>
      </w:r>
      <w:bookmarkEnd w:id="28"/>
    </w:p>
    <w:p w:rsidR="00BE1FCB" w:rsidRPr="006B1D8F" w:rsidP="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6B1D8F">
        <w:rPr>
          <w:rFonts w:ascii="Times New Roman" w:eastAsia="Times New Roman" w:hAnsi="Times New Roman" w:cs="Times New Roman"/>
          <w:szCs w:val="24"/>
        </w:rPr>
        <w:t>These information collection activities involve no exception to the Certification for Paperwork Reduction Act Submissions.</w:t>
      </w:r>
      <w:r w:rsidRPr="006B1D8F">
        <w:rPr>
          <w:rFonts w:ascii="Times New Roman" w:eastAsia="Times New Roman" w:hAnsi="Times New Roman" w:cs="Times New Roman"/>
          <w:b/>
          <w:bCs/>
          <w:szCs w:val="24"/>
        </w:rPr>
        <w:t xml:space="preserve"> </w:t>
      </w:r>
    </w:p>
    <w:p w:rsidR="00BE1FCB" w:rsidP="0017568B" w14:paraId="09A352D3" w14:textId="5EC40589">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45C79665"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296B81F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138E65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621C8AA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3AB768B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0F6B147F"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3FD6C09F"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17568B" w14:paraId="54E8F9F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17568B" w14:paraId="78DE436A" w14:textId="5894C644">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5A7803" w:rsidP="0017568B" w14:paraId="5E86F9A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17568B" w14:paraId="39512B1C"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17568B" w14:paraId="7827B5C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E02FFC" w14:paraId="186DB426" w14:textId="77777777">
      <w:pPr>
        <w:spacing w:after="160" w:line="259" w:lineRule="auto"/>
        <w:rPr>
          <w:rFonts w:ascii="Times New Roman" w:eastAsia="Times New Roman" w:hAnsi="Times New Roman" w:cs="Times New Roman"/>
          <w:b/>
          <w:color w:val="000000"/>
          <w:szCs w:val="24"/>
          <w:u w:color="000000"/>
          <w:bdr w:val="nil"/>
        </w:rPr>
      </w:pPr>
      <w:r>
        <w:rPr>
          <w:rFonts w:ascii="Times New Roman" w:eastAsia="Times New Roman" w:hAnsi="Times New Roman" w:cs="Times New Roman"/>
          <w:b/>
          <w:color w:val="000000"/>
          <w:szCs w:val="24"/>
          <w:u w:color="000000"/>
          <w:bdr w:val="none" w:sz="0" w:space="0" w:color="auto"/>
        </w:rPr>
        <w:br w:type="page"/>
      </w:r>
    </w:p>
    <w:p w:rsidR="00CF7DDC" w:rsidRPr="006B1D8F" w:rsidP="00CF7DDC" w14:paraId="7D052687" w14:textId="7DA40556">
      <w:pPr>
        <w:pBdr>
          <w:top w:val="nil"/>
          <w:left w:val="nil"/>
          <w:bottom w:val="nil"/>
          <w:right w:val="nil"/>
          <w:between w:val="nil"/>
          <w:bar w:val="nil"/>
        </w:pBdr>
        <w:rPr>
          <w:rFonts w:ascii="Times New Roman" w:eastAsia="Times New Roman" w:hAnsi="Times New Roman" w:cs="Times New Roman"/>
          <w:b/>
          <w:color w:val="000000"/>
          <w:szCs w:val="24"/>
          <w:u w:color="000000"/>
          <w:bdr w:val="nil"/>
        </w:rPr>
      </w:pPr>
      <w:r w:rsidRPr="006B1D8F">
        <w:rPr>
          <w:rFonts w:ascii="Times New Roman" w:eastAsia="Times New Roman" w:hAnsi="Times New Roman" w:cs="Times New Roman"/>
          <w:b/>
          <w:color w:val="000000"/>
          <w:szCs w:val="24"/>
          <w:u w:color="000000"/>
          <w:bdr w:val="none" w:sz="0" w:space="0" w:color="auto"/>
        </w:rPr>
        <w:t>References</w:t>
      </w:r>
    </w:p>
    <w:p w:rsidR="00914611" w:rsidP="00914611" w14:paraId="6348578B" w14:textId="77777777">
      <w:pPr>
        <w:spacing w:after="240"/>
        <w:rPr>
          <w:rFonts w:ascii="Times New Roman" w:eastAsia="Times New Roman" w:hAnsi="Times New Roman" w:cs="Times New Roman"/>
          <w:szCs w:val="24"/>
        </w:rPr>
      </w:pPr>
    </w:p>
    <w:p w:rsidR="00914611" w:rsidRPr="00914611" w:rsidP="00914611" w14:paraId="33B68A95" w14:textId="007D5591">
      <w:pPr>
        <w:spacing w:after="240"/>
        <w:rPr>
          <w:rFonts w:ascii="Times New Roman" w:hAnsi="Times New Roman" w:cs="Times New Roman"/>
          <w:szCs w:val="24"/>
        </w:rPr>
      </w:pPr>
      <w:r w:rsidRPr="00AA3358">
        <w:rPr>
          <w:rFonts w:ascii="Times New Roman" w:eastAsia="Times New Roman" w:hAnsi="Times New Roman" w:cs="Times New Roman"/>
          <w:szCs w:val="24"/>
        </w:rPr>
        <w:t>Bandiera</w:t>
      </w:r>
      <w:r w:rsidRPr="00AA3358">
        <w:rPr>
          <w:rFonts w:ascii="Times New Roman" w:eastAsia="Times New Roman" w:hAnsi="Times New Roman" w:cs="Times New Roman"/>
          <w:szCs w:val="24"/>
        </w:rPr>
        <w:t xml:space="preserve"> FC, Arguelles W, Gellman M, et al. Cigarette smoking and depressive symptoms among Hispanic/Latino adults: Results from the Hispanic Community Health Study/Study of Latinos (</w:t>
      </w:r>
      <w:r w:rsidRPr="00AA3358">
        <w:rPr>
          <w:rFonts w:ascii="Times New Roman" w:eastAsia="Times New Roman" w:hAnsi="Times New Roman" w:cs="Times New Roman"/>
          <w:szCs w:val="24"/>
        </w:rPr>
        <w:t>hchs</w:t>
      </w:r>
      <w:r w:rsidRPr="00AA3358">
        <w:rPr>
          <w:rFonts w:ascii="Times New Roman" w:eastAsia="Times New Roman" w:hAnsi="Times New Roman" w:cs="Times New Roman"/>
          <w:szCs w:val="24"/>
        </w:rPr>
        <w:t>/Sol). Nicotine Tob Res.</w:t>
      </w:r>
    </w:p>
    <w:p w:rsidR="00F44868" w:rsidRPr="005B2DCC" w:rsidP="00F44868" w14:paraId="518F2186" w14:textId="6E924809">
      <w:pPr>
        <w:pStyle w:val="CommentText"/>
        <w:rPr>
          <w:rFonts w:ascii="Times New Roman" w:hAnsi="Times New Roman" w:cs="Times New Roman"/>
          <w:sz w:val="24"/>
          <w:szCs w:val="24"/>
        </w:rPr>
      </w:pPr>
      <w:r w:rsidRPr="005B2DCC">
        <w:rPr>
          <w:rFonts w:ascii="Times New Roman" w:hAnsi="Times New Roman" w:cs="Times New Roman"/>
          <w:sz w:val="24"/>
          <w:szCs w:val="24"/>
        </w:rPr>
        <w:t>Cantor D et al. (2003). Comparing promised and pre-paid incentives for an extended interview on a random digit dial survey. In Presentation for the Annual Meeting of the American Association for Public Opinion Research, Nashville, TN</w:t>
      </w:r>
      <w:r>
        <w:rPr>
          <w:rFonts w:ascii="Times New Roman" w:hAnsi="Times New Roman" w:cs="Times New Roman"/>
          <w:sz w:val="24"/>
          <w:szCs w:val="24"/>
        </w:rPr>
        <w:t>.</w:t>
      </w:r>
    </w:p>
    <w:p w:rsidR="005A7803" w:rsidRPr="005A7803" w:rsidP="005A7803" w14:paraId="470D0EC6" w14:textId="77777777">
      <w:pPr>
        <w:spacing w:before="100" w:beforeAutospacing="1" w:after="100" w:afterAutospacing="1"/>
        <w:rPr>
          <w:rFonts w:ascii="Times New Roman" w:hAnsi="Times New Roman" w:cs="Times New Roman"/>
          <w:color w:val="222222"/>
          <w:sz w:val="22"/>
          <w:shd w:val="clear" w:color="auto" w:fill="FFFFFF"/>
        </w:rPr>
      </w:pPr>
      <w:r w:rsidRPr="005A7803">
        <w:rPr>
          <w:rFonts w:ascii="Times New Roman" w:hAnsi="Times New Roman" w:cs="Times New Roman"/>
          <w:color w:val="222222"/>
          <w:shd w:val="clear" w:color="auto" w:fill="FFFFFF"/>
        </w:rPr>
        <w:t xml:space="preserve">Delahanty, J., Ganz, O., Hoffman, L., Guillory, J., </w:t>
      </w:r>
      <w:r w:rsidRPr="005A7803">
        <w:rPr>
          <w:rFonts w:ascii="Times New Roman" w:hAnsi="Times New Roman" w:cs="Times New Roman"/>
          <w:color w:val="222222"/>
          <w:shd w:val="clear" w:color="auto" w:fill="FFFFFF"/>
        </w:rPr>
        <w:t>Crankshaw</w:t>
      </w:r>
      <w:r w:rsidRPr="005A7803">
        <w:rPr>
          <w:rFonts w:ascii="Times New Roman" w:hAnsi="Times New Roman" w:cs="Times New Roman"/>
          <w:color w:val="222222"/>
          <w:shd w:val="clear" w:color="auto" w:fill="FFFFFF"/>
        </w:rPr>
        <w:t xml:space="preserve">, E., &amp; </w:t>
      </w:r>
      <w:r w:rsidRPr="005A7803">
        <w:rPr>
          <w:rFonts w:ascii="Times New Roman" w:hAnsi="Times New Roman" w:cs="Times New Roman"/>
          <w:color w:val="222222"/>
          <w:shd w:val="clear" w:color="auto" w:fill="FFFFFF"/>
        </w:rPr>
        <w:t>Farrelly</w:t>
      </w:r>
      <w:r w:rsidRPr="005A7803">
        <w:rPr>
          <w:rFonts w:ascii="Times New Roman" w:hAnsi="Times New Roman" w:cs="Times New Roman"/>
          <w:color w:val="222222"/>
          <w:shd w:val="clear" w:color="auto" w:fill="FFFFFF"/>
        </w:rPr>
        <w:t xml:space="preserve">, M. (2019). Tobacco </w:t>
      </w:r>
      <w:r w:rsidRPr="005A7803">
        <w:rPr>
          <w:rFonts w:ascii="Times New Roman" w:hAnsi="Times New Roman" w:cs="Times New Roman"/>
          <w:color w:val="222222"/>
          <w:shd w:val="clear" w:color="auto" w:fill="FFFFFF"/>
        </w:rPr>
        <w:t>use</w:t>
      </w:r>
      <w:r w:rsidRPr="005A7803">
        <w:rPr>
          <w:rFonts w:ascii="Times New Roman" w:hAnsi="Times New Roman" w:cs="Times New Roman"/>
          <w:color w:val="222222"/>
          <w:shd w:val="clear" w:color="auto" w:fill="FFFFFF"/>
        </w:rPr>
        <w:t xml:space="preserve"> among lesbian, gay, bisexual and transgender young adults varies by sexual and gender identity. </w:t>
      </w:r>
      <w:r w:rsidRPr="005A7803">
        <w:rPr>
          <w:rFonts w:ascii="Times New Roman" w:hAnsi="Times New Roman" w:cs="Times New Roman"/>
          <w:i/>
          <w:iCs/>
          <w:color w:val="222222"/>
          <w:shd w:val="clear" w:color="auto" w:fill="FFFFFF"/>
        </w:rPr>
        <w:t>Drug and alcohol dependence</w:t>
      </w:r>
      <w:r w:rsidRPr="005A7803">
        <w:rPr>
          <w:rFonts w:ascii="Times New Roman" w:hAnsi="Times New Roman" w:cs="Times New Roman"/>
          <w:color w:val="222222"/>
          <w:shd w:val="clear" w:color="auto" w:fill="FFFFFF"/>
        </w:rPr>
        <w:t>, </w:t>
      </w:r>
      <w:r w:rsidRPr="005A7803">
        <w:rPr>
          <w:rFonts w:ascii="Times New Roman" w:hAnsi="Times New Roman" w:cs="Times New Roman"/>
          <w:i/>
          <w:iCs/>
          <w:color w:val="222222"/>
          <w:shd w:val="clear" w:color="auto" w:fill="FFFFFF"/>
        </w:rPr>
        <w:t>201</w:t>
      </w:r>
      <w:r w:rsidRPr="005A7803">
        <w:rPr>
          <w:rFonts w:ascii="Times New Roman" w:hAnsi="Times New Roman" w:cs="Times New Roman"/>
          <w:color w:val="222222"/>
          <w:shd w:val="clear" w:color="auto" w:fill="FFFFFF"/>
        </w:rPr>
        <w:t xml:space="preserve">, 161-170. </w:t>
      </w:r>
    </w:p>
    <w:p w:rsidR="003A1276" w:rsidRPr="005B2DCC" w:rsidP="003A1276" w14:paraId="655C7160"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Göritz</w:t>
      </w:r>
      <w:r w:rsidRPr="005B2DCC">
        <w:rPr>
          <w:rFonts w:ascii="Times New Roman" w:hAnsi="Times New Roman" w:cs="Times New Roman"/>
          <w:sz w:val="24"/>
          <w:szCs w:val="24"/>
        </w:rPr>
        <w:t xml:space="preserve"> AS. (2006). Incentives in web studies: methodological issues and a review. Int J Internet Science. 1(1), 58-70.</w:t>
      </w:r>
    </w:p>
    <w:p w:rsidR="005A7803" w:rsidRPr="005A7803" w:rsidP="005A7803" w14:paraId="5AFC9639" w14:textId="48F51B1F">
      <w:pPr>
        <w:spacing w:before="100" w:beforeAutospacing="1" w:after="100" w:afterAutospacing="1"/>
        <w:rPr>
          <w:rFonts w:ascii="Times New Roman" w:hAnsi="Times New Roman" w:cs="Times New Roman"/>
          <w:color w:val="222222"/>
          <w:shd w:val="clear" w:color="auto" w:fill="FFFFFF"/>
        </w:rPr>
      </w:pPr>
      <w:r w:rsidRPr="005A7803">
        <w:rPr>
          <w:rFonts w:ascii="Times New Roman" w:hAnsi="Times New Roman" w:cs="Times New Roman"/>
          <w:color w:val="222222"/>
          <w:shd w:val="clear" w:color="auto" w:fill="FFFFFF"/>
        </w:rPr>
        <w:t>Harlow, A. F., Stokes, A., &amp; Brooks, D. R. (2019). Socioeconomic and racial/ethnic differences in e-cigarette uptake among cigarette smokers: longitudinal analysis of the population assessment of tobacco and health (PATH) study. </w:t>
      </w:r>
      <w:r w:rsidRPr="005A7803">
        <w:rPr>
          <w:rFonts w:ascii="Times New Roman" w:hAnsi="Times New Roman" w:cs="Times New Roman"/>
          <w:i/>
          <w:iCs/>
          <w:color w:val="222222"/>
          <w:shd w:val="clear" w:color="auto" w:fill="FFFFFF"/>
        </w:rPr>
        <w:t>Nicotine and Tobacco Research</w:t>
      </w:r>
      <w:r w:rsidRPr="005A7803">
        <w:rPr>
          <w:rFonts w:ascii="Times New Roman" w:hAnsi="Times New Roman" w:cs="Times New Roman"/>
          <w:color w:val="222222"/>
          <w:shd w:val="clear" w:color="auto" w:fill="FFFFFF"/>
        </w:rPr>
        <w:t>, </w:t>
      </w:r>
      <w:r w:rsidRPr="005A7803">
        <w:rPr>
          <w:rFonts w:ascii="Times New Roman" w:hAnsi="Times New Roman" w:cs="Times New Roman"/>
          <w:i/>
          <w:iCs/>
          <w:color w:val="222222"/>
          <w:shd w:val="clear" w:color="auto" w:fill="FFFFFF"/>
        </w:rPr>
        <w:t>21</w:t>
      </w:r>
      <w:r w:rsidRPr="005A7803">
        <w:rPr>
          <w:rFonts w:ascii="Times New Roman" w:hAnsi="Times New Roman" w:cs="Times New Roman"/>
          <w:color w:val="222222"/>
          <w:shd w:val="clear" w:color="auto" w:fill="FFFFFF"/>
        </w:rPr>
        <w:t>(10), 1385-1393.</w:t>
      </w:r>
    </w:p>
    <w:p w:rsidR="009E5552" w:rsidRPr="005B2DCC" w:rsidP="009E5552" w14:paraId="2D3352AD"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Insights Association. (2021). Code of Standards and Ethics for Market Research and Data Analytics. https://www.insightsassociation.org/sites/default/files/misc_files/ia_code_revised_november_2021_finalv2.pdf</w:t>
      </w:r>
    </w:p>
    <w:p w:rsidR="009E5552" w:rsidP="005A7803" w14:paraId="662E2765" w14:textId="77777777">
      <w:pPr>
        <w:rPr>
          <w:rFonts w:ascii="Times New Roman" w:hAnsi="Times New Roman" w:cs="Times New Roman"/>
        </w:rPr>
      </w:pPr>
    </w:p>
    <w:p w:rsidR="005A7803" w:rsidRPr="005A7803" w:rsidP="005A7803" w14:paraId="7E1E59DC" w14:textId="465FD9AA">
      <w:pPr>
        <w:rPr>
          <w:rFonts w:ascii="Times New Roman" w:hAnsi="Times New Roman" w:cs="Times New Roman"/>
        </w:rPr>
      </w:pPr>
      <w:r w:rsidRPr="005A7803">
        <w:rPr>
          <w:rFonts w:ascii="Times New Roman" w:hAnsi="Times New Roman" w:cs="Times New Roman"/>
        </w:rPr>
        <w:t xml:space="preserve">Johnson SE, O'Brien EK, Coleman B, Tessman GK, Hoffman L, Delahanty J. Sexual and gender minority U.S. youth tobacco use: Population Assessment of Tobacco and Health (PATH) Study Wave 3, 2015-2016. Am J </w:t>
      </w:r>
      <w:r w:rsidRPr="005A7803">
        <w:rPr>
          <w:rFonts w:ascii="Times New Roman" w:hAnsi="Times New Roman" w:cs="Times New Roman"/>
        </w:rPr>
        <w:t>Prev</w:t>
      </w:r>
      <w:r w:rsidRPr="005A7803">
        <w:rPr>
          <w:rFonts w:ascii="Times New Roman" w:hAnsi="Times New Roman" w:cs="Times New Roman"/>
        </w:rPr>
        <w:t xml:space="preserve"> Med. 2019;57(2):256-61. Available from: </w:t>
      </w:r>
      <w:r w:rsidRPr="002B182B">
        <w:rPr>
          <w:rFonts w:ascii="Times New Roman" w:hAnsi="Times New Roman" w:cs="Times New Roman"/>
        </w:rPr>
        <w:t>https://www.ncbi.nlm.nih.gov/pubmed/31326009</w:t>
      </w:r>
      <w:r w:rsidRPr="005A7803">
        <w:rPr>
          <w:rFonts w:ascii="Times New Roman" w:hAnsi="Times New Roman" w:cs="Times New Roman"/>
        </w:rPr>
        <w:t xml:space="preserve">. </w:t>
      </w:r>
      <w:r w:rsidR="007A0E8D">
        <w:rPr>
          <w:rFonts w:ascii="Times New Roman" w:hAnsi="Times New Roman" w:cs="Times New Roman"/>
        </w:rPr>
        <w:t>doi</w:t>
      </w:r>
      <w:r w:rsidRPr="005A7803">
        <w:rPr>
          <w:rFonts w:ascii="Times New Roman" w:hAnsi="Times New Roman" w:cs="Times New Roman"/>
        </w:rPr>
        <w:t>: 10.1016/j.amepre.2019.03.021</w:t>
      </w:r>
    </w:p>
    <w:p w:rsidR="00914611" w:rsidP="00914611" w14:paraId="3CADE266" w14:textId="77777777">
      <w:pPr>
        <w:rPr>
          <w:rFonts w:ascii="Times New Roman" w:eastAsia="Times New Roman" w:hAnsi="Times New Roman" w:cs="Times New Roman"/>
          <w:szCs w:val="24"/>
        </w:rPr>
      </w:pPr>
    </w:p>
    <w:p w:rsidR="000A2B37" w:rsidP="00914611" w14:paraId="5931B4C0" w14:textId="4F99D9F6">
      <w:pPr>
        <w:rPr>
          <w:rFonts w:ascii="Times New Roman" w:eastAsia="Times New Roman" w:hAnsi="Times New Roman" w:cs="Times New Roman"/>
          <w:szCs w:val="24"/>
        </w:rPr>
      </w:pPr>
      <w:r w:rsidRPr="000A2B37">
        <w:rPr>
          <w:rFonts w:ascii="Times New Roman" w:eastAsia="Times New Roman" w:hAnsi="Times New Roman" w:cs="Times New Roman"/>
          <w:szCs w:val="24"/>
        </w:rPr>
        <w:t xml:space="preserve">The Human Rights Campaign Foundation (2018). 2018 LGBTQ Youth Report. Retrieved from </w:t>
      </w:r>
      <w:hyperlink r:id="rId13" w:history="1">
        <w:r w:rsidRPr="00CD2A77">
          <w:rPr>
            <w:rStyle w:val="Hyperlink"/>
            <w:rFonts w:ascii="Times New Roman" w:eastAsia="Times New Roman" w:hAnsi="Times New Roman" w:cs="Times New Roman"/>
            <w:szCs w:val="24"/>
          </w:rPr>
          <w:t>https://hrc-prod-requests.s3-us-west-2.amazonaws.com/files/assets/resources/2018-YouthReport-NoVid.pdf</w:t>
        </w:r>
      </w:hyperlink>
    </w:p>
    <w:p w:rsidR="000A2B37" w:rsidP="00914611" w14:paraId="2E39EE3C" w14:textId="77777777">
      <w:pPr>
        <w:rPr>
          <w:rFonts w:ascii="Times New Roman" w:eastAsia="Times New Roman" w:hAnsi="Times New Roman" w:cs="Times New Roman"/>
          <w:szCs w:val="24"/>
        </w:rPr>
      </w:pPr>
    </w:p>
    <w:p w:rsidR="00914611" w:rsidRPr="007C0DCD" w:rsidP="00914611" w14:paraId="51269966" w14:textId="7FC4D1B4">
      <w:pPr>
        <w:rPr>
          <w:rFonts w:ascii="Times New Roman" w:eastAsia="Times New Roman" w:hAnsi="Times New Roman" w:cs="Times New Roman"/>
          <w:szCs w:val="24"/>
        </w:rPr>
      </w:pPr>
      <w:r w:rsidRPr="007C0DCD">
        <w:rPr>
          <w:rFonts w:ascii="Times New Roman" w:eastAsia="Times New Roman" w:hAnsi="Times New Roman" w:cs="Times New Roman"/>
          <w:szCs w:val="24"/>
        </w:rPr>
        <w:t xml:space="preserve">Kaplan RC, </w:t>
      </w:r>
      <w:r w:rsidRPr="007C0DCD">
        <w:rPr>
          <w:rFonts w:ascii="Times New Roman" w:eastAsia="Times New Roman" w:hAnsi="Times New Roman" w:cs="Times New Roman"/>
          <w:szCs w:val="24"/>
        </w:rPr>
        <w:t>Bangdiala</w:t>
      </w:r>
      <w:r w:rsidRPr="007C0DCD">
        <w:rPr>
          <w:rFonts w:ascii="Times New Roman" w:eastAsia="Times New Roman" w:hAnsi="Times New Roman" w:cs="Times New Roman"/>
          <w:szCs w:val="24"/>
        </w:rPr>
        <w:t xml:space="preserve"> SI, Barnhart JM, et al. Smoking among US Hispanic/Latino adults: The Hispanic Community Health Study/Study of Latinos. Am J </w:t>
      </w:r>
      <w:r w:rsidRPr="007C0DCD">
        <w:rPr>
          <w:rFonts w:ascii="Times New Roman" w:eastAsia="Times New Roman" w:hAnsi="Times New Roman" w:cs="Times New Roman"/>
          <w:szCs w:val="24"/>
        </w:rPr>
        <w:t>Prev</w:t>
      </w:r>
      <w:r w:rsidRPr="007C0DCD">
        <w:rPr>
          <w:rFonts w:ascii="Times New Roman" w:eastAsia="Times New Roman" w:hAnsi="Times New Roman" w:cs="Times New Roman"/>
          <w:szCs w:val="24"/>
        </w:rPr>
        <w:t xml:space="preserve"> Med. 2014;46(5):496-506. </w:t>
      </w:r>
      <w:r w:rsidRPr="007C0DCD">
        <w:rPr>
          <w:rFonts w:ascii="Times New Roman" w:eastAsia="Times New Roman" w:hAnsi="Times New Roman" w:cs="Times New Roman"/>
          <w:szCs w:val="24"/>
        </w:rPr>
        <w:t>doi:10.1016/j.amepre</w:t>
      </w:r>
      <w:r w:rsidRPr="007C0DCD">
        <w:rPr>
          <w:rFonts w:ascii="Times New Roman" w:eastAsia="Times New Roman" w:hAnsi="Times New Roman" w:cs="Times New Roman"/>
          <w:szCs w:val="24"/>
        </w:rPr>
        <w:t>.2014.01.014</w:t>
      </w:r>
    </w:p>
    <w:p w:rsidR="00F44868" w:rsidP="00F44868" w14:paraId="5B130C6C" w14:textId="77777777">
      <w:pPr>
        <w:pStyle w:val="CommentText"/>
        <w:rPr>
          <w:rFonts w:ascii="Times New Roman" w:hAnsi="Times New Roman" w:cs="Times New Roman"/>
          <w:sz w:val="24"/>
          <w:szCs w:val="24"/>
        </w:rPr>
      </w:pPr>
    </w:p>
    <w:p w:rsidR="00F44868" w:rsidRPr="000B6DEB" w:rsidP="00F44868" w14:paraId="0F01930C" w14:textId="3DFBB468">
      <w:pPr>
        <w:pStyle w:val="CommentText"/>
        <w:rPr>
          <w:rFonts w:ascii="Times New Roman" w:hAnsi="Times New Roman" w:cs="Times New Roman"/>
          <w:sz w:val="24"/>
          <w:szCs w:val="24"/>
        </w:rPr>
      </w:pPr>
      <w:r w:rsidRPr="000B6DEB">
        <w:rPr>
          <w:rFonts w:ascii="Times New Roman" w:hAnsi="Times New Roman" w:cs="Times New Roman"/>
          <w:sz w:val="24"/>
          <w:szCs w:val="24"/>
        </w:rPr>
        <w:t>LeClere</w:t>
      </w:r>
      <w:r w:rsidRPr="000B6DEB">
        <w:rPr>
          <w:rFonts w:ascii="Times New Roman" w:hAnsi="Times New Roman" w:cs="Times New Roman"/>
          <w:sz w:val="24"/>
          <w:szCs w:val="24"/>
        </w:rPr>
        <w:t xml:space="preserve"> F et al. (2012). Household early bird incentives: leveraging family influence to improve household response rates. In American Statistical Association Joint Statistical Meetings, Section on Survey Research</w:t>
      </w:r>
      <w:r>
        <w:rPr>
          <w:rFonts w:ascii="Times New Roman" w:hAnsi="Times New Roman" w:cs="Times New Roman"/>
          <w:sz w:val="24"/>
          <w:szCs w:val="24"/>
        </w:rPr>
        <w:t>.</w:t>
      </w:r>
    </w:p>
    <w:p w:rsidR="005A7803" w:rsidRPr="005A7803" w:rsidP="005A7803" w14:paraId="271BEFCF" w14:textId="77777777">
      <w:pPr>
        <w:spacing w:before="100" w:beforeAutospacing="1" w:after="100" w:afterAutospacing="1"/>
        <w:rPr>
          <w:rFonts w:ascii="Times New Roman" w:hAnsi="Times New Roman" w:cs="Times New Roman"/>
          <w:color w:val="222222"/>
          <w:shd w:val="clear" w:color="auto" w:fill="FFFFFF"/>
        </w:rPr>
      </w:pPr>
      <w:r w:rsidRPr="005A7803">
        <w:rPr>
          <w:rFonts w:ascii="Times New Roman" w:hAnsi="Times New Roman" w:cs="Times New Roman"/>
          <w:color w:val="222222"/>
          <w:shd w:val="clear" w:color="auto" w:fill="FFFFFF"/>
        </w:rPr>
        <w:t xml:space="preserve">McCabe, S. E., Matthews, A. K., Lee, J. G., </w:t>
      </w:r>
      <w:r w:rsidRPr="005A7803">
        <w:rPr>
          <w:rFonts w:ascii="Times New Roman" w:hAnsi="Times New Roman" w:cs="Times New Roman"/>
          <w:color w:val="222222"/>
          <w:shd w:val="clear" w:color="auto" w:fill="FFFFFF"/>
        </w:rPr>
        <w:t>Veliz</w:t>
      </w:r>
      <w:r w:rsidRPr="005A7803">
        <w:rPr>
          <w:rFonts w:ascii="Times New Roman" w:hAnsi="Times New Roman" w:cs="Times New Roman"/>
          <w:color w:val="222222"/>
          <w:shd w:val="clear" w:color="auto" w:fill="FFFFFF"/>
        </w:rPr>
        <w:t>, P., Hughes, T. L., &amp; Boyd, C. J. (2018). Tobacco use and sexual orientation in a national cross-sectional study: age, race/ethnicity, and sexual identity–attraction differences. </w:t>
      </w:r>
      <w:r w:rsidRPr="005A7803">
        <w:rPr>
          <w:rFonts w:ascii="Times New Roman" w:hAnsi="Times New Roman" w:cs="Times New Roman"/>
          <w:i/>
          <w:iCs/>
          <w:color w:val="222222"/>
          <w:shd w:val="clear" w:color="auto" w:fill="FFFFFF"/>
        </w:rPr>
        <w:t>American journal of preventive medicine</w:t>
      </w:r>
      <w:r w:rsidRPr="005A7803">
        <w:rPr>
          <w:rFonts w:ascii="Times New Roman" w:hAnsi="Times New Roman" w:cs="Times New Roman"/>
          <w:color w:val="222222"/>
          <w:shd w:val="clear" w:color="auto" w:fill="FFFFFF"/>
        </w:rPr>
        <w:t>, </w:t>
      </w:r>
      <w:r w:rsidRPr="005A7803">
        <w:rPr>
          <w:rFonts w:ascii="Times New Roman" w:hAnsi="Times New Roman" w:cs="Times New Roman"/>
          <w:i/>
          <w:iCs/>
          <w:color w:val="222222"/>
          <w:shd w:val="clear" w:color="auto" w:fill="FFFFFF"/>
        </w:rPr>
        <w:t>54</w:t>
      </w:r>
      <w:r w:rsidRPr="005A7803">
        <w:rPr>
          <w:rFonts w:ascii="Times New Roman" w:hAnsi="Times New Roman" w:cs="Times New Roman"/>
          <w:color w:val="222222"/>
          <w:shd w:val="clear" w:color="auto" w:fill="FFFFFF"/>
        </w:rPr>
        <w:t>(6), 736-745.</w:t>
      </w:r>
    </w:p>
    <w:p w:rsidR="005A7803" w:rsidRPr="005A7803" w:rsidP="005A7803" w14:paraId="75CBAFA3" w14:textId="08512368">
      <w:pPr>
        <w:spacing w:before="100" w:beforeAutospacing="1" w:after="100" w:afterAutospacing="1"/>
        <w:rPr>
          <w:rFonts w:ascii="Times New Roman" w:hAnsi="Times New Roman" w:cs="Times New Roman"/>
          <w:color w:val="222222"/>
          <w:shd w:val="clear" w:color="auto" w:fill="FFFFFF"/>
        </w:rPr>
      </w:pPr>
      <w:r w:rsidRPr="005A7803">
        <w:rPr>
          <w:rFonts w:ascii="Times New Roman" w:hAnsi="Times New Roman" w:cs="Times New Roman"/>
          <w:color w:val="222222"/>
          <w:shd w:val="clear" w:color="auto" w:fill="FFFFFF"/>
        </w:rPr>
        <w:t xml:space="preserve">Odani, S., </w:t>
      </w:r>
      <w:r w:rsidRPr="005A7803">
        <w:rPr>
          <w:rFonts w:ascii="Times New Roman" w:hAnsi="Times New Roman" w:cs="Times New Roman"/>
          <w:color w:val="222222"/>
          <w:shd w:val="clear" w:color="auto" w:fill="FFFFFF"/>
        </w:rPr>
        <w:t>Armour</w:t>
      </w:r>
      <w:r w:rsidRPr="005A7803">
        <w:rPr>
          <w:rFonts w:ascii="Times New Roman" w:hAnsi="Times New Roman" w:cs="Times New Roman"/>
          <w:color w:val="222222"/>
          <w:shd w:val="clear" w:color="auto" w:fill="FFFFFF"/>
        </w:rPr>
        <w:t xml:space="preserve">, B. S., &amp; </w:t>
      </w:r>
      <w:r w:rsidRPr="005A7803">
        <w:rPr>
          <w:rFonts w:ascii="Times New Roman" w:hAnsi="Times New Roman" w:cs="Times New Roman"/>
          <w:color w:val="222222"/>
          <w:shd w:val="clear" w:color="auto" w:fill="FFFFFF"/>
        </w:rPr>
        <w:t>Agaku</w:t>
      </w:r>
      <w:r w:rsidRPr="005A7803">
        <w:rPr>
          <w:rFonts w:ascii="Times New Roman" w:hAnsi="Times New Roman" w:cs="Times New Roman"/>
          <w:color w:val="222222"/>
          <w:shd w:val="clear" w:color="auto" w:fill="FFFFFF"/>
        </w:rPr>
        <w:t>, I. T. (2018). Racial/ethnic disparities in tobacco product use among middle and high school students—United States, 2014–2017. </w:t>
      </w:r>
      <w:r w:rsidRPr="005A7803">
        <w:rPr>
          <w:rFonts w:ascii="Times New Roman" w:hAnsi="Times New Roman" w:cs="Times New Roman"/>
          <w:i/>
          <w:iCs/>
          <w:color w:val="222222"/>
          <w:shd w:val="clear" w:color="auto" w:fill="FFFFFF"/>
        </w:rPr>
        <w:t>Morbidity and Mortality Weekly Report</w:t>
      </w:r>
      <w:r w:rsidRPr="005A7803">
        <w:rPr>
          <w:rFonts w:ascii="Times New Roman" w:hAnsi="Times New Roman" w:cs="Times New Roman"/>
          <w:color w:val="222222"/>
          <w:shd w:val="clear" w:color="auto" w:fill="FFFFFF"/>
        </w:rPr>
        <w:t>, </w:t>
      </w:r>
      <w:r w:rsidRPr="005A7803">
        <w:rPr>
          <w:rFonts w:ascii="Times New Roman" w:hAnsi="Times New Roman" w:cs="Times New Roman"/>
          <w:i/>
          <w:iCs/>
          <w:color w:val="222222"/>
          <w:shd w:val="clear" w:color="auto" w:fill="FFFFFF"/>
        </w:rPr>
        <w:t>67</w:t>
      </w:r>
      <w:r w:rsidRPr="005A7803">
        <w:rPr>
          <w:rFonts w:ascii="Times New Roman" w:hAnsi="Times New Roman" w:cs="Times New Roman"/>
          <w:color w:val="222222"/>
          <w:shd w:val="clear" w:color="auto" w:fill="FFFFFF"/>
        </w:rPr>
        <w:t>(34), 952.</w:t>
      </w:r>
    </w:p>
    <w:p w:rsidR="00914611" w:rsidP="00914611" w14:paraId="7678640E" w14:textId="77777777">
      <w:pPr>
        <w:rPr>
          <w:rFonts w:ascii="Times New Roman" w:eastAsia="Times New Roman" w:hAnsi="Times New Roman" w:cs="Times New Roman"/>
          <w:szCs w:val="24"/>
        </w:rPr>
      </w:pPr>
      <w:r w:rsidRPr="005A78EA">
        <w:rPr>
          <w:rFonts w:ascii="Times New Roman" w:eastAsia="Times New Roman" w:hAnsi="Times New Roman" w:cs="Times New Roman"/>
          <w:szCs w:val="24"/>
        </w:rPr>
        <w:t>Parrinello</w:t>
      </w:r>
      <w:r w:rsidRPr="005A78EA">
        <w:rPr>
          <w:rFonts w:ascii="Times New Roman" w:eastAsia="Times New Roman" w:hAnsi="Times New Roman" w:cs="Times New Roman"/>
          <w:szCs w:val="24"/>
        </w:rPr>
        <w:t xml:space="preserve"> CM, </w:t>
      </w:r>
      <w:r w:rsidRPr="005A78EA">
        <w:rPr>
          <w:rFonts w:ascii="Times New Roman" w:eastAsia="Times New Roman" w:hAnsi="Times New Roman" w:cs="Times New Roman"/>
          <w:szCs w:val="24"/>
        </w:rPr>
        <w:t>Isasi</w:t>
      </w:r>
      <w:r w:rsidRPr="005A78EA">
        <w:rPr>
          <w:rFonts w:ascii="Times New Roman" w:eastAsia="Times New Roman" w:hAnsi="Times New Roman" w:cs="Times New Roman"/>
          <w:szCs w:val="24"/>
        </w:rPr>
        <w:t xml:space="preserve"> CR, </w:t>
      </w:r>
      <w:r w:rsidRPr="005A78EA">
        <w:rPr>
          <w:rFonts w:ascii="Times New Roman" w:eastAsia="Times New Roman" w:hAnsi="Times New Roman" w:cs="Times New Roman"/>
          <w:szCs w:val="24"/>
        </w:rPr>
        <w:t>Xue</w:t>
      </w:r>
      <w:r w:rsidRPr="005A78EA">
        <w:rPr>
          <w:rFonts w:ascii="Times New Roman" w:eastAsia="Times New Roman" w:hAnsi="Times New Roman" w:cs="Times New Roman"/>
          <w:szCs w:val="24"/>
        </w:rPr>
        <w:t xml:space="preserve"> X, et al. Risk of cigarette smoking initiation during Adolescence among US-Born and non-US-born Hispanics/Latinos: The Hispanic Community Health Study/Study of Latinos. Am J Public Health. 2015;105(6):1230-1236. doi:10.2105/AJPH.2014.302155</w:t>
      </w:r>
    </w:p>
    <w:p w:rsidR="00914611" w:rsidRPr="005A78EA" w:rsidP="00914611" w14:paraId="46491BB4" w14:textId="77777777">
      <w:pPr>
        <w:rPr>
          <w:rFonts w:ascii="Times New Roman" w:eastAsia="Times New Roman" w:hAnsi="Times New Roman" w:cs="Times New Roman"/>
          <w:szCs w:val="24"/>
        </w:rPr>
      </w:pPr>
    </w:p>
    <w:p w:rsidR="00384F5F" w:rsidRPr="005B2DCC" w:rsidP="00384F5F" w14:paraId="5EA3768E"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 xml:space="preserve">Singer E. (2002). The use of incentives to reduce nonresponse in household surveys. In Survey Nonresponse, eds. Groves RM et al. 163-78. New York, NY: </w:t>
      </w:r>
      <w:r w:rsidRPr="005B2DCC">
        <w:rPr>
          <w:rFonts w:ascii="Times New Roman" w:hAnsi="Times New Roman" w:cs="Times New Roman"/>
          <w:sz w:val="24"/>
          <w:szCs w:val="24"/>
        </w:rPr>
        <w:t>Wiley;</w:t>
      </w:r>
      <w:r w:rsidRPr="005B2DCC">
        <w:rPr>
          <w:rFonts w:ascii="Times New Roman" w:hAnsi="Times New Roman" w:cs="Times New Roman"/>
          <w:sz w:val="24"/>
          <w:szCs w:val="24"/>
        </w:rPr>
        <w:t xml:space="preserve"> </w:t>
      </w:r>
    </w:p>
    <w:p w:rsidR="00384F5F" w:rsidP="00384F5F" w14:paraId="40081C0C" w14:textId="77777777">
      <w:pPr>
        <w:pStyle w:val="CommentText"/>
        <w:rPr>
          <w:rFonts w:ascii="Times New Roman" w:hAnsi="Times New Roman" w:cs="Times New Roman"/>
          <w:sz w:val="24"/>
          <w:szCs w:val="24"/>
        </w:rPr>
      </w:pPr>
    </w:p>
    <w:p w:rsidR="00384F5F" w:rsidRPr="005B2DCC" w:rsidP="00384F5F" w14:paraId="1228D8DF"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 xml:space="preserve">Singer E et al. (1998). Does the payment of incentives create expectation effects? Public </w:t>
      </w:r>
      <w:r w:rsidRPr="005B2DCC">
        <w:rPr>
          <w:rFonts w:ascii="Times New Roman" w:hAnsi="Times New Roman" w:cs="Times New Roman"/>
          <w:sz w:val="24"/>
          <w:szCs w:val="24"/>
        </w:rPr>
        <w:t>Opin</w:t>
      </w:r>
      <w:r w:rsidRPr="005B2DCC">
        <w:rPr>
          <w:rFonts w:ascii="Times New Roman" w:hAnsi="Times New Roman" w:cs="Times New Roman"/>
          <w:sz w:val="24"/>
          <w:szCs w:val="24"/>
        </w:rPr>
        <w:t xml:space="preserve"> Q. 62, 152-64.</w:t>
      </w:r>
    </w:p>
    <w:p w:rsidR="00384F5F" w:rsidP="00F44868" w14:paraId="24BB44E5" w14:textId="77777777">
      <w:pPr>
        <w:pStyle w:val="CommentText"/>
        <w:rPr>
          <w:rFonts w:ascii="Times New Roman" w:hAnsi="Times New Roman" w:cs="Times New Roman"/>
          <w:sz w:val="24"/>
          <w:szCs w:val="24"/>
        </w:rPr>
      </w:pPr>
    </w:p>
    <w:p w:rsidR="00F44868" w:rsidP="00F44868" w14:paraId="1E12458F" w14:textId="56054F2D">
      <w:pPr>
        <w:pStyle w:val="CommentText"/>
        <w:rPr>
          <w:rFonts w:ascii="Times New Roman" w:hAnsi="Times New Roman" w:cs="Times New Roman"/>
          <w:sz w:val="24"/>
          <w:szCs w:val="24"/>
        </w:rPr>
      </w:pPr>
      <w:r w:rsidRPr="00401705">
        <w:rPr>
          <w:rFonts w:ascii="Times New Roman" w:hAnsi="Times New Roman" w:cs="Times New Roman"/>
          <w:sz w:val="24"/>
          <w:szCs w:val="24"/>
        </w:rPr>
        <w:t>Singer E &amp; Ye C. (2013). The use and effects of incentives in surveys. The Annals of the American Academy of Political and Social Science. 645(1), 112-141</w:t>
      </w:r>
      <w:r>
        <w:rPr>
          <w:rFonts w:ascii="Times New Roman" w:hAnsi="Times New Roman" w:cs="Times New Roman"/>
          <w:sz w:val="24"/>
          <w:szCs w:val="24"/>
        </w:rPr>
        <w:t>.</w:t>
      </w:r>
    </w:p>
    <w:p w:rsidR="00F44868" w:rsidRPr="00401705" w:rsidP="00F44868" w14:paraId="323ADB13" w14:textId="77777777">
      <w:pPr>
        <w:pStyle w:val="CommentText"/>
        <w:rPr>
          <w:rFonts w:ascii="Times New Roman" w:hAnsi="Times New Roman" w:cs="Times New Roman"/>
          <w:sz w:val="24"/>
          <w:szCs w:val="24"/>
        </w:rPr>
      </w:pPr>
    </w:p>
    <w:p w:rsidR="00914611" w:rsidP="00914611" w14:paraId="38535E63" w14:textId="41D7E41D">
      <w:pPr>
        <w:rPr>
          <w:rFonts w:ascii="Times New Roman" w:eastAsia="Times New Roman" w:hAnsi="Times New Roman" w:cs="Times New Roman"/>
          <w:szCs w:val="24"/>
        </w:rPr>
      </w:pPr>
      <w:r w:rsidRPr="009E7583">
        <w:rPr>
          <w:rFonts w:ascii="Times New Roman" w:eastAsia="Times New Roman" w:hAnsi="Times New Roman" w:cs="Times New Roman"/>
          <w:szCs w:val="24"/>
        </w:rPr>
        <w:t>Slobig</w:t>
      </w:r>
      <w:r w:rsidRPr="009E7583">
        <w:rPr>
          <w:rFonts w:ascii="Times New Roman" w:eastAsia="Times New Roman" w:hAnsi="Times New Roman" w:cs="Times New Roman"/>
          <w:szCs w:val="24"/>
        </w:rPr>
        <w:t xml:space="preserve"> Z. Latino College Health Initiative: A Study of Tobacco-Related Health Disparities </w:t>
      </w:r>
      <w:r w:rsidRPr="009E7583">
        <w:rPr>
          <w:rFonts w:ascii="Times New Roman" w:eastAsia="Times New Roman" w:hAnsi="Times New Roman" w:cs="Times New Roman"/>
          <w:szCs w:val="24"/>
        </w:rPr>
        <w:t>In</w:t>
      </w:r>
      <w:r w:rsidRPr="009E7583">
        <w:rPr>
          <w:rFonts w:ascii="Times New Roman" w:eastAsia="Times New Roman" w:hAnsi="Times New Roman" w:cs="Times New Roman"/>
          <w:szCs w:val="24"/>
        </w:rPr>
        <w:t xml:space="preserve"> Hispanic/Latino Subpopulations. Truth Initiative; 2014:44. Accessed January 14, 2021. </w:t>
      </w:r>
      <w:hyperlink r:id="rId14" w:history="1">
        <w:r w:rsidRPr="00914611">
          <w:rPr>
            <w:rStyle w:val="Hyperlink"/>
            <w:rFonts w:ascii="Times New Roman" w:hAnsi="Times New Roman" w:cs="Times New Roman"/>
            <w:szCs w:val="24"/>
          </w:rPr>
          <w:t>https://truthinitiative.org/sites/default/files/media/files/2019/03/Latino_College_Health_Initative</w:t>
        </w:r>
        <w:r w:rsidRPr="00225F50">
          <w:rPr>
            <w:rStyle w:val="Hyperlink"/>
            <w:rFonts w:ascii="Times New Roman" w:eastAsia="Times New Roman" w:hAnsi="Times New Roman" w:cs="Times New Roman"/>
            <w:szCs w:val="24"/>
          </w:rPr>
          <w:t>_2014.pdf</w:t>
        </w:r>
      </w:hyperlink>
    </w:p>
    <w:p w:rsidR="00914611" w:rsidRPr="009E7583" w:rsidP="00914611" w14:paraId="697FC305" w14:textId="77777777">
      <w:pPr>
        <w:rPr>
          <w:rFonts w:ascii="Times New Roman" w:eastAsia="Times New Roman" w:hAnsi="Times New Roman" w:cs="Times New Roman"/>
          <w:szCs w:val="24"/>
        </w:rPr>
      </w:pPr>
    </w:p>
    <w:p w:rsidR="000F3BDF" w:rsidP="005A7803" w14:paraId="2A4CB35A" w14:textId="71C56370">
      <w:pPr>
        <w:spacing w:after="240"/>
        <w:rPr>
          <w:rFonts w:ascii="Times New Roman" w:hAnsi="Times New Roman" w:cs="Times New Roman"/>
        </w:rPr>
      </w:pPr>
      <w:r w:rsidRPr="000F3BDF">
        <w:rPr>
          <w:rFonts w:ascii="Times New Roman" w:hAnsi="Times New Roman" w:cs="Times New Roman"/>
        </w:rPr>
        <w:t>The Trevor Project (2020). National Survey on LGBTQ Youth Mental Health 2020. Retrieved from https://www.thetrevorproject.org/survey-2020/</w:t>
      </w:r>
    </w:p>
    <w:p w:rsidR="00F3750D" w:rsidP="005A7803" w14:paraId="63235150" w14:textId="5E9AA729">
      <w:pPr>
        <w:spacing w:after="240"/>
        <w:rPr>
          <w:rFonts w:ascii="Times New Roman" w:hAnsi="Times New Roman" w:cs="Times New Roman"/>
        </w:rPr>
      </w:pPr>
      <w:r w:rsidRPr="005A7803">
        <w:rPr>
          <w:rFonts w:ascii="Times New Roman" w:hAnsi="Times New Roman" w:cs="Times New Roman"/>
        </w:rPr>
        <w:t>Twose</w:t>
      </w:r>
      <w:r w:rsidRPr="005A7803">
        <w:rPr>
          <w:rFonts w:ascii="Times New Roman" w:hAnsi="Times New Roman" w:cs="Times New Roman"/>
        </w:rPr>
        <w:t xml:space="preserve">, D., &amp; Elmore, M. (2015, April). Online advertising: Not wearing out its welcome. </w:t>
      </w:r>
      <w:r w:rsidRPr="005A7803">
        <w:rPr>
          <w:rFonts w:ascii="Times New Roman" w:hAnsi="Times New Roman" w:cs="Times New Roman"/>
          <w:i/>
        </w:rPr>
        <w:t>Warc</w:t>
      </w:r>
      <w:r>
        <w:rPr>
          <w:rFonts w:ascii="Times New Roman" w:hAnsi="Times New Roman" w:cs="Times New Roman"/>
          <w:i/>
        </w:rPr>
        <w:t xml:space="preserve"> </w:t>
      </w:r>
      <w:r w:rsidRPr="005A7803">
        <w:rPr>
          <w:rFonts w:ascii="Times New Roman" w:hAnsi="Times New Roman" w:cs="Times New Roman"/>
          <w:i/>
        </w:rPr>
        <w:t xml:space="preserve">Exclusive, </w:t>
      </w:r>
      <w:r w:rsidRPr="005A7803">
        <w:rPr>
          <w:rFonts w:ascii="Times New Roman" w:hAnsi="Times New Roman" w:cs="Times New Roman"/>
          <w:i/>
        </w:rPr>
        <w:t>Millward</w:t>
      </w:r>
      <w:r w:rsidRPr="005A7803">
        <w:rPr>
          <w:rFonts w:ascii="Times New Roman" w:hAnsi="Times New Roman" w:cs="Times New Roman"/>
          <w:i/>
        </w:rPr>
        <w:t xml:space="preserve"> Brown</w:t>
      </w:r>
      <w:r w:rsidRPr="005A7803">
        <w:rPr>
          <w:rFonts w:ascii="Times New Roman" w:hAnsi="Times New Roman" w:cs="Times New Roman"/>
        </w:rPr>
        <w:t>.</w:t>
      </w:r>
    </w:p>
    <w:p w:rsidR="00D10A93" w:rsidP="005A7803" w14:paraId="19505838" w14:textId="7B0AA807">
      <w:pPr>
        <w:spacing w:after="240"/>
        <w:rPr>
          <w:rFonts w:ascii="Times New Roman" w:hAnsi="Times New Roman" w:cs="Times New Roman"/>
        </w:rPr>
      </w:pPr>
      <w:r w:rsidRPr="000F3BDF">
        <w:rPr>
          <w:rFonts w:ascii="Times New Roman" w:hAnsi="Times New Roman" w:cs="Times New Roman"/>
        </w:rPr>
        <w:t>The White House. (2022). Executive Order on Advancing Equality for Lesbian, Gay, Bisexual, Transgender, Queer, and Intersex Individuals.  Retrieved from</w:t>
      </w:r>
      <w:r w:rsidRPr="000F3BDF">
        <w:rPr>
          <w:rFonts w:ascii="Times New Roman" w:hAnsi="Times New Roman" w:cs="Times New Roman"/>
        </w:rPr>
        <w:tab/>
      </w:r>
      <w:r w:rsidRPr="000F3BDF">
        <w:rPr>
          <w:rFonts w:ascii="Times New Roman" w:hAnsi="Times New Roman" w:cs="Times New Roman"/>
        </w:rPr>
        <w:tab/>
      </w:r>
      <w:r w:rsidRPr="000F3BDF">
        <w:rPr>
          <w:rFonts w:ascii="Times New Roman" w:hAnsi="Times New Roman" w:cs="Times New Roman"/>
        </w:rPr>
        <w:tab/>
      </w:r>
      <w:r w:rsidRPr="000F3BDF">
        <w:rPr>
          <w:rFonts w:ascii="Times New Roman" w:hAnsi="Times New Roman" w:cs="Times New Roman"/>
        </w:rPr>
        <w:tab/>
      </w:r>
      <w:r w:rsidRPr="000F3BDF">
        <w:rPr>
          <w:rFonts w:ascii="Times New Roman" w:hAnsi="Times New Roman" w:cs="Times New Roman"/>
        </w:rPr>
        <w:tab/>
        <w:t xml:space="preserve"> https://www.whitehouse.gov/briefing-room/presidential-actions/2022/06/15/executive-</w:t>
      </w:r>
      <w:r w:rsidRPr="000F3BDF">
        <w:rPr>
          <w:rFonts w:ascii="Times New Roman" w:hAnsi="Times New Roman" w:cs="Times New Roman"/>
        </w:rPr>
        <w:tab/>
        <w:t>order-on-advancing-equality-for-lesbian-gay-bisexual-transgender-queer-and-intersex-</w:t>
      </w:r>
      <w:r w:rsidRPr="000F3BDF">
        <w:rPr>
          <w:rFonts w:ascii="Times New Roman" w:hAnsi="Times New Roman" w:cs="Times New Roman"/>
        </w:rPr>
        <w:tab/>
        <w:t>individuals/</w:t>
      </w:r>
    </w:p>
    <w:p w:rsidR="00F44868" w:rsidP="00E25848" w14:paraId="179AC66B" w14:textId="77777777">
      <w:pPr>
        <w:pStyle w:val="CommentText"/>
        <w:rPr>
          <w:rFonts w:ascii="Times New Roman" w:hAnsi="Times New Roman" w:cs="Times New Roman"/>
          <w:sz w:val="24"/>
          <w:szCs w:val="24"/>
        </w:rPr>
      </w:pPr>
    </w:p>
    <w:p w:rsidR="00F44868" w:rsidP="00E25848" w14:paraId="41760F5D" w14:textId="77777777">
      <w:pPr>
        <w:pStyle w:val="CommentText"/>
        <w:rPr>
          <w:rFonts w:ascii="Times New Roman" w:hAnsi="Times New Roman" w:cs="Times New Roman"/>
          <w:sz w:val="24"/>
          <w:szCs w:val="24"/>
        </w:rPr>
      </w:pPr>
    </w:p>
    <w:p w:rsidR="00F44868" w:rsidP="00E25848" w14:paraId="2CABA11C" w14:textId="77777777">
      <w:pPr>
        <w:pStyle w:val="CommentText"/>
        <w:rPr>
          <w:rFonts w:ascii="Times New Roman" w:hAnsi="Times New Roman" w:cs="Times New Roman"/>
          <w:sz w:val="24"/>
          <w:szCs w:val="24"/>
        </w:rPr>
      </w:pPr>
    </w:p>
    <w:p w:rsidR="00E25848" w:rsidRPr="00E559AC" w:rsidP="00E25848" w14:paraId="11724B5D" w14:textId="77777777">
      <w:pPr>
        <w:pStyle w:val="CommentText"/>
        <w:rPr>
          <w:rFonts w:ascii="Times New Roman" w:hAnsi="Times New Roman" w:cs="Times New Roman"/>
          <w:sz w:val="24"/>
          <w:szCs w:val="24"/>
        </w:rPr>
      </w:pPr>
    </w:p>
    <w:p w:rsidR="003A1276" w:rsidP="00E25848" w14:paraId="202A40CE" w14:textId="77777777">
      <w:pPr>
        <w:pStyle w:val="CommentText"/>
        <w:rPr>
          <w:rFonts w:ascii="Times New Roman" w:hAnsi="Times New Roman" w:cs="Times New Roman"/>
          <w:sz w:val="24"/>
          <w:szCs w:val="24"/>
        </w:rPr>
      </w:pPr>
    </w:p>
    <w:p w:rsidR="00914611" w:rsidP="005A7803" w14:paraId="5C0357EB" w14:textId="77777777">
      <w:pPr>
        <w:spacing w:after="240"/>
        <w:rPr>
          <w:rFonts w:ascii="Times New Roman" w:hAnsi="Times New Roman" w:cs="Times New Roman"/>
        </w:rPr>
      </w:pPr>
    </w:p>
    <w:p w:rsidR="00914611" w:rsidRPr="00914611" w:rsidP="00914611" w14:paraId="412FB425" w14:textId="4CAD6989">
      <w:pPr>
        <w:spacing w:after="240"/>
        <w:rPr>
          <w:rFonts w:ascii="Times New Roman" w:hAnsi="Times New Roman" w:cs="Times New Roman"/>
          <w:szCs w:val="24"/>
        </w:rPr>
      </w:pPr>
    </w:p>
    <w:sectPr w:rsidSect="00F3750D">
      <w:headerReference w:type="default" r:id="rId15"/>
      <w:footerReference w:type="default" r:id="rId16"/>
      <w:footerReference w:type="first" r:id="rId17"/>
      <w:pgSz w:w="12240" w:h="15840"/>
      <w:pgMar w:top="1440" w:right="1440" w:bottom="1440" w:left="1440" w:header="1440" w:footer="720" w:gutter="0"/>
      <w:pgNumType w:start="1"/>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1C3C90" w:rsidRPr="00533205" w14:paraId="412B4F53" w14:textId="77777777">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1C3C90" w:rsidRPr="00533205" w:rsidP="00F3750D" w14:paraId="358EED42" w14:textId="77777777">
    <w:pPr>
      <w:pStyle w:val="Footer"/>
      <w:rPr>
        <w:rFonts w:ascii="Times New Roman" w:hAnsi="Times New Roman" w:cs="Times New Roman"/>
        <w:sz w:val="16"/>
        <w:szCs w:val="16"/>
      </w:rPr>
    </w:pPr>
  </w:p>
  <w:p w:rsidR="001C3C90"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90" w:rsidRPr="00C361E3" w14:paraId="75487C9D" w14:textId="77777777">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1C3C90" w:rsidRPr="00C361E3" w14:paraId="78E17664" w14:textId="77777777">
    <w:pP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FD2" w14:paraId="4B3C10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0DDB3DA5"/>
    <w:multiLevelType w:val="hybridMultilevel"/>
    <w:tmpl w:val="48C65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A9543C3"/>
    <w:multiLevelType w:val="hybridMultilevel"/>
    <w:tmpl w:val="1436C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1E60882"/>
    <w:multiLevelType w:val="hybridMultilevel"/>
    <w:tmpl w:val="095C78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F33259"/>
    <w:multiLevelType w:val="hybridMultilevel"/>
    <w:tmpl w:val="7E589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BC3674"/>
    <w:multiLevelType w:val="hybridMultilevel"/>
    <w:tmpl w:val="D3ECAA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50F102F6"/>
    <w:multiLevelType w:val="hybridMultilevel"/>
    <w:tmpl w:val="AFF4D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0">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1">
    <w:nsid w:val="7C425333"/>
    <w:multiLevelType w:val="hybridMultilevel"/>
    <w:tmpl w:val="2AEE4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500047099">
    <w:abstractNumId w:val="17"/>
  </w:num>
  <w:num w:numId="2" w16cid:durableId="2098280557">
    <w:abstractNumId w:val="8"/>
  </w:num>
  <w:num w:numId="3" w16cid:durableId="1706366122">
    <w:abstractNumId w:val="7"/>
  </w:num>
  <w:num w:numId="4" w16cid:durableId="172840973">
    <w:abstractNumId w:val="2"/>
  </w:num>
  <w:num w:numId="5" w16cid:durableId="570694575">
    <w:abstractNumId w:val="18"/>
  </w:num>
  <w:num w:numId="6" w16cid:durableId="170798587">
    <w:abstractNumId w:val="19"/>
  </w:num>
  <w:num w:numId="7" w16cid:durableId="1101877789">
    <w:abstractNumId w:val="16"/>
  </w:num>
  <w:num w:numId="8" w16cid:durableId="1559198185">
    <w:abstractNumId w:val="22"/>
  </w:num>
  <w:num w:numId="9" w16cid:durableId="1930890865">
    <w:abstractNumId w:val="4"/>
  </w:num>
  <w:num w:numId="10" w16cid:durableId="93018759">
    <w:abstractNumId w:val="1"/>
  </w:num>
  <w:num w:numId="11" w16cid:durableId="889266604">
    <w:abstractNumId w:val="14"/>
  </w:num>
  <w:num w:numId="12" w16cid:durableId="1688212300">
    <w:abstractNumId w:val="0"/>
  </w:num>
  <w:num w:numId="13" w16cid:durableId="983465400">
    <w:abstractNumId w:val="20"/>
  </w:num>
  <w:num w:numId="14" w16cid:durableId="1979453975">
    <w:abstractNumId w:val="10"/>
  </w:num>
  <w:num w:numId="15" w16cid:durableId="72633338">
    <w:abstractNumId w:val="11"/>
  </w:num>
  <w:num w:numId="16" w16cid:durableId="1828589608">
    <w:abstractNumId w:val="5"/>
  </w:num>
  <w:num w:numId="17" w16cid:durableId="166137753">
    <w:abstractNumId w:val="12"/>
  </w:num>
  <w:num w:numId="18" w16cid:durableId="1875116367">
    <w:abstractNumId w:val="3"/>
  </w:num>
  <w:num w:numId="19" w16cid:durableId="1798795990">
    <w:abstractNumId w:val="9"/>
  </w:num>
  <w:num w:numId="20" w16cid:durableId="1700161683">
    <w:abstractNumId w:val="15"/>
  </w:num>
  <w:num w:numId="21" w16cid:durableId="1518350852">
    <w:abstractNumId w:val="6"/>
  </w:num>
  <w:num w:numId="22" w16cid:durableId="986207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4559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0986"/>
    <w:rsid w:val="00002241"/>
    <w:rsid w:val="00002944"/>
    <w:rsid w:val="000032DB"/>
    <w:rsid w:val="000036E7"/>
    <w:rsid w:val="00003EE0"/>
    <w:rsid w:val="000053B3"/>
    <w:rsid w:val="000068F9"/>
    <w:rsid w:val="00006F78"/>
    <w:rsid w:val="000143AE"/>
    <w:rsid w:val="000148BB"/>
    <w:rsid w:val="0001513D"/>
    <w:rsid w:val="0001548F"/>
    <w:rsid w:val="000172BC"/>
    <w:rsid w:val="0002113E"/>
    <w:rsid w:val="00021CA2"/>
    <w:rsid w:val="00023F60"/>
    <w:rsid w:val="00024BBF"/>
    <w:rsid w:val="00025BEE"/>
    <w:rsid w:val="00026F69"/>
    <w:rsid w:val="000278F8"/>
    <w:rsid w:val="000309F3"/>
    <w:rsid w:val="0003283B"/>
    <w:rsid w:val="000332A3"/>
    <w:rsid w:val="0003352D"/>
    <w:rsid w:val="00035A40"/>
    <w:rsid w:val="00040CE4"/>
    <w:rsid w:val="00041F56"/>
    <w:rsid w:val="00044764"/>
    <w:rsid w:val="00045B85"/>
    <w:rsid w:val="0004618F"/>
    <w:rsid w:val="000474CE"/>
    <w:rsid w:val="00047F68"/>
    <w:rsid w:val="000504F3"/>
    <w:rsid w:val="0005382D"/>
    <w:rsid w:val="00060393"/>
    <w:rsid w:val="00060998"/>
    <w:rsid w:val="00060E16"/>
    <w:rsid w:val="00060E42"/>
    <w:rsid w:val="000613D1"/>
    <w:rsid w:val="0006147E"/>
    <w:rsid w:val="000619D5"/>
    <w:rsid w:val="00063017"/>
    <w:rsid w:val="00064E3C"/>
    <w:rsid w:val="00066E34"/>
    <w:rsid w:val="000675C5"/>
    <w:rsid w:val="00067DE4"/>
    <w:rsid w:val="000703E2"/>
    <w:rsid w:val="00070B99"/>
    <w:rsid w:val="0007307E"/>
    <w:rsid w:val="0007361D"/>
    <w:rsid w:val="000738BD"/>
    <w:rsid w:val="00073B0B"/>
    <w:rsid w:val="00074933"/>
    <w:rsid w:val="00074DCB"/>
    <w:rsid w:val="0007746D"/>
    <w:rsid w:val="00077B16"/>
    <w:rsid w:val="00081573"/>
    <w:rsid w:val="00081E67"/>
    <w:rsid w:val="00082051"/>
    <w:rsid w:val="00082A84"/>
    <w:rsid w:val="00083074"/>
    <w:rsid w:val="00084738"/>
    <w:rsid w:val="00084FBD"/>
    <w:rsid w:val="000863E2"/>
    <w:rsid w:val="00086ACF"/>
    <w:rsid w:val="00087882"/>
    <w:rsid w:val="00091635"/>
    <w:rsid w:val="00091895"/>
    <w:rsid w:val="000930C5"/>
    <w:rsid w:val="00095051"/>
    <w:rsid w:val="000951E2"/>
    <w:rsid w:val="000A0B6A"/>
    <w:rsid w:val="000A2830"/>
    <w:rsid w:val="000A2B37"/>
    <w:rsid w:val="000A3256"/>
    <w:rsid w:val="000A44B0"/>
    <w:rsid w:val="000A45E1"/>
    <w:rsid w:val="000A5A71"/>
    <w:rsid w:val="000A5D80"/>
    <w:rsid w:val="000A61B9"/>
    <w:rsid w:val="000A7846"/>
    <w:rsid w:val="000A7ECE"/>
    <w:rsid w:val="000B1C97"/>
    <w:rsid w:val="000B2102"/>
    <w:rsid w:val="000B309E"/>
    <w:rsid w:val="000B3FC9"/>
    <w:rsid w:val="000B69D8"/>
    <w:rsid w:val="000B6DEB"/>
    <w:rsid w:val="000B775D"/>
    <w:rsid w:val="000C559C"/>
    <w:rsid w:val="000C5E18"/>
    <w:rsid w:val="000D0248"/>
    <w:rsid w:val="000D1336"/>
    <w:rsid w:val="000D20D8"/>
    <w:rsid w:val="000D343E"/>
    <w:rsid w:val="000D411B"/>
    <w:rsid w:val="000D411F"/>
    <w:rsid w:val="000D4771"/>
    <w:rsid w:val="000D4DC0"/>
    <w:rsid w:val="000D4FF0"/>
    <w:rsid w:val="000D5DEB"/>
    <w:rsid w:val="000D72BE"/>
    <w:rsid w:val="000D798A"/>
    <w:rsid w:val="000E034C"/>
    <w:rsid w:val="000E12A7"/>
    <w:rsid w:val="000E19AB"/>
    <w:rsid w:val="000E25B1"/>
    <w:rsid w:val="000E3693"/>
    <w:rsid w:val="000E3B88"/>
    <w:rsid w:val="000E56C9"/>
    <w:rsid w:val="000E5FA5"/>
    <w:rsid w:val="000E6519"/>
    <w:rsid w:val="000E6D9D"/>
    <w:rsid w:val="000F06BD"/>
    <w:rsid w:val="000F0744"/>
    <w:rsid w:val="000F186D"/>
    <w:rsid w:val="000F3BDF"/>
    <w:rsid w:val="000F4B45"/>
    <w:rsid w:val="000F58B4"/>
    <w:rsid w:val="000F5C22"/>
    <w:rsid w:val="000F6514"/>
    <w:rsid w:val="00101059"/>
    <w:rsid w:val="00101E13"/>
    <w:rsid w:val="00102729"/>
    <w:rsid w:val="00106CD5"/>
    <w:rsid w:val="00107654"/>
    <w:rsid w:val="001102A3"/>
    <w:rsid w:val="0011041C"/>
    <w:rsid w:val="001122BA"/>
    <w:rsid w:val="001124F6"/>
    <w:rsid w:val="0012116A"/>
    <w:rsid w:val="00125FFB"/>
    <w:rsid w:val="001262DB"/>
    <w:rsid w:val="00126416"/>
    <w:rsid w:val="00127E47"/>
    <w:rsid w:val="001300D6"/>
    <w:rsid w:val="00132675"/>
    <w:rsid w:val="001337CF"/>
    <w:rsid w:val="0013486F"/>
    <w:rsid w:val="00134DCE"/>
    <w:rsid w:val="00134FC0"/>
    <w:rsid w:val="001351D7"/>
    <w:rsid w:val="00135A27"/>
    <w:rsid w:val="001363C9"/>
    <w:rsid w:val="00136E4C"/>
    <w:rsid w:val="00137BE2"/>
    <w:rsid w:val="00141E5C"/>
    <w:rsid w:val="001453F7"/>
    <w:rsid w:val="00145878"/>
    <w:rsid w:val="00150BF4"/>
    <w:rsid w:val="001510BF"/>
    <w:rsid w:val="00151120"/>
    <w:rsid w:val="00153FD0"/>
    <w:rsid w:val="00154907"/>
    <w:rsid w:val="001552FA"/>
    <w:rsid w:val="00156280"/>
    <w:rsid w:val="00156689"/>
    <w:rsid w:val="001615A1"/>
    <w:rsid w:val="00170D27"/>
    <w:rsid w:val="001721E9"/>
    <w:rsid w:val="00173375"/>
    <w:rsid w:val="00174AD6"/>
    <w:rsid w:val="0017568B"/>
    <w:rsid w:val="00175A31"/>
    <w:rsid w:val="0017609F"/>
    <w:rsid w:val="00176A83"/>
    <w:rsid w:val="001773E2"/>
    <w:rsid w:val="001802E6"/>
    <w:rsid w:val="00181C0D"/>
    <w:rsid w:val="00182D04"/>
    <w:rsid w:val="00183EE4"/>
    <w:rsid w:val="00183FEA"/>
    <w:rsid w:val="001850E4"/>
    <w:rsid w:val="00185DBE"/>
    <w:rsid w:val="00186EB5"/>
    <w:rsid w:val="00190386"/>
    <w:rsid w:val="001905FB"/>
    <w:rsid w:val="001908F9"/>
    <w:rsid w:val="001924B5"/>
    <w:rsid w:val="00193625"/>
    <w:rsid w:val="0019389D"/>
    <w:rsid w:val="00195522"/>
    <w:rsid w:val="001A059D"/>
    <w:rsid w:val="001A0AC4"/>
    <w:rsid w:val="001A0AD7"/>
    <w:rsid w:val="001A0B37"/>
    <w:rsid w:val="001A0E0E"/>
    <w:rsid w:val="001A0F63"/>
    <w:rsid w:val="001A253C"/>
    <w:rsid w:val="001A30B0"/>
    <w:rsid w:val="001A3C31"/>
    <w:rsid w:val="001A3D3B"/>
    <w:rsid w:val="001A3D46"/>
    <w:rsid w:val="001A426D"/>
    <w:rsid w:val="001A5391"/>
    <w:rsid w:val="001A6C34"/>
    <w:rsid w:val="001A7059"/>
    <w:rsid w:val="001A741D"/>
    <w:rsid w:val="001B0020"/>
    <w:rsid w:val="001B0336"/>
    <w:rsid w:val="001B0ADA"/>
    <w:rsid w:val="001B5682"/>
    <w:rsid w:val="001B7AFB"/>
    <w:rsid w:val="001C0791"/>
    <w:rsid w:val="001C2B53"/>
    <w:rsid w:val="001C34F8"/>
    <w:rsid w:val="001C3C90"/>
    <w:rsid w:val="001C45B9"/>
    <w:rsid w:val="001C4BEF"/>
    <w:rsid w:val="001C6314"/>
    <w:rsid w:val="001C7AEF"/>
    <w:rsid w:val="001D081E"/>
    <w:rsid w:val="001D0BA4"/>
    <w:rsid w:val="001D24DB"/>
    <w:rsid w:val="001D2C66"/>
    <w:rsid w:val="001D3031"/>
    <w:rsid w:val="001D5797"/>
    <w:rsid w:val="001D773C"/>
    <w:rsid w:val="001D7888"/>
    <w:rsid w:val="001D78CC"/>
    <w:rsid w:val="001D7FDC"/>
    <w:rsid w:val="001E041C"/>
    <w:rsid w:val="001E11EE"/>
    <w:rsid w:val="001E403E"/>
    <w:rsid w:val="001E40EE"/>
    <w:rsid w:val="001E54F2"/>
    <w:rsid w:val="001E6213"/>
    <w:rsid w:val="001E654A"/>
    <w:rsid w:val="001E664B"/>
    <w:rsid w:val="001E72E4"/>
    <w:rsid w:val="001F01A8"/>
    <w:rsid w:val="001F116E"/>
    <w:rsid w:val="001F130B"/>
    <w:rsid w:val="001F44E5"/>
    <w:rsid w:val="001F4B52"/>
    <w:rsid w:val="001F7766"/>
    <w:rsid w:val="001F7840"/>
    <w:rsid w:val="0020085A"/>
    <w:rsid w:val="00200ADB"/>
    <w:rsid w:val="00200BDF"/>
    <w:rsid w:val="00201680"/>
    <w:rsid w:val="00201C2D"/>
    <w:rsid w:val="0020465D"/>
    <w:rsid w:val="0020650E"/>
    <w:rsid w:val="00207578"/>
    <w:rsid w:val="0021111A"/>
    <w:rsid w:val="00213B44"/>
    <w:rsid w:val="00215D6D"/>
    <w:rsid w:val="00215E19"/>
    <w:rsid w:val="00217017"/>
    <w:rsid w:val="00217C8E"/>
    <w:rsid w:val="00221A76"/>
    <w:rsid w:val="00222E53"/>
    <w:rsid w:val="002234B4"/>
    <w:rsid w:val="00223D05"/>
    <w:rsid w:val="00225F50"/>
    <w:rsid w:val="00227B2B"/>
    <w:rsid w:val="002329D0"/>
    <w:rsid w:val="00232B60"/>
    <w:rsid w:val="00233374"/>
    <w:rsid w:val="00233ADB"/>
    <w:rsid w:val="002357D4"/>
    <w:rsid w:val="00236C42"/>
    <w:rsid w:val="00236DB7"/>
    <w:rsid w:val="002377CB"/>
    <w:rsid w:val="0023788E"/>
    <w:rsid w:val="002450C9"/>
    <w:rsid w:val="002462E5"/>
    <w:rsid w:val="00246449"/>
    <w:rsid w:val="0024771E"/>
    <w:rsid w:val="002479F7"/>
    <w:rsid w:val="00250CB6"/>
    <w:rsid w:val="00250FFD"/>
    <w:rsid w:val="002525CB"/>
    <w:rsid w:val="002528DD"/>
    <w:rsid w:val="00252D3F"/>
    <w:rsid w:val="00254FC0"/>
    <w:rsid w:val="00257AD0"/>
    <w:rsid w:val="0026002E"/>
    <w:rsid w:val="002609B2"/>
    <w:rsid w:val="00263FEB"/>
    <w:rsid w:val="0026528C"/>
    <w:rsid w:val="0026609A"/>
    <w:rsid w:val="00266298"/>
    <w:rsid w:val="002672EC"/>
    <w:rsid w:val="002674D8"/>
    <w:rsid w:val="00271FE2"/>
    <w:rsid w:val="00271FF9"/>
    <w:rsid w:val="0027203A"/>
    <w:rsid w:val="002744F8"/>
    <w:rsid w:val="00276159"/>
    <w:rsid w:val="00276765"/>
    <w:rsid w:val="00276A1B"/>
    <w:rsid w:val="00277A81"/>
    <w:rsid w:val="00280A46"/>
    <w:rsid w:val="00280AF0"/>
    <w:rsid w:val="00283733"/>
    <w:rsid w:val="00283F76"/>
    <w:rsid w:val="00283FAE"/>
    <w:rsid w:val="00283FF0"/>
    <w:rsid w:val="00285266"/>
    <w:rsid w:val="00286884"/>
    <w:rsid w:val="00286C05"/>
    <w:rsid w:val="0028720A"/>
    <w:rsid w:val="00287E9D"/>
    <w:rsid w:val="0029136E"/>
    <w:rsid w:val="002914BC"/>
    <w:rsid w:val="00292465"/>
    <w:rsid w:val="00294D67"/>
    <w:rsid w:val="002952B6"/>
    <w:rsid w:val="00295C8E"/>
    <w:rsid w:val="002966AE"/>
    <w:rsid w:val="00296E7B"/>
    <w:rsid w:val="0029778B"/>
    <w:rsid w:val="002A2C08"/>
    <w:rsid w:val="002A3256"/>
    <w:rsid w:val="002A3C48"/>
    <w:rsid w:val="002A3FC6"/>
    <w:rsid w:val="002A4358"/>
    <w:rsid w:val="002A4557"/>
    <w:rsid w:val="002B082D"/>
    <w:rsid w:val="002B0B65"/>
    <w:rsid w:val="002B17C8"/>
    <w:rsid w:val="002B182B"/>
    <w:rsid w:val="002B4547"/>
    <w:rsid w:val="002B61A4"/>
    <w:rsid w:val="002C02BA"/>
    <w:rsid w:val="002C1583"/>
    <w:rsid w:val="002C492B"/>
    <w:rsid w:val="002C5950"/>
    <w:rsid w:val="002C6917"/>
    <w:rsid w:val="002C6CB4"/>
    <w:rsid w:val="002D0E8D"/>
    <w:rsid w:val="002D16AE"/>
    <w:rsid w:val="002D1729"/>
    <w:rsid w:val="002D2866"/>
    <w:rsid w:val="002D2F2D"/>
    <w:rsid w:val="002D3500"/>
    <w:rsid w:val="002D3C0E"/>
    <w:rsid w:val="002D3FDE"/>
    <w:rsid w:val="002D4547"/>
    <w:rsid w:val="002D4825"/>
    <w:rsid w:val="002D6CA4"/>
    <w:rsid w:val="002E018E"/>
    <w:rsid w:val="002E0ED6"/>
    <w:rsid w:val="002E25F5"/>
    <w:rsid w:val="002E2FAF"/>
    <w:rsid w:val="002E6BD3"/>
    <w:rsid w:val="002E6FE8"/>
    <w:rsid w:val="002E7027"/>
    <w:rsid w:val="002E7C62"/>
    <w:rsid w:val="002F0393"/>
    <w:rsid w:val="002F315C"/>
    <w:rsid w:val="002F4027"/>
    <w:rsid w:val="002F445D"/>
    <w:rsid w:val="002F752B"/>
    <w:rsid w:val="002F75DD"/>
    <w:rsid w:val="00301171"/>
    <w:rsid w:val="00301FDC"/>
    <w:rsid w:val="003033B2"/>
    <w:rsid w:val="00305073"/>
    <w:rsid w:val="003054FA"/>
    <w:rsid w:val="00305C7F"/>
    <w:rsid w:val="0030679B"/>
    <w:rsid w:val="003073FF"/>
    <w:rsid w:val="00307536"/>
    <w:rsid w:val="003075C0"/>
    <w:rsid w:val="003078D9"/>
    <w:rsid w:val="00310C64"/>
    <w:rsid w:val="003117C1"/>
    <w:rsid w:val="00313B5D"/>
    <w:rsid w:val="00314892"/>
    <w:rsid w:val="00314E88"/>
    <w:rsid w:val="003171F6"/>
    <w:rsid w:val="003176E9"/>
    <w:rsid w:val="00317A8E"/>
    <w:rsid w:val="00322482"/>
    <w:rsid w:val="00323749"/>
    <w:rsid w:val="00323D4B"/>
    <w:rsid w:val="00325822"/>
    <w:rsid w:val="00326F1D"/>
    <w:rsid w:val="00332E28"/>
    <w:rsid w:val="00333524"/>
    <w:rsid w:val="003348D2"/>
    <w:rsid w:val="003409FF"/>
    <w:rsid w:val="00341429"/>
    <w:rsid w:val="00341BA6"/>
    <w:rsid w:val="00341F9B"/>
    <w:rsid w:val="0034447E"/>
    <w:rsid w:val="00347BFC"/>
    <w:rsid w:val="00353182"/>
    <w:rsid w:val="003566CB"/>
    <w:rsid w:val="0035674A"/>
    <w:rsid w:val="0035744F"/>
    <w:rsid w:val="00360A01"/>
    <w:rsid w:val="00361278"/>
    <w:rsid w:val="00361FC2"/>
    <w:rsid w:val="00363182"/>
    <w:rsid w:val="00364525"/>
    <w:rsid w:val="0036495B"/>
    <w:rsid w:val="0036676F"/>
    <w:rsid w:val="00367890"/>
    <w:rsid w:val="0037144B"/>
    <w:rsid w:val="003717C0"/>
    <w:rsid w:val="003743A1"/>
    <w:rsid w:val="00374956"/>
    <w:rsid w:val="00375FFB"/>
    <w:rsid w:val="0037E295"/>
    <w:rsid w:val="00380681"/>
    <w:rsid w:val="0038070F"/>
    <w:rsid w:val="003807AB"/>
    <w:rsid w:val="00381EE5"/>
    <w:rsid w:val="00384655"/>
    <w:rsid w:val="00384F5F"/>
    <w:rsid w:val="00385330"/>
    <w:rsid w:val="0038537C"/>
    <w:rsid w:val="0039127B"/>
    <w:rsid w:val="003912C3"/>
    <w:rsid w:val="00391458"/>
    <w:rsid w:val="00392721"/>
    <w:rsid w:val="00392AE2"/>
    <w:rsid w:val="0039643B"/>
    <w:rsid w:val="00396958"/>
    <w:rsid w:val="003A1276"/>
    <w:rsid w:val="003A2D96"/>
    <w:rsid w:val="003A40A0"/>
    <w:rsid w:val="003A58ED"/>
    <w:rsid w:val="003A5ADE"/>
    <w:rsid w:val="003A6106"/>
    <w:rsid w:val="003A6B65"/>
    <w:rsid w:val="003B0A99"/>
    <w:rsid w:val="003B0D03"/>
    <w:rsid w:val="003B22C5"/>
    <w:rsid w:val="003B2C38"/>
    <w:rsid w:val="003B7D28"/>
    <w:rsid w:val="003C3B98"/>
    <w:rsid w:val="003C44C1"/>
    <w:rsid w:val="003C72AF"/>
    <w:rsid w:val="003D1CB8"/>
    <w:rsid w:val="003D2AB2"/>
    <w:rsid w:val="003D2AF3"/>
    <w:rsid w:val="003D2DC3"/>
    <w:rsid w:val="003D3B9F"/>
    <w:rsid w:val="003D41C7"/>
    <w:rsid w:val="003D684C"/>
    <w:rsid w:val="003D6A04"/>
    <w:rsid w:val="003D6A14"/>
    <w:rsid w:val="003D6C5E"/>
    <w:rsid w:val="003E2C96"/>
    <w:rsid w:val="003E33EF"/>
    <w:rsid w:val="003E3DBD"/>
    <w:rsid w:val="003E3F65"/>
    <w:rsid w:val="003E41E6"/>
    <w:rsid w:val="003E4B98"/>
    <w:rsid w:val="003E5BB6"/>
    <w:rsid w:val="003E5DB0"/>
    <w:rsid w:val="003E6203"/>
    <w:rsid w:val="003E6735"/>
    <w:rsid w:val="003E6F07"/>
    <w:rsid w:val="003E7D6C"/>
    <w:rsid w:val="003F2AD1"/>
    <w:rsid w:val="003F5122"/>
    <w:rsid w:val="003F5998"/>
    <w:rsid w:val="003F6033"/>
    <w:rsid w:val="003F686E"/>
    <w:rsid w:val="003F6F63"/>
    <w:rsid w:val="00400114"/>
    <w:rsid w:val="00400983"/>
    <w:rsid w:val="00400D17"/>
    <w:rsid w:val="00400D78"/>
    <w:rsid w:val="00401705"/>
    <w:rsid w:val="00401C86"/>
    <w:rsid w:val="00402041"/>
    <w:rsid w:val="00402306"/>
    <w:rsid w:val="004023E0"/>
    <w:rsid w:val="00403E9F"/>
    <w:rsid w:val="00404293"/>
    <w:rsid w:val="0040584B"/>
    <w:rsid w:val="0040655D"/>
    <w:rsid w:val="00410035"/>
    <w:rsid w:val="00410D99"/>
    <w:rsid w:val="004138E6"/>
    <w:rsid w:val="00414FBB"/>
    <w:rsid w:val="004162C4"/>
    <w:rsid w:val="004164D2"/>
    <w:rsid w:val="004171F1"/>
    <w:rsid w:val="00417295"/>
    <w:rsid w:val="0041787E"/>
    <w:rsid w:val="00423C78"/>
    <w:rsid w:val="00425018"/>
    <w:rsid w:val="00425775"/>
    <w:rsid w:val="00427FC4"/>
    <w:rsid w:val="00430272"/>
    <w:rsid w:val="00431D30"/>
    <w:rsid w:val="00432208"/>
    <w:rsid w:val="004324B6"/>
    <w:rsid w:val="00433917"/>
    <w:rsid w:val="00436159"/>
    <w:rsid w:val="00436A9C"/>
    <w:rsid w:val="004373A1"/>
    <w:rsid w:val="00437638"/>
    <w:rsid w:val="004412EF"/>
    <w:rsid w:val="0044245A"/>
    <w:rsid w:val="00442D7B"/>
    <w:rsid w:val="00443BB3"/>
    <w:rsid w:val="0044663D"/>
    <w:rsid w:val="00453F6F"/>
    <w:rsid w:val="0045460B"/>
    <w:rsid w:val="00454BE1"/>
    <w:rsid w:val="00454C66"/>
    <w:rsid w:val="00455D87"/>
    <w:rsid w:val="00456F1C"/>
    <w:rsid w:val="00460726"/>
    <w:rsid w:val="004613B8"/>
    <w:rsid w:val="00464A80"/>
    <w:rsid w:val="00464FF5"/>
    <w:rsid w:val="004653C4"/>
    <w:rsid w:val="004657AA"/>
    <w:rsid w:val="0046592D"/>
    <w:rsid w:val="004665F7"/>
    <w:rsid w:val="0047074F"/>
    <w:rsid w:val="00471136"/>
    <w:rsid w:val="00471EFC"/>
    <w:rsid w:val="004740B6"/>
    <w:rsid w:val="0047563D"/>
    <w:rsid w:val="004756CB"/>
    <w:rsid w:val="00475A2B"/>
    <w:rsid w:val="004771F9"/>
    <w:rsid w:val="00481188"/>
    <w:rsid w:val="00481E74"/>
    <w:rsid w:val="004820A9"/>
    <w:rsid w:val="00482D94"/>
    <w:rsid w:val="00484332"/>
    <w:rsid w:val="004849E6"/>
    <w:rsid w:val="0048512E"/>
    <w:rsid w:val="00485CA0"/>
    <w:rsid w:val="00492721"/>
    <w:rsid w:val="00493C5D"/>
    <w:rsid w:val="0049474A"/>
    <w:rsid w:val="004A062E"/>
    <w:rsid w:val="004A08CE"/>
    <w:rsid w:val="004A35C7"/>
    <w:rsid w:val="004A3E11"/>
    <w:rsid w:val="004A4729"/>
    <w:rsid w:val="004A4B4F"/>
    <w:rsid w:val="004A4D8F"/>
    <w:rsid w:val="004A4F1F"/>
    <w:rsid w:val="004A4F73"/>
    <w:rsid w:val="004A65A2"/>
    <w:rsid w:val="004A6EEE"/>
    <w:rsid w:val="004AB1B5"/>
    <w:rsid w:val="004B3D08"/>
    <w:rsid w:val="004B3F3C"/>
    <w:rsid w:val="004B4D81"/>
    <w:rsid w:val="004B566C"/>
    <w:rsid w:val="004C0C3A"/>
    <w:rsid w:val="004C17B2"/>
    <w:rsid w:val="004C1CC5"/>
    <w:rsid w:val="004C22D0"/>
    <w:rsid w:val="004C3B82"/>
    <w:rsid w:val="004C4006"/>
    <w:rsid w:val="004C42D1"/>
    <w:rsid w:val="004C493B"/>
    <w:rsid w:val="004C4FD7"/>
    <w:rsid w:val="004C67CB"/>
    <w:rsid w:val="004C6D2E"/>
    <w:rsid w:val="004D2223"/>
    <w:rsid w:val="004D2CE7"/>
    <w:rsid w:val="004D4053"/>
    <w:rsid w:val="004D6182"/>
    <w:rsid w:val="004D68E7"/>
    <w:rsid w:val="004D71F7"/>
    <w:rsid w:val="004D779D"/>
    <w:rsid w:val="004D7FD8"/>
    <w:rsid w:val="004E1091"/>
    <w:rsid w:val="004E2456"/>
    <w:rsid w:val="004E330B"/>
    <w:rsid w:val="004E43DA"/>
    <w:rsid w:val="004E510C"/>
    <w:rsid w:val="004E52EE"/>
    <w:rsid w:val="004E58DB"/>
    <w:rsid w:val="004E616C"/>
    <w:rsid w:val="004E6205"/>
    <w:rsid w:val="004F02AA"/>
    <w:rsid w:val="004F055C"/>
    <w:rsid w:val="004F0C26"/>
    <w:rsid w:val="004F27E6"/>
    <w:rsid w:val="004F3931"/>
    <w:rsid w:val="004F3E01"/>
    <w:rsid w:val="004F4E2E"/>
    <w:rsid w:val="004F7070"/>
    <w:rsid w:val="004F730E"/>
    <w:rsid w:val="00504923"/>
    <w:rsid w:val="005055A6"/>
    <w:rsid w:val="00507039"/>
    <w:rsid w:val="00507198"/>
    <w:rsid w:val="0051117E"/>
    <w:rsid w:val="00511AA2"/>
    <w:rsid w:val="005125BA"/>
    <w:rsid w:val="00512F19"/>
    <w:rsid w:val="0051399E"/>
    <w:rsid w:val="00515B42"/>
    <w:rsid w:val="005162FE"/>
    <w:rsid w:val="00517103"/>
    <w:rsid w:val="00521345"/>
    <w:rsid w:val="0052201D"/>
    <w:rsid w:val="005237FB"/>
    <w:rsid w:val="00523992"/>
    <w:rsid w:val="00524143"/>
    <w:rsid w:val="005245DA"/>
    <w:rsid w:val="00524646"/>
    <w:rsid w:val="00525816"/>
    <w:rsid w:val="0052711D"/>
    <w:rsid w:val="00527F63"/>
    <w:rsid w:val="00530437"/>
    <w:rsid w:val="00530D8E"/>
    <w:rsid w:val="005310E9"/>
    <w:rsid w:val="0053257C"/>
    <w:rsid w:val="005325C9"/>
    <w:rsid w:val="00533205"/>
    <w:rsid w:val="00535495"/>
    <w:rsid w:val="00535511"/>
    <w:rsid w:val="005356B5"/>
    <w:rsid w:val="005358E2"/>
    <w:rsid w:val="00535BE0"/>
    <w:rsid w:val="0053661E"/>
    <w:rsid w:val="005368E6"/>
    <w:rsid w:val="00537B02"/>
    <w:rsid w:val="00542F75"/>
    <w:rsid w:val="00546FEB"/>
    <w:rsid w:val="005533B0"/>
    <w:rsid w:val="005573BF"/>
    <w:rsid w:val="00557C71"/>
    <w:rsid w:val="00560A57"/>
    <w:rsid w:val="00560FFC"/>
    <w:rsid w:val="0056107E"/>
    <w:rsid w:val="00563927"/>
    <w:rsid w:val="00563E1B"/>
    <w:rsid w:val="00567C59"/>
    <w:rsid w:val="00570B94"/>
    <w:rsid w:val="00570E91"/>
    <w:rsid w:val="0057179C"/>
    <w:rsid w:val="00572ABC"/>
    <w:rsid w:val="00574667"/>
    <w:rsid w:val="005773DC"/>
    <w:rsid w:val="00580A50"/>
    <w:rsid w:val="00583432"/>
    <w:rsid w:val="00584305"/>
    <w:rsid w:val="00584D19"/>
    <w:rsid w:val="00586660"/>
    <w:rsid w:val="00587661"/>
    <w:rsid w:val="00591069"/>
    <w:rsid w:val="0059232C"/>
    <w:rsid w:val="00592AD7"/>
    <w:rsid w:val="00592E5C"/>
    <w:rsid w:val="00593B59"/>
    <w:rsid w:val="00595A82"/>
    <w:rsid w:val="005972AA"/>
    <w:rsid w:val="005A0499"/>
    <w:rsid w:val="005A050F"/>
    <w:rsid w:val="005A3DD7"/>
    <w:rsid w:val="005A3EA4"/>
    <w:rsid w:val="005A6A14"/>
    <w:rsid w:val="005A71A4"/>
    <w:rsid w:val="005A7803"/>
    <w:rsid w:val="005A78EA"/>
    <w:rsid w:val="005B02A9"/>
    <w:rsid w:val="005B0922"/>
    <w:rsid w:val="005B1BB4"/>
    <w:rsid w:val="005B2DCC"/>
    <w:rsid w:val="005B40E7"/>
    <w:rsid w:val="005B6048"/>
    <w:rsid w:val="005B6B19"/>
    <w:rsid w:val="005B7C37"/>
    <w:rsid w:val="005B7E93"/>
    <w:rsid w:val="005C00E2"/>
    <w:rsid w:val="005C178A"/>
    <w:rsid w:val="005C2CDF"/>
    <w:rsid w:val="005C34D6"/>
    <w:rsid w:val="005C7F2F"/>
    <w:rsid w:val="005D23B5"/>
    <w:rsid w:val="005D36EF"/>
    <w:rsid w:val="005D372A"/>
    <w:rsid w:val="005D4FAA"/>
    <w:rsid w:val="005D5499"/>
    <w:rsid w:val="005D6BEA"/>
    <w:rsid w:val="005D6D70"/>
    <w:rsid w:val="005D7B05"/>
    <w:rsid w:val="005E16AA"/>
    <w:rsid w:val="005E3BBC"/>
    <w:rsid w:val="005E3D30"/>
    <w:rsid w:val="005E4445"/>
    <w:rsid w:val="005E5F84"/>
    <w:rsid w:val="005E617B"/>
    <w:rsid w:val="005E6CB2"/>
    <w:rsid w:val="005E7FAF"/>
    <w:rsid w:val="005F25B8"/>
    <w:rsid w:val="005F3AD8"/>
    <w:rsid w:val="005F43D0"/>
    <w:rsid w:val="005F5ADF"/>
    <w:rsid w:val="005F686C"/>
    <w:rsid w:val="005F68B2"/>
    <w:rsid w:val="00600BBB"/>
    <w:rsid w:val="0060107F"/>
    <w:rsid w:val="006013BB"/>
    <w:rsid w:val="00607966"/>
    <w:rsid w:val="00607E62"/>
    <w:rsid w:val="006102DE"/>
    <w:rsid w:val="00610532"/>
    <w:rsid w:val="00610FA4"/>
    <w:rsid w:val="00612003"/>
    <w:rsid w:val="00612CFC"/>
    <w:rsid w:val="00613B84"/>
    <w:rsid w:val="00614EC9"/>
    <w:rsid w:val="0062037D"/>
    <w:rsid w:val="006224BD"/>
    <w:rsid w:val="00622CC4"/>
    <w:rsid w:val="00626932"/>
    <w:rsid w:val="00627454"/>
    <w:rsid w:val="00630E0E"/>
    <w:rsid w:val="0063102D"/>
    <w:rsid w:val="00633B7E"/>
    <w:rsid w:val="006361ED"/>
    <w:rsid w:val="00643ECF"/>
    <w:rsid w:val="00645FFC"/>
    <w:rsid w:val="00646EA4"/>
    <w:rsid w:val="006476F4"/>
    <w:rsid w:val="0064789F"/>
    <w:rsid w:val="00652273"/>
    <w:rsid w:val="00654F87"/>
    <w:rsid w:val="00656095"/>
    <w:rsid w:val="006568CE"/>
    <w:rsid w:val="00660B01"/>
    <w:rsid w:val="0066119E"/>
    <w:rsid w:val="0066160F"/>
    <w:rsid w:val="006627CE"/>
    <w:rsid w:val="006645B7"/>
    <w:rsid w:val="00664A45"/>
    <w:rsid w:val="00665B9D"/>
    <w:rsid w:val="00670FD6"/>
    <w:rsid w:val="0067158B"/>
    <w:rsid w:val="00671C1A"/>
    <w:rsid w:val="00672950"/>
    <w:rsid w:val="00674CDA"/>
    <w:rsid w:val="00676E4D"/>
    <w:rsid w:val="0067727A"/>
    <w:rsid w:val="00681985"/>
    <w:rsid w:val="0068267F"/>
    <w:rsid w:val="00682993"/>
    <w:rsid w:val="00683F40"/>
    <w:rsid w:val="00684019"/>
    <w:rsid w:val="00684BFD"/>
    <w:rsid w:val="00686ACC"/>
    <w:rsid w:val="00687A00"/>
    <w:rsid w:val="00690CB8"/>
    <w:rsid w:val="00690DB8"/>
    <w:rsid w:val="006916EF"/>
    <w:rsid w:val="00693440"/>
    <w:rsid w:val="006A1FB1"/>
    <w:rsid w:val="006A2999"/>
    <w:rsid w:val="006A2D51"/>
    <w:rsid w:val="006A4512"/>
    <w:rsid w:val="006A48BB"/>
    <w:rsid w:val="006A634B"/>
    <w:rsid w:val="006A680B"/>
    <w:rsid w:val="006A69C3"/>
    <w:rsid w:val="006B11EF"/>
    <w:rsid w:val="006B1D8F"/>
    <w:rsid w:val="006B1EAE"/>
    <w:rsid w:val="006B28BC"/>
    <w:rsid w:val="006B4B28"/>
    <w:rsid w:val="006B52DB"/>
    <w:rsid w:val="006B57D7"/>
    <w:rsid w:val="006B69CB"/>
    <w:rsid w:val="006B73DB"/>
    <w:rsid w:val="006C01C6"/>
    <w:rsid w:val="006C0CA7"/>
    <w:rsid w:val="006C44A8"/>
    <w:rsid w:val="006C46E9"/>
    <w:rsid w:val="006C52CB"/>
    <w:rsid w:val="006C676B"/>
    <w:rsid w:val="006C7042"/>
    <w:rsid w:val="006C7EED"/>
    <w:rsid w:val="006D007F"/>
    <w:rsid w:val="006D23DB"/>
    <w:rsid w:val="006D2551"/>
    <w:rsid w:val="006D311E"/>
    <w:rsid w:val="006D730B"/>
    <w:rsid w:val="006D742F"/>
    <w:rsid w:val="006D7C4C"/>
    <w:rsid w:val="006E1E40"/>
    <w:rsid w:val="006E4427"/>
    <w:rsid w:val="006E452E"/>
    <w:rsid w:val="006E4F91"/>
    <w:rsid w:val="006E5422"/>
    <w:rsid w:val="006E787C"/>
    <w:rsid w:val="006F28DF"/>
    <w:rsid w:val="006F2CCC"/>
    <w:rsid w:val="006F2FEA"/>
    <w:rsid w:val="006F344D"/>
    <w:rsid w:val="006F4278"/>
    <w:rsid w:val="006F5AF8"/>
    <w:rsid w:val="006F6837"/>
    <w:rsid w:val="006F73A3"/>
    <w:rsid w:val="006F7BC0"/>
    <w:rsid w:val="00700E5B"/>
    <w:rsid w:val="0070106E"/>
    <w:rsid w:val="00701A9A"/>
    <w:rsid w:val="007051AE"/>
    <w:rsid w:val="00705808"/>
    <w:rsid w:val="0070646E"/>
    <w:rsid w:val="00711AD5"/>
    <w:rsid w:val="0071281F"/>
    <w:rsid w:val="00714473"/>
    <w:rsid w:val="007157AE"/>
    <w:rsid w:val="00715B66"/>
    <w:rsid w:val="0071725D"/>
    <w:rsid w:val="00717CFB"/>
    <w:rsid w:val="0072135B"/>
    <w:rsid w:val="007221A4"/>
    <w:rsid w:val="00723884"/>
    <w:rsid w:val="00724736"/>
    <w:rsid w:val="00725AFD"/>
    <w:rsid w:val="00727AC8"/>
    <w:rsid w:val="00730B9E"/>
    <w:rsid w:val="00731944"/>
    <w:rsid w:val="00731BCA"/>
    <w:rsid w:val="007327E4"/>
    <w:rsid w:val="0073345C"/>
    <w:rsid w:val="00734E34"/>
    <w:rsid w:val="00735784"/>
    <w:rsid w:val="00737CEC"/>
    <w:rsid w:val="00741BE6"/>
    <w:rsid w:val="007420AB"/>
    <w:rsid w:val="00742791"/>
    <w:rsid w:val="0074350D"/>
    <w:rsid w:val="00744A53"/>
    <w:rsid w:val="00745375"/>
    <w:rsid w:val="007478CB"/>
    <w:rsid w:val="00750587"/>
    <w:rsid w:val="007512BC"/>
    <w:rsid w:val="007524A2"/>
    <w:rsid w:val="007528C3"/>
    <w:rsid w:val="00752BCD"/>
    <w:rsid w:val="0075548A"/>
    <w:rsid w:val="00757554"/>
    <w:rsid w:val="007578DB"/>
    <w:rsid w:val="00757FBF"/>
    <w:rsid w:val="00761283"/>
    <w:rsid w:val="00761F05"/>
    <w:rsid w:val="0076498B"/>
    <w:rsid w:val="007678FD"/>
    <w:rsid w:val="0077007A"/>
    <w:rsid w:val="00770A18"/>
    <w:rsid w:val="00770D09"/>
    <w:rsid w:val="00771148"/>
    <w:rsid w:val="00773195"/>
    <w:rsid w:val="00774FDA"/>
    <w:rsid w:val="007758A0"/>
    <w:rsid w:val="007764EA"/>
    <w:rsid w:val="00776511"/>
    <w:rsid w:val="00781DD4"/>
    <w:rsid w:val="00782263"/>
    <w:rsid w:val="00782D91"/>
    <w:rsid w:val="0078399E"/>
    <w:rsid w:val="007844D2"/>
    <w:rsid w:val="007846F9"/>
    <w:rsid w:val="00785700"/>
    <w:rsid w:val="00785803"/>
    <w:rsid w:val="00785B7E"/>
    <w:rsid w:val="00787CFF"/>
    <w:rsid w:val="0079053A"/>
    <w:rsid w:val="007917C8"/>
    <w:rsid w:val="00791EF4"/>
    <w:rsid w:val="007951D6"/>
    <w:rsid w:val="0079532C"/>
    <w:rsid w:val="00797CDD"/>
    <w:rsid w:val="007A04B7"/>
    <w:rsid w:val="007A0E8D"/>
    <w:rsid w:val="007A110B"/>
    <w:rsid w:val="007A23C3"/>
    <w:rsid w:val="007A2D41"/>
    <w:rsid w:val="007A3320"/>
    <w:rsid w:val="007A3496"/>
    <w:rsid w:val="007A4C6C"/>
    <w:rsid w:val="007A5292"/>
    <w:rsid w:val="007A57B0"/>
    <w:rsid w:val="007A6BAE"/>
    <w:rsid w:val="007A725B"/>
    <w:rsid w:val="007A7AC4"/>
    <w:rsid w:val="007B1901"/>
    <w:rsid w:val="007B4C14"/>
    <w:rsid w:val="007B4F97"/>
    <w:rsid w:val="007B7A0E"/>
    <w:rsid w:val="007C0691"/>
    <w:rsid w:val="007C0DCD"/>
    <w:rsid w:val="007C3306"/>
    <w:rsid w:val="007C3CA0"/>
    <w:rsid w:val="007C50DB"/>
    <w:rsid w:val="007C59B8"/>
    <w:rsid w:val="007C69FF"/>
    <w:rsid w:val="007D0768"/>
    <w:rsid w:val="007D07E5"/>
    <w:rsid w:val="007D167B"/>
    <w:rsid w:val="007D309A"/>
    <w:rsid w:val="007D6341"/>
    <w:rsid w:val="007D6848"/>
    <w:rsid w:val="007E149A"/>
    <w:rsid w:val="007E1BA4"/>
    <w:rsid w:val="007E22C9"/>
    <w:rsid w:val="007E2352"/>
    <w:rsid w:val="007E2FC1"/>
    <w:rsid w:val="007E4183"/>
    <w:rsid w:val="007E4A7B"/>
    <w:rsid w:val="007E58CF"/>
    <w:rsid w:val="007E5C5D"/>
    <w:rsid w:val="007F0423"/>
    <w:rsid w:val="007F194A"/>
    <w:rsid w:val="007F21D1"/>
    <w:rsid w:val="007F2369"/>
    <w:rsid w:val="007F36CF"/>
    <w:rsid w:val="007F40C7"/>
    <w:rsid w:val="007F4407"/>
    <w:rsid w:val="00800620"/>
    <w:rsid w:val="00801C98"/>
    <w:rsid w:val="00801EB0"/>
    <w:rsid w:val="00802068"/>
    <w:rsid w:val="00802C65"/>
    <w:rsid w:val="00803388"/>
    <w:rsid w:val="00804CFA"/>
    <w:rsid w:val="00805E3D"/>
    <w:rsid w:val="00806105"/>
    <w:rsid w:val="00806E56"/>
    <w:rsid w:val="008071AF"/>
    <w:rsid w:val="00807705"/>
    <w:rsid w:val="008107CD"/>
    <w:rsid w:val="00813DBA"/>
    <w:rsid w:val="008152C6"/>
    <w:rsid w:val="008153B4"/>
    <w:rsid w:val="008163A6"/>
    <w:rsid w:val="00817809"/>
    <w:rsid w:val="00820C3A"/>
    <w:rsid w:val="00821CDF"/>
    <w:rsid w:val="008228B1"/>
    <w:rsid w:val="008265FC"/>
    <w:rsid w:val="00827819"/>
    <w:rsid w:val="00830D83"/>
    <w:rsid w:val="008331C6"/>
    <w:rsid w:val="008339A4"/>
    <w:rsid w:val="008369ED"/>
    <w:rsid w:val="00836FFE"/>
    <w:rsid w:val="00837493"/>
    <w:rsid w:val="008376B6"/>
    <w:rsid w:val="00837AF0"/>
    <w:rsid w:val="008434F1"/>
    <w:rsid w:val="00843B70"/>
    <w:rsid w:val="00844E5E"/>
    <w:rsid w:val="00846644"/>
    <w:rsid w:val="00846CB8"/>
    <w:rsid w:val="00850225"/>
    <w:rsid w:val="00850895"/>
    <w:rsid w:val="008508A6"/>
    <w:rsid w:val="00850A32"/>
    <w:rsid w:val="00851C09"/>
    <w:rsid w:val="00852C45"/>
    <w:rsid w:val="00852CA8"/>
    <w:rsid w:val="008539F3"/>
    <w:rsid w:val="00854B6D"/>
    <w:rsid w:val="0085596F"/>
    <w:rsid w:val="00856E34"/>
    <w:rsid w:val="00863F2D"/>
    <w:rsid w:val="008647D1"/>
    <w:rsid w:val="00864B93"/>
    <w:rsid w:val="0086596C"/>
    <w:rsid w:val="00871648"/>
    <w:rsid w:val="00876B59"/>
    <w:rsid w:val="00877529"/>
    <w:rsid w:val="00881D97"/>
    <w:rsid w:val="0088594C"/>
    <w:rsid w:val="008862B8"/>
    <w:rsid w:val="00886A64"/>
    <w:rsid w:val="00887802"/>
    <w:rsid w:val="0088798A"/>
    <w:rsid w:val="00890308"/>
    <w:rsid w:val="0089208B"/>
    <w:rsid w:val="008933D7"/>
    <w:rsid w:val="008935B7"/>
    <w:rsid w:val="00895BE2"/>
    <w:rsid w:val="008970FF"/>
    <w:rsid w:val="008A0924"/>
    <w:rsid w:val="008A0B4E"/>
    <w:rsid w:val="008A0F0B"/>
    <w:rsid w:val="008A0F81"/>
    <w:rsid w:val="008A4BB5"/>
    <w:rsid w:val="008A6E75"/>
    <w:rsid w:val="008A72B9"/>
    <w:rsid w:val="008B0338"/>
    <w:rsid w:val="008B1D9E"/>
    <w:rsid w:val="008B242D"/>
    <w:rsid w:val="008B3FE3"/>
    <w:rsid w:val="008B7DE8"/>
    <w:rsid w:val="008C0047"/>
    <w:rsid w:val="008C261E"/>
    <w:rsid w:val="008C2B78"/>
    <w:rsid w:val="008C4433"/>
    <w:rsid w:val="008C6AC8"/>
    <w:rsid w:val="008C732C"/>
    <w:rsid w:val="008D3C48"/>
    <w:rsid w:val="008D435F"/>
    <w:rsid w:val="008D6974"/>
    <w:rsid w:val="008D752E"/>
    <w:rsid w:val="008D7E17"/>
    <w:rsid w:val="008E092B"/>
    <w:rsid w:val="008E1508"/>
    <w:rsid w:val="008E6390"/>
    <w:rsid w:val="008E6BA2"/>
    <w:rsid w:val="008F19C9"/>
    <w:rsid w:val="008F26BD"/>
    <w:rsid w:val="008F272E"/>
    <w:rsid w:val="008F3AE5"/>
    <w:rsid w:val="008F3E4C"/>
    <w:rsid w:val="008F4A73"/>
    <w:rsid w:val="008F4B32"/>
    <w:rsid w:val="008F509D"/>
    <w:rsid w:val="008F50B6"/>
    <w:rsid w:val="008F55CB"/>
    <w:rsid w:val="00900C46"/>
    <w:rsid w:val="00903DF0"/>
    <w:rsid w:val="00904BD7"/>
    <w:rsid w:val="0090575D"/>
    <w:rsid w:val="00905FD0"/>
    <w:rsid w:val="009065B5"/>
    <w:rsid w:val="00906CA1"/>
    <w:rsid w:val="00907F3A"/>
    <w:rsid w:val="00911073"/>
    <w:rsid w:val="00912BF3"/>
    <w:rsid w:val="00912E39"/>
    <w:rsid w:val="009134BF"/>
    <w:rsid w:val="00914611"/>
    <w:rsid w:val="0091540D"/>
    <w:rsid w:val="0091590F"/>
    <w:rsid w:val="00915DD3"/>
    <w:rsid w:val="0091733F"/>
    <w:rsid w:val="00921D86"/>
    <w:rsid w:val="0092399B"/>
    <w:rsid w:val="0092496A"/>
    <w:rsid w:val="0092501D"/>
    <w:rsid w:val="00925B2E"/>
    <w:rsid w:val="00925E9D"/>
    <w:rsid w:val="00926DFB"/>
    <w:rsid w:val="00927E99"/>
    <w:rsid w:val="00931C96"/>
    <w:rsid w:val="0093235D"/>
    <w:rsid w:val="00933CDC"/>
    <w:rsid w:val="00935391"/>
    <w:rsid w:val="0093753B"/>
    <w:rsid w:val="009377AD"/>
    <w:rsid w:val="00940DD3"/>
    <w:rsid w:val="00941862"/>
    <w:rsid w:val="00941C1B"/>
    <w:rsid w:val="00942DFA"/>
    <w:rsid w:val="00942E34"/>
    <w:rsid w:val="009442F5"/>
    <w:rsid w:val="00946E19"/>
    <w:rsid w:val="00947D18"/>
    <w:rsid w:val="00950667"/>
    <w:rsid w:val="00951A4A"/>
    <w:rsid w:val="00952539"/>
    <w:rsid w:val="00952FD2"/>
    <w:rsid w:val="0095429A"/>
    <w:rsid w:val="0095597C"/>
    <w:rsid w:val="0095604F"/>
    <w:rsid w:val="009562F3"/>
    <w:rsid w:val="00961E2A"/>
    <w:rsid w:val="00962D9A"/>
    <w:rsid w:val="009660BD"/>
    <w:rsid w:val="00967F94"/>
    <w:rsid w:val="00970CC3"/>
    <w:rsid w:val="00973294"/>
    <w:rsid w:val="0097330B"/>
    <w:rsid w:val="009736FB"/>
    <w:rsid w:val="00973941"/>
    <w:rsid w:val="00973F7A"/>
    <w:rsid w:val="00975821"/>
    <w:rsid w:val="00977AD6"/>
    <w:rsid w:val="00977DF3"/>
    <w:rsid w:val="009818A4"/>
    <w:rsid w:val="00982D2F"/>
    <w:rsid w:val="00985187"/>
    <w:rsid w:val="009861DF"/>
    <w:rsid w:val="00986466"/>
    <w:rsid w:val="00987F60"/>
    <w:rsid w:val="009909A9"/>
    <w:rsid w:val="00991374"/>
    <w:rsid w:val="009921C9"/>
    <w:rsid w:val="00994FD2"/>
    <w:rsid w:val="00995D9B"/>
    <w:rsid w:val="00997B57"/>
    <w:rsid w:val="009A1891"/>
    <w:rsid w:val="009A25BA"/>
    <w:rsid w:val="009A2EE5"/>
    <w:rsid w:val="009A3E89"/>
    <w:rsid w:val="009A4034"/>
    <w:rsid w:val="009A4D67"/>
    <w:rsid w:val="009A634C"/>
    <w:rsid w:val="009A734D"/>
    <w:rsid w:val="009B18E1"/>
    <w:rsid w:val="009B3E95"/>
    <w:rsid w:val="009B59D4"/>
    <w:rsid w:val="009B5E53"/>
    <w:rsid w:val="009B7DC9"/>
    <w:rsid w:val="009C17A5"/>
    <w:rsid w:val="009C48E7"/>
    <w:rsid w:val="009C5F35"/>
    <w:rsid w:val="009C6980"/>
    <w:rsid w:val="009D41D1"/>
    <w:rsid w:val="009D4D51"/>
    <w:rsid w:val="009D5484"/>
    <w:rsid w:val="009D6F18"/>
    <w:rsid w:val="009E02F6"/>
    <w:rsid w:val="009E3777"/>
    <w:rsid w:val="009E386A"/>
    <w:rsid w:val="009E38B3"/>
    <w:rsid w:val="009E3BB9"/>
    <w:rsid w:val="009E5552"/>
    <w:rsid w:val="009E5CCD"/>
    <w:rsid w:val="009E6281"/>
    <w:rsid w:val="009E7583"/>
    <w:rsid w:val="009F162F"/>
    <w:rsid w:val="009F2B39"/>
    <w:rsid w:val="009F2C83"/>
    <w:rsid w:val="009F6352"/>
    <w:rsid w:val="009F6F10"/>
    <w:rsid w:val="00A018C1"/>
    <w:rsid w:val="00A023ED"/>
    <w:rsid w:val="00A0375E"/>
    <w:rsid w:val="00A03AC1"/>
    <w:rsid w:val="00A04993"/>
    <w:rsid w:val="00A04B62"/>
    <w:rsid w:val="00A04D6B"/>
    <w:rsid w:val="00A05ECA"/>
    <w:rsid w:val="00A0770F"/>
    <w:rsid w:val="00A10142"/>
    <w:rsid w:val="00A1094C"/>
    <w:rsid w:val="00A132DA"/>
    <w:rsid w:val="00A14486"/>
    <w:rsid w:val="00A1531F"/>
    <w:rsid w:val="00A20E5D"/>
    <w:rsid w:val="00A21813"/>
    <w:rsid w:val="00A24B13"/>
    <w:rsid w:val="00A25474"/>
    <w:rsid w:val="00A2736D"/>
    <w:rsid w:val="00A31F92"/>
    <w:rsid w:val="00A3278F"/>
    <w:rsid w:val="00A33735"/>
    <w:rsid w:val="00A34752"/>
    <w:rsid w:val="00A34ED7"/>
    <w:rsid w:val="00A35C6D"/>
    <w:rsid w:val="00A368A2"/>
    <w:rsid w:val="00A36DA0"/>
    <w:rsid w:val="00A4118E"/>
    <w:rsid w:val="00A446FC"/>
    <w:rsid w:val="00A44D5E"/>
    <w:rsid w:val="00A46DFA"/>
    <w:rsid w:val="00A47761"/>
    <w:rsid w:val="00A50B5C"/>
    <w:rsid w:val="00A50F75"/>
    <w:rsid w:val="00A540E7"/>
    <w:rsid w:val="00A54475"/>
    <w:rsid w:val="00A555B5"/>
    <w:rsid w:val="00A55EA7"/>
    <w:rsid w:val="00A61198"/>
    <w:rsid w:val="00A61F50"/>
    <w:rsid w:val="00A63C43"/>
    <w:rsid w:val="00A6436F"/>
    <w:rsid w:val="00A709B5"/>
    <w:rsid w:val="00A71276"/>
    <w:rsid w:val="00A73D1F"/>
    <w:rsid w:val="00A752CC"/>
    <w:rsid w:val="00A75F9C"/>
    <w:rsid w:val="00A7705A"/>
    <w:rsid w:val="00A77484"/>
    <w:rsid w:val="00A77C21"/>
    <w:rsid w:val="00A81326"/>
    <w:rsid w:val="00A82434"/>
    <w:rsid w:val="00A82821"/>
    <w:rsid w:val="00A82A18"/>
    <w:rsid w:val="00A83C74"/>
    <w:rsid w:val="00A84A53"/>
    <w:rsid w:val="00A918BA"/>
    <w:rsid w:val="00A922AE"/>
    <w:rsid w:val="00A92698"/>
    <w:rsid w:val="00A93097"/>
    <w:rsid w:val="00A93958"/>
    <w:rsid w:val="00AA0109"/>
    <w:rsid w:val="00AA01D5"/>
    <w:rsid w:val="00AA04E9"/>
    <w:rsid w:val="00AA086A"/>
    <w:rsid w:val="00AA166E"/>
    <w:rsid w:val="00AA198F"/>
    <w:rsid w:val="00AA1BF0"/>
    <w:rsid w:val="00AA1E4D"/>
    <w:rsid w:val="00AA24D0"/>
    <w:rsid w:val="00AA2B3E"/>
    <w:rsid w:val="00AA3358"/>
    <w:rsid w:val="00AA555F"/>
    <w:rsid w:val="00AA619E"/>
    <w:rsid w:val="00AA61C3"/>
    <w:rsid w:val="00AA77C8"/>
    <w:rsid w:val="00AA7F99"/>
    <w:rsid w:val="00AB1955"/>
    <w:rsid w:val="00AB38B8"/>
    <w:rsid w:val="00AB4822"/>
    <w:rsid w:val="00AB4B59"/>
    <w:rsid w:val="00AB6A1E"/>
    <w:rsid w:val="00AB755E"/>
    <w:rsid w:val="00AC04F8"/>
    <w:rsid w:val="00AC3427"/>
    <w:rsid w:val="00AC39BC"/>
    <w:rsid w:val="00AC40F8"/>
    <w:rsid w:val="00AC45BC"/>
    <w:rsid w:val="00AC58B0"/>
    <w:rsid w:val="00AC6B4D"/>
    <w:rsid w:val="00AD037D"/>
    <w:rsid w:val="00AD18B2"/>
    <w:rsid w:val="00AD257F"/>
    <w:rsid w:val="00AD5E3D"/>
    <w:rsid w:val="00AE0255"/>
    <w:rsid w:val="00AE0BC3"/>
    <w:rsid w:val="00AE1D92"/>
    <w:rsid w:val="00AE2BFC"/>
    <w:rsid w:val="00AE3AA3"/>
    <w:rsid w:val="00AE45C6"/>
    <w:rsid w:val="00AE66F0"/>
    <w:rsid w:val="00AF0088"/>
    <w:rsid w:val="00AF0726"/>
    <w:rsid w:val="00AF17B9"/>
    <w:rsid w:val="00AF416C"/>
    <w:rsid w:val="00AF4DA8"/>
    <w:rsid w:val="00AF62F5"/>
    <w:rsid w:val="00AF6D06"/>
    <w:rsid w:val="00AF73C0"/>
    <w:rsid w:val="00B00EFE"/>
    <w:rsid w:val="00B01DBF"/>
    <w:rsid w:val="00B021E3"/>
    <w:rsid w:val="00B023F7"/>
    <w:rsid w:val="00B027FA"/>
    <w:rsid w:val="00B05167"/>
    <w:rsid w:val="00B11B3A"/>
    <w:rsid w:val="00B1360A"/>
    <w:rsid w:val="00B16CCF"/>
    <w:rsid w:val="00B16E5F"/>
    <w:rsid w:val="00B207D1"/>
    <w:rsid w:val="00B207D6"/>
    <w:rsid w:val="00B213D3"/>
    <w:rsid w:val="00B21831"/>
    <w:rsid w:val="00B21BB8"/>
    <w:rsid w:val="00B22E41"/>
    <w:rsid w:val="00B23866"/>
    <w:rsid w:val="00B23954"/>
    <w:rsid w:val="00B247AD"/>
    <w:rsid w:val="00B27F52"/>
    <w:rsid w:val="00B32B41"/>
    <w:rsid w:val="00B333E6"/>
    <w:rsid w:val="00B3641E"/>
    <w:rsid w:val="00B4070E"/>
    <w:rsid w:val="00B41795"/>
    <w:rsid w:val="00B4241D"/>
    <w:rsid w:val="00B426A5"/>
    <w:rsid w:val="00B42D4A"/>
    <w:rsid w:val="00B42DEC"/>
    <w:rsid w:val="00B4310B"/>
    <w:rsid w:val="00B43A25"/>
    <w:rsid w:val="00B43C29"/>
    <w:rsid w:val="00B4639C"/>
    <w:rsid w:val="00B52CD3"/>
    <w:rsid w:val="00B53EC0"/>
    <w:rsid w:val="00B54D24"/>
    <w:rsid w:val="00B56A90"/>
    <w:rsid w:val="00B578EC"/>
    <w:rsid w:val="00B57DD3"/>
    <w:rsid w:val="00B60F04"/>
    <w:rsid w:val="00B6390C"/>
    <w:rsid w:val="00B640B2"/>
    <w:rsid w:val="00B64635"/>
    <w:rsid w:val="00B678C6"/>
    <w:rsid w:val="00B70870"/>
    <w:rsid w:val="00B7397E"/>
    <w:rsid w:val="00B75039"/>
    <w:rsid w:val="00B77C1D"/>
    <w:rsid w:val="00B803EC"/>
    <w:rsid w:val="00B83B8A"/>
    <w:rsid w:val="00B86D11"/>
    <w:rsid w:val="00B87675"/>
    <w:rsid w:val="00B9035D"/>
    <w:rsid w:val="00B904B2"/>
    <w:rsid w:val="00B930EB"/>
    <w:rsid w:val="00B93725"/>
    <w:rsid w:val="00B93AC5"/>
    <w:rsid w:val="00B964D9"/>
    <w:rsid w:val="00B96D95"/>
    <w:rsid w:val="00B96D9A"/>
    <w:rsid w:val="00B9795D"/>
    <w:rsid w:val="00BA0056"/>
    <w:rsid w:val="00BA0560"/>
    <w:rsid w:val="00BA09CD"/>
    <w:rsid w:val="00BA0B2D"/>
    <w:rsid w:val="00BA2434"/>
    <w:rsid w:val="00BA2CBC"/>
    <w:rsid w:val="00BA75EE"/>
    <w:rsid w:val="00BA7677"/>
    <w:rsid w:val="00BB068B"/>
    <w:rsid w:val="00BB18F5"/>
    <w:rsid w:val="00BB309C"/>
    <w:rsid w:val="00BB3266"/>
    <w:rsid w:val="00BB42AE"/>
    <w:rsid w:val="00BB51E5"/>
    <w:rsid w:val="00BB55D4"/>
    <w:rsid w:val="00BC059F"/>
    <w:rsid w:val="00BC27D0"/>
    <w:rsid w:val="00BC2D8A"/>
    <w:rsid w:val="00BC35DC"/>
    <w:rsid w:val="00BC467F"/>
    <w:rsid w:val="00BC4AA4"/>
    <w:rsid w:val="00BC4AC3"/>
    <w:rsid w:val="00BC5A49"/>
    <w:rsid w:val="00BC5CE1"/>
    <w:rsid w:val="00BC5F36"/>
    <w:rsid w:val="00BC6326"/>
    <w:rsid w:val="00BD0B83"/>
    <w:rsid w:val="00BD20BF"/>
    <w:rsid w:val="00BD3130"/>
    <w:rsid w:val="00BD3BA2"/>
    <w:rsid w:val="00BD3E52"/>
    <w:rsid w:val="00BD64EC"/>
    <w:rsid w:val="00BD677A"/>
    <w:rsid w:val="00BE07B5"/>
    <w:rsid w:val="00BE0C3B"/>
    <w:rsid w:val="00BE1659"/>
    <w:rsid w:val="00BE16A8"/>
    <w:rsid w:val="00BE1CFB"/>
    <w:rsid w:val="00BE1FCB"/>
    <w:rsid w:val="00BE2685"/>
    <w:rsid w:val="00BE2747"/>
    <w:rsid w:val="00BE3024"/>
    <w:rsid w:val="00BE58DC"/>
    <w:rsid w:val="00BE59D1"/>
    <w:rsid w:val="00BE7DEE"/>
    <w:rsid w:val="00BF13BA"/>
    <w:rsid w:val="00BF1483"/>
    <w:rsid w:val="00BF2CEC"/>
    <w:rsid w:val="00BF376D"/>
    <w:rsid w:val="00BF4ADC"/>
    <w:rsid w:val="00BF4CB8"/>
    <w:rsid w:val="00BF6FCA"/>
    <w:rsid w:val="00BF7237"/>
    <w:rsid w:val="00C02C8F"/>
    <w:rsid w:val="00C03C66"/>
    <w:rsid w:val="00C055EF"/>
    <w:rsid w:val="00C05A16"/>
    <w:rsid w:val="00C076A9"/>
    <w:rsid w:val="00C07A76"/>
    <w:rsid w:val="00C1057C"/>
    <w:rsid w:val="00C12674"/>
    <w:rsid w:val="00C13D4C"/>
    <w:rsid w:val="00C15756"/>
    <w:rsid w:val="00C17E05"/>
    <w:rsid w:val="00C200C2"/>
    <w:rsid w:val="00C20CA2"/>
    <w:rsid w:val="00C230EE"/>
    <w:rsid w:val="00C240D2"/>
    <w:rsid w:val="00C249F9"/>
    <w:rsid w:val="00C2790C"/>
    <w:rsid w:val="00C303BE"/>
    <w:rsid w:val="00C31ECB"/>
    <w:rsid w:val="00C32409"/>
    <w:rsid w:val="00C35405"/>
    <w:rsid w:val="00C361E3"/>
    <w:rsid w:val="00C378FD"/>
    <w:rsid w:val="00C410C6"/>
    <w:rsid w:val="00C4140D"/>
    <w:rsid w:val="00C41708"/>
    <w:rsid w:val="00C426FA"/>
    <w:rsid w:val="00C44863"/>
    <w:rsid w:val="00C450FB"/>
    <w:rsid w:val="00C4552B"/>
    <w:rsid w:val="00C47613"/>
    <w:rsid w:val="00C52A72"/>
    <w:rsid w:val="00C536C5"/>
    <w:rsid w:val="00C5555C"/>
    <w:rsid w:val="00C561AE"/>
    <w:rsid w:val="00C61B75"/>
    <w:rsid w:val="00C630BE"/>
    <w:rsid w:val="00C64BE6"/>
    <w:rsid w:val="00C668CB"/>
    <w:rsid w:val="00C67873"/>
    <w:rsid w:val="00C7076E"/>
    <w:rsid w:val="00C71481"/>
    <w:rsid w:val="00C717D9"/>
    <w:rsid w:val="00C71F8C"/>
    <w:rsid w:val="00C72190"/>
    <w:rsid w:val="00C72291"/>
    <w:rsid w:val="00C73186"/>
    <w:rsid w:val="00C73676"/>
    <w:rsid w:val="00C74C03"/>
    <w:rsid w:val="00C74EAE"/>
    <w:rsid w:val="00C800B6"/>
    <w:rsid w:val="00C8314A"/>
    <w:rsid w:val="00C864D9"/>
    <w:rsid w:val="00C8712B"/>
    <w:rsid w:val="00C8741F"/>
    <w:rsid w:val="00C91300"/>
    <w:rsid w:val="00C91DA0"/>
    <w:rsid w:val="00C9301C"/>
    <w:rsid w:val="00C94377"/>
    <w:rsid w:val="00C954DA"/>
    <w:rsid w:val="00C95611"/>
    <w:rsid w:val="00C97B1D"/>
    <w:rsid w:val="00C97C13"/>
    <w:rsid w:val="00CA0D8C"/>
    <w:rsid w:val="00CA2661"/>
    <w:rsid w:val="00CA34DB"/>
    <w:rsid w:val="00CA519A"/>
    <w:rsid w:val="00CA567A"/>
    <w:rsid w:val="00CA5F05"/>
    <w:rsid w:val="00CA6797"/>
    <w:rsid w:val="00CA7DE4"/>
    <w:rsid w:val="00CB1F35"/>
    <w:rsid w:val="00CB476F"/>
    <w:rsid w:val="00CB4AE8"/>
    <w:rsid w:val="00CB53FB"/>
    <w:rsid w:val="00CB5A41"/>
    <w:rsid w:val="00CB6264"/>
    <w:rsid w:val="00CC0CF9"/>
    <w:rsid w:val="00CC0D05"/>
    <w:rsid w:val="00CC0D34"/>
    <w:rsid w:val="00CC131E"/>
    <w:rsid w:val="00CC1F85"/>
    <w:rsid w:val="00CC2A29"/>
    <w:rsid w:val="00CC46B3"/>
    <w:rsid w:val="00CC4FC8"/>
    <w:rsid w:val="00CC5EA8"/>
    <w:rsid w:val="00CC7CD2"/>
    <w:rsid w:val="00CD1FCF"/>
    <w:rsid w:val="00CD2A77"/>
    <w:rsid w:val="00CD3E4D"/>
    <w:rsid w:val="00CD415D"/>
    <w:rsid w:val="00CD7438"/>
    <w:rsid w:val="00CD7534"/>
    <w:rsid w:val="00CD7593"/>
    <w:rsid w:val="00CE0CDF"/>
    <w:rsid w:val="00CE0E43"/>
    <w:rsid w:val="00CE0FEA"/>
    <w:rsid w:val="00CE1501"/>
    <w:rsid w:val="00CE1C74"/>
    <w:rsid w:val="00CE258E"/>
    <w:rsid w:val="00CE3249"/>
    <w:rsid w:val="00CE3417"/>
    <w:rsid w:val="00CE514D"/>
    <w:rsid w:val="00CE5FFE"/>
    <w:rsid w:val="00CF2466"/>
    <w:rsid w:val="00CF281F"/>
    <w:rsid w:val="00CF3B66"/>
    <w:rsid w:val="00CF52FD"/>
    <w:rsid w:val="00CF5A7E"/>
    <w:rsid w:val="00CF6531"/>
    <w:rsid w:val="00CF65F7"/>
    <w:rsid w:val="00CF7DDC"/>
    <w:rsid w:val="00D02621"/>
    <w:rsid w:val="00D03B65"/>
    <w:rsid w:val="00D05089"/>
    <w:rsid w:val="00D05366"/>
    <w:rsid w:val="00D053C6"/>
    <w:rsid w:val="00D068AE"/>
    <w:rsid w:val="00D10A93"/>
    <w:rsid w:val="00D11639"/>
    <w:rsid w:val="00D12416"/>
    <w:rsid w:val="00D134B5"/>
    <w:rsid w:val="00D16007"/>
    <w:rsid w:val="00D165E2"/>
    <w:rsid w:val="00D17744"/>
    <w:rsid w:val="00D17CBD"/>
    <w:rsid w:val="00D220DE"/>
    <w:rsid w:val="00D24913"/>
    <w:rsid w:val="00D251CF"/>
    <w:rsid w:val="00D2633C"/>
    <w:rsid w:val="00D30A28"/>
    <w:rsid w:val="00D31E73"/>
    <w:rsid w:val="00D33487"/>
    <w:rsid w:val="00D33568"/>
    <w:rsid w:val="00D3358C"/>
    <w:rsid w:val="00D34322"/>
    <w:rsid w:val="00D349AD"/>
    <w:rsid w:val="00D3653F"/>
    <w:rsid w:val="00D367BE"/>
    <w:rsid w:val="00D36CA8"/>
    <w:rsid w:val="00D3739D"/>
    <w:rsid w:val="00D37856"/>
    <w:rsid w:val="00D40586"/>
    <w:rsid w:val="00D42849"/>
    <w:rsid w:val="00D43F21"/>
    <w:rsid w:val="00D44203"/>
    <w:rsid w:val="00D4485E"/>
    <w:rsid w:val="00D45398"/>
    <w:rsid w:val="00D46228"/>
    <w:rsid w:val="00D46863"/>
    <w:rsid w:val="00D4696D"/>
    <w:rsid w:val="00D47639"/>
    <w:rsid w:val="00D51210"/>
    <w:rsid w:val="00D5281F"/>
    <w:rsid w:val="00D54A74"/>
    <w:rsid w:val="00D55440"/>
    <w:rsid w:val="00D55A92"/>
    <w:rsid w:val="00D55BA1"/>
    <w:rsid w:val="00D56723"/>
    <w:rsid w:val="00D57625"/>
    <w:rsid w:val="00D57AE6"/>
    <w:rsid w:val="00D60C28"/>
    <w:rsid w:val="00D61EAA"/>
    <w:rsid w:val="00D61FA9"/>
    <w:rsid w:val="00D61FEC"/>
    <w:rsid w:val="00D62177"/>
    <w:rsid w:val="00D63FEC"/>
    <w:rsid w:val="00D645D5"/>
    <w:rsid w:val="00D6470E"/>
    <w:rsid w:val="00D64916"/>
    <w:rsid w:val="00D662E2"/>
    <w:rsid w:val="00D66959"/>
    <w:rsid w:val="00D669A3"/>
    <w:rsid w:val="00D6718A"/>
    <w:rsid w:val="00D72376"/>
    <w:rsid w:val="00D727E6"/>
    <w:rsid w:val="00D7436C"/>
    <w:rsid w:val="00D74A66"/>
    <w:rsid w:val="00D767CB"/>
    <w:rsid w:val="00D82B51"/>
    <w:rsid w:val="00D8574D"/>
    <w:rsid w:val="00D90196"/>
    <w:rsid w:val="00D928A3"/>
    <w:rsid w:val="00D945F7"/>
    <w:rsid w:val="00D95DB0"/>
    <w:rsid w:val="00D96299"/>
    <w:rsid w:val="00D96369"/>
    <w:rsid w:val="00D97670"/>
    <w:rsid w:val="00DA0361"/>
    <w:rsid w:val="00DA041A"/>
    <w:rsid w:val="00DA06B4"/>
    <w:rsid w:val="00DA150D"/>
    <w:rsid w:val="00DA2993"/>
    <w:rsid w:val="00DA4795"/>
    <w:rsid w:val="00DA611C"/>
    <w:rsid w:val="00DA732E"/>
    <w:rsid w:val="00DA797F"/>
    <w:rsid w:val="00DA7B76"/>
    <w:rsid w:val="00DB1DC9"/>
    <w:rsid w:val="00DB3A08"/>
    <w:rsid w:val="00DB3B7A"/>
    <w:rsid w:val="00DB54E8"/>
    <w:rsid w:val="00DB654B"/>
    <w:rsid w:val="00DB7997"/>
    <w:rsid w:val="00DC0CFB"/>
    <w:rsid w:val="00DC0D52"/>
    <w:rsid w:val="00DC15FB"/>
    <w:rsid w:val="00DC2866"/>
    <w:rsid w:val="00DC48C0"/>
    <w:rsid w:val="00DC5121"/>
    <w:rsid w:val="00DC6A65"/>
    <w:rsid w:val="00DD2FD5"/>
    <w:rsid w:val="00DD3B4D"/>
    <w:rsid w:val="00DD4484"/>
    <w:rsid w:val="00DD46F7"/>
    <w:rsid w:val="00DD5A77"/>
    <w:rsid w:val="00DD6585"/>
    <w:rsid w:val="00DE1A81"/>
    <w:rsid w:val="00DE30B3"/>
    <w:rsid w:val="00DE48E6"/>
    <w:rsid w:val="00DF10AC"/>
    <w:rsid w:val="00DF1114"/>
    <w:rsid w:val="00DF1A28"/>
    <w:rsid w:val="00DF436C"/>
    <w:rsid w:val="00DF562D"/>
    <w:rsid w:val="00DF6FEB"/>
    <w:rsid w:val="00DF7B45"/>
    <w:rsid w:val="00E00495"/>
    <w:rsid w:val="00E0068D"/>
    <w:rsid w:val="00E01818"/>
    <w:rsid w:val="00E02FFC"/>
    <w:rsid w:val="00E031B2"/>
    <w:rsid w:val="00E05EEC"/>
    <w:rsid w:val="00E070C7"/>
    <w:rsid w:val="00E1016F"/>
    <w:rsid w:val="00E10199"/>
    <w:rsid w:val="00E124A9"/>
    <w:rsid w:val="00E12CFB"/>
    <w:rsid w:val="00E14DBB"/>
    <w:rsid w:val="00E16A42"/>
    <w:rsid w:val="00E170FA"/>
    <w:rsid w:val="00E179C3"/>
    <w:rsid w:val="00E202FE"/>
    <w:rsid w:val="00E21C11"/>
    <w:rsid w:val="00E2254F"/>
    <w:rsid w:val="00E225B5"/>
    <w:rsid w:val="00E2437D"/>
    <w:rsid w:val="00E25223"/>
    <w:rsid w:val="00E25848"/>
    <w:rsid w:val="00E277B1"/>
    <w:rsid w:val="00E3200C"/>
    <w:rsid w:val="00E32213"/>
    <w:rsid w:val="00E33416"/>
    <w:rsid w:val="00E33580"/>
    <w:rsid w:val="00E33BA2"/>
    <w:rsid w:val="00E3691D"/>
    <w:rsid w:val="00E36FCD"/>
    <w:rsid w:val="00E37D86"/>
    <w:rsid w:val="00E40F21"/>
    <w:rsid w:val="00E41C9E"/>
    <w:rsid w:val="00E42251"/>
    <w:rsid w:val="00E4499E"/>
    <w:rsid w:val="00E46C21"/>
    <w:rsid w:val="00E47B7E"/>
    <w:rsid w:val="00E52B8E"/>
    <w:rsid w:val="00E52BE7"/>
    <w:rsid w:val="00E530D2"/>
    <w:rsid w:val="00E53206"/>
    <w:rsid w:val="00E53B28"/>
    <w:rsid w:val="00E5420A"/>
    <w:rsid w:val="00E54841"/>
    <w:rsid w:val="00E54B4F"/>
    <w:rsid w:val="00E5593E"/>
    <w:rsid w:val="00E559AC"/>
    <w:rsid w:val="00E56B4B"/>
    <w:rsid w:val="00E61321"/>
    <w:rsid w:val="00E624F1"/>
    <w:rsid w:val="00E62756"/>
    <w:rsid w:val="00E6485E"/>
    <w:rsid w:val="00E679B0"/>
    <w:rsid w:val="00E70A77"/>
    <w:rsid w:val="00E71ED2"/>
    <w:rsid w:val="00E7295D"/>
    <w:rsid w:val="00E72BA9"/>
    <w:rsid w:val="00E73128"/>
    <w:rsid w:val="00E74282"/>
    <w:rsid w:val="00E75926"/>
    <w:rsid w:val="00E77992"/>
    <w:rsid w:val="00E818B6"/>
    <w:rsid w:val="00E821D1"/>
    <w:rsid w:val="00E831E3"/>
    <w:rsid w:val="00E84AC7"/>
    <w:rsid w:val="00E85BBE"/>
    <w:rsid w:val="00E85E92"/>
    <w:rsid w:val="00E87C4A"/>
    <w:rsid w:val="00E87D4E"/>
    <w:rsid w:val="00E90929"/>
    <w:rsid w:val="00E9252F"/>
    <w:rsid w:val="00E92BA9"/>
    <w:rsid w:val="00E92C91"/>
    <w:rsid w:val="00E93391"/>
    <w:rsid w:val="00E93C2B"/>
    <w:rsid w:val="00E95A0C"/>
    <w:rsid w:val="00EA0469"/>
    <w:rsid w:val="00EA0ACE"/>
    <w:rsid w:val="00EA0D40"/>
    <w:rsid w:val="00EA176C"/>
    <w:rsid w:val="00EA17CA"/>
    <w:rsid w:val="00EA34E8"/>
    <w:rsid w:val="00EA373F"/>
    <w:rsid w:val="00EA4CC6"/>
    <w:rsid w:val="00EB0D66"/>
    <w:rsid w:val="00EB0E6F"/>
    <w:rsid w:val="00EB1B7E"/>
    <w:rsid w:val="00EB20E0"/>
    <w:rsid w:val="00EB2F5A"/>
    <w:rsid w:val="00EB45BE"/>
    <w:rsid w:val="00EB4780"/>
    <w:rsid w:val="00EB50E7"/>
    <w:rsid w:val="00EB6E13"/>
    <w:rsid w:val="00EB7875"/>
    <w:rsid w:val="00EC21C8"/>
    <w:rsid w:val="00EC21EC"/>
    <w:rsid w:val="00EC2879"/>
    <w:rsid w:val="00EC2EBD"/>
    <w:rsid w:val="00EC43C8"/>
    <w:rsid w:val="00EC4B9E"/>
    <w:rsid w:val="00EC545C"/>
    <w:rsid w:val="00EC604E"/>
    <w:rsid w:val="00EC7A02"/>
    <w:rsid w:val="00ED2C11"/>
    <w:rsid w:val="00ED74D1"/>
    <w:rsid w:val="00EE02CB"/>
    <w:rsid w:val="00EE60CC"/>
    <w:rsid w:val="00EE663A"/>
    <w:rsid w:val="00EF0AB8"/>
    <w:rsid w:val="00EF1267"/>
    <w:rsid w:val="00EF3C7A"/>
    <w:rsid w:val="00EF6205"/>
    <w:rsid w:val="00EF6D05"/>
    <w:rsid w:val="00F0082D"/>
    <w:rsid w:val="00F02A8B"/>
    <w:rsid w:val="00F02ABC"/>
    <w:rsid w:val="00F037DB"/>
    <w:rsid w:val="00F04042"/>
    <w:rsid w:val="00F055BE"/>
    <w:rsid w:val="00F066A6"/>
    <w:rsid w:val="00F1012C"/>
    <w:rsid w:val="00F110D2"/>
    <w:rsid w:val="00F11133"/>
    <w:rsid w:val="00F11234"/>
    <w:rsid w:val="00F117A3"/>
    <w:rsid w:val="00F126C2"/>
    <w:rsid w:val="00F1384C"/>
    <w:rsid w:val="00F14293"/>
    <w:rsid w:val="00F16553"/>
    <w:rsid w:val="00F1693A"/>
    <w:rsid w:val="00F175DD"/>
    <w:rsid w:val="00F2203D"/>
    <w:rsid w:val="00F24C7D"/>
    <w:rsid w:val="00F259D1"/>
    <w:rsid w:val="00F2670A"/>
    <w:rsid w:val="00F27F94"/>
    <w:rsid w:val="00F307BD"/>
    <w:rsid w:val="00F30D5E"/>
    <w:rsid w:val="00F3178E"/>
    <w:rsid w:val="00F33969"/>
    <w:rsid w:val="00F34A8D"/>
    <w:rsid w:val="00F37020"/>
    <w:rsid w:val="00F3750D"/>
    <w:rsid w:val="00F37BDA"/>
    <w:rsid w:val="00F402A8"/>
    <w:rsid w:val="00F4284D"/>
    <w:rsid w:val="00F42971"/>
    <w:rsid w:val="00F44868"/>
    <w:rsid w:val="00F460BD"/>
    <w:rsid w:val="00F46B93"/>
    <w:rsid w:val="00F475DC"/>
    <w:rsid w:val="00F50658"/>
    <w:rsid w:val="00F51E2D"/>
    <w:rsid w:val="00F52243"/>
    <w:rsid w:val="00F55584"/>
    <w:rsid w:val="00F61451"/>
    <w:rsid w:val="00F61CEB"/>
    <w:rsid w:val="00F6245D"/>
    <w:rsid w:val="00F633AB"/>
    <w:rsid w:val="00F63CC6"/>
    <w:rsid w:val="00F64C6C"/>
    <w:rsid w:val="00F64C9F"/>
    <w:rsid w:val="00F67616"/>
    <w:rsid w:val="00F677EB"/>
    <w:rsid w:val="00F734AC"/>
    <w:rsid w:val="00F74868"/>
    <w:rsid w:val="00F74A8D"/>
    <w:rsid w:val="00F758E3"/>
    <w:rsid w:val="00F777EA"/>
    <w:rsid w:val="00F80EED"/>
    <w:rsid w:val="00F857BB"/>
    <w:rsid w:val="00F87106"/>
    <w:rsid w:val="00F90702"/>
    <w:rsid w:val="00F91A3C"/>
    <w:rsid w:val="00F934EB"/>
    <w:rsid w:val="00F93D8B"/>
    <w:rsid w:val="00F94FE2"/>
    <w:rsid w:val="00F95509"/>
    <w:rsid w:val="00F95EFD"/>
    <w:rsid w:val="00F964A0"/>
    <w:rsid w:val="00FA023B"/>
    <w:rsid w:val="00FA3BF2"/>
    <w:rsid w:val="00FA3D3C"/>
    <w:rsid w:val="00FA4AA9"/>
    <w:rsid w:val="00FA4F5B"/>
    <w:rsid w:val="00FA5884"/>
    <w:rsid w:val="00FA79B7"/>
    <w:rsid w:val="00FA7CD2"/>
    <w:rsid w:val="00FB29E2"/>
    <w:rsid w:val="00FB5372"/>
    <w:rsid w:val="00FB7640"/>
    <w:rsid w:val="00FC119D"/>
    <w:rsid w:val="00FC13C3"/>
    <w:rsid w:val="00FC13EA"/>
    <w:rsid w:val="00FC3700"/>
    <w:rsid w:val="00FC43F1"/>
    <w:rsid w:val="00FC476B"/>
    <w:rsid w:val="00FC610D"/>
    <w:rsid w:val="00FC672C"/>
    <w:rsid w:val="00FD094D"/>
    <w:rsid w:val="00FD1818"/>
    <w:rsid w:val="00FD1B70"/>
    <w:rsid w:val="00FD1CE4"/>
    <w:rsid w:val="00FD1E65"/>
    <w:rsid w:val="00FD27F5"/>
    <w:rsid w:val="00FD34F3"/>
    <w:rsid w:val="00FD3F92"/>
    <w:rsid w:val="00FD5470"/>
    <w:rsid w:val="00FD587D"/>
    <w:rsid w:val="00FD69D7"/>
    <w:rsid w:val="00FE04A8"/>
    <w:rsid w:val="00FE1964"/>
    <w:rsid w:val="00FE364A"/>
    <w:rsid w:val="00FE3B15"/>
    <w:rsid w:val="00FE3F2C"/>
    <w:rsid w:val="00FE5597"/>
    <w:rsid w:val="00FE6BBC"/>
    <w:rsid w:val="00FE750B"/>
    <w:rsid w:val="0102A131"/>
    <w:rsid w:val="02452AEC"/>
    <w:rsid w:val="02559AAD"/>
    <w:rsid w:val="025C5167"/>
    <w:rsid w:val="028587DF"/>
    <w:rsid w:val="05AC9209"/>
    <w:rsid w:val="0699656C"/>
    <w:rsid w:val="078D8C2A"/>
    <w:rsid w:val="09A2EB1B"/>
    <w:rsid w:val="0A3F0BAC"/>
    <w:rsid w:val="0ACBB579"/>
    <w:rsid w:val="0AD47FB7"/>
    <w:rsid w:val="0AEADEC5"/>
    <w:rsid w:val="0B11CDD7"/>
    <w:rsid w:val="0B929907"/>
    <w:rsid w:val="0C9E9BEC"/>
    <w:rsid w:val="0CBA182C"/>
    <w:rsid w:val="0CD7B317"/>
    <w:rsid w:val="0CF021AB"/>
    <w:rsid w:val="0D08D30B"/>
    <w:rsid w:val="0D5EECA0"/>
    <w:rsid w:val="0FD567F6"/>
    <w:rsid w:val="0FF2F568"/>
    <w:rsid w:val="107BF608"/>
    <w:rsid w:val="11660704"/>
    <w:rsid w:val="11A8998A"/>
    <w:rsid w:val="11DFA9A0"/>
    <w:rsid w:val="131861ED"/>
    <w:rsid w:val="135FE030"/>
    <w:rsid w:val="13B8B723"/>
    <w:rsid w:val="13D4158A"/>
    <w:rsid w:val="13ED52DB"/>
    <w:rsid w:val="13F9DA2E"/>
    <w:rsid w:val="141188E1"/>
    <w:rsid w:val="1461F299"/>
    <w:rsid w:val="14C5F334"/>
    <w:rsid w:val="14FDCF5D"/>
    <w:rsid w:val="15633A1D"/>
    <w:rsid w:val="182AFF9D"/>
    <w:rsid w:val="18438715"/>
    <w:rsid w:val="19A30186"/>
    <w:rsid w:val="1A97B536"/>
    <w:rsid w:val="1AF92E0D"/>
    <w:rsid w:val="1B2C6DA6"/>
    <w:rsid w:val="1B7AE857"/>
    <w:rsid w:val="1C2AE4F2"/>
    <w:rsid w:val="1CFEDBB3"/>
    <w:rsid w:val="209260F9"/>
    <w:rsid w:val="21D54B62"/>
    <w:rsid w:val="22290B76"/>
    <w:rsid w:val="237AF33B"/>
    <w:rsid w:val="24F51089"/>
    <w:rsid w:val="251D03A6"/>
    <w:rsid w:val="25D9B9C4"/>
    <w:rsid w:val="263C99B8"/>
    <w:rsid w:val="265B2561"/>
    <w:rsid w:val="26A43094"/>
    <w:rsid w:val="27509933"/>
    <w:rsid w:val="275336B2"/>
    <w:rsid w:val="28FCC94E"/>
    <w:rsid w:val="290B2E33"/>
    <w:rsid w:val="292CBD86"/>
    <w:rsid w:val="29363419"/>
    <w:rsid w:val="29456770"/>
    <w:rsid w:val="2ADD259F"/>
    <w:rsid w:val="2AE93E33"/>
    <w:rsid w:val="2D2DD47B"/>
    <w:rsid w:val="2D3C4C76"/>
    <w:rsid w:val="2D779659"/>
    <w:rsid w:val="2DFC3BD4"/>
    <w:rsid w:val="2E46F299"/>
    <w:rsid w:val="2E63F9FC"/>
    <w:rsid w:val="2EFDD1FC"/>
    <w:rsid w:val="3022ACE3"/>
    <w:rsid w:val="3043784B"/>
    <w:rsid w:val="305EB500"/>
    <w:rsid w:val="31276AF8"/>
    <w:rsid w:val="315906E2"/>
    <w:rsid w:val="3266B856"/>
    <w:rsid w:val="32D0BE8A"/>
    <w:rsid w:val="331765A3"/>
    <w:rsid w:val="339FFE1D"/>
    <w:rsid w:val="3479AF6C"/>
    <w:rsid w:val="35636A40"/>
    <w:rsid w:val="3580A05E"/>
    <w:rsid w:val="35C1618C"/>
    <w:rsid w:val="36337858"/>
    <w:rsid w:val="36C8CBE9"/>
    <w:rsid w:val="37E41B5E"/>
    <w:rsid w:val="3850A275"/>
    <w:rsid w:val="38668716"/>
    <w:rsid w:val="396CCC68"/>
    <w:rsid w:val="3B1BBC20"/>
    <w:rsid w:val="3B466EAF"/>
    <w:rsid w:val="3B6552C1"/>
    <w:rsid w:val="3CB4AC8F"/>
    <w:rsid w:val="3D76E476"/>
    <w:rsid w:val="3D7AA53E"/>
    <w:rsid w:val="3D9AC6DA"/>
    <w:rsid w:val="3DC525F9"/>
    <w:rsid w:val="3DFAF916"/>
    <w:rsid w:val="3E39F3AA"/>
    <w:rsid w:val="3F29733D"/>
    <w:rsid w:val="400D98C0"/>
    <w:rsid w:val="408557A7"/>
    <w:rsid w:val="40DEB735"/>
    <w:rsid w:val="412C9452"/>
    <w:rsid w:val="416A1754"/>
    <w:rsid w:val="41895220"/>
    <w:rsid w:val="42493E17"/>
    <w:rsid w:val="42F18491"/>
    <w:rsid w:val="43C49F35"/>
    <w:rsid w:val="43E38587"/>
    <w:rsid w:val="43E7EE84"/>
    <w:rsid w:val="447BEA3E"/>
    <w:rsid w:val="44E7C6AD"/>
    <w:rsid w:val="45DEBB07"/>
    <w:rsid w:val="46BDB6BD"/>
    <w:rsid w:val="470BD279"/>
    <w:rsid w:val="47E116CB"/>
    <w:rsid w:val="493FFF4C"/>
    <w:rsid w:val="4A58C5DA"/>
    <w:rsid w:val="4C25F1AF"/>
    <w:rsid w:val="4C681C08"/>
    <w:rsid w:val="4C7B7830"/>
    <w:rsid w:val="4D1142C1"/>
    <w:rsid w:val="4D42B69E"/>
    <w:rsid w:val="4D4A075A"/>
    <w:rsid w:val="4D712C20"/>
    <w:rsid w:val="4DAE1324"/>
    <w:rsid w:val="4E05E6ED"/>
    <w:rsid w:val="4EFAD882"/>
    <w:rsid w:val="4F333C12"/>
    <w:rsid w:val="508B14AC"/>
    <w:rsid w:val="51E51107"/>
    <w:rsid w:val="51F38F1F"/>
    <w:rsid w:val="538077BC"/>
    <w:rsid w:val="53CFE5DC"/>
    <w:rsid w:val="54038143"/>
    <w:rsid w:val="5496747D"/>
    <w:rsid w:val="54A2316C"/>
    <w:rsid w:val="557A804C"/>
    <w:rsid w:val="56410A3D"/>
    <w:rsid w:val="57715BB3"/>
    <w:rsid w:val="5776FB36"/>
    <w:rsid w:val="5955572D"/>
    <w:rsid w:val="5A912183"/>
    <w:rsid w:val="5A9400FD"/>
    <w:rsid w:val="5B76C514"/>
    <w:rsid w:val="5C2562F1"/>
    <w:rsid w:val="5CCF1F5B"/>
    <w:rsid w:val="5CEE4AA1"/>
    <w:rsid w:val="5DEC4730"/>
    <w:rsid w:val="5E56B9F4"/>
    <w:rsid w:val="5E992B3F"/>
    <w:rsid w:val="5F0E09FB"/>
    <w:rsid w:val="609EC1A4"/>
    <w:rsid w:val="6121F0EC"/>
    <w:rsid w:val="645812A7"/>
    <w:rsid w:val="64E97B24"/>
    <w:rsid w:val="663FE15E"/>
    <w:rsid w:val="6690628B"/>
    <w:rsid w:val="66BD9255"/>
    <w:rsid w:val="6752AF49"/>
    <w:rsid w:val="67EC2E92"/>
    <w:rsid w:val="68304447"/>
    <w:rsid w:val="6882E4D5"/>
    <w:rsid w:val="6ABE55F6"/>
    <w:rsid w:val="6C1FC151"/>
    <w:rsid w:val="6CC13D6F"/>
    <w:rsid w:val="6D0B6FBC"/>
    <w:rsid w:val="6D5FB7F8"/>
    <w:rsid w:val="6ECCF2D8"/>
    <w:rsid w:val="6F3E0972"/>
    <w:rsid w:val="6F9BFC3B"/>
    <w:rsid w:val="70364D9B"/>
    <w:rsid w:val="71553D80"/>
    <w:rsid w:val="7242C58B"/>
    <w:rsid w:val="734DA391"/>
    <w:rsid w:val="73D96362"/>
    <w:rsid w:val="73E26FC3"/>
    <w:rsid w:val="74DC24DB"/>
    <w:rsid w:val="76374C08"/>
    <w:rsid w:val="77896A38"/>
    <w:rsid w:val="7ABD5634"/>
    <w:rsid w:val="7B260DF3"/>
    <w:rsid w:val="7C8F4198"/>
    <w:rsid w:val="7D084DF5"/>
    <w:rsid w:val="7F530ADF"/>
    <w:rsid w:val="7F984D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B877C"/>
  <w15:chartTrackingRefBased/>
  <w15:docId w15:val="{258FFD87-7F75-4382-98BF-883F6A66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803"/>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customStyle="1" w:styleId="normaltextrun">
    <w:name w:val="normaltextrun"/>
    <w:basedOn w:val="DefaultParagraphFont"/>
    <w:rsid w:val="00E7295D"/>
  </w:style>
  <w:style w:type="character" w:styleId="Mention">
    <w:name w:val="Mention"/>
    <w:basedOn w:val="DefaultParagraphFont"/>
    <w:uiPriority w:val="99"/>
    <w:unhideWhenUsed/>
    <w:rsid w:val="005B1BB4"/>
    <w:rPr>
      <w:color w:val="2B579A"/>
      <w:shd w:val="clear" w:color="auto" w:fill="E1DFDD"/>
    </w:rPr>
  </w:style>
  <w:style w:type="character" w:styleId="FollowedHyperlink">
    <w:name w:val="FollowedHyperlink"/>
    <w:basedOn w:val="DefaultParagraphFont"/>
    <w:uiPriority w:val="99"/>
    <w:semiHidden/>
    <w:unhideWhenUsed/>
    <w:rsid w:val="001615A1"/>
    <w:rPr>
      <w:color w:val="954F72" w:themeColor="followedHyperlink"/>
      <w:u w:val="single"/>
    </w:rPr>
  </w:style>
  <w:style w:type="paragraph" w:styleId="BodyText">
    <w:name w:val="Body Text"/>
    <w:basedOn w:val="Normal"/>
    <w:link w:val="BodyTextChar"/>
    <w:uiPriority w:val="99"/>
    <w:rsid w:val="001C4BEF"/>
    <w:pPr>
      <w:spacing w:after="160" w:line="320" w:lineRule="exact"/>
    </w:pPr>
    <w:rPr>
      <w:rFonts w:ascii="Verdana" w:eastAsia="SimSun" w:hAnsi="Verdana" w:cs="Times New Roman"/>
      <w:sz w:val="20"/>
      <w:lang w:eastAsia="zh-CN"/>
    </w:rPr>
  </w:style>
  <w:style w:type="character" w:customStyle="1" w:styleId="BodyTextChar">
    <w:name w:val="Body Text Char"/>
    <w:basedOn w:val="DefaultParagraphFont"/>
    <w:link w:val="BodyText"/>
    <w:uiPriority w:val="99"/>
    <w:rsid w:val="001C4BEF"/>
    <w:rPr>
      <w:rFonts w:ascii="Verdana" w:eastAsia="SimSun" w:hAnsi="Verdana" w:cs="Times New Roman"/>
      <w:sz w:val="20"/>
      <w:lang w:eastAsia="zh-CN"/>
    </w:rPr>
  </w:style>
  <w:style w:type="paragraph" w:customStyle="1" w:styleId="EndNoteBibliography">
    <w:name w:val="EndNote Bibliography"/>
    <w:basedOn w:val="Normal"/>
    <w:link w:val="EndNoteBibliographyChar"/>
    <w:rsid w:val="00FE1964"/>
    <w:rPr>
      <w:rFonts w:ascii="Verdana" w:eastAsia="SimSun" w:hAnsi="Verdana" w:cs="Times New Roman"/>
      <w:noProof/>
      <w:sz w:val="20"/>
      <w:lang w:eastAsia="zh-CN"/>
    </w:rPr>
  </w:style>
  <w:style w:type="character" w:customStyle="1" w:styleId="EndNoteBibliographyChar">
    <w:name w:val="EndNote Bibliography Char"/>
    <w:basedOn w:val="DefaultParagraphFont"/>
    <w:link w:val="EndNoteBibliography"/>
    <w:rsid w:val="00FE1964"/>
    <w:rPr>
      <w:rFonts w:ascii="Verdana" w:eastAsia="SimSun" w:hAnsi="Verdana" w:cs="Times New Roman"/>
      <w:noProof/>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da.sharepoint.com/sites/CTP-OHCE-SP-Digitalad/Task%203%20IRB%20and%20OMB%20Protocols/Hookah%20Beliefs%20OMB%20Package/jsobolewski@rti.org" TargetMode="External" /><Relationship Id="rId11" Type="http://schemas.openxmlformats.org/officeDocument/2006/relationships/hyperlink" Target="https://fda.sharepoint.com/sites/CTP-OHCE-SP-Digitalad/Task%203%20IRB%20and%20OMB%20Protocols/Hookah%20Beliefs%20OMB%20Package/aarmbrister@rti.org" TargetMode="External" /><Relationship Id="rId12" Type="http://schemas.openxmlformats.org/officeDocument/2006/relationships/hyperlink" Target="https://fda.sharepoint.com/sites/CTP-OHCE-SP-Digitalad/Task%203%20IRB%20and%20OMB%20Protocols/Hookah%20Beliefs%20OMB%20Package/jamieguillory.contractor@rti.org" TargetMode="External" /><Relationship Id="rId13" Type="http://schemas.openxmlformats.org/officeDocument/2006/relationships/hyperlink" Target="https://hrc-prod-requests.s3-us-west-2.amazonaws.com/files/assets/resources/2018-YouthReport-NoVid.pdf" TargetMode="External" /><Relationship Id="rId14" Type="http://schemas.openxmlformats.org/officeDocument/2006/relationships/hyperlink" Target="https://truthinitiative.org/sites/default/files/media/files/2019/03/Latino_College_Health_Initative_2014.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f@rti.org" TargetMode="External" /><Relationship Id="rId9" Type="http://schemas.openxmlformats.org/officeDocument/2006/relationships/hyperlink" Target="mailto:khaye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SharedWithUsers xmlns="a43e997a-d32d-481d-8724-80aafe00af7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D89A-7175-48B4-AC85-5951F87A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C0462-A1E2-4B0F-B76C-EB5FC9F1E802}">
  <ds:schemaRefs>
    <ds:schemaRef ds:uri="http://schemas.microsoft.com/office/2006/metadata/properties"/>
    <ds:schemaRef ds:uri="http://schemas.microsoft.com/office/infopath/2007/PartnerControls"/>
    <ds:schemaRef ds:uri="96424533-5061-4c6b-8d85-ac4b88abb0a8"/>
    <ds:schemaRef ds:uri="a43e997a-d32d-481d-8724-80aafe00af7c"/>
  </ds:schemaRefs>
</ds:datastoreItem>
</file>

<file path=customXml/itemProps3.xml><?xml version="1.0" encoding="utf-8"?>
<ds:datastoreItem xmlns:ds="http://schemas.openxmlformats.org/officeDocument/2006/customXml" ds:itemID="{0D9983D8-332D-4B64-8F44-4D08941FF9BA}">
  <ds:schemaRefs>
    <ds:schemaRef ds:uri="http://schemas.microsoft.com/sharepoint/v3/contenttype/forms"/>
  </ds:schemaRefs>
</ds:datastoreItem>
</file>

<file path=customXml/itemProps4.xml><?xml version="1.0" encoding="utf-8"?>
<ds:datastoreItem xmlns:ds="http://schemas.openxmlformats.org/officeDocument/2006/customXml" ds:itemID="{1E12956E-7BDA-4A9B-938D-03D77B9F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5629</Words>
  <Characters>32088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Gittleson, Daniel</cp:lastModifiedBy>
  <cp:revision>3</cp:revision>
  <dcterms:created xsi:type="dcterms:W3CDTF">2023-02-23T17:13:00Z</dcterms:created>
  <dcterms:modified xsi:type="dcterms:W3CDTF">2023-02-23T17:13:00Z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SharedWithUser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