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62EA" w:rsidP="008E7D24" w14:paraId="272BC0CF" w14:textId="4BE29F64">
      <w:pPr>
        <w:jc w:val="center"/>
        <w:rPr>
          <w:b/>
          <w:bCs/>
        </w:rPr>
      </w:pPr>
      <w:r>
        <w:rPr>
          <w:b/>
          <w:bCs/>
        </w:rPr>
        <w:t xml:space="preserve"> </w:t>
      </w:r>
      <w:r w:rsidRPr="77EE5CB5">
        <w:rPr>
          <w:b/>
          <w:bCs/>
        </w:rPr>
        <w:t>U.S. Food and Drug Administration</w:t>
      </w:r>
    </w:p>
    <w:p w:rsidR="003D63DB" w:rsidRPr="003D63DB" w:rsidP="003D63DB" w14:paraId="3BCA3A7D" w14:textId="35508DE7">
      <w:pPr>
        <w:jc w:val="center"/>
        <w:rPr>
          <w:b/>
          <w:bCs/>
        </w:rPr>
      </w:pPr>
      <w:r w:rsidRPr="003D63DB">
        <w:rPr>
          <w:b/>
          <w:bCs/>
        </w:rPr>
        <w:t>Hispanic/Latino Youth and Young Adult Tobacco Use Online Survey Study</w:t>
      </w:r>
      <w:r w:rsidR="00252FAE">
        <w:rPr>
          <w:b/>
          <w:bCs/>
        </w:rPr>
        <w:t xml:space="preserve"> </w:t>
      </w:r>
    </w:p>
    <w:p w:rsidR="00DB414D" w:rsidRPr="0022482A" w:rsidP="008E7D24" w14:paraId="1FA08230" w14:textId="77777777">
      <w:pPr>
        <w:jc w:val="center"/>
        <w:rPr>
          <w:b/>
          <w:bCs/>
        </w:rPr>
      </w:pPr>
    </w:p>
    <w:p w:rsidR="00C14B5D" w:rsidRPr="0022482A" w:rsidP="008E7D24" w14:paraId="2507F315" w14:textId="1CB46032">
      <w:pPr>
        <w:jc w:val="center"/>
        <w:rPr>
          <w:b/>
          <w:bCs/>
        </w:rPr>
      </w:pPr>
      <w:r w:rsidRPr="77EE5CB5">
        <w:rPr>
          <w:b/>
          <w:bCs/>
        </w:rPr>
        <w:t xml:space="preserve">OMB Control Number </w:t>
      </w:r>
      <w:r w:rsidRPr="77EE5CB5" w:rsidR="00EB7538">
        <w:rPr>
          <w:b/>
          <w:bCs/>
        </w:rPr>
        <w:t>0910-</w:t>
      </w:r>
      <w:r w:rsidRPr="77EE5CB5" w:rsidR="007F4514">
        <w:rPr>
          <w:b/>
          <w:bCs/>
        </w:rPr>
        <w:t>0810</w:t>
      </w:r>
    </w:p>
    <w:p w:rsidR="0022482A" w:rsidRPr="0022482A" w:rsidP="008E7D24" w14:paraId="3D0543D9" w14:textId="77777777">
      <w:pPr>
        <w:jc w:val="center"/>
        <w:rPr>
          <w:b/>
          <w:bCs/>
        </w:rPr>
      </w:pPr>
    </w:p>
    <w:p w:rsidR="00EB7538" w:rsidRPr="0022482A" w:rsidP="008E7D24" w14:paraId="0E089FCC" w14:textId="0AC40FCA">
      <w:pPr>
        <w:jc w:val="center"/>
        <w:rPr>
          <w:b/>
          <w:bCs/>
        </w:rPr>
      </w:pPr>
      <w:r>
        <w:rPr>
          <w:b/>
          <w:bCs/>
        </w:rPr>
        <w:t xml:space="preserve">GENERIC IC </w:t>
      </w:r>
      <w:r w:rsidRPr="77EE5CB5">
        <w:rPr>
          <w:b/>
          <w:bCs/>
        </w:rPr>
        <w:t>SUPPO</w:t>
      </w:r>
      <w:r>
        <w:rPr>
          <w:b/>
          <w:bCs/>
        </w:rPr>
        <w:t>RTING</w:t>
      </w:r>
      <w:r w:rsidRPr="77EE5CB5">
        <w:rPr>
          <w:b/>
          <w:bCs/>
        </w:rPr>
        <w:t xml:space="preserve"> STATEMENT</w:t>
      </w:r>
      <w:r w:rsidRPr="77EE5CB5" w:rsidR="00C12125">
        <w:rPr>
          <w:b/>
          <w:bCs/>
        </w:rPr>
        <w:t xml:space="preserve"> A</w:t>
      </w:r>
    </w:p>
    <w:p w:rsidR="00810FF1" w:rsidP="008E7D24" w14:paraId="7BE6FEEB" w14:textId="77777777">
      <w:pPr>
        <w:jc w:val="center"/>
        <w:rPr>
          <w:b/>
          <w:bCs/>
        </w:rPr>
      </w:pPr>
    </w:p>
    <w:p w:rsidR="00EB7538" w:rsidRPr="00850940" w:rsidP="008E7D24" w14:paraId="67CE64D8" w14:textId="77777777">
      <w:pPr>
        <w:pStyle w:val="Heading2"/>
      </w:pPr>
      <w:r>
        <w:t>A. Justification</w:t>
      </w:r>
    </w:p>
    <w:p w:rsidR="00CD50AC" w:rsidRPr="00850940" w:rsidP="008E7D24" w14:paraId="73FFACD3" w14:textId="77777777">
      <w:pPr>
        <w:pStyle w:val="Heading3"/>
      </w:pPr>
      <w:r>
        <w:t>Circumstances Making the Collection of Information Necessary</w:t>
      </w:r>
    </w:p>
    <w:p w:rsidR="007044B2" w:rsidP="008E7D24" w14:paraId="32960C3F" w14:textId="045B34AE">
      <w:pPr>
        <w:pStyle w:val="BodyText0"/>
      </w:pPr>
      <w:bookmarkStart w:id="0" w:name="_Hlk24483097"/>
      <w:r>
        <w:t>T</w:t>
      </w:r>
      <w:r w:rsidRPr="00B42520">
        <w:t xml:space="preserve">his study aims to examine risk and protective factors for tobacco product use to better understand and segment </w:t>
      </w:r>
      <w:r>
        <w:t>sub</w:t>
      </w:r>
      <w:r w:rsidRPr="00B42520">
        <w:t>populations at higher risk of</w:t>
      </w:r>
      <w:r w:rsidR="00B10AB2">
        <w:t xml:space="preserve"> </w:t>
      </w:r>
      <w:r w:rsidR="005818DE">
        <w:t>E</w:t>
      </w:r>
      <w:r w:rsidR="00B10AB2">
        <w:t xml:space="preserve">lectronic </w:t>
      </w:r>
      <w:r w:rsidR="005818DE">
        <w:t>N</w:t>
      </w:r>
      <w:r w:rsidR="00B10AB2">
        <w:t xml:space="preserve">icotine </w:t>
      </w:r>
      <w:r w:rsidR="005818DE">
        <w:t>D</w:t>
      </w:r>
      <w:r w:rsidR="00B10AB2">
        <w:t xml:space="preserve">elivery </w:t>
      </w:r>
      <w:r w:rsidR="005818DE">
        <w:t>S</w:t>
      </w:r>
      <w:r w:rsidR="00B10AB2">
        <w:t>ys</w:t>
      </w:r>
      <w:r w:rsidR="005818DE">
        <w:t>t</w:t>
      </w:r>
      <w:r w:rsidR="00B10AB2">
        <w:t>ems (</w:t>
      </w:r>
      <w:r w:rsidRPr="00B42520">
        <w:t>ENDS</w:t>
      </w:r>
      <w:r w:rsidR="00B10AB2">
        <w:t>)</w:t>
      </w:r>
      <w:r w:rsidRPr="00B42520">
        <w:t xml:space="preserve"> use. </w:t>
      </w:r>
      <w:r>
        <w:t xml:space="preserve">Specifically, </w:t>
      </w:r>
      <w:r>
        <w:rPr>
          <w:lang w:bidi="en-US"/>
        </w:rPr>
        <w:t>m</w:t>
      </w:r>
      <w:r w:rsidRPr="005533E9" w:rsidR="005533E9">
        <w:rPr>
          <w:lang w:bidi="en-US"/>
        </w:rPr>
        <w:t>illions of Hispanic youth and young adults in the U.S. are at elevated risk of morbidity and mortality related to tobacco use.</w:t>
      </w:r>
      <w:r>
        <w:rPr>
          <w:vertAlign w:val="superscript"/>
          <w:lang w:bidi="en-US"/>
        </w:rPr>
        <w:footnoteReference w:id="3"/>
      </w:r>
      <w:r w:rsidRPr="005533E9" w:rsidR="005533E9">
        <w:rPr>
          <w:lang w:bidi="en-US"/>
        </w:rPr>
        <w:t xml:space="preserve"> </w:t>
      </w:r>
      <w:bookmarkStart w:id="1" w:name="_Hlk101356698"/>
      <w:r w:rsidR="005533E9">
        <w:rPr>
          <w:lang w:bidi="en-US"/>
        </w:rPr>
        <w:t xml:space="preserve">Moreover </w:t>
      </w:r>
      <w:r w:rsidRPr="005533E9" w:rsidR="005533E9">
        <w:rPr>
          <w:lang w:bidi="en-US"/>
        </w:rPr>
        <w:t>Hispanic youth are more likely to be curious about and/or initiate tobacco use with e-cigarettes compared to non-Hispanic peers</w:t>
      </w:r>
      <w:bookmarkEnd w:id="1"/>
      <w:r w:rsidR="005533E9">
        <w:rPr>
          <w:lang w:bidi="en-US"/>
        </w:rPr>
        <w:t>.</w:t>
      </w:r>
      <w:r w:rsidRPr="005533E9" w:rsidR="005533E9">
        <w:rPr>
          <w:lang w:bidi="en-US"/>
        </w:rPr>
        <w:t xml:space="preserve"> </w:t>
      </w:r>
      <w:r>
        <w:t>The Food and Drug Administration’s (</w:t>
      </w:r>
      <w:r w:rsidR="00DB414D">
        <w:t>FDA’s</w:t>
      </w:r>
      <w:r>
        <w:t>)</w:t>
      </w:r>
      <w:r w:rsidR="00DB414D">
        <w:t xml:space="preserve"> Center for Tobacco Products (CTP) </w:t>
      </w:r>
      <w:r w:rsidRPr="00B42520" w:rsidR="00B42520">
        <w:t>is conducting theory-based foundational research with Hispanic</w:t>
      </w:r>
      <w:r w:rsidR="005533E9">
        <w:t xml:space="preserve"> </w:t>
      </w:r>
      <w:r w:rsidRPr="00B42520" w:rsidR="00B42520">
        <w:t xml:space="preserve">youth ages 13 to 17 (hereafter referred to as youth) and young adults ages 18 to 24 (hereafter referred to as young adults) guided by the following overarching research question: “Who among Hispanic youth and young adults is most at risk for tobacco product use (with a focus on electronic nicotine delivery systems </w:t>
      </w:r>
      <w:r w:rsidR="005533E9">
        <w:t xml:space="preserve">or </w:t>
      </w:r>
      <w:r w:rsidRPr="00B42520" w:rsidR="00B42520">
        <w:t>ENDS)?” We would like to better understand the demographic, psychographic, and sociocultural determinants of tobacco and ENDS use and identify segments</w:t>
      </w:r>
      <w:r w:rsidR="005533E9">
        <w:t xml:space="preserve"> of the Hispanic population</w:t>
      </w:r>
      <w:r w:rsidRPr="00B42520" w:rsidR="00B42520">
        <w:t xml:space="preserve"> most at risk. </w:t>
      </w:r>
      <w:r w:rsidR="00B42520">
        <w:t xml:space="preserve"> </w:t>
      </w:r>
      <w:r w:rsidRPr="00B42520" w:rsidR="00B42520">
        <w:rPr>
          <w:lang w:bidi="en-US"/>
        </w:rPr>
        <w:t>T</w:t>
      </w:r>
      <w:r w:rsidRPr="00B42520" w:rsidR="00B42520">
        <w:t xml:space="preserve">he research proposed will contribute to a more nuanced understanding of </w:t>
      </w:r>
      <w:r w:rsidR="00B42520">
        <w:t xml:space="preserve">this audience </w:t>
      </w:r>
      <w:r w:rsidR="005533E9">
        <w:t>to</w:t>
      </w:r>
      <w:r w:rsidRPr="00B42520" w:rsidR="00B42520">
        <w:t xml:space="preserve"> inform </w:t>
      </w:r>
      <w:r w:rsidR="005533E9">
        <w:t xml:space="preserve">targeted outreach of </w:t>
      </w:r>
      <w:r w:rsidRPr="00B42520" w:rsidR="00B42520">
        <w:t xml:space="preserve">CTP’s </w:t>
      </w:r>
      <w:r w:rsidR="005533E9">
        <w:t>tobacco prevention communication strategy and messaging</w:t>
      </w:r>
      <w:r w:rsidR="00B42520">
        <w:t>.</w:t>
      </w:r>
    </w:p>
    <w:bookmarkEnd w:id="0"/>
    <w:p w:rsidR="00AD4C50" w:rsidP="008E7D24" w14:paraId="41608E73" w14:textId="77777777">
      <w:pPr>
        <w:pStyle w:val="Heading3"/>
      </w:pPr>
      <w:r>
        <w:t>Purpose and Use of the Information Collection</w:t>
      </w:r>
    </w:p>
    <w:p w:rsidR="00DB414D" w:rsidP="00B42520" w14:paraId="4AAF2CAB" w14:textId="16DE47A2">
      <w:pPr>
        <w:pStyle w:val="BodyText0"/>
      </w:pPr>
      <w:r>
        <w:t>CTP</w:t>
      </w:r>
      <w:r w:rsidR="007044B2">
        <w:t xml:space="preserve"> contracted with </w:t>
      </w:r>
      <w:r w:rsidR="00B42520">
        <w:t>IQ Solutions (IQS)</w:t>
      </w:r>
      <w:r w:rsidR="007044B2">
        <w:t xml:space="preserve"> to conduct an online survey of 2,</w:t>
      </w:r>
      <w:r w:rsidR="005533E9">
        <w:t>6</w:t>
      </w:r>
      <w:r>
        <w:t>00</w:t>
      </w:r>
      <w:r w:rsidR="007044B2">
        <w:t xml:space="preserve"> </w:t>
      </w:r>
      <w:r w:rsidR="00B42520">
        <w:t xml:space="preserve">Hispanic </w:t>
      </w:r>
      <w:r w:rsidR="007044B2">
        <w:t>youth</w:t>
      </w:r>
      <w:r w:rsidR="00B42520">
        <w:t xml:space="preserve"> and young</w:t>
      </w:r>
      <w:r w:rsidR="007044B2">
        <w:t xml:space="preserve"> </w:t>
      </w:r>
      <w:r w:rsidR="002761A5">
        <w:t>participant</w:t>
      </w:r>
      <w:r>
        <w:t>s</w:t>
      </w:r>
      <w:r w:rsidR="007044B2">
        <w:t xml:space="preserve"> (ages </w:t>
      </w:r>
      <w:r>
        <w:t>13</w:t>
      </w:r>
      <w:r w:rsidR="007044B2">
        <w:t>-</w:t>
      </w:r>
      <w:r w:rsidR="00B42520">
        <w:t>24</w:t>
      </w:r>
      <w:r w:rsidR="007044B2">
        <w:t>)</w:t>
      </w:r>
      <w:r w:rsidRPr="00B42520" w:rsidR="00B42520">
        <w:rPr>
          <w:rFonts w:ascii="Arial" w:eastAsia="Arial" w:hAnsi="Arial" w:cs="Arial"/>
          <w:color w:val="000000" w:themeColor="text1"/>
          <w:sz w:val="22"/>
          <w:lang w:eastAsia="en-US"/>
        </w:rPr>
        <w:t xml:space="preserve"> </w:t>
      </w:r>
      <w:r w:rsidRPr="00B42520" w:rsidR="00B42520">
        <w:t>from the 48 contiguous U.S. states, Alaska, Hawaii, and the District of Columbia (</w:t>
      </w:r>
      <w:r w:rsidR="00B42520">
        <w:t>t</w:t>
      </w:r>
      <w:r w:rsidRPr="00B42520" w:rsidR="00B42520">
        <w:t xml:space="preserve">hose residing in Puerto Rico are </w:t>
      </w:r>
      <w:r w:rsidRPr="00B42520" w:rsidR="00B42520">
        <w:rPr>
          <w:i/>
          <w:iCs/>
        </w:rPr>
        <w:t>not</w:t>
      </w:r>
      <w:r w:rsidRPr="00B42520" w:rsidR="00B42520">
        <w:t xml:space="preserve"> eligible for this study)</w:t>
      </w:r>
      <w:r>
        <w:t>. The objectives of this task are to</w:t>
      </w:r>
      <w:r w:rsidR="00B42520">
        <w:t>:</w:t>
      </w:r>
      <w:r>
        <w:t xml:space="preserve"> 1) </w:t>
      </w:r>
      <w:r w:rsidRPr="00B42520" w:rsidR="00B42520">
        <w:t>Gain insights into the population of Hispanic youth/</w:t>
      </w:r>
      <w:r w:rsidR="00F31DEC">
        <w:t xml:space="preserve">young </w:t>
      </w:r>
      <w:r w:rsidRPr="00B42520" w:rsidR="00B42520">
        <w:t>adults in the United States who are Susceptible Non-Triers and Experimenters of ENDS products as well as dual or poly tobacco users</w:t>
      </w:r>
      <w:r w:rsidR="00B42520">
        <w:t xml:space="preserve">; 2) </w:t>
      </w:r>
      <w:r w:rsidRPr="00B42520" w:rsidR="00B42520">
        <w:t>Examine risk and protective factors for ENDS use across different segments of the Hispanic population</w:t>
      </w:r>
      <w:r w:rsidR="00B42520">
        <w:t xml:space="preserve">; and 3) </w:t>
      </w:r>
      <w:r w:rsidRPr="00B42520" w:rsidR="00B42520">
        <w:t>Explore how intersections between Hispanic identity and key demographics affect risk/susceptibility and use of ENDS and other tobacco products.</w:t>
      </w:r>
    </w:p>
    <w:p w:rsidR="00B42520" w:rsidP="00B42520" w14:paraId="14434C26" w14:textId="1EA257BE">
      <w:pPr>
        <w:pStyle w:val="BodyText0"/>
      </w:pPr>
      <w:r>
        <w:t xml:space="preserve">To achieve these objectives, we will conduct an online survey </w:t>
      </w:r>
      <w:r>
        <w:t>designed to address</w:t>
      </w:r>
      <w:r>
        <w:t xml:space="preserve"> </w:t>
      </w:r>
      <w:r w:rsidRPr="00B42520">
        <w:t xml:space="preserve">the following overarching </w:t>
      </w:r>
      <w:r>
        <w:t>r</w:t>
      </w:r>
      <w:r w:rsidRPr="00B42520">
        <w:t xml:space="preserve">esearch </w:t>
      </w:r>
      <w:r>
        <w:t>q</w:t>
      </w:r>
      <w:r w:rsidRPr="00B42520">
        <w:t>uestions:</w:t>
      </w:r>
    </w:p>
    <w:p w:rsidR="00B42520" w:rsidP="00B42520" w14:paraId="20EC9CA6" w14:textId="0A4F9BEC">
      <w:pPr>
        <w:pStyle w:val="BodyText0"/>
        <w:numPr>
          <w:ilvl w:val="0"/>
          <w:numId w:val="21"/>
        </w:numPr>
      </w:pPr>
      <w:r w:rsidRPr="00B42520">
        <w:t>How do</w:t>
      </w:r>
      <w:r w:rsidR="005533E9">
        <w:t>es</w:t>
      </w:r>
      <w:r w:rsidRPr="00B42520">
        <w:t xml:space="preserve"> tobacco use and susceptibility among Hispanic youth and young adults differ by key demographics, including </w:t>
      </w:r>
      <w:r>
        <w:t xml:space="preserve">age, </w:t>
      </w:r>
      <w:r>
        <w:t>gender</w:t>
      </w:r>
      <w:r>
        <w:t xml:space="preserve"> and </w:t>
      </w:r>
      <w:r w:rsidRPr="00B42520">
        <w:t>acculturation level?</w:t>
      </w:r>
    </w:p>
    <w:p w:rsidR="00B42520" w:rsidP="00B42520" w14:paraId="7769C633" w14:textId="29F8580B">
      <w:pPr>
        <w:pStyle w:val="BodyText0"/>
        <w:numPr>
          <w:ilvl w:val="0"/>
          <w:numId w:val="21"/>
        </w:numPr>
      </w:pPr>
      <w:r w:rsidRPr="00B42520">
        <w:t xml:space="preserve">How do tobacco risk and protective factors </w:t>
      </w:r>
      <w:r>
        <w:t xml:space="preserve">for ENDS use </w:t>
      </w:r>
      <w:r w:rsidRPr="00B42520">
        <w:t>vary by key demographics</w:t>
      </w:r>
      <w:r>
        <w:t xml:space="preserve"> including age, gender, and acculturation level</w:t>
      </w:r>
      <w:r w:rsidRPr="00B42520">
        <w:t xml:space="preserve">? </w:t>
      </w:r>
    </w:p>
    <w:p w:rsidR="00B42520" w:rsidP="00B42520" w14:paraId="76DF6CFD" w14:textId="46101DDF">
      <w:pPr>
        <w:pStyle w:val="BodyText0"/>
        <w:numPr>
          <w:ilvl w:val="0"/>
          <w:numId w:val="21"/>
        </w:numPr>
      </w:pPr>
      <w:r w:rsidRPr="00B42520">
        <w:t xml:space="preserve">How does identification as Hispanic intersect with other characteristics (e.g., acculturation, gender, </w:t>
      </w:r>
      <w:r w:rsidR="005533E9">
        <w:t>sexual orientation)</w:t>
      </w:r>
      <w:r w:rsidRPr="00B42520">
        <w:t xml:space="preserve"> to influence tobacco susceptibility, experimentation</w:t>
      </w:r>
      <w:r w:rsidR="00901C15">
        <w:t>,</w:t>
      </w:r>
      <w:r w:rsidRPr="00B42520">
        <w:t xml:space="preserve"> and initiation? </w:t>
      </w:r>
    </w:p>
    <w:p w:rsidR="007044B2" w:rsidP="00840940" w14:paraId="3045A925" w14:textId="29B19186">
      <w:pPr>
        <w:pStyle w:val="BodyText0"/>
        <w:numPr>
          <w:ilvl w:val="0"/>
          <w:numId w:val="21"/>
        </w:numPr>
      </w:pPr>
      <w:r w:rsidRPr="00B42520">
        <w:t xml:space="preserve">How might Hispanic youth and young adults be segmented </w:t>
      </w:r>
      <w:r w:rsidR="005533E9">
        <w:t>by</w:t>
      </w:r>
      <w:r w:rsidRPr="00B42520">
        <w:t xml:space="preserve"> </w:t>
      </w:r>
      <w:r w:rsidR="005533E9">
        <w:t xml:space="preserve">ENDS </w:t>
      </w:r>
      <w:r w:rsidRPr="00B42520">
        <w:t>susceptibility for more effective message targeting</w:t>
      </w:r>
      <w:r>
        <w:t>?</w:t>
      </w:r>
    </w:p>
    <w:p w:rsidR="00B42520" w:rsidP="00A13382" w14:paraId="5BDE9C22" w14:textId="2327BA17">
      <w:pPr>
        <w:pStyle w:val="BodyText0"/>
      </w:pPr>
      <w:r>
        <w:t>Ultimately t</w:t>
      </w:r>
      <w:r w:rsidRPr="00B42520">
        <w:t xml:space="preserve">his data collection will inform CTP’s understanding of the Hispanic youth and young adults who may be at higher risk of ENDS </w:t>
      </w:r>
      <w:r w:rsidR="005533E9">
        <w:t xml:space="preserve">and other tobacco </w:t>
      </w:r>
      <w:r w:rsidRPr="00B42520">
        <w:t xml:space="preserve">use. The results of this study will </w:t>
      </w:r>
      <w:r w:rsidR="005533E9">
        <w:t>be informative to CTPs efforts to</w:t>
      </w:r>
      <w:r w:rsidRPr="00B42520">
        <w:t xml:space="preserve"> develop </w:t>
      </w:r>
      <w:r w:rsidR="005533E9">
        <w:t>communication strategies and messaging</w:t>
      </w:r>
      <w:r w:rsidRPr="00B42520">
        <w:t xml:space="preserve"> targeting demographic groups at high risk </w:t>
      </w:r>
      <w:r w:rsidR="005533E9">
        <w:t>of tobacco use</w:t>
      </w:r>
      <w:r w:rsidRPr="00B42520">
        <w:t>.</w:t>
      </w:r>
    </w:p>
    <w:p w:rsidR="00AD4C50" w:rsidP="008E7D24" w14:paraId="19DBBFB8" w14:textId="77777777">
      <w:pPr>
        <w:pStyle w:val="Heading3"/>
      </w:pPr>
      <w:r>
        <w:t>Use of Improved Information Technology and Burden Reduction</w:t>
      </w:r>
    </w:p>
    <w:p w:rsidR="00AD4C50" w:rsidP="008E7D24" w14:paraId="1E56BC21" w14:textId="5B4871FA">
      <w:pPr>
        <w:pStyle w:val="BodyText0"/>
        <w:rPr>
          <w:color w:val="0000FF"/>
        </w:rPr>
      </w:pPr>
      <w:r>
        <w:t xml:space="preserve">Because this is a </w:t>
      </w:r>
      <w:r w:rsidR="002F594D">
        <w:t>web</w:t>
      </w:r>
      <w:r>
        <w:t>-based study, 100% of the respondents will submit the information in an electronic format.</w:t>
      </w:r>
      <w:r w:rsidR="00360370">
        <w:t xml:space="preserve"> </w:t>
      </w:r>
      <w:r>
        <w:t>Web-based surveys reduce respondent burden, minimize possible administration errors, and expedite the timeliness of data processing.</w:t>
      </w:r>
      <w:r w:rsidR="00360370">
        <w:t xml:space="preserve"> </w:t>
      </w:r>
      <w:r>
        <w:t xml:space="preserve">Furthermore, </w:t>
      </w:r>
      <w:r w:rsidR="002F594D">
        <w:t>web</w:t>
      </w:r>
      <w:r>
        <w:t xml:space="preserve">-based surveys are less intrusive and less costly compared </w:t>
      </w:r>
      <w:r w:rsidR="000D1486">
        <w:t xml:space="preserve">with </w:t>
      </w:r>
      <w:r>
        <w:t>face-to-face interviews and mail and telephone surveys.</w:t>
      </w:r>
      <w:r w:rsidRPr="77EE5CB5" w:rsidR="00360370">
        <w:rPr>
          <w:color w:val="0000FF"/>
        </w:rPr>
        <w:t xml:space="preserve"> </w:t>
      </w:r>
      <w:r>
        <w:t xml:space="preserve">Because there is no interviewer present, </w:t>
      </w:r>
      <w:r w:rsidR="002761A5">
        <w:t>participant</w:t>
      </w:r>
      <w:r>
        <w:t xml:space="preserve"> responses to a </w:t>
      </w:r>
      <w:r w:rsidR="002F594D">
        <w:t>web</w:t>
      </w:r>
      <w:r>
        <w:t>-based survey are less prone to social desirability bias.</w:t>
      </w:r>
    </w:p>
    <w:p w:rsidR="00AD4C50" w:rsidP="008E7D24" w14:paraId="007C0001" w14:textId="77777777">
      <w:pPr>
        <w:pStyle w:val="Heading3"/>
      </w:pPr>
      <w:r>
        <w:t>Efforts to Identify Duplication and Use of Similar Information</w:t>
      </w:r>
    </w:p>
    <w:p w:rsidR="00043000" w:rsidP="008E7D24" w14:paraId="3018DAD0" w14:textId="59A744F5">
      <w:pPr>
        <w:pStyle w:val="BodyText0"/>
      </w:pPr>
      <w:r w:rsidRPr="77EE5CB5">
        <w:rPr>
          <w:color w:val="000000" w:themeColor="text1"/>
        </w:rPr>
        <w:t>T</w:t>
      </w:r>
      <w:r>
        <w:t>here is no duplicative collection of this information. No comparable data have been collected by any other entities.</w:t>
      </w:r>
      <w:bookmarkStart w:id="2" w:name="_Hlk511059720"/>
      <w:r w:rsidR="00360370">
        <w:t xml:space="preserve"> </w:t>
      </w:r>
      <w:r>
        <w:t>We carefully reviewed the literature and existing data sets to determine whether any of them are sufficiently similar or could be modified to address FDA’s need</w:t>
      </w:r>
      <w:r w:rsidR="00F53D38">
        <w:t>s</w:t>
      </w:r>
      <w:r>
        <w:t>. We concluded that the existing literature and existing data sources do not include the measures needed by FDA.</w:t>
      </w:r>
    </w:p>
    <w:bookmarkEnd w:id="2"/>
    <w:p w:rsidR="002746DB" w:rsidRPr="0087609A" w:rsidP="008E7D24" w14:paraId="448F3D19" w14:textId="77777777">
      <w:pPr>
        <w:pStyle w:val="Heading3"/>
      </w:pPr>
      <w:r>
        <w:t>Impact on Small Businesses or Other Small Entities</w:t>
      </w:r>
    </w:p>
    <w:p w:rsidR="003D1295" w:rsidP="008E7D24" w14:paraId="4627BDC3" w14:textId="77777777">
      <w:pPr>
        <w:pStyle w:val="BodyText0"/>
      </w:pPr>
      <w:r>
        <w:t>No small businesses will be involved in this collection of information.</w:t>
      </w:r>
    </w:p>
    <w:p w:rsidR="00CD77C3" w:rsidRPr="0087609A" w:rsidP="008E7D24" w14:paraId="7DA7C38B" w14:textId="77777777">
      <w:pPr>
        <w:pStyle w:val="Heading3"/>
      </w:pPr>
      <w:r>
        <w:t>Consequences of Collecting the Information Less Frequently</w:t>
      </w:r>
    </w:p>
    <w:p w:rsidR="00AD4C50" w:rsidP="008E7D24" w14:paraId="2805A64E" w14:textId="63CB42A4">
      <w:pPr>
        <w:pStyle w:val="BodyText0"/>
      </w:pPr>
      <w:r>
        <w:t>The collection of information will provide important data needed for FDA to</w:t>
      </w:r>
      <w:r w:rsidR="00693F23">
        <w:t xml:space="preserve"> </w:t>
      </w:r>
      <w:r w:rsidR="00ED319E">
        <w:t>develop more targeted messaging to address the needs of the largest minority group in the US</w:t>
      </w:r>
      <w:r w:rsidR="00B95684">
        <w:t>.</w:t>
      </w:r>
      <w:r w:rsidR="00693F23">
        <w:t xml:space="preserve"> Failure to collect these data could reduce effectiveness of the FDA’s </w:t>
      </w:r>
      <w:r w:rsidR="00ED319E">
        <w:t xml:space="preserve">tobacco prevention </w:t>
      </w:r>
      <w:r w:rsidR="00693F23">
        <w:t>messaging, and therefore reduce the benefit of the messages for youth</w:t>
      </w:r>
      <w:r w:rsidR="00512D81">
        <w:t xml:space="preserve"> </w:t>
      </w:r>
      <w:r w:rsidR="00693F23">
        <w:t>in the United States.</w:t>
      </w:r>
    </w:p>
    <w:p w:rsidR="00CD77C3" w:rsidRPr="002D1C87" w:rsidP="008E7D24" w14:paraId="7BC9CD15" w14:textId="77777777">
      <w:pPr>
        <w:pStyle w:val="Heading3"/>
      </w:pPr>
      <w:r>
        <w:t>Special Circumstances Relating to the Guidelines of 5 CFR 1320.5</w:t>
      </w:r>
    </w:p>
    <w:p w:rsidR="003D1295" w:rsidP="008E7D24" w14:paraId="07CD9B2A" w14:textId="77777777">
      <w:pPr>
        <w:pStyle w:val="BodyText0"/>
      </w:pPr>
      <w:r>
        <w:t>This information collection fully complies with 5 CFR 1320.5(d)(2).</w:t>
      </w:r>
      <w:r w:rsidR="00360370">
        <w:t xml:space="preserve"> </w:t>
      </w:r>
      <w:r w:rsidR="000D1486">
        <w:t>N</w:t>
      </w:r>
      <w:r>
        <w:t xml:space="preserve">o special circumstances </w:t>
      </w:r>
      <w:r w:rsidR="000D1486">
        <w:t xml:space="preserve">are </w:t>
      </w:r>
      <w:r>
        <w:t>associated with this information collection that would be inconsistent with the regulation.</w:t>
      </w:r>
    </w:p>
    <w:p w:rsidR="00CD77C3" w:rsidRPr="002D1C87" w:rsidP="008E7D24" w14:paraId="75C64989" w14:textId="77777777">
      <w:pPr>
        <w:pStyle w:val="Heading3"/>
      </w:pPr>
      <w:r>
        <w:t>Comments in Response to the Federal Register Notice and Efforts to Consult Outside the Agency</w:t>
      </w:r>
    </w:p>
    <w:p w:rsidR="00512D81" w:rsidRPr="00F734AC" w:rsidP="008E7D24" w14:paraId="52FFFE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eastAsia="Times New Roman"/>
        </w:rPr>
      </w:pPr>
      <w:r w:rsidRPr="77EE5CB5">
        <w:rPr>
          <w:rFonts w:eastAsia="Times New Roman"/>
        </w:rPr>
        <w:t>The following individuals inside the agency have been consulted on the design of the study, instrument development, or intra-agency coordination of information collection efforts:</w:t>
      </w:r>
    </w:p>
    <w:p w:rsidR="00512D81" w:rsidRPr="008265FC" w:rsidP="008E7D24" w14:paraId="41C837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eastAsia="Times New Roman"/>
        </w:rPr>
      </w:pPr>
    </w:p>
    <w:p w:rsidR="00512D81" w:rsidRPr="007F4407" w:rsidP="008E7D24" w14:paraId="390FD4A9" w14:textId="738D7AB4">
      <w:pPr>
        <w:ind w:left="180"/>
      </w:pPr>
      <w:r>
        <w:t>Emily Sanders</w:t>
      </w:r>
    </w:p>
    <w:p w:rsidR="00512D81" w:rsidRPr="007F4407" w:rsidP="008E7D24" w14:paraId="2F5E204D" w14:textId="77777777">
      <w:pPr>
        <w:ind w:left="180"/>
      </w:pPr>
      <w:r>
        <w:t>Office of Health Communication &amp; Education</w:t>
      </w:r>
    </w:p>
    <w:p w:rsidR="00512D81" w:rsidRPr="007F4407" w:rsidP="008E7D24" w14:paraId="4909F9B2" w14:textId="77777777">
      <w:pPr>
        <w:ind w:left="180"/>
      </w:pPr>
      <w:r>
        <w:t>Center for Tobacco Products</w:t>
      </w:r>
    </w:p>
    <w:p w:rsidR="00ED319E" w:rsidRPr="007F4407" w:rsidP="00ED319E" w14:paraId="01644B02" w14:textId="77777777">
      <w:pPr>
        <w:ind w:left="180"/>
      </w:pPr>
      <w:r>
        <w:t>Food and Drug Administration</w:t>
      </w:r>
    </w:p>
    <w:p w:rsidR="00ED319E" w:rsidRPr="007F4407" w:rsidP="00ED319E" w14:paraId="7F9E2C2B" w14:textId="77777777">
      <w:pPr>
        <w:ind w:left="180"/>
      </w:pPr>
      <w:r>
        <w:t>10903 New Hampshire Avenue</w:t>
      </w:r>
    </w:p>
    <w:p w:rsidR="00ED319E" w:rsidRPr="007F4407" w:rsidP="00ED319E" w14:paraId="72116069" w14:textId="77777777">
      <w:pPr>
        <w:ind w:left="180"/>
      </w:pPr>
      <w:r>
        <w:t>Silver Spring, MD 20993</w:t>
      </w:r>
    </w:p>
    <w:p w:rsidR="00512D81" w:rsidRPr="00511889" w:rsidP="008E7D24" w14:paraId="2C3888B3" w14:textId="28B6ADB0">
      <w:pPr>
        <w:ind w:left="180"/>
      </w:pPr>
      <w:r>
        <w:t xml:space="preserve">Phone: </w:t>
      </w:r>
      <w:r w:rsidR="00511889">
        <w:t>240-402-4269</w:t>
      </w:r>
    </w:p>
    <w:p w:rsidR="00512D81" w:rsidP="008E7D24" w14:paraId="0FE0F433" w14:textId="47BE4DF7">
      <w:pPr>
        <w:ind w:left="180"/>
      </w:pPr>
      <w:r>
        <w:t xml:space="preserve">E-mail: </w:t>
      </w:r>
      <w:hyperlink r:id="rId6">
        <w:r w:rsidRPr="77EE5CB5" w:rsidR="009E4CE7">
          <w:rPr>
            <w:rStyle w:val="Hyperlink"/>
          </w:rPr>
          <w:t>emily.sanders@fda.hhs.gov</w:t>
        </w:r>
      </w:hyperlink>
    </w:p>
    <w:p w:rsidR="00512D81" w:rsidP="008E7D24" w14:paraId="440512B5" w14:textId="3CBF4A70">
      <w:pPr>
        <w:ind w:left="180"/>
      </w:pPr>
    </w:p>
    <w:p w:rsidR="00526498" w:rsidRPr="007F4407" w:rsidP="00526498" w14:paraId="6E0A5A47" w14:textId="77777777">
      <w:pPr>
        <w:ind w:left="180"/>
      </w:pPr>
      <w:r>
        <w:t>Bao Zarndt</w:t>
      </w:r>
    </w:p>
    <w:p w:rsidR="00526498" w:rsidRPr="007F4407" w:rsidP="00526498" w14:paraId="1E3644FD" w14:textId="77777777">
      <w:pPr>
        <w:ind w:left="180"/>
      </w:pPr>
      <w:r>
        <w:t>Office of Health Communication &amp; Education</w:t>
      </w:r>
    </w:p>
    <w:p w:rsidR="00526498" w:rsidRPr="00D16AC7" w:rsidP="00526498" w14:paraId="230166AB" w14:textId="77777777">
      <w:pPr>
        <w:ind w:left="180"/>
      </w:pPr>
      <w:r>
        <w:t>Center for Tobacco Products</w:t>
      </w:r>
    </w:p>
    <w:p w:rsidR="00526498" w:rsidRPr="00D16AC7" w:rsidP="00526498" w14:paraId="07CC6FE9" w14:textId="77777777">
      <w:pPr>
        <w:ind w:left="180"/>
      </w:pPr>
      <w:r>
        <w:t>Food and Drug Administration</w:t>
      </w:r>
    </w:p>
    <w:p w:rsidR="00526498" w:rsidRPr="007F4407" w:rsidP="00526498" w14:paraId="48EE038D" w14:textId="77777777">
      <w:pPr>
        <w:ind w:left="180"/>
      </w:pPr>
      <w:r>
        <w:t>10903 New Hampshire Avenue</w:t>
      </w:r>
    </w:p>
    <w:p w:rsidR="00526498" w:rsidRPr="007F4407" w:rsidP="00526498" w14:paraId="6E0B241E" w14:textId="77777777">
      <w:pPr>
        <w:ind w:left="180"/>
      </w:pPr>
      <w:r>
        <w:t>Silver Spring, MD 20993</w:t>
      </w:r>
    </w:p>
    <w:p w:rsidR="00526498" w:rsidP="00526498" w14:paraId="3C758251" w14:textId="77777777">
      <w:pPr>
        <w:ind w:left="180"/>
      </w:pPr>
      <w:r>
        <w:t>Phone</w:t>
      </w:r>
      <w:r w:rsidRPr="00D23F93">
        <w:t>: 240-994-2023</w:t>
      </w:r>
      <w:r w:rsidRPr="00D23F93">
        <w:br/>
      </w:r>
      <w:r>
        <w:t xml:space="preserve">E-mail: </w:t>
      </w:r>
      <w:hyperlink r:id="rId7" w:history="1">
        <w:r w:rsidRPr="009172E3">
          <w:rPr>
            <w:rStyle w:val="Hyperlink"/>
          </w:rPr>
          <w:t>Anh.Zarndt@fda.hhs.gov</w:t>
        </w:r>
      </w:hyperlink>
    </w:p>
    <w:p w:rsidR="00F53D38" w:rsidRPr="007F4407" w:rsidP="008E7D24" w14:paraId="7E44412F" w14:textId="77777777">
      <w:pPr>
        <w:ind w:left="180"/>
      </w:pPr>
    </w:p>
    <w:p w:rsidR="00512D81" w:rsidRPr="007F4407" w:rsidP="008E7D24" w14:paraId="11AB7CDA" w14:textId="73BD98AA">
      <w:pPr>
        <w:ind w:left="180"/>
      </w:pPr>
      <w:r>
        <w:t>Alex Budenz</w:t>
      </w:r>
    </w:p>
    <w:p w:rsidR="00512D81" w:rsidRPr="007F4407" w:rsidP="008E7D24" w14:paraId="7AE17B87" w14:textId="77777777">
      <w:pPr>
        <w:ind w:left="180"/>
      </w:pPr>
      <w:r>
        <w:t>Office of Health Communication &amp; Education</w:t>
      </w:r>
    </w:p>
    <w:p w:rsidR="00512D81" w:rsidRPr="007F4407" w:rsidP="008E7D24" w14:paraId="374CDD0F" w14:textId="77777777">
      <w:pPr>
        <w:ind w:left="180"/>
      </w:pPr>
      <w:r>
        <w:t>Center for Tobacco Products</w:t>
      </w:r>
    </w:p>
    <w:p w:rsidR="00512D81" w:rsidRPr="007F4407" w:rsidP="008E7D24" w14:paraId="1AC95B66" w14:textId="77777777">
      <w:pPr>
        <w:ind w:left="180"/>
      </w:pPr>
      <w:r>
        <w:t>Food and Drug Administration</w:t>
      </w:r>
    </w:p>
    <w:p w:rsidR="00512D81" w:rsidRPr="007F4407" w:rsidP="008E7D24" w14:paraId="39C40E74" w14:textId="77777777">
      <w:pPr>
        <w:ind w:left="180"/>
      </w:pPr>
      <w:r>
        <w:t>10903 New Hampshire Avenue</w:t>
      </w:r>
    </w:p>
    <w:p w:rsidR="00512D81" w:rsidRPr="007F4407" w:rsidP="008E7D24" w14:paraId="316B4D09" w14:textId="77777777">
      <w:pPr>
        <w:ind w:left="180"/>
      </w:pPr>
      <w:r>
        <w:t>Silver Spring, MD 20993</w:t>
      </w:r>
    </w:p>
    <w:p w:rsidR="00204BCF" w:rsidRPr="00D16AC7" w:rsidP="008E7D24" w14:paraId="655010B0" w14:textId="5F63F5C8">
      <w:pPr>
        <w:ind w:left="180"/>
      </w:pPr>
      <w:r>
        <w:t xml:space="preserve">Phone: </w:t>
      </w:r>
      <w:r w:rsidRPr="00ED319E" w:rsidR="00ED319E">
        <w:t>301-796-2121</w:t>
      </w:r>
    </w:p>
    <w:p w:rsidR="00511889" w:rsidP="008E7D24" w14:paraId="63F7E012" w14:textId="15D62BD7">
      <w:pPr>
        <w:ind w:left="180"/>
      </w:pPr>
      <w:r>
        <w:t xml:space="preserve">E-mail: </w:t>
      </w:r>
      <w:hyperlink r:id="rId8" w:history="1">
        <w:r w:rsidRPr="00326755" w:rsidR="00ED319E">
          <w:rPr>
            <w:rStyle w:val="Hyperlink"/>
          </w:rPr>
          <w:t>alexandra.budenz@fda.hhs.gov</w:t>
        </w:r>
      </w:hyperlink>
    </w:p>
    <w:p w:rsidR="00F53D38" w:rsidP="008E7D24" w14:paraId="67E86283" w14:textId="591839EB">
      <w:pPr>
        <w:ind w:left="180"/>
      </w:pPr>
    </w:p>
    <w:p w:rsidR="00512D81" w:rsidP="008E7D24" w14:paraId="256E6F72" w14:textId="685E7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eastAsia="Times New Roman"/>
        </w:rPr>
      </w:pPr>
      <w:r w:rsidRPr="77EE5CB5">
        <w:rPr>
          <w:rFonts w:eastAsia="Times New Roman"/>
        </w:rPr>
        <w:t>FDA collaborates with other federal government agencies that sponsor or endorse health communication projects, such as the Centers for Disease Control and Prevention, Office on Smoking and Health (CDC/OSH), the Substance Abuse and Mental Health Services Administration (SAMHSA) and the National Institutes of Health National Cancer Institute (NIH/NCI). These affiliations serve as information channels, help prevent redundancy, and promote use of consistent measures of effectiveness. Coordination activities include:</w:t>
      </w:r>
    </w:p>
    <w:p w:rsidR="00261D3D" w:rsidRPr="008265FC" w:rsidP="008E7D24" w14:paraId="0A9D3B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eastAsia="Times New Roman"/>
        </w:rPr>
      </w:pPr>
    </w:p>
    <w:p w:rsidR="00512D81" w:rsidP="008E7D24" w14:paraId="18B63811" w14:textId="0D98DFAA">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2"/>
        <w:rPr>
          <w:rFonts w:eastAsia="Times New Roman"/>
        </w:rPr>
      </w:pPr>
      <w:r w:rsidRPr="77EE5CB5">
        <w:rPr>
          <w:rFonts w:eastAsia="Times New Roman"/>
        </w:rPr>
        <w:t xml:space="preserve">Review of proposed messages for </w:t>
      </w:r>
      <w:r w:rsidRPr="77EE5CB5">
        <w:rPr>
          <w:rFonts w:eastAsia="Times New Roman"/>
        </w:rPr>
        <w:t>adv</w:t>
      </w:r>
      <w:r w:rsidR="002761A5">
        <w:rPr>
          <w:rFonts w:eastAsia="Times New Roman"/>
        </w:rPr>
        <w:t>erti</w:t>
      </w:r>
      <w:r w:rsidRPr="77EE5CB5">
        <w:rPr>
          <w:rFonts w:eastAsia="Times New Roman"/>
        </w:rPr>
        <w:t>sements;</w:t>
      </w:r>
    </w:p>
    <w:p w:rsidR="00512D81" w:rsidP="008E7D24" w14:paraId="21919AE0" w14:textId="77777777">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2"/>
        <w:rPr>
          <w:rFonts w:eastAsia="Times New Roman"/>
        </w:rPr>
      </w:pPr>
      <w:r w:rsidRPr="77EE5CB5">
        <w:rPr>
          <w:rFonts w:eastAsia="Times New Roman"/>
        </w:rPr>
        <w:t xml:space="preserve">Review of questionnaires for testing </w:t>
      </w:r>
      <w:r w:rsidRPr="77EE5CB5">
        <w:rPr>
          <w:rFonts w:eastAsia="Times New Roman"/>
        </w:rPr>
        <w:t>purposes;</w:t>
      </w:r>
    </w:p>
    <w:p w:rsidR="00512D81" w:rsidP="008E7D24" w14:paraId="69EF4DC7" w14:textId="77777777">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2"/>
        <w:rPr>
          <w:rFonts w:eastAsia="Times New Roman"/>
        </w:rPr>
      </w:pPr>
      <w:r w:rsidRPr="77EE5CB5">
        <w:rPr>
          <w:rFonts w:eastAsia="Times New Roman"/>
        </w:rPr>
        <w:t>Sharing data; and</w:t>
      </w:r>
    </w:p>
    <w:p w:rsidR="00512D81" w:rsidRPr="000F7E48" w:rsidP="008E7D24" w14:paraId="1C87B34C" w14:textId="77777777">
      <w:pPr>
        <w:pStyle w:val="ListParagraph"/>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outlineLvl w:val="2"/>
        <w:rPr>
          <w:rFonts w:eastAsia="Times New Roman"/>
        </w:rPr>
      </w:pPr>
      <w:r w:rsidRPr="77EE5CB5">
        <w:rPr>
          <w:rFonts w:eastAsia="Times New Roman"/>
        </w:rPr>
        <w:t xml:space="preserve">Standardizing survey tools where at all possible. </w:t>
      </w:r>
    </w:p>
    <w:p w:rsidR="00512D81" w:rsidP="008E7D24" w14:paraId="1CF62295" w14:textId="77777777">
      <w:pPr>
        <w:ind w:left="180"/>
      </w:pPr>
    </w:p>
    <w:p w:rsidR="00512D81" w:rsidRPr="004412EF" w:rsidP="008E7D24" w14:paraId="29997BE8" w14:textId="10BA93EB">
      <w:pPr>
        <w:ind w:left="180"/>
      </w:pPr>
      <w:r>
        <w:t>The following individuals outside of the agency have been consulted on questionnaire development</w:t>
      </w:r>
      <w:r w:rsidR="00511889">
        <w:t>:</w:t>
      </w:r>
      <w:r>
        <w:t xml:space="preserve"> </w:t>
      </w:r>
    </w:p>
    <w:p w:rsidR="00512D81" w:rsidP="008E7D24" w14:paraId="00333B97" w14:textId="77777777">
      <w:pPr>
        <w:ind w:left="180"/>
      </w:pPr>
    </w:p>
    <w:p w:rsidR="00EA7D58" w:rsidP="008E7D24" w14:paraId="601CA453" w14:textId="77777777">
      <w:pPr>
        <w:ind w:left="180"/>
      </w:pPr>
    </w:p>
    <w:p w:rsidR="00F53D38" w:rsidRPr="007E1BA4" w:rsidP="008E7D24" w14:paraId="28B6B7F0" w14:textId="3776B0F9">
      <w:pPr>
        <w:ind w:left="180"/>
      </w:pPr>
      <w:r>
        <w:t xml:space="preserve">Everly </w:t>
      </w:r>
      <w:r>
        <w:t>Macario</w:t>
      </w:r>
    </w:p>
    <w:p w:rsidR="00F53D38" w:rsidRPr="007E1BA4" w:rsidP="008E7D24" w14:paraId="04BB2BE3" w14:textId="5B9AF6E2">
      <w:pPr>
        <w:ind w:left="180"/>
      </w:pPr>
      <w:r>
        <w:t>IQ Solutions</w:t>
      </w:r>
    </w:p>
    <w:p w:rsidR="00ED319E" w:rsidP="008E7D24" w14:paraId="20E48B30" w14:textId="77777777">
      <w:pPr>
        <w:ind w:left="180"/>
      </w:pPr>
      <w:r w:rsidRPr="00ED319E">
        <w:t>11300 Rockville Pike # 901</w:t>
      </w:r>
    </w:p>
    <w:p w:rsidR="00F53D38" w:rsidRPr="007E1BA4" w:rsidP="008E7D24" w14:paraId="643DF646" w14:textId="2DC35A94">
      <w:pPr>
        <w:ind w:left="180"/>
      </w:pPr>
      <w:r w:rsidRPr="00ED319E">
        <w:t>Rockville, MD 20852</w:t>
      </w:r>
    </w:p>
    <w:p w:rsidR="00F53D38" w:rsidRPr="007E1BA4" w:rsidP="008E7D24" w14:paraId="381DC8C0" w14:textId="788E34C7">
      <w:pPr>
        <w:ind w:left="180"/>
      </w:pPr>
      <w:r>
        <w:t xml:space="preserve">Phone: </w:t>
      </w:r>
      <w:r w:rsidRPr="00ED319E" w:rsidR="00ED319E">
        <w:t>224</w:t>
      </w:r>
      <w:r w:rsidR="00ED319E">
        <w:t>-</w:t>
      </w:r>
      <w:r w:rsidRPr="00ED319E" w:rsidR="00ED319E">
        <w:t>244</w:t>
      </w:r>
      <w:r w:rsidR="00ED319E">
        <w:t>-</w:t>
      </w:r>
      <w:r w:rsidRPr="00ED319E" w:rsidR="00ED319E">
        <w:t>3965</w:t>
      </w:r>
    </w:p>
    <w:p w:rsidR="00F53D38" w:rsidP="008E7D24" w14:paraId="69AB481C" w14:textId="73F2D277">
      <w:pPr>
        <w:ind w:left="180"/>
      </w:pPr>
      <w:r>
        <w:t xml:space="preserve">E-mail: </w:t>
      </w:r>
      <w:hyperlink r:id="rId9" w:history="1">
        <w:r w:rsidRPr="00326755" w:rsidR="00ED319E">
          <w:rPr>
            <w:rStyle w:val="Hyperlink"/>
          </w:rPr>
          <w:t>emacario@iqsolutions.com</w:t>
        </w:r>
      </w:hyperlink>
    </w:p>
    <w:p w:rsidR="00512D81" w:rsidRPr="00456F1C" w:rsidP="00ED319E" w14:paraId="0408D28E" w14:textId="77777777"/>
    <w:p w:rsidR="00512D81" w:rsidRPr="00FD1E65" w:rsidP="008E7D24" w14:paraId="6182485B" w14:textId="4C2EFFA4">
      <w:pPr>
        <w:ind w:left="180"/>
      </w:pPr>
      <w:r>
        <w:t>Sarah Blackstone</w:t>
      </w:r>
    </w:p>
    <w:p w:rsidR="00512D81" w:rsidRPr="00FD1E65" w:rsidP="008E7D24" w14:paraId="5E1EC2CB" w14:textId="25D722DE">
      <w:pPr>
        <w:ind w:left="180"/>
      </w:pPr>
      <w:r>
        <w:t>IQ Solutions</w:t>
      </w:r>
    </w:p>
    <w:p w:rsidR="00ED319E" w:rsidP="00ED319E" w14:paraId="1E160937" w14:textId="77777777">
      <w:pPr>
        <w:ind w:left="180"/>
      </w:pPr>
      <w:r w:rsidRPr="00ED319E">
        <w:t>11300 Rockville Pike # 901</w:t>
      </w:r>
    </w:p>
    <w:p w:rsidR="00ED319E" w:rsidRPr="007E1BA4" w:rsidP="00ED319E" w14:paraId="4E6C515B" w14:textId="77777777">
      <w:pPr>
        <w:ind w:left="180"/>
      </w:pPr>
      <w:r w:rsidRPr="00ED319E">
        <w:t>Rockville, MD 20852</w:t>
      </w:r>
    </w:p>
    <w:p w:rsidR="00ED319E" w:rsidP="008E7D24" w14:paraId="23680359" w14:textId="201F3CA3">
      <w:pPr>
        <w:ind w:left="180"/>
      </w:pPr>
      <w:r>
        <w:t xml:space="preserve">Phone: </w:t>
      </w:r>
      <w:hyperlink r:id="rId10" w:history="1">
        <w:r w:rsidRPr="00ED319E">
          <w:t>301</w:t>
        </w:r>
        <w:r>
          <w:t>-</w:t>
        </w:r>
        <w:r w:rsidRPr="00ED319E">
          <w:t>984-1471</w:t>
        </w:r>
      </w:hyperlink>
    </w:p>
    <w:p w:rsidR="00512D81" w:rsidP="008E7D24" w14:paraId="402124B3" w14:textId="023652E5">
      <w:pPr>
        <w:ind w:left="180"/>
      </w:pPr>
      <w:r>
        <w:t xml:space="preserve">E-mail: </w:t>
      </w:r>
      <w:hyperlink r:id="rId11" w:history="1">
        <w:r w:rsidRPr="00326755" w:rsidR="00ED319E">
          <w:rPr>
            <w:rStyle w:val="Hyperlink"/>
          </w:rPr>
          <w:t>sblackstone@iqsolutions.com</w:t>
        </w:r>
      </w:hyperlink>
    </w:p>
    <w:p w:rsidR="00ED319E" w:rsidP="008E7D24" w14:paraId="5F761C1F" w14:textId="77777777">
      <w:pPr>
        <w:ind w:left="180"/>
      </w:pPr>
    </w:p>
    <w:p w:rsidR="00512D81" w:rsidRPr="00FD1E65" w:rsidP="00ED319E" w14:paraId="0BA74014" w14:textId="4EAE73D1">
      <w:pPr>
        <w:ind w:firstLine="180"/>
      </w:pPr>
      <w:r>
        <w:t>Sarah Evans</w:t>
      </w:r>
    </w:p>
    <w:p w:rsidR="00ED319E" w:rsidRPr="00FD1E65" w:rsidP="00ED319E" w14:paraId="2F761EBC" w14:textId="0E36E802">
      <w:pPr>
        <w:ind w:left="180"/>
      </w:pPr>
      <w:r>
        <w:t>Squared Research, LLC</w:t>
      </w:r>
    </w:p>
    <w:p w:rsidR="00ED319E" w:rsidP="00ED319E" w14:paraId="6185E132" w14:textId="6B6F4354">
      <w:pPr>
        <w:ind w:left="180"/>
      </w:pPr>
      <w:r>
        <w:t>419 Rappahannock Drive Suite 300</w:t>
      </w:r>
    </w:p>
    <w:p w:rsidR="00ED319E" w:rsidRPr="007E1BA4" w:rsidP="00ED319E" w14:paraId="681D1F44" w14:textId="2676ECF8">
      <w:pPr>
        <w:ind w:left="180"/>
      </w:pPr>
      <w:r>
        <w:t>White Stone, VA 22578</w:t>
      </w:r>
    </w:p>
    <w:p w:rsidR="00ED319E" w:rsidP="00ED319E" w14:paraId="40456751" w14:textId="3B6DBEE2">
      <w:pPr>
        <w:ind w:left="180"/>
      </w:pPr>
      <w:r>
        <w:t xml:space="preserve">Phone: </w:t>
      </w:r>
      <w:hyperlink r:id="rId10" w:history="1">
        <w:r w:rsidR="00AC2CC1">
          <w:t>202-770-1828</w:t>
        </w:r>
      </w:hyperlink>
    </w:p>
    <w:p w:rsidR="00512D81" w:rsidP="008E7D24" w14:paraId="7542587D" w14:textId="6D880BFF">
      <w:pPr>
        <w:ind w:left="180"/>
      </w:pPr>
      <w:r>
        <w:t xml:space="preserve">E-mail: </w:t>
      </w:r>
      <w:hyperlink r:id="rId12" w:history="1">
        <w:r w:rsidRPr="00326755" w:rsidR="00ED319E">
          <w:rPr>
            <w:rStyle w:val="Hyperlink"/>
          </w:rPr>
          <w:t>sevans@squaredresearch.com</w:t>
        </w:r>
      </w:hyperlink>
      <w:r w:rsidR="00ED319E">
        <w:tab/>
      </w:r>
    </w:p>
    <w:p w:rsidR="00512D81" w:rsidP="008E7D24" w14:paraId="0D49B065" w14:textId="77777777">
      <w:pPr>
        <w:ind w:left="180"/>
      </w:pPr>
    </w:p>
    <w:p w:rsidR="00CD77C3" w:rsidRPr="002D1C87" w:rsidP="008E7D24" w14:paraId="074A3077" w14:textId="77777777">
      <w:pPr>
        <w:pStyle w:val="Heading3"/>
      </w:pPr>
      <w:r>
        <w:t>Explanation of Any Payment or Gift to Respondents</w:t>
      </w:r>
    </w:p>
    <w:p w:rsidR="00913ED5" w:rsidP="00913ED5" w14:paraId="1B1A62E6" w14:textId="4704832A">
      <w:pPr>
        <w:pStyle w:val="BodyText0"/>
      </w:pPr>
      <w:r>
        <w:t xml:space="preserve">A token of appreciation for </w:t>
      </w:r>
      <w:r w:rsidR="002761A5">
        <w:t>participation</w:t>
      </w:r>
      <w:r>
        <w:t xml:space="preserve"> will be specified by the panel vendors and will include non-monetary “points” redeemable for gift cards or goods as a thank you for the respondent’s time. This </w:t>
      </w:r>
      <w:bookmarkStart w:id="3" w:name="_Hlk123039691"/>
      <w:r>
        <w:t>token of appreciation</w:t>
      </w:r>
      <w:r w:rsidR="00A13382">
        <w:t xml:space="preserve"> is equivalent to the </w:t>
      </w:r>
      <w:r>
        <w:t>monetary value of $</w:t>
      </w:r>
      <w:bookmarkEnd w:id="3"/>
      <w:r w:rsidR="00A13382">
        <w:t>10</w:t>
      </w:r>
      <w:r>
        <w:t xml:space="preserve">. Respondents who are eligible to </w:t>
      </w:r>
      <w:r w:rsidR="002761A5">
        <w:t>participate</w:t>
      </w:r>
      <w:r>
        <w:t xml:space="preserve"> in the study and submit their responses to the survey will receive a token of appreciation. Respondents who choose to skip one or more questions will still receive the token of appreciation. If a respondent does not qualify or meet </w:t>
      </w:r>
      <w:r>
        <w:t>all of</w:t>
      </w:r>
      <w:r>
        <w:t xml:space="preserve"> the eligibility criteria, or does not submit their survey responses, they will not receive the token of appreciation.</w:t>
      </w:r>
    </w:p>
    <w:p w:rsidR="00913ED5" w:rsidP="00913ED5" w14:paraId="09CFCBE5" w14:textId="3A0A73D7">
      <w:pPr>
        <w:pStyle w:val="BodyText0"/>
      </w:pPr>
      <w:r>
        <w:t>To receive tokens of appreciation, respondents will be automatically directed through the online research panels’ interfaces and can redeem their token of appreciation. Respondents will not be in direct contact with IQS about their tokens of appreciation and FDA researchers will never have access to or be provided any identifiable data.</w:t>
      </w:r>
    </w:p>
    <w:p w:rsidR="00921A98" w:rsidP="00921A98" w14:paraId="2221539F" w14:textId="33F5CCA1">
      <w:pPr>
        <w:pStyle w:val="BodyText0"/>
      </w:pPr>
      <w:r>
        <w:t xml:space="preserve">Hispanic/Latino youth and young adults are traditionally underrepresented in research and therefore harder to recruit. </w:t>
      </w:r>
      <w:r w:rsidRPr="00B40A68" w:rsidR="00B40A68">
        <w:t xml:space="preserve">People of low SES, non-White racial, and Latino ethnic groups are less likely to be recruited into research studies as non-Hispanic White participants with </w:t>
      </w:r>
      <w:r w:rsidRPr="00B40A68" w:rsidR="00B40A68">
        <w:t>middle SES (</w:t>
      </w:r>
      <w:hyperlink r:id="rId13" w:anchor="R31" w:history="1">
        <w:r w:rsidRPr="00901C15" w:rsidR="00B40A68">
          <w:t>Wendler et al., 2006</w:t>
        </w:r>
      </w:hyperlink>
      <w:r>
        <w:rPr>
          <w:rStyle w:val="FootnoteReference"/>
        </w:rPr>
        <w:footnoteReference w:id="4"/>
      </w:r>
      <w:r w:rsidRPr="00B40A68" w:rsidR="00B40A68">
        <w:t>).</w:t>
      </w:r>
      <w:r w:rsidRPr="00FB0074">
        <w:t xml:space="preserve"> </w:t>
      </w:r>
      <w:r w:rsidR="00C13893">
        <w:t>Despite comprising 18</w:t>
      </w:r>
      <w:r w:rsidR="0025563B">
        <w:t>.7</w:t>
      </w:r>
      <w:r w:rsidR="00C13893">
        <w:t xml:space="preserve">% of the U.S. population (according to the 2020 Census), Hispanic participants are consistently underrepresented in </w:t>
      </w:r>
      <w:r w:rsidR="0025563B">
        <w:t>large research studies (Flores 2021; Duma 2018; FDA 2017</w:t>
      </w:r>
      <w:r>
        <w:rPr>
          <w:rStyle w:val="FootnoteReference"/>
        </w:rPr>
        <w:footnoteReference w:id="5"/>
      </w:r>
      <w:r w:rsidR="0025563B">
        <w:t>)</w:t>
      </w:r>
      <w:r w:rsidR="00C13893">
        <w:t>.</w:t>
      </w:r>
      <w:r w:rsidRPr="00FB0074">
        <w:t xml:space="preserve"> One reason for this may be because </w:t>
      </w:r>
      <w:r w:rsidR="0025563B">
        <w:t xml:space="preserve">compared to White participants, a higher percentage of Hispanic/Latino participants are lower </w:t>
      </w:r>
      <w:r w:rsidR="00B40A68">
        <w:t>socioeconomic status</w:t>
      </w:r>
      <w:r w:rsidR="0025563B">
        <w:t xml:space="preserve"> which in turn means they</w:t>
      </w:r>
      <w:r w:rsidRPr="00FB0074">
        <w:t xml:space="preserve"> </w:t>
      </w:r>
      <w:r w:rsidRPr="00FB0074" w:rsidR="0025563B">
        <w:t xml:space="preserve">may be unable to take time off work for research study </w:t>
      </w:r>
      <w:r w:rsidR="0025563B">
        <w:t>participation</w:t>
      </w:r>
      <w:r w:rsidR="00B40A68">
        <w:t xml:space="preserve"> (Garcia 2017</w:t>
      </w:r>
      <w:r>
        <w:rPr>
          <w:rStyle w:val="FootnoteReference"/>
        </w:rPr>
        <w:footnoteReference w:id="6"/>
      </w:r>
      <w:r w:rsidR="00B40A68">
        <w:t>)</w:t>
      </w:r>
      <w:r w:rsidRPr="00FB0074" w:rsidR="0025563B">
        <w:t xml:space="preserve">. </w:t>
      </w:r>
      <w:r w:rsidR="0025563B">
        <w:t>Indeed,</w:t>
      </w:r>
      <w:r w:rsidR="00B40A68">
        <w:t xml:space="preserve"> </w:t>
      </w:r>
      <w:r w:rsidR="0025563B">
        <w:t>c</w:t>
      </w:r>
      <w:r w:rsidRPr="0025563B" w:rsidR="0025563B">
        <w:t>ompared to White</w:t>
      </w:r>
      <w:r w:rsidR="0025563B">
        <w:t xml:space="preserve"> adults in the U.S.,</w:t>
      </w:r>
      <w:r w:rsidRPr="0025563B" w:rsidR="0025563B">
        <w:t xml:space="preserve"> Hispanic</w:t>
      </w:r>
      <w:r w:rsidR="0025563B">
        <w:t xml:space="preserve"> adults</w:t>
      </w:r>
      <w:r w:rsidRPr="0025563B" w:rsidR="0025563B">
        <w:t xml:space="preserve"> receive less income at the same education levels, have markedly less wealth at equivalent income levels, and have less purchasing power due higher costs of goods and services in the residential environments where they are disproportionately located (</w:t>
      </w:r>
      <w:hyperlink r:id="rId14" w:anchor="R31" w:history="1">
        <w:r w:rsidRPr="00901C15" w:rsidR="0025563B">
          <w:t>Williams, Mohammed et al. 2010</w:t>
        </w:r>
      </w:hyperlink>
      <w:r>
        <w:rPr>
          <w:rStyle w:val="FootnoteReference"/>
        </w:rPr>
        <w:footnoteReference w:id="7"/>
      </w:r>
      <w:r w:rsidRPr="0025563B" w:rsidR="0025563B">
        <w:t>). </w:t>
      </w:r>
      <w:r w:rsidRPr="00FB0074">
        <w:t xml:space="preserve"> </w:t>
      </w:r>
      <w:r w:rsidR="00B10AB2">
        <w:t>A</w:t>
      </w:r>
      <w:r w:rsidRPr="00FB0074">
        <w:t xml:space="preserve"> token of appreciation treats </w:t>
      </w:r>
      <w:r w:rsidR="00B10AB2">
        <w:t xml:space="preserve">these traditionally underrepresented </w:t>
      </w:r>
      <w:r>
        <w:t>participant</w:t>
      </w:r>
      <w:r w:rsidRPr="00FB0074">
        <w:t>s justly and with respect by recognizing and acknowledging the</w:t>
      </w:r>
      <w:r w:rsidR="00B10AB2">
        <w:t xml:space="preserve"> additional</w:t>
      </w:r>
      <w:r w:rsidRPr="00FB0074">
        <w:t xml:space="preserve"> effort they expend to </w:t>
      </w:r>
      <w:r>
        <w:t>participate</w:t>
      </w:r>
      <w:r w:rsidRPr="00FB0074">
        <w:t xml:space="preserve"> (Gelinas, 2018). </w:t>
      </w:r>
    </w:p>
    <w:p w:rsidR="00921A98" w:rsidP="00921A98" w14:paraId="7391C131" w14:textId="6885F0FE">
      <w:pPr>
        <w:pStyle w:val="BodyText0"/>
      </w:pPr>
      <w:r>
        <w:t>C</w:t>
      </w:r>
      <w:r w:rsidRPr="00FB0074">
        <w:t xml:space="preserve">TP has previously used this $10 token approach in a study with similar </w:t>
      </w:r>
      <w:r>
        <w:t>participant</w:t>
      </w:r>
      <w:r w:rsidRPr="00FB0074">
        <w:t>s (youth ages 13-17 who had experimented with ENDS use or at-risk of ENDS use) and study design; that study had a diverse sample and timely data collection (OMB control number 0910-</w:t>
      </w:r>
      <w:r w:rsidR="00B10AB2">
        <w:t>0810</w:t>
      </w:r>
      <w:r w:rsidRPr="00FB0074">
        <w:t>). In that study, the response rate was about 19% (1,660 completed out of 8,837 screened). This past data show that this is a difficult population to recruit and enroll, and an incentive rate lower than $10 would severely negatively impact the response rate, costing the government additional time and money. Other CTP studies have used similar tokens of appreciation for surveys of similar length and with similar target populations (e.g., Monthly Monitoring Study, OMB control number 0910-0810).</w:t>
      </w:r>
    </w:p>
    <w:p w:rsidR="00913ED5" w:rsidP="00A13382" w14:paraId="3E0ADC51" w14:textId="26DBDE38">
      <w:pPr>
        <w:pStyle w:val="BodyText0"/>
      </w:pPr>
      <w:r>
        <w:t>A reasonable token of appreciation is standard practice for research and is suggested by organizations that set the standards for conducting ethical industry-led research among human subjects (Code of Ethics and Standards for Market Research and Data Analytics, 2021).</w:t>
      </w:r>
      <w:r>
        <w:rPr>
          <w:rStyle w:val="FootnoteReference"/>
        </w:rPr>
        <w:footnoteReference w:id="8"/>
      </w:r>
      <w:r>
        <w:t xml:space="preserve"> </w:t>
      </w:r>
      <w:r w:rsidRPr="00B10AB2" w:rsidR="00B10AB2">
        <w:t xml:space="preserve"> </w:t>
      </w:r>
    </w:p>
    <w:p w:rsidR="00CD77C3" w:rsidRPr="002D1C87" w:rsidP="008E7D24" w14:paraId="1694E157" w14:textId="77777777">
      <w:pPr>
        <w:pStyle w:val="Heading3"/>
      </w:pPr>
      <w:r>
        <w:t>Assurance of Confidentiality Provided to Respondents</w:t>
      </w:r>
    </w:p>
    <w:p w:rsidR="0061175B" w:rsidRPr="003324FC" w:rsidP="003324FC" w14:paraId="68957A4E" w14:textId="04685205">
      <w:pPr>
        <w:rPr>
          <w:rFonts w:eastAsiaTheme="minorEastAsia"/>
          <w:sz w:val="22"/>
          <w:lang w:eastAsia="en-US"/>
        </w:rPr>
      </w:pPr>
      <w:r>
        <w:t>Concern for privacy and protection of respondents’ rights will play a central role in the study implementation</w:t>
      </w:r>
      <w:r w:rsidR="004E6C2A">
        <w:t xml:space="preserve">, </w:t>
      </w:r>
      <w:r>
        <w:t>storage and handling of data</w:t>
      </w:r>
      <w:r w:rsidR="004E6C2A">
        <w:t xml:space="preserve">, </w:t>
      </w:r>
      <w:r>
        <w:t>and data analysis and repo</w:t>
      </w:r>
      <w:r w:rsidR="002761A5">
        <w:t>rti</w:t>
      </w:r>
      <w:r>
        <w:t>ng.</w:t>
      </w:r>
      <w:r w:rsidR="00360370">
        <w:t xml:space="preserve"> </w:t>
      </w:r>
      <w:r w:rsidR="00B840A9">
        <w:t xml:space="preserve">The Institutional Review Board (IRB) of </w:t>
      </w:r>
      <w:r w:rsidR="00B904CF">
        <w:t>IQS</w:t>
      </w:r>
      <w:r w:rsidR="00B840A9">
        <w:t xml:space="preserve"> International, the research organization contracted to manage data collection</w:t>
      </w:r>
      <w:r w:rsidR="00C2752E">
        <w:t xml:space="preserve"> </w:t>
      </w:r>
      <w:r w:rsidR="56BBE1F3">
        <w:t xml:space="preserve">has </w:t>
      </w:r>
      <w:r w:rsidR="00B840A9">
        <w:t>review</w:t>
      </w:r>
      <w:r w:rsidR="1974DFE7">
        <w:t>ed</w:t>
      </w:r>
      <w:r w:rsidR="00B840A9">
        <w:t xml:space="preserve"> and approve</w:t>
      </w:r>
      <w:r w:rsidR="59DF1287">
        <w:t>d</w:t>
      </w:r>
      <w:r w:rsidR="00B840A9">
        <w:t xml:space="preserve"> the protocols for the survey. </w:t>
      </w:r>
      <w:r w:rsidR="00C2752E">
        <w:t xml:space="preserve">FDA’s Research Involving </w:t>
      </w:r>
      <w:r w:rsidR="00C2752E">
        <w:t>Human Subjects Committee (RIHSC) conduct</w:t>
      </w:r>
      <w:r w:rsidR="360E548C">
        <w:t>ed</w:t>
      </w:r>
      <w:r w:rsidR="00C2752E">
        <w:t xml:space="preserve"> a courtesy review before submission to </w:t>
      </w:r>
      <w:r w:rsidR="00B904CF">
        <w:t>IQS</w:t>
      </w:r>
      <w:r w:rsidR="00C2752E">
        <w:t xml:space="preserve"> IRB; RIHSC determined </w:t>
      </w:r>
      <w:r w:rsidR="006D1AC9">
        <w:t xml:space="preserve">that FDA is </w:t>
      </w:r>
      <w:r w:rsidR="00B60A27">
        <w:t xml:space="preserve">not </w:t>
      </w:r>
      <w:r w:rsidR="00C2752E">
        <w:t>engage</w:t>
      </w:r>
      <w:r w:rsidR="00B60A27">
        <w:t>d</w:t>
      </w:r>
      <w:r w:rsidR="00C2752E">
        <w:t xml:space="preserve"> in the research. </w:t>
      </w:r>
      <w:r w:rsidR="00B840A9">
        <w:t xml:space="preserve">The primary concern of </w:t>
      </w:r>
      <w:r w:rsidR="00C2752E">
        <w:t>IRB</w:t>
      </w:r>
      <w:r w:rsidR="00B840A9">
        <w:t xml:space="preserve"> is protecting respondents’ rights, one of which is maintaining the privacy of respondent information.</w:t>
      </w:r>
      <w:r w:rsidR="007F4514">
        <w:t xml:space="preserve"> OMB Control Number 0910-0810 is covered underneath a Privacy Impact Assessment that has been approved by the Department of Health and Human Services (PIA Unique Identifier: P-9008729-198376).</w:t>
      </w:r>
    </w:p>
    <w:p w:rsidR="00C2752E" w:rsidP="002761A5" w14:paraId="17D12609" w14:textId="5B11D528">
      <w:pPr>
        <w:pStyle w:val="BodyText0"/>
      </w:pPr>
      <w:r>
        <w:t xml:space="preserve">Privacy for survey respondents will be ensured in </w:t>
      </w:r>
      <w:r w:rsidR="00F14B27">
        <w:t>several</w:t>
      </w:r>
      <w:r>
        <w:t xml:space="preserve"> ways:</w:t>
      </w:r>
    </w:p>
    <w:p w:rsidR="001A300B" w:rsidP="008E7D24" w14:paraId="1D8777C1" w14:textId="2E84D872">
      <w:pPr>
        <w:pStyle w:val="BodyText0"/>
        <w:numPr>
          <w:ilvl w:val="0"/>
          <w:numId w:val="14"/>
        </w:numPr>
      </w:pPr>
      <w:r>
        <w:t xml:space="preserve">Each respondent will be known to FDA and </w:t>
      </w:r>
      <w:r w:rsidR="003526DA">
        <w:t>IQS</w:t>
      </w:r>
      <w:r>
        <w:t xml:space="preserve"> only by a unique alphanumeric ID variable provided by </w:t>
      </w:r>
      <w:r w:rsidR="003526DA">
        <w:t>the panel provider.</w:t>
      </w:r>
      <w:r>
        <w:t xml:space="preserve"> That ID variable is specific to the study. Although partner survey vendors maintain databases of names and e</w:t>
      </w:r>
      <w:r w:rsidR="00E15590">
        <w:t>-</w:t>
      </w:r>
      <w:r>
        <w:t xml:space="preserve">mail addresses of potential </w:t>
      </w:r>
      <w:r w:rsidR="002761A5">
        <w:t>participant</w:t>
      </w:r>
      <w:r>
        <w:t xml:space="preserve">s as part of their normal operations, neither FDA nor </w:t>
      </w:r>
      <w:r w:rsidR="003526DA">
        <w:t>IQS</w:t>
      </w:r>
      <w:r>
        <w:t xml:space="preserve"> will receive or request this information from</w:t>
      </w:r>
      <w:r w:rsidR="003526DA">
        <w:t xml:space="preserve"> the panel vendor</w:t>
      </w:r>
      <w:r>
        <w:t>.</w:t>
      </w:r>
    </w:p>
    <w:p w:rsidR="001A300B" w:rsidP="008E7D24" w14:paraId="7109E287" w14:textId="1546CB76">
      <w:pPr>
        <w:pStyle w:val="BodyText0"/>
        <w:numPr>
          <w:ilvl w:val="0"/>
          <w:numId w:val="14"/>
        </w:numPr>
      </w:pPr>
      <w:r>
        <w:t xml:space="preserve">The </w:t>
      </w:r>
      <w:r w:rsidR="00B10AB2">
        <w:t>screener</w:t>
      </w:r>
      <w:r>
        <w:t xml:space="preserve"> requests date of birth</w:t>
      </w:r>
      <w:r w:rsidR="003526DA">
        <w:t xml:space="preserve"> and zip code</w:t>
      </w:r>
      <w:r>
        <w:t xml:space="preserve">, which is considered PII. </w:t>
      </w:r>
      <w:r w:rsidR="00310333">
        <w:t xml:space="preserve">The </w:t>
      </w:r>
      <w:r w:rsidR="00B10AB2">
        <w:t xml:space="preserve">screener </w:t>
      </w:r>
      <w:r w:rsidR="00310333">
        <w:t>data</w:t>
      </w:r>
      <w:r w:rsidR="000A76FC">
        <w:t xml:space="preserve"> </w:t>
      </w:r>
      <w:r w:rsidR="00310333">
        <w:t>file that will be shared with FDA will not contain any PII</w:t>
      </w:r>
      <w:r w:rsidRPr="77EE5CB5" w:rsidR="00310333">
        <w:rPr>
          <w:sz w:val="23"/>
          <w:szCs w:val="23"/>
        </w:rPr>
        <w:t>.</w:t>
      </w:r>
    </w:p>
    <w:p w:rsidR="00484413" w:rsidRPr="00484413" w:rsidP="008E7D24" w14:paraId="2DE3CFBB" w14:textId="4B5888A3">
      <w:pPr>
        <w:pStyle w:val="BodyText0"/>
        <w:numPr>
          <w:ilvl w:val="0"/>
          <w:numId w:val="14"/>
        </w:numPr>
      </w:pPr>
      <w:r w:rsidRPr="00484413">
        <w:t>The panel vendor</w:t>
      </w:r>
      <w:r w:rsidRPr="00484413">
        <w:t>(s)</w:t>
      </w:r>
      <w:r w:rsidRPr="00484413" w:rsidR="384107BA">
        <w:t xml:space="preserve"> will invite</w:t>
      </w:r>
      <w:r w:rsidRPr="00484413">
        <w:t xml:space="preserve"> </w:t>
      </w:r>
      <w:r w:rsidR="00F31DEC">
        <w:t xml:space="preserve">young </w:t>
      </w:r>
      <w:r w:rsidRPr="00484413">
        <w:t>adult panelists (18-24)</w:t>
      </w:r>
      <w:r w:rsidR="00B11E71">
        <w:t xml:space="preserve"> via e-mail (See attachment L)</w:t>
      </w:r>
      <w:r w:rsidRPr="00484413">
        <w:t xml:space="preserve"> directly to </w:t>
      </w:r>
      <w:r w:rsidR="002761A5">
        <w:t>participant</w:t>
      </w:r>
      <w:r w:rsidRPr="00484413">
        <w:t xml:space="preserve"> in the survey.</w:t>
      </w:r>
      <w:r w:rsidRPr="00484413" w:rsidR="384107BA">
        <w:t xml:space="preserve"> </w:t>
      </w:r>
      <w:r w:rsidRPr="00484413">
        <w:t xml:space="preserve">After screening, eligible </w:t>
      </w:r>
      <w:r w:rsidR="002761A5">
        <w:t>participant</w:t>
      </w:r>
      <w:r w:rsidRPr="00484413">
        <w:t>s will be directed to the informed consent form prior to proceeding to the main survey.</w:t>
      </w:r>
    </w:p>
    <w:p w:rsidR="00DC21C8" w:rsidP="00DC21C8" w14:paraId="18270BA2" w14:textId="1585F5CA">
      <w:pPr>
        <w:pStyle w:val="BodyText0"/>
        <w:ind w:left="1080" w:firstLine="0"/>
      </w:pPr>
      <w:r w:rsidRPr="008B18F8">
        <w:t xml:space="preserve">Youth aged 13-17 who are pre-registered, double opt-in panel members (i.e., both the parent/guardian and child have pre-consented to </w:t>
      </w:r>
      <w:r w:rsidR="002761A5">
        <w:t>participate</w:t>
      </w:r>
      <w:r w:rsidRPr="008B18F8">
        <w:t xml:space="preserve"> in surveys sent to them) will also be contacted directly by the recruitment vendor and invited to take the screener to see if they are eligible to </w:t>
      </w:r>
      <w:r w:rsidR="002761A5">
        <w:t>participate</w:t>
      </w:r>
      <w:r w:rsidRPr="008B18F8">
        <w:t>. If needed, the panel vendor(s)</w:t>
      </w:r>
      <w:r w:rsidRPr="008B18F8" w:rsidR="384107BA">
        <w:t xml:space="preserve"> </w:t>
      </w:r>
      <w:r w:rsidRPr="008B18F8">
        <w:t xml:space="preserve">may also reach out directly to invite </w:t>
      </w:r>
      <w:r w:rsidR="00F31DEC">
        <w:t xml:space="preserve">young </w:t>
      </w:r>
      <w:r w:rsidRPr="008B18F8">
        <w:t xml:space="preserve">adult panelists with children ages 13-17 </w:t>
      </w:r>
      <w:r>
        <w:t xml:space="preserve">via email </w:t>
      </w:r>
      <w:r w:rsidR="00B11E71">
        <w:t xml:space="preserve">(See Attachment L) </w:t>
      </w:r>
      <w:r w:rsidRPr="008B18F8">
        <w:t xml:space="preserve">to </w:t>
      </w:r>
      <w:r w:rsidRPr="008B18F8" w:rsidR="384107BA">
        <w:t>complete the survey via an initial generic communication</w:t>
      </w:r>
      <w:r w:rsidRPr="008B18F8">
        <w:t xml:space="preserve">. </w:t>
      </w:r>
    </w:p>
    <w:p w:rsidR="00DC21C8" w:rsidRPr="008B18F8" w:rsidP="00DC21C8" w14:paraId="165400A8" w14:textId="1438619B">
      <w:pPr>
        <w:pStyle w:val="BodyText0"/>
        <w:numPr>
          <w:ilvl w:val="0"/>
          <w:numId w:val="14"/>
        </w:numPr>
      </w:pPr>
      <w:r w:rsidRPr="008B18F8">
        <w:t xml:space="preserve">All parent/guardians will be provided with a Parental Opt-Out Form </w:t>
      </w:r>
      <w:r>
        <w:t>with</w:t>
      </w:r>
      <w:r w:rsidRPr="008B18F8">
        <w:t xml:space="preserve"> clear and simple instructions for how to opt-out of </w:t>
      </w:r>
      <w:r>
        <w:t>participation</w:t>
      </w:r>
      <w:r w:rsidRPr="008B18F8">
        <w:t xml:space="preserve"> in the research study. </w:t>
      </w:r>
      <w:r w:rsidRPr="008B18F8" w:rsidR="00484413">
        <w:t>P</w:t>
      </w:r>
      <w:r w:rsidRPr="008B18F8" w:rsidR="384107BA">
        <w:t>arent</w:t>
      </w:r>
      <w:r w:rsidRPr="008B18F8" w:rsidR="00484413">
        <w:t>/guardian</w:t>
      </w:r>
      <w:r w:rsidRPr="008B18F8" w:rsidR="384107BA">
        <w:t xml:space="preserve">s will be </w:t>
      </w:r>
      <w:r w:rsidRPr="008B18F8" w:rsidR="00484413">
        <w:t xml:space="preserve">informed that by providing their child access to the survey screener link, they are giving permission for their child to </w:t>
      </w:r>
      <w:r w:rsidR="002761A5">
        <w:t>participate</w:t>
      </w:r>
      <w:r w:rsidRPr="008B18F8" w:rsidR="00484413">
        <w:t xml:space="preserve"> in the survey.</w:t>
      </w:r>
      <w:r>
        <w:t xml:space="preserve"> See </w:t>
      </w:r>
      <w:r w:rsidR="00C43951">
        <w:t>the Parental Opt-Out Form</w:t>
      </w:r>
      <w:r>
        <w:t xml:space="preserve"> for email template.</w:t>
      </w:r>
      <w:r w:rsidRPr="008B18F8" w:rsidR="00484413">
        <w:t xml:space="preserve"> Parent/guardians will be </w:t>
      </w:r>
      <w:r w:rsidRPr="008B18F8" w:rsidR="384107BA">
        <w:t>asked to allow their child to complete</w:t>
      </w:r>
      <w:r w:rsidRPr="008B18F8" w:rsidR="00484413">
        <w:t xml:space="preserve"> </w:t>
      </w:r>
      <w:r w:rsidRPr="008B18F8" w:rsidR="384107BA">
        <w:t xml:space="preserve">the screener and survey in private, so they cannot see the responses. </w:t>
      </w:r>
      <w:r w:rsidRPr="008B18F8" w:rsidR="00484413">
        <w:t>Eligible y</w:t>
      </w:r>
      <w:r w:rsidRPr="008B18F8" w:rsidR="384107BA">
        <w:t xml:space="preserve">outh </w:t>
      </w:r>
      <w:r w:rsidR="002761A5">
        <w:t>participant</w:t>
      </w:r>
      <w:r w:rsidRPr="008B18F8" w:rsidR="384107BA">
        <w:t xml:space="preserve">s will </w:t>
      </w:r>
      <w:r w:rsidRPr="008B18F8" w:rsidR="00484413">
        <w:t>complete an assent form and will</w:t>
      </w:r>
      <w:r w:rsidRPr="008B18F8" w:rsidR="384107BA">
        <w:t xml:space="preserve"> be informed that their answers will not be shared with their parents.</w:t>
      </w:r>
      <w:r w:rsidRPr="008B18F8" w:rsidR="00484413">
        <w:t xml:space="preserve"> </w:t>
      </w:r>
      <w:r w:rsidRPr="008B18F8">
        <w:t xml:space="preserve"> </w:t>
      </w:r>
      <w:r w:rsidRPr="008B18F8" w:rsidR="00484413">
        <w:t>The Parental Opt-Out Form will also provide a telephone number and email address for the PI, who can answer any questions or respond to parental concerns about the study.</w:t>
      </w:r>
    </w:p>
    <w:p w:rsidR="001A300B" w:rsidP="008E7D24" w14:paraId="0FC380D9" w14:textId="5B3C56C5">
      <w:pPr>
        <w:pStyle w:val="BodyText0"/>
        <w:numPr>
          <w:ilvl w:val="0"/>
          <w:numId w:val="14"/>
        </w:numPr>
      </w:pPr>
      <w:r>
        <w:t>Respondents cannot back up in the survey to view previous responses. For example, if a</w:t>
      </w:r>
      <w:r w:rsidR="001B6C17">
        <w:t xml:space="preserve"> youth</w:t>
      </w:r>
      <w:r>
        <w:t xml:space="preserve"> </w:t>
      </w:r>
      <w:r w:rsidR="002761A5">
        <w:t>participant</w:t>
      </w:r>
      <w:r>
        <w:t xml:space="preserve"> were to exit the survey, the parent</w:t>
      </w:r>
      <w:r w:rsidR="001B6C17">
        <w:t>/guardian</w:t>
      </w:r>
      <w:r>
        <w:t xml:space="preserve"> could not view previously entered responses. During survey testing, the test links will include the ability to back up, but this will not be possible in the actual survey that </w:t>
      </w:r>
      <w:r w:rsidR="002761A5">
        <w:t>participant</w:t>
      </w:r>
      <w:r>
        <w:t xml:space="preserve">s complete. </w:t>
      </w:r>
    </w:p>
    <w:p w:rsidR="001A300B" w:rsidP="008E7D24" w14:paraId="5A32AE0B" w14:textId="684A6E03">
      <w:pPr>
        <w:pStyle w:val="BodyText0"/>
        <w:numPr>
          <w:ilvl w:val="0"/>
          <w:numId w:val="14"/>
        </w:numPr>
      </w:pPr>
      <w:r>
        <w:t>R</w:t>
      </w:r>
      <w:r>
        <w:t>espondents</w:t>
      </w:r>
      <w:r>
        <w:t xml:space="preserve"> will</w:t>
      </w:r>
      <w:r>
        <w:t xml:space="preserve"> access the survey through a unique link </w:t>
      </w:r>
      <w:r>
        <w:t xml:space="preserve">that </w:t>
      </w:r>
      <w:r>
        <w:t xml:space="preserve">cannot be shared </w:t>
      </w:r>
      <w:r>
        <w:t>with</w:t>
      </w:r>
      <w:r>
        <w:t xml:space="preserve"> others to use because it is unique. </w:t>
      </w:r>
    </w:p>
    <w:p w:rsidR="001A300B" w:rsidP="008E7D24" w14:paraId="654BB216" w14:textId="5635901A">
      <w:pPr>
        <w:pStyle w:val="BodyText0"/>
        <w:numPr>
          <w:ilvl w:val="0"/>
          <w:numId w:val="14"/>
        </w:numPr>
      </w:pPr>
      <w:r>
        <w:t xml:space="preserve">The online survey is self-administered, and respondents will </w:t>
      </w:r>
      <w:r w:rsidR="002761A5">
        <w:t>participate</w:t>
      </w:r>
      <w:r>
        <w:t xml:space="preserve"> on a voluntary basis. Questions in the screener are required for determining eligibility; however, respondents can exit the survey by closing the browser if they do not wish to answer these. All other questions are optional. The voluntary nature of the information collection is described in the online parental permission and assent forms to which </w:t>
      </w:r>
      <w:r w:rsidR="002761A5">
        <w:t>participant</w:t>
      </w:r>
      <w:r>
        <w:t>s provide online affirmative agreement.</w:t>
      </w:r>
    </w:p>
    <w:p w:rsidR="00C2752E" w:rsidP="008E7D24" w14:paraId="6FC444D5" w14:textId="7EC5C97E">
      <w:pPr>
        <w:pStyle w:val="BodyText0"/>
        <w:numPr>
          <w:ilvl w:val="0"/>
          <w:numId w:val="14"/>
        </w:numPr>
      </w:pPr>
      <w:r>
        <w:t>The panel vendors</w:t>
      </w:r>
      <w:r w:rsidR="001A300B">
        <w:t xml:space="preserve"> will </w:t>
      </w:r>
      <w:r w:rsidR="000A76FC">
        <w:t>not have access to data</w:t>
      </w:r>
      <w:r>
        <w:t xml:space="preserve"> collected</w:t>
      </w:r>
      <w:r w:rsidR="001A300B">
        <w:t xml:space="preserve"> through the screener or survey </w:t>
      </w:r>
      <w:r w:rsidR="000A76FC">
        <w:t>as these instruments will be hosted on a platform by IQS.</w:t>
      </w:r>
    </w:p>
    <w:p w:rsidR="00A35E2D" w:rsidP="008E7D24" w14:paraId="579192C4" w14:textId="6EC23833">
      <w:pPr>
        <w:pStyle w:val="BodyText0"/>
        <w:numPr>
          <w:ilvl w:val="0"/>
          <w:numId w:val="14"/>
        </w:numPr>
      </w:pPr>
      <w:r>
        <w:t xml:space="preserve">When data collection is complete, the deidentified data file will be transmitted from </w:t>
      </w:r>
      <w:r w:rsidR="001B6C17">
        <w:t xml:space="preserve">IQS </w:t>
      </w:r>
      <w:r>
        <w:t>to FDA via a website with an SSL ce</w:t>
      </w:r>
      <w:r w:rsidR="002761A5">
        <w:t>rtifi</w:t>
      </w:r>
      <w:r>
        <w:t xml:space="preserve">cate applied. The data file, which contains no PII, will be stored by </w:t>
      </w:r>
      <w:r w:rsidR="001B6C17">
        <w:t>IQS</w:t>
      </w:r>
      <w:r>
        <w:t xml:space="preserve"> and FDA on a restricted-access folder on a shared network drive, and only authorized project members will have access. </w:t>
      </w:r>
      <w:r w:rsidR="001B6C17">
        <w:t>IQS</w:t>
      </w:r>
      <w:r>
        <w:t xml:space="preserve"> will store data for 5 years before deletion.</w:t>
      </w:r>
    </w:p>
    <w:p w:rsidR="00C2752E" w:rsidP="008E7D24" w14:paraId="06B85EEB" w14:textId="2A8F3AF8">
      <w:pPr>
        <w:pStyle w:val="BodyText0"/>
      </w:pPr>
      <w:r>
        <w:t>This study is funded by the FDA, a Department of Health and Human Services supported agency, and is covered by a Ce</w:t>
      </w:r>
      <w:r w:rsidR="002761A5">
        <w:t xml:space="preserve">rtificate </w:t>
      </w:r>
      <w:r>
        <w:t xml:space="preserve">of Confidentiality (CoC). Section 2012 of the 21st Century Cures Act includes significant amendments, to the previous statutory authority for such protections, to enhance privacy protections for individuals who are the subjects of 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We will notify </w:t>
      </w:r>
      <w:r w:rsidR="002761A5">
        <w:t>participant</w:t>
      </w:r>
      <w:r>
        <w:t>s in the assent form</w:t>
      </w:r>
      <w:r w:rsidR="001A300B">
        <w:t xml:space="preserve"> (and </w:t>
      </w:r>
      <w:r w:rsidR="00C43951">
        <w:t>Parental Opt-Out Form</w:t>
      </w:r>
      <w:r w:rsidR="001A300B">
        <w:t>)</w:t>
      </w:r>
      <w:r>
        <w:t xml:space="preserve"> of the protections that the Ce</w:t>
      </w:r>
      <w:r w:rsidR="002761A5">
        <w:t>rtificate</w:t>
      </w:r>
      <w:r>
        <w:t xml:space="preserve"> provides.</w:t>
      </w:r>
    </w:p>
    <w:p w:rsidR="004C6979" w:rsidRPr="00F43757" w:rsidP="008E7D24" w14:paraId="6A1E1E8E" w14:textId="77777777">
      <w:pPr>
        <w:pStyle w:val="Heading3"/>
      </w:pPr>
      <w:r>
        <w:t>Justification for Sensitive Questions</w:t>
      </w:r>
    </w:p>
    <w:p w:rsidR="00AD4C50" w:rsidP="008E7D24" w14:paraId="20872ED7" w14:textId="5EAD28FB">
      <w:pPr>
        <w:pStyle w:val="BodyText0"/>
      </w:pPr>
      <w:r>
        <w:t>Most</w:t>
      </w:r>
      <w:r w:rsidR="004C7D81">
        <w:t xml:space="preserve"> questions asked will not be of a sensitive nature.</w:t>
      </w:r>
      <w:r w:rsidR="00360370">
        <w:t xml:space="preserve"> </w:t>
      </w:r>
      <w:r w:rsidR="004C7D81">
        <w:t xml:space="preserve">However, it will be necessary to ask some questions that may be considered of a sensitive nature </w:t>
      </w:r>
      <w:r w:rsidR="001B6C17">
        <w:t>to</w:t>
      </w:r>
      <w:r w:rsidR="004C7D81">
        <w:t xml:space="preserve"> assess specific health behaviors, such as </w:t>
      </w:r>
      <w:r w:rsidR="00F84072">
        <w:t xml:space="preserve">tobacco use </w:t>
      </w:r>
      <w:r w:rsidR="004C7D81">
        <w:t xml:space="preserve">and </w:t>
      </w:r>
      <w:r w:rsidR="00EF54A8">
        <w:t>marijuana/cannabis use</w:t>
      </w:r>
      <w:r w:rsidR="004C7D81">
        <w:t>.</w:t>
      </w:r>
      <w:r w:rsidR="00360370">
        <w:t xml:space="preserve"> </w:t>
      </w:r>
      <w:r w:rsidR="004C7D81">
        <w:t>Asking such questions is critical to the objectives to this information collection</w:t>
      </w:r>
      <w:r w:rsidR="00A35E2D">
        <w:t>.</w:t>
      </w:r>
    </w:p>
    <w:p w:rsidR="00D46382" w:rsidP="008E7D24" w14:paraId="0CCC9808" w14:textId="77777777">
      <w:pPr>
        <w:pStyle w:val="BodyText0"/>
      </w:pPr>
      <w:r>
        <w:t>Some questions about tobacco use are potentially sensitive because tobacco use among adolescents under age 18 is illegal in a few states</w:t>
      </w:r>
      <w:r w:rsidR="00D81FCD">
        <w:t>,</w:t>
      </w:r>
      <w:r>
        <w:t xml:space="preserve"> and sales to </w:t>
      </w:r>
      <w:r w:rsidR="007B68DE">
        <w:t xml:space="preserve">individuals </w:t>
      </w:r>
      <w:r>
        <w:t xml:space="preserve">under age </w:t>
      </w:r>
      <w:r w:rsidR="007B68DE">
        <w:t xml:space="preserve">21 </w:t>
      </w:r>
      <w:r>
        <w:t xml:space="preserve">are illegal </w:t>
      </w:r>
      <w:r w:rsidR="007B68DE">
        <w:t>nationwide</w:t>
      </w:r>
      <w:r>
        <w:t>.</w:t>
      </w:r>
      <w:r w:rsidR="00360370">
        <w:t xml:space="preserve"> </w:t>
      </w:r>
      <w:r w:rsidR="00C90462">
        <w:t xml:space="preserve">One question assessing ever </w:t>
      </w:r>
      <w:r w:rsidR="00B42261">
        <w:t>having vaped</w:t>
      </w:r>
      <w:r w:rsidR="00C90462">
        <w:t xml:space="preserve"> </w:t>
      </w:r>
      <w:r w:rsidR="003C190E">
        <w:t>marijuana/cannabis</w:t>
      </w:r>
      <w:r w:rsidR="00B42261">
        <w:t xml:space="preserve"> may also be sensitive because </w:t>
      </w:r>
      <w:r w:rsidR="00212E70">
        <w:t>youth possession</w:t>
      </w:r>
      <w:r w:rsidR="00643CC7">
        <w:t xml:space="preserve"> of marijuana/cannabis is illegal</w:t>
      </w:r>
      <w:r w:rsidR="00127D5A">
        <w:t xml:space="preserve"> in the U.S.</w:t>
      </w:r>
      <w:r w:rsidR="003C190E">
        <w:t xml:space="preserve"> </w:t>
      </w:r>
      <w:r>
        <w:t>These questions are essential to the objectives of this information collection.</w:t>
      </w:r>
      <w:r w:rsidR="00360370">
        <w:t xml:space="preserve"> </w:t>
      </w:r>
    </w:p>
    <w:p w:rsidR="003324FC" w:rsidP="00D46382" w14:paraId="4AEFCFAB" w14:textId="77777777">
      <w:pPr>
        <w:pStyle w:val="BodyText0"/>
      </w:pPr>
      <w:r>
        <w:t xml:space="preserve">Demographic questions </w:t>
      </w:r>
      <w:r w:rsidR="004C7D81">
        <w:t>such as race and ethnicity</w:t>
      </w:r>
      <w:r>
        <w:t>, gender identity, sexual orientation and language preference or place of birth</w:t>
      </w:r>
      <w:r w:rsidR="004C7D81">
        <w:t>, could be considered sensitive</w:t>
      </w:r>
      <w:r>
        <w:t xml:space="preserve">. </w:t>
      </w:r>
      <w:r w:rsidRPr="00D46382">
        <w:t xml:space="preserve">The purpose of these questions is to </w:t>
      </w:r>
      <w:r>
        <w:t>ensure a representative</w:t>
      </w:r>
      <w:r w:rsidRPr="00D46382">
        <w:t xml:space="preserve"> respondent sample</w:t>
      </w:r>
      <w:r>
        <w:t xml:space="preserve"> that enables subgroup comparisons to ultimately be able to</w:t>
      </w:r>
      <w:r w:rsidRPr="00D46382">
        <w:t xml:space="preserve"> tailor educational and outreach services and resources to </w:t>
      </w:r>
      <w:r>
        <w:t>specific</w:t>
      </w:r>
      <w:r w:rsidRPr="00D46382">
        <w:t xml:space="preserve"> segments</w:t>
      </w:r>
      <w:r>
        <w:t xml:space="preserve"> of the Hispanic/Latino audience</w:t>
      </w:r>
      <w:r>
        <w:t>.</w:t>
      </w:r>
      <w:r w:rsidRPr="00597D86">
        <w:t xml:space="preserve"> </w:t>
      </w:r>
    </w:p>
    <w:p w:rsidR="00597D86" w:rsidP="00D46382" w14:paraId="16980793" w14:textId="6200920C">
      <w:pPr>
        <w:pStyle w:val="BodyText0"/>
      </w:pPr>
      <w:r>
        <w:t>D</w:t>
      </w:r>
      <w:r w:rsidRPr="00597D86">
        <w:t xml:space="preserve">ecades of research has shown significant disparities in tobacco use by race (e.g., Harlow et al., 2019; </w:t>
      </w:r>
      <w:r w:rsidRPr="00597D86">
        <w:t>Odani</w:t>
      </w:r>
      <w:r w:rsidRPr="00597D86">
        <w:t xml:space="preserve"> et al, 2018), gender identity (e.g., Johnson et al, 2019; Delahanty et al, 2019), and sexual orientation (e.g., Johnson et al, 2019; McCabe et al., 2018). Therefore, collecting detailed information on these demographic characteristics </w:t>
      </w:r>
      <w:r>
        <w:t xml:space="preserve">among our sample </w:t>
      </w:r>
      <w:r w:rsidRPr="00597D86">
        <w:t xml:space="preserve">will allow us to measure </w:t>
      </w:r>
      <w:r>
        <w:t xml:space="preserve">Hispanic/Latino subgroup </w:t>
      </w:r>
      <w:r w:rsidRPr="00597D86">
        <w:t xml:space="preserve">differences with the goal of reducing these disparities. As </w:t>
      </w:r>
      <w:r w:rsidRPr="00597D86">
        <w:t xml:space="preserve">multiple studies of youth and young adults have reported approximately 12-15% of the sample identified as gender non-conforming/non-binary (e.g., The Human Rights Campaign 2018 LGBTQ+ Youth Report; The Trevor Project 2020 National Survey on LGBT Youth Mental Health; CTP’s evaluation of This Free Life campaign), including gender non-conforming/non-binary response options is necessary to identify and assess tobacco use among this population. Gender identity questions with genderqueer/gender non-conforming/non-binary response options have been approved by OMB for </w:t>
      </w:r>
      <w:r w:rsidRPr="00597D86">
        <w:t>ExPECTT</w:t>
      </w:r>
      <w:r w:rsidRPr="00597D86">
        <w:t xml:space="preserve"> (0910-0753) and for RESPECT (0910-0808).</w:t>
      </w:r>
    </w:p>
    <w:p w:rsidR="003324FC" w:rsidP="003324FC" w14:paraId="7064D128" w14:textId="71A4B622">
      <w:pPr>
        <w:pStyle w:val="BodyText0"/>
      </w:pPr>
      <w:r w:rsidRPr="00096631">
        <w:t>Along with the extensive and increasing body of literature showing tobacco use disparities among LGBTQ+ populations, the White House issued the Executive Order on Advancing Equality for Lesbian, Gay, Bisexual, Transgender, Queer, and Intersex Individuals which includes obligations for federal agencies to collect SOGI data. The order states that, “advancing equity and full inclusion for LGBTQI+ individuals requires that the Federal Government use evidence and data to measure and address the disparities that LGBTQI+ individuals, families, and households face.” It also states that federal agencies must “describe disparities faced by LGBTQI+ individuals that could be better understood through Federal statistics and data collection</w:t>
      </w:r>
      <w:r>
        <w:t>.</w:t>
      </w:r>
      <w:r w:rsidRPr="00096631">
        <w:t>”</w:t>
      </w:r>
      <w:r>
        <w:rPr>
          <w:rStyle w:val="FootnoteReference"/>
        </w:rPr>
        <w:footnoteReference w:id="9"/>
      </w:r>
      <w:r>
        <w:t xml:space="preserve"> </w:t>
      </w:r>
      <w:r w:rsidRPr="00096631">
        <w:t>This further reinforces the need to collect SOGI data. </w:t>
      </w:r>
      <w:r>
        <w:t>Moreover, given</w:t>
      </w:r>
      <w:r w:rsidRPr="003324FC">
        <w:t xml:space="preserve"> that teens</w:t>
      </w:r>
      <w:r>
        <w:t xml:space="preserve"> and young adults</w:t>
      </w:r>
      <w:r w:rsidRPr="003324FC">
        <w:t xml:space="preserve"> who are sexual or gender minorities have higher use of </w:t>
      </w:r>
      <w:r>
        <w:t xml:space="preserve">tobacco </w:t>
      </w:r>
      <w:r w:rsidRPr="003324FC">
        <w:t xml:space="preserve">products compared to heterosexual and cisgender teens, it’s important for us to capture both sexual and gender identity information to accurately identify our target audience for education activities and address disparities in </w:t>
      </w:r>
      <w:r>
        <w:t>tobacco</w:t>
      </w:r>
      <w:r w:rsidRPr="003324FC">
        <w:t xml:space="preserve"> product use</w:t>
      </w:r>
      <w:r>
        <w:t xml:space="preserve"> among Hispanic/Latino youth and young adults.</w:t>
      </w:r>
    </w:p>
    <w:p w:rsidR="003324FC" w:rsidRPr="003324FC" w:rsidP="003324FC" w14:paraId="7677E3A3" w14:textId="57A2F0E0">
      <w:pPr>
        <w:pStyle w:val="BodyText0"/>
      </w:pPr>
      <w:r>
        <w:t>The screener for this survey additional includes a question on Hispanic/Latino country origin. This</w:t>
      </w:r>
      <w:r w:rsidRPr="00096631">
        <w:t xml:space="preserve"> question is modeled after the 2020 U.S. Census which includes country of origin/national background when asking about Hispanic/Latino ethnicity. We </w:t>
      </w:r>
      <w:r w:rsidR="00025BC6">
        <w:t xml:space="preserve">have included the OMB standard categories (Mexican/Mexican American, Chicano, Puerto </w:t>
      </w:r>
      <w:r w:rsidR="00025BC6">
        <w:t>Rican</w:t>
      </w:r>
      <w:r w:rsidR="00025BC6">
        <w:t xml:space="preserve"> and Cuban) and have expanded the list to include options for Salvadoran and Cuban so that the</w:t>
      </w:r>
      <w:r w:rsidRPr="00096631">
        <w:t xml:space="preserve"> top 5 countries of origin</w:t>
      </w:r>
      <w:r w:rsidR="00025BC6">
        <w:t xml:space="preserve"> are represented</w:t>
      </w:r>
      <w:r w:rsidRPr="00096631">
        <w:t> based on the 2020 U.S. Census data. This level of detail is necessary as data shows disparities in tobacco use and susceptibility depending on Hispanic/Latino country of origin.</w:t>
      </w:r>
      <w:r>
        <w:rPr>
          <w:rStyle w:val="FootnoteReference"/>
        </w:rPr>
        <w:footnoteReference w:id="10"/>
      </w:r>
      <w:r w:rsidRPr="00096631">
        <w:t>  It is important for CTP to capture this information to better understand Hispanic/Latino tobacco use and prevention</w:t>
      </w:r>
      <w:r w:rsidR="00025BC6">
        <w:t xml:space="preserve"> which is the focus of this survey</w:t>
      </w:r>
      <w:r w:rsidRPr="00096631">
        <w:t>. </w:t>
      </w:r>
      <w:r w:rsidR="00025BC6">
        <w:t xml:space="preserve">This will also help us to ensure that </w:t>
      </w:r>
      <w:r w:rsidR="00025BC6">
        <w:t>we have adequate representation from across national backgrounds for monitoring during fielding so that we can look at tobacco use by national background in our analysis.</w:t>
      </w:r>
      <w:r w:rsidRPr="00096631">
        <w:t> </w:t>
      </w:r>
    </w:p>
    <w:p w:rsidR="00363C23" w:rsidRPr="00D46382" w:rsidP="003324FC" w14:paraId="3EB6A7AC" w14:textId="53D610B0">
      <w:pPr>
        <w:pStyle w:val="BodyText0"/>
      </w:pPr>
      <w:r w:rsidRPr="00D46382">
        <w:t xml:space="preserve">Responses to </w:t>
      </w:r>
      <w:r>
        <w:t xml:space="preserve">these </w:t>
      </w:r>
      <w:r w:rsidRPr="00D46382">
        <w:t xml:space="preserve">questions </w:t>
      </w:r>
      <w:r w:rsidR="00B10AB2">
        <w:t>are needed</w:t>
      </w:r>
      <w:r w:rsidRPr="00D46382">
        <w:t xml:space="preserve"> to ensure adequate information is determined in assessing respondent eligibility. </w:t>
      </w:r>
      <w:r w:rsidR="00B10AB2">
        <w:t xml:space="preserve">Participants may exit the screener at any time without penalty should they not wish to answer a question or longer wish to participate. </w:t>
      </w:r>
      <w:r w:rsidRPr="00D46382">
        <w:t>The question regarding respondent’s birthplace will have a “Prefer not to answer” option</w:t>
      </w:r>
      <w:r>
        <w:t>. I</w:t>
      </w:r>
      <w:r w:rsidRPr="00D46382">
        <w:t xml:space="preserve">f respondents are uncomfortable with any of the questions, they can terminate </w:t>
      </w:r>
      <w:r>
        <w:t>screening</w:t>
      </w:r>
      <w:r w:rsidRPr="00D46382">
        <w:t xml:space="preserve"> at any time without penalty.</w:t>
      </w:r>
      <w:r w:rsidR="003324FC">
        <w:t xml:space="preserve"> </w:t>
      </w:r>
      <w:r w:rsidRPr="00D46382">
        <w:t xml:space="preserve">The </w:t>
      </w:r>
      <w:r>
        <w:t>survey</w:t>
      </w:r>
      <w:r w:rsidRPr="00D46382">
        <w:t xml:space="preserve"> includes potentially sensitive questions about</w:t>
      </w:r>
      <w:r>
        <w:t xml:space="preserve"> </w:t>
      </w:r>
      <w:r w:rsidRPr="00D46382">
        <w:t xml:space="preserve">smoking identity, mental health, </w:t>
      </w:r>
      <w:r>
        <w:t xml:space="preserve">and </w:t>
      </w:r>
      <w:r w:rsidRPr="00D46382">
        <w:t xml:space="preserve">discrimination experiences. </w:t>
      </w:r>
      <w:r w:rsidRPr="00D46382">
        <w:rPr>
          <w:lang w:bidi="en-US"/>
        </w:rPr>
        <w:t>These questions will help us understand our respondents’ backgrounds and</w:t>
      </w:r>
      <w:r>
        <w:rPr>
          <w:lang w:bidi="en-US"/>
        </w:rPr>
        <w:t xml:space="preserve"> the</w:t>
      </w:r>
      <w:r w:rsidRPr="00D46382">
        <w:rPr>
          <w:lang w:bidi="en-US"/>
        </w:rPr>
        <w:t xml:space="preserve"> stressors that may put them at risk for tobacco product use. </w:t>
      </w:r>
    </w:p>
    <w:p w:rsidR="004C7D81" w:rsidP="008E7D24" w14:paraId="7D1CAE3E" w14:textId="6E634522">
      <w:pPr>
        <w:pStyle w:val="BodyText0"/>
      </w:pPr>
      <w:r>
        <w:t>To address any concerns about inadvertent disclosure of sensitive information, respondents will be fully informed of the applicable privacy safeguards.</w:t>
      </w:r>
      <w:r w:rsidR="00360370">
        <w:t xml:space="preserve"> </w:t>
      </w:r>
      <w:r w:rsidR="00A35E2D">
        <w:t xml:space="preserve">This study includes </w:t>
      </w:r>
      <w:r w:rsidR="00A35E2D">
        <w:t>a number of</w:t>
      </w:r>
      <w:r w:rsidR="00A35E2D">
        <w:t xml:space="preserve"> procedures and methodological characteristics that will minimize potential negative reactions to these types of questions, including the following:</w:t>
      </w:r>
    </w:p>
    <w:p w:rsidR="0054756B" w:rsidP="0054756B" w14:paraId="2046A992" w14:textId="41371C36">
      <w:pPr>
        <w:pStyle w:val="ListBullet"/>
        <w:numPr>
          <w:ilvl w:val="0"/>
          <w:numId w:val="22"/>
        </w:numPr>
      </w:pPr>
      <w:r>
        <w:t xml:space="preserve">Respondents will be informed that they do not need </w:t>
      </w:r>
      <w:r w:rsidR="002761A5">
        <w:t>participate</w:t>
      </w:r>
      <w:r>
        <w:t xml:space="preserve"> and that if they choose to </w:t>
      </w:r>
      <w:r w:rsidR="002761A5">
        <w:t>participate</w:t>
      </w:r>
      <w:r>
        <w:t>, they do not need answer any question on the survey (aside from required screening questions) that makes them feel uncomfortable or that they simply do not wish to answer.</w:t>
      </w:r>
    </w:p>
    <w:p w:rsidR="0054756B" w:rsidP="0054756B" w14:paraId="51E407C0" w14:textId="77777777">
      <w:pPr>
        <w:pStyle w:val="ListBullet"/>
        <w:numPr>
          <w:ilvl w:val="0"/>
          <w:numId w:val="22"/>
        </w:numPr>
      </w:pPr>
      <w:r>
        <w:t>The web survey is entirely self-administered to maximize respondent privacy without the need to verbalize responses.</w:t>
      </w:r>
    </w:p>
    <w:p w:rsidR="0054756B" w:rsidP="0054756B" w14:paraId="340A360E" w14:textId="7F62D09B">
      <w:pPr>
        <w:pStyle w:val="ListBullet"/>
        <w:numPr>
          <w:ilvl w:val="0"/>
          <w:numId w:val="22"/>
        </w:numPr>
      </w:pPr>
      <w:r>
        <w:t>Participant</w:t>
      </w:r>
      <w:r>
        <w:t>s will be provided with a telephone number and email address for the IQS Principal Investigator to contact in case they have a question or concern about the sensitive issue.</w:t>
      </w:r>
    </w:p>
    <w:p w:rsidR="004C6979" w:rsidP="00096631" w14:paraId="0D4BC3BF" w14:textId="6529F85B">
      <w:pPr>
        <w:pStyle w:val="Heading3"/>
      </w:pPr>
      <w:r>
        <w:t>Estimates of Annualized Burden Hours and Costs</w:t>
      </w:r>
    </w:p>
    <w:p w:rsidR="00CF75B1" w:rsidRPr="00AD4C50" w:rsidP="008E7D24" w14:paraId="2EA13328" w14:textId="77777777">
      <w:pPr>
        <w:pStyle w:val="Heading4"/>
        <w:rPr>
          <w:i/>
          <w:iCs/>
        </w:rPr>
      </w:pPr>
      <w:r>
        <w:t xml:space="preserve">12a. </w:t>
      </w:r>
      <w:r w:rsidRPr="77EE5CB5">
        <w:rPr>
          <w:i/>
          <w:iCs/>
        </w:rPr>
        <w:t>Annualized Hour Burden Estimate</w:t>
      </w:r>
    </w:p>
    <w:p w:rsidR="00CF75B1" w:rsidRPr="00127C20" w:rsidP="008E7D24" w14:paraId="6544DED5" w14:textId="66DC62F1">
      <w:pPr>
        <w:pStyle w:val="table-title"/>
        <w:spacing w:after="120"/>
      </w:pPr>
      <w:bookmarkStart w:id="4" w:name="_Hlk511986403"/>
      <w:r>
        <w:t>Table 1. Estimated Annual Repo</w:t>
      </w:r>
      <w:r w:rsidR="002761A5">
        <w:t>rti</w:t>
      </w:r>
      <w:r>
        <w:t>ng Burden</w:t>
      </w:r>
    </w:p>
    <w:tbl>
      <w:tblPr>
        <w:tblW w:w="9198" w:type="dxa"/>
        <w:tblBorders>
          <w:top w:val="single" w:sz="12" w:space="0" w:color="000000" w:themeColor="text1"/>
          <w:bottom w:val="single" w:sz="12" w:space="0" w:color="000000" w:themeColor="text1"/>
          <w:insideH w:val="single" w:sz="6" w:space="0" w:color="000000" w:themeColor="text1"/>
        </w:tblBorders>
        <w:tblLayout w:type="fixed"/>
        <w:tblLook w:val="0000"/>
      </w:tblPr>
      <w:tblGrid>
        <w:gridCol w:w="2160"/>
        <w:gridCol w:w="1530"/>
        <w:gridCol w:w="1350"/>
        <w:gridCol w:w="1260"/>
        <w:gridCol w:w="1530"/>
        <w:gridCol w:w="1368"/>
      </w:tblGrid>
      <w:tr w14:paraId="41029C79" w14:textId="77777777" w:rsidTr="00A13382">
        <w:tblPrEx>
          <w:tblW w:w="9198" w:type="dxa"/>
          <w:tblBorders>
            <w:top w:val="single" w:sz="12" w:space="0" w:color="000000" w:themeColor="text1"/>
            <w:bottom w:val="single" w:sz="12" w:space="0" w:color="000000" w:themeColor="text1"/>
            <w:insideH w:val="single" w:sz="6" w:space="0" w:color="000000" w:themeColor="text1"/>
          </w:tblBorders>
          <w:tblLayout w:type="fixed"/>
          <w:tblLook w:val="0000"/>
        </w:tblPrEx>
        <w:trPr>
          <w:trHeight w:hRule="exact" w:val="1425"/>
        </w:trPr>
        <w:tc>
          <w:tcPr>
            <w:tcW w:w="2160" w:type="dxa"/>
            <w:shd w:val="clear" w:color="auto" w:fill="auto"/>
            <w:vAlign w:val="bottom"/>
          </w:tcPr>
          <w:p w:rsidR="00CF75B1" w:rsidRPr="00127C20" w:rsidP="008E7D24" w14:paraId="1E258E23" w14:textId="77777777">
            <w:pPr>
              <w:pStyle w:val="table-headers"/>
            </w:pPr>
            <w:r>
              <w:t>Type of Respondent</w:t>
            </w:r>
          </w:p>
        </w:tc>
        <w:tc>
          <w:tcPr>
            <w:tcW w:w="1530" w:type="dxa"/>
            <w:shd w:val="clear" w:color="auto" w:fill="auto"/>
            <w:vAlign w:val="bottom"/>
          </w:tcPr>
          <w:p w:rsidR="00CF75B1" w:rsidRPr="00127C20" w:rsidP="008E7D24" w14:paraId="21CA98C0" w14:textId="77777777">
            <w:pPr>
              <w:pStyle w:val="table-headers"/>
            </w:pPr>
            <w:r>
              <w:t>No. of Respondents</w:t>
            </w:r>
          </w:p>
        </w:tc>
        <w:tc>
          <w:tcPr>
            <w:tcW w:w="1350" w:type="dxa"/>
            <w:shd w:val="clear" w:color="auto" w:fill="auto"/>
            <w:vAlign w:val="bottom"/>
          </w:tcPr>
          <w:p w:rsidR="00CF75B1" w:rsidRPr="00127C20" w:rsidP="008E7D24" w14:paraId="7452D4E4" w14:textId="6CFDCC47">
            <w:pPr>
              <w:pStyle w:val="table-headers"/>
            </w:pPr>
            <w:r>
              <w:t>No. of Responses per Respondent</w:t>
            </w:r>
          </w:p>
        </w:tc>
        <w:tc>
          <w:tcPr>
            <w:tcW w:w="1260" w:type="dxa"/>
            <w:shd w:val="clear" w:color="auto" w:fill="auto"/>
            <w:vAlign w:val="bottom"/>
          </w:tcPr>
          <w:p w:rsidR="00CF75B1" w:rsidRPr="00127C20" w:rsidP="008E7D24" w14:paraId="28BE122F" w14:textId="77777777">
            <w:pPr>
              <w:pStyle w:val="table-headers"/>
            </w:pPr>
            <w:r>
              <w:t>Total Annual Responses</w:t>
            </w:r>
          </w:p>
        </w:tc>
        <w:tc>
          <w:tcPr>
            <w:tcW w:w="1530" w:type="dxa"/>
            <w:shd w:val="clear" w:color="auto" w:fill="auto"/>
            <w:vAlign w:val="bottom"/>
          </w:tcPr>
          <w:p w:rsidR="00CF75B1" w:rsidRPr="00127C20" w:rsidP="008E7D24" w14:paraId="1ECC6985" w14:textId="77777777">
            <w:pPr>
              <w:pStyle w:val="table-headers"/>
            </w:pPr>
            <w:r>
              <w:t>Average Burden per Response (</w:t>
            </w:r>
            <w:r>
              <w:t>Hours</w:t>
            </w:r>
            <w:r>
              <w:t>)</w:t>
            </w:r>
          </w:p>
        </w:tc>
        <w:tc>
          <w:tcPr>
            <w:tcW w:w="1368" w:type="dxa"/>
            <w:shd w:val="clear" w:color="auto" w:fill="auto"/>
            <w:vAlign w:val="bottom"/>
          </w:tcPr>
          <w:p w:rsidR="00CF75B1" w:rsidRPr="00127C20" w:rsidP="008E7D24" w14:paraId="22F8E1FE" w14:textId="77777777">
            <w:pPr>
              <w:pStyle w:val="table-headers"/>
            </w:pPr>
            <w:r>
              <w:t>Total Hours</w:t>
            </w:r>
          </w:p>
        </w:tc>
      </w:tr>
      <w:tr w14:paraId="17B48428" w14:textId="77777777" w:rsidTr="00901C15">
        <w:tblPrEx>
          <w:tblW w:w="9198" w:type="dxa"/>
          <w:tblLayout w:type="fixed"/>
          <w:tblLook w:val="0000"/>
        </w:tblPrEx>
        <w:trPr>
          <w:trHeight w:hRule="exact" w:val="1428"/>
        </w:trPr>
        <w:tc>
          <w:tcPr>
            <w:tcW w:w="2160" w:type="dxa"/>
            <w:shd w:val="clear" w:color="auto" w:fill="auto"/>
            <w:vAlign w:val="center"/>
          </w:tcPr>
          <w:p w:rsidR="008C6D7F" w:rsidP="008C6D7F" w14:paraId="5E292299" w14:textId="54943009">
            <w:pPr>
              <w:pStyle w:val="table-text"/>
              <w:spacing w:before="0" w:after="0"/>
            </w:pPr>
            <w:bookmarkStart w:id="5" w:name="_Hlk122017714"/>
            <w:r>
              <w:t>Parent</w:t>
            </w:r>
            <w:r w:rsidR="003A5D5C">
              <w:t xml:space="preserve"> of Youth</w:t>
            </w:r>
            <w:r w:rsidR="638119E7">
              <w:t>—</w:t>
            </w:r>
            <w:r>
              <w:t>Generic invitation,</w:t>
            </w:r>
          </w:p>
          <w:p w:rsidR="00CD0280" w:rsidRPr="00127C20" w:rsidP="008C6D7F" w14:paraId="109BCCF8" w14:textId="5C613050">
            <w:pPr>
              <w:pStyle w:val="table-text"/>
              <w:spacing w:before="0" w:after="0"/>
            </w:pPr>
            <w:r>
              <w:t>[</w:t>
            </w:r>
            <w:r w:rsidR="00417DBD">
              <w:t xml:space="preserve">Recruitment E-mail, </w:t>
            </w:r>
            <w:r>
              <w:t xml:space="preserve">Parental </w:t>
            </w:r>
            <w:r>
              <w:t>Opt</w:t>
            </w:r>
            <w:r>
              <w:t xml:space="preserve"> Out Form]</w:t>
            </w:r>
            <w:bookmarkEnd w:id="5"/>
          </w:p>
        </w:tc>
        <w:tc>
          <w:tcPr>
            <w:tcW w:w="1530" w:type="dxa"/>
            <w:shd w:val="clear" w:color="auto" w:fill="auto"/>
            <w:vAlign w:val="center"/>
          </w:tcPr>
          <w:p w:rsidR="00CD0280" w:rsidP="008E7D24" w14:paraId="44130C00" w14:textId="00F8968D">
            <w:pPr>
              <w:pStyle w:val="table-text"/>
              <w:jc w:val="center"/>
              <w:rPr>
                <w:color w:val="000000" w:themeColor="text1"/>
              </w:rPr>
            </w:pPr>
            <w:r>
              <w:rPr>
                <w:color w:val="000000" w:themeColor="text1"/>
              </w:rPr>
              <w:t>1,000</w:t>
            </w:r>
          </w:p>
        </w:tc>
        <w:tc>
          <w:tcPr>
            <w:tcW w:w="1350" w:type="dxa"/>
            <w:shd w:val="clear" w:color="auto" w:fill="auto"/>
            <w:vAlign w:val="center"/>
          </w:tcPr>
          <w:p w:rsidR="00CD0280" w:rsidRPr="00127C20" w:rsidP="008E7D24" w14:paraId="29C047E6" w14:textId="40F30943">
            <w:pPr>
              <w:pStyle w:val="table-text"/>
              <w:jc w:val="center"/>
              <w:rPr>
                <w:color w:val="000000"/>
              </w:rPr>
            </w:pPr>
            <w:r w:rsidRPr="77EE5CB5">
              <w:rPr>
                <w:color w:val="000000" w:themeColor="text1"/>
              </w:rPr>
              <w:t>1</w:t>
            </w:r>
          </w:p>
        </w:tc>
        <w:tc>
          <w:tcPr>
            <w:tcW w:w="1260" w:type="dxa"/>
            <w:shd w:val="clear" w:color="auto" w:fill="auto"/>
            <w:vAlign w:val="center"/>
          </w:tcPr>
          <w:p w:rsidR="00CD0280" w:rsidP="008E7D24" w14:paraId="50930B9C" w14:textId="1E280D3B">
            <w:pPr>
              <w:pStyle w:val="table-text"/>
              <w:jc w:val="center"/>
              <w:rPr>
                <w:color w:val="000000" w:themeColor="text1"/>
              </w:rPr>
            </w:pPr>
            <w:r>
              <w:rPr>
                <w:color w:val="000000" w:themeColor="text1"/>
              </w:rPr>
              <w:t>1,000</w:t>
            </w:r>
          </w:p>
        </w:tc>
        <w:tc>
          <w:tcPr>
            <w:tcW w:w="1530" w:type="dxa"/>
            <w:shd w:val="clear" w:color="auto" w:fill="auto"/>
            <w:vAlign w:val="center"/>
          </w:tcPr>
          <w:p w:rsidR="00CD0280" w:rsidP="008E7D24" w14:paraId="65352575" w14:textId="65F6E014">
            <w:pPr>
              <w:pStyle w:val="table-text"/>
              <w:jc w:val="center"/>
              <w:rPr>
                <w:color w:val="000000" w:themeColor="text1"/>
              </w:rPr>
            </w:pPr>
            <w:r w:rsidRPr="77EE5CB5">
              <w:rPr>
                <w:color w:val="000000" w:themeColor="text1"/>
              </w:rPr>
              <w:t>0.0</w:t>
            </w:r>
            <w:r w:rsidR="00884144">
              <w:rPr>
                <w:color w:val="000000" w:themeColor="text1"/>
              </w:rPr>
              <w:t>5</w:t>
            </w:r>
          </w:p>
          <w:p w:rsidR="008C6D7F" w:rsidRPr="00127C20" w:rsidP="008E7D24" w14:paraId="34313D55" w14:textId="4AFF417F">
            <w:pPr>
              <w:pStyle w:val="table-text"/>
              <w:jc w:val="center"/>
              <w:rPr>
                <w:color w:val="000000"/>
              </w:rPr>
            </w:pPr>
            <w:r w:rsidRPr="008C6D7F">
              <w:rPr>
                <w:color w:val="000000" w:themeColor="text1"/>
                <w:sz w:val="18"/>
                <w:szCs w:val="18"/>
              </w:rPr>
              <w:t>(</w:t>
            </w:r>
            <w:r w:rsidR="00884144">
              <w:rPr>
                <w:color w:val="000000" w:themeColor="text1"/>
                <w:sz w:val="18"/>
                <w:szCs w:val="18"/>
              </w:rPr>
              <w:t xml:space="preserve">3 </w:t>
            </w:r>
            <w:r w:rsidRPr="008C6D7F">
              <w:rPr>
                <w:color w:val="000000" w:themeColor="text1"/>
                <w:sz w:val="18"/>
                <w:szCs w:val="18"/>
              </w:rPr>
              <w:t>minutes)</w:t>
            </w:r>
          </w:p>
        </w:tc>
        <w:tc>
          <w:tcPr>
            <w:tcW w:w="1368" w:type="dxa"/>
            <w:shd w:val="clear" w:color="auto" w:fill="auto"/>
            <w:vAlign w:val="center"/>
          </w:tcPr>
          <w:p w:rsidR="00CD0280" w:rsidP="008E7D24" w14:paraId="600AC1AA" w14:textId="3D8083FF">
            <w:pPr>
              <w:pStyle w:val="table-text"/>
              <w:jc w:val="center"/>
              <w:rPr>
                <w:color w:val="000000"/>
              </w:rPr>
            </w:pPr>
            <w:r>
              <w:rPr>
                <w:color w:val="000000"/>
              </w:rPr>
              <w:t>50</w:t>
            </w:r>
          </w:p>
        </w:tc>
      </w:tr>
      <w:tr w14:paraId="1F000ED2" w14:textId="77777777" w:rsidTr="00A13382">
        <w:tblPrEx>
          <w:tblW w:w="9198" w:type="dxa"/>
          <w:tblLayout w:type="fixed"/>
          <w:tblLook w:val="0000"/>
        </w:tblPrEx>
        <w:trPr>
          <w:trHeight w:hRule="exact" w:val="699"/>
        </w:trPr>
        <w:tc>
          <w:tcPr>
            <w:tcW w:w="2160" w:type="dxa"/>
            <w:shd w:val="clear" w:color="auto" w:fill="auto"/>
            <w:vAlign w:val="center"/>
          </w:tcPr>
          <w:p w:rsidR="002D7AD9" w:rsidRPr="00127C20" w:rsidP="008E7D24" w14:paraId="7CA6BEA7" w14:textId="42136E41">
            <w:pPr>
              <w:pStyle w:val="table-text"/>
            </w:pPr>
            <w:r>
              <w:t>Youth—</w:t>
            </w:r>
            <w:r w:rsidR="003A5D5C">
              <w:t>Screener</w:t>
            </w:r>
          </w:p>
        </w:tc>
        <w:tc>
          <w:tcPr>
            <w:tcW w:w="1530" w:type="dxa"/>
            <w:shd w:val="clear" w:color="auto" w:fill="auto"/>
            <w:vAlign w:val="center"/>
          </w:tcPr>
          <w:p w:rsidR="002D7AD9" w:rsidP="008E7D24" w14:paraId="23ED19FC" w14:textId="02215E5D">
            <w:pPr>
              <w:pStyle w:val="table-text"/>
              <w:jc w:val="center"/>
              <w:rPr>
                <w:color w:val="000000" w:themeColor="text1"/>
              </w:rPr>
            </w:pPr>
            <w:r>
              <w:rPr>
                <w:color w:val="000000" w:themeColor="text1"/>
              </w:rPr>
              <w:t>750</w:t>
            </w:r>
          </w:p>
        </w:tc>
        <w:tc>
          <w:tcPr>
            <w:tcW w:w="1350" w:type="dxa"/>
            <w:shd w:val="clear" w:color="auto" w:fill="auto"/>
            <w:vAlign w:val="center"/>
          </w:tcPr>
          <w:p w:rsidR="002D7AD9" w:rsidRPr="00127C20" w:rsidP="008E7D24" w14:paraId="5A0AA233" w14:textId="35D03B50">
            <w:pPr>
              <w:pStyle w:val="table-text"/>
              <w:jc w:val="center"/>
              <w:rPr>
                <w:color w:val="000000"/>
              </w:rPr>
            </w:pPr>
            <w:r w:rsidRPr="77EE5CB5">
              <w:rPr>
                <w:color w:val="000000" w:themeColor="text1"/>
              </w:rPr>
              <w:t>1</w:t>
            </w:r>
          </w:p>
        </w:tc>
        <w:tc>
          <w:tcPr>
            <w:tcW w:w="1260" w:type="dxa"/>
            <w:shd w:val="clear" w:color="auto" w:fill="auto"/>
            <w:vAlign w:val="center"/>
          </w:tcPr>
          <w:p w:rsidR="002D7AD9" w:rsidP="008E7D24" w14:paraId="64FD6D92" w14:textId="697DB578">
            <w:pPr>
              <w:pStyle w:val="table-text"/>
              <w:jc w:val="center"/>
              <w:rPr>
                <w:color w:val="000000" w:themeColor="text1"/>
              </w:rPr>
            </w:pPr>
            <w:r>
              <w:rPr>
                <w:color w:val="000000" w:themeColor="text1"/>
              </w:rPr>
              <w:t>750</w:t>
            </w:r>
          </w:p>
        </w:tc>
        <w:tc>
          <w:tcPr>
            <w:tcW w:w="1530" w:type="dxa"/>
            <w:shd w:val="clear" w:color="auto" w:fill="auto"/>
            <w:vAlign w:val="center"/>
          </w:tcPr>
          <w:p w:rsidR="002D7AD9" w:rsidP="008E7D24" w14:paraId="6F7B964F" w14:textId="3BEA45BD">
            <w:pPr>
              <w:pStyle w:val="table-text"/>
              <w:jc w:val="center"/>
              <w:rPr>
                <w:color w:val="000000" w:themeColor="text1"/>
              </w:rPr>
            </w:pPr>
            <w:r w:rsidRPr="77EE5CB5">
              <w:rPr>
                <w:color w:val="000000" w:themeColor="text1"/>
              </w:rPr>
              <w:t>0.0</w:t>
            </w:r>
            <w:r w:rsidR="003A5D5C">
              <w:rPr>
                <w:color w:val="000000" w:themeColor="text1"/>
              </w:rPr>
              <w:t>5</w:t>
            </w:r>
          </w:p>
          <w:p w:rsidR="008C6D7F" w:rsidRPr="00127C20" w:rsidP="008E7D24" w14:paraId="69615B38" w14:textId="78C07EF3">
            <w:pPr>
              <w:pStyle w:val="table-text"/>
              <w:jc w:val="center"/>
              <w:rPr>
                <w:color w:val="000000"/>
              </w:rPr>
            </w:pPr>
            <w:r w:rsidRPr="008C6D7F">
              <w:rPr>
                <w:color w:val="000000" w:themeColor="text1"/>
                <w:sz w:val="18"/>
                <w:szCs w:val="18"/>
              </w:rPr>
              <w:t>(</w:t>
            </w:r>
            <w:r w:rsidR="003A5D5C">
              <w:rPr>
                <w:color w:val="000000" w:themeColor="text1"/>
                <w:sz w:val="18"/>
                <w:szCs w:val="18"/>
              </w:rPr>
              <w:t>3</w:t>
            </w:r>
            <w:r w:rsidRPr="008C6D7F">
              <w:rPr>
                <w:color w:val="000000" w:themeColor="text1"/>
                <w:sz w:val="18"/>
                <w:szCs w:val="18"/>
              </w:rPr>
              <w:t xml:space="preserve"> minutes)</w:t>
            </w:r>
          </w:p>
        </w:tc>
        <w:tc>
          <w:tcPr>
            <w:tcW w:w="1368" w:type="dxa"/>
            <w:shd w:val="clear" w:color="auto" w:fill="auto"/>
            <w:vAlign w:val="center"/>
          </w:tcPr>
          <w:p w:rsidR="002D7AD9" w:rsidP="008E7D24" w14:paraId="56F563BC" w14:textId="3D8BCE9B">
            <w:pPr>
              <w:pStyle w:val="table-text"/>
              <w:jc w:val="center"/>
              <w:rPr>
                <w:color w:val="000000"/>
              </w:rPr>
            </w:pPr>
            <w:r>
              <w:rPr>
                <w:color w:val="000000"/>
              </w:rPr>
              <w:t>38</w:t>
            </w:r>
          </w:p>
        </w:tc>
      </w:tr>
      <w:tr w14:paraId="0666F501" w14:textId="77777777" w:rsidTr="00A13382">
        <w:tblPrEx>
          <w:tblW w:w="9198" w:type="dxa"/>
          <w:tblLayout w:type="fixed"/>
          <w:tblLook w:val="0000"/>
        </w:tblPrEx>
        <w:trPr>
          <w:trHeight w:hRule="exact" w:val="1203"/>
        </w:trPr>
        <w:tc>
          <w:tcPr>
            <w:tcW w:w="2160" w:type="dxa"/>
            <w:shd w:val="clear" w:color="auto" w:fill="auto"/>
            <w:vAlign w:val="center"/>
          </w:tcPr>
          <w:p w:rsidR="00C5641A" w:rsidP="008E7D24" w14:paraId="0EFF4EB6" w14:textId="77777777">
            <w:pPr>
              <w:pStyle w:val="table-text"/>
            </w:pPr>
            <w:r>
              <w:t>Youth—</w:t>
            </w:r>
            <w:r w:rsidR="003A5D5C">
              <w:t>Assent</w:t>
            </w:r>
            <w:r w:rsidR="00822753">
              <w:t xml:space="preserve"> [Participant Consent/Assent Form]</w:t>
            </w:r>
          </w:p>
          <w:p w:rsidR="00822753" w:rsidRPr="00127C20" w:rsidP="008E7D24" w14:paraId="1C39A793" w14:textId="2DD2E747">
            <w:pPr>
              <w:pStyle w:val="table-text"/>
            </w:pPr>
          </w:p>
        </w:tc>
        <w:tc>
          <w:tcPr>
            <w:tcW w:w="1530" w:type="dxa"/>
            <w:shd w:val="clear" w:color="auto" w:fill="auto"/>
            <w:vAlign w:val="center"/>
          </w:tcPr>
          <w:p w:rsidR="00C5641A" w:rsidRPr="00127C20" w:rsidP="008E7D24" w14:paraId="6ADE6F2B" w14:textId="20AB1993">
            <w:pPr>
              <w:pStyle w:val="table-text"/>
              <w:jc w:val="center"/>
              <w:rPr>
                <w:color w:val="000000" w:themeColor="text1"/>
              </w:rPr>
            </w:pPr>
            <w:r>
              <w:rPr>
                <w:color w:val="000000" w:themeColor="text1"/>
              </w:rPr>
              <w:t>750</w:t>
            </w:r>
          </w:p>
        </w:tc>
        <w:tc>
          <w:tcPr>
            <w:tcW w:w="1350" w:type="dxa"/>
            <w:shd w:val="clear" w:color="auto" w:fill="auto"/>
            <w:vAlign w:val="center"/>
          </w:tcPr>
          <w:p w:rsidR="00C5641A" w:rsidRPr="00127C20" w:rsidP="008E7D24" w14:paraId="725BAA5F" w14:textId="77777777">
            <w:pPr>
              <w:pStyle w:val="table-text"/>
              <w:jc w:val="center"/>
              <w:rPr>
                <w:color w:val="000000" w:themeColor="text1"/>
              </w:rPr>
            </w:pPr>
            <w:r w:rsidRPr="77EE5CB5">
              <w:rPr>
                <w:color w:val="000000" w:themeColor="text1"/>
              </w:rPr>
              <w:t>1</w:t>
            </w:r>
          </w:p>
        </w:tc>
        <w:tc>
          <w:tcPr>
            <w:tcW w:w="1260" w:type="dxa"/>
            <w:shd w:val="clear" w:color="auto" w:fill="auto"/>
            <w:vAlign w:val="center"/>
          </w:tcPr>
          <w:p w:rsidR="00C5641A" w:rsidRPr="00127C20" w:rsidP="008E7D24" w14:paraId="41A3F220" w14:textId="6AB748A8">
            <w:pPr>
              <w:pStyle w:val="table-text"/>
              <w:jc w:val="center"/>
              <w:rPr>
                <w:color w:val="000000" w:themeColor="text1"/>
              </w:rPr>
            </w:pPr>
            <w:r>
              <w:rPr>
                <w:color w:val="000000" w:themeColor="text1"/>
              </w:rPr>
              <w:t>750</w:t>
            </w:r>
          </w:p>
        </w:tc>
        <w:tc>
          <w:tcPr>
            <w:tcW w:w="1530" w:type="dxa"/>
            <w:shd w:val="clear" w:color="auto" w:fill="auto"/>
            <w:vAlign w:val="center"/>
          </w:tcPr>
          <w:p w:rsidR="00C5641A" w:rsidP="008E7D24" w14:paraId="4CA5079F" w14:textId="786A87D6">
            <w:pPr>
              <w:pStyle w:val="table-text"/>
              <w:jc w:val="center"/>
              <w:rPr>
                <w:color w:val="000000" w:themeColor="text1"/>
              </w:rPr>
            </w:pPr>
            <w:r w:rsidRPr="77EE5CB5">
              <w:rPr>
                <w:color w:val="000000" w:themeColor="text1"/>
              </w:rPr>
              <w:t>0.0</w:t>
            </w:r>
            <w:r w:rsidR="00884144">
              <w:rPr>
                <w:color w:val="000000" w:themeColor="text1"/>
              </w:rPr>
              <w:t>7</w:t>
            </w:r>
          </w:p>
          <w:p w:rsidR="008C6D7F" w:rsidRPr="00127C20" w:rsidP="008E7D24" w14:paraId="498C99F4" w14:textId="11AAEC9A">
            <w:pPr>
              <w:pStyle w:val="table-text"/>
              <w:jc w:val="center"/>
              <w:rPr>
                <w:color w:val="000000" w:themeColor="text1"/>
              </w:rPr>
            </w:pPr>
            <w:r w:rsidRPr="008C6D7F">
              <w:rPr>
                <w:color w:val="000000" w:themeColor="text1"/>
                <w:sz w:val="18"/>
                <w:szCs w:val="18"/>
              </w:rPr>
              <w:t>(</w:t>
            </w:r>
            <w:r w:rsidR="00385641">
              <w:rPr>
                <w:color w:val="000000" w:themeColor="text1"/>
                <w:sz w:val="18"/>
                <w:szCs w:val="18"/>
              </w:rPr>
              <w:t>4</w:t>
            </w:r>
            <w:r w:rsidRPr="008C6D7F" w:rsidR="00385641">
              <w:rPr>
                <w:color w:val="000000" w:themeColor="text1"/>
                <w:sz w:val="18"/>
                <w:szCs w:val="18"/>
              </w:rPr>
              <w:t xml:space="preserve"> </w:t>
            </w:r>
            <w:r w:rsidRPr="008C6D7F">
              <w:rPr>
                <w:color w:val="000000" w:themeColor="text1"/>
                <w:sz w:val="18"/>
                <w:szCs w:val="18"/>
              </w:rPr>
              <w:t>minutes)</w:t>
            </w:r>
          </w:p>
        </w:tc>
        <w:tc>
          <w:tcPr>
            <w:tcW w:w="1368" w:type="dxa"/>
            <w:shd w:val="clear" w:color="auto" w:fill="auto"/>
            <w:vAlign w:val="center"/>
          </w:tcPr>
          <w:p w:rsidR="00C5641A" w:rsidRPr="00127C20" w:rsidP="008E7D24" w14:paraId="31FB07CC" w14:textId="65437D0D">
            <w:pPr>
              <w:pStyle w:val="table-text"/>
              <w:jc w:val="center"/>
              <w:rPr>
                <w:color w:val="000000" w:themeColor="text1"/>
              </w:rPr>
            </w:pPr>
            <w:r>
              <w:rPr>
                <w:color w:val="000000" w:themeColor="text1"/>
              </w:rPr>
              <w:t>5</w:t>
            </w:r>
            <w:r w:rsidR="00884144">
              <w:rPr>
                <w:color w:val="000000" w:themeColor="text1"/>
              </w:rPr>
              <w:t>3</w:t>
            </w:r>
          </w:p>
        </w:tc>
      </w:tr>
      <w:tr w14:paraId="59C6463A" w14:textId="77777777" w:rsidTr="00A13382">
        <w:tblPrEx>
          <w:tblW w:w="9198" w:type="dxa"/>
          <w:tblLayout w:type="fixed"/>
          <w:tblLook w:val="0000"/>
        </w:tblPrEx>
        <w:trPr>
          <w:trHeight w:hRule="exact" w:val="1203"/>
        </w:trPr>
        <w:tc>
          <w:tcPr>
            <w:tcW w:w="2160" w:type="dxa"/>
            <w:shd w:val="clear" w:color="auto" w:fill="auto"/>
            <w:vAlign w:val="center"/>
          </w:tcPr>
          <w:p w:rsidR="00070D96" w:rsidRPr="00127C20" w:rsidP="008E7D24" w14:paraId="36D1DD50" w14:textId="58D88B79">
            <w:pPr>
              <w:pStyle w:val="table-text"/>
            </w:pPr>
            <w:r>
              <w:t>Youth—</w:t>
            </w:r>
            <w:r w:rsidR="55A1AE53">
              <w:t>Survey</w:t>
            </w:r>
            <w:r w:rsidR="00822753">
              <w:t xml:space="preserve"> </w:t>
            </w:r>
          </w:p>
        </w:tc>
        <w:tc>
          <w:tcPr>
            <w:tcW w:w="1530" w:type="dxa"/>
            <w:shd w:val="clear" w:color="auto" w:fill="auto"/>
            <w:vAlign w:val="center"/>
          </w:tcPr>
          <w:p w:rsidR="00070D96" w:rsidRPr="00127C20" w:rsidP="008E7D24" w14:paraId="2C241783" w14:textId="7E89A3DC">
            <w:pPr>
              <w:pStyle w:val="table-text"/>
              <w:jc w:val="center"/>
              <w:rPr>
                <w:color w:val="000000" w:themeColor="text1"/>
              </w:rPr>
            </w:pPr>
            <w:r>
              <w:rPr>
                <w:color w:val="000000" w:themeColor="text1"/>
              </w:rPr>
              <w:t>400</w:t>
            </w:r>
          </w:p>
        </w:tc>
        <w:tc>
          <w:tcPr>
            <w:tcW w:w="1350" w:type="dxa"/>
            <w:shd w:val="clear" w:color="auto" w:fill="auto"/>
            <w:vAlign w:val="center"/>
          </w:tcPr>
          <w:p w:rsidR="00070D96" w:rsidRPr="00127C20" w:rsidP="008E7D24" w14:paraId="7FA6C112" w14:textId="77777777">
            <w:pPr>
              <w:pStyle w:val="table-text"/>
              <w:jc w:val="center"/>
              <w:rPr>
                <w:color w:val="000000" w:themeColor="text1"/>
              </w:rPr>
            </w:pPr>
            <w:r w:rsidRPr="77EE5CB5">
              <w:rPr>
                <w:color w:val="000000" w:themeColor="text1"/>
              </w:rPr>
              <w:t>1</w:t>
            </w:r>
          </w:p>
        </w:tc>
        <w:tc>
          <w:tcPr>
            <w:tcW w:w="1260" w:type="dxa"/>
            <w:shd w:val="clear" w:color="auto" w:fill="auto"/>
            <w:vAlign w:val="center"/>
          </w:tcPr>
          <w:p w:rsidR="00070D96" w:rsidRPr="00127C20" w:rsidP="008E7D24" w14:paraId="3B49D07E" w14:textId="5ABDA7DA">
            <w:pPr>
              <w:pStyle w:val="table-text"/>
              <w:jc w:val="center"/>
              <w:rPr>
                <w:color w:val="000000" w:themeColor="text1"/>
              </w:rPr>
            </w:pPr>
            <w:r>
              <w:rPr>
                <w:color w:val="000000" w:themeColor="text1"/>
              </w:rPr>
              <w:t>400</w:t>
            </w:r>
          </w:p>
        </w:tc>
        <w:tc>
          <w:tcPr>
            <w:tcW w:w="1530" w:type="dxa"/>
            <w:shd w:val="clear" w:color="auto" w:fill="auto"/>
            <w:vAlign w:val="center"/>
          </w:tcPr>
          <w:p w:rsidR="00070D96" w:rsidP="008E7D24" w14:paraId="36C0B075" w14:textId="0FD24788">
            <w:pPr>
              <w:pStyle w:val="table-text"/>
              <w:jc w:val="center"/>
              <w:rPr>
                <w:color w:val="000000" w:themeColor="text1"/>
              </w:rPr>
            </w:pPr>
            <w:r w:rsidRPr="77EE5CB5">
              <w:rPr>
                <w:color w:val="000000" w:themeColor="text1"/>
              </w:rPr>
              <w:t>0.</w:t>
            </w:r>
            <w:r w:rsidR="009D0C21">
              <w:rPr>
                <w:color w:val="000000" w:themeColor="text1"/>
              </w:rPr>
              <w:t>25</w:t>
            </w:r>
          </w:p>
          <w:p w:rsidR="008C6D7F" w:rsidRPr="00127C20" w:rsidP="008E7D24" w14:paraId="19D03C7B" w14:textId="6BED3DF1">
            <w:pPr>
              <w:pStyle w:val="table-text"/>
              <w:jc w:val="center"/>
              <w:rPr>
                <w:color w:val="000000" w:themeColor="text1"/>
              </w:rPr>
            </w:pPr>
            <w:r w:rsidRPr="008C6D7F">
              <w:rPr>
                <w:color w:val="000000" w:themeColor="text1"/>
                <w:sz w:val="18"/>
                <w:szCs w:val="18"/>
              </w:rPr>
              <w:t>(</w:t>
            </w:r>
            <w:r w:rsidR="00EF673A">
              <w:rPr>
                <w:color w:val="000000" w:themeColor="text1"/>
                <w:sz w:val="18"/>
                <w:szCs w:val="18"/>
              </w:rPr>
              <w:t>15</w:t>
            </w:r>
            <w:r w:rsidRPr="008C6D7F">
              <w:rPr>
                <w:color w:val="000000" w:themeColor="text1"/>
                <w:sz w:val="18"/>
                <w:szCs w:val="18"/>
              </w:rPr>
              <w:t xml:space="preserve"> minutes)</w:t>
            </w:r>
          </w:p>
        </w:tc>
        <w:tc>
          <w:tcPr>
            <w:tcW w:w="1368" w:type="dxa"/>
            <w:shd w:val="clear" w:color="auto" w:fill="auto"/>
            <w:vAlign w:val="center"/>
          </w:tcPr>
          <w:p w:rsidR="00070D96" w:rsidRPr="00127C20" w:rsidP="008E7D24" w14:paraId="64ACF1D4" w14:textId="3427FD2D">
            <w:pPr>
              <w:pStyle w:val="table-text"/>
              <w:jc w:val="center"/>
              <w:rPr>
                <w:color w:val="000000" w:themeColor="text1"/>
              </w:rPr>
            </w:pPr>
            <w:r>
              <w:rPr>
                <w:color w:val="000000" w:themeColor="text1"/>
              </w:rPr>
              <w:t>100</w:t>
            </w:r>
          </w:p>
        </w:tc>
      </w:tr>
      <w:tr w14:paraId="6A0CFF4B" w14:textId="77777777" w:rsidTr="00A13382">
        <w:tblPrEx>
          <w:tblW w:w="9198" w:type="dxa"/>
          <w:tblLayout w:type="fixed"/>
          <w:tblLook w:val="0000"/>
        </w:tblPrEx>
        <w:trPr>
          <w:trHeight w:hRule="exact" w:val="933"/>
        </w:trPr>
        <w:tc>
          <w:tcPr>
            <w:tcW w:w="2160" w:type="dxa"/>
            <w:shd w:val="clear" w:color="auto" w:fill="auto"/>
            <w:vAlign w:val="center"/>
          </w:tcPr>
          <w:p w:rsidR="00884144" w:rsidP="008E7D24" w14:paraId="46362133" w14:textId="748D285E">
            <w:pPr>
              <w:pStyle w:val="table-text"/>
            </w:pPr>
            <w:r>
              <w:t>Young Adult – Recruitment E-mail</w:t>
            </w:r>
          </w:p>
        </w:tc>
        <w:tc>
          <w:tcPr>
            <w:tcW w:w="1530" w:type="dxa"/>
            <w:shd w:val="clear" w:color="auto" w:fill="auto"/>
            <w:vAlign w:val="center"/>
          </w:tcPr>
          <w:p w:rsidR="00884144" w:rsidP="008E7D24" w14:paraId="25A46989" w14:textId="0810D755">
            <w:pPr>
              <w:pStyle w:val="table-text"/>
              <w:jc w:val="center"/>
              <w:rPr>
                <w:color w:val="000000"/>
              </w:rPr>
            </w:pPr>
            <w:r>
              <w:rPr>
                <w:color w:val="000000"/>
              </w:rPr>
              <w:t>4,000</w:t>
            </w:r>
          </w:p>
        </w:tc>
        <w:tc>
          <w:tcPr>
            <w:tcW w:w="1350" w:type="dxa"/>
            <w:shd w:val="clear" w:color="auto" w:fill="auto"/>
            <w:vAlign w:val="center"/>
          </w:tcPr>
          <w:p w:rsidR="00884144" w:rsidRPr="77EE5CB5" w:rsidP="008E7D24" w14:paraId="2F71759A" w14:textId="2A4E9112">
            <w:pPr>
              <w:pStyle w:val="table-text"/>
              <w:jc w:val="center"/>
              <w:rPr>
                <w:color w:val="000000" w:themeColor="text1"/>
              </w:rPr>
            </w:pPr>
            <w:r>
              <w:rPr>
                <w:color w:val="000000" w:themeColor="text1"/>
              </w:rPr>
              <w:t>1</w:t>
            </w:r>
          </w:p>
        </w:tc>
        <w:tc>
          <w:tcPr>
            <w:tcW w:w="1260" w:type="dxa"/>
            <w:shd w:val="clear" w:color="auto" w:fill="auto"/>
            <w:vAlign w:val="center"/>
          </w:tcPr>
          <w:p w:rsidR="00884144" w:rsidP="008E7D24" w14:paraId="2EB95DB4" w14:textId="79BC4059">
            <w:pPr>
              <w:pStyle w:val="table-text"/>
              <w:jc w:val="center"/>
              <w:rPr>
                <w:color w:val="000000"/>
              </w:rPr>
            </w:pPr>
            <w:r>
              <w:rPr>
                <w:color w:val="000000"/>
              </w:rPr>
              <w:t>4,000</w:t>
            </w:r>
          </w:p>
        </w:tc>
        <w:tc>
          <w:tcPr>
            <w:tcW w:w="1530" w:type="dxa"/>
            <w:shd w:val="clear" w:color="auto" w:fill="auto"/>
            <w:vAlign w:val="center"/>
          </w:tcPr>
          <w:p w:rsidR="00884144" w:rsidP="008E7D24" w14:paraId="2CCD8C43" w14:textId="7269A5AB">
            <w:pPr>
              <w:pStyle w:val="table-text"/>
              <w:jc w:val="center"/>
              <w:rPr>
                <w:color w:val="000000" w:themeColor="text1"/>
              </w:rPr>
            </w:pPr>
            <w:r>
              <w:rPr>
                <w:color w:val="000000" w:themeColor="text1"/>
              </w:rPr>
              <w:t>0.017</w:t>
            </w:r>
          </w:p>
          <w:p w:rsidR="00884144" w:rsidRPr="77EE5CB5" w:rsidP="008E7D24" w14:paraId="184C842E" w14:textId="381B3BDC">
            <w:pPr>
              <w:pStyle w:val="table-text"/>
              <w:jc w:val="center"/>
              <w:rPr>
                <w:color w:val="000000" w:themeColor="text1"/>
              </w:rPr>
            </w:pPr>
            <w:r w:rsidRPr="00901C15">
              <w:rPr>
                <w:color w:val="000000" w:themeColor="text1"/>
                <w:sz w:val="18"/>
                <w:szCs w:val="18"/>
              </w:rPr>
              <w:t>(1 minute)</w:t>
            </w:r>
          </w:p>
        </w:tc>
        <w:tc>
          <w:tcPr>
            <w:tcW w:w="1368" w:type="dxa"/>
            <w:shd w:val="clear" w:color="auto" w:fill="auto"/>
            <w:vAlign w:val="center"/>
          </w:tcPr>
          <w:p w:rsidR="00884144" w:rsidP="008E7D24" w14:paraId="4A779E9E" w14:textId="2EDE72C1">
            <w:pPr>
              <w:pStyle w:val="table-text"/>
              <w:jc w:val="center"/>
              <w:rPr>
                <w:color w:val="000000"/>
              </w:rPr>
            </w:pPr>
            <w:r>
              <w:rPr>
                <w:color w:val="000000"/>
              </w:rPr>
              <w:t>68</w:t>
            </w:r>
          </w:p>
        </w:tc>
      </w:tr>
      <w:tr w14:paraId="13795D1A" w14:textId="77777777" w:rsidTr="00A13382">
        <w:tblPrEx>
          <w:tblW w:w="9198" w:type="dxa"/>
          <w:tblLayout w:type="fixed"/>
          <w:tblLook w:val="0000"/>
        </w:tblPrEx>
        <w:trPr>
          <w:trHeight w:hRule="exact" w:val="933"/>
        </w:trPr>
        <w:tc>
          <w:tcPr>
            <w:tcW w:w="2160" w:type="dxa"/>
            <w:shd w:val="clear" w:color="auto" w:fill="auto"/>
            <w:vAlign w:val="center"/>
          </w:tcPr>
          <w:p w:rsidR="00573586" w:rsidRPr="00127C20" w:rsidP="008E7D24" w14:paraId="41730243" w14:textId="28B57B39">
            <w:pPr>
              <w:pStyle w:val="table-text"/>
            </w:pPr>
            <w:r>
              <w:br/>
              <w:t xml:space="preserve">Young </w:t>
            </w:r>
            <w:r w:rsidR="003A5D5C">
              <w:t>Adult</w:t>
            </w:r>
            <w:r w:rsidR="638119E7">
              <w:t>—</w:t>
            </w:r>
            <w:r w:rsidR="003A5D5C">
              <w:t>Screener</w:t>
            </w:r>
          </w:p>
        </w:tc>
        <w:tc>
          <w:tcPr>
            <w:tcW w:w="1530" w:type="dxa"/>
            <w:shd w:val="clear" w:color="auto" w:fill="auto"/>
            <w:vAlign w:val="center"/>
          </w:tcPr>
          <w:p w:rsidR="00573586" w:rsidP="008E7D24" w14:paraId="742AAA8A" w14:textId="6D7FEACC">
            <w:pPr>
              <w:pStyle w:val="table-text"/>
              <w:jc w:val="center"/>
              <w:rPr>
                <w:color w:val="000000"/>
              </w:rPr>
            </w:pPr>
            <w:r>
              <w:rPr>
                <w:color w:val="000000"/>
              </w:rPr>
              <w:t>4,000</w:t>
            </w:r>
          </w:p>
        </w:tc>
        <w:tc>
          <w:tcPr>
            <w:tcW w:w="1350" w:type="dxa"/>
            <w:shd w:val="clear" w:color="auto" w:fill="auto"/>
            <w:vAlign w:val="center"/>
          </w:tcPr>
          <w:p w:rsidR="00573586" w:rsidP="008E7D24" w14:paraId="23DD670C" w14:textId="3034A34A">
            <w:pPr>
              <w:pStyle w:val="table-text"/>
              <w:jc w:val="center"/>
              <w:rPr>
                <w:color w:val="000000"/>
              </w:rPr>
            </w:pPr>
            <w:r w:rsidRPr="77EE5CB5">
              <w:rPr>
                <w:color w:val="000000" w:themeColor="text1"/>
              </w:rPr>
              <w:t>1</w:t>
            </w:r>
          </w:p>
        </w:tc>
        <w:tc>
          <w:tcPr>
            <w:tcW w:w="1260" w:type="dxa"/>
            <w:shd w:val="clear" w:color="auto" w:fill="auto"/>
            <w:vAlign w:val="center"/>
          </w:tcPr>
          <w:p w:rsidR="00573586" w:rsidP="008E7D24" w14:paraId="7FC6F506" w14:textId="3C65390F">
            <w:pPr>
              <w:pStyle w:val="table-text"/>
              <w:jc w:val="center"/>
              <w:rPr>
                <w:color w:val="000000"/>
              </w:rPr>
            </w:pPr>
            <w:r>
              <w:rPr>
                <w:color w:val="000000"/>
              </w:rPr>
              <w:t>4,000</w:t>
            </w:r>
          </w:p>
        </w:tc>
        <w:tc>
          <w:tcPr>
            <w:tcW w:w="1530" w:type="dxa"/>
            <w:shd w:val="clear" w:color="auto" w:fill="auto"/>
            <w:vAlign w:val="center"/>
          </w:tcPr>
          <w:p w:rsidR="00573586" w:rsidP="008E7D24" w14:paraId="6592C57E" w14:textId="60A2FC15">
            <w:pPr>
              <w:pStyle w:val="table-text"/>
              <w:jc w:val="center"/>
              <w:rPr>
                <w:color w:val="000000" w:themeColor="text1"/>
              </w:rPr>
            </w:pPr>
            <w:r w:rsidRPr="77EE5CB5">
              <w:rPr>
                <w:color w:val="000000" w:themeColor="text1"/>
              </w:rPr>
              <w:t>0</w:t>
            </w:r>
            <w:r w:rsidRPr="77EE5CB5" w:rsidR="7EC39779">
              <w:rPr>
                <w:color w:val="000000" w:themeColor="text1"/>
              </w:rPr>
              <w:t>.0</w:t>
            </w:r>
            <w:r w:rsidR="003A5D5C">
              <w:rPr>
                <w:color w:val="000000" w:themeColor="text1"/>
              </w:rPr>
              <w:t>5</w:t>
            </w:r>
          </w:p>
          <w:p w:rsidR="008C6D7F" w:rsidP="008E7D24" w14:paraId="0EB2D3D4" w14:textId="63956A40">
            <w:pPr>
              <w:pStyle w:val="table-text"/>
              <w:jc w:val="center"/>
              <w:rPr>
                <w:color w:val="000000"/>
              </w:rPr>
            </w:pPr>
            <w:r w:rsidRPr="008C6D7F">
              <w:rPr>
                <w:color w:val="000000" w:themeColor="text1"/>
                <w:sz w:val="18"/>
                <w:szCs w:val="18"/>
              </w:rPr>
              <w:t>(</w:t>
            </w:r>
            <w:r w:rsidR="003A5D5C">
              <w:rPr>
                <w:color w:val="000000" w:themeColor="text1"/>
                <w:sz w:val="18"/>
                <w:szCs w:val="18"/>
              </w:rPr>
              <w:t>3</w:t>
            </w:r>
            <w:r w:rsidRPr="008C6D7F">
              <w:rPr>
                <w:color w:val="000000" w:themeColor="text1"/>
                <w:sz w:val="18"/>
                <w:szCs w:val="18"/>
              </w:rPr>
              <w:t xml:space="preserve"> minutes)</w:t>
            </w:r>
          </w:p>
        </w:tc>
        <w:tc>
          <w:tcPr>
            <w:tcW w:w="1368" w:type="dxa"/>
            <w:shd w:val="clear" w:color="auto" w:fill="auto"/>
            <w:vAlign w:val="center"/>
          </w:tcPr>
          <w:p w:rsidR="00573586" w:rsidP="008E7D24" w14:paraId="7D752E2D" w14:textId="0968C5FE">
            <w:pPr>
              <w:pStyle w:val="table-text"/>
              <w:jc w:val="center"/>
              <w:rPr>
                <w:color w:val="000000"/>
              </w:rPr>
            </w:pPr>
            <w:r>
              <w:rPr>
                <w:color w:val="000000"/>
              </w:rPr>
              <w:t>200</w:t>
            </w:r>
          </w:p>
        </w:tc>
      </w:tr>
      <w:tr w14:paraId="5D4726ED" w14:textId="77777777" w:rsidTr="00A13382">
        <w:tblPrEx>
          <w:tblW w:w="9198" w:type="dxa"/>
          <w:tblLayout w:type="fixed"/>
          <w:tblLook w:val="0000"/>
        </w:tblPrEx>
        <w:trPr>
          <w:trHeight w:hRule="exact" w:val="762"/>
        </w:trPr>
        <w:tc>
          <w:tcPr>
            <w:tcW w:w="2160" w:type="dxa"/>
            <w:shd w:val="clear" w:color="auto" w:fill="auto"/>
            <w:vAlign w:val="center"/>
          </w:tcPr>
          <w:p w:rsidR="00DB04FA" w:rsidRPr="00127C20" w:rsidP="008E7D24" w14:paraId="73C100F9" w14:textId="019ED167">
            <w:pPr>
              <w:pStyle w:val="table-text"/>
            </w:pPr>
            <w:r>
              <w:t xml:space="preserve">Young </w:t>
            </w:r>
            <w:r w:rsidR="003A5D5C">
              <w:t>Adult</w:t>
            </w:r>
            <w:r w:rsidR="07650D04">
              <w:t>—</w:t>
            </w:r>
            <w:r w:rsidR="003A5D5C">
              <w:t>Consent</w:t>
            </w:r>
          </w:p>
        </w:tc>
        <w:tc>
          <w:tcPr>
            <w:tcW w:w="1530" w:type="dxa"/>
            <w:shd w:val="clear" w:color="auto" w:fill="auto"/>
            <w:vAlign w:val="center"/>
          </w:tcPr>
          <w:p w:rsidR="00DB04FA" w:rsidP="008E7D24" w14:paraId="4E4F3828" w14:textId="72999E2F">
            <w:pPr>
              <w:pStyle w:val="table-text"/>
              <w:jc w:val="center"/>
              <w:rPr>
                <w:color w:val="000000"/>
              </w:rPr>
            </w:pPr>
            <w:r>
              <w:rPr>
                <w:color w:val="000000"/>
              </w:rPr>
              <w:t>4,000</w:t>
            </w:r>
          </w:p>
        </w:tc>
        <w:tc>
          <w:tcPr>
            <w:tcW w:w="1350" w:type="dxa"/>
            <w:shd w:val="clear" w:color="auto" w:fill="auto"/>
            <w:vAlign w:val="center"/>
          </w:tcPr>
          <w:p w:rsidR="00DB04FA" w:rsidP="008E7D24" w14:paraId="502A3F5B" w14:textId="661188A9">
            <w:pPr>
              <w:pStyle w:val="table-text"/>
              <w:jc w:val="center"/>
              <w:rPr>
                <w:color w:val="000000"/>
              </w:rPr>
            </w:pPr>
            <w:r w:rsidRPr="77EE5CB5">
              <w:rPr>
                <w:color w:val="000000" w:themeColor="text1"/>
              </w:rPr>
              <w:t>1</w:t>
            </w:r>
          </w:p>
        </w:tc>
        <w:tc>
          <w:tcPr>
            <w:tcW w:w="1260" w:type="dxa"/>
            <w:shd w:val="clear" w:color="auto" w:fill="auto"/>
            <w:vAlign w:val="center"/>
          </w:tcPr>
          <w:p w:rsidR="00DB04FA" w:rsidP="008E7D24" w14:paraId="7FCD6451" w14:textId="0B051F3D">
            <w:pPr>
              <w:pStyle w:val="table-text"/>
              <w:jc w:val="center"/>
              <w:rPr>
                <w:color w:val="000000"/>
              </w:rPr>
            </w:pPr>
            <w:r>
              <w:rPr>
                <w:color w:val="000000"/>
              </w:rPr>
              <w:t>4,000</w:t>
            </w:r>
          </w:p>
        </w:tc>
        <w:tc>
          <w:tcPr>
            <w:tcW w:w="1530" w:type="dxa"/>
            <w:shd w:val="clear" w:color="auto" w:fill="auto"/>
            <w:vAlign w:val="center"/>
          </w:tcPr>
          <w:p w:rsidR="00DB04FA" w:rsidP="008E7D24" w14:paraId="48143B57" w14:textId="66D3B8F1">
            <w:pPr>
              <w:pStyle w:val="table-text"/>
              <w:jc w:val="center"/>
              <w:rPr>
                <w:color w:val="000000" w:themeColor="text1"/>
              </w:rPr>
            </w:pPr>
            <w:r w:rsidRPr="77EE5CB5">
              <w:rPr>
                <w:color w:val="000000" w:themeColor="text1"/>
              </w:rPr>
              <w:t>0.0</w:t>
            </w:r>
            <w:r w:rsidR="001A0AE7">
              <w:rPr>
                <w:color w:val="000000" w:themeColor="text1"/>
              </w:rPr>
              <w:t>7</w:t>
            </w:r>
          </w:p>
          <w:p w:rsidR="008C6D7F" w:rsidP="008E7D24" w14:paraId="058E649A" w14:textId="636AD0A9">
            <w:pPr>
              <w:pStyle w:val="table-text"/>
              <w:jc w:val="center"/>
              <w:rPr>
                <w:color w:val="000000"/>
              </w:rPr>
            </w:pPr>
            <w:r w:rsidRPr="008C6D7F">
              <w:rPr>
                <w:color w:val="000000" w:themeColor="text1"/>
                <w:sz w:val="18"/>
                <w:szCs w:val="18"/>
              </w:rPr>
              <w:t>(</w:t>
            </w:r>
            <w:r w:rsidR="00385641">
              <w:rPr>
                <w:color w:val="000000" w:themeColor="text1"/>
                <w:sz w:val="18"/>
                <w:szCs w:val="18"/>
              </w:rPr>
              <w:t>4</w:t>
            </w:r>
            <w:r w:rsidRPr="008C6D7F" w:rsidR="00385641">
              <w:rPr>
                <w:color w:val="000000" w:themeColor="text1"/>
                <w:sz w:val="18"/>
                <w:szCs w:val="18"/>
              </w:rPr>
              <w:t xml:space="preserve"> </w:t>
            </w:r>
            <w:r w:rsidRPr="008C6D7F">
              <w:rPr>
                <w:color w:val="000000" w:themeColor="text1"/>
                <w:sz w:val="18"/>
                <w:szCs w:val="18"/>
              </w:rPr>
              <w:t>minutes)</w:t>
            </w:r>
          </w:p>
        </w:tc>
        <w:tc>
          <w:tcPr>
            <w:tcW w:w="1368" w:type="dxa"/>
            <w:shd w:val="clear" w:color="auto" w:fill="auto"/>
            <w:vAlign w:val="center"/>
          </w:tcPr>
          <w:p w:rsidR="00DB04FA" w:rsidP="008E7D24" w14:paraId="42B60E15" w14:textId="13D3DECE">
            <w:pPr>
              <w:pStyle w:val="table-text"/>
              <w:jc w:val="center"/>
              <w:rPr>
                <w:color w:val="000000"/>
              </w:rPr>
            </w:pPr>
            <w:r>
              <w:rPr>
                <w:color w:val="000000"/>
              </w:rPr>
              <w:t>280</w:t>
            </w:r>
          </w:p>
        </w:tc>
      </w:tr>
      <w:tr w14:paraId="7890C36F" w14:textId="77777777" w:rsidTr="00A13382">
        <w:tblPrEx>
          <w:tblW w:w="9198" w:type="dxa"/>
          <w:tblLayout w:type="fixed"/>
          <w:tblLook w:val="0000"/>
        </w:tblPrEx>
        <w:trPr>
          <w:trHeight w:hRule="exact" w:val="762"/>
        </w:trPr>
        <w:tc>
          <w:tcPr>
            <w:tcW w:w="2160" w:type="dxa"/>
            <w:shd w:val="clear" w:color="auto" w:fill="auto"/>
            <w:vAlign w:val="center"/>
          </w:tcPr>
          <w:p w:rsidR="00070D96" w:rsidRPr="00127C20" w:rsidP="008E7D24" w14:paraId="19ACE14C" w14:textId="20F3C9A6">
            <w:pPr>
              <w:pStyle w:val="table-text"/>
            </w:pPr>
            <w:r>
              <w:t xml:space="preserve">Young </w:t>
            </w:r>
            <w:r w:rsidR="003A5D5C">
              <w:t>Adult</w:t>
            </w:r>
            <w:r>
              <w:t>—</w:t>
            </w:r>
            <w:r w:rsidR="07650D04">
              <w:t>Survey</w:t>
            </w:r>
          </w:p>
        </w:tc>
        <w:tc>
          <w:tcPr>
            <w:tcW w:w="1530" w:type="dxa"/>
            <w:shd w:val="clear" w:color="auto" w:fill="auto"/>
            <w:vAlign w:val="center"/>
          </w:tcPr>
          <w:p w:rsidR="00070D96" w:rsidP="008E7D24" w14:paraId="184BE1A6" w14:textId="75B30F18">
            <w:pPr>
              <w:pStyle w:val="table-text"/>
              <w:jc w:val="center"/>
              <w:rPr>
                <w:color w:val="000000"/>
              </w:rPr>
            </w:pPr>
            <w:r>
              <w:rPr>
                <w:color w:val="000000"/>
              </w:rPr>
              <w:t>2,200</w:t>
            </w:r>
          </w:p>
        </w:tc>
        <w:tc>
          <w:tcPr>
            <w:tcW w:w="1350" w:type="dxa"/>
            <w:shd w:val="clear" w:color="auto" w:fill="auto"/>
            <w:vAlign w:val="center"/>
          </w:tcPr>
          <w:p w:rsidR="00070D96" w:rsidRPr="00127C20" w:rsidP="008E7D24" w14:paraId="321C6A42" w14:textId="23075FFF">
            <w:pPr>
              <w:pStyle w:val="table-text"/>
              <w:jc w:val="center"/>
              <w:rPr>
                <w:color w:val="000000"/>
              </w:rPr>
            </w:pPr>
            <w:r w:rsidRPr="77EE5CB5">
              <w:rPr>
                <w:color w:val="000000" w:themeColor="text1"/>
              </w:rPr>
              <w:t>1</w:t>
            </w:r>
          </w:p>
        </w:tc>
        <w:tc>
          <w:tcPr>
            <w:tcW w:w="1260" w:type="dxa"/>
            <w:shd w:val="clear" w:color="auto" w:fill="auto"/>
            <w:vAlign w:val="center"/>
          </w:tcPr>
          <w:p w:rsidR="00070D96" w:rsidP="008E7D24" w14:paraId="07252E5C" w14:textId="0A55C47F">
            <w:pPr>
              <w:pStyle w:val="table-text"/>
              <w:jc w:val="center"/>
              <w:rPr>
                <w:color w:val="000000"/>
              </w:rPr>
            </w:pPr>
            <w:r>
              <w:rPr>
                <w:color w:val="000000"/>
              </w:rPr>
              <w:t>2,200</w:t>
            </w:r>
          </w:p>
        </w:tc>
        <w:tc>
          <w:tcPr>
            <w:tcW w:w="1530" w:type="dxa"/>
            <w:shd w:val="clear" w:color="auto" w:fill="auto"/>
            <w:vAlign w:val="center"/>
          </w:tcPr>
          <w:p w:rsidR="00070D96" w:rsidP="008E7D24" w14:paraId="6BE4DC45" w14:textId="77777777">
            <w:pPr>
              <w:pStyle w:val="table-text"/>
              <w:jc w:val="center"/>
              <w:rPr>
                <w:color w:val="000000" w:themeColor="text1"/>
              </w:rPr>
            </w:pPr>
            <w:r w:rsidRPr="77EE5CB5">
              <w:rPr>
                <w:color w:val="000000" w:themeColor="text1"/>
              </w:rPr>
              <w:t>0.</w:t>
            </w:r>
            <w:r w:rsidRPr="77EE5CB5" w:rsidR="00E616ED">
              <w:rPr>
                <w:color w:val="000000" w:themeColor="text1"/>
              </w:rPr>
              <w:t>25</w:t>
            </w:r>
          </w:p>
          <w:p w:rsidR="008C6D7F" w:rsidRPr="00127C20" w:rsidP="008E7D24" w14:paraId="387044BB" w14:textId="473DFDAC">
            <w:pPr>
              <w:pStyle w:val="table-text"/>
              <w:jc w:val="center"/>
              <w:rPr>
                <w:color w:val="000000"/>
              </w:rPr>
            </w:pPr>
            <w:r w:rsidRPr="008C6D7F">
              <w:rPr>
                <w:color w:val="000000" w:themeColor="text1"/>
                <w:sz w:val="18"/>
                <w:szCs w:val="18"/>
              </w:rPr>
              <w:t>(</w:t>
            </w:r>
            <w:r w:rsidR="00C51843">
              <w:rPr>
                <w:color w:val="000000" w:themeColor="text1"/>
                <w:sz w:val="18"/>
                <w:szCs w:val="18"/>
              </w:rPr>
              <w:t>15</w:t>
            </w:r>
            <w:r w:rsidRPr="008C6D7F">
              <w:rPr>
                <w:color w:val="000000" w:themeColor="text1"/>
                <w:sz w:val="18"/>
                <w:szCs w:val="18"/>
              </w:rPr>
              <w:t xml:space="preserve"> minutes)</w:t>
            </w:r>
          </w:p>
        </w:tc>
        <w:tc>
          <w:tcPr>
            <w:tcW w:w="1368" w:type="dxa"/>
            <w:shd w:val="clear" w:color="auto" w:fill="auto"/>
            <w:vAlign w:val="center"/>
          </w:tcPr>
          <w:p w:rsidR="00070D96" w:rsidP="008E7D24" w14:paraId="46099472" w14:textId="675DC778">
            <w:pPr>
              <w:pStyle w:val="table-text"/>
              <w:jc w:val="center"/>
              <w:rPr>
                <w:color w:val="000000"/>
              </w:rPr>
            </w:pPr>
            <w:r>
              <w:rPr>
                <w:color w:val="000000"/>
              </w:rPr>
              <w:t>550</w:t>
            </w:r>
          </w:p>
        </w:tc>
      </w:tr>
      <w:tr w14:paraId="249A5986" w14:textId="77777777" w:rsidTr="00A13382">
        <w:tblPrEx>
          <w:tblW w:w="9198" w:type="dxa"/>
          <w:tblLayout w:type="fixed"/>
          <w:tblLook w:val="0000"/>
        </w:tblPrEx>
        <w:trPr>
          <w:trHeight w:hRule="exact" w:val="582"/>
        </w:trPr>
        <w:tc>
          <w:tcPr>
            <w:tcW w:w="7830" w:type="dxa"/>
            <w:gridSpan w:val="5"/>
            <w:shd w:val="clear" w:color="auto" w:fill="auto"/>
            <w:vAlign w:val="center"/>
          </w:tcPr>
          <w:p w:rsidR="007E518B" w:rsidRPr="004E3C59" w:rsidP="008E7D24" w14:paraId="473C22B7" w14:textId="77777777">
            <w:pPr>
              <w:pStyle w:val="table-text"/>
              <w:rPr>
                <w:b/>
                <w:bCs/>
              </w:rPr>
            </w:pPr>
            <w:r w:rsidRPr="77EE5CB5">
              <w:rPr>
                <w:b/>
                <w:bCs/>
              </w:rPr>
              <w:t>Total Burden Hours</w:t>
            </w:r>
          </w:p>
        </w:tc>
        <w:tc>
          <w:tcPr>
            <w:tcW w:w="1368" w:type="dxa"/>
            <w:shd w:val="clear" w:color="auto" w:fill="auto"/>
            <w:vAlign w:val="center"/>
          </w:tcPr>
          <w:p w:rsidR="007E518B" w:rsidRPr="004E3C59" w:rsidP="008E7D24" w14:paraId="690CA171" w14:textId="42173E88">
            <w:pPr>
              <w:pStyle w:val="table-text"/>
              <w:jc w:val="center"/>
              <w:rPr>
                <w:b/>
                <w:bCs/>
              </w:rPr>
            </w:pPr>
            <w:r>
              <w:rPr>
                <w:b/>
                <w:bCs/>
              </w:rPr>
              <w:t>1,339</w:t>
            </w:r>
          </w:p>
        </w:tc>
      </w:tr>
      <w:bookmarkEnd w:id="4"/>
    </w:tbl>
    <w:p w:rsidR="00DC76C7" w:rsidP="008E7D24" w14:paraId="50692B9E" w14:textId="5CCD480B">
      <w:pPr>
        <w:pStyle w:val="table-sourcestd"/>
        <w:spacing w:after="240"/>
        <w:ind w:left="0" w:firstLine="0"/>
      </w:pPr>
    </w:p>
    <w:p w:rsidR="00692D1A" w:rsidRPr="004E3C59" w:rsidP="00901C15" w14:paraId="411BA672" w14:textId="61583611">
      <w:pPr>
        <w:pStyle w:val="BodyText0"/>
      </w:pPr>
      <w:r>
        <w:t xml:space="preserve">Information will be collected through a self-administered, online screener and survey among youth (ages 13-17) and young adults (ages 18-24), with a target of 2,600 completes. Approximately 1,000 parents will review a generic invitation/permission form estimated to take approximately </w:t>
      </w:r>
      <w:r w:rsidR="00884144">
        <w:t>3</w:t>
      </w:r>
      <w:r>
        <w:t xml:space="preserve"> minutes per response, for a total of </w:t>
      </w:r>
      <w:r w:rsidR="00884144">
        <w:t>50</w:t>
      </w:r>
      <w:r>
        <w:t xml:space="preserve"> hours. After receiving parental consent to participate in the study, approximately 750 youth will complete an assent form and screener to determine eligibility for participation in the study, estimated to take approximately 2 and 3 minutes per response, respectively, for a total of </w:t>
      </w:r>
      <w:r w:rsidR="00884144">
        <w:t>91</w:t>
      </w:r>
      <w:r>
        <w:t xml:space="preserve"> hours for assent and screening activities. Approximately 4,000 young adults will </w:t>
      </w:r>
      <w:r w:rsidR="00884144">
        <w:t xml:space="preserve">receive an email invitation (estimated to take 1 minute to review) and </w:t>
      </w:r>
      <w:r>
        <w:t xml:space="preserve">complete the consent form and screener to determine eligibility for participation in the study, estimated to take approximately 2 and 3 minutes, respectively, for a total of </w:t>
      </w:r>
      <w:r w:rsidR="00CF3A2E">
        <w:t>548</w:t>
      </w:r>
      <w:r>
        <w:t xml:space="preserve"> hours for consent and screening activities. We estimate that 400 youth and 2,200 young adults for a total of 2,600 respondents will complete the survey at an average of 15 minutes per response, for a total of 650 hours. This data collection will take place in 2023. The annualized response burden is estimated at 1,</w:t>
      </w:r>
      <w:r w:rsidR="00CF3A2E">
        <w:t>339</w:t>
      </w:r>
      <w:r>
        <w:t xml:space="preserve"> hours. Table 1 provides details about how this estimate was calculated.</w:t>
      </w:r>
    </w:p>
    <w:p w:rsidR="00F5655B" w:rsidP="008E7D24" w14:paraId="32E7AE0D" w14:textId="6181482A">
      <w:pPr>
        <w:pStyle w:val="Heading4"/>
        <w:rPr>
          <w:i/>
          <w:iCs/>
        </w:rPr>
      </w:pPr>
      <w:r>
        <w:t xml:space="preserve">12b. </w:t>
      </w:r>
      <w:r w:rsidRPr="77EE5CB5" w:rsidR="00411D11">
        <w:rPr>
          <w:i/>
          <w:iCs/>
        </w:rPr>
        <w:t>Annualized Cost Burden Estimate</w:t>
      </w:r>
    </w:p>
    <w:p w:rsidR="005C144E" w:rsidP="008E7D24" w14:paraId="0A4DA19B" w14:textId="77777777">
      <w:pPr>
        <w:pStyle w:val="BodyText2"/>
        <w:ind w:firstLine="720"/>
      </w:pPr>
    </w:p>
    <w:p w:rsidR="00F5655B" w:rsidRPr="00FB0074" w:rsidP="00FB0074" w14:paraId="2696762D" w14:textId="3EDFA389">
      <w:pPr>
        <w:rPr>
          <w:rFonts w:eastAsiaTheme="minorHAnsi"/>
          <w:szCs w:val="24"/>
          <w:lang w:eastAsia="en-US"/>
        </w:rPr>
      </w:pPr>
      <w:r>
        <w:t>To estimate the annualized cost burden, the mean hourly wage of $7.25 was used for youth and $</w:t>
      </w:r>
      <w:r w:rsidR="00FB0074">
        <w:t>28.01</w:t>
      </w:r>
      <w:r>
        <w:t xml:space="preserve"> was used for parents</w:t>
      </w:r>
      <w:r w:rsidR="00D9391C">
        <w:t xml:space="preserve"> and adult </w:t>
      </w:r>
      <w:r w:rsidR="002761A5">
        <w:t>participant</w:t>
      </w:r>
      <w:r w:rsidR="00D9391C">
        <w:t>s</w:t>
      </w:r>
      <w:r>
        <w:t xml:space="preserve">. </w:t>
      </w:r>
      <w:r w:rsidRPr="00FB0074" w:rsidR="00FB0074">
        <w:t>The youth price represents the minimum wage, and the young adult costs represent the mean hourly wage for other occupation earnings from the U.S. Department of Labor Bureau of Labor Statistics (May 2021 data)</w:t>
      </w:r>
      <w:r>
        <w:t xml:space="preserve">. There are no direct costs to respondents associated with </w:t>
      </w:r>
      <w:r w:rsidR="002761A5">
        <w:t>participation</w:t>
      </w:r>
      <w:r>
        <w:t xml:space="preserve"> in this information collection. Thus, </w:t>
      </w:r>
      <w:r>
        <w:t>assuming an average hourly wage of $7.25 and $</w:t>
      </w:r>
      <w:r w:rsidR="00FB0074">
        <w:t>28.01</w:t>
      </w:r>
      <w:r>
        <w:t xml:space="preserve"> (youth and </w:t>
      </w:r>
      <w:r w:rsidR="00D9391C">
        <w:t>adult</w:t>
      </w:r>
      <w:r>
        <w:t>),</w:t>
      </w:r>
      <w:r w:rsidR="00FB0074">
        <w:rPr>
          <w:rFonts w:eastAsia="Times New Roman"/>
        </w:rPr>
        <w:t xml:space="preserve"> and doubling this to account for benefits and overhead, yielding an hourly wage rate of $14.50 for youth and $56.02 for young adults, the estimated one-time cost to </w:t>
      </w:r>
      <w:r w:rsidR="002761A5">
        <w:rPr>
          <w:rFonts w:eastAsia="Times New Roman"/>
        </w:rPr>
        <w:t>participant</w:t>
      </w:r>
      <w:r w:rsidR="00FB0074">
        <w:rPr>
          <w:rFonts w:eastAsia="Times New Roman"/>
        </w:rPr>
        <w:t>s is $</w:t>
      </w:r>
      <w:r w:rsidR="00FB0074">
        <w:rPr>
          <w:szCs w:val="24"/>
        </w:rPr>
        <w:t xml:space="preserve"> </w:t>
      </w:r>
      <w:r w:rsidR="00CF3A2E">
        <w:rPr>
          <w:szCs w:val="24"/>
        </w:rPr>
        <w:t>67,080.46</w:t>
      </w:r>
      <w:r w:rsidR="00A92CA3">
        <w:rPr>
          <w:szCs w:val="24"/>
        </w:rPr>
        <w:t xml:space="preserve">. </w:t>
      </w:r>
      <w:r>
        <w:t>The estimated value of respondents’ time for pa</w:t>
      </w:r>
      <w:r w:rsidR="002761A5">
        <w:t>rtici</w:t>
      </w:r>
      <w:r>
        <w:t xml:space="preserve">pating in the information collection is summarized in Table </w:t>
      </w:r>
      <w:r w:rsidR="36D2E54B">
        <w:t>2</w:t>
      </w:r>
      <w:r>
        <w:t>.</w:t>
      </w:r>
    </w:p>
    <w:p w:rsidR="006E53BB" w:rsidRPr="004E3C59" w:rsidP="008E7D24" w14:paraId="6B8284AA" w14:textId="778E7E15">
      <w:pPr>
        <w:pStyle w:val="table-title"/>
      </w:pPr>
      <w:r>
        <w:t>Table 2. Estimated Annualized Cost</w:t>
      </w:r>
    </w:p>
    <w:tbl>
      <w:tblPr>
        <w:tblW w:w="9360" w:type="dxa"/>
        <w:tblBorders>
          <w:top w:val="single" w:sz="12" w:space="0" w:color="000000"/>
          <w:bottom w:val="single" w:sz="12" w:space="0" w:color="000000"/>
          <w:insideH w:val="single" w:sz="6" w:space="0" w:color="000000"/>
        </w:tblBorders>
        <w:tblLayout w:type="fixed"/>
        <w:tblLook w:val="0000"/>
      </w:tblPr>
      <w:tblGrid>
        <w:gridCol w:w="2268"/>
        <w:gridCol w:w="2364"/>
        <w:gridCol w:w="2046"/>
        <w:gridCol w:w="2682"/>
      </w:tblGrid>
      <w:tr w14:paraId="211BFF86" w14:textId="77777777" w:rsidTr="77EE5CB5">
        <w:tblPrEx>
          <w:tblW w:w="9360" w:type="dxa"/>
          <w:tblBorders>
            <w:top w:val="single" w:sz="12" w:space="0" w:color="000000"/>
            <w:bottom w:val="single" w:sz="12" w:space="0" w:color="000000"/>
            <w:insideH w:val="single" w:sz="6" w:space="0" w:color="000000"/>
          </w:tblBorders>
          <w:tblLayout w:type="fixed"/>
          <w:tblLook w:val="0000"/>
        </w:tblPrEx>
        <w:trPr>
          <w:cantSplit/>
        </w:trPr>
        <w:tc>
          <w:tcPr>
            <w:tcW w:w="2268" w:type="dxa"/>
            <w:shd w:val="clear" w:color="auto" w:fill="auto"/>
            <w:vAlign w:val="bottom"/>
          </w:tcPr>
          <w:p w:rsidR="006E53BB" w:rsidRPr="004E3C59" w:rsidP="008E7D24" w14:paraId="09285251" w14:textId="77777777">
            <w:pPr>
              <w:pStyle w:val="table-headers"/>
              <w:spacing w:before="60" w:after="60"/>
            </w:pPr>
            <w:r>
              <w:t>Type of Respondent</w:t>
            </w:r>
          </w:p>
        </w:tc>
        <w:tc>
          <w:tcPr>
            <w:tcW w:w="2364" w:type="dxa"/>
            <w:shd w:val="clear" w:color="auto" w:fill="auto"/>
            <w:vAlign w:val="bottom"/>
          </w:tcPr>
          <w:p w:rsidR="006E53BB" w:rsidRPr="004E3C59" w:rsidP="008E7D24" w14:paraId="6AEA97E8" w14:textId="77777777">
            <w:pPr>
              <w:pStyle w:val="table-headers"/>
              <w:spacing w:before="60" w:after="60"/>
            </w:pPr>
            <w:r>
              <w:t xml:space="preserve">Total </w:t>
            </w:r>
            <w:r w:rsidR="20877373">
              <w:t xml:space="preserve">Burden </w:t>
            </w:r>
            <w:r>
              <w:t>Hours</w:t>
            </w:r>
          </w:p>
        </w:tc>
        <w:tc>
          <w:tcPr>
            <w:tcW w:w="2046" w:type="dxa"/>
            <w:shd w:val="clear" w:color="auto" w:fill="auto"/>
            <w:vAlign w:val="bottom"/>
          </w:tcPr>
          <w:p w:rsidR="006E53BB" w:rsidRPr="004E3C59" w:rsidP="008E7D24" w14:paraId="44D29F1C" w14:textId="77777777">
            <w:pPr>
              <w:pStyle w:val="table-headers"/>
              <w:spacing w:before="60" w:after="60"/>
            </w:pPr>
            <w:r>
              <w:t>Hour</w:t>
            </w:r>
            <w:r w:rsidR="20877373">
              <w:t>ly Wage Rate</w:t>
            </w:r>
          </w:p>
        </w:tc>
        <w:tc>
          <w:tcPr>
            <w:tcW w:w="2682" w:type="dxa"/>
            <w:shd w:val="clear" w:color="auto" w:fill="auto"/>
            <w:vAlign w:val="bottom"/>
          </w:tcPr>
          <w:p w:rsidR="006E53BB" w:rsidRPr="004E3C59" w:rsidP="008E7D24" w14:paraId="5F2ECA83" w14:textId="77777777">
            <w:pPr>
              <w:pStyle w:val="table-headers"/>
              <w:spacing w:before="60" w:after="60"/>
            </w:pPr>
            <w:r>
              <w:t xml:space="preserve">Total </w:t>
            </w:r>
            <w:r w:rsidR="20877373">
              <w:t xml:space="preserve">Respondent </w:t>
            </w:r>
            <w:r>
              <w:t>Cost</w:t>
            </w:r>
            <w:r w:rsidR="20877373">
              <w:t>s</w:t>
            </w:r>
          </w:p>
        </w:tc>
      </w:tr>
      <w:tr w14:paraId="278071E7" w14:textId="77777777" w:rsidTr="77EE5CB5">
        <w:tblPrEx>
          <w:tblW w:w="9360" w:type="dxa"/>
          <w:tblLayout w:type="fixed"/>
          <w:tblLook w:val="0000"/>
        </w:tblPrEx>
        <w:trPr>
          <w:cantSplit/>
        </w:trPr>
        <w:tc>
          <w:tcPr>
            <w:tcW w:w="2268" w:type="dxa"/>
            <w:shd w:val="clear" w:color="auto" w:fill="auto"/>
            <w:vAlign w:val="center"/>
          </w:tcPr>
          <w:p w:rsidR="001B1D88" w:rsidRPr="004E3C59" w:rsidP="008E7D24" w14:paraId="06FC8126" w14:textId="2C3946D5">
            <w:pPr>
              <w:pStyle w:val="table-text"/>
              <w:spacing w:before="60" w:after="60"/>
            </w:pPr>
            <w:r>
              <w:t>Parent</w:t>
            </w:r>
          </w:p>
        </w:tc>
        <w:tc>
          <w:tcPr>
            <w:tcW w:w="2364" w:type="dxa"/>
            <w:shd w:val="clear" w:color="auto" w:fill="auto"/>
            <w:vAlign w:val="center"/>
          </w:tcPr>
          <w:p w:rsidR="001B1D88" w:rsidP="008E7D24" w14:paraId="1FF33492" w14:textId="249196AA">
            <w:pPr>
              <w:pStyle w:val="table-text"/>
              <w:spacing w:before="60" w:after="60"/>
              <w:jc w:val="center"/>
            </w:pPr>
            <w:r>
              <w:t>50</w:t>
            </w:r>
          </w:p>
        </w:tc>
        <w:tc>
          <w:tcPr>
            <w:tcW w:w="2046" w:type="dxa"/>
            <w:shd w:val="clear" w:color="auto" w:fill="auto"/>
            <w:vAlign w:val="center"/>
          </w:tcPr>
          <w:p w:rsidR="001B1D88" w:rsidRPr="004E3C59" w:rsidP="008E7D24" w14:paraId="50348D7E" w14:textId="3015CC35">
            <w:pPr>
              <w:pStyle w:val="table-text"/>
              <w:spacing w:before="60" w:after="60"/>
              <w:jc w:val="center"/>
            </w:pPr>
            <w:r>
              <w:t>$</w:t>
            </w:r>
            <w:r w:rsidR="00A92CA3">
              <w:t>56.02</w:t>
            </w:r>
          </w:p>
        </w:tc>
        <w:tc>
          <w:tcPr>
            <w:tcW w:w="2682" w:type="dxa"/>
            <w:shd w:val="clear" w:color="auto" w:fill="auto"/>
            <w:vAlign w:val="center"/>
          </w:tcPr>
          <w:p w:rsidR="001B1D88" w:rsidRPr="004E3C59" w:rsidP="008E7D24" w14:paraId="0B250D6B" w14:textId="004DADB6">
            <w:pPr>
              <w:pStyle w:val="table-text"/>
              <w:spacing w:before="60" w:after="60"/>
              <w:jc w:val="center"/>
            </w:pPr>
            <w:r>
              <w:t>$</w:t>
            </w:r>
            <w:r w:rsidR="00CF3A2E">
              <w:t>2,801</w:t>
            </w:r>
          </w:p>
        </w:tc>
      </w:tr>
      <w:tr w14:paraId="1749A646" w14:textId="77777777" w:rsidTr="77EE5CB5">
        <w:tblPrEx>
          <w:tblW w:w="9360" w:type="dxa"/>
          <w:tblLayout w:type="fixed"/>
          <w:tblLook w:val="0000"/>
        </w:tblPrEx>
        <w:trPr>
          <w:cantSplit/>
        </w:trPr>
        <w:tc>
          <w:tcPr>
            <w:tcW w:w="2268" w:type="dxa"/>
            <w:shd w:val="clear" w:color="auto" w:fill="auto"/>
            <w:vAlign w:val="center"/>
          </w:tcPr>
          <w:p w:rsidR="00A52258" w:rsidRPr="004E3C59" w:rsidP="008E7D24" w14:paraId="4A267BCA" w14:textId="5FC48CD5">
            <w:pPr>
              <w:pStyle w:val="table-text"/>
              <w:spacing w:before="60" w:after="60"/>
            </w:pPr>
            <w:r>
              <w:t>Youth (13</w:t>
            </w:r>
            <w:r w:rsidR="00D81FCD">
              <w:t>–</w:t>
            </w:r>
            <w:r>
              <w:t>17)</w:t>
            </w:r>
          </w:p>
        </w:tc>
        <w:tc>
          <w:tcPr>
            <w:tcW w:w="2364" w:type="dxa"/>
            <w:shd w:val="clear" w:color="auto" w:fill="auto"/>
            <w:vAlign w:val="center"/>
          </w:tcPr>
          <w:p w:rsidR="00A52258" w:rsidRPr="004E3C59" w:rsidP="008E7D24" w14:paraId="4167D27E" w14:textId="3F0DCA34">
            <w:pPr>
              <w:pStyle w:val="table-text"/>
              <w:spacing w:before="60" w:after="60"/>
              <w:jc w:val="center"/>
            </w:pPr>
            <w:r>
              <w:t>191</w:t>
            </w:r>
          </w:p>
        </w:tc>
        <w:tc>
          <w:tcPr>
            <w:tcW w:w="2046" w:type="dxa"/>
            <w:shd w:val="clear" w:color="auto" w:fill="auto"/>
            <w:vAlign w:val="center"/>
          </w:tcPr>
          <w:p w:rsidR="00A52258" w:rsidRPr="004E3C59" w:rsidP="008E7D24" w14:paraId="47030B02" w14:textId="2D2A12C2">
            <w:pPr>
              <w:pStyle w:val="table-text"/>
              <w:spacing w:before="60" w:after="60"/>
              <w:jc w:val="center"/>
            </w:pPr>
            <w:r>
              <w:t>$</w:t>
            </w:r>
            <w:r w:rsidR="00A92CA3">
              <w:t>14.50</w:t>
            </w:r>
          </w:p>
        </w:tc>
        <w:tc>
          <w:tcPr>
            <w:tcW w:w="2682" w:type="dxa"/>
            <w:shd w:val="clear" w:color="auto" w:fill="auto"/>
            <w:vAlign w:val="center"/>
          </w:tcPr>
          <w:p w:rsidR="00A52258" w:rsidRPr="004E3C59" w:rsidP="008E7D24" w14:paraId="5ACA2065" w14:textId="57C99678">
            <w:pPr>
              <w:pStyle w:val="table-text"/>
              <w:spacing w:before="60" w:after="60"/>
              <w:jc w:val="center"/>
            </w:pPr>
            <w:r>
              <w:t>$2,</w:t>
            </w:r>
            <w:r w:rsidR="00666BD4">
              <w:t>769.50</w:t>
            </w:r>
          </w:p>
        </w:tc>
      </w:tr>
      <w:tr w14:paraId="69AFCAAE" w14:textId="77777777" w:rsidTr="77EE5CB5">
        <w:tblPrEx>
          <w:tblW w:w="9360" w:type="dxa"/>
          <w:tblLayout w:type="fixed"/>
          <w:tblLook w:val="0000"/>
        </w:tblPrEx>
        <w:trPr>
          <w:cantSplit/>
        </w:trPr>
        <w:tc>
          <w:tcPr>
            <w:tcW w:w="2268" w:type="dxa"/>
            <w:shd w:val="clear" w:color="auto" w:fill="auto"/>
            <w:vAlign w:val="center"/>
          </w:tcPr>
          <w:p w:rsidR="00D9391C" w:rsidP="008E7D24" w14:paraId="284C2B85" w14:textId="4A62B868">
            <w:pPr>
              <w:pStyle w:val="table-text"/>
              <w:spacing w:before="60" w:after="60"/>
            </w:pPr>
            <w:r>
              <w:t>Young Adults (18-24)</w:t>
            </w:r>
          </w:p>
        </w:tc>
        <w:tc>
          <w:tcPr>
            <w:tcW w:w="2364" w:type="dxa"/>
            <w:shd w:val="clear" w:color="auto" w:fill="auto"/>
            <w:vAlign w:val="center"/>
          </w:tcPr>
          <w:p w:rsidR="00D9391C" w:rsidP="008E7D24" w14:paraId="0D2E5999" w14:textId="6B9E6D21">
            <w:pPr>
              <w:pStyle w:val="table-text"/>
              <w:spacing w:before="60" w:after="60"/>
              <w:jc w:val="center"/>
            </w:pPr>
            <w:r>
              <w:t>1</w:t>
            </w:r>
            <w:r w:rsidR="002A0B73">
              <w:t>,</w:t>
            </w:r>
            <w:r>
              <w:t>0</w:t>
            </w:r>
            <w:r w:rsidR="00CF3A2E">
              <w:t>98</w:t>
            </w:r>
          </w:p>
        </w:tc>
        <w:tc>
          <w:tcPr>
            <w:tcW w:w="2046" w:type="dxa"/>
            <w:shd w:val="clear" w:color="auto" w:fill="auto"/>
            <w:vAlign w:val="center"/>
          </w:tcPr>
          <w:p w:rsidR="00D9391C" w:rsidP="008E7D24" w14:paraId="462FF29C" w14:textId="545FA7FB">
            <w:pPr>
              <w:pStyle w:val="table-text"/>
              <w:spacing w:before="60" w:after="60"/>
              <w:jc w:val="center"/>
            </w:pPr>
            <w:r>
              <w:t>$</w:t>
            </w:r>
            <w:r w:rsidR="00A92CA3">
              <w:t>56.02</w:t>
            </w:r>
          </w:p>
        </w:tc>
        <w:tc>
          <w:tcPr>
            <w:tcW w:w="2682" w:type="dxa"/>
            <w:shd w:val="clear" w:color="auto" w:fill="auto"/>
            <w:vAlign w:val="center"/>
          </w:tcPr>
          <w:p w:rsidR="00D9391C" w:rsidP="008E7D24" w14:paraId="387B3512" w14:textId="37CD8EA3">
            <w:pPr>
              <w:pStyle w:val="table-text"/>
              <w:spacing w:before="60" w:after="60"/>
              <w:jc w:val="center"/>
            </w:pPr>
            <w:r>
              <w:t>$</w:t>
            </w:r>
            <w:r w:rsidR="00CF3A2E">
              <w:t>61,509.96</w:t>
            </w:r>
          </w:p>
        </w:tc>
      </w:tr>
      <w:tr w14:paraId="1392E03C" w14:textId="77777777" w:rsidTr="77EE5CB5">
        <w:tblPrEx>
          <w:tblW w:w="9360" w:type="dxa"/>
          <w:tblLayout w:type="fixed"/>
          <w:tblLook w:val="0000"/>
        </w:tblPrEx>
        <w:trPr>
          <w:cantSplit/>
        </w:trPr>
        <w:tc>
          <w:tcPr>
            <w:tcW w:w="2268" w:type="dxa"/>
            <w:shd w:val="clear" w:color="auto" w:fill="auto"/>
            <w:vAlign w:val="center"/>
          </w:tcPr>
          <w:p w:rsidR="006E53BB" w:rsidRPr="004E3C59" w:rsidP="008E7D24" w14:paraId="77AFB5CE" w14:textId="77777777">
            <w:pPr>
              <w:pStyle w:val="table-text"/>
              <w:spacing w:before="60" w:after="60"/>
              <w:rPr>
                <w:b/>
                <w:bCs/>
              </w:rPr>
            </w:pPr>
            <w:r w:rsidRPr="77EE5CB5">
              <w:rPr>
                <w:b/>
                <w:bCs/>
              </w:rPr>
              <w:t xml:space="preserve">Total </w:t>
            </w:r>
          </w:p>
        </w:tc>
        <w:tc>
          <w:tcPr>
            <w:tcW w:w="2364" w:type="dxa"/>
            <w:shd w:val="clear" w:color="auto" w:fill="auto"/>
            <w:vAlign w:val="center"/>
          </w:tcPr>
          <w:p w:rsidR="006E53BB" w:rsidRPr="00070D96" w:rsidP="008E7D24" w14:paraId="2ADEA3F0" w14:textId="2CF6ABE1">
            <w:pPr>
              <w:pStyle w:val="table-text"/>
              <w:spacing w:before="60" w:after="60"/>
              <w:jc w:val="center"/>
              <w:rPr>
                <w:b/>
                <w:bCs/>
              </w:rPr>
            </w:pPr>
            <w:r>
              <w:rPr>
                <w:b/>
                <w:bCs/>
              </w:rPr>
              <w:t>1</w:t>
            </w:r>
            <w:r w:rsidR="002A0B73">
              <w:rPr>
                <w:b/>
                <w:bCs/>
              </w:rPr>
              <w:t>,</w:t>
            </w:r>
            <w:r w:rsidR="004130A4">
              <w:rPr>
                <w:b/>
                <w:bCs/>
              </w:rPr>
              <w:t>339</w:t>
            </w:r>
          </w:p>
        </w:tc>
        <w:tc>
          <w:tcPr>
            <w:tcW w:w="2046" w:type="dxa"/>
            <w:shd w:val="clear" w:color="auto" w:fill="auto"/>
            <w:vAlign w:val="center"/>
          </w:tcPr>
          <w:p w:rsidR="006E53BB" w:rsidRPr="00070D96" w:rsidP="008E7D24" w14:paraId="3A43EAA8" w14:textId="77777777">
            <w:pPr>
              <w:pStyle w:val="table-text"/>
              <w:spacing w:before="60" w:after="60"/>
              <w:jc w:val="center"/>
              <w:rPr>
                <w:b/>
                <w:bCs/>
              </w:rPr>
            </w:pPr>
          </w:p>
        </w:tc>
        <w:tc>
          <w:tcPr>
            <w:tcW w:w="2682" w:type="dxa"/>
            <w:shd w:val="clear" w:color="auto" w:fill="auto"/>
            <w:vAlign w:val="center"/>
          </w:tcPr>
          <w:p w:rsidR="006E53BB" w:rsidRPr="00070D96" w:rsidP="00AC2CC1" w14:paraId="5A8DF8E9" w14:textId="0E2CAA70">
            <w:pPr>
              <w:pStyle w:val="table-text"/>
              <w:spacing w:before="60" w:after="60"/>
              <w:jc w:val="center"/>
              <w:rPr>
                <w:b/>
                <w:bCs/>
              </w:rPr>
            </w:pPr>
            <w:r>
              <w:rPr>
                <w:b/>
                <w:bCs/>
              </w:rPr>
              <w:fldChar w:fldCharType="begin"/>
            </w:r>
            <w:r>
              <w:rPr>
                <w:b/>
                <w:bCs/>
              </w:rPr>
              <w:instrText xml:space="preserve"> =SUM(ABOVE) </w:instrText>
            </w:r>
            <w:r>
              <w:rPr>
                <w:b/>
                <w:bCs/>
              </w:rPr>
              <w:fldChar w:fldCharType="separate"/>
            </w:r>
            <w:r>
              <w:rPr>
                <w:b/>
                <w:bCs/>
                <w:noProof/>
              </w:rPr>
              <w:t>$</w:t>
            </w:r>
            <w:r w:rsidR="00CF3A2E">
              <w:rPr>
                <w:b/>
                <w:bCs/>
                <w:noProof/>
              </w:rPr>
              <w:t>67,080.46</w:t>
            </w:r>
            <w:r>
              <w:rPr>
                <w:b/>
                <w:bCs/>
              </w:rPr>
              <w:fldChar w:fldCharType="end"/>
            </w:r>
          </w:p>
        </w:tc>
      </w:tr>
    </w:tbl>
    <w:p w:rsidR="004C7D81" w:rsidRPr="004E3C59" w:rsidP="008E7D24" w14:paraId="172FE4C5" w14:textId="77777777">
      <w:pPr>
        <w:pStyle w:val="Heading3"/>
        <w:spacing w:before="240" w:beforeAutospacing="0" w:after="240" w:afterAutospacing="0"/>
      </w:pPr>
      <w:r>
        <w:t>Estimates of Other Total Annual Cost</w:t>
      </w:r>
      <w:r w:rsidR="007C75B1">
        <w:t>s</w:t>
      </w:r>
      <w:r>
        <w:t xml:space="preserve"> to Respondents and</w:t>
      </w:r>
      <w:r w:rsidR="00350523">
        <w:t>/or Recordkeepers/Capital Costs</w:t>
      </w:r>
    </w:p>
    <w:p w:rsidR="004C7D81" w:rsidRPr="004E3C59" w:rsidP="008E7D24" w14:paraId="2368142A" w14:textId="77777777">
      <w:pPr>
        <w:pStyle w:val="BodyText0"/>
        <w:rPr>
          <w:u w:val="single"/>
        </w:rPr>
      </w:pPr>
      <w:r>
        <w:t>N</w:t>
      </w:r>
      <w:r>
        <w:t>o capital, start-up, operating</w:t>
      </w:r>
      <w:r w:rsidR="00D81FCD">
        <w:t>,</w:t>
      </w:r>
      <w:r>
        <w:t xml:space="preserve"> or maintenance costs </w:t>
      </w:r>
      <w:r>
        <w:t xml:space="preserve">are </w:t>
      </w:r>
      <w:r>
        <w:t>associated with this information collection</w:t>
      </w:r>
      <w:r w:rsidR="00A13B87">
        <w:t>.</w:t>
      </w:r>
    </w:p>
    <w:p w:rsidR="004C6979" w:rsidRPr="00E04F96" w:rsidP="008E7D24" w14:paraId="6ADA4461" w14:textId="77777777">
      <w:pPr>
        <w:pStyle w:val="Heading3"/>
      </w:pPr>
      <w:r>
        <w:t>Annualized Cost to the Federal Government</w:t>
      </w:r>
    </w:p>
    <w:p w:rsidR="00AD4C50" w:rsidRPr="00E04F96" w:rsidP="008E7D24" w14:paraId="527E351F" w14:textId="3BD457DA">
      <w:pPr>
        <w:pStyle w:val="BodyText0"/>
      </w:pPr>
      <w:r>
        <w:t xml:space="preserve">The total estimated cost to the Federal Government for this study is </w:t>
      </w:r>
      <w:r w:rsidRPr="000A76FC">
        <w:t>$</w:t>
      </w:r>
      <w:r w:rsidR="000A76FC">
        <w:t>180,687.20</w:t>
      </w:r>
      <w:r w:rsidR="00022ACA">
        <w:t xml:space="preserve"> </w:t>
      </w:r>
      <w:r>
        <w:t>as shown in Table 3</w:t>
      </w:r>
      <w:r w:rsidR="00F14B27">
        <w:t xml:space="preserve"> below</w:t>
      </w:r>
      <w:r>
        <w:t>.</w:t>
      </w:r>
      <w:r w:rsidR="00360370">
        <w:t xml:space="preserve"> </w:t>
      </w:r>
      <w:r>
        <w:t xml:space="preserve">Contractor </w:t>
      </w:r>
      <w:r w:rsidR="005E2E7D">
        <w:t>costs attributable to</w:t>
      </w:r>
      <w:r w:rsidR="00C625E8">
        <w:t xml:space="preserve"> this information collection </w:t>
      </w:r>
      <w:r>
        <w:t xml:space="preserve">are </w:t>
      </w:r>
      <w:r w:rsidR="00155E41">
        <w:t>$</w:t>
      </w:r>
      <w:r w:rsidR="000A76FC">
        <w:t>149,321</w:t>
      </w:r>
      <w:r>
        <w:t>.</w:t>
      </w:r>
      <w:r w:rsidR="005E2E7D">
        <w:t xml:space="preserve"> </w:t>
      </w:r>
      <w:r>
        <w:t xml:space="preserve">This includes costs to program the </w:t>
      </w:r>
      <w:r w:rsidR="00C625E8">
        <w:t>survey,</w:t>
      </w:r>
      <w:r>
        <w:t xml:space="preserve"> draw the sample, and collect the data. Other contractor activities </w:t>
      </w:r>
      <w:r w:rsidR="00C625E8">
        <w:t xml:space="preserve">outside </w:t>
      </w:r>
      <w:r w:rsidR="009C0A41">
        <w:t xml:space="preserve">this </w:t>
      </w:r>
      <w:r w:rsidR="00C625E8">
        <w:t>data</w:t>
      </w:r>
      <w:r>
        <w:t xml:space="preserve"> collection </w:t>
      </w:r>
      <w:r w:rsidR="009C0A41">
        <w:t xml:space="preserve">estimate </w:t>
      </w:r>
      <w:r>
        <w:t xml:space="preserve">include coordination with FDA to develop the instrument and deliver </w:t>
      </w:r>
      <w:r w:rsidR="00C625E8">
        <w:t xml:space="preserve">the </w:t>
      </w:r>
      <w:r>
        <w:t>final data set</w:t>
      </w:r>
      <w:r w:rsidR="00C625E8">
        <w:t xml:space="preserve"> and repo</w:t>
      </w:r>
      <w:r w:rsidR="002761A5">
        <w:t>rti</w:t>
      </w:r>
      <w:r w:rsidR="009C0A41">
        <w:t>ng deliverables</w:t>
      </w:r>
      <w:r>
        <w:t>.</w:t>
      </w:r>
    </w:p>
    <w:p w:rsidR="005E2E7D" w:rsidRPr="00E04F96" w:rsidP="008E7D24" w14:paraId="4EC8D814" w14:textId="77777777">
      <w:pPr>
        <w:pStyle w:val="table-title"/>
      </w:pPr>
      <w:bookmarkStart w:id="6" w:name="_Toc361824171"/>
      <w:r>
        <w:t>Table 3</w:t>
      </w:r>
      <w:r>
        <w:t>. Itemized Cost to the Federal Government</w:t>
      </w:r>
      <w:bookmarkEnd w:id="6"/>
    </w:p>
    <w:tbl>
      <w:tblPr>
        <w:tblW w:w="9360" w:type="dxa"/>
        <w:tblBorders>
          <w:top w:val="single" w:sz="12" w:space="0" w:color="000000" w:themeColor="text1"/>
          <w:bottom w:val="single" w:sz="12" w:space="0" w:color="000000" w:themeColor="text1"/>
          <w:insideH w:val="single" w:sz="6" w:space="0" w:color="000000" w:themeColor="text1"/>
        </w:tblBorders>
        <w:tblLayout w:type="fixed"/>
        <w:tblCellMar>
          <w:left w:w="115" w:type="dxa"/>
          <w:right w:w="360" w:type="dxa"/>
        </w:tblCellMar>
        <w:tblLook w:val="0000"/>
      </w:tblPr>
      <w:tblGrid>
        <w:gridCol w:w="2815"/>
        <w:gridCol w:w="2181"/>
        <w:gridCol w:w="2182"/>
        <w:gridCol w:w="2182"/>
      </w:tblGrid>
      <w:tr w14:paraId="65C88722" w14:textId="77777777" w:rsidTr="77EE5CB5">
        <w:tblPrEx>
          <w:tblW w:w="9360" w:type="dxa"/>
          <w:tblBorders>
            <w:top w:val="single" w:sz="12" w:space="0" w:color="000000" w:themeColor="text1"/>
            <w:bottom w:val="single" w:sz="12" w:space="0" w:color="000000" w:themeColor="text1"/>
            <w:insideH w:val="single" w:sz="6" w:space="0" w:color="000000" w:themeColor="text1"/>
          </w:tblBorders>
          <w:tblLayout w:type="fixed"/>
          <w:tblCellMar>
            <w:left w:w="115" w:type="dxa"/>
            <w:right w:w="360" w:type="dxa"/>
          </w:tblCellMar>
          <w:tblLook w:val="0000"/>
        </w:tblPrEx>
        <w:tc>
          <w:tcPr>
            <w:tcW w:w="2815" w:type="dxa"/>
            <w:shd w:val="clear" w:color="auto" w:fill="auto"/>
            <w:vAlign w:val="bottom"/>
          </w:tcPr>
          <w:p w:rsidR="00BB1BEF" w:rsidRPr="00E04F96" w:rsidP="008E7D24" w14:paraId="0A164DBD" w14:textId="77777777">
            <w:pPr>
              <w:pStyle w:val="table-headers"/>
              <w:spacing w:before="60" w:after="60"/>
            </w:pPr>
            <w:r>
              <w:t>Government Personnel</w:t>
            </w:r>
          </w:p>
        </w:tc>
        <w:tc>
          <w:tcPr>
            <w:tcW w:w="2181" w:type="dxa"/>
            <w:shd w:val="clear" w:color="auto" w:fill="auto"/>
            <w:vAlign w:val="bottom"/>
          </w:tcPr>
          <w:p w:rsidR="00BB1BEF" w:rsidRPr="00E04F96" w:rsidP="008E7D24" w14:paraId="14B0F04E" w14:textId="77777777">
            <w:pPr>
              <w:pStyle w:val="table-headers"/>
              <w:spacing w:before="60" w:after="60"/>
            </w:pPr>
            <w:r>
              <w:t>Time Commitment</w:t>
            </w:r>
          </w:p>
        </w:tc>
        <w:tc>
          <w:tcPr>
            <w:tcW w:w="2182" w:type="dxa"/>
            <w:shd w:val="clear" w:color="auto" w:fill="auto"/>
            <w:vAlign w:val="bottom"/>
          </w:tcPr>
          <w:p w:rsidR="00BB1BEF" w:rsidRPr="00E04F96" w:rsidP="008E7D24" w14:paraId="62FF8CFE" w14:textId="77777777">
            <w:pPr>
              <w:pStyle w:val="table-headers"/>
              <w:spacing w:before="60" w:after="60"/>
            </w:pPr>
            <w:r>
              <w:t>Average Annual Salary</w:t>
            </w:r>
          </w:p>
        </w:tc>
        <w:tc>
          <w:tcPr>
            <w:tcW w:w="2182" w:type="dxa"/>
            <w:shd w:val="clear" w:color="auto" w:fill="auto"/>
            <w:vAlign w:val="bottom"/>
          </w:tcPr>
          <w:p w:rsidR="00BB1BEF" w:rsidRPr="00E04F96" w:rsidP="008E7D24" w14:paraId="00D0D002" w14:textId="77777777">
            <w:pPr>
              <w:pStyle w:val="table-headers"/>
              <w:spacing w:before="60" w:after="60"/>
            </w:pPr>
            <w:r>
              <w:t>Total</w:t>
            </w:r>
          </w:p>
        </w:tc>
      </w:tr>
      <w:tr w14:paraId="598DF47D" w14:textId="77777777" w:rsidTr="77EE5CB5">
        <w:tblPrEx>
          <w:tblW w:w="9360" w:type="dxa"/>
          <w:tblLayout w:type="fixed"/>
          <w:tblCellMar>
            <w:left w:w="115" w:type="dxa"/>
            <w:right w:w="360" w:type="dxa"/>
          </w:tblCellMar>
          <w:tblLook w:val="0000"/>
        </w:tblPrEx>
        <w:tc>
          <w:tcPr>
            <w:tcW w:w="2815" w:type="dxa"/>
            <w:shd w:val="clear" w:color="auto" w:fill="auto"/>
            <w:vAlign w:val="center"/>
          </w:tcPr>
          <w:p w:rsidR="00BB1BEF" w:rsidRPr="00E04F96" w:rsidP="008E7D24" w14:paraId="58F51C36" w14:textId="77777777">
            <w:pPr>
              <w:pStyle w:val="table-text"/>
              <w:spacing w:before="60" w:after="60"/>
            </w:pPr>
            <w:r>
              <w:t>GS-13</w:t>
            </w:r>
          </w:p>
        </w:tc>
        <w:tc>
          <w:tcPr>
            <w:tcW w:w="2181" w:type="dxa"/>
            <w:shd w:val="clear" w:color="auto" w:fill="auto"/>
            <w:vAlign w:val="center"/>
          </w:tcPr>
          <w:p w:rsidR="00BB1BEF" w:rsidRPr="00E04F96" w:rsidP="008E7D24" w14:paraId="4E482865" w14:textId="5574F521">
            <w:pPr>
              <w:pStyle w:val="table-text"/>
              <w:spacing w:before="60" w:after="60"/>
              <w:jc w:val="center"/>
            </w:pPr>
            <w:r>
              <w:t>20</w:t>
            </w:r>
            <w:r w:rsidR="0FD5F210">
              <w:t>%</w:t>
            </w:r>
          </w:p>
        </w:tc>
        <w:tc>
          <w:tcPr>
            <w:tcW w:w="2182" w:type="dxa"/>
            <w:shd w:val="clear" w:color="auto" w:fill="auto"/>
            <w:vAlign w:val="center"/>
          </w:tcPr>
          <w:p w:rsidR="00BB1BEF" w:rsidRPr="00E04F96" w:rsidP="008E7D24" w14:paraId="4142904B" w14:textId="3F1C2CC7">
            <w:pPr>
              <w:pStyle w:val="table-text"/>
              <w:spacing w:before="60" w:after="60"/>
              <w:jc w:val="center"/>
            </w:pPr>
            <w:r>
              <w:t>$</w:t>
            </w:r>
            <w:r w:rsidR="74127231">
              <w:t>121,065</w:t>
            </w:r>
          </w:p>
        </w:tc>
        <w:tc>
          <w:tcPr>
            <w:tcW w:w="2182" w:type="dxa"/>
            <w:shd w:val="clear" w:color="auto" w:fill="auto"/>
            <w:vAlign w:val="center"/>
          </w:tcPr>
          <w:p w:rsidR="00BB1BEF" w:rsidRPr="00E04F96" w:rsidP="008E7D24" w14:paraId="31A672C6" w14:textId="36EEB253">
            <w:pPr>
              <w:pStyle w:val="table-text"/>
              <w:spacing w:before="60" w:after="60"/>
              <w:jc w:val="center"/>
            </w:pPr>
            <w:r>
              <w:t>$</w:t>
            </w:r>
            <w:r w:rsidR="25196C99">
              <w:t>24,213</w:t>
            </w:r>
            <w:r w:rsidR="58062F06">
              <w:t>.00</w:t>
            </w:r>
          </w:p>
        </w:tc>
      </w:tr>
      <w:tr w14:paraId="66AC6E0F" w14:textId="77777777" w:rsidTr="77EE5CB5">
        <w:tblPrEx>
          <w:tblW w:w="9360" w:type="dxa"/>
          <w:tblLayout w:type="fixed"/>
          <w:tblCellMar>
            <w:left w:w="115" w:type="dxa"/>
            <w:right w:w="360" w:type="dxa"/>
          </w:tblCellMar>
          <w:tblLook w:val="0000"/>
        </w:tblPrEx>
        <w:tc>
          <w:tcPr>
            <w:tcW w:w="2815" w:type="dxa"/>
            <w:shd w:val="clear" w:color="auto" w:fill="auto"/>
            <w:vAlign w:val="center"/>
          </w:tcPr>
          <w:p w:rsidR="00BB1BEF" w:rsidRPr="00E04F96" w:rsidP="008E7D24" w14:paraId="2A4E8CD0" w14:textId="7E3BE06E">
            <w:pPr>
              <w:pStyle w:val="table-text"/>
              <w:spacing w:before="60" w:after="60"/>
            </w:pPr>
            <w:r>
              <w:t>GS-1</w:t>
            </w:r>
            <w:r w:rsidR="286496E9">
              <w:t>4</w:t>
            </w:r>
          </w:p>
        </w:tc>
        <w:tc>
          <w:tcPr>
            <w:tcW w:w="2181" w:type="dxa"/>
            <w:shd w:val="clear" w:color="auto" w:fill="auto"/>
            <w:vAlign w:val="center"/>
          </w:tcPr>
          <w:p w:rsidR="00BB1BEF" w:rsidRPr="00E04F96" w:rsidP="008E7D24" w14:paraId="227CE2AD" w14:textId="77777777">
            <w:pPr>
              <w:pStyle w:val="table-text"/>
              <w:spacing w:before="60" w:after="60"/>
              <w:jc w:val="center"/>
            </w:pPr>
            <w:r>
              <w:t>5%</w:t>
            </w:r>
          </w:p>
        </w:tc>
        <w:tc>
          <w:tcPr>
            <w:tcW w:w="2182" w:type="dxa"/>
            <w:shd w:val="clear" w:color="auto" w:fill="auto"/>
            <w:vAlign w:val="center"/>
          </w:tcPr>
          <w:p w:rsidR="00BB1BEF" w:rsidRPr="00E04F96" w:rsidP="008E7D24" w14:paraId="2C10DBE5" w14:textId="49868A82">
            <w:pPr>
              <w:pStyle w:val="table-text"/>
              <w:spacing w:before="60" w:after="60"/>
              <w:jc w:val="center"/>
            </w:pPr>
            <w:r>
              <w:t>$1</w:t>
            </w:r>
            <w:r w:rsidR="1EAFD7C4">
              <w:t>4</w:t>
            </w:r>
            <w:r w:rsidR="28A90CA0">
              <w:t>3</w:t>
            </w:r>
            <w:r w:rsidR="6E215C0B">
              <w:t>,</w:t>
            </w:r>
            <w:r w:rsidR="28A90CA0">
              <w:t>064</w:t>
            </w:r>
          </w:p>
        </w:tc>
        <w:tc>
          <w:tcPr>
            <w:tcW w:w="2182" w:type="dxa"/>
            <w:shd w:val="clear" w:color="auto" w:fill="auto"/>
            <w:vAlign w:val="center"/>
          </w:tcPr>
          <w:p w:rsidR="00BB1BEF" w:rsidRPr="00E04F96" w:rsidP="008E7D24" w14:paraId="1DD099E3" w14:textId="497C89A6">
            <w:pPr>
              <w:pStyle w:val="table-text"/>
              <w:spacing w:before="60" w:after="60"/>
              <w:jc w:val="center"/>
            </w:pPr>
            <w:r>
              <w:t>$</w:t>
            </w:r>
            <w:r w:rsidR="37E8B01E">
              <w:t>7,</w:t>
            </w:r>
            <w:r w:rsidR="1B867C88">
              <w:t>153.20</w:t>
            </w:r>
          </w:p>
        </w:tc>
      </w:tr>
      <w:tr w14:paraId="72C8D93A" w14:textId="77777777" w:rsidTr="77EE5CB5">
        <w:tblPrEx>
          <w:tblW w:w="9360" w:type="dxa"/>
          <w:tblLayout w:type="fixed"/>
          <w:tblCellMar>
            <w:left w:w="115" w:type="dxa"/>
            <w:right w:w="360" w:type="dxa"/>
          </w:tblCellMar>
          <w:tblLook w:val="0000"/>
        </w:tblPrEx>
        <w:tc>
          <w:tcPr>
            <w:tcW w:w="2815" w:type="dxa"/>
            <w:shd w:val="clear" w:color="auto" w:fill="auto"/>
            <w:vAlign w:val="center"/>
          </w:tcPr>
          <w:p w:rsidR="00BB1BEF" w:rsidRPr="00E04F96" w:rsidP="008E7D24" w14:paraId="00071211" w14:textId="77777777">
            <w:pPr>
              <w:pStyle w:val="table-text"/>
              <w:spacing w:before="60" w:after="60"/>
            </w:pPr>
            <w:r>
              <w:t>Total Salary Costs</w:t>
            </w:r>
          </w:p>
        </w:tc>
        <w:tc>
          <w:tcPr>
            <w:tcW w:w="2181" w:type="dxa"/>
            <w:shd w:val="clear" w:color="auto" w:fill="auto"/>
            <w:vAlign w:val="center"/>
          </w:tcPr>
          <w:p w:rsidR="00BB1BEF" w:rsidRPr="00E04F96" w:rsidP="008E7D24" w14:paraId="2A4CB6C5" w14:textId="77777777">
            <w:pPr>
              <w:pStyle w:val="table-text"/>
              <w:spacing w:before="60" w:after="60"/>
              <w:jc w:val="center"/>
            </w:pPr>
          </w:p>
        </w:tc>
        <w:tc>
          <w:tcPr>
            <w:tcW w:w="2182" w:type="dxa"/>
            <w:shd w:val="clear" w:color="auto" w:fill="auto"/>
            <w:vAlign w:val="center"/>
          </w:tcPr>
          <w:p w:rsidR="00BB1BEF" w:rsidRPr="00E04F96" w:rsidP="008E7D24" w14:paraId="5C0C7DEE" w14:textId="77777777">
            <w:pPr>
              <w:pStyle w:val="table-text"/>
              <w:spacing w:before="60" w:after="60"/>
              <w:jc w:val="center"/>
            </w:pPr>
          </w:p>
        </w:tc>
        <w:tc>
          <w:tcPr>
            <w:tcW w:w="2182" w:type="dxa"/>
            <w:shd w:val="clear" w:color="auto" w:fill="auto"/>
            <w:vAlign w:val="center"/>
          </w:tcPr>
          <w:p w:rsidR="00BB1BEF" w:rsidRPr="00E04F96" w:rsidP="008E7D24" w14:paraId="6647FD2F" w14:textId="2240AA2F">
            <w:pPr>
              <w:pStyle w:val="table-text"/>
              <w:spacing w:before="60" w:after="60"/>
              <w:jc w:val="center"/>
            </w:pPr>
            <w:r>
              <w:t>$</w:t>
            </w:r>
            <w:r w:rsidR="58062F06">
              <w:t>31</w:t>
            </w:r>
            <w:r w:rsidR="000A76FC">
              <w:t>,</w:t>
            </w:r>
            <w:r w:rsidR="58062F06">
              <w:t>366.20</w:t>
            </w:r>
          </w:p>
        </w:tc>
      </w:tr>
      <w:tr w14:paraId="2F2435B7" w14:textId="77777777" w:rsidTr="77EE5CB5">
        <w:tblPrEx>
          <w:tblW w:w="9360" w:type="dxa"/>
          <w:tblLayout w:type="fixed"/>
          <w:tblCellMar>
            <w:left w:w="115" w:type="dxa"/>
            <w:right w:w="360" w:type="dxa"/>
          </w:tblCellMar>
          <w:tblLook w:val="0000"/>
        </w:tblPrEx>
        <w:tc>
          <w:tcPr>
            <w:tcW w:w="2815" w:type="dxa"/>
            <w:shd w:val="clear" w:color="auto" w:fill="auto"/>
            <w:vAlign w:val="center"/>
          </w:tcPr>
          <w:p w:rsidR="00BB1BEF" w:rsidRPr="00E04F96" w:rsidP="008E7D24" w14:paraId="1E426827" w14:textId="77777777">
            <w:pPr>
              <w:pStyle w:val="table-text"/>
              <w:spacing w:before="60" w:after="60"/>
            </w:pPr>
            <w:r>
              <w:t>Contractor Costs</w:t>
            </w:r>
          </w:p>
        </w:tc>
        <w:tc>
          <w:tcPr>
            <w:tcW w:w="2181" w:type="dxa"/>
            <w:shd w:val="clear" w:color="auto" w:fill="auto"/>
            <w:vAlign w:val="center"/>
          </w:tcPr>
          <w:p w:rsidR="00BB1BEF" w:rsidRPr="00E04F96" w:rsidP="008E7D24" w14:paraId="74A2712A" w14:textId="77777777">
            <w:pPr>
              <w:pStyle w:val="table-text"/>
              <w:spacing w:before="60" w:after="60"/>
              <w:jc w:val="center"/>
            </w:pPr>
          </w:p>
        </w:tc>
        <w:tc>
          <w:tcPr>
            <w:tcW w:w="2182" w:type="dxa"/>
            <w:shd w:val="clear" w:color="auto" w:fill="auto"/>
            <w:vAlign w:val="center"/>
          </w:tcPr>
          <w:p w:rsidR="00BB1BEF" w:rsidRPr="00E04F96" w:rsidP="008E7D24" w14:paraId="16DC3FA9" w14:textId="77777777">
            <w:pPr>
              <w:pStyle w:val="table-text"/>
              <w:spacing w:before="60" w:after="60"/>
              <w:jc w:val="center"/>
            </w:pPr>
          </w:p>
        </w:tc>
        <w:tc>
          <w:tcPr>
            <w:tcW w:w="2182" w:type="dxa"/>
            <w:shd w:val="clear" w:color="auto" w:fill="auto"/>
            <w:vAlign w:val="center"/>
          </w:tcPr>
          <w:p w:rsidR="00BB1BEF" w:rsidRPr="00E04F96" w:rsidP="008E7D24" w14:paraId="1A830359" w14:textId="690E3657">
            <w:pPr>
              <w:pStyle w:val="table-text"/>
              <w:spacing w:before="60" w:after="60"/>
              <w:jc w:val="center"/>
            </w:pPr>
            <w:r w:rsidRPr="000A76FC">
              <w:t>$</w:t>
            </w:r>
            <w:r w:rsidRPr="000A76FC" w:rsidR="000A76FC">
              <w:t>149</w:t>
            </w:r>
            <w:r w:rsidR="000A76FC">
              <w:t>,321.00</w:t>
            </w:r>
          </w:p>
        </w:tc>
      </w:tr>
      <w:tr w14:paraId="4D0B438A" w14:textId="77777777" w:rsidTr="77EE5CB5">
        <w:tblPrEx>
          <w:tblW w:w="9360" w:type="dxa"/>
          <w:tblLayout w:type="fixed"/>
          <w:tblCellMar>
            <w:left w:w="115" w:type="dxa"/>
            <w:right w:w="360" w:type="dxa"/>
          </w:tblCellMar>
          <w:tblLook w:val="0000"/>
        </w:tblPrEx>
        <w:tc>
          <w:tcPr>
            <w:tcW w:w="2815" w:type="dxa"/>
            <w:shd w:val="clear" w:color="auto" w:fill="auto"/>
            <w:vAlign w:val="center"/>
          </w:tcPr>
          <w:p w:rsidR="00BB1BEF" w:rsidRPr="00E04F96" w:rsidP="008E7D24" w14:paraId="1B2D72CB" w14:textId="77777777">
            <w:pPr>
              <w:pStyle w:val="table-text"/>
              <w:spacing w:before="60" w:after="60"/>
              <w:rPr>
                <w:b/>
                <w:bCs/>
              </w:rPr>
            </w:pPr>
            <w:r w:rsidRPr="77EE5CB5">
              <w:rPr>
                <w:b/>
                <w:bCs/>
              </w:rPr>
              <w:t xml:space="preserve">Total </w:t>
            </w:r>
          </w:p>
        </w:tc>
        <w:tc>
          <w:tcPr>
            <w:tcW w:w="2181" w:type="dxa"/>
            <w:shd w:val="clear" w:color="auto" w:fill="auto"/>
            <w:vAlign w:val="center"/>
          </w:tcPr>
          <w:p w:rsidR="00BB1BEF" w:rsidRPr="00E04F96" w:rsidP="008E7D24" w14:paraId="399989E6" w14:textId="77777777">
            <w:pPr>
              <w:pStyle w:val="table-text"/>
              <w:spacing w:before="60" w:after="60"/>
              <w:jc w:val="center"/>
              <w:rPr>
                <w:b/>
                <w:bCs/>
              </w:rPr>
            </w:pPr>
          </w:p>
        </w:tc>
        <w:tc>
          <w:tcPr>
            <w:tcW w:w="2182" w:type="dxa"/>
            <w:shd w:val="clear" w:color="auto" w:fill="auto"/>
            <w:vAlign w:val="center"/>
          </w:tcPr>
          <w:p w:rsidR="00BB1BEF" w:rsidRPr="00E04F96" w:rsidP="008E7D24" w14:paraId="524C0037" w14:textId="77777777">
            <w:pPr>
              <w:pStyle w:val="table-text"/>
              <w:spacing w:before="60" w:after="60"/>
              <w:jc w:val="center"/>
              <w:rPr>
                <w:b/>
                <w:bCs/>
              </w:rPr>
            </w:pPr>
          </w:p>
        </w:tc>
        <w:tc>
          <w:tcPr>
            <w:tcW w:w="2182" w:type="dxa"/>
            <w:shd w:val="clear" w:color="auto" w:fill="auto"/>
            <w:vAlign w:val="center"/>
          </w:tcPr>
          <w:p w:rsidR="00BB1BEF" w:rsidRPr="00E04F96" w:rsidP="008E7D24" w14:paraId="48B118A5" w14:textId="200894C4">
            <w:pPr>
              <w:pStyle w:val="table-text"/>
              <w:spacing w:before="60" w:after="60"/>
              <w:jc w:val="center"/>
              <w:rPr>
                <w:b/>
                <w:bCs/>
              </w:rPr>
            </w:pPr>
            <w:r w:rsidRPr="77EE5CB5">
              <w:rPr>
                <w:b/>
                <w:bCs/>
              </w:rPr>
              <w:t>$</w:t>
            </w:r>
            <w:r w:rsidR="000A76FC">
              <w:rPr>
                <w:b/>
                <w:bCs/>
              </w:rPr>
              <w:t>180,687.20</w:t>
            </w:r>
          </w:p>
        </w:tc>
      </w:tr>
    </w:tbl>
    <w:p w:rsidR="00094500" w:rsidRPr="000A6CE6" w:rsidP="008E7D24" w14:paraId="3A9C34EF" w14:textId="77777777">
      <w:pPr>
        <w:pStyle w:val="Heading3"/>
      </w:pPr>
      <w:r>
        <w:t>Explanation for Program Changes or Adjustments</w:t>
      </w:r>
    </w:p>
    <w:p w:rsidR="004C7D81" w:rsidRPr="00AD4C50" w:rsidP="008E7D24" w14:paraId="15A78034" w14:textId="3A5119A5">
      <w:pPr>
        <w:pStyle w:val="BodyText0"/>
      </w:pPr>
      <w:r>
        <w:t xml:space="preserve">This is a new </w:t>
      </w:r>
      <w:r w:rsidR="00901C15">
        <w:t xml:space="preserve">individual generic </w:t>
      </w:r>
      <w:r>
        <w:t>data collection.</w:t>
      </w:r>
    </w:p>
    <w:p w:rsidR="004C6979" w:rsidRPr="000A6CE6" w:rsidP="008E7D24" w14:paraId="55EE1A63" w14:textId="77777777">
      <w:pPr>
        <w:pStyle w:val="Heading3"/>
      </w:pPr>
      <w:r>
        <w:t>Plans for Tabulation and Publication and Project Time Schedule</w:t>
      </w:r>
    </w:p>
    <w:p w:rsidR="00AD4C50" w:rsidP="008E7D24" w14:paraId="2A773D74" w14:textId="77777777">
      <w:pPr>
        <w:pStyle w:val="BodyText0"/>
      </w:pPr>
      <w:r>
        <w:t xml:space="preserve">The project schedule is shown in Table 4. </w:t>
      </w:r>
      <w:r w:rsidR="007D70A6">
        <w:t xml:space="preserve">Future development </w:t>
      </w:r>
      <w:r w:rsidRPr="77EE5CB5" w:rsidR="007D70A6">
        <w:rPr>
          <w:color w:val="000000" w:themeColor="text1"/>
        </w:rPr>
        <w:t>and</w:t>
      </w:r>
      <w:r w:rsidR="007D70A6">
        <w:t xml:space="preserve"> research activities are dependent on the timely completion of the present study.</w:t>
      </w:r>
    </w:p>
    <w:p w:rsidR="005E2E7D" w:rsidRPr="00880FF9" w:rsidP="008E7D24" w14:paraId="3B7D5DCA" w14:textId="77777777">
      <w:pPr>
        <w:pStyle w:val="table-title"/>
      </w:pPr>
      <w:bookmarkStart w:id="7" w:name="_Toc66689102"/>
      <w:bookmarkStart w:id="8" w:name="_Toc140476560"/>
      <w:bookmarkStart w:id="9" w:name="_Toc216595340"/>
      <w:bookmarkStart w:id="10" w:name="_Toc361824172"/>
      <w:r>
        <w:t>Table 4</w:t>
      </w:r>
      <w:r>
        <w:t>.</w:t>
      </w:r>
      <w:bookmarkEnd w:id="7"/>
      <w:bookmarkEnd w:id="8"/>
      <w:bookmarkEnd w:id="9"/>
      <w:r>
        <w:t xml:space="preserve"> Project Schedule</w:t>
      </w:r>
      <w:bookmarkEnd w:id="10"/>
    </w:p>
    <w:tbl>
      <w:tblPr>
        <w:tblW w:w="6480" w:type="dxa"/>
        <w:tblInd w:w="1530" w:type="dxa"/>
        <w:tblBorders>
          <w:top w:val="single" w:sz="12" w:space="0" w:color="000000"/>
          <w:bottom w:val="single" w:sz="12" w:space="0" w:color="000000"/>
          <w:insideH w:val="single" w:sz="6" w:space="0" w:color="000000"/>
        </w:tblBorders>
        <w:tblLayout w:type="fixed"/>
        <w:tblLook w:val="0000"/>
      </w:tblPr>
      <w:tblGrid>
        <w:gridCol w:w="3240"/>
        <w:gridCol w:w="3240"/>
      </w:tblGrid>
      <w:tr w14:paraId="4DE3F932" w14:textId="77777777" w:rsidTr="77EE5CB5">
        <w:tblPrEx>
          <w:tblW w:w="6480" w:type="dxa"/>
          <w:tblInd w:w="1530" w:type="dxa"/>
          <w:tblBorders>
            <w:top w:val="single" w:sz="12" w:space="0" w:color="000000"/>
            <w:bottom w:val="single" w:sz="12" w:space="0" w:color="000000"/>
            <w:insideH w:val="single" w:sz="6" w:space="0" w:color="000000"/>
          </w:tblBorders>
          <w:tblLayout w:type="fixed"/>
          <w:tblLook w:val="0000"/>
        </w:tblPrEx>
        <w:trPr>
          <w:trHeight w:val="409"/>
        </w:trPr>
        <w:tc>
          <w:tcPr>
            <w:tcW w:w="3240" w:type="dxa"/>
            <w:shd w:val="clear" w:color="auto" w:fill="auto"/>
            <w:vAlign w:val="bottom"/>
          </w:tcPr>
          <w:p w:rsidR="0009337D" w:rsidRPr="00BB1BEF" w:rsidP="008E7D24" w14:paraId="5383CF45" w14:textId="77777777">
            <w:pPr>
              <w:pStyle w:val="table-headers"/>
            </w:pPr>
            <w:r>
              <w:t>Activity</w:t>
            </w:r>
          </w:p>
        </w:tc>
        <w:tc>
          <w:tcPr>
            <w:tcW w:w="3240" w:type="dxa"/>
          </w:tcPr>
          <w:p w:rsidR="0009337D" w:rsidP="008E7D24" w14:paraId="38C7390A" w14:textId="77777777">
            <w:pPr>
              <w:pStyle w:val="table-headers"/>
            </w:pPr>
            <w:r>
              <w:t>Approximate Date</w:t>
            </w:r>
          </w:p>
        </w:tc>
      </w:tr>
      <w:tr w14:paraId="770C0FEF" w14:textId="77777777" w:rsidTr="77EE5CB5">
        <w:tblPrEx>
          <w:tblW w:w="6480" w:type="dxa"/>
          <w:tblInd w:w="1530" w:type="dxa"/>
          <w:tblLayout w:type="fixed"/>
          <w:tblLook w:val="0000"/>
        </w:tblPrEx>
        <w:trPr>
          <w:cantSplit/>
        </w:trPr>
        <w:tc>
          <w:tcPr>
            <w:tcW w:w="3240" w:type="dxa"/>
            <w:shd w:val="clear" w:color="auto" w:fill="auto"/>
            <w:vAlign w:val="center"/>
          </w:tcPr>
          <w:p w:rsidR="0009337D" w:rsidRPr="00BB1BEF" w:rsidP="008E7D24" w14:paraId="3DDBC55C" w14:textId="77777777">
            <w:pPr>
              <w:pStyle w:val="table-text"/>
            </w:pPr>
            <w:r>
              <w:t xml:space="preserve">Data Collection </w:t>
            </w:r>
          </w:p>
        </w:tc>
        <w:tc>
          <w:tcPr>
            <w:tcW w:w="3240" w:type="dxa"/>
          </w:tcPr>
          <w:p w:rsidR="0009337D" w:rsidP="008E7D24" w14:paraId="36730ED0" w14:textId="62933A0A">
            <w:pPr>
              <w:pStyle w:val="table-text"/>
              <w:jc w:val="center"/>
            </w:pPr>
            <w:r>
              <w:t>July</w:t>
            </w:r>
            <w:r w:rsidR="4DE128C6">
              <w:t xml:space="preserve"> 202</w:t>
            </w:r>
            <w:r w:rsidR="00385641">
              <w:t>3</w:t>
            </w:r>
          </w:p>
        </w:tc>
      </w:tr>
      <w:tr w14:paraId="4BB504F1" w14:textId="77777777" w:rsidTr="77EE5CB5">
        <w:tblPrEx>
          <w:tblW w:w="6480" w:type="dxa"/>
          <w:tblInd w:w="1530" w:type="dxa"/>
          <w:tblLayout w:type="fixed"/>
          <w:tblLook w:val="0000"/>
        </w:tblPrEx>
        <w:trPr>
          <w:cantSplit/>
        </w:trPr>
        <w:tc>
          <w:tcPr>
            <w:tcW w:w="3240" w:type="dxa"/>
            <w:shd w:val="clear" w:color="auto" w:fill="auto"/>
            <w:vAlign w:val="center"/>
          </w:tcPr>
          <w:p w:rsidR="0009337D" w:rsidRPr="00BB1BEF" w:rsidP="008E7D24" w14:paraId="7CE14AE0" w14:textId="559913EB">
            <w:pPr>
              <w:pStyle w:val="table-text"/>
            </w:pPr>
            <w:r>
              <w:t>Draft Repo</w:t>
            </w:r>
            <w:r w:rsidR="002761A5">
              <w:t>rti</w:t>
            </w:r>
            <w:r>
              <w:t xml:space="preserve">ng Deliverables </w:t>
            </w:r>
          </w:p>
        </w:tc>
        <w:tc>
          <w:tcPr>
            <w:tcW w:w="3240" w:type="dxa"/>
          </w:tcPr>
          <w:p w:rsidR="0009337D" w:rsidRPr="00735143" w:rsidP="008E7D24" w14:paraId="78F0DF57" w14:textId="45268A0B">
            <w:pPr>
              <w:pStyle w:val="table-text"/>
              <w:jc w:val="center"/>
            </w:pPr>
            <w:r>
              <w:t xml:space="preserve">August </w:t>
            </w:r>
            <w:r w:rsidR="4DE128C6">
              <w:t>202</w:t>
            </w:r>
            <w:r w:rsidR="00385641">
              <w:t>3</w:t>
            </w:r>
          </w:p>
        </w:tc>
      </w:tr>
      <w:tr w14:paraId="64EFE5FC" w14:textId="77777777" w:rsidTr="77EE5CB5">
        <w:tblPrEx>
          <w:tblW w:w="6480" w:type="dxa"/>
          <w:tblInd w:w="1530" w:type="dxa"/>
          <w:tblLayout w:type="fixed"/>
          <w:tblLook w:val="0000"/>
        </w:tblPrEx>
        <w:trPr>
          <w:cantSplit/>
        </w:trPr>
        <w:tc>
          <w:tcPr>
            <w:tcW w:w="3240" w:type="dxa"/>
            <w:shd w:val="clear" w:color="auto" w:fill="auto"/>
            <w:vAlign w:val="center"/>
          </w:tcPr>
          <w:p w:rsidR="0009337D" w:rsidP="008E7D24" w14:paraId="7A8B6099" w14:textId="296E3069">
            <w:pPr>
              <w:pStyle w:val="table-text"/>
            </w:pPr>
            <w:r>
              <w:t>Final Rep</w:t>
            </w:r>
            <w:r w:rsidR="002761A5">
              <w:t>orti</w:t>
            </w:r>
            <w:r>
              <w:t>ng Deliverables</w:t>
            </w:r>
          </w:p>
        </w:tc>
        <w:tc>
          <w:tcPr>
            <w:tcW w:w="3240" w:type="dxa"/>
          </w:tcPr>
          <w:p w:rsidR="0009337D" w:rsidRPr="00735143" w:rsidP="008E7D24" w14:paraId="7F511718" w14:textId="728A9DDC">
            <w:pPr>
              <w:pStyle w:val="table-text"/>
              <w:jc w:val="center"/>
            </w:pPr>
            <w:r>
              <w:t xml:space="preserve">September </w:t>
            </w:r>
            <w:r w:rsidR="4DE128C6">
              <w:t>202</w:t>
            </w:r>
            <w:r w:rsidR="00385641">
              <w:t>3</w:t>
            </w:r>
          </w:p>
        </w:tc>
      </w:tr>
    </w:tbl>
    <w:p w:rsidR="004C6979" w:rsidRPr="005C5A50" w:rsidP="008E7D24" w14:paraId="373E3D61" w14:textId="77777777">
      <w:pPr>
        <w:pStyle w:val="Heading3"/>
      </w:pPr>
      <w:r>
        <w:t>Reason(s) Display of OMB Expiration Date is Inappropriate</w:t>
      </w:r>
    </w:p>
    <w:p w:rsidR="00AD4C50" w:rsidP="008E7D24" w14:paraId="69C58362" w14:textId="77777777">
      <w:pPr>
        <w:pStyle w:val="BodyText0"/>
      </w:pPr>
      <w:r>
        <w:t>FDA is not requesting an exemption for display of the OMB expiration date and is also not seeking OMB approval to exclude the expiration date for this information collection.</w:t>
      </w:r>
      <w:r w:rsidR="00360370">
        <w:t xml:space="preserve"> </w:t>
      </w:r>
      <w:r>
        <w:t xml:space="preserve">The OMB approval and expiration date will be displayed on </w:t>
      </w:r>
      <w:r w:rsidR="0026792F">
        <w:t>the relevant</w:t>
      </w:r>
      <w:r>
        <w:t xml:space="preserve"> materials associated with the study.</w:t>
      </w:r>
    </w:p>
    <w:p w:rsidR="00EB7538" w:rsidRPr="005C5A50" w:rsidP="008E7D24" w14:paraId="594E3BF0" w14:textId="4F894D93">
      <w:pPr>
        <w:pStyle w:val="Heading3"/>
      </w:pPr>
      <w:r>
        <w:t>Exceptions to Ce</w:t>
      </w:r>
      <w:r w:rsidR="002761A5">
        <w:t>rtification</w:t>
      </w:r>
      <w:r>
        <w:t xml:space="preserve"> for Paperwork Reduction Act Submissions</w:t>
      </w:r>
    </w:p>
    <w:p w:rsidR="004C7D81" w:rsidRPr="004C7D81" w:rsidP="008E7D24" w14:paraId="295E5143" w14:textId="77D4795B">
      <w:pPr>
        <w:pStyle w:val="BodyText0"/>
      </w:pPr>
      <w:r>
        <w:t>There are no exceptions to the c</w:t>
      </w:r>
      <w:r w:rsidR="002761A5">
        <w:t>ertification</w:t>
      </w:r>
      <w:r>
        <w:t>.</w:t>
      </w:r>
    </w:p>
    <w:sectPr w:rsidSect="00EB7538">
      <w:footerReference w:type="even" r:id="rId15"/>
      <w:footerReference w:type="default" r:id="rId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3D53" w:rsidP="003F3DF5" w14:paraId="00D5028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43D53" w14:paraId="06CF1F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86831528"/>
      <w:docPartObj>
        <w:docPartGallery w:val="Page Numbers (Bottom of Page)"/>
        <w:docPartUnique/>
      </w:docPartObj>
    </w:sdtPr>
    <w:sdtEndPr>
      <w:rPr>
        <w:noProof/>
      </w:rPr>
    </w:sdtEndPr>
    <w:sdtContent>
      <w:p w:rsidR="00E616ED" w:rsidP="008E7D24" w14:paraId="29A5FD5A" w14:textId="2AB7AE97">
        <w:pPr>
          <w:pStyle w:val="Footer"/>
          <w:numPr>
            <w:ilvl w:val="0"/>
            <w:numId w:val="0"/>
          </w:numPr>
          <w:ind w:left="288"/>
        </w:pPr>
        <w:r>
          <w:fldChar w:fldCharType="begin"/>
        </w:r>
        <w:r>
          <w:instrText xml:space="preserve"> PAGE   \* MERGEFORMAT </w:instrText>
        </w:r>
        <w:r>
          <w:fldChar w:fldCharType="separate"/>
        </w:r>
        <w:r w:rsidR="001149AC">
          <w:rPr>
            <w:noProof/>
          </w:rPr>
          <w:t>10</w:t>
        </w:r>
        <w:r>
          <w:rPr>
            <w:noProof/>
          </w:rPr>
          <w:fldChar w:fldCharType="end"/>
        </w:r>
      </w:p>
    </w:sdtContent>
  </w:sdt>
  <w:p w:rsidR="00C43D53" w:rsidP="00850940" w14:paraId="333E8A49" w14:textId="77777777">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41704" w14:paraId="26E26F3E" w14:textId="77777777">
      <w:r>
        <w:separator/>
      </w:r>
    </w:p>
  </w:footnote>
  <w:footnote w:type="continuationSeparator" w:id="1">
    <w:p w:rsidR="00F41704" w14:paraId="3DE9D719" w14:textId="77777777">
      <w:r>
        <w:continuationSeparator/>
      </w:r>
    </w:p>
  </w:footnote>
  <w:footnote w:type="continuationNotice" w:id="2">
    <w:p w:rsidR="00F41704" w14:paraId="10C8AEA6" w14:textId="77777777"/>
  </w:footnote>
  <w:footnote w:id="3">
    <w:p w:rsidR="005533E9" w:rsidRPr="00D60CFD" w:rsidP="005533E9" w14:paraId="51A7C5B5" w14:textId="77777777">
      <w:pPr>
        <w:pStyle w:val="FootnoteText"/>
      </w:pPr>
      <w:r w:rsidRPr="00D60CFD">
        <w:rPr>
          <w:rStyle w:val="FootnoteReference"/>
        </w:rPr>
        <w:footnoteRef/>
      </w:r>
      <w:r w:rsidRPr="00D60CFD">
        <w:t xml:space="preserve"> IQ Solutions Team (2021, April). Hispanic/Latino Youth and Young Adults’ Tobacco Use: Foundational Research. Rockville, MD. Prepared for the U.S. Food and Drug Administration, Center for Tobacco Products.</w:t>
      </w:r>
    </w:p>
  </w:footnote>
  <w:footnote w:id="4">
    <w:p w:rsidR="00B40A68" w14:paraId="24AE57FC" w14:textId="61C823FE">
      <w:pPr>
        <w:pStyle w:val="FootnoteText"/>
      </w:pPr>
      <w:r>
        <w:rPr>
          <w:rStyle w:val="FootnoteReference"/>
        </w:rPr>
        <w:footnoteRef/>
      </w:r>
      <w:r>
        <w:t xml:space="preserve"> </w:t>
      </w:r>
      <w:r w:rsidRPr="00B40A68">
        <w:t xml:space="preserve">Wendler D, Kington R, </w:t>
      </w:r>
      <w:r w:rsidRPr="00B40A68">
        <w:t>Madans</w:t>
      </w:r>
      <w:r w:rsidRPr="00B40A68">
        <w:t xml:space="preserve"> J, Van </w:t>
      </w:r>
      <w:r w:rsidRPr="00B40A68">
        <w:t>Wye</w:t>
      </w:r>
      <w:r w:rsidRPr="00B40A68">
        <w:t xml:space="preserve"> G, Christ-Schmidt H, Pratt LA, Emanuel E. Are racial and ethnic minorities less willing to participate in health research? </w:t>
      </w:r>
      <w:r w:rsidRPr="00B40A68">
        <w:rPr>
          <w:i/>
          <w:iCs/>
        </w:rPr>
        <w:t>PLoS</w:t>
      </w:r>
      <w:r w:rsidRPr="00B40A68">
        <w:rPr>
          <w:i/>
          <w:iCs/>
        </w:rPr>
        <w:t xml:space="preserve"> Medicine. </w:t>
      </w:r>
      <w:r w:rsidRPr="00B40A68">
        <w:t>2006;3:201</w:t>
      </w:r>
      <w:r w:rsidRPr="00B40A68">
        <w:t>–210.</w:t>
      </w:r>
    </w:p>
  </w:footnote>
  <w:footnote w:id="5">
    <w:p w:rsidR="0025563B" w:rsidP="0025563B" w14:paraId="051FDA9A" w14:textId="77777777">
      <w:pPr>
        <w:pStyle w:val="FootnoteText"/>
      </w:pPr>
      <w:r>
        <w:rPr>
          <w:rStyle w:val="FootnoteReference"/>
        </w:rPr>
        <w:footnoteRef/>
      </w:r>
      <w:r>
        <w:t xml:space="preserve"> F</w:t>
      </w:r>
      <w:r w:rsidRPr="0025563B">
        <w:t xml:space="preserve">lores LE, Frontera WR, </w:t>
      </w:r>
      <w:r w:rsidRPr="0025563B">
        <w:t>Andrasik</w:t>
      </w:r>
      <w:r w:rsidRPr="0025563B">
        <w:t xml:space="preserve"> MP, et al. Assessment of the Inclusion of Racial/Ethnic Minority, Female, and Older Individuals in Vaccine Clinical Trials. </w:t>
      </w:r>
      <w:r w:rsidRPr="0025563B">
        <w:rPr>
          <w:i/>
          <w:iCs/>
        </w:rPr>
        <w:t xml:space="preserve">JAMA </w:t>
      </w:r>
      <w:r w:rsidRPr="0025563B">
        <w:rPr>
          <w:i/>
          <w:iCs/>
        </w:rPr>
        <w:t>Netw</w:t>
      </w:r>
      <w:r w:rsidRPr="0025563B">
        <w:rPr>
          <w:i/>
          <w:iCs/>
        </w:rPr>
        <w:t xml:space="preserve"> Open.</w:t>
      </w:r>
      <w:r w:rsidRPr="0025563B">
        <w:t> 2021;4(2</w:t>
      </w:r>
      <w:r w:rsidRPr="0025563B">
        <w:t>):e</w:t>
      </w:r>
      <w:r w:rsidRPr="0025563B">
        <w:t>2037640. doi:10.1001/jamanetworkopen.2020.37640</w:t>
      </w:r>
    </w:p>
    <w:p w:rsidR="0025563B" w:rsidP="0025563B" w14:paraId="79BA1C86" w14:textId="1216B0B8">
      <w:pPr>
        <w:pStyle w:val="FootnoteText"/>
      </w:pPr>
      <w:r>
        <w:t xml:space="preserve">Duma N, Aguilera JV, </w:t>
      </w:r>
      <w:r>
        <w:t>Paludo</w:t>
      </w:r>
      <w:r>
        <w:t xml:space="preserve"> J et al. representation of Minorities and Women in Oncology Clinical Trials: Review of the Past 14 Years. </w:t>
      </w:r>
      <w:r w:rsidRPr="0025563B">
        <w:t>DOI: 10.1200/JOP.2017.025288 </w:t>
      </w:r>
      <w:r w:rsidRPr="0025563B">
        <w:rPr>
          <w:i/>
          <w:iCs/>
        </w:rPr>
        <w:t>Journal of Oncology Practice</w:t>
      </w:r>
      <w:r w:rsidRPr="0025563B">
        <w:t> 14, no. 1 (January 01, 2018) e1-e10.</w:t>
      </w:r>
    </w:p>
    <w:p w:rsidR="0025563B" w:rsidP="0025563B" w14:paraId="0B8637D2" w14:textId="01B02616">
      <w:pPr>
        <w:pStyle w:val="FootnoteText"/>
      </w:pPr>
      <w:r>
        <w:t>FDA</w:t>
      </w:r>
      <w:r w:rsidR="00B40A68">
        <w:t xml:space="preserve">. 2017 Drug Trials Snapshots: Summary Report. </w:t>
      </w:r>
      <w:hyperlink r:id="rId1" w:history="1">
        <w:r w:rsidRPr="00D9344B" w:rsidR="00B40A68">
          <w:rPr>
            <w:rStyle w:val="Hyperlink"/>
          </w:rPr>
          <w:t>https://www.fda.gov/media/112373/download</w:t>
        </w:r>
      </w:hyperlink>
    </w:p>
  </w:footnote>
  <w:footnote w:id="6">
    <w:p w:rsidR="00B40A68" w14:paraId="1BFEB0F8" w14:textId="426BAE22">
      <w:pPr>
        <w:pStyle w:val="FootnoteText"/>
      </w:pPr>
      <w:r>
        <w:rPr>
          <w:rStyle w:val="FootnoteReference"/>
        </w:rPr>
        <w:footnoteRef/>
      </w:r>
      <w:r>
        <w:t xml:space="preserve"> </w:t>
      </w:r>
      <w:r w:rsidRPr="00B40A68">
        <w:t xml:space="preserve">García AA, </w:t>
      </w:r>
      <w:r w:rsidRPr="00B40A68">
        <w:t>Zuñiga</w:t>
      </w:r>
      <w:r w:rsidRPr="00B40A68">
        <w:t xml:space="preserve"> JA, </w:t>
      </w:r>
      <w:r w:rsidRPr="00B40A68">
        <w:t>Lagon</w:t>
      </w:r>
      <w:r w:rsidRPr="00B40A68">
        <w:t xml:space="preserve"> C. </w:t>
      </w:r>
      <w:r w:rsidRPr="00B40A68">
        <w:t>A</w:t>
      </w:r>
      <w:r w:rsidRPr="00B40A68">
        <w:t xml:space="preserve"> Personal Touch: The Most Important Strategy for Recruiting Latino Research Participants. J </w:t>
      </w:r>
      <w:r w:rsidRPr="00B40A68">
        <w:t>Transcult</w:t>
      </w:r>
      <w:r w:rsidRPr="00B40A68">
        <w:t xml:space="preserve"> </w:t>
      </w:r>
      <w:r w:rsidRPr="00B40A68">
        <w:t>Nurs</w:t>
      </w:r>
      <w:r w:rsidRPr="00B40A68">
        <w:t xml:space="preserve">. 2017 Jul;28(4):342-347. </w:t>
      </w:r>
      <w:r w:rsidRPr="00B40A68">
        <w:t>doi</w:t>
      </w:r>
      <w:r w:rsidRPr="00B40A68">
        <w:t xml:space="preserve">: 10.1177/1043659616644958. </w:t>
      </w:r>
      <w:r w:rsidRPr="00B40A68">
        <w:t>Epub</w:t>
      </w:r>
      <w:r w:rsidRPr="00B40A68">
        <w:t xml:space="preserve"> 2016 Apr 25. PMID: 27114390; PMCID: PMC5079844.</w:t>
      </w:r>
    </w:p>
  </w:footnote>
  <w:footnote w:id="7">
    <w:p w:rsidR="0025563B" w14:paraId="43F9427C" w14:textId="37FDBA28">
      <w:pPr>
        <w:pStyle w:val="FootnoteText"/>
      </w:pPr>
      <w:r>
        <w:rPr>
          <w:rStyle w:val="FootnoteReference"/>
        </w:rPr>
        <w:footnoteRef/>
      </w:r>
      <w:r>
        <w:t xml:space="preserve"> </w:t>
      </w:r>
      <w:r w:rsidRPr="0025563B">
        <w:t>Williams DR, Mohammed SA, et al. Race, socioeconomic status, and health: Complexities, ongoing challenges, and research opportunities. </w:t>
      </w:r>
      <w:r w:rsidRPr="0025563B">
        <w:rPr>
          <w:i/>
          <w:iCs/>
        </w:rPr>
        <w:t>Annals of the New York Academy of Sciences. </w:t>
      </w:r>
      <w:r w:rsidRPr="0025563B">
        <w:t>2010;1186(1):69–101.</w:t>
      </w:r>
    </w:p>
  </w:footnote>
  <w:footnote w:id="8">
    <w:p w:rsidR="00913ED5" w:rsidP="00913ED5" w14:paraId="70DB763B" w14:textId="22E43664">
      <w:pPr>
        <w:pStyle w:val="FootnoteText"/>
      </w:pPr>
      <w:r>
        <w:rPr>
          <w:rStyle w:val="FootnoteReference"/>
        </w:rPr>
        <w:footnoteRef/>
      </w:r>
      <w:r>
        <w:t xml:space="preserve"> </w:t>
      </w:r>
      <w:r w:rsidRPr="00913ED5">
        <w:t xml:space="preserve">Insights Association. (2021). Code of Standards and Ethics for Market Research and Data Analytics. </w:t>
      </w:r>
      <w:hyperlink r:id="rId2" w:history="1">
        <w:r w:rsidRPr="00B71F8A" w:rsidR="00E36F75">
          <w:rPr>
            <w:rStyle w:val="Hyperlink"/>
          </w:rPr>
          <w:t>https://www.insightsassociation.org/sites/default/files/misc_files/ia_code_revised_november_2021_finalv2.pdf</w:t>
        </w:r>
      </w:hyperlink>
      <w:r w:rsidR="00E36F75">
        <w:t xml:space="preserve"> </w:t>
      </w:r>
    </w:p>
  </w:footnote>
  <w:footnote w:id="9">
    <w:p w:rsidR="003324FC" w:rsidP="003324FC" w14:paraId="66B8EFED" w14:textId="77777777">
      <w:pPr>
        <w:pStyle w:val="FootnoteText"/>
      </w:pPr>
      <w:r>
        <w:rPr>
          <w:rStyle w:val="FootnoteReference"/>
        </w:rPr>
        <w:footnoteRef/>
      </w:r>
      <w:r>
        <w:t xml:space="preserve"> </w:t>
      </w:r>
      <w:r w:rsidRPr="00096631">
        <w:t>https://www.whitehouse.gov/briefing-room/presidential-actions/2022/06/15/executive-order-on-advancing-equality-for-lesbian-gay-bisexual-transgender-queer-and-intersex-individuals/</w:t>
      </w:r>
    </w:p>
  </w:footnote>
  <w:footnote w:id="10">
    <w:p w:rsidR="003324FC" w:rsidRPr="00096631" w:rsidP="003324FC" w14:paraId="526FE0EB" w14:textId="77777777">
      <w:pPr>
        <w:pStyle w:val="FootnoteText"/>
        <w:rPr>
          <w:sz w:val="18"/>
          <w:szCs w:val="18"/>
        </w:rPr>
      </w:pPr>
      <w:r>
        <w:rPr>
          <w:rStyle w:val="FootnoteReference"/>
        </w:rPr>
        <w:footnoteRef/>
      </w:r>
      <w:r>
        <w:t xml:space="preserve"> </w:t>
      </w:r>
      <w:r w:rsidRPr="00096631">
        <w:rPr>
          <w:sz w:val="18"/>
          <w:szCs w:val="18"/>
        </w:rPr>
        <w:t>Slobig</w:t>
      </w:r>
      <w:r w:rsidRPr="00096631">
        <w:rPr>
          <w:sz w:val="18"/>
          <w:szCs w:val="18"/>
        </w:rPr>
        <w:t xml:space="preserve"> Z. Latino College Health Initiative: A Study of Tobacco-Related Health Disparities </w:t>
      </w:r>
      <w:r w:rsidRPr="00096631">
        <w:rPr>
          <w:sz w:val="18"/>
          <w:szCs w:val="18"/>
        </w:rPr>
        <w:t>In</w:t>
      </w:r>
      <w:r w:rsidRPr="00096631">
        <w:rPr>
          <w:sz w:val="18"/>
          <w:szCs w:val="18"/>
        </w:rPr>
        <w:t xml:space="preserve"> Hispanic/Latino Subpopulations. Truth Initiative; 2014:44. Accessed January 14, 2021. https://truthinitiative.org/sites/default/files/media/files/2019/03/Latino_College_Health_Initative_2014.pdf </w:t>
      </w:r>
    </w:p>
    <w:p w:rsidR="003324FC" w:rsidRPr="00096631" w:rsidP="003324FC" w14:paraId="29147A81" w14:textId="77777777">
      <w:pPr>
        <w:pStyle w:val="FootnoteText"/>
        <w:rPr>
          <w:sz w:val="18"/>
          <w:szCs w:val="18"/>
        </w:rPr>
      </w:pPr>
    </w:p>
    <w:p w:rsidR="003324FC" w:rsidRPr="00096631" w:rsidP="003324FC" w14:paraId="11AC6641" w14:textId="77777777">
      <w:pPr>
        <w:pStyle w:val="FootnoteText"/>
        <w:rPr>
          <w:sz w:val="18"/>
          <w:szCs w:val="18"/>
        </w:rPr>
      </w:pPr>
      <w:r w:rsidRPr="00096631">
        <w:rPr>
          <w:sz w:val="18"/>
          <w:szCs w:val="18"/>
        </w:rPr>
        <w:t xml:space="preserve">Kaplan RC, </w:t>
      </w:r>
      <w:r w:rsidRPr="00096631">
        <w:rPr>
          <w:sz w:val="18"/>
          <w:szCs w:val="18"/>
        </w:rPr>
        <w:t>Bangdiala</w:t>
      </w:r>
      <w:r w:rsidRPr="00096631">
        <w:rPr>
          <w:sz w:val="18"/>
          <w:szCs w:val="18"/>
        </w:rPr>
        <w:t xml:space="preserve"> SI, Barnhart JM, et al. Smoking among US Hispanic/Latino adults: The Hispanic Community Health Study/Study of Latinos. Am J </w:t>
      </w:r>
      <w:r w:rsidRPr="00096631">
        <w:rPr>
          <w:sz w:val="18"/>
          <w:szCs w:val="18"/>
        </w:rPr>
        <w:t>Prev</w:t>
      </w:r>
      <w:r w:rsidRPr="00096631">
        <w:rPr>
          <w:sz w:val="18"/>
          <w:szCs w:val="18"/>
        </w:rPr>
        <w:t xml:space="preserve"> Med. 2014;46(5):496-506. </w:t>
      </w:r>
      <w:r w:rsidRPr="00096631">
        <w:rPr>
          <w:sz w:val="18"/>
          <w:szCs w:val="18"/>
        </w:rPr>
        <w:t>doi:10.1016/j.amepre</w:t>
      </w:r>
      <w:r w:rsidRPr="00096631">
        <w:rPr>
          <w:sz w:val="18"/>
          <w:szCs w:val="18"/>
        </w:rPr>
        <w:t xml:space="preserve">.2014.01.014 </w:t>
      </w:r>
    </w:p>
    <w:p w:rsidR="003324FC" w:rsidRPr="00096631" w:rsidP="003324FC" w14:paraId="1DDB98B8" w14:textId="77777777">
      <w:pPr>
        <w:pStyle w:val="FootnoteText"/>
        <w:rPr>
          <w:sz w:val="18"/>
          <w:szCs w:val="18"/>
        </w:rPr>
      </w:pPr>
    </w:p>
    <w:p w:rsidR="003324FC" w:rsidRPr="00096631" w:rsidP="003324FC" w14:paraId="0C7E7ACD" w14:textId="77777777">
      <w:pPr>
        <w:pStyle w:val="FootnoteText"/>
        <w:rPr>
          <w:sz w:val="18"/>
          <w:szCs w:val="18"/>
        </w:rPr>
      </w:pPr>
      <w:r w:rsidRPr="00096631">
        <w:rPr>
          <w:sz w:val="18"/>
          <w:szCs w:val="18"/>
        </w:rPr>
        <w:t>Parrinello</w:t>
      </w:r>
      <w:r w:rsidRPr="00096631">
        <w:rPr>
          <w:sz w:val="18"/>
          <w:szCs w:val="18"/>
        </w:rPr>
        <w:t xml:space="preserve"> CM, </w:t>
      </w:r>
      <w:r w:rsidRPr="00096631">
        <w:rPr>
          <w:sz w:val="18"/>
          <w:szCs w:val="18"/>
        </w:rPr>
        <w:t>Isasi</w:t>
      </w:r>
      <w:r w:rsidRPr="00096631">
        <w:rPr>
          <w:sz w:val="18"/>
          <w:szCs w:val="18"/>
        </w:rPr>
        <w:t xml:space="preserve"> CR, </w:t>
      </w:r>
      <w:r w:rsidRPr="00096631">
        <w:rPr>
          <w:sz w:val="18"/>
          <w:szCs w:val="18"/>
        </w:rPr>
        <w:t>Xue</w:t>
      </w:r>
      <w:r w:rsidRPr="00096631">
        <w:rPr>
          <w:sz w:val="18"/>
          <w:szCs w:val="18"/>
        </w:rPr>
        <w:t xml:space="preserve"> X, et al. Risk of cigarette smoking initiation during Adolescence among US-Born and non-US-born Hispanics/Latinos: The Hispanic Community Health Study/Study of Latinos. Am J Public Health. 2015;105(6):1230-1236. doi:10.2105/AJPH.2014.302155 </w:t>
      </w:r>
    </w:p>
    <w:p w:rsidR="003324FC" w:rsidRPr="00096631" w:rsidP="003324FC" w14:paraId="6B39C789" w14:textId="77777777">
      <w:pPr>
        <w:pStyle w:val="FootnoteText"/>
        <w:rPr>
          <w:sz w:val="18"/>
          <w:szCs w:val="18"/>
        </w:rPr>
      </w:pPr>
    </w:p>
    <w:p w:rsidR="003324FC" w:rsidP="003324FC" w14:paraId="22A8D466" w14:textId="77777777">
      <w:pPr>
        <w:pStyle w:val="FootnoteText"/>
        <w:rPr>
          <w:sz w:val="18"/>
          <w:szCs w:val="18"/>
        </w:rPr>
      </w:pPr>
      <w:r w:rsidRPr="00096631">
        <w:rPr>
          <w:sz w:val="18"/>
          <w:szCs w:val="18"/>
        </w:rPr>
        <w:t>Bandiera</w:t>
      </w:r>
      <w:r w:rsidRPr="00096631">
        <w:rPr>
          <w:sz w:val="18"/>
          <w:szCs w:val="18"/>
        </w:rPr>
        <w:t xml:space="preserve"> FC, Arguelles W, Gellman M, et al. Cigarette smoking and depressive symptoms among Hispanic/Latino adults: Results from the Hispanic Community Health Study/Study of Latinos (</w:t>
      </w:r>
      <w:r w:rsidRPr="00096631">
        <w:rPr>
          <w:sz w:val="18"/>
          <w:szCs w:val="18"/>
        </w:rPr>
        <w:t>hchs</w:t>
      </w:r>
      <w:r w:rsidRPr="00096631">
        <w:rPr>
          <w:sz w:val="18"/>
          <w:szCs w:val="18"/>
        </w:rPr>
        <w:t>/Sol). Nicotine Tob Res. 2015;17(6):727-734. doi:10.1093/</w:t>
      </w:r>
      <w:r w:rsidRPr="00096631">
        <w:rPr>
          <w:sz w:val="18"/>
          <w:szCs w:val="18"/>
        </w:rPr>
        <w:t>ntr</w:t>
      </w:r>
      <w:r w:rsidRPr="00096631">
        <w:rPr>
          <w:sz w:val="18"/>
          <w:szCs w:val="18"/>
        </w:rPr>
        <w:t>/ntu209</w:t>
      </w:r>
    </w:p>
    <w:p w:rsidR="003324FC" w:rsidP="003324FC" w14:paraId="41E909D2"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13F66"/>
    <w:multiLevelType w:val="hybridMultilevel"/>
    <w:tmpl w:val="F26C9DEE"/>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1A1E2C"/>
    <w:multiLevelType w:val="multilevel"/>
    <w:tmpl w:val="5A6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75942"/>
    <w:multiLevelType w:val="multilevel"/>
    <w:tmpl w:val="D52819A4"/>
    <w:styleLink w:val="Format2Number"/>
    <w:lvl w:ilvl="0">
      <w:start w:val="1"/>
      <w:numFmt w:val="decimal"/>
      <w:suff w:val="nothing"/>
      <w:lvlText w:val="Section %1."/>
      <w:lvlJc w:val="left"/>
      <w:pPr>
        <w:ind w:left="432" w:hanging="432"/>
      </w:pPr>
      <w:rPr>
        <w:rFonts w:ascii="Times New Roman" w:hAnsi="Times New Roman" w:hint="default"/>
        <w:b/>
        <w:i w:val="0"/>
        <w:sz w:val="24"/>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2.%3"/>
      <w:lvlJc w:val="left"/>
      <w:pPr>
        <w:ind w:left="864" w:hanging="864"/>
      </w:pPr>
      <w:rPr>
        <w:rFonts w:ascii="Times New Roman" w:hAnsi="Times New Roman" w:cs="Times New Roman" w:hint="default"/>
        <w:b/>
        <w:i/>
        <w:sz w:val="24"/>
      </w:rPr>
    </w:lvl>
    <w:lvl w:ilvl="3">
      <w:start w:val="1"/>
      <w:numFmt w:val="decimal"/>
      <w:lvlText w:val="%1.%2.%3.%4"/>
      <w:lvlJc w:val="left"/>
      <w:pPr>
        <w:ind w:left="86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1855DF"/>
    <w:multiLevelType w:val="hybridMultilevel"/>
    <w:tmpl w:val="DDE2B548"/>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016939"/>
    <w:multiLevelType w:val="hybridMultilevel"/>
    <w:tmpl w:val="A1D03FBC"/>
    <w:lvl w:ilvl="0">
      <w:start w:val="1"/>
      <w:numFmt w:val="bullet"/>
      <w:pStyle w:val="Footer"/>
      <w:lvlText w:val="•"/>
      <w:lvlJc w:val="left"/>
      <w:pPr>
        <w:ind w:left="576" w:hanging="288"/>
      </w:pPr>
      <w:rPr>
        <w:rFonts w:ascii="Times New Roman" w:hAnsi="Times New Roman" w:cs="Times New Roman" w:hint="default"/>
        <w:sz w:val="24"/>
        <w:szCs w:val="24"/>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5">
    <w:nsid w:val="28A27CE7"/>
    <w:multiLevelType w:val="hybridMultilevel"/>
    <w:tmpl w:val="55DC362E"/>
    <w:lvl w:ilvl="0">
      <w:start w:val="1"/>
      <w:numFmt w:val="bullet"/>
      <w:pStyle w:val="bullets"/>
      <w:lvlText w:val="•"/>
      <w:lvlJc w:val="left"/>
      <w:pPr>
        <w:ind w:left="72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9A13A40"/>
    <w:multiLevelType w:val="multilevel"/>
    <w:tmpl w:val="01684F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A170FF"/>
    <w:multiLevelType w:val="hybridMultilevel"/>
    <w:tmpl w:val="6354115C"/>
    <w:lvl w:ilvl="0">
      <w:start w:val="1"/>
      <w:numFmt w:val="bullet"/>
      <w:pStyle w:val="table-bulletind"/>
      <w:lvlText w:val="•"/>
      <w:lvlJc w:val="left"/>
      <w:pPr>
        <w:ind w:left="1008"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F941AC"/>
    <w:multiLevelType w:val="hybridMultilevel"/>
    <w:tmpl w:val="53EC0378"/>
    <w:lvl w:ilvl="0">
      <w:start w:val="1"/>
      <w:numFmt w:val="bullet"/>
      <w:pStyle w:val="bullets2nd-level"/>
      <w:lvlText w:val="–"/>
      <w:lvlJc w:val="left"/>
      <w:pPr>
        <w:ind w:left="108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9D09AB"/>
    <w:multiLevelType w:val="multilevel"/>
    <w:tmpl w:val="66EA790E"/>
    <w:lvl w:ilvl="0">
      <w:start w:val="1"/>
      <w:numFmt w:val="decimal"/>
      <w:pStyle w:val="Heading3"/>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ED3630"/>
    <w:multiLevelType w:val="multilevel"/>
    <w:tmpl w:val="4196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3D75A5"/>
    <w:multiLevelType w:val="hybridMultilevel"/>
    <w:tmpl w:val="21669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88C6588"/>
    <w:multiLevelType w:val="hybridMultilevel"/>
    <w:tmpl w:val="D2D4C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D3D22"/>
    <w:multiLevelType w:val="multilevel"/>
    <w:tmpl w:val="CD7A3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A5A097F"/>
    <w:multiLevelType w:val="hybridMultilevel"/>
    <w:tmpl w:val="E0B65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251E1C"/>
    <w:multiLevelType w:val="hybridMultilevel"/>
    <w:tmpl w:val="9668A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D877C3"/>
    <w:multiLevelType w:val="hybridMultilevel"/>
    <w:tmpl w:val="7DDCC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4410B0"/>
    <w:multiLevelType w:val="hybridMultilevel"/>
    <w:tmpl w:val="B3622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9654F1"/>
    <w:multiLevelType w:val="hybridMultilevel"/>
    <w:tmpl w:val="ABDC8C48"/>
    <w:lvl w:ilvl="0">
      <w:start w:val="1"/>
      <w:numFmt w:val="bullet"/>
      <w:pStyle w:val="textbox-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352DEA"/>
    <w:multiLevelType w:val="hybridMultilevel"/>
    <w:tmpl w:val="44D02AE8"/>
    <w:lvl w:ilvl="0">
      <w:start w:val="1"/>
      <w:numFmt w:val="bullet"/>
      <w:pStyle w:val="table-bulletLM"/>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AEE3CFA"/>
    <w:multiLevelType w:val="hybridMultilevel"/>
    <w:tmpl w:val="0FC434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5"/>
  </w:num>
  <w:num w:numId="4">
    <w:abstractNumId w:val="8"/>
  </w:num>
  <w:num w:numId="5">
    <w:abstractNumId w:val="14"/>
  </w:num>
  <w:num w:numId="6">
    <w:abstractNumId w:val="2"/>
  </w:num>
  <w:num w:numId="7">
    <w:abstractNumId w:val="19"/>
  </w:num>
  <w:num w:numId="8">
    <w:abstractNumId w:val="4"/>
  </w:num>
  <w:num w:numId="9">
    <w:abstractNumId w:val="20"/>
  </w:num>
  <w:num w:numId="10">
    <w:abstractNumId w:val="7"/>
  </w:num>
  <w:num w:numId="11">
    <w:abstractNumId w:val="1"/>
  </w:num>
  <w:num w:numId="12">
    <w:abstractNumId w:val="16"/>
  </w:num>
  <w:num w:numId="13">
    <w:abstractNumId w:val="0"/>
  </w:num>
  <w:num w:numId="14">
    <w:abstractNumId w:val="11"/>
  </w:num>
  <w:num w:numId="15">
    <w:abstractNumId w:val="17"/>
  </w:num>
  <w:num w:numId="16">
    <w:abstractNumId w:val="15"/>
  </w:num>
  <w:num w:numId="17">
    <w:abstractNumId w:val="12"/>
  </w:num>
  <w:num w:numId="18">
    <w:abstractNumId w:val="6"/>
  </w:num>
  <w:num w:numId="19">
    <w:abstractNumId w:val="13"/>
  </w:num>
  <w:num w:numId="20">
    <w:abstractNumId w:val="10"/>
  </w:num>
  <w:num w:numId="21">
    <w:abstractNumId w:val="18"/>
  </w:num>
  <w:num w:numId="22">
    <w:abstractNumId w:val="3"/>
  </w:num>
  <w:num w:numId="2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stylePaneSortMethod w:val="name"/>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23FF"/>
    <w:rsid w:val="00012BDD"/>
    <w:rsid w:val="000133EC"/>
    <w:rsid w:val="00016C1A"/>
    <w:rsid w:val="00017E8E"/>
    <w:rsid w:val="00020A2C"/>
    <w:rsid w:val="00022ACA"/>
    <w:rsid w:val="00025BC6"/>
    <w:rsid w:val="00026758"/>
    <w:rsid w:val="00030744"/>
    <w:rsid w:val="00031A2C"/>
    <w:rsid w:val="000325F0"/>
    <w:rsid w:val="00035A62"/>
    <w:rsid w:val="000360DE"/>
    <w:rsid w:val="00037E17"/>
    <w:rsid w:val="000410DB"/>
    <w:rsid w:val="00042C48"/>
    <w:rsid w:val="00043000"/>
    <w:rsid w:val="00043C7F"/>
    <w:rsid w:val="000528A0"/>
    <w:rsid w:val="00052EAE"/>
    <w:rsid w:val="00060ECF"/>
    <w:rsid w:val="00065056"/>
    <w:rsid w:val="000654D1"/>
    <w:rsid w:val="0006570F"/>
    <w:rsid w:val="00065972"/>
    <w:rsid w:val="00066B3B"/>
    <w:rsid w:val="00070D96"/>
    <w:rsid w:val="00072813"/>
    <w:rsid w:val="000748C4"/>
    <w:rsid w:val="00075DE8"/>
    <w:rsid w:val="00083248"/>
    <w:rsid w:val="00085793"/>
    <w:rsid w:val="000868F1"/>
    <w:rsid w:val="0009337D"/>
    <w:rsid w:val="00094500"/>
    <w:rsid w:val="00096631"/>
    <w:rsid w:val="000A12B5"/>
    <w:rsid w:val="000A3779"/>
    <w:rsid w:val="000A51B9"/>
    <w:rsid w:val="000A6CE6"/>
    <w:rsid w:val="000A76FC"/>
    <w:rsid w:val="000B340A"/>
    <w:rsid w:val="000C0339"/>
    <w:rsid w:val="000C259C"/>
    <w:rsid w:val="000C46F5"/>
    <w:rsid w:val="000C560C"/>
    <w:rsid w:val="000C5FB7"/>
    <w:rsid w:val="000D1486"/>
    <w:rsid w:val="000D1F00"/>
    <w:rsid w:val="000D4338"/>
    <w:rsid w:val="000D48FD"/>
    <w:rsid w:val="000E1C64"/>
    <w:rsid w:val="000E4D9D"/>
    <w:rsid w:val="000E54F8"/>
    <w:rsid w:val="000F7119"/>
    <w:rsid w:val="000F77C8"/>
    <w:rsid w:val="000F7AF1"/>
    <w:rsid w:val="000F7E48"/>
    <w:rsid w:val="00100739"/>
    <w:rsid w:val="0010394D"/>
    <w:rsid w:val="00107885"/>
    <w:rsid w:val="0011029C"/>
    <w:rsid w:val="00110E0F"/>
    <w:rsid w:val="001149AC"/>
    <w:rsid w:val="00114FC4"/>
    <w:rsid w:val="0012329C"/>
    <w:rsid w:val="001238C6"/>
    <w:rsid w:val="0012520C"/>
    <w:rsid w:val="0012756D"/>
    <w:rsid w:val="00127C20"/>
    <w:rsid w:val="00127D5A"/>
    <w:rsid w:val="00131462"/>
    <w:rsid w:val="00132524"/>
    <w:rsid w:val="001337F6"/>
    <w:rsid w:val="00134FA7"/>
    <w:rsid w:val="001376D0"/>
    <w:rsid w:val="00137950"/>
    <w:rsid w:val="001460D6"/>
    <w:rsid w:val="00150866"/>
    <w:rsid w:val="00152F29"/>
    <w:rsid w:val="00155E41"/>
    <w:rsid w:val="00161E4E"/>
    <w:rsid w:val="0016285A"/>
    <w:rsid w:val="00171BAA"/>
    <w:rsid w:val="00176EF3"/>
    <w:rsid w:val="0017747F"/>
    <w:rsid w:val="00180503"/>
    <w:rsid w:val="00180BE9"/>
    <w:rsid w:val="001828E4"/>
    <w:rsid w:val="00183B94"/>
    <w:rsid w:val="00185270"/>
    <w:rsid w:val="00190300"/>
    <w:rsid w:val="00191AAA"/>
    <w:rsid w:val="001A0AE7"/>
    <w:rsid w:val="001A2326"/>
    <w:rsid w:val="001A300B"/>
    <w:rsid w:val="001A39BD"/>
    <w:rsid w:val="001A3A5C"/>
    <w:rsid w:val="001A3B5A"/>
    <w:rsid w:val="001A545B"/>
    <w:rsid w:val="001A55CB"/>
    <w:rsid w:val="001A6F20"/>
    <w:rsid w:val="001B1D88"/>
    <w:rsid w:val="001B6113"/>
    <w:rsid w:val="001B6C17"/>
    <w:rsid w:val="001B7CE9"/>
    <w:rsid w:val="001C1A8D"/>
    <w:rsid w:val="001C3450"/>
    <w:rsid w:val="001C5571"/>
    <w:rsid w:val="001C5D64"/>
    <w:rsid w:val="001C7994"/>
    <w:rsid w:val="001D495A"/>
    <w:rsid w:val="001D5594"/>
    <w:rsid w:val="001E205E"/>
    <w:rsid w:val="001E244C"/>
    <w:rsid w:val="001E2BC3"/>
    <w:rsid w:val="001E5BAA"/>
    <w:rsid w:val="001F031C"/>
    <w:rsid w:val="001F1437"/>
    <w:rsid w:val="001F5462"/>
    <w:rsid w:val="00201BCF"/>
    <w:rsid w:val="00201E6E"/>
    <w:rsid w:val="0020402D"/>
    <w:rsid w:val="00204BCF"/>
    <w:rsid w:val="00205E21"/>
    <w:rsid w:val="00207346"/>
    <w:rsid w:val="002078EA"/>
    <w:rsid w:val="00212E70"/>
    <w:rsid w:val="00213249"/>
    <w:rsid w:val="00214983"/>
    <w:rsid w:val="00214B8B"/>
    <w:rsid w:val="00214C7F"/>
    <w:rsid w:val="002213E3"/>
    <w:rsid w:val="0022482A"/>
    <w:rsid w:val="002259EF"/>
    <w:rsid w:val="00225D0F"/>
    <w:rsid w:val="002371F1"/>
    <w:rsid w:val="00241C7E"/>
    <w:rsid w:val="00242ED1"/>
    <w:rsid w:val="002444BB"/>
    <w:rsid w:val="002463FF"/>
    <w:rsid w:val="002477A4"/>
    <w:rsid w:val="00252FAE"/>
    <w:rsid w:val="00254069"/>
    <w:rsid w:val="002541C1"/>
    <w:rsid w:val="0025563B"/>
    <w:rsid w:val="00257DCF"/>
    <w:rsid w:val="00261D3D"/>
    <w:rsid w:val="00264466"/>
    <w:rsid w:val="00264A2F"/>
    <w:rsid w:val="00266102"/>
    <w:rsid w:val="00266A49"/>
    <w:rsid w:val="0026792F"/>
    <w:rsid w:val="00270748"/>
    <w:rsid w:val="00270DB7"/>
    <w:rsid w:val="002710A0"/>
    <w:rsid w:val="00271808"/>
    <w:rsid w:val="00271849"/>
    <w:rsid w:val="002734E5"/>
    <w:rsid w:val="002746DB"/>
    <w:rsid w:val="002761A5"/>
    <w:rsid w:val="00280CAF"/>
    <w:rsid w:val="00281C30"/>
    <w:rsid w:val="00282F09"/>
    <w:rsid w:val="0028348A"/>
    <w:rsid w:val="00283A69"/>
    <w:rsid w:val="00285D64"/>
    <w:rsid w:val="00287D6C"/>
    <w:rsid w:val="00290A98"/>
    <w:rsid w:val="00291382"/>
    <w:rsid w:val="00292E44"/>
    <w:rsid w:val="00293C01"/>
    <w:rsid w:val="00294B20"/>
    <w:rsid w:val="00297532"/>
    <w:rsid w:val="00297928"/>
    <w:rsid w:val="002A0B73"/>
    <w:rsid w:val="002A1210"/>
    <w:rsid w:val="002A2B0F"/>
    <w:rsid w:val="002A360C"/>
    <w:rsid w:val="002A3DDB"/>
    <w:rsid w:val="002A736C"/>
    <w:rsid w:val="002B2269"/>
    <w:rsid w:val="002B4091"/>
    <w:rsid w:val="002B7229"/>
    <w:rsid w:val="002C0AE1"/>
    <w:rsid w:val="002C52A9"/>
    <w:rsid w:val="002C6F2C"/>
    <w:rsid w:val="002D14D8"/>
    <w:rsid w:val="002D1C87"/>
    <w:rsid w:val="002D4799"/>
    <w:rsid w:val="002D4D25"/>
    <w:rsid w:val="002D599B"/>
    <w:rsid w:val="002D7AD9"/>
    <w:rsid w:val="002E123F"/>
    <w:rsid w:val="002E380D"/>
    <w:rsid w:val="002E3FA4"/>
    <w:rsid w:val="002F2206"/>
    <w:rsid w:val="002F303A"/>
    <w:rsid w:val="002F4CAF"/>
    <w:rsid w:val="002F530E"/>
    <w:rsid w:val="002F5765"/>
    <w:rsid w:val="002F594D"/>
    <w:rsid w:val="003007DA"/>
    <w:rsid w:val="00300AA3"/>
    <w:rsid w:val="003034FD"/>
    <w:rsid w:val="003036A3"/>
    <w:rsid w:val="00305F14"/>
    <w:rsid w:val="003069B7"/>
    <w:rsid w:val="00310333"/>
    <w:rsid w:val="003106A2"/>
    <w:rsid w:val="003106EE"/>
    <w:rsid w:val="003113FF"/>
    <w:rsid w:val="00312F97"/>
    <w:rsid w:val="00315DDA"/>
    <w:rsid w:val="00316758"/>
    <w:rsid w:val="0032021A"/>
    <w:rsid w:val="0032277F"/>
    <w:rsid w:val="003247E9"/>
    <w:rsid w:val="003261F1"/>
    <w:rsid w:val="00326755"/>
    <w:rsid w:val="00327B91"/>
    <w:rsid w:val="00330F49"/>
    <w:rsid w:val="00332279"/>
    <w:rsid w:val="003324FC"/>
    <w:rsid w:val="00333AFA"/>
    <w:rsid w:val="00342AEF"/>
    <w:rsid w:val="0034398E"/>
    <w:rsid w:val="00346AB0"/>
    <w:rsid w:val="00350523"/>
    <w:rsid w:val="0035189D"/>
    <w:rsid w:val="003526DA"/>
    <w:rsid w:val="00353FCD"/>
    <w:rsid w:val="00360370"/>
    <w:rsid w:val="00362177"/>
    <w:rsid w:val="00362E3F"/>
    <w:rsid w:val="00363C23"/>
    <w:rsid w:val="00364439"/>
    <w:rsid w:val="00373B2A"/>
    <w:rsid w:val="00373C0F"/>
    <w:rsid w:val="003740BC"/>
    <w:rsid w:val="00374503"/>
    <w:rsid w:val="003801A3"/>
    <w:rsid w:val="00383D90"/>
    <w:rsid w:val="00383F03"/>
    <w:rsid w:val="003845D6"/>
    <w:rsid w:val="00385641"/>
    <w:rsid w:val="0039081B"/>
    <w:rsid w:val="003918E2"/>
    <w:rsid w:val="003A1A27"/>
    <w:rsid w:val="003A385F"/>
    <w:rsid w:val="003A50CC"/>
    <w:rsid w:val="003A5D5C"/>
    <w:rsid w:val="003B3019"/>
    <w:rsid w:val="003B42B3"/>
    <w:rsid w:val="003B6384"/>
    <w:rsid w:val="003C037E"/>
    <w:rsid w:val="003C190E"/>
    <w:rsid w:val="003C1E05"/>
    <w:rsid w:val="003C3C6E"/>
    <w:rsid w:val="003C4EBB"/>
    <w:rsid w:val="003D1295"/>
    <w:rsid w:val="003D1531"/>
    <w:rsid w:val="003D2209"/>
    <w:rsid w:val="003D2C83"/>
    <w:rsid w:val="003D5D11"/>
    <w:rsid w:val="003D63DB"/>
    <w:rsid w:val="003D646C"/>
    <w:rsid w:val="003D734C"/>
    <w:rsid w:val="003E4EC6"/>
    <w:rsid w:val="003E527E"/>
    <w:rsid w:val="003E553E"/>
    <w:rsid w:val="003E7078"/>
    <w:rsid w:val="003F3DF5"/>
    <w:rsid w:val="003F481E"/>
    <w:rsid w:val="003F7BD0"/>
    <w:rsid w:val="00400D9D"/>
    <w:rsid w:val="00404405"/>
    <w:rsid w:val="0040670A"/>
    <w:rsid w:val="00411179"/>
    <w:rsid w:val="00411AC3"/>
    <w:rsid w:val="00411D11"/>
    <w:rsid w:val="00411E68"/>
    <w:rsid w:val="00412F37"/>
    <w:rsid w:val="004130A4"/>
    <w:rsid w:val="00413FF2"/>
    <w:rsid w:val="004150E9"/>
    <w:rsid w:val="00415E23"/>
    <w:rsid w:val="0041670D"/>
    <w:rsid w:val="00417DBD"/>
    <w:rsid w:val="0042079E"/>
    <w:rsid w:val="00420D77"/>
    <w:rsid w:val="0042156E"/>
    <w:rsid w:val="00421F33"/>
    <w:rsid w:val="00422BAB"/>
    <w:rsid w:val="00422D47"/>
    <w:rsid w:val="00424061"/>
    <w:rsid w:val="00426D04"/>
    <w:rsid w:val="00426F81"/>
    <w:rsid w:val="0042710D"/>
    <w:rsid w:val="004316C5"/>
    <w:rsid w:val="004328FD"/>
    <w:rsid w:val="0043643B"/>
    <w:rsid w:val="004412EF"/>
    <w:rsid w:val="00442A3C"/>
    <w:rsid w:val="00443969"/>
    <w:rsid w:val="00444859"/>
    <w:rsid w:val="004452C4"/>
    <w:rsid w:val="00447D74"/>
    <w:rsid w:val="00450A74"/>
    <w:rsid w:val="004546BF"/>
    <w:rsid w:val="004556A4"/>
    <w:rsid w:val="00456F1C"/>
    <w:rsid w:val="004624EE"/>
    <w:rsid w:val="00465350"/>
    <w:rsid w:val="004653A4"/>
    <w:rsid w:val="00467105"/>
    <w:rsid w:val="00475AF3"/>
    <w:rsid w:val="004837D1"/>
    <w:rsid w:val="00484413"/>
    <w:rsid w:val="00484557"/>
    <w:rsid w:val="004846BF"/>
    <w:rsid w:val="00490DB3"/>
    <w:rsid w:val="004946A5"/>
    <w:rsid w:val="00494F44"/>
    <w:rsid w:val="0049522A"/>
    <w:rsid w:val="004956C3"/>
    <w:rsid w:val="00497C48"/>
    <w:rsid w:val="004A0DF1"/>
    <w:rsid w:val="004A3927"/>
    <w:rsid w:val="004A3B08"/>
    <w:rsid w:val="004A3C4C"/>
    <w:rsid w:val="004A4B0F"/>
    <w:rsid w:val="004A60ED"/>
    <w:rsid w:val="004B2DF4"/>
    <w:rsid w:val="004B348F"/>
    <w:rsid w:val="004B66F1"/>
    <w:rsid w:val="004B674E"/>
    <w:rsid w:val="004C063F"/>
    <w:rsid w:val="004C1458"/>
    <w:rsid w:val="004C1DB8"/>
    <w:rsid w:val="004C6979"/>
    <w:rsid w:val="004C7D81"/>
    <w:rsid w:val="004D3E7A"/>
    <w:rsid w:val="004D54C0"/>
    <w:rsid w:val="004D62EA"/>
    <w:rsid w:val="004D6DF8"/>
    <w:rsid w:val="004E04CF"/>
    <w:rsid w:val="004E1FB2"/>
    <w:rsid w:val="004E2E7B"/>
    <w:rsid w:val="004E3C59"/>
    <w:rsid w:val="004E4EDE"/>
    <w:rsid w:val="004E6C2A"/>
    <w:rsid w:val="004E6F4B"/>
    <w:rsid w:val="004F27B3"/>
    <w:rsid w:val="004F3DFC"/>
    <w:rsid w:val="004F594B"/>
    <w:rsid w:val="004F61E1"/>
    <w:rsid w:val="005006F8"/>
    <w:rsid w:val="00503BB7"/>
    <w:rsid w:val="0050502A"/>
    <w:rsid w:val="00505576"/>
    <w:rsid w:val="005055E3"/>
    <w:rsid w:val="00511889"/>
    <w:rsid w:val="00512D81"/>
    <w:rsid w:val="00513BDC"/>
    <w:rsid w:val="00515227"/>
    <w:rsid w:val="005156DA"/>
    <w:rsid w:val="00520220"/>
    <w:rsid w:val="00520269"/>
    <w:rsid w:val="00526498"/>
    <w:rsid w:val="0053071F"/>
    <w:rsid w:val="00537D2E"/>
    <w:rsid w:val="00544138"/>
    <w:rsid w:val="00545DC3"/>
    <w:rsid w:val="0054698F"/>
    <w:rsid w:val="0054756B"/>
    <w:rsid w:val="005533E9"/>
    <w:rsid w:val="0056205E"/>
    <w:rsid w:val="005625EE"/>
    <w:rsid w:val="005668C2"/>
    <w:rsid w:val="005712E7"/>
    <w:rsid w:val="00571CDE"/>
    <w:rsid w:val="00572A26"/>
    <w:rsid w:val="00573586"/>
    <w:rsid w:val="00573862"/>
    <w:rsid w:val="005742CF"/>
    <w:rsid w:val="00574E80"/>
    <w:rsid w:val="00580A6E"/>
    <w:rsid w:val="005818DE"/>
    <w:rsid w:val="00584583"/>
    <w:rsid w:val="00587AA4"/>
    <w:rsid w:val="00590EEB"/>
    <w:rsid w:val="005912B0"/>
    <w:rsid w:val="0059520E"/>
    <w:rsid w:val="005968FF"/>
    <w:rsid w:val="0059730E"/>
    <w:rsid w:val="00597D86"/>
    <w:rsid w:val="005A4099"/>
    <w:rsid w:val="005A4A20"/>
    <w:rsid w:val="005B6472"/>
    <w:rsid w:val="005B6C18"/>
    <w:rsid w:val="005C144E"/>
    <w:rsid w:val="005C227C"/>
    <w:rsid w:val="005C38B2"/>
    <w:rsid w:val="005C4624"/>
    <w:rsid w:val="005C5029"/>
    <w:rsid w:val="005C55C2"/>
    <w:rsid w:val="005C5A50"/>
    <w:rsid w:val="005C745C"/>
    <w:rsid w:val="005D2874"/>
    <w:rsid w:val="005D2B1B"/>
    <w:rsid w:val="005D2BE0"/>
    <w:rsid w:val="005D40BF"/>
    <w:rsid w:val="005D4DF5"/>
    <w:rsid w:val="005E2E7D"/>
    <w:rsid w:val="005E345F"/>
    <w:rsid w:val="005E3D18"/>
    <w:rsid w:val="005E6421"/>
    <w:rsid w:val="005F08E9"/>
    <w:rsid w:val="005F5AFB"/>
    <w:rsid w:val="005F6290"/>
    <w:rsid w:val="005F658D"/>
    <w:rsid w:val="00601961"/>
    <w:rsid w:val="0061175B"/>
    <w:rsid w:val="00611D6B"/>
    <w:rsid w:val="00611D79"/>
    <w:rsid w:val="00612781"/>
    <w:rsid w:val="00612E14"/>
    <w:rsid w:val="00622682"/>
    <w:rsid w:val="0062294E"/>
    <w:rsid w:val="00625A39"/>
    <w:rsid w:val="006326EC"/>
    <w:rsid w:val="00632D3A"/>
    <w:rsid w:val="00634B6D"/>
    <w:rsid w:val="00643CC7"/>
    <w:rsid w:val="0064429F"/>
    <w:rsid w:val="0064581B"/>
    <w:rsid w:val="006503C2"/>
    <w:rsid w:val="00651E8B"/>
    <w:rsid w:val="00653D0D"/>
    <w:rsid w:val="00654EF6"/>
    <w:rsid w:val="00662FE4"/>
    <w:rsid w:val="0066382C"/>
    <w:rsid w:val="00663A42"/>
    <w:rsid w:val="006641C7"/>
    <w:rsid w:val="00665DCA"/>
    <w:rsid w:val="00666BD4"/>
    <w:rsid w:val="00670BE2"/>
    <w:rsid w:val="00676A28"/>
    <w:rsid w:val="00677A06"/>
    <w:rsid w:val="006844A9"/>
    <w:rsid w:val="00690E06"/>
    <w:rsid w:val="00692D1A"/>
    <w:rsid w:val="00693F23"/>
    <w:rsid w:val="006A0E07"/>
    <w:rsid w:val="006A26C6"/>
    <w:rsid w:val="006A541C"/>
    <w:rsid w:val="006A588B"/>
    <w:rsid w:val="006A63FF"/>
    <w:rsid w:val="006A7D5D"/>
    <w:rsid w:val="006B398A"/>
    <w:rsid w:val="006B4ED6"/>
    <w:rsid w:val="006B6510"/>
    <w:rsid w:val="006B6680"/>
    <w:rsid w:val="006C0E4B"/>
    <w:rsid w:val="006D1AC9"/>
    <w:rsid w:val="006D2D55"/>
    <w:rsid w:val="006D4D1E"/>
    <w:rsid w:val="006D5D57"/>
    <w:rsid w:val="006D72C4"/>
    <w:rsid w:val="006E1147"/>
    <w:rsid w:val="006E53BB"/>
    <w:rsid w:val="006F1F51"/>
    <w:rsid w:val="006F4D6D"/>
    <w:rsid w:val="006F6AB5"/>
    <w:rsid w:val="00703822"/>
    <w:rsid w:val="007044B2"/>
    <w:rsid w:val="00704CA4"/>
    <w:rsid w:val="00704E96"/>
    <w:rsid w:val="00705086"/>
    <w:rsid w:val="00705293"/>
    <w:rsid w:val="00705D37"/>
    <w:rsid w:val="0071362C"/>
    <w:rsid w:val="0071568A"/>
    <w:rsid w:val="00721443"/>
    <w:rsid w:val="00722A3B"/>
    <w:rsid w:val="007236D2"/>
    <w:rsid w:val="00727D55"/>
    <w:rsid w:val="00732BCC"/>
    <w:rsid w:val="00734FCA"/>
    <w:rsid w:val="00735143"/>
    <w:rsid w:val="00737956"/>
    <w:rsid w:val="00744639"/>
    <w:rsid w:val="0075309E"/>
    <w:rsid w:val="00754497"/>
    <w:rsid w:val="00755348"/>
    <w:rsid w:val="00757855"/>
    <w:rsid w:val="00762364"/>
    <w:rsid w:val="00765E64"/>
    <w:rsid w:val="00770278"/>
    <w:rsid w:val="00770666"/>
    <w:rsid w:val="007717CA"/>
    <w:rsid w:val="007748E1"/>
    <w:rsid w:val="00780755"/>
    <w:rsid w:val="00782144"/>
    <w:rsid w:val="00786D7A"/>
    <w:rsid w:val="00787C39"/>
    <w:rsid w:val="00792CB3"/>
    <w:rsid w:val="00795DF3"/>
    <w:rsid w:val="00797F98"/>
    <w:rsid w:val="007A373C"/>
    <w:rsid w:val="007A37A2"/>
    <w:rsid w:val="007A4464"/>
    <w:rsid w:val="007A7723"/>
    <w:rsid w:val="007B0DA4"/>
    <w:rsid w:val="007B225C"/>
    <w:rsid w:val="007B35DB"/>
    <w:rsid w:val="007B3E47"/>
    <w:rsid w:val="007B4DC7"/>
    <w:rsid w:val="007B5351"/>
    <w:rsid w:val="007B68DE"/>
    <w:rsid w:val="007C75B1"/>
    <w:rsid w:val="007C76E3"/>
    <w:rsid w:val="007D1CC3"/>
    <w:rsid w:val="007D3DFC"/>
    <w:rsid w:val="007D42AD"/>
    <w:rsid w:val="007D5773"/>
    <w:rsid w:val="007D70A6"/>
    <w:rsid w:val="007E1BA4"/>
    <w:rsid w:val="007E2F07"/>
    <w:rsid w:val="007E518B"/>
    <w:rsid w:val="007F241B"/>
    <w:rsid w:val="007F4407"/>
    <w:rsid w:val="007F4514"/>
    <w:rsid w:val="007F57AA"/>
    <w:rsid w:val="00804020"/>
    <w:rsid w:val="00805CE2"/>
    <w:rsid w:val="0080776D"/>
    <w:rsid w:val="00807BD1"/>
    <w:rsid w:val="00810145"/>
    <w:rsid w:val="008108FA"/>
    <w:rsid w:val="00810FF1"/>
    <w:rsid w:val="00812599"/>
    <w:rsid w:val="008159A0"/>
    <w:rsid w:val="00817148"/>
    <w:rsid w:val="00822336"/>
    <w:rsid w:val="00822753"/>
    <w:rsid w:val="00823DFA"/>
    <w:rsid w:val="00823EDF"/>
    <w:rsid w:val="00823F5E"/>
    <w:rsid w:val="008255C1"/>
    <w:rsid w:val="008265FC"/>
    <w:rsid w:val="008269C0"/>
    <w:rsid w:val="00840940"/>
    <w:rsid w:val="00843752"/>
    <w:rsid w:val="0084479F"/>
    <w:rsid w:val="00850940"/>
    <w:rsid w:val="00853AEC"/>
    <w:rsid w:val="00853E88"/>
    <w:rsid w:val="00855B7E"/>
    <w:rsid w:val="0085725E"/>
    <w:rsid w:val="0086057D"/>
    <w:rsid w:val="0087178F"/>
    <w:rsid w:val="00872FE6"/>
    <w:rsid w:val="008742C6"/>
    <w:rsid w:val="008745A4"/>
    <w:rsid w:val="00875687"/>
    <w:rsid w:val="0087609A"/>
    <w:rsid w:val="00880C53"/>
    <w:rsid w:val="00880FF9"/>
    <w:rsid w:val="008829DF"/>
    <w:rsid w:val="00884144"/>
    <w:rsid w:val="00885B09"/>
    <w:rsid w:val="00886F3F"/>
    <w:rsid w:val="00887C57"/>
    <w:rsid w:val="0089021F"/>
    <w:rsid w:val="008922F7"/>
    <w:rsid w:val="00892400"/>
    <w:rsid w:val="008961B4"/>
    <w:rsid w:val="008A0847"/>
    <w:rsid w:val="008A209D"/>
    <w:rsid w:val="008A22BB"/>
    <w:rsid w:val="008B0E29"/>
    <w:rsid w:val="008B0EFA"/>
    <w:rsid w:val="008B18F8"/>
    <w:rsid w:val="008B30AB"/>
    <w:rsid w:val="008B37B8"/>
    <w:rsid w:val="008B5E11"/>
    <w:rsid w:val="008B637A"/>
    <w:rsid w:val="008C1D80"/>
    <w:rsid w:val="008C1ED2"/>
    <w:rsid w:val="008C246F"/>
    <w:rsid w:val="008C6D7F"/>
    <w:rsid w:val="008D04DA"/>
    <w:rsid w:val="008D0731"/>
    <w:rsid w:val="008D3590"/>
    <w:rsid w:val="008D397F"/>
    <w:rsid w:val="008D7688"/>
    <w:rsid w:val="008E5F55"/>
    <w:rsid w:val="008E6EC1"/>
    <w:rsid w:val="008E702D"/>
    <w:rsid w:val="008E7D24"/>
    <w:rsid w:val="008F3386"/>
    <w:rsid w:val="008F4453"/>
    <w:rsid w:val="008F6877"/>
    <w:rsid w:val="008F7C61"/>
    <w:rsid w:val="00901C15"/>
    <w:rsid w:val="009037F5"/>
    <w:rsid w:val="00905DEF"/>
    <w:rsid w:val="00907C88"/>
    <w:rsid w:val="00913B43"/>
    <w:rsid w:val="00913ED5"/>
    <w:rsid w:val="0091483E"/>
    <w:rsid w:val="009172E3"/>
    <w:rsid w:val="00921A98"/>
    <w:rsid w:val="009223DF"/>
    <w:rsid w:val="00922A86"/>
    <w:rsid w:val="0092429F"/>
    <w:rsid w:val="00924789"/>
    <w:rsid w:val="00925AE9"/>
    <w:rsid w:val="00925C2B"/>
    <w:rsid w:val="00930203"/>
    <w:rsid w:val="009311D2"/>
    <w:rsid w:val="009311E6"/>
    <w:rsid w:val="00931275"/>
    <w:rsid w:val="00931B87"/>
    <w:rsid w:val="00936AC7"/>
    <w:rsid w:val="00941C06"/>
    <w:rsid w:val="00950421"/>
    <w:rsid w:val="009534D6"/>
    <w:rsid w:val="00953B64"/>
    <w:rsid w:val="00954DF8"/>
    <w:rsid w:val="0095761E"/>
    <w:rsid w:val="00961BA8"/>
    <w:rsid w:val="00962A1B"/>
    <w:rsid w:val="009630B0"/>
    <w:rsid w:val="00963A7B"/>
    <w:rsid w:val="00970343"/>
    <w:rsid w:val="009752A8"/>
    <w:rsid w:val="00982685"/>
    <w:rsid w:val="009900C6"/>
    <w:rsid w:val="00995A36"/>
    <w:rsid w:val="00995F3C"/>
    <w:rsid w:val="00997963"/>
    <w:rsid w:val="009A1674"/>
    <w:rsid w:val="009A2046"/>
    <w:rsid w:val="009A4E3F"/>
    <w:rsid w:val="009A5CA7"/>
    <w:rsid w:val="009A7C67"/>
    <w:rsid w:val="009B143A"/>
    <w:rsid w:val="009B335E"/>
    <w:rsid w:val="009B50CE"/>
    <w:rsid w:val="009B53B8"/>
    <w:rsid w:val="009C0A41"/>
    <w:rsid w:val="009C1418"/>
    <w:rsid w:val="009C598E"/>
    <w:rsid w:val="009C6626"/>
    <w:rsid w:val="009C684F"/>
    <w:rsid w:val="009D074C"/>
    <w:rsid w:val="009D0C21"/>
    <w:rsid w:val="009D3A63"/>
    <w:rsid w:val="009D74BC"/>
    <w:rsid w:val="009E4CE7"/>
    <w:rsid w:val="009E4FE1"/>
    <w:rsid w:val="009E5043"/>
    <w:rsid w:val="009E61B2"/>
    <w:rsid w:val="009E6678"/>
    <w:rsid w:val="009F1F1D"/>
    <w:rsid w:val="009F2B4F"/>
    <w:rsid w:val="009F58A3"/>
    <w:rsid w:val="009F66B5"/>
    <w:rsid w:val="00A0229E"/>
    <w:rsid w:val="00A13382"/>
    <w:rsid w:val="00A13B87"/>
    <w:rsid w:val="00A1473A"/>
    <w:rsid w:val="00A16221"/>
    <w:rsid w:val="00A20A7D"/>
    <w:rsid w:val="00A22958"/>
    <w:rsid w:val="00A320ED"/>
    <w:rsid w:val="00A337EB"/>
    <w:rsid w:val="00A33DAA"/>
    <w:rsid w:val="00A35D42"/>
    <w:rsid w:val="00A35E2D"/>
    <w:rsid w:val="00A41AC9"/>
    <w:rsid w:val="00A46CCF"/>
    <w:rsid w:val="00A50454"/>
    <w:rsid w:val="00A52258"/>
    <w:rsid w:val="00A53451"/>
    <w:rsid w:val="00A609D4"/>
    <w:rsid w:val="00A64C0C"/>
    <w:rsid w:val="00A65487"/>
    <w:rsid w:val="00A70426"/>
    <w:rsid w:val="00A71F6C"/>
    <w:rsid w:val="00A8484F"/>
    <w:rsid w:val="00A84973"/>
    <w:rsid w:val="00A91E9A"/>
    <w:rsid w:val="00A92CA3"/>
    <w:rsid w:val="00A93ED9"/>
    <w:rsid w:val="00A94967"/>
    <w:rsid w:val="00A94E5F"/>
    <w:rsid w:val="00A96221"/>
    <w:rsid w:val="00A9640C"/>
    <w:rsid w:val="00AA25F0"/>
    <w:rsid w:val="00AB0D22"/>
    <w:rsid w:val="00AC2CC1"/>
    <w:rsid w:val="00AC5E71"/>
    <w:rsid w:val="00AC6A99"/>
    <w:rsid w:val="00AC79F9"/>
    <w:rsid w:val="00AD1F56"/>
    <w:rsid w:val="00AD4C50"/>
    <w:rsid w:val="00AE7C6D"/>
    <w:rsid w:val="00AF2568"/>
    <w:rsid w:val="00AF2817"/>
    <w:rsid w:val="00AF654B"/>
    <w:rsid w:val="00B00E69"/>
    <w:rsid w:val="00B00F73"/>
    <w:rsid w:val="00B0241E"/>
    <w:rsid w:val="00B02E1E"/>
    <w:rsid w:val="00B0321E"/>
    <w:rsid w:val="00B03805"/>
    <w:rsid w:val="00B04597"/>
    <w:rsid w:val="00B04616"/>
    <w:rsid w:val="00B055EF"/>
    <w:rsid w:val="00B07E2B"/>
    <w:rsid w:val="00B10655"/>
    <w:rsid w:val="00B10AB2"/>
    <w:rsid w:val="00B11E71"/>
    <w:rsid w:val="00B132E3"/>
    <w:rsid w:val="00B134D1"/>
    <w:rsid w:val="00B14DD2"/>
    <w:rsid w:val="00B15945"/>
    <w:rsid w:val="00B17DE9"/>
    <w:rsid w:val="00B20B08"/>
    <w:rsid w:val="00B23769"/>
    <w:rsid w:val="00B24DD0"/>
    <w:rsid w:val="00B36248"/>
    <w:rsid w:val="00B40A68"/>
    <w:rsid w:val="00B40BC9"/>
    <w:rsid w:val="00B40E8D"/>
    <w:rsid w:val="00B42261"/>
    <w:rsid w:val="00B42520"/>
    <w:rsid w:val="00B60A27"/>
    <w:rsid w:val="00B6383E"/>
    <w:rsid w:val="00B66830"/>
    <w:rsid w:val="00B71879"/>
    <w:rsid w:val="00B71C71"/>
    <w:rsid w:val="00B71D06"/>
    <w:rsid w:val="00B71F8A"/>
    <w:rsid w:val="00B81808"/>
    <w:rsid w:val="00B840A9"/>
    <w:rsid w:val="00B86DFA"/>
    <w:rsid w:val="00B904CF"/>
    <w:rsid w:val="00B936D0"/>
    <w:rsid w:val="00B95684"/>
    <w:rsid w:val="00B9773A"/>
    <w:rsid w:val="00BA6932"/>
    <w:rsid w:val="00BB0AE0"/>
    <w:rsid w:val="00BB1BEF"/>
    <w:rsid w:val="00BB276C"/>
    <w:rsid w:val="00BB2F4D"/>
    <w:rsid w:val="00BB78A5"/>
    <w:rsid w:val="00BB7A75"/>
    <w:rsid w:val="00BC00E5"/>
    <w:rsid w:val="00BC0CF2"/>
    <w:rsid w:val="00BC2BFE"/>
    <w:rsid w:val="00BC4063"/>
    <w:rsid w:val="00BC51CB"/>
    <w:rsid w:val="00BC52D4"/>
    <w:rsid w:val="00BD1859"/>
    <w:rsid w:val="00BD19E1"/>
    <w:rsid w:val="00BD3D5B"/>
    <w:rsid w:val="00BD49C2"/>
    <w:rsid w:val="00BE0C96"/>
    <w:rsid w:val="00BE3600"/>
    <w:rsid w:val="00BE7124"/>
    <w:rsid w:val="00BF1301"/>
    <w:rsid w:val="00C01F6F"/>
    <w:rsid w:val="00C11D67"/>
    <w:rsid w:val="00C12125"/>
    <w:rsid w:val="00C12534"/>
    <w:rsid w:val="00C13893"/>
    <w:rsid w:val="00C149AB"/>
    <w:rsid w:val="00C14B5D"/>
    <w:rsid w:val="00C179AE"/>
    <w:rsid w:val="00C20340"/>
    <w:rsid w:val="00C21E60"/>
    <w:rsid w:val="00C222F7"/>
    <w:rsid w:val="00C25DBE"/>
    <w:rsid w:val="00C2752E"/>
    <w:rsid w:val="00C36020"/>
    <w:rsid w:val="00C3606D"/>
    <w:rsid w:val="00C40694"/>
    <w:rsid w:val="00C43951"/>
    <w:rsid w:val="00C43D53"/>
    <w:rsid w:val="00C44E52"/>
    <w:rsid w:val="00C51843"/>
    <w:rsid w:val="00C53AAD"/>
    <w:rsid w:val="00C5641A"/>
    <w:rsid w:val="00C625E8"/>
    <w:rsid w:val="00C64697"/>
    <w:rsid w:val="00C675E5"/>
    <w:rsid w:val="00C70542"/>
    <w:rsid w:val="00C710FB"/>
    <w:rsid w:val="00C75CBF"/>
    <w:rsid w:val="00C8071F"/>
    <w:rsid w:val="00C8136F"/>
    <w:rsid w:val="00C81F8E"/>
    <w:rsid w:val="00C83338"/>
    <w:rsid w:val="00C8789C"/>
    <w:rsid w:val="00C90462"/>
    <w:rsid w:val="00C91849"/>
    <w:rsid w:val="00C94CBC"/>
    <w:rsid w:val="00C967A4"/>
    <w:rsid w:val="00CA0942"/>
    <w:rsid w:val="00CA2D24"/>
    <w:rsid w:val="00CA3806"/>
    <w:rsid w:val="00CA3D68"/>
    <w:rsid w:val="00CA6955"/>
    <w:rsid w:val="00CA7D66"/>
    <w:rsid w:val="00CB179D"/>
    <w:rsid w:val="00CB23AF"/>
    <w:rsid w:val="00CB3952"/>
    <w:rsid w:val="00CB7FB0"/>
    <w:rsid w:val="00CC06A3"/>
    <w:rsid w:val="00CC0B15"/>
    <w:rsid w:val="00CC19F4"/>
    <w:rsid w:val="00CC2894"/>
    <w:rsid w:val="00CD0280"/>
    <w:rsid w:val="00CD50AC"/>
    <w:rsid w:val="00CD77C3"/>
    <w:rsid w:val="00CD7E65"/>
    <w:rsid w:val="00CE04BC"/>
    <w:rsid w:val="00CE112C"/>
    <w:rsid w:val="00CE1FDB"/>
    <w:rsid w:val="00CE36FF"/>
    <w:rsid w:val="00CF3A2E"/>
    <w:rsid w:val="00CF411D"/>
    <w:rsid w:val="00CF4585"/>
    <w:rsid w:val="00CF4FB4"/>
    <w:rsid w:val="00CF55D4"/>
    <w:rsid w:val="00CF75B1"/>
    <w:rsid w:val="00D04520"/>
    <w:rsid w:val="00D07245"/>
    <w:rsid w:val="00D07B1F"/>
    <w:rsid w:val="00D166D1"/>
    <w:rsid w:val="00D16AC7"/>
    <w:rsid w:val="00D21DAD"/>
    <w:rsid w:val="00D2366A"/>
    <w:rsid w:val="00D23F93"/>
    <w:rsid w:val="00D2611B"/>
    <w:rsid w:val="00D30E1C"/>
    <w:rsid w:val="00D414E9"/>
    <w:rsid w:val="00D434AA"/>
    <w:rsid w:val="00D4544B"/>
    <w:rsid w:val="00D45783"/>
    <w:rsid w:val="00D46382"/>
    <w:rsid w:val="00D46D4B"/>
    <w:rsid w:val="00D46ED7"/>
    <w:rsid w:val="00D507CD"/>
    <w:rsid w:val="00D534D6"/>
    <w:rsid w:val="00D55C8F"/>
    <w:rsid w:val="00D603D2"/>
    <w:rsid w:val="00D608DA"/>
    <w:rsid w:val="00D60CFD"/>
    <w:rsid w:val="00D61D1A"/>
    <w:rsid w:val="00D638E6"/>
    <w:rsid w:val="00D63B72"/>
    <w:rsid w:val="00D64D78"/>
    <w:rsid w:val="00D71CB6"/>
    <w:rsid w:val="00D730BF"/>
    <w:rsid w:val="00D81FCD"/>
    <w:rsid w:val="00D829E3"/>
    <w:rsid w:val="00D8382C"/>
    <w:rsid w:val="00D85694"/>
    <w:rsid w:val="00D8736C"/>
    <w:rsid w:val="00D90ABB"/>
    <w:rsid w:val="00D9344B"/>
    <w:rsid w:val="00D9391C"/>
    <w:rsid w:val="00DA5635"/>
    <w:rsid w:val="00DB04FA"/>
    <w:rsid w:val="00DB15E1"/>
    <w:rsid w:val="00DB1CFF"/>
    <w:rsid w:val="00DB414D"/>
    <w:rsid w:val="00DB7F8B"/>
    <w:rsid w:val="00DC21C8"/>
    <w:rsid w:val="00DC3788"/>
    <w:rsid w:val="00DC76C7"/>
    <w:rsid w:val="00DD0633"/>
    <w:rsid w:val="00DD09F5"/>
    <w:rsid w:val="00DD4201"/>
    <w:rsid w:val="00DD5E9F"/>
    <w:rsid w:val="00DE01BD"/>
    <w:rsid w:val="00DE26A1"/>
    <w:rsid w:val="00DE5711"/>
    <w:rsid w:val="00DF4DF0"/>
    <w:rsid w:val="00DF7238"/>
    <w:rsid w:val="00E00EA0"/>
    <w:rsid w:val="00E04F96"/>
    <w:rsid w:val="00E11D51"/>
    <w:rsid w:val="00E12D1C"/>
    <w:rsid w:val="00E138F1"/>
    <w:rsid w:val="00E13B33"/>
    <w:rsid w:val="00E14CC2"/>
    <w:rsid w:val="00E15590"/>
    <w:rsid w:val="00E20B5A"/>
    <w:rsid w:val="00E2309D"/>
    <w:rsid w:val="00E23399"/>
    <w:rsid w:val="00E24A18"/>
    <w:rsid w:val="00E261E4"/>
    <w:rsid w:val="00E26758"/>
    <w:rsid w:val="00E3075A"/>
    <w:rsid w:val="00E3269C"/>
    <w:rsid w:val="00E36F75"/>
    <w:rsid w:val="00E42525"/>
    <w:rsid w:val="00E4357B"/>
    <w:rsid w:val="00E54EA1"/>
    <w:rsid w:val="00E56393"/>
    <w:rsid w:val="00E616ED"/>
    <w:rsid w:val="00E63DE5"/>
    <w:rsid w:val="00E65A37"/>
    <w:rsid w:val="00E74933"/>
    <w:rsid w:val="00E76CEC"/>
    <w:rsid w:val="00E77B48"/>
    <w:rsid w:val="00E8110C"/>
    <w:rsid w:val="00E829AB"/>
    <w:rsid w:val="00E91799"/>
    <w:rsid w:val="00E9403F"/>
    <w:rsid w:val="00EA21FE"/>
    <w:rsid w:val="00EA2A3B"/>
    <w:rsid w:val="00EA34E3"/>
    <w:rsid w:val="00EA5CFC"/>
    <w:rsid w:val="00EA7D58"/>
    <w:rsid w:val="00EB328A"/>
    <w:rsid w:val="00EB60AF"/>
    <w:rsid w:val="00EB6E30"/>
    <w:rsid w:val="00EB7538"/>
    <w:rsid w:val="00ED0EEE"/>
    <w:rsid w:val="00ED2839"/>
    <w:rsid w:val="00ED319E"/>
    <w:rsid w:val="00ED384D"/>
    <w:rsid w:val="00EE4071"/>
    <w:rsid w:val="00EE4D2E"/>
    <w:rsid w:val="00EE6468"/>
    <w:rsid w:val="00EE785C"/>
    <w:rsid w:val="00EF4EBD"/>
    <w:rsid w:val="00EF54A8"/>
    <w:rsid w:val="00EF673A"/>
    <w:rsid w:val="00EF6CBE"/>
    <w:rsid w:val="00F033DB"/>
    <w:rsid w:val="00F043EC"/>
    <w:rsid w:val="00F0586E"/>
    <w:rsid w:val="00F07A44"/>
    <w:rsid w:val="00F14B27"/>
    <w:rsid w:val="00F207A4"/>
    <w:rsid w:val="00F30480"/>
    <w:rsid w:val="00F30F05"/>
    <w:rsid w:val="00F31DEC"/>
    <w:rsid w:val="00F33179"/>
    <w:rsid w:val="00F3442F"/>
    <w:rsid w:val="00F355AC"/>
    <w:rsid w:val="00F37965"/>
    <w:rsid w:val="00F41704"/>
    <w:rsid w:val="00F4277B"/>
    <w:rsid w:val="00F43757"/>
    <w:rsid w:val="00F4540A"/>
    <w:rsid w:val="00F45CEF"/>
    <w:rsid w:val="00F51F84"/>
    <w:rsid w:val="00F52102"/>
    <w:rsid w:val="00F5367D"/>
    <w:rsid w:val="00F53D38"/>
    <w:rsid w:val="00F542A7"/>
    <w:rsid w:val="00F5448D"/>
    <w:rsid w:val="00F5655B"/>
    <w:rsid w:val="00F57531"/>
    <w:rsid w:val="00F6117F"/>
    <w:rsid w:val="00F6122A"/>
    <w:rsid w:val="00F64571"/>
    <w:rsid w:val="00F7000A"/>
    <w:rsid w:val="00F71A5A"/>
    <w:rsid w:val="00F734AC"/>
    <w:rsid w:val="00F73F5E"/>
    <w:rsid w:val="00F769E0"/>
    <w:rsid w:val="00F8147A"/>
    <w:rsid w:val="00F84072"/>
    <w:rsid w:val="00FA1946"/>
    <w:rsid w:val="00FA1C81"/>
    <w:rsid w:val="00FA36A5"/>
    <w:rsid w:val="00FA75FE"/>
    <w:rsid w:val="00FA7913"/>
    <w:rsid w:val="00FB0074"/>
    <w:rsid w:val="00FB1032"/>
    <w:rsid w:val="00FB7824"/>
    <w:rsid w:val="00FB79D9"/>
    <w:rsid w:val="00FC1D23"/>
    <w:rsid w:val="00FC64BC"/>
    <w:rsid w:val="00FC6BDE"/>
    <w:rsid w:val="00FD04A9"/>
    <w:rsid w:val="00FD0C5D"/>
    <w:rsid w:val="00FD1261"/>
    <w:rsid w:val="00FD1E65"/>
    <w:rsid w:val="00FD2EEA"/>
    <w:rsid w:val="00FD4C2F"/>
    <w:rsid w:val="00FD5553"/>
    <w:rsid w:val="00FF14A0"/>
    <w:rsid w:val="00FF4BD9"/>
    <w:rsid w:val="00FF4E11"/>
    <w:rsid w:val="00FF5F35"/>
    <w:rsid w:val="0112BA42"/>
    <w:rsid w:val="0221A916"/>
    <w:rsid w:val="0316ECE5"/>
    <w:rsid w:val="03549BF3"/>
    <w:rsid w:val="04C3926D"/>
    <w:rsid w:val="04F32AC3"/>
    <w:rsid w:val="07320FDE"/>
    <w:rsid w:val="07650D04"/>
    <w:rsid w:val="0823B283"/>
    <w:rsid w:val="0B08D66D"/>
    <w:rsid w:val="0B5133DD"/>
    <w:rsid w:val="0B64E15B"/>
    <w:rsid w:val="0BC08258"/>
    <w:rsid w:val="0C621D9C"/>
    <w:rsid w:val="0D1277F6"/>
    <w:rsid w:val="0D40F75D"/>
    <w:rsid w:val="0F374061"/>
    <w:rsid w:val="0F7D021B"/>
    <w:rsid w:val="0FD5F210"/>
    <w:rsid w:val="0FDC4790"/>
    <w:rsid w:val="1409AFBB"/>
    <w:rsid w:val="15D5336A"/>
    <w:rsid w:val="1753E05A"/>
    <w:rsid w:val="188DAF20"/>
    <w:rsid w:val="1974DFE7"/>
    <w:rsid w:val="197BD159"/>
    <w:rsid w:val="1B867C88"/>
    <w:rsid w:val="1C3832C8"/>
    <w:rsid w:val="1DF93394"/>
    <w:rsid w:val="1E9D0945"/>
    <w:rsid w:val="1EAFD7C4"/>
    <w:rsid w:val="20877373"/>
    <w:rsid w:val="21992DE1"/>
    <w:rsid w:val="2216C8D3"/>
    <w:rsid w:val="22562F99"/>
    <w:rsid w:val="23B29934"/>
    <w:rsid w:val="25196C99"/>
    <w:rsid w:val="25B34573"/>
    <w:rsid w:val="25D4A86E"/>
    <w:rsid w:val="286496E9"/>
    <w:rsid w:val="28A90CA0"/>
    <w:rsid w:val="28E30682"/>
    <w:rsid w:val="29B7DA22"/>
    <w:rsid w:val="2AA5097D"/>
    <w:rsid w:val="31B534AC"/>
    <w:rsid w:val="32CC8CF7"/>
    <w:rsid w:val="347453DC"/>
    <w:rsid w:val="360E548C"/>
    <w:rsid w:val="36D2E54B"/>
    <w:rsid w:val="37740986"/>
    <w:rsid w:val="37E8B01E"/>
    <w:rsid w:val="384107BA"/>
    <w:rsid w:val="3A58489E"/>
    <w:rsid w:val="3D7E80C6"/>
    <w:rsid w:val="3F5F4282"/>
    <w:rsid w:val="3F7E3C75"/>
    <w:rsid w:val="41234B08"/>
    <w:rsid w:val="4184F5BD"/>
    <w:rsid w:val="422153AA"/>
    <w:rsid w:val="423DF38E"/>
    <w:rsid w:val="43549A49"/>
    <w:rsid w:val="4395F11B"/>
    <w:rsid w:val="477936BE"/>
    <w:rsid w:val="47A9532C"/>
    <w:rsid w:val="493B56CD"/>
    <w:rsid w:val="4ADE68B5"/>
    <w:rsid w:val="4C2E2A1C"/>
    <w:rsid w:val="4D6AE08B"/>
    <w:rsid w:val="4DE128C6"/>
    <w:rsid w:val="4EB8DF32"/>
    <w:rsid w:val="531766D0"/>
    <w:rsid w:val="53605FC2"/>
    <w:rsid w:val="549BAF36"/>
    <w:rsid w:val="55A1AE53"/>
    <w:rsid w:val="56BBE1F3"/>
    <w:rsid w:val="58062F06"/>
    <w:rsid w:val="59A96141"/>
    <w:rsid w:val="59CA7D1E"/>
    <w:rsid w:val="59DF1287"/>
    <w:rsid w:val="5BC51670"/>
    <w:rsid w:val="5EBC49F0"/>
    <w:rsid w:val="61AE8F86"/>
    <w:rsid w:val="62A6CCC3"/>
    <w:rsid w:val="638119E7"/>
    <w:rsid w:val="67641B6F"/>
    <w:rsid w:val="687F4C3E"/>
    <w:rsid w:val="69A63074"/>
    <w:rsid w:val="6A378B8F"/>
    <w:rsid w:val="6BADD007"/>
    <w:rsid w:val="6BC039CE"/>
    <w:rsid w:val="6D52BD61"/>
    <w:rsid w:val="6DEF3F12"/>
    <w:rsid w:val="6E215C0B"/>
    <w:rsid w:val="72A3A335"/>
    <w:rsid w:val="74127231"/>
    <w:rsid w:val="7554F6B2"/>
    <w:rsid w:val="76528C54"/>
    <w:rsid w:val="775BEF96"/>
    <w:rsid w:val="77EE5CB5"/>
    <w:rsid w:val="790E8F6A"/>
    <w:rsid w:val="7A920A81"/>
    <w:rsid w:val="7A965755"/>
    <w:rsid w:val="7C2CD70D"/>
    <w:rsid w:val="7DB8F66B"/>
    <w:rsid w:val="7EC39779"/>
  </w:rsids>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tazzr01ztp2nezaf7ppse12esvze5a0255&quot;&gt;DTM library&lt;record-ids&gt;&lt;item&gt;113&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174C8DD"/>
  <w15:chartTrackingRefBased/>
  <w15:docId w15:val="{99D1DC0E-4C78-4A52-9B2D-BC23067B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semiHidden="1" w:unhideWhenUsed="1" w:qFormat="1"/>
    <w:lsdException w:name="table of figures" w:uiPriority="99"/>
    <w:lsdException w:name="footnote reference" w:uiPriority="99"/>
    <w:lsdException w:name="endnote reference" w:uiPriority="99"/>
    <w:lsdException w:name="endnote text" w:uiPriority="99"/>
    <w:lsdException w:name="Title" w:uiPriority="10" w:qFormat="1"/>
    <w:lsdException w:name="Default Paragraph Font" w:uiPriority="1"/>
    <w:lsdException w:name="Body Text" w:uiPriority="99"/>
    <w:lsdException w:name="List Continue 2" w:uiPriority="99"/>
    <w:lsdException w:name="Subtitle" w:uiPriority="11"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50940"/>
    <w:rPr>
      <w:rFonts w:eastAsia="SimSun"/>
      <w:sz w:val="24"/>
      <w:szCs w:val="22"/>
      <w:lang w:eastAsia="zh-CN"/>
    </w:rPr>
  </w:style>
  <w:style w:type="paragraph" w:styleId="Heading1">
    <w:name w:val="heading 1"/>
    <w:basedOn w:val="Baseheading"/>
    <w:next w:val="Normal"/>
    <w:link w:val="Heading1Char"/>
    <w:uiPriority w:val="9"/>
    <w:qFormat/>
    <w:rsid w:val="007B0DA4"/>
    <w:pPr>
      <w:keepLines/>
      <w:spacing w:before="120" w:after="120"/>
      <w:ind w:left="720" w:hanging="720"/>
      <w:outlineLvl w:val="0"/>
    </w:pPr>
    <w:rPr>
      <w:rFonts w:ascii="Times New Roman Bold" w:hAnsi="Times New Roman Bold"/>
      <w:bCs/>
      <w:caps/>
      <w:szCs w:val="28"/>
    </w:rPr>
  </w:style>
  <w:style w:type="paragraph" w:styleId="Heading2">
    <w:name w:val="heading 2"/>
    <w:basedOn w:val="Baseheading"/>
    <w:next w:val="Normal"/>
    <w:link w:val="Heading2Char"/>
    <w:unhideWhenUsed/>
    <w:qFormat/>
    <w:rsid w:val="00850940"/>
    <w:pPr>
      <w:keepLines/>
      <w:spacing w:before="100" w:beforeAutospacing="1" w:after="100" w:afterAutospacing="1"/>
      <w:outlineLvl w:val="1"/>
    </w:pPr>
    <w:rPr>
      <w:rFonts w:eastAsia="Times New Roman"/>
      <w:bCs/>
      <w:kern w:val="0"/>
      <w:szCs w:val="24"/>
      <w:lang w:eastAsia="en-US"/>
    </w:rPr>
  </w:style>
  <w:style w:type="paragraph" w:styleId="Heading3">
    <w:name w:val="heading 3"/>
    <w:basedOn w:val="Normal"/>
    <w:next w:val="Normal"/>
    <w:link w:val="Heading3Char"/>
    <w:uiPriority w:val="9"/>
    <w:unhideWhenUsed/>
    <w:qFormat/>
    <w:rsid w:val="00AD4C50"/>
    <w:pPr>
      <w:keepNext/>
      <w:keepLines/>
      <w:numPr>
        <w:numId w:val="1"/>
      </w:numPr>
      <w:spacing w:before="100" w:beforeAutospacing="1" w:after="100" w:afterAutospacing="1"/>
      <w:outlineLvl w:val="2"/>
    </w:pPr>
    <w:rPr>
      <w:rFonts w:eastAsia="Times New Roman"/>
      <w:b/>
      <w:szCs w:val="24"/>
      <w:u w:val="single"/>
      <w:lang w:eastAsia="en-US"/>
    </w:rPr>
  </w:style>
  <w:style w:type="paragraph" w:styleId="Heading4">
    <w:name w:val="heading 4"/>
    <w:basedOn w:val="Normal"/>
    <w:next w:val="Normal"/>
    <w:link w:val="Heading4Char"/>
    <w:uiPriority w:val="9"/>
    <w:unhideWhenUsed/>
    <w:qFormat/>
    <w:rsid w:val="00AD4C50"/>
    <w:pPr>
      <w:keepNext/>
      <w:keepLines/>
      <w:ind w:left="720"/>
      <w:outlineLvl w:val="3"/>
    </w:pPr>
    <w:rPr>
      <w:b/>
    </w:rPr>
  </w:style>
  <w:style w:type="paragraph" w:styleId="Heading5">
    <w:name w:val="heading 5"/>
    <w:basedOn w:val="Baseheading"/>
    <w:next w:val="Normal"/>
    <w:link w:val="Heading5Char"/>
    <w:uiPriority w:val="9"/>
    <w:semiHidden/>
    <w:qFormat/>
    <w:rsid w:val="007B0DA4"/>
    <w:pPr>
      <w:keepLines/>
      <w:spacing w:after="60"/>
      <w:outlineLvl w:val="4"/>
    </w:pPr>
    <w:rPr>
      <w:i/>
      <w:sz w:val="20"/>
    </w:rPr>
  </w:style>
  <w:style w:type="paragraph" w:styleId="Heading6">
    <w:name w:val="heading 6"/>
    <w:basedOn w:val="Baseheading"/>
    <w:next w:val="BodyText0"/>
    <w:link w:val="Heading6Char"/>
    <w:uiPriority w:val="9"/>
    <w:semiHidden/>
    <w:qFormat/>
    <w:rsid w:val="007B0DA4"/>
    <w:pPr>
      <w:spacing w:after="60"/>
      <w:outlineLvl w:val="5"/>
    </w:pPr>
    <w:rPr>
      <w:bCs/>
      <w:sz w:val="20"/>
    </w:rPr>
  </w:style>
  <w:style w:type="paragraph" w:styleId="Heading7">
    <w:name w:val="heading 7"/>
    <w:basedOn w:val="Baseheading"/>
    <w:next w:val="Normal"/>
    <w:link w:val="Heading7Char"/>
    <w:uiPriority w:val="9"/>
    <w:semiHidden/>
    <w:qFormat/>
    <w:rsid w:val="007B0DA4"/>
    <w:pPr>
      <w:spacing w:before="120" w:after="120"/>
      <w:outlineLvl w:val="6"/>
    </w:pPr>
    <w:rPr>
      <w:rFonts w:eastAsia="MS Mincho"/>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7B0DA4"/>
    <w:rPr>
      <w:rFonts w:ascii="Segoe UI" w:hAnsi="Segoe UI" w:cs="Segoe UI"/>
      <w:sz w:val="18"/>
      <w:szCs w:val="18"/>
    </w:rPr>
  </w:style>
  <w:style w:type="table" w:styleId="TableGrid">
    <w:name w:val="Table Grid"/>
    <w:basedOn w:val="TableNormal"/>
    <w:uiPriority w:val="59"/>
    <w:rsid w:val="007B0DA4"/>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Basetext"/>
    <w:link w:val="FooterChar"/>
    <w:uiPriority w:val="99"/>
    <w:unhideWhenUsed/>
    <w:rsid w:val="007B0DA4"/>
    <w:pPr>
      <w:numPr>
        <w:numId w:val="8"/>
      </w:numPr>
      <w:tabs>
        <w:tab w:val="center" w:pos="4680"/>
        <w:tab w:val="right" w:pos="9360"/>
      </w:tabs>
      <w:ind w:left="0" w:firstLine="0"/>
      <w:jc w:val="center"/>
    </w:pPr>
  </w:style>
  <w:style w:type="character" w:styleId="PageNumber">
    <w:name w:val="page number"/>
    <w:unhideWhenUsed/>
    <w:rsid w:val="007B0DA4"/>
    <w:rPr>
      <w:rFonts w:ascii="Times New Roman" w:hAnsi="Times New Roman"/>
      <w:b w:val="0"/>
      <w:sz w:val="24"/>
    </w:rPr>
  </w:style>
  <w:style w:type="character" w:styleId="CommentReference">
    <w:name w:val="annotation reference"/>
    <w:unhideWhenUsed/>
    <w:rsid w:val="007B0DA4"/>
    <w:rPr>
      <w:sz w:val="16"/>
      <w:szCs w:val="16"/>
    </w:rPr>
  </w:style>
  <w:style w:type="paragraph" w:styleId="CommentText">
    <w:name w:val="annotation text"/>
    <w:basedOn w:val="Normal"/>
    <w:link w:val="CommentTextChar"/>
    <w:unhideWhenUsed/>
    <w:rsid w:val="007B0DA4"/>
    <w:rPr>
      <w:szCs w:val="20"/>
    </w:rPr>
  </w:style>
  <w:style w:type="character" w:customStyle="1" w:styleId="CommentTextChar">
    <w:name w:val="Comment Text Char"/>
    <w:link w:val="CommentText"/>
    <w:rsid w:val="007B0DA4"/>
    <w:rPr>
      <w:rFonts w:eastAsia="SimSun"/>
      <w:sz w:val="24"/>
      <w:lang w:eastAsia="zh-CN"/>
    </w:rPr>
  </w:style>
  <w:style w:type="paragraph" w:styleId="CommentSubject">
    <w:name w:val="annotation subject"/>
    <w:basedOn w:val="CommentText"/>
    <w:next w:val="CommentText"/>
    <w:link w:val="CommentSubjectChar"/>
    <w:uiPriority w:val="99"/>
    <w:unhideWhenUsed/>
    <w:rsid w:val="007B0DA4"/>
    <w:rPr>
      <w:b/>
      <w:bCs/>
      <w:sz w:val="20"/>
    </w:rPr>
  </w:style>
  <w:style w:type="character" w:customStyle="1" w:styleId="CommentSubjectChar">
    <w:name w:val="Comment Subject Char"/>
    <w:link w:val="CommentSubject"/>
    <w:uiPriority w:val="99"/>
    <w:rsid w:val="007B0DA4"/>
    <w:rPr>
      <w:rFonts w:eastAsia="SimSun"/>
      <w:b/>
      <w:bCs/>
      <w:lang w:eastAsia="zh-CN"/>
    </w:rPr>
  </w:style>
  <w:style w:type="paragraph" w:styleId="ListParagraph">
    <w:name w:val="List Paragraph"/>
    <w:basedOn w:val="Basetext"/>
    <w:uiPriority w:val="34"/>
    <w:qFormat/>
    <w:rsid w:val="007B0DA4"/>
    <w:pPr>
      <w:ind w:left="720"/>
    </w:pPr>
  </w:style>
  <w:style w:type="paragraph" w:styleId="FootnoteText">
    <w:name w:val="footnote text"/>
    <w:basedOn w:val="Basetext"/>
    <w:link w:val="FootnoteTextChar"/>
    <w:uiPriority w:val="99"/>
    <w:unhideWhenUsed/>
    <w:rsid w:val="007B0DA4"/>
    <w:pPr>
      <w:ind w:left="274" w:hanging="274"/>
    </w:pPr>
    <w:rPr>
      <w:sz w:val="20"/>
      <w:szCs w:val="20"/>
    </w:rPr>
  </w:style>
  <w:style w:type="character" w:customStyle="1" w:styleId="FootnoteTextChar">
    <w:name w:val="Footnote Text Char"/>
    <w:link w:val="FootnoteText"/>
    <w:uiPriority w:val="99"/>
    <w:rsid w:val="007B0DA4"/>
    <w:rPr>
      <w:rFonts w:eastAsia="SimSun"/>
      <w:lang w:eastAsia="zh-CN"/>
    </w:rPr>
  </w:style>
  <w:style w:type="character" w:customStyle="1" w:styleId="doi1">
    <w:name w:val="doi1"/>
    <w:rsid w:val="003D1295"/>
  </w:style>
  <w:style w:type="character" w:styleId="FootnoteReference">
    <w:name w:val="footnote reference"/>
    <w:uiPriority w:val="99"/>
    <w:unhideWhenUsed/>
    <w:rsid w:val="007B0DA4"/>
    <w:rPr>
      <w:rFonts w:ascii="Times New Roman" w:hAnsi="Times New Roman"/>
      <w:spacing w:val="0"/>
      <w:w w:val="100"/>
      <w:kern w:val="0"/>
      <w:position w:val="0"/>
      <w:vertAlign w:val="superscript"/>
    </w:rPr>
  </w:style>
  <w:style w:type="character" w:styleId="Hyperlink">
    <w:name w:val="Hyperlink"/>
    <w:uiPriority w:val="99"/>
    <w:unhideWhenUsed/>
    <w:rsid w:val="007B0DA4"/>
    <w:rPr>
      <w:rFonts w:ascii="Times New Roman" w:hAnsi="Times New Roman"/>
      <w:color w:val="3333FF"/>
      <w:u w:val="single"/>
      <w:lang w:val="en-US"/>
    </w:rPr>
  </w:style>
  <w:style w:type="character" w:customStyle="1" w:styleId="nlmstring-name">
    <w:name w:val="nlm_string-name"/>
    <w:rsid w:val="004C7D81"/>
  </w:style>
  <w:style w:type="character" w:customStyle="1" w:styleId="nlmyear">
    <w:name w:val="nlm_year"/>
    <w:rsid w:val="004C7D81"/>
  </w:style>
  <w:style w:type="character" w:customStyle="1" w:styleId="nlmarticle-title">
    <w:name w:val="nlm_article-title"/>
    <w:rsid w:val="004C7D81"/>
  </w:style>
  <w:style w:type="character" w:customStyle="1" w:styleId="nlmfpage">
    <w:name w:val="nlm_fpage"/>
    <w:rsid w:val="004C7D81"/>
  </w:style>
  <w:style w:type="character" w:customStyle="1" w:styleId="nlmlpage">
    <w:name w:val="nlm_lpage"/>
    <w:rsid w:val="004C7D81"/>
  </w:style>
  <w:style w:type="character" w:customStyle="1" w:styleId="nlmpublisher-loc">
    <w:name w:val="nlm_publisher-loc"/>
    <w:rsid w:val="004C7D81"/>
  </w:style>
  <w:style w:type="character" w:customStyle="1" w:styleId="nlmpublisher-name">
    <w:name w:val="nlm_publisher-name"/>
    <w:rsid w:val="004C7D81"/>
  </w:style>
  <w:style w:type="character" w:customStyle="1" w:styleId="hlfld-contribauthor">
    <w:name w:val="hlfld-contribauthor"/>
    <w:rsid w:val="004C7D81"/>
  </w:style>
  <w:style w:type="character" w:customStyle="1" w:styleId="nlmgiven-names">
    <w:name w:val="nlm_given-names"/>
    <w:rsid w:val="004C7D81"/>
  </w:style>
  <w:style w:type="character" w:customStyle="1" w:styleId="apple-converted-space">
    <w:name w:val="apple-converted-space"/>
    <w:rsid w:val="004C7D81"/>
  </w:style>
  <w:style w:type="character" w:customStyle="1" w:styleId="BodyText2Char">
    <w:name w:val="Body Text 2 Char"/>
    <w:link w:val="BodyText2"/>
    <w:rsid w:val="00A13B87"/>
    <w:rPr>
      <w:sz w:val="24"/>
    </w:rPr>
  </w:style>
  <w:style w:type="character" w:customStyle="1" w:styleId="bodytextChar">
    <w:name w:val="body text Char"/>
    <w:aliases w:val="body tx Char,bt Char,flush Char,flush Char Char,indent Char,indent Char1"/>
    <w:link w:val="BodyText1"/>
    <w:locked/>
    <w:rsid w:val="005E2E7D"/>
    <w:rPr>
      <w:sz w:val="24"/>
    </w:rPr>
  </w:style>
  <w:style w:type="paragraph" w:customStyle="1" w:styleId="BodyText1">
    <w:name w:val="Body Text1"/>
    <w:aliases w:val="body text,body tx,bt,flush,indent"/>
    <w:basedOn w:val="Normal"/>
    <w:link w:val="bodytextChar"/>
    <w:rsid w:val="005E2E7D"/>
    <w:pPr>
      <w:spacing w:after="120" w:line="360" w:lineRule="auto"/>
      <w:ind w:firstLine="720"/>
    </w:pPr>
    <w:rPr>
      <w:szCs w:val="20"/>
    </w:rPr>
  </w:style>
  <w:style w:type="character" w:styleId="FollowedHyperlink">
    <w:name w:val="FollowedHyperlink"/>
    <w:uiPriority w:val="99"/>
    <w:rsid w:val="007B0DA4"/>
    <w:rPr>
      <w:rFonts w:ascii="Times New Roman" w:hAnsi="Times New Roman"/>
      <w:color w:val="6F57B5"/>
      <w:u w:val="single"/>
    </w:rPr>
  </w:style>
  <w:style w:type="paragraph" w:styleId="Header">
    <w:name w:val="header"/>
    <w:basedOn w:val="Basetext"/>
    <w:link w:val="HeaderChar"/>
    <w:unhideWhenUsed/>
    <w:rsid w:val="007B0DA4"/>
    <w:rPr>
      <w:sz w:val="20"/>
    </w:rPr>
  </w:style>
  <w:style w:type="character" w:customStyle="1" w:styleId="HeaderChar">
    <w:name w:val="Header Char"/>
    <w:link w:val="Header"/>
    <w:rsid w:val="007B0DA4"/>
    <w:rPr>
      <w:rFonts w:eastAsia="SimSun"/>
      <w:szCs w:val="22"/>
      <w:lang w:eastAsia="zh-CN"/>
    </w:rPr>
  </w:style>
  <w:style w:type="character" w:customStyle="1" w:styleId="FooterChar">
    <w:name w:val="Footer Char"/>
    <w:link w:val="Footer"/>
    <w:uiPriority w:val="99"/>
    <w:rsid w:val="007B0DA4"/>
    <w:rPr>
      <w:rFonts w:eastAsia="SimSun"/>
      <w:sz w:val="24"/>
      <w:szCs w:val="22"/>
      <w:lang w:eastAsia="zh-CN"/>
    </w:rPr>
  </w:style>
  <w:style w:type="character" w:customStyle="1" w:styleId="Heading1Char">
    <w:name w:val="Heading 1 Char"/>
    <w:link w:val="Heading1"/>
    <w:uiPriority w:val="9"/>
    <w:rsid w:val="007B0DA4"/>
    <w:rPr>
      <w:rFonts w:ascii="Times New Roman Bold" w:eastAsia="SimSun" w:hAnsi="Times New Roman Bold"/>
      <w:b/>
      <w:bCs/>
      <w:caps/>
      <w:kern w:val="28"/>
      <w:sz w:val="24"/>
      <w:szCs w:val="28"/>
      <w:lang w:eastAsia="zh-CN"/>
    </w:rPr>
  </w:style>
  <w:style w:type="character" w:customStyle="1" w:styleId="Heading2Char">
    <w:name w:val="Heading 2 Char"/>
    <w:link w:val="Heading2"/>
    <w:rsid w:val="00850940"/>
    <w:rPr>
      <w:b/>
      <w:bCs/>
      <w:sz w:val="24"/>
      <w:szCs w:val="24"/>
    </w:rPr>
  </w:style>
  <w:style w:type="character" w:customStyle="1" w:styleId="Heading3Char">
    <w:name w:val="Heading 3 Char"/>
    <w:link w:val="Heading3"/>
    <w:uiPriority w:val="9"/>
    <w:rsid w:val="00AD4C50"/>
    <w:rPr>
      <w:b/>
      <w:sz w:val="24"/>
      <w:szCs w:val="24"/>
      <w:u w:val="single"/>
    </w:rPr>
  </w:style>
  <w:style w:type="character" w:customStyle="1" w:styleId="Heading4Char">
    <w:name w:val="Heading 4 Char"/>
    <w:link w:val="Heading4"/>
    <w:uiPriority w:val="9"/>
    <w:rsid w:val="00AD4C50"/>
    <w:rPr>
      <w:rFonts w:eastAsia="SimSun"/>
      <w:b/>
      <w:sz w:val="24"/>
      <w:szCs w:val="22"/>
      <w:lang w:eastAsia="zh-CN"/>
    </w:rPr>
  </w:style>
  <w:style w:type="character" w:customStyle="1" w:styleId="Heading5Char">
    <w:name w:val="Heading 5 Char"/>
    <w:link w:val="Heading5"/>
    <w:uiPriority w:val="9"/>
    <w:semiHidden/>
    <w:rsid w:val="007B0DA4"/>
    <w:rPr>
      <w:rFonts w:eastAsia="SimSun"/>
      <w:b/>
      <w:i/>
      <w:kern w:val="28"/>
      <w:szCs w:val="22"/>
      <w:lang w:eastAsia="zh-CN"/>
    </w:rPr>
  </w:style>
  <w:style w:type="character" w:customStyle="1" w:styleId="Heading6Char">
    <w:name w:val="Heading 6 Char"/>
    <w:link w:val="Heading6"/>
    <w:uiPriority w:val="9"/>
    <w:semiHidden/>
    <w:rsid w:val="007B0DA4"/>
    <w:rPr>
      <w:rFonts w:eastAsia="SimSun"/>
      <w:b/>
      <w:bCs/>
      <w:kern w:val="28"/>
      <w:szCs w:val="22"/>
      <w:lang w:eastAsia="zh-CN"/>
    </w:rPr>
  </w:style>
  <w:style w:type="character" w:customStyle="1" w:styleId="Heading7Char">
    <w:name w:val="Heading 7 Char"/>
    <w:link w:val="Heading7"/>
    <w:uiPriority w:val="9"/>
    <w:semiHidden/>
    <w:rsid w:val="007B0DA4"/>
    <w:rPr>
      <w:rFonts w:eastAsia="MS Mincho"/>
      <w:b/>
      <w:i/>
      <w:kern w:val="28"/>
    </w:rPr>
  </w:style>
  <w:style w:type="paragraph" w:customStyle="1" w:styleId="DiscussionHeading">
    <w:name w:val="Discussion Heading"/>
    <w:basedOn w:val="Normal"/>
    <w:rsid w:val="007B0DA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7B0DA4"/>
    <w:pPr>
      <w:keepNext/>
      <w:spacing w:before="240" w:after="240"/>
      <w:outlineLvl w:val="0"/>
    </w:pPr>
    <w:rPr>
      <w:rFonts w:eastAsia="SimSun"/>
      <w:b/>
      <w:kern w:val="28"/>
      <w:sz w:val="24"/>
      <w:szCs w:val="22"/>
      <w:lang w:eastAsia="zh-CN"/>
    </w:rPr>
  </w:style>
  <w:style w:type="paragraph" w:customStyle="1" w:styleId="app-heading1">
    <w:name w:val="app-heading_1"/>
    <w:basedOn w:val="Baseheading"/>
    <w:rsid w:val="007B0DA4"/>
    <w:pPr>
      <w:spacing w:before="120" w:after="120"/>
    </w:pPr>
    <w:rPr>
      <w:rFonts w:ascii="Times New Roman Bold" w:hAnsi="Times New Roman Bold"/>
      <w:caps/>
    </w:rPr>
  </w:style>
  <w:style w:type="paragraph" w:customStyle="1" w:styleId="app-heading2">
    <w:name w:val="app-heading_2"/>
    <w:basedOn w:val="Baseheading"/>
    <w:rsid w:val="007B0DA4"/>
    <w:pPr>
      <w:ind w:left="720" w:hanging="720"/>
      <w:outlineLvl w:val="1"/>
    </w:pPr>
  </w:style>
  <w:style w:type="paragraph" w:customStyle="1" w:styleId="app-heading3">
    <w:name w:val="app-heading_3"/>
    <w:basedOn w:val="Baseheading"/>
    <w:rsid w:val="007B0DA4"/>
    <w:pPr>
      <w:ind w:left="720" w:hanging="720"/>
      <w:outlineLvl w:val="2"/>
    </w:pPr>
    <w:rPr>
      <w:i/>
    </w:rPr>
  </w:style>
  <w:style w:type="paragraph" w:customStyle="1" w:styleId="Basetext">
    <w:name w:val="Base_text"/>
    <w:rsid w:val="007B0DA4"/>
    <w:rPr>
      <w:rFonts w:eastAsia="SimSun"/>
      <w:sz w:val="24"/>
      <w:szCs w:val="22"/>
      <w:lang w:eastAsia="zh-CN"/>
    </w:rPr>
  </w:style>
  <w:style w:type="paragraph" w:customStyle="1" w:styleId="table-continued">
    <w:name w:val="table-continued"/>
    <w:basedOn w:val="Basetext"/>
    <w:rsid w:val="007B0DA4"/>
    <w:pPr>
      <w:spacing w:before="40"/>
      <w:ind w:right="-86"/>
      <w:jc w:val="right"/>
    </w:pPr>
    <w:rPr>
      <w:sz w:val="20"/>
    </w:rPr>
  </w:style>
  <w:style w:type="numbering" w:customStyle="1" w:styleId="Format2Number">
    <w:name w:val="Format2_Number"/>
    <w:uiPriority w:val="99"/>
    <w:rsid w:val="007B0DA4"/>
    <w:pPr>
      <w:numPr>
        <w:numId w:val="6"/>
      </w:numPr>
    </w:pPr>
  </w:style>
  <w:style w:type="paragraph" w:styleId="BodyText0">
    <w:name w:val="Body Text"/>
    <w:basedOn w:val="Basetext"/>
    <w:link w:val="BodyTextChar0"/>
    <w:uiPriority w:val="99"/>
    <w:rsid w:val="00AD4C50"/>
    <w:pPr>
      <w:spacing w:before="120" w:after="120"/>
      <w:ind w:firstLine="720"/>
    </w:pPr>
  </w:style>
  <w:style w:type="character" w:customStyle="1" w:styleId="BodyTextChar0">
    <w:name w:val="Body Text Char"/>
    <w:link w:val="BodyText0"/>
    <w:uiPriority w:val="99"/>
    <w:rsid w:val="00AD4C50"/>
    <w:rPr>
      <w:rFonts w:eastAsia="SimSun"/>
      <w:sz w:val="24"/>
      <w:szCs w:val="22"/>
      <w:lang w:eastAsia="zh-CN"/>
    </w:rPr>
  </w:style>
  <w:style w:type="paragraph" w:customStyle="1" w:styleId="bullets">
    <w:name w:val="bullets"/>
    <w:basedOn w:val="Basetext"/>
    <w:rsid w:val="007B0DA4"/>
    <w:pPr>
      <w:numPr>
        <w:numId w:val="3"/>
      </w:numPr>
      <w:spacing w:after="120"/>
      <w:ind w:left="1080"/>
    </w:pPr>
  </w:style>
  <w:style w:type="paragraph" w:customStyle="1" w:styleId="bullets2nd-level">
    <w:name w:val="bullets_2nd-level"/>
    <w:basedOn w:val="Basetext"/>
    <w:rsid w:val="007B0DA4"/>
    <w:pPr>
      <w:numPr>
        <w:numId w:val="4"/>
      </w:numPr>
      <w:spacing w:after="120"/>
      <w:ind w:left="1440"/>
    </w:pPr>
  </w:style>
  <w:style w:type="paragraph" w:customStyle="1" w:styleId="bullets3rd-level">
    <w:name w:val="bullets_3rd-level"/>
    <w:basedOn w:val="Basetext"/>
    <w:rsid w:val="007B0DA4"/>
    <w:pPr>
      <w:spacing w:after="120"/>
      <w:ind w:left="1800" w:hanging="360"/>
    </w:pPr>
  </w:style>
  <w:style w:type="paragraph" w:customStyle="1" w:styleId="figure-inline">
    <w:name w:val="figure-inline"/>
    <w:basedOn w:val="Basetext"/>
    <w:rsid w:val="007B0DA4"/>
    <w:pPr>
      <w:keepNext/>
      <w:spacing w:before="240"/>
      <w:jc w:val="center"/>
    </w:pPr>
  </w:style>
  <w:style w:type="paragraph" w:customStyle="1" w:styleId="cover-author">
    <w:name w:val="cover-author"/>
    <w:basedOn w:val="Basetext"/>
    <w:rsid w:val="007B0DA4"/>
    <w:pPr>
      <w:contextualSpacing/>
      <w:jc w:val="right"/>
    </w:pPr>
    <w:rPr>
      <w:rFonts w:ascii="Arial Black" w:hAnsi="Arial Black"/>
    </w:rPr>
  </w:style>
  <w:style w:type="paragraph" w:customStyle="1" w:styleId="cover-text">
    <w:name w:val="cover-text"/>
    <w:basedOn w:val="Basetext"/>
    <w:link w:val="cover-textChar"/>
    <w:rsid w:val="007B0DA4"/>
    <w:pPr>
      <w:spacing w:before="600" w:after="240"/>
      <w:contextualSpacing/>
      <w:jc w:val="right"/>
    </w:pPr>
    <w:rPr>
      <w:rFonts w:ascii="Arial" w:hAnsi="Arial"/>
    </w:rPr>
  </w:style>
  <w:style w:type="paragraph" w:customStyle="1" w:styleId="cover-title">
    <w:name w:val="cover-title"/>
    <w:basedOn w:val="Baseheading"/>
    <w:rsid w:val="007B0DA4"/>
    <w:pPr>
      <w:keepNext w:val="0"/>
      <w:spacing w:before="600" w:after="720"/>
      <w:contextualSpacing/>
      <w:jc w:val="right"/>
    </w:pPr>
    <w:rPr>
      <w:rFonts w:ascii="Arial Black" w:hAnsi="Arial Black"/>
      <w:b w:val="0"/>
      <w:sz w:val="48"/>
    </w:rPr>
  </w:style>
  <w:style w:type="paragraph" w:customStyle="1" w:styleId="cover-subtitle">
    <w:name w:val="cover-subtitle"/>
    <w:basedOn w:val="Baseheading"/>
    <w:rsid w:val="007B0DA4"/>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rsid w:val="00850940"/>
    <w:pPr>
      <w:spacing w:before="120" w:after="120"/>
    </w:pPr>
  </w:style>
  <w:style w:type="paragraph" w:customStyle="1" w:styleId="figure-notealt-1">
    <w:name w:val="figure-note_alt-1"/>
    <w:basedOn w:val="Basetext"/>
    <w:rsid w:val="007B0DA4"/>
    <w:pPr>
      <w:keepLines/>
      <w:spacing w:before="60"/>
      <w:ind w:left="187" w:hanging="187"/>
    </w:pPr>
    <w:rPr>
      <w:sz w:val="20"/>
    </w:rPr>
  </w:style>
  <w:style w:type="paragraph" w:customStyle="1" w:styleId="disclaimer-text">
    <w:name w:val="disclaimer-text"/>
    <w:basedOn w:val="Basetext"/>
    <w:rsid w:val="007B0DA4"/>
    <w:pPr>
      <w:spacing w:line="240" w:lineRule="exact"/>
      <w:jc w:val="right"/>
    </w:pPr>
    <w:rPr>
      <w:rFonts w:ascii="Arial" w:hAnsi="Arial"/>
      <w:sz w:val="16"/>
    </w:rPr>
  </w:style>
  <w:style w:type="character" w:styleId="EndnoteReference">
    <w:name w:val="endnote reference"/>
    <w:uiPriority w:val="99"/>
    <w:unhideWhenUsed/>
    <w:rsid w:val="007B0DA4"/>
    <w:rPr>
      <w:rFonts w:ascii="Times New Roman" w:hAnsi="Times New Roman"/>
      <w:spacing w:val="0"/>
      <w:w w:val="100"/>
      <w:kern w:val="0"/>
      <w:position w:val="0"/>
      <w:vertAlign w:val="superscript"/>
    </w:rPr>
  </w:style>
  <w:style w:type="paragraph" w:styleId="EndnoteText">
    <w:name w:val="endnote text"/>
    <w:basedOn w:val="Basetext"/>
    <w:link w:val="EndnoteTextChar"/>
    <w:uiPriority w:val="99"/>
    <w:unhideWhenUsed/>
    <w:rsid w:val="007B0DA4"/>
    <w:pPr>
      <w:keepLines/>
      <w:spacing w:after="240"/>
      <w:ind w:left="720" w:hanging="720"/>
    </w:pPr>
    <w:rPr>
      <w:szCs w:val="20"/>
    </w:rPr>
  </w:style>
  <w:style w:type="character" w:customStyle="1" w:styleId="EndnoteTextChar">
    <w:name w:val="Endnote Text Char"/>
    <w:link w:val="EndnoteText"/>
    <w:uiPriority w:val="99"/>
    <w:rsid w:val="007B0DA4"/>
    <w:rPr>
      <w:rFonts w:eastAsia="SimSun"/>
      <w:sz w:val="24"/>
      <w:lang w:eastAsia="zh-CN"/>
    </w:rPr>
  </w:style>
  <w:style w:type="paragraph" w:customStyle="1" w:styleId="equation">
    <w:name w:val="equation"/>
    <w:basedOn w:val="Basetext"/>
    <w:rsid w:val="007B0DA4"/>
    <w:pPr>
      <w:tabs>
        <w:tab w:val="center" w:pos="4680"/>
        <w:tab w:val="right" w:pos="9360"/>
      </w:tabs>
      <w:spacing w:after="240" w:line="480" w:lineRule="atLeast"/>
    </w:pPr>
  </w:style>
  <w:style w:type="paragraph" w:customStyle="1" w:styleId="es-heading1">
    <w:name w:val="es-heading_1"/>
    <w:basedOn w:val="Baseheading"/>
    <w:rsid w:val="007B0DA4"/>
    <w:pPr>
      <w:spacing w:before="120" w:after="120"/>
      <w:ind w:left="720" w:hanging="720"/>
    </w:pPr>
    <w:rPr>
      <w:rFonts w:ascii="Times New Roman Bold" w:hAnsi="Times New Roman Bold"/>
      <w:caps/>
    </w:rPr>
  </w:style>
  <w:style w:type="paragraph" w:customStyle="1" w:styleId="es-heading2">
    <w:name w:val="es-heading_2"/>
    <w:basedOn w:val="Baseheading"/>
    <w:rsid w:val="007B0DA4"/>
    <w:pPr>
      <w:ind w:left="720" w:hanging="720"/>
      <w:outlineLvl w:val="1"/>
    </w:pPr>
  </w:style>
  <w:style w:type="paragraph" w:customStyle="1" w:styleId="es-heading3">
    <w:name w:val="es-heading_3"/>
    <w:basedOn w:val="Baseheading"/>
    <w:rsid w:val="007B0DA4"/>
    <w:pPr>
      <w:ind w:left="720" w:hanging="720"/>
      <w:outlineLvl w:val="2"/>
    </w:pPr>
    <w:rPr>
      <w:i/>
    </w:rPr>
  </w:style>
  <w:style w:type="paragraph" w:customStyle="1" w:styleId="es-heading4">
    <w:name w:val="es-heading_4"/>
    <w:basedOn w:val="Baseheading"/>
    <w:rsid w:val="007B0DA4"/>
    <w:pPr>
      <w:ind w:left="720" w:hanging="720"/>
      <w:outlineLvl w:val="3"/>
    </w:pPr>
    <w:rPr>
      <w:b w:val="0"/>
      <w:i/>
    </w:rPr>
  </w:style>
  <w:style w:type="paragraph" w:customStyle="1" w:styleId="figure-inlinew-box">
    <w:name w:val="figure-inline_w-box"/>
    <w:basedOn w:val="Basetext"/>
    <w:rsid w:val="007B0DA4"/>
    <w:pPr>
      <w:keepNext/>
      <w:pBdr>
        <w:top w:val="single" w:sz="12" w:space="9" w:color="auto"/>
        <w:left w:val="single" w:sz="12" w:space="6" w:color="auto"/>
        <w:bottom w:val="single" w:sz="12" w:space="9" w:color="auto"/>
        <w:right w:val="single" w:sz="12" w:space="4" w:color="auto"/>
      </w:pBdr>
      <w:spacing w:before="240" w:after="120"/>
      <w:ind w:left="187" w:right="187"/>
      <w:jc w:val="center"/>
    </w:pPr>
  </w:style>
  <w:style w:type="paragraph" w:customStyle="1" w:styleId="textbox-bullet">
    <w:name w:val="textbox-bullet"/>
    <w:basedOn w:val="Basetext"/>
    <w:rsid w:val="007B0DA4"/>
    <w:pPr>
      <w:numPr>
        <w:numId w:val="7"/>
      </w:numPr>
      <w:spacing w:before="60" w:after="60"/>
      <w:ind w:left="245" w:hanging="245"/>
    </w:pPr>
    <w:rPr>
      <w:sz w:val="20"/>
      <w:szCs w:val="24"/>
    </w:rPr>
  </w:style>
  <w:style w:type="paragraph" w:customStyle="1" w:styleId="figure-title">
    <w:name w:val="figure-title"/>
    <w:basedOn w:val="Basetext"/>
    <w:rsid w:val="007B0DA4"/>
    <w:pPr>
      <w:keepNext/>
      <w:keepLines/>
      <w:tabs>
        <w:tab w:val="left" w:pos="1260"/>
      </w:tabs>
      <w:spacing w:before="240"/>
    </w:pPr>
    <w:rPr>
      <w:b/>
    </w:rPr>
  </w:style>
  <w:style w:type="paragraph" w:styleId="ListContinue">
    <w:name w:val="List Continue"/>
    <w:basedOn w:val="Basetext"/>
    <w:unhideWhenUsed/>
    <w:rsid w:val="007B0DA4"/>
    <w:pPr>
      <w:spacing w:after="120"/>
      <w:ind w:left="720"/>
    </w:pPr>
  </w:style>
  <w:style w:type="paragraph" w:styleId="ListContinue2">
    <w:name w:val="List Continue 2"/>
    <w:basedOn w:val="Basetext"/>
    <w:uiPriority w:val="99"/>
    <w:unhideWhenUsed/>
    <w:rsid w:val="007B0DA4"/>
    <w:pPr>
      <w:spacing w:after="120"/>
      <w:ind w:left="1080"/>
    </w:pPr>
  </w:style>
  <w:style w:type="paragraph" w:styleId="Quote">
    <w:name w:val="Quote"/>
    <w:basedOn w:val="Basetext"/>
    <w:link w:val="QuoteChar"/>
    <w:uiPriority w:val="29"/>
    <w:rsid w:val="007B0DA4"/>
    <w:pPr>
      <w:spacing w:after="160" w:line="280" w:lineRule="atLeast"/>
      <w:ind w:left="720" w:right="720"/>
    </w:pPr>
    <w:rPr>
      <w:iCs/>
    </w:rPr>
  </w:style>
  <w:style w:type="character" w:customStyle="1" w:styleId="QuoteChar">
    <w:name w:val="Quote Char"/>
    <w:link w:val="Quote"/>
    <w:uiPriority w:val="29"/>
    <w:rsid w:val="007B0DA4"/>
    <w:rPr>
      <w:rFonts w:eastAsia="SimSun"/>
      <w:iCs/>
      <w:sz w:val="24"/>
      <w:szCs w:val="22"/>
      <w:lang w:eastAsia="zh-CN"/>
    </w:rPr>
  </w:style>
  <w:style w:type="paragraph" w:styleId="Subtitle">
    <w:name w:val="Subtitle"/>
    <w:basedOn w:val="Normal"/>
    <w:next w:val="Normal"/>
    <w:link w:val="SubtitleChar"/>
    <w:uiPriority w:val="11"/>
    <w:qFormat/>
    <w:rsid w:val="007B0DA4"/>
    <w:pPr>
      <w:numPr>
        <w:ilvl w:val="1"/>
      </w:numPr>
      <w:spacing w:after="2400"/>
      <w:jc w:val="right"/>
      <w:outlineLvl w:val="1"/>
    </w:pPr>
    <w:rPr>
      <w:b/>
      <w:iCs/>
      <w:spacing w:val="15"/>
      <w:sz w:val="36"/>
      <w:szCs w:val="24"/>
    </w:rPr>
  </w:style>
  <w:style w:type="character" w:customStyle="1" w:styleId="SubtitleChar">
    <w:name w:val="Subtitle Char"/>
    <w:link w:val="Subtitle"/>
    <w:uiPriority w:val="11"/>
    <w:rsid w:val="007B0DA4"/>
    <w:rPr>
      <w:rFonts w:eastAsia="SimSun"/>
      <w:b/>
      <w:iCs/>
      <w:spacing w:val="15"/>
      <w:sz w:val="36"/>
      <w:szCs w:val="24"/>
      <w:lang w:eastAsia="zh-CN"/>
    </w:rPr>
  </w:style>
  <w:style w:type="paragraph" w:customStyle="1" w:styleId="figure-notealt-2">
    <w:name w:val="figure-note_alt-2"/>
    <w:basedOn w:val="Basetext"/>
    <w:rsid w:val="007B0DA4"/>
    <w:pPr>
      <w:keepLines/>
      <w:spacing w:before="60" w:after="240"/>
      <w:ind w:left="187" w:hanging="187"/>
    </w:pPr>
    <w:rPr>
      <w:sz w:val="20"/>
    </w:rPr>
  </w:style>
  <w:style w:type="paragraph" w:customStyle="1" w:styleId="figure-notestd">
    <w:name w:val="figure-note_std"/>
    <w:basedOn w:val="Basetext"/>
    <w:rsid w:val="007B0DA4"/>
    <w:pPr>
      <w:keepLines/>
      <w:spacing w:before="120"/>
      <w:ind w:left="187" w:hanging="187"/>
    </w:pPr>
    <w:rPr>
      <w:sz w:val="20"/>
    </w:rPr>
  </w:style>
  <w:style w:type="paragraph" w:customStyle="1" w:styleId="figure-sourcealt-1">
    <w:name w:val="figure-source_alt-1"/>
    <w:basedOn w:val="Basetext"/>
    <w:rsid w:val="007B0DA4"/>
    <w:pPr>
      <w:keepLines/>
      <w:spacing w:before="120"/>
      <w:ind w:left="720" w:hanging="720"/>
    </w:pPr>
    <w:rPr>
      <w:sz w:val="20"/>
    </w:rPr>
  </w:style>
  <w:style w:type="paragraph" w:customStyle="1" w:styleId="table-bullet2nd">
    <w:name w:val="table-bullet_2nd"/>
    <w:basedOn w:val="Basetext"/>
    <w:rsid w:val="007B0DA4"/>
    <w:pPr>
      <w:numPr>
        <w:ilvl w:val="1"/>
        <w:numId w:val="5"/>
      </w:numPr>
      <w:spacing w:before="80" w:after="80"/>
    </w:pPr>
    <w:rPr>
      <w:sz w:val="22"/>
    </w:rPr>
  </w:style>
  <w:style w:type="paragraph" w:customStyle="1" w:styleId="table-bulletind">
    <w:name w:val="table-bullet_ind"/>
    <w:basedOn w:val="Basetext"/>
    <w:rsid w:val="007B0DA4"/>
    <w:pPr>
      <w:numPr>
        <w:numId w:val="10"/>
      </w:numPr>
      <w:spacing w:before="80" w:after="80"/>
      <w:ind w:left="490" w:hanging="245"/>
    </w:pPr>
    <w:rPr>
      <w:rFonts w:eastAsia="MS Mincho"/>
      <w:sz w:val="22"/>
      <w:szCs w:val="18"/>
      <w:lang w:eastAsia="en-US"/>
    </w:rPr>
  </w:style>
  <w:style w:type="paragraph" w:customStyle="1" w:styleId="table-bulletLM">
    <w:name w:val="table-bullet_LM"/>
    <w:basedOn w:val="Basetext"/>
    <w:qFormat/>
    <w:rsid w:val="007B0DA4"/>
    <w:pPr>
      <w:numPr>
        <w:numId w:val="9"/>
      </w:numPr>
      <w:spacing w:before="80" w:after="80"/>
      <w:ind w:left="245" w:hanging="245"/>
    </w:pPr>
    <w:rPr>
      <w:sz w:val="22"/>
    </w:rPr>
  </w:style>
  <w:style w:type="paragraph" w:customStyle="1" w:styleId="table-headers">
    <w:name w:val="table-headers"/>
    <w:basedOn w:val="Basetext"/>
    <w:rsid w:val="007B0DA4"/>
    <w:pPr>
      <w:keepNext/>
      <w:spacing w:before="80" w:after="80"/>
      <w:jc w:val="center"/>
    </w:pPr>
    <w:rPr>
      <w:b/>
      <w:sz w:val="22"/>
    </w:rPr>
  </w:style>
  <w:style w:type="paragraph" w:styleId="TableofFigures">
    <w:name w:val="table of figures"/>
    <w:basedOn w:val="Basetext"/>
    <w:next w:val="Normal"/>
    <w:uiPriority w:val="99"/>
    <w:unhideWhenUsed/>
    <w:rsid w:val="007B0DA4"/>
    <w:pPr>
      <w:tabs>
        <w:tab w:val="right" w:leader="dot" w:pos="9360"/>
      </w:tabs>
      <w:spacing w:before="40" w:after="40"/>
      <w:ind w:left="1080" w:right="720" w:hanging="1080"/>
    </w:pPr>
    <w:rPr>
      <w:noProof/>
    </w:rPr>
  </w:style>
  <w:style w:type="paragraph" w:customStyle="1" w:styleId="table-text">
    <w:name w:val="table-text"/>
    <w:basedOn w:val="Basetext"/>
    <w:rsid w:val="007B0DA4"/>
    <w:pPr>
      <w:spacing w:before="80" w:after="80"/>
    </w:pPr>
    <w:rPr>
      <w:sz w:val="22"/>
    </w:rPr>
  </w:style>
  <w:style w:type="paragraph" w:customStyle="1" w:styleId="table-textindent">
    <w:name w:val="table-text_indent"/>
    <w:basedOn w:val="Basetext"/>
    <w:qFormat/>
    <w:rsid w:val="007B0DA4"/>
    <w:pPr>
      <w:spacing w:before="80" w:after="80"/>
      <w:ind w:left="245"/>
    </w:pPr>
    <w:rPr>
      <w:sz w:val="22"/>
    </w:rPr>
  </w:style>
  <w:style w:type="paragraph" w:customStyle="1" w:styleId="table-title">
    <w:name w:val="table-title"/>
    <w:basedOn w:val="Basetext"/>
    <w:rsid w:val="007B0DA4"/>
    <w:pPr>
      <w:keepNext/>
      <w:keepLines/>
      <w:spacing w:before="240" w:after="240"/>
    </w:pPr>
    <w:rPr>
      <w:b/>
    </w:rPr>
  </w:style>
  <w:style w:type="paragraph" w:customStyle="1" w:styleId="table-titlecontinued">
    <w:name w:val="table-title_continued"/>
    <w:basedOn w:val="Basetext"/>
    <w:rsid w:val="007B0DA4"/>
    <w:pPr>
      <w:keepNext/>
      <w:keepLines/>
      <w:spacing w:before="240" w:after="240"/>
    </w:pPr>
    <w:rPr>
      <w:b/>
    </w:rPr>
  </w:style>
  <w:style w:type="paragraph" w:customStyle="1" w:styleId="TOCsubheading">
    <w:name w:val="TOC_subheading"/>
    <w:basedOn w:val="Baseheading"/>
    <w:rsid w:val="007B0DA4"/>
    <w:pPr>
      <w:tabs>
        <w:tab w:val="right" w:pos="9360"/>
      </w:tabs>
      <w:spacing w:before="120"/>
      <w:outlineLvl w:val="9"/>
    </w:pPr>
  </w:style>
  <w:style w:type="paragraph" w:styleId="TOC1">
    <w:name w:val="toc 1"/>
    <w:basedOn w:val="Basetext"/>
    <w:next w:val="Normal"/>
    <w:uiPriority w:val="39"/>
    <w:unhideWhenUsed/>
    <w:rsid w:val="007B0DA4"/>
    <w:pPr>
      <w:tabs>
        <w:tab w:val="left" w:pos="720"/>
        <w:tab w:val="right" w:pos="9360"/>
      </w:tabs>
      <w:spacing w:before="240" w:after="120"/>
      <w:ind w:left="720" w:right="720" w:hanging="360"/>
    </w:pPr>
    <w:rPr>
      <w:noProof/>
    </w:rPr>
  </w:style>
  <w:style w:type="paragraph" w:styleId="TOC2">
    <w:name w:val="toc 2"/>
    <w:basedOn w:val="Basetext"/>
    <w:next w:val="Normal"/>
    <w:uiPriority w:val="39"/>
    <w:unhideWhenUsed/>
    <w:rsid w:val="007B0DA4"/>
    <w:pPr>
      <w:tabs>
        <w:tab w:val="left" w:pos="1350"/>
        <w:tab w:val="right" w:leader="dot" w:pos="9360"/>
      </w:tabs>
      <w:spacing w:before="120" w:after="120"/>
      <w:ind w:left="1354" w:right="720" w:hanging="634"/>
    </w:pPr>
    <w:rPr>
      <w:noProof/>
    </w:rPr>
  </w:style>
  <w:style w:type="paragraph" w:styleId="TOC3">
    <w:name w:val="toc 3"/>
    <w:basedOn w:val="Basetext"/>
    <w:next w:val="Normal"/>
    <w:uiPriority w:val="39"/>
    <w:unhideWhenUsed/>
    <w:rsid w:val="007B0DA4"/>
    <w:pPr>
      <w:tabs>
        <w:tab w:val="left" w:pos="2160"/>
        <w:tab w:val="right" w:leader="dot" w:pos="9360"/>
      </w:tabs>
      <w:spacing w:before="60" w:after="60"/>
      <w:ind w:left="2160" w:right="720" w:hanging="720"/>
    </w:pPr>
    <w:rPr>
      <w:noProof/>
    </w:rPr>
  </w:style>
  <w:style w:type="paragraph" w:styleId="TOC4">
    <w:name w:val="toc 4"/>
    <w:basedOn w:val="Basetext"/>
    <w:next w:val="Normal"/>
    <w:uiPriority w:val="39"/>
    <w:unhideWhenUsed/>
    <w:rsid w:val="007B0DA4"/>
    <w:pPr>
      <w:tabs>
        <w:tab w:val="left" w:pos="2880"/>
        <w:tab w:val="right" w:leader="dot" w:pos="9360"/>
      </w:tabs>
      <w:spacing w:after="100"/>
      <w:ind w:left="2880" w:hanging="720"/>
    </w:pPr>
    <w:rPr>
      <w:noProof/>
    </w:rPr>
  </w:style>
  <w:style w:type="paragraph" w:styleId="TOCHeading">
    <w:name w:val="TOC Heading"/>
    <w:basedOn w:val="Baseheading"/>
    <w:next w:val="Normal"/>
    <w:uiPriority w:val="39"/>
    <w:unhideWhenUsed/>
    <w:rsid w:val="007B0DA4"/>
    <w:pPr>
      <w:spacing w:before="0"/>
      <w:jc w:val="center"/>
      <w:outlineLvl w:val="9"/>
    </w:pPr>
    <w:rPr>
      <w:caps/>
      <w:kern w:val="0"/>
      <w:sz w:val="28"/>
    </w:rPr>
  </w:style>
  <w:style w:type="paragraph" w:customStyle="1" w:styleId="numbers">
    <w:name w:val="numbers"/>
    <w:basedOn w:val="Basetext"/>
    <w:rsid w:val="007B0DA4"/>
    <w:pPr>
      <w:spacing w:after="120"/>
      <w:ind w:left="1080" w:hanging="360"/>
    </w:pPr>
  </w:style>
  <w:style w:type="paragraph" w:customStyle="1" w:styleId="numbers2nd-level">
    <w:name w:val="numbers_2nd-level"/>
    <w:basedOn w:val="Basetext"/>
    <w:rsid w:val="007B0DA4"/>
    <w:pPr>
      <w:spacing w:after="120"/>
      <w:ind w:left="1440" w:hanging="360"/>
    </w:pPr>
  </w:style>
  <w:style w:type="paragraph" w:customStyle="1" w:styleId="cover-address">
    <w:name w:val="cover-address"/>
    <w:basedOn w:val="Basetext"/>
    <w:rsid w:val="007B0DA4"/>
    <w:pPr>
      <w:contextualSpacing/>
      <w:jc w:val="right"/>
    </w:pPr>
    <w:rPr>
      <w:rFonts w:ascii="Arial" w:hAnsi="Arial"/>
    </w:rPr>
  </w:style>
  <w:style w:type="paragraph" w:customStyle="1" w:styleId="cover-textbold">
    <w:name w:val="cover-text_bold"/>
    <w:basedOn w:val="Basetext"/>
    <w:rsid w:val="007B0DA4"/>
    <w:pPr>
      <w:spacing w:before="240" w:after="600"/>
      <w:contextualSpacing/>
      <w:jc w:val="right"/>
    </w:pPr>
    <w:rPr>
      <w:rFonts w:ascii="Arial" w:hAnsi="Arial"/>
      <w:b/>
    </w:rPr>
  </w:style>
  <w:style w:type="paragraph" w:customStyle="1" w:styleId="figure-sourcestd">
    <w:name w:val="figure-source_std"/>
    <w:basedOn w:val="Basetext"/>
    <w:rsid w:val="007B0DA4"/>
    <w:pPr>
      <w:keepLines/>
      <w:spacing w:before="120" w:after="240"/>
      <w:ind w:left="720" w:hanging="720"/>
    </w:pPr>
    <w:rPr>
      <w:sz w:val="20"/>
    </w:rPr>
  </w:style>
  <w:style w:type="character" w:customStyle="1" w:styleId="cover-textChar">
    <w:name w:val="cover-text Char"/>
    <w:link w:val="cover-text"/>
    <w:rsid w:val="007B0DA4"/>
    <w:rPr>
      <w:rFonts w:ascii="Arial" w:eastAsia="SimSun" w:hAnsi="Arial"/>
      <w:sz w:val="24"/>
      <w:szCs w:val="22"/>
      <w:lang w:eastAsia="zh-CN"/>
    </w:rPr>
  </w:style>
  <w:style w:type="paragraph" w:customStyle="1" w:styleId="biblio-entry">
    <w:name w:val="biblio-entry"/>
    <w:basedOn w:val="Basetext"/>
    <w:rsid w:val="007B0DA4"/>
    <w:pPr>
      <w:keepLines/>
      <w:spacing w:after="240"/>
      <w:ind w:left="720" w:hanging="720"/>
    </w:pPr>
  </w:style>
  <w:style w:type="paragraph" w:customStyle="1" w:styleId="textbox-heading">
    <w:name w:val="textbox-heading"/>
    <w:basedOn w:val="Baseheading"/>
    <w:rsid w:val="007B0DA4"/>
    <w:pPr>
      <w:spacing w:before="60" w:after="60"/>
      <w:jc w:val="center"/>
    </w:pPr>
    <w:rPr>
      <w:sz w:val="20"/>
    </w:rPr>
  </w:style>
  <w:style w:type="paragraph" w:customStyle="1" w:styleId="textbox-text">
    <w:name w:val="textbox-text"/>
    <w:basedOn w:val="Basetext"/>
    <w:rsid w:val="007B0DA4"/>
    <w:pPr>
      <w:spacing w:before="60" w:after="60"/>
    </w:pPr>
    <w:rPr>
      <w:sz w:val="20"/>
    </w:rPr>
  </w:style>
  <w:style w:type="paragraph" w:customStyle="1" w:styleId="summary-header">
    <w:name w:val="summary-header"/>
    <w:basedOn w:val="Baseheading"/>
    <w:rsid w:val="007B0DA4"/>
    <w:pPr>
      <w:spacing w:before="120" w:after="120"/>
      <w:ind w:left="720" w:hanging="720"/>
    </w:pPr>
    <w:rPr>
      <w:rFonts w:ascii="Times New Roman Bold" w:hAnsi="Times New Roman Bold"/>
      <w:caps/>
    </w:rPr>
  </w:style>
  <w:style w:type="paragraph" w:customStyle="1" w:styleId="summary-text">
    <w:name w:val="summary-text"/>
    <w:basedOn w:val="Basetext"/>
    <w:rsid w:val="007B0DA4"/>
    <w:pPr>
      <w:spacing w:after="160" w:line="320" w:lineRule="exact"/>
    </w:pPr>
  </w:style>
  <w:style w:type="paragraph" w:customStyle="1" w:styleId="author-affil-header">
    <w:name w:val="author-affil-header"/>
    <w:basedOn w:val="Baseheading"/>
    <w:rsid w:val="007B0DA4"/>
    <w:pPr>
      <w:spacing w:before="120" w:after="120"/>
      <w:ind w:left="720" w:hanging="720"/>
    </w:pPr>
    <w:rPr>
      <w:rFonts w:ascii="Times New Roman Bold" w:hAnsi="Times New Roman Bold"/>
      <w:caps/>
    </w:rPr>
  </w:style>
  <w:style w:type="paragraph" w:customStyle="1" w:styleId="author-affil-text">
    <w:name w:val="author-affil-text"/>
    <w:basedOn w:val="Basetext"/>
    <w:rsid w:val="007B0DA4"/>
    <w:pPr>
      <w:spacing w:after="120" w:line="360" w:lineRule="auto"/>
      <w:ind w:firstLine="720"/>
    </w:pPr>
  </w:style>
  <w:style w:type="paragraph" w:customStyle="1" w:styleId="author-bio-info">
    <w:name w:val="author-bio-info"/>
    <w:basedOn w:val="Basetext"/>
    <w:rsid w:val="007B0DA4"/>
    <w:pPr>
      <w:spacing w:after="160" w:line="320" w:lineRule="exact"/>
    </w:pPr>
  </w:style>
  <w:style w:type="paragraph" w:customStyle="1" w:styleId="author-list-header">
    <w:name w:val="author-list-header"/>
    <w:basedOn w:val="Baseheading"/>
    <w:rsid w:val="007B0DA4"/>
    <w:pPr>
      <w:spacing w:before="120" w:after="120"/>
      <w:ind w:left="720" w:hanging="720"/>
    </w:pPr>
    <w:rPr>
      <w:rFonts w:ascii="Times New Roman Bold" w:hAnsi="Times New Roman Bold"/>
      <w:caps/>
    </w:rPr>
  </w:style>
  <w:style w:type="paragraph" w:customStyle="1" w:styleId="author-list-name">
    <w:name w:val="author-list-name"/>
    <w:basedOn w:val="Basetext"/>
    <w:rsid w:val="007B0DA4"/>
    <w:pPr>
      <w:spacing w:after="720"/>
      <w:contextualSpacing/>
      <w:jc w:val="center"/>
    </w:pPr>
  </w:style>
  <w:style w:type="paragraph" w:customStyle="1" w:styleId="copyright-permissions">
    <w:name w:val="copyright-permissions"/>
    <w:basedOn w:val="Basetext"/>
    <w:rsid w:val="007B0DA4"/>
    <w:pPr>
      <w:spacing w:after="160" w:line="320" w:lineRule="exact"/>
    </w:pPr>
  </w:style>
  <w:style w:type="paragraph" w:customStyle="1" w:styleId="keywords-list">
    <w:name w:val="keywords-list"/>
    <w:basedOn w:val="Basetext"/>
    <w:rsid w:val="007B0DA4"/>
    <w:pPr>
      <w:spacing w:after="160" w:line="320" w:lineRule="exact"/>
    </w:pPr>
  </w:style>
  <w:style w:type="paragraph" w:customStyle="1" w:styleId="pub-series-info">
    <w:name w:val="pub-series-info"/>
    <w:basedOn w:val="Basetext"/>
    <w:rsid w:val="007B0DA4"/>
    <w:pPr>
      <w:spacing w:after="160" w:line="320" w:lineRule="exact"/>
    </w:pPr>
  </w:style>
  <w:style w:type="paragraph" w:customStyle="1" w:styleId="suggested-cite-header">
    <w:name w:val="suggested-cite-header"/>
    <w:basedOn w:val="Baseheading"/>
    <w:rsid w:val="007B0DA4"/>
    <w:pPr>
      <w:spacing w:before="120" w:after="120"/>
      <w:ind w:left="720" w:hanging="720"/>
    </w:pPr>
    <w:rPr>
      <w:rFonts w:ascii="Times New Roman Bold" w:hAnsi="Times New Roman Bold"/>
      <w:caps/>
    </w:rPr>
  </w:style>
  <w:style w:type="paragraph" w:customStyle="1" w:styleId="suggested-cite-text">
    <w:name w:val="suggested-cite-text"/>
    <w:basedOn w:val="Basetext"/>
    <w:rsid w:val="007B0DA4"/>
    <w:pPr>
      <w:spacing w:after="160" w:line="320" w:lineRule="exact"/>
    </w:pPr>
  </w:style>
  <w:style w:type="paragraph" w:customStyle="1" w:styleId="ack-header">
    <w:name w:val="ack-header"/>
    <w:basedOn w:val="Baseheading"/>
    <w:rsid w:val="007B0DA4"/>
    <w:pPr>
      <w:spacing w:before="120" w:after="120"/>
      <w:ind w:left="720" w:hanging="720"/>
    </w:pPr>
    <w:rPr>
      <w:rFonts w:ascii="Times New Roman Bold" w:hAnsi="Times New Roman Bold"/>
      <w:caps/>
    </w:rPr>
  </w:style>
  <w:style w:type="paragraph" w:customStyle="1" w:styleId="ack-text">
    <w:name w:val="ack-text"/>
    <w:basedOn w:val="Basetext"/>
    <w:rsid w:val="007B0DA4"/>
    <w:pPr>
      <w:spacing w:after="120" w:line="360" w:lineRule="auto"/>
      <w:ind w:firstLine="720"/>
    </w:pPr>
  </w:style>
  <w:style w:type="paragraph" w:customStyle="1" w:styleId="biblio-header">
    <w:name w:val="biblio-header"/>
    <w:basedOn w:val="Baseheading"/>
    <w:rsid w:val="007B0DA4"/>
    <w:pPr>
      <w:spacing w:before="120" w:after="120"/>
      <w:ind w:left="720" w:hanging="720"/>
    </w:pPr>
    <w:rPr>
      <w:rFonts w:ascii="Times New Roman Bold" w:hAnsi="Times New Roman Bold"/>
      <w:caps/>
    </w:rPr>
  </w:style>
  <w:style w:type="paragraph" w:customStyle="1" w:styleId="endnote-header">
    <w:name w:val="endnote-header"/>
    <w:basedOn w:val="Baseheading"/>
    <w:rsid w:val="007B0DA4"/>
    <w:pPr>
      <w:spacing w:before="120" w:after="120"/>
      <w:ind w:left="720" w:hanging="720"/>
    </w:pPr>
    <w:rPr>
      <w:rFonts w:ascii="Times New Roman Bold" w:hAnsi="Times New Roman Bold"/>
      <w:caps/>
    </w:rPr>
  </w:style>
  <w:style w:type="paragraph" w:customStyle="1" w:styleId="cover-date">
    <w:name w:val="cover-date"/>
    <w:basedOn w:val="Basetext"/>
    <w:rsid w:val="007B0DA4"/>
    <w:pPr>
      <w:spacing w:before="240" w:after="720"/>
      <w:jc w:val="right"/>
    </w:pPr>
    <w:rPr>
      <w:rFonts w:ascii="Arial" w:hAnsi="Arial"/>
      <w:b/>
      <w:sz w:val="28"/>
    </w:rPr>
  </w:style>
  <w:style w:type="paragraph" w:customStyle="1" w:styleId="table-notealt-1">
    <w:name w:val="table-note_alt-1"/>
    <w:basedOn w:val="Basetext"/>
    <w:rsid w:val="007B0DA4"/>
    <w:pPr>
      <w:keepLines/>
      <w:spacing w:before="60"/>
      <w:ind w:left="187" w:hanging="187"/>
    </w:pPr>
    <w:rPr>
      <w:sz w:val="20"/>
    </w:rPr>
  </w:style>
  <w:style w:type="paragraph" w:customStyle="1" w:styleId="table-notealt-2">
    <w:name w:val="table-note_alt-2"/>
    <w:basedOn w:val="Basetext"/>
    <w:rsid w:val="007B0DA4"/>
    <w:pPr>
      <w:keepLines/>
      <w:spacing w:before="60" w:after="240"/>
      <w:ind w:left="187" w:hanging="187"/>
    </w:pPr>
    <w:rPr>
      <w:sz w:val="20"/>
    </w:rPr>
  </w:style>
  <w:style w:type="paragraph" w:customStyle="1" w:styleId="table-notestd">
    <w:name w:val="table-note_std"/>
    <w:basedOn w:val="Basetext"/>
    <w:rsid w:val="007B0DA4"/>
    <w:pPr>
      <w:keepLines/>
      <w:spacing w:before="120"/>
      <w:ind w:left="187" w:hanging="187"/>
    </w:pPr>
    <w:rPr>
      <w:sz w:val="20"/>
    </w:rPr>
  </w:style>
  <w:style w:type="paragraph" w:customStyle="1" w:styleId="table-sourcealt-1">
    <w:name w:val="table-source_alt-1"/>
    <w:basedOn w:val="Basetext"/>
    <w:rsid w:val="007B0DA4"/>
    <w:pPr>
      <w:keepLines/>
      <w:spacing w:before="60"/>
      <w:ind w:left="187" w:hanging="187"/>
    </w:pPr>
    <w:rPr>
      <w:sz w:val="20"/>
    </w:rPr>
  </w:style>
  <w:style w:type="paragraph" w:customStyle="1" w:styleId="table-sourcestd">
    <w:name w:val="table-source_std"/>
    <w:basedOn w:val="Basetext"/>
    <w:rsid w:val="007B0DA4"/>
    <w:pPr>
      <w:keepLines/>
      <w:spacing w:before="120" w:after="400"/>
      <w:ind w:left="187" w:hanging="187"/>
    </w:pPr>
    <w:rPr>
      <w:sz w:val="20"/>
    </w:rPr>
  </w:style>
  <w:style w:type="paragraph" w:customStyle="1" w:styleId="cover-project-no">
    <w:name w:val="cover-project-no"/>
    <w:basedOn w:val="Basetext"/>
    <w:rsid w:val="007B0DA4"/>
    <w:pPr>
      <w:autoSpaceDE w:val="0"/>
      <w:autoSpaceDN w:val="0"/>
      <w:adjustRightInd w:val="0"/>
      <w:spacing w:before="600" w:after="240"/>
      <w:contextualSpacing/>
      <w:jc w:val="right"/>
    </w:pPr>
    <w:rPr>
      <w:rFonts w:ascii="Arial" w:eastAsia="Times New Roman" w:hAnsi="Arial"/>
      <w:szCs w:val="24"/>
    </w:rPr>
  </w:style>
  <w:style w:type="paragraph" w:customStyle="1" w:styleId="Disclaimer">
    <w:name w:val="Disclaimer"/>
    <w:basedOn w:val="Normal"/>
    <w:rsid w:val="007B0DA4"/>
    <w:pPr>
      <w:spacing w:line="240" w:lineRule="exact"/>
      <w:jc w:val="right"/>
    </w:pPr>
    <w:rPr>
      <w:rFonts w:ascii="Arial" w:eastAsia="MS Mincho" w:hAnsi="Arial"/>
      <w:bCs/>
      <w:sz w:val="16"/>
      <w:szCs w:val="16"/>
      <w:lang w:eastAsia="en-US"/>
    </w:rPr>
  </w:style>
  <w:style w:type="table" w:customStyle="1" w:styleId="RTITableOMB">
    <w:name w:val="RTI_Table_OMB"/>
    <w:basedOn w:val="TableNormal"/>
    <w:uiPriority w:val="99"/>
    <w:rsid w:val="007B0DA4"/>
    <w:rPr>
      <w:rFonts w:eastAsia="SimSu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BalloonTextChar">
    <w:name w:val="Balloon Text Char"/>
    <w:link w:val="BalloonText"/>
    <w:uiPriority w:val="99"/>
    <w:semiHidden/>
    <w:rsid w:val="007B0DA4"/>
    <w:rPr>
      <w:rFonts w:ascii="Segoe UI" w:eastAsia="SimSun" w:hAnsi="Segoe UI" w:cs="Segoe UI"/>
      <w:sz w:val="18"/>
      <w:szCs w:val="18"/>
      <w:lang w:eastAsia="zh-CN"/>
    </w:rPr>
  </w:style>
  <w:style w:type="paragraph" w:customStyle="1" w:styleId="titlepage-title">
    <w:name w:val="titlepage-title"/>
    <w:basedOn w:val="Basetext"/>
    <w:next w:val="Title"/>
    <w:rsid w:val="007B0DA4"/>
    <w:pPr>
      <w:spacing w:before="3120" w:after="480"/>
      <w:contextualSpacing/>
      <w:jc w:val="center"/>
    </w:pPr>
    <w:rPr>
      <w:rFonts w:ascii="Times New Roman Bold" w:hAnsi="Times New Roman Bold"/>
      <w:b/>
      <w:sz w:val="28"/>
      <w:szCs w:val="24"/>
    </w:rPr>
  </w:style>
  <w:style w:type="paragraph" w:customStyle="1" w:styleId="titlepage-text">
    <w:name w:val="titlepage-text"/>
    <w:basedOn w:val="Basetext"/>
    <w:rsid w:val="007B0DA4"/>
    <w:pPr>
      <w:spacing w:before="720"/>
      <w:jc w:val="center"/>
    </w:pPr>
  </w:style>
  <w:style w:type="paragraph" w:customStyle="1" w:styleId="rtitext">
    <w:name w:val="rti_text"/>
    <w:basedOn w:val="Normal"/>
    <w:qFormat/>
    <w:rsid w:val="007B0DA4"/>
    <w:pPr>
      <w:spacing w:before="2880"/>
      <w:jc w:val="center"/>
    </w:pPr>
    <w:rPr>
      <w:rFonts w:eastAsia="Times New Roman"/>
      <w:szCs w:val="20"/>
      <w:lang w:eastAsia="en-US"/>
    </w:rPr>
  </w:style>
  <w:style w:type="paragraph" w:styleId="Title">
    <w:name w:val="Title"/>
    <w:basedOn w:val="Normal"/>
    <w:next w:val="Normal"/>
    <w:link w:val="TitleChar"/>
    <w:uiPriority w:val="10"/>
    <w:qFormat/>
    <w:rsid w:val="007B0DA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7B0DA4"/>
    <w:rPr>
      <w:rFonts w:ascii="Calibri Light" w:hAnsi="Calibri Light"/>
      <w:b/>
      <w:bCs/>
      <w:kern w:val="28"/>
      <w:sz w:val="32"/>
      <w:szCs w:val="32"/>
      <w:lang w:eastAsia="zh-CN"/>
    </w:rPr>
  </w:style>
  <w:style w:type="paragraph" w:styleId="ListBullet">
    <w:name w:val="List Bullet"/>
    <w:basedOn w:val="Normal"/>
    <w:unhideWhenUsed/>
    <w:rsid w:val="00AD4C50"/>
    <w:pPr>
      <w:numPr>
        <w:numId w:val="2"/>
      </w:numPr>
      <w:autoSpaceDE w:val="0"/>
      <w:autoSpaceDN w:val="0"/>
      <w:adjustRightInd w:val="0"/>
      <w:spacing w:before="120" w:after="120"/>
    </w:pPr>
    <w:rPr>
      <w:rFonts w:eastAsia="Times New Roman" w:cs="Verdana"/>
      <w:szCs w:val="24"/>
      <w:lang w:eastAsia="en-US"/>
    </w:rPr>
  </w:style>
  <w:style w:type="character" w:customStyle="1" w:styleId="UnresolvedMention1">
    <w:name w:val="Unresolved Mention1"/>
    <w:uiPriority w:val="99"/>
    <w:unhideWhenUsed/>
    <w:rsid w:val="008B5E11"/>
    <w:rPr>
      <w:color w:val="808080"/>
      <w:shd w:val="clear" w:color="auto" w:fill="E6E6E6"/>
    </w:rPr>
  </w:style>
  <w:style w:type="paragraph" w:styleId="Revision">
    <w:name w:val="Revision"/>
    <w:hidden/>
    <w:uiPriority w:val="99"/>
    <w:semiHidden/>
    <w:rsid w:val="00285D64"/>
    <w:rPr>
      <w:rFonts w:eastAsia="SimSun"/>
      <w:sz w:val="24"/>
      <w:szCs w:val="22"/>
      <w:lang w:eastAsia="zh-CN"/>
    </w:rPr>
  </w:style>
  <w:style w:type="paragraph" w:customStyle="1" w:styleId="EndNoteBibliographyTitle">
    <w:name w:val="EndNote Bibliography Title"/>
    <w:basedOn w:val="Normal"/>
    <w:link w:val="EndNoteBibliographyTitleChar"/>
    <w:rsid w:val="00026758"/>
    <w:pPr>
      <w:jc w:val="center"/>
    </w:pPr>
    <w:rPr>
      <w:noProof/>
    </w:rPr>
  </w:style>
  <w:style w:type="character" w:customStyle="1" w:styleId="EndNoteBibliographyTitleChar">
    <w:name w:val="EndNote Bibliography Title Char"/>
    <w:link w:val="EndNoteBibliographyTitle"/>
    <w:rsid w:val="00026758"/>
    <w:rPr>
      <w:rFonts w:eastAsia="SimSun"/>
      <w:noProof/>
      <w:sz w:val="24"/>
      <w:szCs w:val="22"/>
      <w:lang w:eastAsia="zh-CN"/>
    </w:rPr>
  </w:style>
  <w:style w:type="paragraph" w:customStyle="1" w:styleId="EndNoteBibliography">
    <w:name w:val="EndNote Bibliography"/>
    <w:basedOn w:val="Normal"/>
    <w:link w:val="EndNoteBibliographyChar"/>
    <w:rsid w:val="00026758"/>
    <w:rPr>
      <w:noProof/>
    </w:rPr>
  </w:style>
  <w:style w:type="character" w:customStyle="1" w:styleId="EndNoteBibliographyChar">
    <w:name w:val="EndNote Bibliography Char"/>
    <w:link w:val="EndNoteBibliography"/>
    <w:rsid w:val="00026758"/>
    <w:rPr>
      <w:rFonts w:eastAsia="SimSun"/>
      <w:noProof/>
      <w:sz w:val="24"/>
      <w:szCs w:val="22"/>
      <w:lang w:eastAsia="zh-CN"/>
    </w:rPr>
  </w:style>
  <w:style w:type="paragraph" w:styleId="BodyText3">
    <w:name w:val="Body Text 3"/>
    <w:basedOn w:val="Normal"/>
    <w:link w:val="BodyText3Char"/>
    <w:rsid w:val="0016285A"/>
    <w:pPr>
      <w:spacing w:after="120"/>
    </w:pPr>
    <w:rPr>
      <w:sz w:val="16"/>
      <w:szCs w:val="16"/>
    </w:rPr>
  </w:style>
  <w:style w:type="character" w:customStyle="1" w:styleId="BodyText3Char">
    <w:name w:val="Body Text 3 Char"/>
    <w:link w:val="BodyText3"/>
    <w:rsid w:val="0016285A"/>
    <w:rPr>
      <w:rFonts w:eastAsia="SimSun"/>
      <w:sz w:val="16"/>
      <w:szCs w:val="16"/>
      <w:lang w:eastAsia="zh-CN"/>
    </w:rPr>
  </w:style>
  <w:style w:type="character" w:customStyle="1" w:styleId="Mention1">
    <w:name w:val="Mention1"/>
    <w:basedOn w:val="DefaultParagraphFont"/>
    <w:uiPriority w:val="99"/>
    <w:unhideWhenUsed/>
    <w:rsid w:val="009630B0"/>
    <w:rPr>
      <w:color w:val="2B579A"/>
      <w:shd w:val="clear" w:color="auto" w:fill="E1DFDD"/>
    </w:rPr>
  </w:style>
  <w:style w:type="character" w:customStyle="1" w:styleId="normaltextrun">
    <w:name w:val="normaltextrun"/>
    <w:basedOn w:val="DefaultParagraphFont"/>
    <w:rsid w:val="00FB0074"/>
  </w:style>
  <w:style w:type="character" w:customStyle="1" w:styleId="spellingerror">
    <w:name w:val="spellingerror"/>
    <w:basedOn w:val="DefaultParagraphFont"/>
    <w:rsid w:val="00FB0074"/>
  </w:style>
  <w:style w:type="character" w:customStyle="1" w:styleId="eop">
    <w:name w:val="eop"/>
    <w:basedOn w:val="DefaultParagraphFont"/>
    <w:rsid w:val="00FB0074"/>
  </w:style>
  <w:style w:type="character" w:styleId="UnresolvedMention">
    <w:name w:val="Unresolved Mention"/>
    <w:basedOn w:val="DefaultParagraphFont"/>
    <w:uiPriority w:val="99"/>
    <w:semiHidden/>
    <w:unhideWhenUsed/>
    <w:rsid w:val="004B6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ogle.com/search?q=IQ+solutions" TargetMode="External" /><Relationship Id="rId11" Type="http://schemas.openxmlformats.org/officeDocument/2006/relationships/hyperlink" Target="mailto:sblackstone@iqsolutions.com" TargetMode="External" /><Relationship Id="rId12" Type="http://schemas.openxmlformats.org/officeDocument/2006/relationships/hyperlink" Target="mailto:sevans@squaredresearch.com" TargetMode="External" /><Relationship Id="rId13" Type="http://schemas.openxmlformats.org/officeDocument/2006/relationships/hyperlink" Target="https://www.ncbi.nlm.nih.gov/pmc/articles/PMC5079844/" TargetMode="External" /><Relationship Id="rId14" Type="http://schemas.openxmlformats.org/officeDocument/2006/relationships/hyperlink" Target="https://www.ncbi.nlm.nih.gov/pmc/articles/PMC4817358/"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mily.sanders@fda.hhs.gov" TargetMode="External" /><Relationship Id="rId7" Type="http://schemas.openxmlformats.org/officeDocument/2006/relationships/hyperlink" Target="mailto:Anh.Zarndt@fda.hhs.gov" TargetMode="External" /><Relationship Id="rId8" Type="http://schemas.openxmlformats.org/officeDocument/2006/relationships/hyperlink" Target="mailto:alexandra.budenz@fda.hhs.gov" TargetMode="External" /><Relationship Id="rId9" Type="http://schemas.openxmlformats.org/officeDocument/2006/relationships/hyperlink" Target="mailto:emacario@iqsolutions.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media/112373/download" TargetMode="External" /><Relationship Id="rId2" Type="http://schemas.openxmlformats.org/officeDocument/2006/relationships/hyperlink" Target="https://www.insightsassociation.org/sites/default/files/misc_files/ia_code_revised_november_2021_finalv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D09A1-F4A3-446D-BB58-D444916B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4110</Words>
  <Characters>23919</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Gittleson</cp:lastModifiedBy>
  <cp:revision>2</cp:revision>
  <dcterms:created xsi:type="dcterms:W3CDTF">2023-02-10T21:08:00Z</dcterms:created>
  <dcterms:modified xsi:type="dcterms:W3CDTF">2023-02-10T21:08:00Z</dcterms:modified>
</cp:coreProperties>
</file>