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2DFF" w:rsidRPr="00F030EA" w:rsidP="00F030EA" w14:paraId="7E414199" w14:textId="6C28CBFD"/>
    <w:p w:rsidR="00644417" w:rsidRPr="00086C68" w:rsidP="686B6D2C" w14:paraId="292FA01C" w14:textId="66D2F17E">
      <w:pPr>
        <w:pStyle w:val="Header"/>
        <w:contextualSpacing/>
        <w:jc w:val="center"/>
        <w:rPr>
          <w:b/>
          <w:bCs/>
          <w:color w:val="000000" w:themeColor="text1"/>
          <w:sz w:val="24"/>
          <w:szCs w:val="24"/>
        </w:rPr>
      </w:pPr>
      <w:r w:rsidRPr="00086C68">
        <w:rPr>
          <w:b/>
          <w:bCs/>
          <w:color w:val="000000" w:themeColor="text1"/>
          <w:sz w:val="24"/>
          <w:szCs w:val="24"/>
        </w:rPr>
        <w:t xml:space="preserve">U.S. Food and Drug Administration </w:t>
      </w:r>
    </w:p>
    <w:p w:rsidR="00644417" w:rsidRPr="00086C68" w:rsidP="686B6D2C" w14:paraId="45876217" w14:textId="57A13C88">
      <w:pPr>
        <w:pStyle w:val="Header"/>
        <w:contextualSpacing/>
        <w:jc w:val="center"/>
        <w:rPr>
          <w:b/>
          <w:bCs/>
          <w:color w:val="000000" w:themeColor="text1"/>
          <w:sz w:val="24"/>
          <w:szCs w:val="24"/>
        </w:rPr>
      </w:pPr>
      <w:r w:rsidRPr="00086C68">
        <w:rPr>
          <w:b/>
          <w:bCs/>
          <w:color w:val="000000" w:themeColor="text1"/>
          <w:sz w:val="24"/>
          <w:szCs w:val="24"/>
        </w:rPr>
        <w:t>Center for Tobacco Products</w:t>
      </w:r>
    </w:p>
    <w:p w:rsidR="686B6D2C" w:rsidRPr="00086C68" w:rsidP="686B6D2C" w14:paraId="01D2D598" w14:textId="650C6FF3">
      <w:pPr>
        <w:pStyle w:val="Header"/>
        <w:contextualSpacing/>
        <w:jc w:val="center"/>
        <w:rPr>
          <w:color w:val="000000" w:themeColor="text1"/>
          <w:sz w:val="24"/>
          <w:szCs w:val="24"/>
        </w:rPr>
      </w:pPr>
      <w:r w:rsidRPr="00086C68">
        <w:rPr>
          <w:b/>
          <w:bCs/>
          <w:color w:val="000000" w:themeColor="text1"/>
          <w:sz w:val="24"/>
          <w:szCs w:val="24"/>
        </w:rPr>
        <w:t>Monthly Monitoring Study: Little Cigar, Cigarillo, and Blunt Use Audience Insights Survey</w:t>
      </w:r>
    </w:p>
    <w:p w:rsidR="686B6D2C" w:rsidRPr="00086C68" w:rsidP="686B6D2C" w14:paraId="6E203012" w14:textId="59D4F407">
      <w:pPr>
        <w:pStyle w:val="Header"/>
        <w:jc w:val="center"/>
        <w:rPr>
          <w:b/>
          <w:bCs/>
          <w:sz w:val="24"/>
          <w:szCs w:val="24"/>
        </w:rPr>
      </w:pPr>
      <w:r w:rsidRPr="00086C68">
        <w:rPr>
          <w:b/>
          <w:bCs/>
          <w:sz w:val="24"/>
          <w:szCs w:val="24"/>
        </w:rPr>
        <w:t>OMB Control Number 0910-0810</w:t>
      </w:r>
    </w:p>
    <w:p w:rsidR="006E71B8" w:rsidRPr="00644417" w:rsidP="006E71B8" w14:paraId="26324546" w14:textId="236C5CFB">
      <w:pPr>
        <w:jc w:val="center"/>
        <w:rPr>
          <w:b/>
          <w:sz w:val="24"/>
          <w:szCs w:val="24"/>
        </w:rPr>
      </w:pPr>
      <w:r>
        <w:rPr>
          <w:b/>
          <w:sz w:val="24"/>
          <w:szCs w:val="24"/>
        </w:rPr>
        <w:t xml:space="preserve">Generic IC </w:t>
      </w:r>
      <w:r w:rsidRPr="00644417">
        <w:rPr>
          <w:b/>
          <w:sz w:val="24"/>
          <w:szCs w:val="24"/>
        </w:rPr>
        <w:t>Supporting Statement: Part B</w:t>
      </w:r>
    </w:p>
    <w:p w:rsidR="006E71B8" w:rsidP="006E71B8" w14:paraId="719863FF" w14:textId="77777777">
      <w:pPr>
        <w:jc w:val="center"/>
        <w:rPr>
          <w:b/>
          <w:sz w:val="24"/>
          <w:szCs w:val="24"/>
        </w:rPr>
      </w:pPr>
    </w:p>
    <w:p w:rsidR="006E71B8" w:rsidP="006E71B8" w14:paraId="7E41181B" w14:textId="77777777">
      <w:pPr>
        <w:rPr>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006E71B8" w:rsidRPr="00A77197" w:rsidP="006E71B8" w14:paraId="2246C85C" w14:textId="77777777">
      <w:pPr>
        <w:rPr>
          <w:b/>
          <w:bCs/>
          <w:caps/>
          <w:sz w:val="24"/>
          <w:szCs w:val="24"/>
        </w:rPr>
      </w:pPr>
    </w:p>
    <w:p w:rsidR="006E71B8" w:rsidP="006E71B8" w14:paraId="10813157" w14:textId="77777777">
      <w:pPr>
        <w:rPr>
          <w:b/>
          <w:sz w:val="24"/>
          <w:szCs w:val="24"/>
          <w:u w:val="single"/>
        </w:rPr>
      </w:pPr>
      <w:r w:rsidRPr="00A77197">
        <w:rPr>
          <w:b/>
          <w:sz w:val="24"/>
          <w:szCs w:val="24"/>
          <w:u w:val="single"/>
        </w:rPr>
        <w:t xml:space="preserve">1. Respondent Universe and Sampling Methods </w:t>
      </w:r>
    </w:p>
    <w:p w:rsidR="006E71B8" w:rsidP="006E71B8" w14:paraId="474E87C2" w14:textId="77777777">
      <w:pPr>
        <w:rPr>
          <w:b/>
          <w:sz w:val="24"/>
          <w:szCs w:val="24"/>
          <w:u w:val="single"/>
        </w:rPr>
      </w:pPr>
    </w:p>
    <w:p w:rsidR="006E71B8" w:rsidP="006E71B8" w14:paraId="2ABAFD50" w14:textId="77777777">
      <w:pPr>
        <w:rPr>
          <w:sz w:val="24"/>
          <w:szCs w:val="24"/>
        </w:rPr>
      </w:pPr>
      <w:r w:rsidRPr="002E054D">
        <w:rPr>
          <w:sz w:val="24"/>
          <w:szCs w:val="24"/>
        </w:rPr>
        <w:t xml:space="preserve">The one-time actual burden figures are listed in </w:t>
      </w:r>
      <w:r>
        <w:rPr>
          <w:sz w:val="24"/>
          <w:szCs w:val="24"/>
        </w:rPr>
        <w:t xml:space="preserve">the tables in the Part </w:t>
      </w:r>
      <w:r>
        <w:rPr>
          <w:sz w:val="24"/>
          <w:szCs w:val="24"/>
        </w:rPr>
        <w:t>A</w:t>
      </w:r>
      <w:r>
        <w:rPr>
          <w:sz w:val="24"/>
          <w:szCs w:val="24"/>
        </w:rPr>
        <w:t xml:space="preserve"> Supporting Statement </w:t>
      </w:r>
    </w:p>
    <w:p w:rsidR="006E71B8" w:rsidP="006E71B8" w14:paraId="6294A5C0" w14:textId="2E0D10E4">
      <w:pPr>
        <w:rPr>
          <w:sz w:val="24"/>
          <w:szCs w:val="24"/>
        </w:rPr>
      </w:pPr>
      <w:r>
        <w:rPr>
          <w:sz w:val="24"/>
          <w:szCs w:val="24"/>
        </w:rPr>
        <w:t xml:space="preserve">(p. </w:t>
      </w:r>
      <w:r w:rsidR="00E65B24">
        <w:rPr>
          <w:sz w:val="24"/>
          <w:szCs w:val="24"/>
        </w:rPr>
        <w:t>9-10</w:t>
      </w:r>
      <w:r>
        <w:rPr>
          <w:sz w:val="24"/>
          <w:szCs w:val="24"/>
        </w:rPr>
        <w:t>).</w:t>
      </w:r>
    </w:p>
    <w:p w:rsidR="006E71B8" w:rsidP="006E71B8" w14:paraId="7BA79FB9" w14:textId="77777777">
      <w:pPr>
        <w:rPr>
          <w:sz w:val="24"/>
          <w:szCs w:val="24"/>
        </w:rPr>
      </w:pPr>
    </w:p>
    <w:p w:rsidR="006E71B8" w:rsidP="006E71B8" w14:paraId="795D1C58" w14:textId="6637CD91">
      <w:pPr>
        <w:rPr>
          <w:sz w:val="24"/>
          <w:szCs w:val="24"/>
        </w:rPr>
      </w:pPr>
      <w:r>
        <w:rPr>
          <w:sz w:val="24"/>
          <w:szCs w:val="24"/>
        </w:rPr>
        <w:t xml:space="preserve">For this study, </w:t>
      </w:r>
      <w:r w:rsidR="0049247E">
        <w:rPr>
          <w:sz w:val="24"/>
          <w:szCs w:val="24"/>
        </w:rPr>
        <w:t>w</w:t>
      </w:r>
      <w:r w:rsidRPr="0049247E" w:rsidR="0049247E">
        <w:rPr>
          <w:sz w:val="24"/>
          <w:szCs w:val="24"/>
        </w:rPr>
        <w:t xml:space="preserve">e will obtain a final sample size </w:t>
      </w:r>
      <w:r w:rsidRPr="00ED532D" w:rsidR="0049247E">
        <w:rPr>
          <w:sz w:val="24"/>
          <w:szCs w:val="24"/>
        </w:rPr>
        <w:t xml:space="preserve">of </w:t>
      </w:r>
      <w:r w:rsidRPr="00ED532D" w:rsidR="002E54F4">
        <w:rPr>
          <w:sz w:val="24"/>
          <w:szCs w:val="24"/>
        </w:rPr>
        <w:t>1,5</w:t>
      </w:r>
      <w:r w:rsidR="00B20608">
        <w:rPr>
          <w:sz w:val="24"/>
          <w:szCs w:val="24"/>
        </w:rPr>
        <w:t>5</w:t>
      </w:r>
      <w:r w:rsidRPr="00ED532D" w:rsidR="002E54F4">
        <w:rPr>
          <w:sz w:val="24"/>
          <w:szCs w:val="24"/>
        </w:rPr>
        <w:t>0</w:t>
      </w:r>
      <w:r w:rsidRPr="00ED532D" w:rsidR="0049247E">
        <w:rPr>
          <w:sz w:val="24"/>
          <w:szCs w:val="24"/>
        </w:rPr>
        <w:t xml:space="preserve"> youth and young adults</w:t>
      </w:r>
      <w:r w:rsidRPr="00ED532D" w:rsidR="00E65B24">
        <w:rPr>
          <w:sz w:val="24"/>
          <w:szCs w:val="24"/>
        </w:rPr>
        <w:t>, ages 15-24 years, who are susceptible to using blunts or who have used blu</w:t>
      </w:r>
      <w:r w:rsidR="00E65B24">
        <w:rPr>
          <w:sz w:val="24"/>
          <w:szCs w:val="24"/>
        </w:rPr>
        <w:t>nts</w:t>
      </w:r>
      <w:r w:rsidRPr="0049247E" w:rsidR="0049247E">
        <w:rPr>
          <w:sz w:val="24"/>
          <w:szCs w:val="24"/>
        </w:rPr>
        <w:t>.</w:t>
      </w:r>
      <w:r w:rsidR="0049247E">
        <w:rPr>
          <w:sz w:val="24"/>
          <w:szCs w:val="24"/>
        </w:rPr>
        <w:t xml:space="preserve"> </w:t>
      </w:r>
      <w:r w:rsidRPr="00713BD6">
        <w:rPr>
          <w:sz w:val="24"/>
          <w:szCs w:val="24"/>
        </w:rPr>
        <w:t xml:space="preserve">As this study is considered part of formative research for campaign development and planning, these methods are not intended to generate nationally representative samples or precise estimates of population parameters. The </w:t>
      </w:r>
      <w:r w:rsidR="00E65B24">
        <w:rPr>
          <w:sz w:val="24"/>
          <w:szCs w:val="24"/>
        </w:rPr>
        <w:t>study</w:t>
      </w:r>
      <w:r w:rsidRPr="00713BD6">
        <w:rPr>
          <w:sz w:val="24"/>
          <w:szCs w:val="24"/>
        </w:rPr>
        <w:t xml:space="preserve"> is designed primarily to </w:t>
      </w:r>
      <w:r w:rsidR="00E65B24">
        <w:rPr>
          <w:sz w:val="24"/>
          <w:szCs w:val="24"/>
        </w:rPr>
        <w:t>assess use and</w:t>
      </w:r>
      <w:r w:rsidR="00BD6B55">
        <w:rPr>
          <w:sz w:val="24"/>
          <w:szCs w:val="24"/>
        </w:rPr>
        <w:t xml:space="preserve"> </w:t>
      </w:r>
      <w:r w:rsidRPr="002E0606" w:rsidR="002E0606">
        <w:rPr>
          <w:sz w:val="24"/>
          <w:szCs w:val="24"/>
        </w:rPr>
        <w:t>perceptions about little cigars or cigarillos (</w:t>
      </w:r>
      <w:r w:rsidRPr="002E0606" w:rsidR="002E0606">
        <w:rPr>
          <w:sz w:val="24"/>
          <w:szCs w:val="24"/>
        </w:rPr>
        <w:t>LCCs</w:t>
      </w:r>
      <w:r w:rsidRPr="002E0606" w:rsidR="002E0606">
        <w:rPr>
          <w:sz w:val="24"/>
          <w:szCs w:val="24"/>
        </w:rPr>
        <w:t>)</w:t>
      </w:r>
      <w:r w:rsidR="00E65B24">
        <w:rPr>
          <w:sz w:val="24"/>
          <w:szCs w:val="24"/>
        </w:rPr>
        <w:t xml:space="preserve"> </w:t>
      </w:r>
      <w:bookmarkStart w:id="0" w:name="_Hlk108615701"/>
      <w:r w:rsidR="00E65B24">
        <w:rPr>
          <w:sz w:val="24"/>
          <w:szCs w:val="24"/>
        </w:rPr>
        <w:t>with and without marijuana (i.e., blunts)</w:t>
      </w:r>
      <w:bookmarkEnd w:id="0"/>
      <w:r w:rsidR="00F60C65">
        <w:rPr>
          <w:sz w:val="24"/>
          <w:szCs w:val="24"/>
        </w:rPr>
        <w:t xml:space="preserve">. </w:t>
      </w:r>
      <w:r w:rsidRPr="00F60C65" w:rsidR="00F60C65">
        <w:rPr>
          <w:sz w:val="24"/>
          <w:szCs w:val="24"/>
        </w:rPr>
        <w:t>The results of the survey will be used to inform specified recommendations around the U.S. Food and Drug Administration’s (FDA’s) public education programs</w:t>
      </w:r>
      <w:r w:rsidR="00E65B24">
        <w:rPr>
          <w:sz w:val="24"/>
          <w:szCs w:val="24"/>
        </w:rPr>
        <w:t xml:space="preserve"> aimed at </w:t>
      </w:r>
      <w:r w:rsidRPr="00F60C65" w:rsidR="00F60C65">
        <w:rPr>
          <w:sz w:val="24"/>
          <w:szCs w:val="24"/>
        </w:rPr>
        <w:t>reducing tobacco-related death and disease.</w:t>
      </w:r>
      <w:r w:rsidR="00F60C65">
        <w:rPr>
          <w:sz w:val="24"/>
          <w:szCs w:val="24"/>
        </w:rPr>
        <w:t xml:space="preserve"> </w:t>
      </w:r>
    </w:p>
    <w:p w:rsidR="006E71B8" w:rsidRPr="002E054D" w:rsidP="006E71B8" w14:paraId="04154F83" w14:textId="77777777">
      <w:pPr>
        <w:rPr>
          <w:sz w:val="24"/>
          <w:szCs w:val="24"/>
        </w:rPr>
      </w:pPr>
      <w:bookmarkStart w:id="1" w:name="OLE_LINK1"/>
      <w:bookmarkStart w:id="2" w:name="OLE_LINK2"/>
    </w:p>
    <w:p w:rsidR="006E71B8" w:rsidRPr="002E054D" w:rsidP="006E71B8" w14:paraId="40980BAA" w14:textId="77777777">
      <w:pPr>
        <w:rPr>
          <w:i/>
          <w:sz w:val="24"/>
        </w:rPr>
      </w:pPr>
      <w:r w:rsidRPr="002E054D">
        <w:rPr>
          <w:i/>
          <w:sz w:val="24"/>
        </w:rPr>
        <w:t>Sampling Methods</w:t>
      </w:r>
    </w:p>
    <w:p w:rsidR="006E71B8" w:rsidRPr="002514C5" w:rsidP="006E71B8" w14:paraId="24043FA4" w14:textId="1F0FC397">
      <w:pPr>
        <w:rPr>
          <w:sz w:val="24"/>
          <w:szCs w:val="24"/>
        </w:rPr>
      </w:pPr>
      <w:r>
        <w:rPr>
          <w:sz w:val="24"/>
        </w:rPr>
        <w:t>The study sample will be comprised of participants between the ages of 1</w:t>
      </w:r>
      <w:r w:rsidR="00866429">
        <w:rPr>
          <w:sz w:val="24"/>
        </w:rPr>
        <w:t>5</w:t>
      </w:r>
      <w:r>
        <w:rPr>
          <w:sz w:val="24"/>
        </w:rPr>
        <w:t xml:space="preserve"> and </w:t>
      </w:r>
      <w:r w:rsidR="00866429">
        <w:rPr>
          <w:sz w:val="24"/>
        </w:rPr>
        <w:t>24</w:t>
      </w:r>
      <w:r>
        <w:rPr>
          <w:sz w:val="24"/>
        </w:rPr>
        <w:t xml:space="preserve"> years who</w:t>
      </w:r>
      <w:r w:rsidR="00E65B24">
        <w:rPr>
          <w:sz w:val="24"/>
        </w:rPr>
        <w:t xml:space="preserve"> are: 1) susceptible to blunt use</w:t>
      </w:r>
      <w:r w:rsidR="005936C6">
        <w:rPr>
          <w:sz w:val="24"/>
        </w:rPr>
        <w:t xml:space="preserve"> or 2) blunt users.</w:t>
      </w:r>
    </w:p>
    <w:p w:rsidR="006E71B8" w:rsidRPr="002514C5" w:rsidP="006E71B8" w14:paraId="520A49F9" w14:textId="77777777">
      <w:pPr>
        <w:rPr>
          <w:sz w:val="24"/>
          <w:szCs w:val="24"/>
        </w:rPr>
      </w:pPr>
    </w:p>
    <w:p w:rsidR="00E65B24" w:rsidP="002514C5" w14:paraId="35A565AE" w14:textId="77777777">
      <w:pPr>
        <w:pStyle w:val="CommentText"/>
        <w:rPr>
          <w:sz w:val="24"/>
          <w:szCs w:val="24"/>
        </w:rPr>
      </w:pPr>
      <w:r w:rsidRPr="002514C5">
        <w:rPr>
          <w:sz w:val="24"/>
          <w:szCs w:val="24"/>
        </w:rPr>
        <w:t xml:space="preserve">Participants will be recruited through targeted social media advertising on </w:t>
      </w:r>
      <w:r>
        <w:rPr>
          <w:sz w:val="24"/>
          <w:szCs w:val="24"/>
        </w:rPr>
        <w:t xml:space="preserve">social media platforms, such as </w:t>
      </w:r>
      <w:r w:rsidRPr="002514C5">
        <w:rPr>
          <w:sz w:val="24"/>
          <w:szCs w:val="24"/>
        </w:rPr>
        <w:t>Facebook and Instagram. After clicking on the advertisement, p</w:t>
      </w:r>
      <w:r>
        <w:rPr>
          <w:sz w:val="24"/>
          <w:szCs w:val="24"/>
        </w:rPr>
        <w:t>otential p</w:t>
      </w:r>
      <w:r w:rsidRPr="002514C5">
        <w:rPr>
          <w:sz w:val="24"/>
          <w:szCs w:val="24"/>
        </w:rPr>
        <w:t>articipants will be directed to the screener (Attachmen</w:t>
      </w:r>
      <w:r>
        <w:rPr>
          <w:sz w:val="24"/>
          <w:szCs w:val="24"/>
        </w:rPr>
        <w:t>t 1</w:t>
      </w:r>
      <w:r w:rsidRPr="002514C5">
        <w:rPr>
          <w:sz w:val="24"/>
          <w:szCs w:val="24"/>
        </w:rPr>
        <w:t xml:space="preserve">). </w:t>
      </w:r>
      <w:r w:rsidRPr="002514C5" w:rsidR="00FA0CCE">
        <w:rPr>
          <w:sz w:val="24"/>
          <w:szCs w:val="24"/>
        </w:rPr>
        <w:t xml:space="preserve">The online screener will take approximately </w:t>
      </w:r>
      <w:r w:rsidR="00991D13">
        <w:rPr>
          <w:sz w:val="24"/>
          <w:szCs w:val="24"/>
        </w:rPr>
        <w:t>2.5</w:t>
      </w:r>
      <w:r w:rsidRPr="002514C5" w:rsidR="00FA0CCE">
        <w:rPr>
          <w:sz w:val="24"/>
          <w:szCs w:val="24"/>
        </w:rPr>
        <w:t xml:space="preserve"> minutes to complete. Screener instructions note that respondents may only complete the surveys one time. The screener does not include questions that are especially sensitive or that we anticipate will be upsetting to those who read or complete it. The purpose of the online screener is to screen out participants that are not eligible to complete </w:t>
      </w:r>
      <w:r>
        <w:rPr>
          <w:sz w:val="24"/>
          <w:szCs w:val="24"/>
        </w:rPr>
        <w:t>the</w:t>
      </w:r>
      <w:r w:rsidRPr="002514C5" w:rsidR="00FA0CCE">
        <w:rPr>
          <w:sz w:val="24"/>
          <w:szCs w:val="24"/>
        </w:rPr>
        <w:t xml:space="preserve"> survey. </w:t>
      </w:r>
    </w:p>
    <w:p w:rsidR="00E65B24" w:rsidP="002514C5" w14:paraId="55976157" w14:textId="77777777">
      <w:pPr>
        <w:pStyle w:val="CommentText"/>
        <w:rPr>
          <w:sz w:val="24"/>
          <w:szCs w:val="24"/>
        </w:rPr>
      </w:pPr>
    </w:p>
    <w:p w:rsidR="00E65B24" w:rsidP="002514C5" w14:paraId="0967EC4F" w14:textId="2072F537">
      <w:pPr>
        <w:pStyle w:val="CommentText"/>
        <w:rPr>
          <w:sz w:val="24"/>
          <w:szCs w:val="24"/>
        </w:rPr>
      </w:pPr>
      <w:r w:rsidRPr="002514C5">
        <w:rPr>
          <w:sz w:val="24"/>
          <w:szCs w:val="24"/>
        </w:rPr>
        <w:t xml:space="preserve">The </w:t>
      </w:r>
      <w:r>
        <w:rPr>
          <w:sz w:val="24"/>
          <w:szCs w:val="24"/>
        </w:rPr>
        <w:t>race and ethnicity</w:t>
      </w:r>
      <w:r w:rsidRPr="002514C5">
        <w:rPr>
          <w:sz w:val="24"/>
          <w:szCs w:val="24"/>
        </w:rPr>
        <w:t xml:space="preserve"> identification questions included in the screener are necessary </w:t>
      </w:r>
      <w:r w:rsidR="00717ADE">
        <w:rPr>
          <w:sz w:val="24"/>
          <w:szCs w:val="24"/>
        </w:rPr>
        <w:t xml:space="preserve">because the study is designed to oversample those who identify as African American or Black. As such, we will need to collect race and ethnicity data in the screener. Further, collecting this information is important </w:t>
      </w:r>
      <w:r w:rsidRPr="002514C5">
        <w:rPr>
          <w:sz w:val="24"/>
          <w:szCs w:val="24"/>
        </w:rPr>
        <w:t xml:space="preserve">to </w:t>
      </w:r>
      <w:r w:rsidR="00A95BCD">
        <w:rPr>
          <w:sz w:val="24"/>
          <w:szCs w:val="24"/>
        </w:rPr>
        <w:t>assess</w:t>
      </w:r>
      <w:r w:rsidRPr="002514C5">
        <w:rPr>
          <w:sz w:val="24"/>
          <w:szCs w:val="24"/>
        </w:rPr>
        <w:t xml:space="preserve"> differences in behavior</w:t>
      </w:r>
      <w:r w:rsidR="00A95BCD">
        <w:rPr>
          <w:sz w:val="24"/>
          <w:szCs w:val="24"/>
        </w:rPr>
        <w:t>s and perceptions</w:t>
      </w:r>
      <w:r w:rsidRPr="002514C5">
        <w:rPr>
          <w:sz w:val="24"/>
          <w:szCs w:val="24"/>
        </w:rPr>
        <w:t xml:space="preserve"> among subgroups that will be informative for FDAs campaign development (i.e., understanding behaviors by race/ethnicity will allow FDA to tailor campaign messages).</w:t>
      </w:r>
      <w:r>
        <w:rPr>
          <w:sz w:val="24"/>
          <w:szCs w:val="24"/>
        </w:rPr>
        <w:t xml:space="preserve"> </w:t>
      </w:r>
    </w:p>
    <w:p w:rsidR="00E65B24" w:rsidP="002514C5" w14:paraId="462BAB15" w14:textId="2B3B8A87">
      <w:pPr>
        <w:pStyle w:val="CommentText"/>
        <w:rPr>
          <w:sz w:val="24"/>
          <w:szCs w:val="24"/>
        </w:rPr>
      </w:pPr>
    </w:p>
    <w:p w:rsidR="000531B5" w:rsidP="002514C5" w14:paraId="263E32EA" w14:textId="44FB7074">
      <w:pPr>
        <w:pStyle w:val="CommentText"/>
        <w:rPr>
          <w:sz w:val="24"/>
          <w:szCs w:val="24"/>
        </w:rPr>
      </w:pPr>
      <w:r>
        <w:rPr>
          <w:sz w:val="24"/>
          <w:szCs w:val="24"/>
        </w:rPr>
        <w:t>Gender identity</w:t>
      </w:r>
      <w:r w:rsidR="007C3125">
        <w:rPr>
          <w:sz w:val="24"/>
          <w:szCs w:val="24"/>
        </w:rPr>
        <w:t xml:space="preserve"> and sexual orientation</w:t>
      </w:r>
    </w:p>
    <w:p w:rsidR="00086C68" w:rsidP="00086C68" w14:paraId="4EDEA0C7" w14:textId="689141AE">
      <w:pPr>
        <w:pStyle w:val="CommentText"/>
        <w:rPr>
          <w:sz w:val="24"/>
          <w:szCs w:val="24"/>
        </w:rPr>
      </w:pPr>
      <w:r w:rsidRPr="00086C68">
        <w:rPr>
          <w:sz w:val="24"/>
          <w:szCs w:val="24"/>
        </w:rPr>
        <w:t>Collection of detailed demographic information, including</w:t>
      </w:r>
      <w:r w:rsidR="007C3125">
        <w:rPr>
          <w:sz w:val="24"/>
          <w:szCs w:val="24"/>
        </w:rPr>
        <w:t xml:space="preserve"> a more expansive </w:t>
      </w:r>
      <w:r w:rsidRPr="00086C68">
        <w:rPr>
          <w:sz w:val="24"/>
          <w:szCs w:val="24"/>
        </w:rPr>
        <w:t>gender identity</w:t>
      </w:r>
      <w:r w:rsidR="007C3125">
        <w:rPr>
          <w:sz w:val="24"/>
          <w:szCs w:val="24"/>
        </w:rPr>
        <w:t xml:space="preserve"> and sexual orientation question,</w:t>
      </w:r>
      <w:r w:rsidRPr="00086C68">
        <w:rPr>
          <w:sz w:val="24"/>
          <w:szCs w:val="24"/>
        </w:rPr>
        <w:t xml:space="preserve"> are necessary </w:t>
      </w:r>
      <w:r w:rsidRPr="00086C68">
        <w:rPr>
          <w:sz w:val="24"/>
          <w:szCs w:val="24"/>
        </w:rPr>
        <w:t>in order to</w:t>
      </w:r>
      <w:r w:rsidRPr="00086C68">
        <w:rPr>
          <w:sz w:val="24"/>
          <w:szCs w:val="24"/>
        </w:rPr>
        <w:t xml:space="preserve"> assess disparities in tobacco use and possible differences in </w:t>
      </w:r>
      <w:r w:rsidR="00AD0BE8">
        <w:rPr>
          <w:sz w:val="24"/>
          <w:szCs w:val="24"/>
        </w:rPr>
        <w:t>tobacco and marijuana use</w:t>
      </w:r>
      <w:r w:rsidRPr="00086C68">
        <w:rPr>
          <w:sz w:val="24"/>
          <w:szCs w:val="24"/>
        </w:rPr>
        <w:t xml:space="preserve"> across different </w:t>
      </w:r>
      <w:r w:rsidR="00AD0BE8">
        <w:rPr>
          <w:sz w:val="24"/>
          <w:szCs w:val="24"/>
        </w:rPr>
        <w:t>sub</w:t>
      </w:r>
      <w:r w:rsidRPr="00086C68">
        <w:rPr>
          <w:sz w:val="24"/>
          <w:szCs w:val="24"/>
        </w:rPr>
        <w:t xml:space="preserve">populations. Decades of </w:t>
      </w:r>
      <w:r w:rsidRPr="00086C68">
        <w:rPr>
          <w:sz w:val="24"/>
          <w:szCs w:val="24"/>
        </w:rPr>
        <w:t xml:space="preserve">research has shown significant disparities in tobacco use by gender identity (e.g., Johnson et al, 2019; Delahanty et al, 2019), and sexual orientation (e.g., Johnson et al, 2019; McCabe et al., 2018). Therefore, collecting detailed information on these demographic characteristics will allow us to measure these differences with the goal of reducing these disparities. As multiple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00086C68">
        <w:rPr>
          <w:i/>
          <w:iCs/>
          <w:sz w:val="24"/>
          <w:szCs w:val="24"/>
        </w:rPr>
        <w:t xml:space="preserve">This Free Life </w:t>
      </w:r>
      <w:r w:rsidRPr="00086C68">
        <w:rPr>
          <w:sz w:val="24"/>
          <w:szCs w:val="24"/>
        </w:rPr>
        <w:t xml:space="preserve">campaign), including gender non-conforming/non-binary response options is necessary to identify and assess tobacco use and campaign effectiveness among this population. Gender identity questions with genderqueer/gender non-conforming/non-binary response options have been approved by OMB for </w:t>
      </w:r>
      <w:r w:rsidRPr="00086C68">
        <w:rPr>
          <w:sz w:val="24"/>
          <w:szCs w:val="24"/>
        </w:rPr>
        <w:t>ExPECTT</w:t>
      </w:r>
      <w:r w:rsidRPr="00086C68">
        <w:rPr>
          <w:sz w:val="24"/>
          <w:szCs w:val="24"/>
        </w:rPr>
        <w:t xml:space="preserve"> FU3 and for RESPECT (0910-0808)</w:t>
      </w:r>
      <w:r w:rsidR="0078668B">
        <w:rPr>
          <w:sz w:val="24"/>
          <w:szCs w:val="24"/>
        </w:rPr>
        <w:t xml:space="preserve"> as well as more recently for </w:t>
      </w:r>
      <w:r w:rsidRPr="00086C68" w:rsidR="0078668B">
        <w:rPr>
          <w:sz w:val="24"/>
          <w:szCs w:val="24"/>
        </w:rPr>
        <w:t>for</w:t>
      </w:r>
      <w:r w:rsidRPr="00086C68" w:rsidR="0078668B">
        <w:rPr>
          <w:sz w:val="24"/>
          <w:szCs w:val="24"/>
        </w:rPr>
        <w:t xml:space="preserve"> </w:t>
      </w:r>
      <w:r w:rsidRPr="00086C68" w:rsidR="0078668B">
        <w:rPr>
          <w:sz w:val="24"/>
          <w:szCs w:val="24"/>
        </w:rPr>
        <w:t>ExPECTT</w:t>
      </w:r>
      <w:r w:rsidRPr="00086C68" w:rsidR="0078668B">
        <w:rPr>
          <w:sz w:val="24"/>
          <w:szCs w:val="24"/>
        </w:rPr>
        <w:t xml:space="preserve"> is 0910-0753</w:t>
      </w:r>
      <w:r w:rsidR="0078668B">
        <w:rPr>
          <w:sz w:val="24"/>
          <w:szCs w:val="24"/>
        </w:rPr>
        <w:t>.</w:t>
      </w:r>
    </w:p>
    <w:p w:rsidR="00E25316" w:rsidP="00086C68" w14:paraId="279196A4" w14:textId="174CE7AC">
      <w:pPr>
        <w:pStyle w:val="CommentText"/>
        <w:rPr>
          <w:sz w:val="24"/>
          <w:szCs w:val="24"/>
        </w:rPr>
      </w:pPr>
    </w:p>
    <w:p w:rsidR="00E25316" w:rsidRPr="00E25316" w:rsidP="00E25316" w14:paraId="655D5F0F" w14:textId="77777777">
      <w:pPr>
        <w:pStyle w:val="CommentText"/>
        <w:rPr>
          <w:sz w:val="24"/>
          <w:szCs w:val="24"/>
        </w:rPr>
      </w:pPr>
      <w:r w:rsidRPr="00E25316">
        <w:rPr>
          <w:sz w:val="24"/>
          <w:szCs w:val="24"/>
        </w:rPr>
        <w:t xml:space="preserve">Furthermore, data the 2021 National Youth Tobacco Survey demonstrates that teens who are sexual or gender minorities have higher cigar (large cigar, little cigar, or cigarillo) use compared to heterosexual teens. While 4.9% of heterosexual teens reported ever use of cigars, 7.9% of gay/lesbian teens, 5.5% of bisexual male teens, and 10.2% of transgender teens reported ever cigar use. Including survey items on sexual orientation and gender identity is necessary to identify our target audience for education activities and address disparities in cigar use.  </w:t>
      </w:r>
    </w:p>
    <w:p w:rsidR="00E25316" w:rsidRPr="00E25316" w:rsidP="00E25316" w14:paraId="02B4AE59" w14:textId="14C64333">
      <w:pPr>
        <w:pStyle w:val="CommentText"/>
        <w:rPr>
          <w:sz w:val="24"/>
          <w:szCs w:val="24"/>
        </w:rPr>
      </w:pPr>
      <w:r w:rsidRPr="00E25316">
        <w:rPr>
          <w:sz w:val="24"/>
          <w:szCs w:val="24"/>
        </w:rPr>
        <w:t xml:space="preserve">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w:t>
      </w:r>
      <w:r w:rsidRPr="00E25316">
        <w:rPr>
          <w:sz w:val="24"/>
          <w:szCs w:val="24"/>
        </w:rPr>
        <w:t>SOGI</w:t>
      </w:r>
      <w:r w:rsidRPr="00E25316">
        <w:rPr>
          <w:sz w:val="24"/>
          <w:szCs w:val="24"/>
        </w:rPr>
        <w:t xml:space="preserve">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r>
        <w:rPr>
          <w:sz w:val="24"/>
          <w:szCs w:val="24"/>
        </w:rPr>
        <w:t xml:space="preserve">. </w:t>
      </w:r>
      <w:r w:rsidRPr="00E25316">
        <w:rPr>
          <w:sz w:val="24"/>
          <w:szCs w:val="24"/>
        </w:rPr>
        <w:t>Given that teens who are sexual or gender minorities have higher use of cigar products compared to heterosexual and cisgender teens, it’s important for us to capture both sexual and gender identity information to accurately identify our target audience for education activities and address disparities in cigar product use.</w:t>
      </w:r>
    </w:p>
    <w:p w:rsidR="00086C68" w:rsidRPr="00086C68" w:rsidP="00086C68" w14:paraId="4DCAC2D7" w14:textId="77777777">
      <w:pPr>
        <w:pStyle w:val="CommentText"/>
        <w:rPr>
          <w:sz w:val="24"/>
          <w:szCs w:val="24"/>
        </w:rPr>
      </w:pPr>
    </w:p>
    <w:p w:rsidR="00086C68" w:rsidRPr="00086C68" w:rsidP="00086C68" w14:paraId="76A1960F" w14:textId="77777777">
      <w:pPr>
        <w:pStyle w:val="CommentText"/>
        <w:rPr>
          <w:sz w:val="24"/>
          <w:szCs w:val="24"/>
        </w:rPr>
      </w:pPr>
      <w:r w:rsidRPr="00086C68">
        <w:rPr>
          <w:sz w:val="24"/>
          <w:szCs w:val="24"/>
        </w:rPr>
        <w:t>The project team will not conduct or report on statistical analysis for demographic groups for which there is insufficient statistical power.</w:t>
      </w:r>
    </w:p>
    <w:p w:rsidR="00086C68" w:rsidRPr="00086C68" w:rsidP="00086C68" w14:paraId="3006A321" w14:textId="77777777">
      <w:pPr>
        <w:pStyle w:val="CommentText"/>
        <w:rPr>
          <w:sz w:val="24"/>
          <w:szCs w:val="24"/>
        </w:rPr>
      </w:pPr>
    </w:p>
    <w:p w:rsidR="006E71B8" w:rsidP="002514C5" w14:paraId="6FC4B5AA" w14:textId="1BDCC6AD">
      <w:pPr>
        <w:pStyle w:val="CommentText"/>
        <w:rPr>
          <w:sz w:val="24"/>
          <w:szCs w:val="24"/>
        </w:rPr>
      </w:pPr>
      <w:r w:rsidRPr="002514C5">
        <w:rPr>
          <w:sz w:val="24"/>
          <w:szCs w:val="24"/>
        </w:rPr>
        <w:t xml:space="preserve">Individuals may decline to participate in the online screener if they wish. Individuals also must acknowledge that they read the </w:t>
      </w:r>
      <w:r w:rsidR="00E65B24">
        <w:rPr>
          <w:sz w:val="24"/>
          <w:szCs w:val="24"/>
        </w:rPr>
        <w:t>applicable social media platform</w:t>
      </w:r>
      <w:r w:rsidRPr="002514C5" w:rsidR="009F3871">
        <w:rPr>
          <w:sz w:val="24"/>
          <w:szCs w:val="24"/>
        </w:rPr>
        <w:t xml:space="preserve"> </w:t>
      </w:r>
      <w:r w:rsidRPr="002514C5">
        <w:rPr>
          <w:sz w:val="24"/>
          <w:szCs w:val="24"/>
        </w:rPr>
        <w:t>Authorization Statement</w:t>
      </w:r>
      <w:r w:rsidR="00E65B24">
        <w:rPr>
          <w:sz w:val="24"/>
          <w:szCs w:val="24"/>
        </w:rPr>
        <w:t>,</w:t>
      </w:r>
      <w:r w:rsidRPr="002514C5" w:rsidR="000C0CCB">
        <w:rPr>
          <w:sz w:val="24"/>
          <w:szCs w:val="24"/>
        </w:rPr>
        <w:t xml:space="preserve"> </w:t>
      </w:r>
      <w:r w:rsidR="00E65B24">
        <w:rPr>
          <w:sz w:val="24"/>
          <w:szCs w:val="24"/>
        </w:rPr>
        <w:t>based</w:t>
      </w:r>
      <w:r w:rsidRPr="002514C5" w:rsidR="009F3871">
        <w:rPr>
          <w:sz w:val="24"/>
          <w:szCs w:val="24"/>
        </w:rPr>
        <w:t xml:space="preserve"> on the social media website from which</w:t>
      </w:r>
      <w:r w:rsidR="009F3871">
        <w:rPr>
          <w:sz w:val="24"/>
        </w:rPr>
        <w:t xml:space="preserve"> they access the survey</w:t>
      </w:r>
      <w:r w:rsidRPr="00FA0CCE">
        <w:rPr>
          <w:sz w:val="24"/>
        </w:rPr>
        <w:t xml:space="preserve">. The Authorization Statement describes the information that could be learned about the participant as part of the process that </w:t>
      </w:r>
      <w:r w:rsidR="00E65B24">
        <w:rPr>
          <w:sz w:val="24"/>
        </w:rPr>
        <w:t>social media platforms</w:t>
      </w:r>
      <w:r w:rsidRPr="00FA0CCE">
        <w:rPr>
          <w:sz w:val="24"/>
        </w:rPr>
        <w:t xml:space="preserve"> use to make sure that they have a real account. </w:t>
      </w:r>
      <w:r w:rsidR="00E65B24">
        <w:rPr>
          <w:sz w:val="24"/>
        </w:rPr>
        <w:t>The social media platforms</w:t>
      </w:r>
      <w:r w:rsidR="009F3871">
        <w:rPr>
          <w:sz w:val="24"/>
        </w:rPr>
        <w:t xml:space="preserve"> </w:t>
      </w:r>
      <w:r w:rsidRPr="00FA0CCE">
        <w:rPr>
          <w:sz w:val="24"/>
        </w:rPr>
        <w:t xml:space="preserve">will not share any other information about their account with </w:t>
      </w:r>
      <w:r w:rsidRPr="00FA0CCE">
        <w:rPr>
          <w:sz w:val="24"/>
        </w:rPr>
        <w:t>RTI</w:t>
      </w:r>
      <w:r w:rsidR="001A54A8">
        <w:rPr>
          <w:sz w:val="24"/>
        </w:rPr>
        <w:t xml:space="preserve"> International (</w:t>
      </w:r>
      <w:r w:rsidR="001A54A8">
        <w:rPr>
          <w:sz w:val="24"/>
        </w:rPr>
        <w:t>RTI</w:t>
      </w:r>
      <w:r w:rsidR="001A54A8">
        <w:rPr>
          <w:sz w:val="24"/>
        </w:rPr>
        <w:t>)</w:t>
      </w:r>
      <w:r w:rsidRPr="00FA0CCE">
        <w:rPr>
          <w:sz w:val="24"/>
        </w:rPr>
        <w:t>.</w:t>
      </w:r>
    </w:p>
    <w:p w:rsidR="006E71B8" w:rsidP="006E71B8" w14:paraId="687A1D49" w14:textId="77777777">
      <w:pPr>
        <w:rPr>
          <w:sz w:val="24"/>
          <w:szCs w:val="24"/>
        </w:rPr>
      </w:pPr>
    </w:p>
    <w:p w:rsidR="006E71B8" w:rsidRPr="00AE00C0" w:rsidP="006E71B8" w14:paraId="6B768B2A" w14:textId="77777777">
      <w:pPr>
        <w:rPr>
          <w:i/>
          <w:sz w:val="24"/>
        </w:rPr>
      </w:pPr>
      <w:r w:rsidRPr="00AE00C0">
        <w:rPr>
          <w:i/>
          <w:sz w:val="24"/>
        </w:rPr>
        <w:t>Sample Size</w:t>
      </w:r>
    </w:p>
    <w:p w:rsidR="006E71B8" w:rsidP="006E71B8" w14:paraId="3DC5B003" w14:textId="1DBB2462">
      <w:pPr>
        <w:rPr>
          <w:sz w:val="24"/>
        </w:rPr>
      </w:pPr>
      <w:r>
        <w:rPr>
          <w:sz w:val="24"/>
        </w:rPr>
        <w:t xml:space="preserve">To obtain a </w:t>
      </w:r>
      <w:r w:rsidR="00D6496F">
        <w:rPr>
          <w:sz w:val="24"/>
        </w:rPr>
        <w:t xml:space="preserve">final </w:t>
      </w:r>
      <w:r>
        <w:rPr>
          <w:sz w:val="24"/>
        </w:rPr>
        <w:t xml:space="preserve">sample </w:t>
      </w:r>
      <w:r w:rsidRPr="00ED532D">
        <w:rPr>
          <w:sz w:val="24"/>
        </w:rPr>
        <w:t xml:space="preserve">of </w:t>
      </w:r>
      <w:r w:rsidRPr="00ED532D" w:rsidR="002E54F4">
        <w:rPr>
          <w:sz w:val="24"/>
        </w:rPr>
        <w:t>1,</w:t>
      </w:r>
      <w:r w:rsidRPr="00ED532D" w:rsidR="00E65B24">
        <w:rPr>
          <w:sz w:val="24"/>
        </w:rPr>
        <w:t>5</w:t>
      </w:r>
      <w:r w:rsidR="00814E14">
        <w:rPr>
          <w:sz w:val="24"/>
        </w:rPr>
        <w:t>5</w:t>
      </w:r>
      <w:r w:rsidRPr="00ED532D" w:rsidR="002E54F4">
        <w:rPr>
          <w:sz w:val="24"/>
        </w:rPr>
        <w:t>0</w:t>
      </w:r>
      <w:r w:rsidRPr="00ED532D">
        <w:rPr>
          <w:sz w:val="24"/>
        </w:rPr>
        <w:t xml:space="preserve"> youth </w:t>
      </w:r>
      <w:r w:rsidRPr="00ED532D" w:rsidR="001C0022">
        <w:rPr>
          <w:sz w:val="24"/>
        </w:rPr>
        <w:t>and</w:t>
      </w:r>
      <w:r w:rsidR="001C0022">
        <w:rPr>
          <w:sz w:val="24"/>
        </w:rPr>
        <w:t xml:space="preserve"> young adults </w:t>
      </w:r>
      <w:r>
        <w:rPr>
          <w:sz w:val="24"/>
        </w:rPr>
        <w:t>ages 1</w:t>
      </w:r>
      <w:r w:rsidR="001C0022">
        <w:rPr>
          <w:sz w:val="24"/>
        </w:rPr>
        <w:t>5</w:t>
      </w:r>
      <w:r>
        <w:rPr>
          <w:sz w:val="24"/>
        </w:rPr>
        <w:t>–</w:t>
      </w:r>
      <w:r w:rsidR="001C0022">
        <w:rPr>
          <w:sz w:val="24"/>
        </w:rPr>
        <w:t>24</w:t>
      </w:r>
      <w:r w:rsidR="00BE781B">
        <w:rPr>
          <w:sz w:val="24"/>
        </w:rPr>
        <w:t>, w</w:t>
      </w:r>
      <w:r w:rsidRPr="00BE781B" w:rsidR="00BE781B">
        <w:rPr>
          <w:sz w:val="24"/>
        </w:rPr>
        <w:t xml:space="preserve">e will need to screen approximately </w:t>
      </w:r>
      <w:r w:rsidR="00814E14">
        <w:rPr>
          <w:sz w:val="24"/>
        </w:rPr>
        <w:t xml:space="preserve">10,000 </w:t>
      </w:r>
      <w:r w:rsidRPr="00BE781B" w:rsidR="00BE781B">
        <w:rPr>
          <w:sz w:val="24"/>
        </w:rPr>
        <w:t xml:space="preserve">potential participants. </w:t>
      </w:r>
    </w:p>
    <w:p w:rsidR="006E71B8" w:rsidRPr="00ED7ABC" w:rsidP="006E71B8" w14:paraId="63FE30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1"/>
    <w:bookmarkEnd w:id="2"/>
    <w:p w:rsidR="006E71B8" w:rsidRPr="00A77197" w:rsidP="006E71B8" w14:paraId="29915DDC" w14:textId="77777777">
      <w:pPr>
        <w:rPr>
          <w:b/>
          <w:sz w:val="24"/>
          <w:szCs w:val="24"/>
          <w:u w:val="single"/>
        </w:rPr>
      </w:pPr>
      <w:r w:rsidRPr="00A77197">
        <w:rPr>
          <w:b/>
          <w:sz w:val="24"/>
          <w:szCs w:val="24"/>
          <w:u w:val="single"/>
        </w:rPr>
        <w:t xml:space="preserve">2. Procedures for the Collection of Information </w:t>
      </w:r>
    </w:p>
    <w:p w:rsidR="006E71B8" w:rsidP="006E71B8" w14:paraId="48CA9C1C" w14:textId="77777777">
      <w:pPr>
        <w:rPr>
          <w:sz w:val="24"/>
          <w:szCs w:val="24"/>
        </w:rPr>
      </w:pPr>
    </w:p>
    <w:p w:rsidR="006E71B8" w:rsidP="006E71B8" w14:paraId="1FD3BA30" w14:textId="3A84D42E">
      <w:pPr>
        <w:rPr>
          <w:sz w:val="24"/>
          <w:szCs w:val="24"/>
        </w:rPr>
      </w:pPr>
      <w:r w:rsidRPr="002E054D">
        <w:rPr>
          <w:sz w:val="24"/>
          <w:szCs w:val="24"/>
        </w:rPr>
        <w:t>This section describes the procedures for the survey data collection. The survey will be conducted via a web-based survey disseminated by</w:t>
      </w:r>
      <w:r w:rsidR="001756D7">
        <w:rPr>
          <w:sz w:val="24"/>
          <w:szCs w:val="24"/>
        </w:rPr>
        <w:t xml:space="preserve"> </w:t>
      </w:r>
      <w:r w:rsidR="001756D7">
        <w:rPr>
          <w:sz w:val="24"/>
          <w:szCs w:val="24"/>
        </w:rPr>
        <w:t>RTI</w:t>
      </w:r>
      <w:r w:rsidRPr="002E054D">
        <w:rPr>
          <w:sz w:val="24"/>
          <w:szCs w:val="24"/>
        </w:rPr>
        <w:t>.</w:t>
      </w:r>
      <w:r>
        <w:rPr>
          <w:sz w:val="24"/>
          <w:szCs w:val="24"/>
        </w:rPr>
        <w:t xml:space="preserve"> </w:t>
      </w:r>
      <w:r w:rsidR="00F749C8">
        <w:rPr>
          <w:sz w:val="24"/>
          <w:szCs w:val="24"/>
        </w:rPr>
        <w:t xml:space="preserve">All surveys will be conducted using a self-administered, online survey. </w:t>
      </w:r>
      <w:r>
        <w:rPr>
          <w:sz w:val="24"/>
          <w:szCs w:val="24"/>
        </w:rPr>
        <w:t xml:space="preserve">To be eligible, youth </w:t>
      </w:r>
      <w:r w:rsidR="003E6AEA">
        <w:rPr>
          <w:sz w:val="24"/>
          <w:szCs w:val="24"/>
        </w:rPr>
        <w:t>(ages 15</w:t>
      </w:r>
      <w:r w:rsidR="003E6AEA">
        <w:rPr>
          <w:sz w:val="24"/>
        </w:rPr>
        <w:t>–</w:t>
      </w:r>
      <w:r w:rsidR="008E1751">
        <w:rPr>
          <w:sz w:val="24"/>
        </w:rPr>
        <w:t>17</w:t>
      </w:r>
      <w:r w:rsidR="003E6AEA">
        <w:rPr>
          <w:sz w:val="24"/>
        </w:rPr>
        <w:t>)</w:t>
      </w:r>
      <w:r w:rsidR="003E6AEA">
        <w:rPr>
          <w:sz w:val="24"/>
          <w:szCs w:val="24"/>
        </w:rPr>
        <w:t xml:space="preserve"> </w:t>
      </w:r>
      <w:r>
        <w:rPr>
          <w:sz w:val="24"/>
          <w:szCs w:val="24"/>
        </w:rPr>
        <w:t>must give their assent</w:t>
      </w:r>
      <w:r w:rsidR="00F06747">
        <w:rPr>
          <w:sz w:val="24"/>
          <w:szCs w:val="24"/>
        </w:rPr>
        <w:t xml:space="preserve"> (Attachment</w:t>
      </w:r>
      <w:r w:rsidR="00E65B24">
        <w:rPr>
          <w:sz w:val="24"/>
          <w:szCs w:val="24"/>
        </w:rPr>
        <w:t xml:space="preserve"> </w:t>
      </w:r>
      <w:r w:rsidR="008C4B7E">
        <w:rPr>
          <w:sz w:val="24"/>
          <w:szCs w:val="24"/>
        </w:rPr>
        <w:t>2</w:t>
      </w:r>
      <w:r w:rsidR="00F06747">
        <w:rPr>
          <w:sz w:val="24"/>
          <w:szCs w:val="24"/>
        </w:rPr>
        <w:t>)</w:t>
      </w:r>
      <w:r>
        <w:rPr>
          <w:sz w:val="24"/>
          <w:szCs w:val="24"/>
        </w:rPr>
        <w:t>, you</w:t>
      </w:r>
      <w:r w:rsidR="00CB6A47">
        <w:rPr>
          <w:sz w:val="24"/>
          <w:szCs w:val="24"/>
        </w:rPr>
        <w:t>ng</w:t>
      </w:r>
      <w:r>
        <w:rPr>
          <w:sz w:val="24"/>
          <w:szCs w:val="24"/>
        </w:rPr>
        <w:t xml:space="preserve"> </w:t>
      </w:r>
      <w:r w:rsidR="008E1751">
        <w:rPr>
          <w:sz w:val="24"/>
          <w:szCs w:val="24"/>
        </w:rPr>
        <w:t>adult</w:t>
      </w:r>
      <w:r w:rsidR="00CB6A47">
        <w:rPr>
          <w:sz w:val="24"/>
          <w:szCs w:val="24"/>
        </w:rPr>
        <w:t>s</w:t>
      </w:r>
      <w:r w:rsidR="008E1751">
        <w:rPr>
          <w:sz w:val="24"/>
          <w:szCs w:val="24"/>
        </w:rPr>
        <w:t xml:space="preserve"> (18-24) </w:t>
      </w:r>
      <w:r>
        <w:rPr>
          <w:sz w:val="24"/>
          <w:szCs w:val="24"/>
        </w:rPr>
        <w:t>must</w:t>
      </w:r>
      <w:r w:rsidR="008E1751">
        <w:rPr>
          <w:sz w:val="24"/>
          <w:szCs w:val="24"/>
        </w:rPr>
        <w:t xml:space="preserve"> give their consent</w:t>
      </w:r>
      <w:r w:rsidR="00B33D3C">
        <w:rPr>
          <w:sz w:val="24"/>
          <w:szCs w:val="24"/>
        </w:rPr>
        <w:t xml:space="preserve"> (Attachment</w:t>
      </w:r>
      <w:r w:rsidR="00E65B24">
        <w:rPr>
          <w:sz w:val="24"/>
          <w:szCs w:val="24"/>
        </w:rPr>
        <w:t xml:space="preserve"> </w:t>
      </w:r>
      <w:r w:rsidR="008C4B7E">
        <w:rPr>
          <w:sz w:val="24"/>
          <w:szCs w:val="24"/>
        </w:rPr>
        <w:t>3</w:t>
      </w:r>
      <w:r w:rsidR="00B33D3C">
        <w:rPr>
          <w:sz w:val="24"/>
          <w:szCs w:val="24"/>
        </w:rPr>
        <w:t>)</w:t>
      </w:r>
      <w:r w:rsidR="008E1751">
        <w:rPr>
          <w:sz w:val="24"/>
          <w:szCs w:val="24"/>
        </w:rPr>
        <w:t xml:space="preserve">, </w:t>
      </w:r>
      <w:r w:rsidR="00CB6A47">
        <w:rPr>
          <w:sz w:val="24"/>
          <w:szCs w:val="24"/>
        </w:rPr>
        <w:t xml:space="preserve">and </w:t>
      </w:r>
      <w:r w:rsidR="0001492C">
        <w:rPr>
          <w:sz w:val="24"/>
          <w:szCs w:val="24"/>
        </w:rPr>
        <w:t>participant</w:t>
      </w:r>
      <w:r w:rsidR="00CB6A47">
        <w:rPr>
          <w:sz w:val="24"/>
          <w:szCs w:val="24"/>
        </w:rPr>
        <w:t>s</w:t>
      </w:r>
      <w:r w:rsidR="0001492C">
        <w:rPr>
          <w:sz w:val="24"/>
          <w:szCs w:val="24"/>
        </w:rPr>
        <w:t xml:space="preserve"> must be </w:t>
      </w:r>
      <w:r w:rsidRPr="007546AF" w:rsidR="007546AF">
        <w:rPr>
          <w:sz w:val="24"/>
          <w:szCs w:val="24"/>
        </w:rPr>
        <w:t>susceptible to</w:t>
      </w:r>
      <w:r w:rsidR="005B3C06">
        <w:rPr>
          <w:sz w:val="24"/>
          <w:szCs w:val="24"/>
        </w:rPr>
        <w:t xml:space="preserve"> blunt use or report blunt use.</w:t>
      </w:r>
      <w:r w:rsidR="00224D06">
        <w:rPr>
          <w:sz w:val="24"/>
          <w:szCs w:val="24"/>
        </w:rPr>
        <w:t xml:space="preserve"> </w:t>
      </w:r>
      <w:r>
        <w:rPr>
          <w:sz w:val="24"/>
          <w:szCs w:val="24"/>
        </w:rPr>
        <w:t>The screener</w:t>
      </w:r>
      <w:r w:rsidR="005B3C06">
        <w:rPr>
          <w:sz w:val="24"/>
          <w:szCs w:val="24"/>
        </w:rPr>
        <w:t xml:space="preserve"> is</w:t>
      </w:r>
      <w:r>
        <w:rPr>
          <w:sz w:val="24"/>
          <w:szCs w:val="24"/>
        </w:rPr>
        <w:t xml:space="preserve"> included </w:t>
      </w:r>
      <w:r w:rsidR="00224D06">
        <w:rPr>
          <w:sz w:val="24"/>
          <w:szCs w:val="24"/>
        </w:rPr>
        <w:t xml:space="preserve">in </w:t>
      </w:r>
      <w:r w:rsidRPr="00BE781B" w:rsidR="00B943B5">
        <w:rPr>
          <w:sz w:val="24"/>
        </w:rPr>
        <w:t xml:space="preserve">Attachment </w:t>
      </w:r>
      <w:r w:rsidR="001A2DFF">
        <w:rPr>
          <w:sz w:val="24"/>
          <w:szCs w:val="24"/>
        </w:rPr>
        <w:t>1</w:t>
      </w:r>
      <w:r w:rsidRPr="00BE781B">
        <w:rPr>
          <w:sz w:val="24"/>
          <w:szCs w:val="24"/>
        </w:rPr>
        <w:t>.</w:t>
      </w:r>
      <w:r>
        <w:rPr>
          <w:sz w:val="24"/>
          <w:szCs w:val="24"/>
        </w:rPr>
        <w:t xml:space="preserve"> Links to the survey instruments will only be provided to participants after the</w:t>
      </w:r>
      <w:r w:rsidR="0041289E">
        <w:rPr>
          <w:sz w:val="24"/>
          <w:szCs w:val="24"/>
        </w:rPr>
        <w:t xml:space="preserve">y complete the screener and give their assent or consent. </w:t>
      </w:r>
      <w:r w:rsidRPr="00F749C8" w:rsidR="00F749C8">
        <w:rPr>
          <w:sz w:val="24"/>
          <w:szCs w:val="24"/>
        </w:rPr>
        <w:t xml:space="preserve">As a check for validity, the birthdate in the screener and the age that the participant completes as part of the instrument must match one another for the participant to be eligible. </w:t>
      </w:r>
    </w:p>
    <w:p w:rsidR="00867E49" w:rsidP="006E71B8" w14:paraId="3AF5405D" w14:textId="6DB2F744">
      <w:pPr>
        <w:rPr>
          <w:sz w:val="24"/>
          <w:szCs w:val="24"/>
        </w:rPr>
      </w:pPr>
    </w:p>
    <w:p w:rsidR="00824045" w:rsidP="5FB9221E" w14:paraId="5719390C" w14:textId="3845BDD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5FB9221E">
        <w:rPr>
          <w:sz w:val="24"/>
          <w:szCs w:val="24"/>
        </w:rPr>
        <w:t xml:space="preserve">The study team is committed to the protection of human subjects and the privacy and security of participant data. </w:t>
      </w:r>
      <w:r w:rsidRPr="5FB9221E" w:rsidR="00886954">
        <w:rPr>
          <w:sz w:val="24"/>
          <w:szCs w:val="24"/>
        </w:rPr>
        <w:t>Generic 0910-0810 is covered underneath an approved umbrella PIA. FDA</w:t>
      </w:r>
      <w:r w:rsidR="00552163">
        <w:rPr>
          <w:sz w:val="24"/>
          <w:szCs w:val="24"/>
        </w:rPr>
        <w:t>’s Institutional Review Board</w:t>
      </w:r>
      <w:r w:rsidRPr="5FB9221E" w:rsidR="00886954">
        <w:rPr>
          <w:sz w:val="24"/>
          <w:szCs w:val="24"/>
        </w:rPr>
        <w:t xml:space="preserve"> </w:t>
      </w:r>
      <w:r w:rsidR="00552163">
        <w:rPr>
          <w:sz w:val="24"/>
          <w:szCs w:val="24"/>
        </w:rPr>
        <w:t>(</w:t>
      </w:r>
      <w:r w:rsidRPr="5FB9221E" w:rsidR="00886954">
        <w:rPr>
          <w:sz w:val="24"/>
          <w:szCs w:val="24"/>
        </w:rPr>
        <w:t>IRB</w:t>
      </w:r>
      <w:r w:rsidR="00552163">
        <w:rPr>
          <w:sz w:val="24"/>
          <w:szCs w:val="24"/>
        </w:rPr>
        <w:t>)</w:t>
      </w:r>
      <w:r w:rsidRPr="5FB9221E" w:rsidR="00886954">
        <w:rPr>
          <w:sz w:val="24"/>
          <w:szCs w:val="24"/>
        </w:rPr>
        <w:t xml:space="preserve"> will not be the IRB of record and will defer to </w:t>
      </w:r>
      <w:r w:rsidRPr="5FB9221E">
        <w:rPr>
          <w:sz w:val="24"/>
          <w:szCs w:val="24"/>
        </w:rPr>
        <w:t>Advarra</w:t>
      </w:r>
      <w:r w:rsidRPr="5FB9221E" w:rsidR="00886954">
        <w:rPr>
          <w:sz w:val="24"/>
          <w:szCs w:val="24"/>
        </w:rPr>
        <w:t xml:space="preserve"> IRB’s policies and oversight. </w:t>
      </w:r>
      <w:r w:rsidRPr="5FB9221E" w:rsidR="00867E49">
        <w:rPr>
          <w:sz w:val="24"/>
          <w:szCs w:val="24"/>
        </w:rPr>
        <w:t xml:space="preserve">For this study, we are not collecting any data, including personally identifiable data, from parents. </w:t>
      </w:r>
      <w:r w:rsidRPr="5FB9221E">
        <w:rPr>
          <w:sz w:val="24"/>
          <w:szCs w:val="24"/>
        </w:rPr>
        <w:t>We</w:t>
      </w:r>
      <w:r w:rsidR="00803147">
        <w:rPr>
          <w:sz w:val="24"/>
          <w:szCs w:val="24"/>
        </w:rPr>
        <w:t xml:space="preserve"> </w:t>
      </w:r>
      <w:r w:rsidR="00F62BE5">
        <w:rPr>
          <w:sz w:val="24"/>
          <w:szCs w:val="24"/>
        </w:rPr>
        <w:t>re</w:t>
      </w:r>
      <w:r w:rsidR="003F47B7">
        <w:rPr>
          <w:sz w:val="24"/>
          <w:szCs w:val="24"/>
        </w:rPr>
        <w:t>ceived</w:t>
      </w:r>
      <w:r w:rsidR="00F62BE5">
        <w:rPr>
          <w:sz w:val="24"/>
          <w:szCs w:val="24"/>
        </w:rPr>
        <w:t xml:space="preserve"> a waiver of parental permission</w:t>
      </w:r>
      <w:r w:rsidR="00566FF8">
        <w:rPr>
          <w:sz w:val="24"/>
          <w:szCs w:val="24"/>
        </w:rPr>
        <w:t xml:space="preserve"> from Advarra IRB</w:t>
      </w:r>
      <w:r w:rsidR="00BE7839">
        <w:rPr>
          <w:sz w:val="24"/>
          <w:szCs w:val="24"/>
        </w:rPr>
        <w:t xml:space="preserve">. </w:t>
      </w:r>
      <w:r w:rsidRPr="5FB9221E" w:rsidR="00905C59">
        <w:rPr>
          <w:sz w:val="24"/>
          <w:szCs w:val="24"/>
        </w:rPr>
        <w:t>E</w:t>
      </w:r>
      <w:r w:rsidRPr="5FB9221E" w:rsidR="00867E49">
        <w:rPr>
          <w:sz w:val="24"/>
          <w:szCs w:val="24"/>
        </w:rPr>
        <w:t xml:space="preserve">ligible youth who are 15 to 17 years old </w:t>
      </w:r>
      <w:r w:rsidRPr="5FB9221E" w:rsidR="00905C59">
        <w:rPr>
          <w:sz w:val="24"/>
          <w:szCs w:val="24"/>
        </w:rPr>
        <w:t>will</w:t>
      </w:r>
      <w:r w:rsidRPr="5FB9221E" w:rsidR="00867E49">
        <w:rPr>
          <w:sz w:val="24"/>
          <w:szCs w:val="24"/>
        </w:rPr>
        <w:t xml:space="preserve"> not require parental permission </w:t>
      </w:r>
      <w:r w:rsidRPr="5FB9221E" w:rsidR="00905C59">
        <w:rPr>
          <w:sz w:val="24"/>
          <w:szCs w:val="24"/>
        </w:rPr>
        <w:t xml:space="preserve">and </w:t>
      </w:r>
      <w:r w:rsidRPr="5FB9221E" w:rsidR="00867E49">
        <w:rPr>
          <w:sz w:val="24"/>
          <w:szCs w:val="24"/>
        </w:rPr>
        <w:t xml:space="preserve">will </w:t>
      </w:r>
      <w:r w:rsidRPr="5FB9221E" w:rsidR="00905C59">
        <w:rPr>
          <w:sz w:val="24"/>
          <w:szCs w:val="24"/>
        </w:rPr>
        <w:t xml:space="preserve">therefore </w:t>
      </w:r>
      <w:r w:rsidRPr="5FB9221E" w:rsidR="00867E49">
        <w:rPr>
          <w:sz w:val="24"/>
          <w:szCs w:val="24"/>
        </w:rPr>
        <w:t xml:space="preserve">encounter the assent language once they are routed to the survey. </w:t>
      </w:r>
      <w:r w:rsidRPr="5FB9221E">
        <w:rPr>
          <w:sz w:val="24"/>
          <w:szCs w:val="24"/>
        </w:rPr>
        <w:t xml:space="preserve">We recognize that some of the behaviors we are asking about are not legal for some respondents (e.g., </w:t>
      </w:r>
      <w:r w:rsidRPr="5FB9221E">
        <w:rPr>
          <w:sz w:val="24"/>
          <w:szCs w:val="24"/>
        </w:rPr>
        <w:t>marijuana use; tobacco use for those under age 21</w:t>
      </w:r>
      <w:r w:rsidRPr="5FB9221E">
        <w:rPr>
          <w:sz w:val="24"/>
          <w:szCs w:val="24"/>
        </w:rPr>
        <w:t xml:space="preserve">). The central purpose of this study, which is to provide FDA with </w:t>
      </w:r>
      <w:r w:rsidRPr="5FB9221E">
        <w:rPr>
          <w:sz w:val="24"/>
          <w:szCs w:val="24"/>
        </w:rPr>
        <w:t>insights into youth tobacco use</w:t>
      </w:r>
      <w:r w:rsidRPr="5FB9221E">
        <w:rPr>
          <w:sz w:val="24"/>
          <w:szCs w:val="24"/>
        </w:rPr>
        <w:t xml:space="preserve">, cannot be achieved without directly recruiting and surveying youth ages 15 to 17. Since the surveys focus on </w:t>
      </w:r>
      <w:r w:rsidRPr="5FB9221E">
        <w:rPr>
          <w:sz w:val="24"/>
          <w:szCs w:val="24"/>
        </w:rPr>
        <w:t xml:space="preserve">use and </w:t>
      </w:r>
      <w:r w:rsidRPr="5FB9221E">
        <w:rPr>
          <w:sz w:val="24"/>
          <w:szCs w:val="24"/>
        </w:rPr>
        <w:t xml:space="preserve">perceptions </w:t>
      </w:r>
      <w:r w:rsidRPr="5FB9221E">
        <w:rPr>
          <w:sz w:val="24"/>
          <w:szCs w:val="24"/>
        </w:rPr>
        <w:t>of blunts</w:t>
      </w:r>
      <w:r w:rsidRPr="5FB9221E">
        <w:rPr>
          <w:sz w:val="24"/>
          <w:szCs w:val="24"/>
        </w:rPr>
        <w:t xml:space="preserve">, </w:t>
      </w:r>
      <w:r w:rsidRPr="5FB9221E" w:rsidR="00C67F80">
        <w:rPr>
          <w:sz w:val="24"/>
          <w:szCs w:val="24"/>
        </w:rPr>
        <w:t xml:space="preserve">which requires questions about marijuana use, </w:t>
      </w:r>
      <w:r w:rsidRPr="5FB9221E">
        <w:rPr>
          <w:sz w:val="24"/>
          <w:szCs w:val="24"/>
        </w:rPr>
        <w:t>it is anticipated that the parents of some eligible participants would refuse to grant permission for their child to participate. Further, the youth may not answer questions accurately if they feel their parents are somehow observing or approving their participation and requiring parental permission would yield a lower response rate and impede the ability to carry out this study</w:t>
      </w:r>
      <w:r w:rsidRPr="5FB9221E" w:rsidR="000E33FA">
        <w:rPr>
          <w:sz w:val="24"/>
          <w:szCs w:val="24"/>
        </w:rPr>
        <w:t xml:space="preserve">. </w:t>
      </w:r>
      <w:r w:rsidRPr="5FB9221E" w:rsidR="005772C6">
        <w:rPr>
          <w:sz w:val="24"/>
          <w:szCs w:val="24"/>
        </w:rPr>
        <w:t xml:space="preserve">The youth participants’ responses will not be linked to their names or email addresses. </w:t>
      </w:r>
      <w:r w:rsidR="001B333C">
        <w:rPr>
          <w:sz w:val="24"/>
          <w:szCs w:val="24"/>
        </w:rPr>
        <w:t xml:space="preserve">Advarra IRB </w:t>
      </w:r>
      <w:r w:rsidRPr="5FB9221E" w:rsidR="000E33FA">
        <w:rPr>
          <w:sz w:val="24"/>
          <w:szCs w:val="24"/>
        </w:rPr>
        <w:t>allowed us to waive parental permission based on the nature of this study</w:t>
      </w:r>
      <w:r w:rsidRPr="5FB9221E" w:rsidR="005772C6">
        <w:rPr>
          <w:sz w:val="24"/>
          <w:szCs w:val="24"/>
        </w:rPr>
        <w:t>, the lack of linkage between youth respondents</w:t>
      </w:r>
      <w:r w:rsidRPr="5FB9221E" w:rsidR="0077544E">
        <w:rPr>
          <w:sz w:val="24"/>
          <w:szCs w:val="24"/>
        </w:rPr>
        <w:t>’</w:t>
      </w:r>
      <w:r w:rsidRPr="5FB9221E" w:rsidR="005772C6">
        <w:rPr>
          <w:sz w:val="24"/>
          <w:szCs w:val="24"/>
        </w:rPr>
        <w:t xml:space="preserve"> answers to the online survey and their name</w:t>
      </w:r>
      <w:r w:rsidRPr="5FB9221E" w:rsidR="00027455">
        <w:rPr>
          <w:sz w:val="24"/>
          <w:szCs w:val="24"/>
        </w:rPr>
        <w:t>,</w:t>
      </w:r>
      <w:r w:rsidRPr="5FB9221E" w:rsidR="005772C6">
        <w:rPr>
          <w:sz w:val="24"/>
          <w:szCs w:val="24"/>
        </w:rPr>
        <w:t xml:space="preserve"> as well as the need for accurate and truthful responses from this population.</w:t>
      </w:r>
    </w:p>
    <w:p w:rsidR="00824045" w:rsidRPr="00824045" w:rsidP="00824045" w14:paraId="4429CCE3" w14:textId="77777777">
      <w:pPr>
        <w:rPr>
          <w:bCs/>
          <w:sz w:val="24"/>
          <w:szCs w:val="24"/>
        </w:rPr>
      </w:pPr>
    </w:p>
    <w:p w:rsidR="00867E49" w:rsidP="006E71B8" w14:paraId="05C4D07C" w14:textId="7DAE6D67">
      <w:pPr>
        <w:rPr>
          <w:sz w:val="24"/>
          <w:szCs w:val="24"/>
        </w:rPr>
      </w:pPr>
      <w:r w:rsidRPr="00867E49">
        <w:rPr>
          <w:sz w:val="24"/>
          <w:szCs w:val="24"/>
        </w:rPr>
        <w:t xml:space="preserve">Consistent with the Federal Children’s Online Privacy Protection Act (COPPA), we will screen out youth under the age of 15. </w:t>
      </w:r>
      <w:r w:rsidRPr="00867E49">
        <w:rPr>
          <w:sz w:val="24"/>
          <w:szCs w:val="24"/>
        </w:rPr>
        <w:t>This study poses only a minimal risk to participants and would not adversely affect their rights or welfare in any foreseeable way.</w:t>
      </w:r>
    </w:p>
    <w:p w:rsidR="006E71B8" w:rsidRPr="00DD73FD" w:rsidP="006E71B8" w14:paraId="189A7904" w14:textId="77777777">
      <w:pPr>
        <w:pStyle w:val="bodytextpsg"/>
        <w:spacing w:before="0" w:after="0"/>
        <w:ind w:firstLine="0"/>
        <w:rPr>
          <w:bCs/>
          <w:iCs/>
          <w:sz w:val="24"/>
          <w:szCs w:val="24"/>
        </w:rPr>
      </w:pPr>
    </w:p>
    <w:p w:rsidR="00824045" w:rsidP="006E71B8" w14:paraId="01D432CB" w14:textId="77777777">
      <w:pPr>
        <w:pStyle w:val="bodytextpsg"/>
        <w:spacing w:before="0" w:after="0"/>
        <w:ind w:firstLine="0"/>
        <w:rPr>
          <w:b/>
          <w:bCs/>
          <w:i/>
          <w:iCs/>
          <w:sz w:val="24"/>
          <w:szCs w:val="24"/>
        </w:rPr>
      </w:pPr>
    </w:p>
    <w:p w:rsidR="006E71B8" w:rsidP="006E71B8" w14:paraId="79213D0E" w14:textId="12A5E879">
      <w:pPr>
        <w:pStyle w:val="bodytextpsg"/>
        <w:spacing w:before="0" w:after="0"/>
        <w:ind w:firstLine="0"/>
        <w:rPr>
          <w:b/>
          <w:bCs/>
          <w:i/>
          <w:iCs/>
          <w:sz w:val="24"/>
          <w:szCs w:val="24"/>
        </w:rPr>
      </w:pPr>
      <w:r w:rsidRPr="00E378E8">
        <w:rPr>
          <w:b/>
          <w:bCs/>
          <w:i/>
          <w:iCs/>
          <w:sz w:val="24"/>
          <w:szCs w:val="24"/>
        </w:rPr>
        <w:t xml:space="preserve">Summary of </w:t>
      </w:r>
      <w:r>
        <w:rPr>
          <w:b/>
          <w:bCs/>
          <w:i/>
          <w:iCs/>
          <w:sz w:val="24"/>
          <w:szCs w:val="24"/>
        </w:rPr>
        <w:t>P</w:t>
      </w:r>
      <w:r w:rsidRPr="00E378E8">
        <w:rPr>
          <w:b/>
          <w:bCs/>
          <w:i/>
          <w:iCs/>
          <w:sz w:val="24"/>
          <w:szCs w:val="24"/>
        </w:rPr>
        <w:t xml:space="preserve">rotocol </w:t>
      </w:r>
    </w:p>
    <w:p w:rsidR="006E71B8" w:rsidRPr="002E054D" w:rsidP="006E71B8" w14:paraId="0B30418B" w14:textId="77777777">
      <w:pPr>
        <w:rPr>
          <w:sz w:val="24"/>
          <w:szCs w:val="24"/>
        </w:rPr>
      </w:pPr>
      <w:r w:rsidRPr="002E054D">
        <w:rPr>
          <w:sz w:val="24"/>
          <w:szCs w:val="24"/>
        </w:rPr>
        <w:t>The list of study procedures is as follows:</w:t>
      </w:r>
    </w:p>
    <w:p w:rsidR="006E71B8" w:rsidP="006E71B8" w14:paraId="554F23EC" w14:textId="77777777">
      <w:pPr>
        <w:rPr>
          <w:sz w:val="24"/>
          <w:szCs w:val="24"/>
        </w:rPr>
      </w:pPr>
    </w:p>
    <w:p w:rsidR="006E71B8" w:rsidRPr="005B3C06" w:rsidP="005B3C06" w14:paraId="2A319EE9" w14:textId="6571CBF1">
      <w:pPr>
        <w:pStyle w:val="ListParagraph"/>
        <w:numPr>
          <w:ilvl w:val="0"/>
          <w:numId w:val="5"/>
        </w:numPr>
        <w:rPr>
          <w:sz w:val="24"/>
          <w:szCs w:val="24"/>
        </w:rPr>
      </w:pPr>
      <w:r w:rsidRPr="005B3C06">
        <w:rPr>
          <w:sz w:val="24"/>
          <w:szCs w:val="24"/>
        </w:rPr>
        <w:t xml:space="preserve">Participants are recruited through advertising on </w:t>
      </w:r>
      <w:r w:rsidR="005B3C06">
        <w:rPr>
          <w:sz w:val="24"/>
          <w:szCs w:val="24"/>
        </w:rPr>
        <w:t xml:space="preserve">social media platforms, such as </w:t>
      </w:r>
      <w:r w:rsidRPr="005B3C06">
        <w:rPr>
          <w:sz w:val="24"/>
          <w:szCs w:val="24"/>
        </w:rPr>
        <w:t xml:space="preserve">Facebook and Instagram. </w:t>
      </w:r>
      <w:r w:rsidRPr="005B3C06" w:rsidR="002514C5">
        <w:rPr>
          <w:sz w:val="24"/>
          <w:szCs w:val="24"/>
        </w:rPr>
        <w:t>As part of the recruitment process, participants w</w:t>
      </w:r>
      <w:r w:rsidRPr="005B3C06" w:rsidR="00552C0B">
        <w:rPr>
          <w:sz w:val="24"/>
          <w:szCs w:val="24"/>
        </w:rPr>
        <w:t>ill be asked to provide their email address, which may be their social media account username.</w:t>
      </w:r>
      <w:r w:rsidRPr="005B3C06" w:rsidR="002514C5">
        <w:rPr>
          <w:sz w:val="24"/>
          <w:szCs w:val="24"/>
        </w:rPr>
        <w:t xml:space="preserve"> Email address is required for fraud prevention and respondents are notified at the beginning of the survey that we will collect this informatio</w:t>
      </w:r>
      <w:r w:rsidRPr="005B3C06" w:rsidR="00374305">
        <w:rPr>
          <w:sz w:val="24"/>
          <w:szCs w:val="24"/>
        </w:rPr>
        <w:t>n. No other social media profile identifiers will be collected.</w:t>
      </w:r>
    </w:p>
    <w:p w:rsidR="006E71B8" w:rsidRPr="005B3C06" w:rsidP="005B3C06" w14:paraId="4CAA19A0" w14:textId="000395E2">
      <w:pPr>
        <w:pStyle w:val="ListParagraph"/>
        <w:numPr>
          <w:ilvl w:val="0"/>
          <w:numId w:val="5"/>
        </w:numPr>
        <w:rPr>
          <w:sz w:val="24"/>
          <w:szCs w:val="24"/>
        </w:rPr>
      </w:pPr>
      <w:r w:rsidRPr="005B3C06">
        <w:rPr>
          <w:sz w:val="24"/>
          <w:szCs w:val="24"/>
        </w:rPr>
        <w:t>After clicking the link in one of the social media advertisements, participants will be directed to the screener</w:t>
      </w:r>
      <w:r w:rsidR="005B3C06">
        <w:rPr>
          <w:sz w:val="24"/>
          <w:szCs w:val="24"/>
        </w:rPr>
        <w:t xml:space="preserve"> (Attachment 1)</w:t>
      </w:r>
      <w:r w:rsidRPr="005B3C06">
        <w:rPr>
          <w:sz w:val="24"/>
          <w:szCs w:val="24"/>
        </w:rPr>
        <w:t xml:space="preserve">. </w:t>
      </w:r>
    </w:p>
    <w:p w:rsidR="007D067D" w:rsidRPr="005B3C06" w:rsidP="005B3C06" w14:paraId="5B0188EE" w14:textId="5B37E8FF">
      <w:pPr>
        <w:pStyle w:val="ListParagraph"/>
        <w:numPr>
          <w:ilvl w:val="0"/>
          <w:numId w:val="5"/>
        </w:numPr>
        <w:rPr>
          <w:sz w:val="24"/>
          <w:szCs w:val="24"/>
        </w:rPr>
      </w:pPr>
      <w:r w:rsidRPr="005B3C06">
        <w:rPr>
          <w:sz w:val="24"/>
          <w:szCs w:val="24"/>
        </w:rPr>
        <w:t xml:space="preserve">Participants will complete the screener and, if they qualify, will </w:t>
      </w:r>
      <w:r w:rsidRPr="005B3C06" w:rsidR="00924863">
        <w:rPr>
          <w:sz w:val="24"/>
          <w:szCs w:val="24"/>
        </w:rPr>
        <w:t>be directed to</w:t>
      </w:r>
      <w:r w:rsidR="0082516D">
        <w:rPr>
          <w:sz w:val="24"/>
          <w:szCs w:val="24"/>
        </w:rPr>
        <w:t xml:space="preserve"> the Assent </w:t>
      </w:r>
      <w:r w:rsidRPr="00CB6539" w:rsidR="00C05947">
        <w:rPr>
          <w:sz w:val="24"/>
          <w:szCs w:val="24"/>
        </w:rPr>
        <w:t xml:space="preserve">(Attachment </w:t>
      </w:r>
      <w:r w:rsidR="005E778B">
        <w:rPr>
          <w:sz w:val="24"/>
          <w:szCs w:val="24"/>
        </w:rPr>
        <w:t>2</w:t>
      </w:r>
      <w:r w:rsidRPr="00CB6539" w:rsidR="00C05947">
        <w:rPr>
          <w:sz w:val="24"/>
          <w:szCs w:val="24"/>
        </w:rPr>
        <w:t>)</w:t>
      </w:r>
      <w:r w:rsidR="00473009">
        <w:rPr>
          <w:sz w:val="24"/>
          <w:szCs w:val="24"/>
        </w:rPr>
        <w:t xml:space="preserve"> or Consent form (Attachment 3)</w:t>
      </w:r>
      <w:r w:rsidR="00C05947">
        <w:rPr>
          <w:sz w:val="24"/>
          <w:szCs w:val="24"/>
        </w:rPr>
        <w:t xml:space="preserve"> and then</w:t>
      </w:r>
      <w:r w:rsidRPr="005B3C06" w:rsidR="00924863">
        <w:rPr>
          <w:sz w:val="24"/>
          <w:szCs w:val="24"/>
        </w:rPr>
        <w:t xml:space="preserve"> the </w:t>
      </w:r>
      <w:r w:rsidRPr="005B3C06">
        <w:rPr>
          <w:sz w:val="24"/>
          <w:szCs w:val="24"/>
        </w:rPr>
        <w:t>online survey</w:t>
      </w:r>
      <w:r w:rsidR="005B3C06">
        <w:rPr>
          <w:sz w:val="24"/>
          <w:szCs w:val="24"/>
        </w:rPr>
        <w:t xml:space="preserve"> (Attachment </w:t>
      </w:r>
      <w:r w:rsidR="005936C6">
        <w:rPr>
          <w:sz w:val="24"/>
          <w:szCs w:val="24"/>
        </w:rPr>
        <w:t>1</w:t>
      </w:r>
      <w:r w:rsidR="005B3C06">
        <w:rPr>
          <w:sz w:val="24"/>
          <w:szCs w:val="24"/>
        </w:rPr>
        <w:t>)</w:t>
      </w:r>
      <w:r w:rsidRPr="005B3C06">
        <w:rPr>
          <w:sz w:val="24"/>
          <w:szCs w:val="24"/>
        </w:rPr>
        <w:t xml:space="preserve">. </w:t>
      </w:r>
    </w:p>
    <w:p w:rsidR="00416EB5" w:rsidRPr="005B3C06" w:rsidP="005B3C06" w14:paraId="3170E83F" w14:textId="399E6C0E">
      <w:pPr>
        <w:pStyle w:val="ListParagraph"/>
        <w:numPr>
          <w:ilvl w:val="0"/>
          <w:numId w:val="5"/>
        </w:numPr>
        <w:rPr>
          <w:sz w:val="24"/>
          <w:szCs w:val="24"/>
        </w:rPr>
      </w:pPr>
      <w:r w:rsidRPr="005B3C06">
        <w:rPr>
          <w:sz w:val="24"/>
          <w:szCs w:val="24"/>
        </w:rPr>
        <w:t xml:space="preserve">Eligible participants who provide their email address upon completing </w:t>
      </w:r>
      <w:r w:rsidR="005B3C06">
        <w:rPr>
          <w:sz w:val="24"/>
          <w:szCs w:val="24"/>
        </w:rPr>
        <w:t>the survey</w:t>
      </w:r>
      <w:r w:rsidRPr="005B3C06">
        <w:rPr>
          <w:sz w:val="24"/>
          <w:szCs w:val="24"/>
        </w:rPr>
        <w:t xml:space="preserve"> will receive one $5 digital gift card </w:t>
      </w:r>
      <w:r w:rsidR="005B3C06">
        <w:rPr>
          <w:sz w:val="24"/>
          <w:szCs w:val="24"/>
        </w:rPr>
        <w:t>as a token of appreciation</w:t>
      </w:r>
      <w:r w:rsidRPr="005B3C06">
        <w:rPr>
          <w:sz w:val="24"/>
          <w:szCs w:val="24"/>
        </w:rPr>
        <w:t xml:space="preserve"> for their time after we have confirmed that they have only taken the survey one time. </w:t>
      </w:r>
    </w:p>
    <w:p w:rsidR="006E71B8" w:rsidRPr="005B3C06" w:rsidP="005B3C06" w14:paraId="34A5E5D1" w14:textId="7001FC3F">
      <w:pPr>
        <w:pStyle w:val="ListParagraph"/>
        <w:numPr>
          <w:ilvl w:val="0"/>
          <w:numId w:val="5"/>
        </w:numPr>
        <w:rPr>
          <w:sz w:val="24"/>
          <w:szCs w:val="24"/>
        </w:rPr>
      </w:pPr>
      <w:r w:rsidRPr="005B3C06">
        <w:rPr>
          <w:sz w:val="24"/>
          <w:szCs w:val="24"/>
        </w:rPr>
        <w:t>We will work with a</w:t>
      </w:r>
      <w:r w:rsidRPr="005B3C06" w:rsidR="00FA5F0E">
        <w:rPr>
          <w:sz w:val="24"/>
          <w:szCs w:val="24"/>
        </w:rPr>
        <w:t xml:space="preserve"> </w:t>
      </w:r>
      <w:r w:rsidRPr="005B3C06">
        <w:rPr>
          <w:sz w:val="24"/>
          <w:szCs w:val="24"/>
        </w:rPr>
        <w:t xml:space="preserve">distribution vendor, Creative Group, Inc., by purchase order to send a thank you message via email along with a digital gift card to participants who complete the online survey. </w:t>
      </w:r>
    </w:p>
    <w:p w:rsidR="0049371C" w:rsidP="0049371C" w14:paraId="09429472" w14:textId="5A459A87">
      <w:pPr>
        <w:rPr>
          <w:sz w:val="24"/>
          <w:szCs w:val="24"/>
        </w:rPr>
      </w:pPr>
    </w:p>
    <w:p w:rsidR="0049371C" w:rsidRPr="0049371C" w:rsidP="0049371C" w14:paraId="0F894E57" w14:textId="01AD6983">
      <w:pPr>
        <w:rPr>
          <w:sz w:val="24"/>
          <w:szCs w:val="24"/>
        </w:rPr>
      </w:pPr>
      <w:r w:rsidRPr="00886954">
        <w:rPr>
          <w:sz w:val="24"/>
          <w:szCs w:val="24"/>
        </w:rPr>
        <w:t>E-mail addresses will be collected in the Qualtrics survey platform</w:t>
      </w:r>
      <w:r w:rsidRPr="0049371C">
        <w:rPr>
          <w:sz w:val="24"/>
          <w:szCs w:val="24"/>
        </w:rPr>
        <w:t xml:space="preserve"> and stored in an isolated survey that will contain a</w:t>
      </w:r>
      <w:r w:rsidR="00F269AD">
        <w:rPr>
          <w:sz w:val="24"/>
          <w:szCs w:val="24"/>
        </w:rPr>
        <w:t>n</w:t>
      </w:r>
      <w:r w:rsidRPr="0049371C">
        <w:rPr>
          <w:sz w:val="24"/>
          <w:szCs w:val="24"/>
        </w:rPr>
        <w:t xml:space="preserve"> </w:t>
      </w:r>
      <w:r w:rsidRPr="0049371C">
        <w:rPr>
          <w:sz w:val="24"/>
          <w:szCs w:val="24"/>
        </w:rPr>
        <w:t>RTI</w:t>
      </w:r>
      <w:r w:rsidRPr="0049371C">
        <w:rPr>
          <w:sz w:val="24"/>
          <w:szCs w:val="24"/>
        </w:rPr>
        <w:t xml:space="preserve">-assigned unique ID and email address. IP address will be collected in the survey platform in an isolated survey that contains IP address, </w:t>
      </w:r>
      <w:r w:rsidRPr="0049371C">
        <w:rPr>
          <w:sz w:val="24"/>
          <w:szCs w:val="24"/>
        </w:rPr>
        <w:t>RTI</w:t>
      </w:r>
      <w:r w:rsidRPr="0049371C">
        <w:rPr>
          <w:sz w:val="24"/>
          <w:szCs w:val="24"/>
        </w:rPr>
        <w:t xml:space="preserve">-assigned unique ID, and screener responses. </w:t>
      </w:r>
      <w:r w:rsidRPr="00886954" w:rsidR="00727CFF">
        <w:rPr>
          <w:sz w:val="24"/>
          <w:szCs w:val="24"/>
        </w:rPr>
        <w:t>Date of birth will be collected in an isolated survey that will contain a</w:t>
      </w:r>
      <w:r w:rsidR="00F269AD">
        <w:rPr>
          <w:sz w:val="24"/>
          <w:szCs w:val="24"/>
        </w:rPr>
        <w:t>n</w:t>
      </w:r>
      <w:r w:rsidRPr="00886954" w:rsidR="00727CFF">
        <w:rPr>
          <w:sz w:val="24"/>
          <w:szCs w:val="24"/>
        </w:rPr>
        <w:t xml:space="preserve"> </w:t>
      </w:r>
      <w:r w:rsidRPr="00886954" w:rsidR="00727CFF">
        <w:rPr>
          <w:sz w:val="24"/>
          <w:szCs w:val="24"/>
        </w:rPr>
        <w:t>RTI</w:t>
      </w:r>
      <w:r w:rsidRPr="00886954" w:rsidR="00727CFF">
        <w:rPr>
          <w:sz w:val="24"/>
          <w:szCs w:val="24"/>
        </w:rPr>
        <w:t>-assigned unique ID and date of birth.</w:t>
      </w:r>
      <w:r w:rsidR="00727CFF">
        <w:rPr>
          <w:sz w:val="24"/>
          <w:szCs w:val="24"/>
        </w:rPr>
        <w:t xml:space="preserve"> </w:t>
      </w:r>
      <w:r w:rsidRPr="0049371C">
        <w:rPr>
          <w:sz w:val="24"/>
          <w:szCs w:val="24"/>
        </w:rPr>
        <w:t>Responses to the body of the survey will be collected in the Qualtrics survey platform and stored in an isolated survey. IP address</w:t>
      </w:r>
      <w:r w:rsidR="00AC21AC">
        <w:rPr>
          <w:sz w:val="24"/>
          <w:szCs w:val="24"/>
        </w:rPr>
        <w:t xml:space="preserve">, </w:t>
      </w:r>
      <w:r w:rsidRPr="0049371C">
        <w:rPr>
          <w:sz w:val="24"/>
          <w:szCs w:val="24"/>
        </w:rPr>
        <w:t>e-mail address</w:t>
      </w:r>
      <w:r w:rsidR="00AC21AC">
        <w:rPr>
          <w:sz w:val="24"/>
          <w:szCs w:val="24"/>
        </w:rPr>
        <w:t>, and date of birth</w:t>
      </w:r>
      <w:r w:rsidRPr="0049371C">
        <w:rPr>
          <w:sz w:val="24"/>
          <w:szCs w:val="24"/>
        </w:rPr>
        <w:t xml:space="preserve"> will not be collected in the same file. </w:t>
      </w:r>
    </w:p>
    <w:p w:rsidR="0049371C" w:rsidRPr="0049371C" w:rsidP="0049371C" w14:paraId="218F09B8" w14:textId="77777777">
      <w:pPr>
        <w:rPr>
          <w:sz w:val="24"/>
          <w:szCs w:val="24"/>
        </w:rPr>
      </w:pPr>
    </w:p>
    <w:p w:rsidR="0049371C" w:rsidRPr="0049371C" w:rsidP="0049371C" w14:paraId="07748E78" w14:textId="7934C481">
      <w:pPr>
        <w:rPr>
          <w:sz w:val="24"/>
          <w:szCs w:val="24"/>
        </w:rPr>
      </w:pPr>
      <w:r w:rsidRPr="0049371C">
        <w:rPr>
          <w:sz w:val="24"/>
          <w:szCs w:val="24"/>
        </w:rPr>
        <w:t xml:space="preserve">All </w:t>
      </w:r>
      <w:r w:rsidR="00AC21AC">
        <w:rPr>
          <w:sz w:val="24"/>
          <w:szCs w:val="24"/>
        </w:rPr>
        <w:t>four</w:t>
      </w:r>
      <w:r w:rsidRPr="0049371C">
        <w:rPr>
          <w:sz w:val="24"/>
          <w:szCs w:val="24"/>
        </w:rPr>
        <w:t xml:space="preserve"> survey data files (IP address, e-mail, </w:t>
      </w:r>
      <w:r w:rsidR="00AC21AC">
        <w:rPr>
          <w:sz w:val="24"/>
          <w:szCs w:val="24"/>
        </w:rPr>
        <w:t xml:space="preserve">date of birth, </w:t>
      </w:r>
      <w:r w:rsidRPr="0049371C">
        <w:rPr>
          <w:sz w:val="24"/>
          <w:szCs w:val="24"/>
        </w:rPr>
        <w:t xml:space="preserve">and survey responses) will be downloaded separately from Qualtrics (which requires a password). Since the </w:t>
      </w:r>
      <w:r w:rsidRPr="00A376AA" w:rsidR="00A376AA">
        <w:rPr>
          <w:sz w:val="24"/>
          <w:szCs w:val="24"/>
        </w:rPr>
        <w:t xml:space="preserve">Federal Information Processing Standards (FIPS) 199 </w:t>
      </w:r>
      <w:r w:rsidRPr="0049371C">
        <w:rPr>
          <w:sz w:val="24"/>
          <w:szCs w:val="24"/>
        </w:rPr>
        <w:t xml:space="preserve">does not permit access to the internet (and downloading the data from Qualtrics requires an internet connection), the </w:t>
      </w:r>
      <w:r w:rsidR="00AC21AC">
        <w:rPr>
          <w:sz w:val="24"/>
          <w:szCs w:val="24"/>
        </w:rPr>
        <w:t>four</w:t>
      </w:r>
      <w:r w:rsidRPr="0049371C">
        <w:rPr>
          <w:sz w:val="24"/>
          <w:szCs w:val="24"/>
        </w:rPr>
        <w:t xml:space="preserve"> files will be downloaded to the secure </w:t>
      </w:r>
      <w:r w:rsidRPr="0049371C">
        <w:rPr>
          <w:sz w:val="24"/>
          <w:szCs w:val="24"/>
        </w:rPr>
        <w:t>RTI</w:t>
      </w:r>
      <w:r w:rsidRPr="0049371C">
        <w:rPr>
          <w:sz w:val="24"/>
          <w:szCs w:val="24"/>
        </w:rPr>
        <w:t xml:space="preserve"> study share drive and stored on the study share drive for no more than 24 hours after download. </w:t>
      </w:r>
      <w:r w:rsidR="00045397">
        <w:rPr>
          <w:sz w:val="24"/>
          <w:szCs w:val="24"/>
        </w:rPr>
        <w:t>RTI</w:t>
      </w:r>
      <w:r w:rsidR="00045397">
        <w:rPr>
          <w:sz w:val="24"/>
          <w:szCs w:val="24"/>
        </w:rPr>
        <w:t xml:space="preserve"> s</w:t>
      </w:r>
      <w:r w:rsidRPr="0049371C">
        <w:rPr>
          <w:sz w:val="24"/>
          <w:szCs w:val="24"/>
        </w:rPr>
        <w:t xml:space="preserve">tudy staff will be given as-needed access to the data files on the share during that 24-hour period to conduct fraud detection procedures, at which point data from the individual will be combined to check for fraudulent responses. </w:t>
      </w:r>
    </w:p>
    <w:p w:rsidR="0049371C" w:rsidRPr="0049371C" w:rsidP="0049371C" w14:paraId="1D8A5508" w14:textId="77777777">
      <w:pPr>
        <w:rPr>
          <w:sz w:val="24"/>
          <w:szCs w:val="24"/>
        </w:rPr>
      </w:pPr>
    </w:p>
    <w:p w:rsidR="0049371C" w:rsidRPr="0049371C" w:rsidP="0049371C" w14:paraId="5EECD9AA" w14:textId="64B15056">
      <w:pPr>
        <w:rPr>
          <w:sz w:val="24"/>
          <w:szCs w:val="24"/>
        </w:rPr>
      </w:pPr>
      <w:r w:rsidRPr="0049371C">
        <w:rPr>
          <w:sz w:val="24"/>
          <w:szCs w:val="24"/>
        </w:rPr>
        <w:t xml:space="preserve">Once fraud detection procedures have been completed (within 24 hours after download), </w:t>
      </w:r>
      <w:r w:rsidR="00DB3E8B">
        <w:rPr>
          <w:sz w:val="24"/>
          <w:szCs w:val="24"/>
        </w:rPr>
        <w:t>RTI</w:t>
      </w:r>
      <w:r w:rsidRPr="0049371C">
        <w:rPr>
          <w:sz w:val="24"/>
          <w:szCs w:val="24"/>
        </w:rPr>
        <w:t xml:space="preserve"> will send a password protected file of just the e-mail addresses to Creative Group. </w:t>
      </w:r>
      <w:r w:rsidR="00DB3E8B">
        <w:rPr>
          <w:sz w:val="24"/>
          <w:szCs w:val="24"/>
        </w:rPr>
        <w:t>RTI</w:t>
      </w:r>
      <w:r w:rsidRPr="0049371C">
        <w:rPr>
          <w:sz w:val="24"/>
          <w:szCs w:val="24"/>
        </w:rPr>
        <w:t xml:space="preserve"> will then send the password to Creative Group in a separate e-mail. Password protected/encrypted files with just e-mail addresses will be stored on the share drive until the study is completed. After completion of the study, all files containing e-mail address and/or IP address will be moved to the</w:t>
      </w:r>
      <w:r w:rsidRPr="00A376AA" w:rsidR="00A376AA">
        <w:rPr>
          <w:sz w:val="24"/>
          <w:szCs w:val="24"/>
        </w:rPr>
        <w:t xml:space="preserve"> FIPS 199</w:t>
      </w:r>
      <w:r w:rsidRPr="0049371C">
        <w:rPr>
          <w:sz w:val="24"/>
          <w:szCs w:val="24"/>
        </w:rPr>
        <w:t>. Once these files have been transferred any files on the study share that contain e-mail</w:t>
      </w:r>
      <w:r w:rsidR="00AC21AC">
        <w:rPr>
          <w:sz w:val="24"/>
          <w:szCs w:val="24"/>
        </w:rPr>
        <w:t>, date of birth,</w:t>
      </w:r>
      <w:r w:rsidRPr="0049371C">
        <w:rPr>
          <w:sz w:val="24"/>
          <w:szCs w:val="24"/>
        </w:rPr>
        <w:t xml:space="preserve"> and/or IP addresses will be deleted. The file containing participant ID (but not e-mail address</w:t>
      </w:r>
      <w:r w:rsidR="00AC21AC">
        <w:rPr>
          <w:sz w:val="24"/>
          <w:szCs w:val="24"/>
        </w:rPr>
        <w:t>, date of birth,</w:t>
      </w:r>
      <w:r w:rsidRPr="0049371C">
        <w:rPr>
          <w:sz w:val="24"/>
          <w:szCs w:val="24"/>
        </w:rPr>
        <w:t xml:space="preserve"> and/or IP address) and the survey responses will remain on the study share drive for analysis. At the completion of data collection, all response data will be deleted from the survey platform (Qualtrics) and remain only on </w:t>
      </w:r>
      <w:r w:rsidRPr="0049371C">
        <w:rPr>
          <w:sz w:val="24"/>
          <w:szCs w:val="24"/>
        </w:rPr>
        <w:t>RTI’s</w:t>
      </w:r>
      <w:r w:rsidRPr="0049371C">
        <w:rPr>
          <w:sz w:val="24"/>
          <w:szCs w:val="24"/>
        </w:rPr>
        <w:t xml:space="preserve"> secure shared drive and </w:t>
      </w:r>
      <w:r w:rsidRPr="00A376AA" w:rsidR="00A376AA">
        <w:rPr>
          <w:sz w:val="24"/>
          <w:szCs w:val="24"/>
        </w:rPr>
        <w:t>FIPS 199</w:t>
      </w:r>
      <w:r w:rsidRPr="0049371C">
        <w:rPr>
          <w:sz w:val="24"/>
          <w:szCs w:val="24"/>
        </w:rPr>
        <w:t xml:space="preserve">. </w:t>
      </w:r>
      <w:r w:rsidR="005B3C06">
        <w:rPr>
          <w:sz w:val="24"/>
          <w:szCs w:val="24"/>
        </w:rPr>
        <w:t>No PII will be shared with FDA.</w:t>
      </w:r>
    </w:p>
    <w:p w:rsidR="0049371C" w:rsidRPr="0049371C" w:rsidP="0049371C" w14:paraId="3F672CB8" w14:textId="77777777">
      <w:pPr>
        <w:rPr>
          <w:sz w:val="24"/>
          <w:szCs w:val="24"/>
        </w:rPr>
      </w:pPr>
    </w:p>
    <w:p w:rsidR="0049371C" w:rsidP="0049371C" w14:paraId="742B6023" w14:textId="5A97B8B4">
      <w:pPr>
        <w:rPr>
          <w:sz w:val="24"/>
          <w:szCs w:val="24"/>
        </w:rPr>
      </w:pPr>
      <w:r w:rsidRPr="0049371C">
        <w:rPr>
          <w:sz w:val="24"/>
          <w:szCs w:val="24"/>
        </w:rPr>
        <w:t>At the end of data collection, a member of the</w:t>
      </w:r>
      <w:r w:rsidR="005B3C06">
        <w:rPr>
          <w:sz w:val="24"/>
          <w:szCs w:val="24"/>
        </w:rPr>
        <w:t xml:space="preserve"> </w:t>
      </w:r>
      <w:r w:rsidR="005B3C06">
        <w:rPr>
          <w:sz w:val="24"/>
          <w:szCs w:val="24"/>
        </w:rPr>
        <w:t>RTI</w:t>
      </w:r>
      <w:r w:rsidRPr="0049371C">
        <w:rPr>
          <w:sz w:val="24"/>
          <w:szCs w:val="24"/>
        </w:rPr>
        <w:t xml:space="preserve"> project staff will export the data from the survey and out of the </w:t>
      </w:r>
      <w:r w:rsidR="00914ED6">
        <w:rPr>
          <w:sz w:val="24"/>
          <w:szCs w:val="24"/>
        </w:rPr>
        <w:t>FIPS 199</w:t>
      </w:r>
      <w:r w:rsidRPr="0049371C">
        <w:rPr>
          <w:sz w:val="24"/>
          <w:szCs w:val="24"/>
        </w:rPr>
        <w:t xml:space="preserve">, saving them directly onto the project share drive. Only </w:t>
      </w:r>
      <w:r w:rsidRPr="0049371C">
        <w:rPr>
          <w:sz w:val="24"/>
          <w:szCs w:val="24"/>
        </w:rPr>
        <w:t>RTI</w:t>
      </w:r>
      <w:r w:rsidRPr="0049371C">
        <w:rPr>
          <w:sz w:val="24"/>
          <w:szCs w:val="24"/>
        </w:rPr>
        <w:t xml:space="preserve"> project staff directly involved in programming, sampling, recruitment, or analysis will have access to the survey data or sampling frame. No respondent identifiers will be contained in </w:t>
      </w:r>
      <w:r w:rsidRPr="0049371C">
        <w:rPr>
          <w:sz w:val="24"/>
          <w:szCs w:val="24"/>
        </w:rPr>
        <w:t>reports to FDA, results will only be presented in aggregate form</w:t>
      </w:r>
      <w:r w:rsidR="000D0F75">
        <w:rPr>
          <w:sz w:val="24"/>
          <w:szCs w:val="24"/>
        </w:rPr>
        <w:t xml:space="preserve">, and </w:t>
      </w:r>
      <w:r w:rsidR="000D0F75">
        <w:rPr>
          <w:sz w:val="24"/>
          <w:szCs w:val="24"/>
        </w:rPr>
        <w:t>RTI</w:t>
      </w:r>
      <w:r w:rsidR="000D0F75">
        <w:rPr>
          <w:sz w:val="24"/>
          <w:szCs w:val="24"/>
        </w:rPr>
        <w:t xml:space="preserve"> will dei</w:t>
      </w:r>
      <w:r w:rsidR="00101A33">
        <w:rPr>
          <w:sz w:val="24"/>
          <w:szCs w:val="24"/>
        </w:rPr>
        <w:t>dentify data before delivering to FDA</w:t>
      </w:r>
      <w:r w:rsidRPr="0049371C">
        <w:rPr>
          <w:sz w:val="24"/>
          <w:szCs w:val="24"/>
        </w:rPr>
        <w:t>.</w:t>
      </w:r>
    </w:p>
    <w:p w:rsidR="00DD7EF8" w:rsidRPr="0049371C" w:rsidP="0049371C" w14:paraId="5C6D3706" w14:textId="77777777">
      <w:pPr>
        <w:rPr>
          <w:sz w:val="24"/>
          <w:szCs w:val="24"/>
        </w:rPr>
      </w:pPr>
    </w:p>
    <w:p w:rsidR="0049371C" w:rsidP="0049371C" w14:paraId="3B4600F7" w14:textId="09569013">
      <w:pPr>
        <w:rPr>
          <w:sz w:val="24"/>
          <w:szCs w:val="24"/>
        </w:rPr>
      </w:pPr>
      <w:r w:rsidRPr="0049371C">
        <w:rPr>
          <w:sz w:val="24"/>
          <w:szCs w:val="24"/>
        </w:rPr>
        <w:t>To reduce the potential of participants completing multiple surveys and to reduce non-U.S. based youth</w:t>
      </w:r>
      <w:r w:rsidR="00BD5999">
        <w:rPr>
          <w:sz w:val="24"/>
          <w:szCs w:val="24"/>
        </w:rPr>
        <w:t>/young adults</w:t>
      </w:r>
      <w:r w:rsidRPr="0049371C">
        <w:rPr>
          <w:sz w:val="24"/>
          <w:szCs w:val="24"/>
        </w:rPr>
        <w:t xml:space="preserve"> from completing surveys, IP addresses from outside of the U.S. will be blocked from taking the screener. Additionally, we may maintain a list of IP addresses from which we receive repeated fraudulent activity as defined above. IP addresses appearing on this list may be blocked from accessing the screener or main survey. We also block </w:t>
      </w:r>
      <w:r w:rsidR="00C6745E">
        <w:rPr>
          <w:sz w:val="24"/>
          <w:szCs w:val="24"/>
        </w:rPr>
        <w:t>Virtual Private Networks (</w:t>
      </w:r>
      <w:r w:rsidRPr="0049371C">
        <w:rPr>
          <w:sz w:val="24"/>
          <w:szCs w:val="24"/>
        </w:rPr>
        <w:t>VPNs</w:t>
      </w:r>
      <w:r w:rsidR="00C6745E">
        <w:rPr>
          <w:sz w:val="24"/>
          <w:szCs w:val="24"/>
        </w:rPr>
        <w:t>)</w:t>
      </w:r>
      <w:r w:rsidRPr="0049371C">
        <w:rPr>
          <w:sz w:val="24"/>
          <w:szCs w:val="24"/>
        </w:rPr>
        <w:t xml:space="preserve"> with an IP address from a potential spoofing site.</w:t>
      </w:r>
    </w:p>
    <w:p w:rsidR="006E71B8" w:rsidRPr="00E76392" w:rsidP="006E71B8" w14:paraId="087F8BDB" w14:textId="77777777">
      <w:pPr>
        <w:ind w:left="1440"/>
        <w:rPr>
          <w:sz w:val="24"/>
          <w:szCs w:val="24"/>
        </w:rPr>
      </w:pPr>
    </w:p>
    <w:p w:rsidR="006E71B8" w:rsidRPr="00CD24D2" w:rsidP="006E71B8" w14:paraId="7BE78260" w14:textId="77777777">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rsidR="006E71B8" w:rsidRPr="00E378E8" w:rsidP="006E71B8" w14:paraId="7B818FA9" w14:textId="77777777">
      <w:pPr>
        <w:autoSpaceDE w:val="0"/>
        <w:autoSpaceDN w:val="0"/>
        <w:adjustRightInd w:val="0"/>
        <w:rPr>
          <w:sz w:val="24"/>
          <w:szCs w:val="24"/>
        </w:rPr>
      </w:pPr>
      <w:r w:rsidRPr="00E378E8">
        <w:rPr>
          <w:sz w:val="24"/>
          <w:szCs w:val="24"/>
        </w:rPr>
        <w:t>No specialized sampling procedures are involved.</w:t>
      </w:r>
    </w:p>
    <w:p w:rsidR="006E71B8" w:rsidP="006E71B8" w14:paraId="34715116" w14:textId="77777777">
      <w:pPr>
        <w:autoSpaceDE w:val="0"/>
        <w:autoSpaceDN w:val="0"/>
        <w:adjustRightInd w:val="0"/>
        <w:rPr>
          <w:b/>
          <w:i/>
          <w:sz w:val="24"/>
        </w:rPr>
      </w:pPr>
    </w:p>
    <w:p w:rsidR="006E71B8" w:rsidRPr="00CD24D2" w:rsidP="006E71B8" w14:paraId="7A409B38" w14:textId="77777777">
      <w:pPr>
        <w:autoSpaceDE w:val="0"/>
        <w:autoSpaceDN w:val="0"/>
        <w:adjustRightInd w:val="0"/>
        <w:rPr>
          <w:b/>
          <w:i/>
          <w:sz w:val="24"/>
        </w:rPr>
      </w:pPr>
      <w:r w:rsidRPr="00CD24D2">
        <w:rPr>
          <w:b/>
          <w:i/>
          <w:sz w:val="24"/>
        </w:rPr>
        <w:t>Use of Periodic Data Collection Cycles to Reduce Burden</w:t>
      </w:r>
    </w:p>
    <w:p w:rsidR="006E71B8" w:rsidRPr="004D19BC" w:rsidP="004D19BC" w14:paraId="73A86B03" w14:textId="64A68CD1">
      <w:pPr>
        <w:rPr>
          <w:b/>
          <w:bCs/>
          <w:sz w:val="24"/>
          <w:szCs w:val="24"/>
        </w:rPr>
      </w:pPr>
      <w:r w:rsidRPr="004D19BC">
        <w:rPr>
          <w:sz w:val="24"/>
          <w:szCs w:val="24"/>
        </w:rPr>
        <w:t>This survey will be conducted only one time</w:t>
      </w:r>
      <w:r w:rsidRPr="004D19BC" w:rsidR="005B10C7">
        <w:rPr>
          <w:sz w:val="24"/>
          <w:szCs w:val="24"/>
        </w:rPr>
        <w:t>.</w:t>
      </w:r>
    </w:p>
    <w:p w:rsidR="00DD37DC" w:rsidRPr="004D19BC" w:rsidP="00DD37DC" w14:paraId="2C2AAC83" w14:textId="77777777">
      <w:pPr>
        <w:rPr>
          <w:sz w:val="24"/>
          <w:szCs w:val="24"/>
        </w:rPr>
      </w:pPr>
    </w:p>
    <w:p w:rsidR="006E71B8" w:rsidRPr="004D19BC" w:rsidP="004D19BC" w14:paraId="1F1E5837" w14:textId="77777777">
      <w:pPr>
        <w:rPr>
          <w:b/>
          <w:bCs/>
          <w:sz w:val="24"/>
          <w:szCs w:val="24"/>
          <w:u w:val="single"/>
        </w:rPr>
      </w:pPr>
      <w:r w:rsidRPr="004D19BC">
        <w:rPr>
          <w:b/>
          <w:bCs/>
          <w:sz w:val="24"/>
          <w:szCs w:val="24"/>
          <w:u w:val="single"/>
        </w:rPr>
        <w:t>3. Methods to Maximize Response Rates</w:t>
      </w:r>
    </w:p>
    <w:p w:rsidR="006E71B8" w:rsidP="006E71B8" w14:paraId="6A2AEED9" w14:textId="77777777">
      <w:pPr>
        <w:rPr>
          <w:b/>
          <w:sz w:val="24"/>
          <w:szCs w:val="24"/>
          <w:u w:val="single"/>
        </w:rPr>
      </w:pPr>
    </w:p>
    <w:p w:rsidR="006E71B8" w:rsidRPr="002E054D" w:rsidP="006E71B8" w14:paraId="0C19F5DE" w14:textId="4D0D9128">
      <w:pPr>
        <w:rPr>
          <w:sz w:val="24"/>
          <w:szCs w:val="24"/>
        </w:rPr>
      </w:pPr>
      <w:r w:rsidRPr="002E054D">
        <w:rPr>
          <w:sz w:val="24"/>
          <w:szCs w:val="24"/>
        </w:rPr>
        <w:t xml:space="preserve">The ability to obtain the cooperation of potential </w:t>
      </w:r>
      <w:r w:rsidR="009A77DC">
        <w:rPr>
          <w:sz w:val="24"/>
          <w:szCs w:val="24"/>
        </w:rPr>
        <w:t>participants</w:t>
      </w:r>
      <w:r w:rsidRPr="002E054D">
        <w:rPr>
          <w:sz w:val="24"/>
          <w:szCs w:val="24"/>
        </w:rPr>
        <w:t xml:space="preserve"> in the survey will be important to the success of this study. </w:t>
      </w:r>
      <w:r w:rsidR="0036058F">
        <w:rPr>
          <w:sz w:val="24"/>
          <w:szCs w:val="24"/>
        </w:rPr>
        <w:t>RTI</w:t>
      </w:r>
      <w:r w:rsidR="0036058F">
        <w:rPr>
          <w:sz w:val="24"/>
          <w:szCs w:val="24"/>
        </w:rPr>
        <w:t xml:space="preserve"> </w:t>
      </w:r>
      <w:r w:rsidRPr="002E054D">
        <w:rPr>
          <w:sz w:val="24"/>
          <w:szCs w:val="24"/>
        </w:rPr>
        <w:t>will minimize the non-response rate by employing the following measures:</w:t>
      </w:r>
    </w:p>
    <w:p w:rsidR="006E71B8" w:rsidRPr="00832536" w:rsidP="006E71B8" w14:paraId="5AFA02DD" w14:textId="77777777">
      <w:pPr>
        <w:numPr>
          <w:ilvl w:val="0"/>
          <w:numId w:val="2"/>
        </w:numPr>
        <w:ind w:left="720"/>
        <w:rPr>
          <w:sz w:val="24"/>
          <w:szCs w:val="24"/>
        </w:rPr>
      </w:pPr>
      <w:r>
        <w:rPr>
          <w:sz w:val="24"/>
          <w:szCs w:val="24"/>
        </w:rPr>
        <w:t>Employ targeted advertising to best reach the desired sample</w:t>
      </w:r>
    </w:p>
    <w:p w:rsidR="009A77DC" w:rsidP="00CB1586" w14:paraId="4BA50A4D" w14:textId="0579248B">
      <w:pPr>
        <w:numPr>
          <w:ilvl w:val="0"/>
          <w:numId w:val="2"/>
        </w:numPr>
        <w:ind w:left="720"/>
        <w:rPr>
          <w:sz w:val="24"/>
          <w:szCs w:val="24"/>
        </w:rPr>
      </w:pPr>
      <w:r w:rsidRPr="002E054D">
        <w:rPr>
          <w:sz w:val="24"/>
          <w:szCs w:val="24"/>
        </w:rPr>
        <w:t xml:space="preserve">Provide </w:t>
      </w:r>
      <w:r>
        <w:rPr>
          <w:sz w:val="24"/>
          <w:szCs w:val="24"/>
        </w:rPr>
        <w:t>a token of appreciation in the form o</w:t>
      </w:r>
      <w:r w:rsidRPr="00552C0B">
        <w:rPr>
          <w:sz w:val="24"/>
          <w:szCs w:val="24"/>
        </w:rPr>
        <w:t>f a $</w:t>
      </w:r>
      <w:r w:rsidRPr="00552C0B" w:rsidR="0036058F">
        <w:rPr>
          <w:sz w:val="24"/>
          <w:szCs w:val="24"/>
        </w:rPr>
        <w:t>5</w:t>
      </w:r>
      <w:r w:rsidRPr="00552C0B">
        <w:rPr>
          <w:sz w:val="24"/>
          <w:szCs w:val="24"/>
        </w:rPr>
        <w:t xml:space="preserve"> </w:t>
      </w:r>
      <w:r w:rsidRPr="00552C0B" w:rsidR="00074AF4">
        <w:rPr>
          <w:sz w:val="24"/>
          <w:szCs w:val="24"/>
        </w:rPr>
        <w:t>digital</w:t>
      </w:r>
      <w:r w:rsidRPr="00074AF4" w:rsidR="00074AF4">
        <w:rPr>
          <w:sz w:val="24"/>
          <w:szCs w:val="24"/>
        </w:rPr>
        <w:t xml:space="preserve"> gift card </w:t>
      </w:r>
      <w:r>
        <w:rPr>
          <w:sz w:val="24"/>
          <w:szCs w:val="24"/>
        </w:rPr>
        <w:t>to participants who complete and submit the survey</w:t>
      </w:r>
    </w:p>
    <w:p w:rsidR="00CB1586" w:rsidRPr="004D19BC" w:rsidP="00CB1586" w14:paraId="137B8EF0" w14:textId="77777777">
      <w:pPr>
        <w:ind w:left="720"/>
        <w:rPr>
          <w:sz w:val="24"/>
          <w:szCs w:val="24"/>
        </w:rPr>
      </w:pPr>
    </w:p>
    <w:p w:rsidR="006E71B8" w:rsidRPr="004D19BC" w:rsidP="00F030EA" w14:paraId="69D0D395" w14:textId="1588F9D3">
      <w:pPr>
        <w:rPr>
          <w:sz w:val="24"/>
          <w:szCs w:val="24"/>
        </w:rPr>
      </w:pPr>
      <w:r w:rsidRPr="004D19BC">
        <w:rPr>
          <w:sz w:val="24"/>
          <w:szCs w:val="24"/>
        </w:rPr>
        <w:t xml:space="preserve">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w:t>
      </w:r>
      <w:r w:rsidRPr="004D19BC">
        <w:rPr>
          <w:sz w:val="24"/>
          <w:szCs w:val="24"/>
        </w:rPr>
        <w:t>Pforr</w:t>
      </w:r>
      <w:r w:rsidRPr="004D19BC">
        <w:rPr>
          <w:sz w:val="24"/>
          <w:szCs w:val="24"/>
        </w:rPr>
        <w:t xml:space="preserve">, &amp; Krieger, 2008; </w:t>
      </w:r>
      <w:r w:rsidRPr="004D19BC">
        <w:rPr>
          <w:sz w:val="24"/>
          <w:szCs w:val="24"/>
        </w:rPr>
        <w:t>Shettle</w:t>
      </w:r>
      <w:r w:rsidRPr="004D19BC">
        <w:rPr>
          <w:sz w:val="24"/>
          <w:szCs w:val="24"/>
        </w:rPr>
        <w:t xml:space="preserve"> &amp; Mooney, 1999; Singer, 2002). Additionally, evidence indicates that at-risk and multicultural populations may be particularly difficult to recruit and retain in health research (</w:t>
      </w:r>
      <w:r w:rsidRPr="004D19BC">
        <w:rPr>
          <w:sz w:val="24"/>
          <w:szCs w:val="24"/>
        </w:rPr>
        <w:t>Hooven</w:t>
      </w:r>
      <w:r w:rsidRPr="004D19BC">
        <w:rPr>
          <w:sz w:val="24"/>
          <w:szCs w:val="24"/>
        </w:rPr>
        <w:t xml:space="preserve">, Walsh, </w:t>
      </w:r>
      <w:r w:rsidRPr="004D19BC">
        <w:rPr>
          <w:sz w:val="24"/>
          <w:szCs w:val="24"/>
        </w:rPr>
        <w:t>Willgerodt</w:t>
      </w:r>
      <w:r w:rsidRPr="004D19BC">
        <w:rPr>
          <w:sz w:val="24"/>
          <w:szCs w:val="24"/>
        </w:rPr>
        <w:t xml:space="preserve">, &amp; Salazar, 2011; </w:t>
      </w:r>
      <w:r w:rsidRPr="004D19BC">
        <w:rPr>
          <w:sz w:val="24"/>
          <w:szCs w:val="24"/>
        </w:rPr>
        <w:t>Zand</w:t>
      </w:r>
      <w:r w:rsidRPr="004D19BC">
        <w:rPr>
          <w:sz w:val="24"/>
          <w:szCs w:val="24"/>
        </w:rPr>
        <w:t xml:space="preserve"> et al., 2006; Post, </w:t>
      </w:r>
      <w:r w:rsidRPr="004D19BC">
        <w:rPr>
          <w:sz w:val="24"/>
          <w:szCs w:val="24"/>
        </w:rPr>
        <w:t>Gilljam</w:t>
      </w:r>
      <w:r w:rsidRPr="004D19BC">
        <w:rPr>
          <w:sz w:val="24"/>
          <w:szCs w:val="24"/>
        </w:rPr>
        <w:t xml:space="preserve">, </w:t>
      </w:r>
      <w:r w:rsidRPr="004D19BC">
        <w:rPr>
          <w:sz w:val="24"/>
          <w:szCs w:val="24"/>
        </w:rPr>
        <w:t>Bremberg</w:t>
      </w:r>
      <w:r w:rsidRPr="004D19BC">
        <w:rPr>
          <w:sz w:val="24"/>
          <w:szCs w:val="24"/>
        </w:rPr>
        <w:t xml:space="preserve">, &amp; </w:t>
      </w:r>
      <w:r w:rsidRPr="004D19BC">
        <w:rPr>
          <w:sz w:val="24"/>
          <w:szCs w:val="24"/>
        </w:rPr>
        <w:t>Galanti</w:t>
      </w:r>
      <w:r w:rsidRPr="004D19BC">
        <w:rPr>
          <w:sz w:val="24"/>
          <w:szCs w:val="24"/>
        </w:rPr>
        <w:t xml:space="preserve">, 2012; Patel, </w:t>
      </w:r>
      <w:r w:rsidRPr="004D19BC">
        <w:rPr>
          <w:sz w:val="24"/>
          <w:szCs w:val="24"/>
        </w:rPr>
        <w:t>Doku</w:t>
      </w:r>
      <w:r w:rsidRPr="004D19BC">
        <w:rPr>
          <w:sz w:val="24"/>
          <w:szCs w:val="24"/>
        </w:rPr>
        <w:t xml:space="preserve">, &amp; Tennakoon, 2003; Siddiqui, Flay, &amp; Hu, 1996; Giuliano et al., 2000; Murthy, </w:t>
      </w:r>
      <w:r w:rsidRPr="004D19BC">
        <w:rPr>
          <w:sz w:val="24"/>
          <w:szCs w:val="24"/>
        </w:rPr>
        <w:t>Krumholz</w:t>
      </w:r>
      <w:r w:rsidRPr="004D19BC">
        <w:rPr>
          <w:sz w:val="24"/>
          <w:szCs w:val="24"/>
        </w:rPr>
        <w:t xml:space="preserve">, &amp; Gross, 2004), but that the use of a token of appreciation can be an effective means of recruiting and retaining participants from these populations (Martinson et al., 2000; Booker, Harding, &amp; </w:t>
      </w:r>
      <w:r w:rsidRPr="004D19BC">
        <w:rPr>
          <w:sz w:val="24"/>
          <w:szCs w:val="24"/>
        </w:rPr>
        <w:t>Benzeval</w:t>
      </w:r>
      <w:r w:rsidRPr="004D19BC">
        <w:rPr>
          <w:sz w:val="24"/>
          <w:szCs w:val="24"/>
        </w:rPr>
        <w:t xml:space="preserve">, 2011; Caldwell, Hamilton, Tan, &amp; Craig, 2010; Walter, Burke, &amp; Davis, 2013). </w:t>
      </w:r>
    </w:p>
    <w:p w:rsidR="009A77DC" w:rsidRPr="004D19BC" w:rsidP="00F030EA" w14:paraId="42E4E2ED" w14:textId="61E27EAE">
      <w:pPr>
        <w:rPr>
          <w:sz w:val="24"/>
          <w:szCs w:val="24"/>
        </w:rPr>
      </w:pPr>
    </w:p>
    <w:p w:rsidR="009A77DC" w:rsidRPr="004D19BC" w:rsidP="004D19BC" w14:paraId="7E45A375" w14:textId="366ABECC">
      <w:pPr>
        <w:rPr>
          <w:bCs/>
          <w:sz w:val="24"/>
          <w:szCs w:val="24"/>
        </w:rPr>
      </w:pPr>
      <w:r w:rsidRPr="004D19BC">
        <w:rPr>
          <w:sz w:val="24"/>
          <w:szCs w:val="24"/>
        </w:rPr>
        <w:t>Inclusion of a modest token of appreciation ha</w:t>
      </w:r>
      <w:r w:rsidR="005D4931">
        <w:rPr>
          <w:sz w:val="24"/>
          <w:szCs w:val="24"/>
        </w:rPr>
        <w:t>s</w:t>
      </w:r>
      <w:r w:rsidRPr="004D19BC">
        <w:rPr>
          <w:sz w:val="24"/>
          <w:szCs w:val="24"/>
        </w:rPr>
        <w:t xml:space="preserve"> resulted in studies that had full recruitment, diverse samples, and timely data collection. For example:</w:t>
      </w:r>
    </w:p>
    <w:p w:rsidR="009A77DC" w:rsidRPr="009A77DC" w:rsidP="009A77DC" w14:paraId="509CADCC" w14:textId="0655A5C1">
      <w:pPr>
        <w:pStyle w:val="ListParagraph"/>
        <w:numPr>
          <w:ilvl w:val="0"/>
          <w:numId w:val="6"/>
        </w:numPr>
        <w:autoSpaceDE w:val="0"/>
        <w:autoSpaceDN w:val="0"/>
        <w:spacing w:after="240"/>
        <w:rPr>
          <w:sz w:val="24"/>
          <w:szCs w:val="24"/>
        </w:rPr>
      </w:pPr>
      <w:r w:rsidRPr="009A77DC">
        <w:rPr>
          <w:sz w:val="24"/>
          <w:szCs w:val="24"/>
        </w:rPr>
        <w:t xml:space="preserve">The </w:t>
      </w:r>
      <w:r>
        <w:rPr>
          <w:sz w:val="24"/>
          <w:szCs w:val="24"/>
        </w:rPr>
        <w:t xml:space="preserve">CTP </w:t>
      </w:r>
      <w:r w:rsidRPr="009A77DC">
        <w:rPr>
          <w:sz w:val="24"/>
          <w:szCs w:val="24"/>
        </w:rPr>
        <w:t>Media Tracking study (OMB Control Number 0910-0810) was approved with a $5 token of appreciation</w:t>
      </w:r>
      <w:r>
        <w:rPr>
          <w:sz w:val="24"/>
          <w:szCs w:val="24"/>
        </w:rPr>
        <w:t xml:space="preserve"> for a 17-minute survey.</w:t>
      </w:r>
    </w:p>
    <w:p w:rsidR="009A77DC" w:rsidRPr="009A77DC" w:rsidP="009A77DC" w14:paraId="25C45356" w14:textId="16647DAB">
      <w:pPr>
        <w:pStyle w:val="ListParagraph"/>
        <w:numPr>
          <w:ilvl w:val="0"/>
          <w:numId w:val="6"/>
        </w:numPr>
        <w:autoSpaceDE w:val="0"/>
        <w:autoSpaceDN w:val="0"/>
        <w:spacing w:after="240"/>
        <w:rPr>
          <w:sz w:val="24"/>
          <w:szCs w:val="24"/>
        </w:rPr>
      </w:pPr>
      <w:r w:rsidRPr="009A77DC">
        <w:rPr>
          <w:sz w:val="24"/>
          <w:szCs w:val="24"/>
        </w:rPr>
        <w:t xml:space="preserve">The CTP Monthly Monitoring Study (OMB Control Number 0910-0810) was approved with a $5 token of appreciation for a </w:t>
      </w:r>
      <w:r>
        <w:rPr>
          <w:sz w:val="24"/>
          <w:szCs w:val="24"/>
        </w:rPr>
        <w:t xml:space="preserve">12-minute </w:t>
      </w:r>
      <w:r w:rsidRPr="009A77DC">
        <w:rPr>
          <w:sz w:val="24"/>
          <w:szCs w:val="24"/>
        </w:rPr>
        <w:t>survey and with a similar target population.</w:t>
      </w:r>
    </w:p>
    <w:p w:rsidR="009A77DC" w:rsidRPr="009A77DC" w:rsidP="009A77DC" w14:paraId="77BDD71E" w14:textId="77777777">
      <w:pPr>
        <w:pStyle w:val="ListParagraph"/>
        <w:numPr>
          <w:ilvl w:val="0"/>
          <w:numId w:val="6"/>
        </w:numPr>
        <w:autoSpaceDE w:val="0"/>
        <w:autoSpaceDN w:val="0"/>
        <w:spacing w:after="240"/>
        <w:rPr>
          <w:sz w:val="24"/>
          <w:szCs w:val="24"/>
        </w:rPr>
      </w:pPr>
      <w:r w:rsidRPr="009A77DC">
        <w:rPr>
          <w:sz w:val="24"/>
          <w:szCs w:val="24"/>
        </w:rPr>
        <w:t>The CTP Quantitative Study of Tobacco Facts Designed to Inform Youth Tobacco Prevention Messaging</w:t>
      </w:r>
      <w:r w:rsidRPr="009A77DC">
        <w:rPr>
          <w:b/>
          <w:sz w:val="24"/>
          <w:szCs w:val="24"/>
        </w:rPr>
        <w:t xml:space="preserve"> </w:t>
      </w:r>
      <w:r w:rsidRPr="009A77DC">
        <w:rPr>
          <w:sz w:val="24"/>
          <w:szCs w:val="24"/>
        </w:rPr>
        <w:t>(OMB Control Number 0910-0810) was approved with a $10 token of appreciation for a 20-minute survey with a similar target population.</w:t>
      </w:r>
    </w:p>
    <w:p w:rsidR="00273625" w:rsidRPr="009A77DC" w:rsidP="009A77DC" w14:paraId="2460A592" w14:textId="347811FF">
      <w:pPr>
        <w:pStyle w:val="ListParagraph"/>
        <w:numPr>
          <w:ilvl w:val="0"/>
          <w:numId w:val="6"/>
        </w:numPr>
        <w:autoSpaceDE w:val="0"/>
        <w:autoSpaceDN w:val="0"/>
        <w:spacing w:after="240"/>
        <w:rPr>
          <w:sz w:val="24"/>
          <w:szCs w:val="24"/>
        </w:rPr>
      </w:pPr>
      <w:r w:rsidRPr="009A77DC">
        <w:rPr>
          <w:sz w:val="24"/>
          <w:szCs w:val="24"/>
        </w:rPr>
        <w:t xml:space="preserve">The CTP Quantitative Study of Tobacco Facts Designed to Inform Youth Tobacco Prevention Messaging conducted in Spring 2020 for new FDA ads (OMB Control Number 0910-0810) was approved with a $10 token of appreciation for a 20-minute survey with a similar target population. The study was fully recruited and completed on time. </w:t>
      </w:r>
    </w:p>
    <w:p w:rsidR="006E71B8" w:rsidRPr="00A77197" w:rsidP="006E71B8" w14:paraId="42484D09" w14:textId="6A0C8324">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6E71B8" w:rsidP="006E71B8" w14:paraId="6AC02344" w14:textId="77777777">
      <w:pPr>
        <w:ind w:left="720" w:hanging="720"/>
        <w:rPr>
          <w:b/>
          <w:sz w:val="24"/>
          <w:szCs w:val="24"/>
          <w:u w:val="single"/>
        </w:rPr>
      </w:pPr>
    </w:p>
    <w:p w:rsidR="006E71B8" w:rsidP="006E71B8" w14:paraId="6815CF1A" w14:textId="35AF0BCC">
      <w:pPr>
        <w:rPr>
          <w:sz w:val="24"/>
          <w:szCs w:val="24"/>
        </w:rPr>
      </w:pPr>
      <w:r>
        <w:rPr>
          <w:sz w:val="24"/>
          <w:szCs w:val="24"/>
        </w:rPr>
        <w:t>RTI</w:t>
      </w:r>
      <w:r>
        <w:rPr>
          <w:sz w:val="24"/>
          <w:szCs w:val="24"/>
        </w:rPr>
        <w:t xml:space="preserve"> </w:t>
      </w:r>
      <w:r w:rsidRPr="002E054D">
        <w:rPr>
          <w:sz w:val="24"/>
          <w:szCs w:val="24"/>
        </w:rPr>
        <w:t>will conduct rigorous internal testing of the online survey instrument</w:t>
      </w:r>
      <w:r>
        <w:rPr>
          <w:sz w:val="24"/>
          <w:szCs w:val="24"/>
        </w:rPr>
        <w:t>s</w:t>
      </w:r>
      <w:r w:rsidRPr="002E054D">
        <w:rPr>
          <w:sz w:val="24"/>
          <w:szCs w:val="24"/>
        </w:rPr>
        <w:t xml:space="preserve"> prior to fielding. </w:t>
      </w:r>
      <w:r>
        <w:rPr>
          <w:sz w:val="24"/>
          <w:szCs w:val="24"/>
        </w:rPr>
        <w:t xml:space="preserve">Survey testers </w:t>
      </w:r>
      <w:r w:rsidRPr="002E054D">
        <w:rPr>
          <w:sz w:val="24"/>
          <w:szCs w:val="24"/>
        </w:rPr>
        <w:t xml:space="preserve">will review the online test version of the instrument that we will use to verify that instrument skip patterns are functioning properly, delivery of </w:t>
      </w:r>
      <w:r>
        <w:rPr>
          <w:sz w:val="24"/>
          <w:szCs w:val="24"/>
        </w:rPr>
        <w:t>the $</w:t>
      </w:r>
      <w:r w:rsidR="007C7317">
        <w:rPr>
          <w:sz w:val="24"/>
          <w:szCs w:val="24"/>
        </w:rPr>
        <w:t>5</w:t>
      </w:r>
      <w:r>
        <w:rPr>
          <w:sz w:val="24"/>
          <w:szCs w:val="24"/>
        </w:rPr>
        <w:t xml:space="preserve"> gift card as a token of appreciation </w:t>
      </w:r>
      <w:r w:rsidRPr="002E054D">
        <w:rPr>
          <w:sz w:val="24"/>
          <w:szCs w:val="24"/>
        </w:rPr>
        <w:t>is working properly, and that all survey questions are worded correctly and are in accordance with the instrument approved by OMB.</w:t>
      </w:r>
    </w:p>
    <w:p w:rsidR="006E71B8" w:rsidP="006E71B8" w14:paraId="27B70BC3" w14:textId="77777777">
      <w:pPr>
        <w:ind w:left="720" w:hanging="720"/>
        <w:rPr>
          <w:b/>
          <w:sz w:val="24"/>
          <w:szCs w:val="24"/>
          <w:u w:val="single"/>
        </w:rPr>
      </w:pPr>
    </w:p>
    <w:p w:rsidR="006E71B8" w:rsidRPr="00A77197" w:rsidP="006E71B8" w14:paraId="344B0039" w14:textId="77777777">
      <w:pPr>
        <w:ind w:left="720" w:hanging="720"/>
        <w:rPr>
          <w:b/>
          <w:sz w:val="24"/>
          <w:szCs w:val="24"/>
          <w:u w:val="single"/>
        </w:rPr>
      </w:pPr>
      <w:r w:rsidRPr="00A77197">
        <w:rPr>
          <w:b/>
          <w:sz w:val="24"/>
          <w:szCs w:val="24"/>
          <w:u w:val="single"/>
        </w:rPr>
        <w:t>5. Individuals Involved in Statistical Consultation and Information Collection</w:t>
      </w:r>
    </w:p>
    <w:p w:rsidR="006E71B8" w:rsidP="006E71B8" w14:paraId="3C545004" w14:textId="77777777">
      <w:pPr>
        <w:rPr>
          <w:sz w:val="24"/>
          <w:szCs w:val="24"/>
        </w:rPr>
      </w:pPr>
    </w:p>
    <w:p w:rsidR="006E71B8" w:rsidRPr="009A77DC" w:rsidP="006E71B8" w14:paraId="098E83F8" w14:textId="76FDC6F5">
      <w:pPr>
        <w:rPr>
          <w:sz w:val="24"/>
          <w:szCs w:val="24"/>
        </w:rPr>
      </w:pPr>
      <w:bookmarkStart w:id="3" w:name="_Toc361824168"/>
      <w:bookmarkStart w:id="4" w:name="_Toc365037510"/>
      <w:r w:rsidRPr="002E054D">
        <w:rPr>
          <w:sz w:val="24"/>
          <w:szCs w:val="24"/>
        </w:rPr>
        <w:t xml:space="preserve">The following individuals inside the agency have been consulted on the design of the </w:t>
      </w:r>
      <w:r w:rsidR="001A54A8">
        <w:rPr>
          <w:sz w:val="24"/>
          <w:szCs w:val="24"/>
        </w:rPr>
        <w:t>study</w:t>
      </w:r>
      <w:r w:rsidR="00B30F53">
        <w:rPr>
          <w:sz w:val="24"/>
          <w:szCs w:val="24"/>
        </w:rPr>
        <w:t xml:space="preserve"> </w:t>
      </w:r>
      <w:r w:rsidRPr="002E054D">
        <w:rPr>
          <w:sz w:val="24"/>
          <w:szCs w:val="24"/>
        </w:rPr>
        <w:t xml:space="preserve">plan, </w:t>
      </w:r>
      <w:r w:rsidRPr="009A77DC">
        <w:rPr>
          <w:sz w:val="24"/>
          <w:szCs w:val="24"/>
        </w:rPr>
        <w:t>audience questionnaire development, or intra-agency coordination of information collection efforts:</w:t>
      </w:r>
    </w:p>
    <w:p w:rsidR="006E71B8" w:rsidRPr="009A77DC" w:rsidP="006E71B8" w14:paraId="3B6984C1" w14:textId="77777777">
      <w:pPr>
        <w:rPr>
          <w:sz w:val="24"/>
          <w:szCs w:val="24"/>
        </w:rPr>
      </w:pPr>
    </w:p>
    <w:p w:rsidR="009A77DC" w:rsidRPr="009A77DC" w:rsidP="009A77DC" w14:paraId="1F04C5DE" w14:textId="77777777">
      <w:pPr>
        <w:ind w:left="180"/>
        <w:rPr>
          <w:sz w:val="24"/>
          <w:szCs w:val="24"/>
        </w:rPr>
      </w:pPr>
      <w:r w:rsidRPr="009A77DC">
        <w:rPr>
          <w:sz w:val="24"/>
          <w:szCs w:val="24"/>
        </w:rPr>
        <w:t>Emily Sanders</w:t>
      </w:r>
    </w:p>
    <w:p w:rsidR="009A77DC" w:rsidRPr="009A77DC" w:rsidP="009A77DC" w14:paraId="15279F9B" w14:textId="77777777">
      <w:pPr>
        <w:ind w:left="180"/>
        <w:rPr>
          <w:sz w:val="24"/>
          <w:szCs w:val="24"/>
        </w:rPr>
      </w:pPr>
      <w:r w:rsidRPr="009A77DC">
        <w:rPr>
          <w:sz w:val="24"/>
          <w:szCs w:val="24"/>
        </w:rPr>
        <w:t>Office of Health Communication &amp; Education</w:t>
      </w:r>
    </w:p>
    <w:p w:rsidR="009A77DC" w:rsidRPr="009A77DC" w:rsidP="009A77DC" w14:paraId="2C22BB80" w14:textId="77777777">
      <w:pPr>
        <w:ind w:left="180"/>
        <w:rPr>
          <w:sz w:val="24"/>
          <w:szCs w:val="24"/>
        </w:rPr>
      </w:pPr>
      <w:r w:rsidRPr="009A77DC">
        <w:rPr>
          <w:sz w:val="24"/>
          <w:szCs w:val="24"/>
        </w:rPr>
        <w:t>Center for Tobacco Products</w:t>
      </w:r>
    </w:p>
    <w:p w:rsidR="009A77DC" w:rsidRPr="009A77DC" w:rsidP="009A77DC" w14:paraId="4B7FEE33" w14:textId="77777777">
      <w:pPr>
        <w:ind w:left="180"/>
        <w:rPr>
          <w:sz w:val="24"/>
          <w:szCs w:val="24"/>
        </w:rPr>
      </w:pPr>
      <w:r w:rsidRPr="009A77DC">
        <w:rPr>
          <w:sz w:val="24"/>
          <w:szCs w:val="24"/>
        </w:rPr>
        <w:t>Food and Drug Administration</w:t>
      </w:r>
    </w:p>
    <w:p w:rsidR="009A77DC" w:rsidRPr="009A77DC" w:rsidP="009A77DC" w14:paraId="05E1E60F" w14:textId="77777777">
      <w:pPr>
        <w:ind w:left="180"/>
        <w:rPr>
          <w:sz w:val="24"/>
          <w:szCs w:val="24"/>
        </w:rPr>
      </w:pPr>
      <w:r w:rsidRPr="009A77DC">
        <w:rPr>
          <w:sz w:val="24"/>
          <w:szCs w:val="24"/>
        </w:rPr>
        <w:t>10903 New Hampshire Avenue</w:t>
      </w:r>
    </w:p>
    <w:p w:rsidR="009A77DC" w:rsidRPr="009A77DC" w:rsidP="009A77DC" w14:paraId="46438485" w14:textId="77777777">
      <w:pPr>
        <w:ind w:left="180"/>
        <w:rPr>
          <w:sz w:val="24"/>
          <w:szCs w:val="24"/>
        </w:rPr>
      </w:pPr>
      <w:r w:rsidRPr="009A77DC">
        <w:rPr>
          <w:sz w:val="24"/>
          <w:szCs w:val="24"/>
        </w:rPr>
        <w:t>Silver Spring, MD 20993</w:t>
      </w:r>
    </w:p>
    <w:p w:rsidR="009A77DC" w:rsidRPr="009A77DC" w:rsidP="009A77DC" w14:paraId="273FCF90" w14:textId="77777777">
      <w:pPr>
        <w:pStyle w:val="xmsonormal"/>
        <w:ind w:firstLine="180"/>
        <w:rPr>
          <w:rFonts w:ascii="Times New Roman" w:hAnsi="Times New Roman" w:cs="Times New Roman"/>
          <w:sz w:val="24"/>
          <w:szCs w:val="24"/>
        </w:rPr>
      </w:pPr>
      <w:r w:rsidRPr="009A77DC">
        <w:rPr>
          <w:rFonts w:ascii="Times New Roman" w:hAnsi="Times New Roman" w:cs="Times New Roman"/>
          <w:sz w:val="24"/>
          <w:szCs w:val="24"/>
          <w:bdr w:val="none" w:sz="0" w:space="0" w:color="auto" w:frame="1"/>
        </w:rPr>
        <w:t>Phone: 240-402-4269, Cell: 240-485-9209</w:t>
      </w:r>
    </w:p>
    <w:p w:rsidR="009A77DC" w:rsidRPr="009A77DC" w:rsidP="009A77DC" w14:paraId="560A9AB5" w14:textId="77777777">
      <w:pPr>
        <w:pStyle w:val="xmsonormal"/>
        <w:spacing w:after="210"/>
        <w:ind w:firstLine="180"/>
        <w:rPr>
          <w:rFonts w:ascii="Times New Roman" w:hAnsi="Times New Roman" w:cs="Times New Roman"/>
          <w:sz w:val="24"/>
          <w:szCs w:val="24"/>
        </w:rPr>
      </w:pPr>
      <w:r w:rsidRPr="009A77DC">
        <w:rPr>
          <w:rFonts w:ascii="Times New Roman" w:hAnsi="Times New Roman" w:cs="Times New Roman"/>
          <w:sz w:val="24"/>
          <w:szCs w:val="24"/>
        </w:rPr>
        <w:t xml:space="preserve">E-mail: </w:t>
      </w:r>
      <w:hyperlink r:id="rId4" w:history="1">
        <w:r w:rsidRPr="009A77DC">
          <w:rPr>
            <w:rStyle w:val="Hyperlink"/>
            <w:rFonts w:ascii="Times New Roman" w:hAnsi="Times New Roman" w:cs="Times New Roman"/>
            <w:sz w:val="24"/>
            <w:szCs w:val="24"/>
          </w:rPr>
          <w:t>emily.sanders@fda.hhs.gov</w:t>
        </w:r>
      </w:hyperlink>
    </w:p>
    <w:p w:rsidR="00EE192E" w:rsidRPr="009A77DC" w:rsidP="00EE192E" w14:paraId="58B27AFD" w14:textId="6CADC392">
      <w:pPr>
        <w:ind w:left="180"/>
        <w:rPr>
          <w:rFonts w:eastAsiaTheme="minorHAnsi"/>
          <w:sz w:val="24"/>
          <w:szCs w:val="24"/>
        </w:rPr>
      </w:pPr>
      <w:r w:rsidRPr="009A77DC">
        <w:rPr>
          <w:rFonts w:eastAsiaTheme="minorHAnsi"/>
          <w:sz w:val="24"/>
          <w:szCs w:val="24"/>
        </w:rPr>
        <w:t>Morgane Bennett</w:t>
      </w:r>
    </w:p>
    <w:p w:rsidR="00EE192E" w:rsidRPr="009A77DC" w:rsidP="00EE192E" w14:paraId="522522F0" w14:textId="77777777">
      <w:pPr>
        <w:ind w:left="180"/>
        <w:rPr>
          <w:rFonts w:eastAsiaTheme="minorHAnsi"/>
          <w:sz w:val="24"/>
          <w:szCs w:val="24"/>
        </w:rPr>
      </w:pPr>
      <w:r w:rsidRPr="009A77DC">
        <w:rPr>
          <w:rFonts w:eastAsiaTheme="minorHAnsi"/>
          <w:sz w:val="24"/>
          <w:szCs w:val="24"/>
        </w:rPr>
        <w:t>Office of Health Communication &amp; Education</w:t>
      </w:r>
    </w:p>
    <w:p w:rsidR="00EE192E" w:rsidRPr="009A77DC" w:rsidP="00EE192E" w14:paraId="75BA21A8" w14:textId="77777777">
      <w:pPr>
        <w:ind w:left="180"/>
        <w:rPr>
          <w:rFonts w:eastAsiaTheme="minorHAnsi"/>
          <w:sz w:val="24"/>
          <w:szCs w:val="24"/>
        </w:rPr>
      </w:pPr>
      <w:r w:rsidRPr="009A77DC">
        <w:rPr>
          <w:rFonts w:eastAsiaTheme="minorHAnsi"/>
          <w:sz w:val="24"/>
          <w:szCs w:val="24"/>
        </w:rPr>
        <w:t>Center for Tobacco Products</w:t>
      </w:r>
    </w:p>
    <w:p w:rsidR="00EE192E" w:rsidRPr="009A77DC" w:rsidP="00EE192E" w14:paraId="00AA2D62" w14:textId="77777777">
      <w:pPr>
        <w:ind w:left="180"/>
        <w:rPr>
          <w:rFonts w:eastAsiaTheme="minorHAnsi"/>
          <w:sz w:val="24"/>
          <w:szCs w:val="24"/>
        </w:rPr>
      </w:pPr>
      <w:r w:rsidRPr="009A77DC">
        <w:rPr>
          <w:rFonts w:eastAsiaTheme="minorHAnsi"/>
          <w:sz w:val="24"/>
          <w:szCs w:val="24"/>
        </w:rPr>
        <w:t>Food and Drug Administration</w:t>
      </w:r>
    </w:p>
    <w:p w:rsidR="00EE192E" w:rsidRPr="009A77DC" w:rsidP="00EE192E" w14:paraId="1B9BCC1D" w14:textId="77777777">
      <w:pPr>
        <w:ind w:left="180"/>
        <w:rPr>
          <w:rFonts w:eastAsiaTheme="minorHAnsi"/>
          <w:sz w:val="24"/>
          <w:szCs w:val="24"/>
        </w:rPr>
      </w:pPr>
      <w:r w:rsidRPr="009A77DC">
        <w:rPr>
          <w:rFonts w:eastAsiaTheme="minorHAnsi"/>
          <w:sz w:val="24"/>
          <w:szCs w:val="24"/>
        </w:rPr>
        <w:t>10903 New Hampshire Avenue</w:t>
      </w:r>
    </w:p>
    <w:p w:rsidR="00EE192E" w:rsidRPr="00EE192E" w:rsidP="00EE192E" w14:paraId="42F24143" w14:textId="77777777">
      <w:pPr>
        <w:ind w:left="180"/>
        <w:rPr>
          <w:rFonts w:eastAsiaTheme="minorHAnsi"/>
          <w:sz w:val="24"/>
          <w:szCs w:val="24"/>
        </w:rPr>
      </w:pPr>
      <w:r w:rsidRPr="009A77DC">
        <w:rPr>
          <w:rFonts w:eastAsiaTheme="minorHAnsi"/>
          <w:sz w:val="24"/>
          <w:szCs w:val="24"/>
        </w:rPr>
        <w:t>Silver Spring</w:t>
      </w:r>
      <w:r w:rsidRPr="00EE192E">
        <w:rPr>
          <w:rFonts w:eastAsiaTheme="minorHAnsi"/>
          <w:sz w:val="24"/>
          <w:szCs w:val="24"/>
        </w:rPr>
        <w:t>, MD 20993</w:t>
      </w:r>
    </w:p>
    <w:p w:rsidR="00EE192E" w:rsidRPr="00EE192E" w:rsidP="00EE192E" w14:paraId="62BE8CAE" w14:textId="45BCE1A8">
      <w:pPr>
        <w:ind w:left="180"/>
        <w:rPr>
          <w:rFonts w:eastAsiaTheme="minorHAnsi"/>
          <w:sz w:val="24"/>
          <w:szCs w:val="24"/>
        </w:rPr>
      </w:pPr>
      <w:r w:rsidRPr="00EE192E">
        <w:rPr>
          <w:rFonts w:eastAsiaTheme="minorHAnsi"/>
          <w:sz w:val="24"/>
          <w:szCs w:val="24"/>
        </w:rPr>
        <w:t xml:space="preserve">Phone: </w:t>
      </w:r>
      <w:r w:rsidRPr="00943E89" w:rsidR="00943E89">
        <w:rPr>
          <w:rFonts w:eastAsiaTheme="minorHAnsi"/>
          <w:sz w:val="24"/>
          <w:szCs w:val="24"/>
        </w:rPr>
        <w:t>240-402-9281</w:t>
      </w:r>
    </w:p>
    <w:p w:rsidR="00EE192E" w:rsidP="00EE192E" w14:paraId="4327CF92" w14:textId="32B5CBC9">
      <w:pPr>
        <w:ind w:left="180"/>
        <w:rPr>
          <w:rFonts w:eastAsiaTheme="minorHAnsi"/>
          <w:sz w:val="24"/>
          <w:szCs w:val="24"/>
        </w:rPr>
      </w:pPr>
      <w:r w:rsidRPr="00EE192E">
        <w:rPr>
          <w:rFonts w:eastAsiaTheme="minorHAnsi"/>
          <w:sz w:val="24"/>
          <w:szCs w:val="24"/>
        </w:rPr>
        <w:t>E-mail:</w:t>
      </w:r>
      <w:r w:rsidR="007A36C4">
        <w:rPr>
          <w:rFonts w:eastAsiaTheme="minorHAnsi"/>
          <w:sz w:val="24"/>
          <w:szCs w:val="24"/>
        </w:rPr>
        <w:t xml:space="preserve"> </w:t>
      </w:r>
      <w:hyperlink r:id="rId5" w:history="1">
        <w:r w:rsidRPr="007C1C5E" w:rsidR="007A36C4">
          <w:rPr>
            <w:rStyle w:val="Hyperlink"/>
            <w:rFonts w:eastAsiaTheme="minorHAnsi"/>
            <w:sz w:val="24"/>
            <w:szCs w:val="24"/>
          </w:rPr>
          <w:t>Morgane.Bennett@fda.hhs.gov</w:t>
        </w:r>
      </w:hyperlink>
    </w:p>
    <w:p w:rsidR="007A36C4" w:rsidRPr="00EE192E" w:rsidP="00EE192E" w14:paraId="1396E933" w14:textId="77777777">
      <w:pPr>
        <w:ind w:left="180"/>
        <w:rPr>
          <w:rFonts w:eastAsiaTheme="minorHAnsi"/>
          <w:sz w:val="24"/>
          <w:szCs w:val="24"/>
          <w:u w:val="single"/>
        </w:rPr>
      </w:pPr>
    </w:p>
    <w:p w:rsidR="00A45CA1" w:rsidP="00EE192E" w14:paraId="7E63DF6C" w14:textId="77777777">
      <w:pPr>
        <w:ind w:left="180"/>
        <w:rPr>
          <w:rFonts w:eastAsiaTheme="minorHAnsi"/>
          <w:sz w:val="24"/>
          <w:szCs w:val="24"/>
        </w:rPr>
      </w:pPr>
    </w:p>
    <w:p w:rsidR="006E71B8" w:rsidRPr="002E054D" w:rsidP="006E71B8" w14:paraId="5234F0FA" w14:textId="77777777">
      <w:pPr>
        <w:rPr>
          <w:sz w:val="24"/>
          <w:szCs w:val="24"/>
        </w:rPr>
      </w:pPr>
      <w:r w:rsidRPr="002E054D">
        <w:rPr>
          <w:sz w:val="24"/>
          <w:szCs w:val="24"/>
        </w:rPr>
        <w:t>The following individuals outside of the agency have been consulted on questionnaire development.</w:t>
      </w:r>
    </w:p>
    <w:p w:rsidR="006E71B8" w:rsidRPr="002E054D" w:rsidP="006E71B8" w14:paraId="540D8335" w14:textId="77777777">
      <w:pPr>
        <w:rPr>
          <w:sz w:val="24"/>
          <w:szCs w:val="24"/>
        </w:rPr>
      </w:pPr>
    </w:p>
    <w:bookmarkEnd w:id="3"/>
    <w:bookmarkEnd w:id="4"/>
    <w:p w:rsidR="005C4BA0" w:rsidRPr="005C4BA0" w:rsidP="005C4BA0" w14:paraId="2088CA09" w14:textId="77777777">
      <w:pPr>
        <w:ind w:left="180"/>
        <w:rPr>
          <w:rFonts w:eastAsiaTheme="minorHAnsi"/>
          <w:sz w:val="24"/>
          <w:szCs w:val="22"/>
        </w:rPr>
      </w:pPr>
      <w:r w:rsidRPr="005C4BA0">
        <w:rPr>
          <w:rFonts w:eastAsiaTheme="minorHAnsi"/>
          <w:sz w:val="24"/>
          <w:szCs w:val="22"/>
        </w:rPr>
        <w:t>Nathaniel Taylor</w:t>
      </w:r>
    </w:p>
    <w:p w:rsidR="005C4BA0" w:rsidRPr="005C4BA0" w:rsidP="005C4BA0" w14:paraId="3ABB7EA1" w14:textId="77777777">
      <w:pPr>
        <w:ind w:left="180"/>
        <w:rPr>
          <w:rFonts w:eastAsiaTheme="minorHAnsi"/>
          <w:sz w:val="24"/>
          <w:szCs w:val="22"/>
        </w:rPr>
      </w:pPr>
      <w:r w:rsidRPr="005C4BA0">
        <w:rPr>
          <w:rFonts w:eastAsiaTheme="minorHAnsi"/>
          <w:sz w:val="24"/>
          <w:szCs w:val="22"/>
        </w:rPr>
        <w:t>RTI</w:t>
      </w:r>
      <w:r w:rsidRPr="005C4BA0">
        <w:rPr>
          <w:rFonts w:eastAsiaTheme="minorHAnsi"/>
          <w:sz w:val="24"/>
          <w:szCs w:val="22"/>
        </w:rPr>
        <w:t xml:space="preserve"> International</w:t>
      </w:r>
    </w:p>
    <w:p w:rsidR="005C4BA0" w:rsidRPr="005C4BA0" w:rsidP="005C4BA0" w14:paraId="45F5CBA4" w14:textId="77777777">
      <w:pPr>
        <w:ind w:left="180"/>
        <w:rPr>
          <w:rFonts w:eastAsiaTheme="minorHAnsi"/>
          <w:sz w:val="24"/>
          <w:szCs w:val="22"/>
        </w:rPr>
      </w:pPr>
      <w:r w:rsidRPr="005C4BA0">
        <w:rPr>
          <w:rFonts w:eastAsiaTheme="minorHAnsi"/>
          <w:sz w:val="24"/>
          <w:szCs w:val="22"/>
        </w:rPr>
        <w:t>3040 Cornwallis Road</w:t>
      </w:r>
    </w:p>
    <w:p w:rsidR="005C4BA0" w:rsidRPr="005C4BA0" w:rsidP="005C4BA0" w14:paraId="019234AA" w14:textId="77777777">
      <w:pPr>
        <w:ind w:left="180"/>
        <w:rPr>
          <w:rFonts w:eastAsiaTheme="minorHAnsi"/>
          <w:sz w:val="24"/>
          <w:szCs w:val="22"/>
        </w:rPr>
      </w:pPr>
      <w:r w:rsidRPr="005C4BA0">
        <w:rPr>
          <w:rFonts w:eastAsiaTheme="minorHAnsi"/>
          <w:sz w:val="24"/>
          <w:szCs w:val="22"/>
        </w:rPr>
        <w:t>Research Triangle Park, NC 27709</w:t>
      </w:r>
    </w:p>
    <w:p w:rsidR="005C4BA0" w:rsidRPr="005C4BA0" w:rsidP="005C4BA0" w14:paraId="60FB0851" w14:textId="77777777">
      <w:pPr>
        <w:ind w:left="180"/>
        <w:rPr>
          <w:rFonts w:eastAsiaTheme="minorHAnsi"/>
          <w:sz w:val="24"/>
          <w:szCs w:val="22"/>
        </w:rPr>
      </w:pPr>
      <w:r w:rsidRPr="005C4BA0">
        <w:rPr>
          <w:rFonts w:eastAsiaTheme="minorHAnsi"/>
          <w:sz w:val="24"/>
          <w:szCs w:val="22"/>
        </w:rPr>
        <w:t>Phone: 919-316-3523</w:t>
      </w:r>
    </w:p>
    <w:p w:rsidR="005C4BA0" w:rsidRPr="005C4BA0" w:rsidP="005C4BA0" w14:paraId="197AEBDD" w14:textId="77777777">
      <w:pPr>
        <w:ind w:left="180"/>
        <w:rPr>
          <w:rFonts w:eastAsiaTheme="minorHAnsi"/>
          <w:sz w:val="24"/>
          <w:szCs w:val="22"/>
        </w:rPr>
      </w:pPr>
      <w:r w:rsidRPr="005C4BA0">
        <w:rPr>
          <w:rFonts w:eastAsiaTheme="minorHAnsi"/>
          <w:sz w:val="24"/>
          <w:szCs w:val="22"/>
        </w:rPr>
        <w:t xml:space="preserve">Email: </w:t>
      </w:r>
      <w:hyperlink r:id="rId6" w:history="1">
        <w:r w:rsidRPr="005C4BA0">
          <w:rPr>
            <w:rFonts w:eastAsiaTheme="minorHAnsi"/>
            <w:color w:val="0000FF"/>
            <w:sz w:val="24"/>
            <w:szCs w:val="22"/>
            <w:u w:val="single"/>
          </w:rPr>
          <w:t>ntaylor@rti.org</w:t>
        </w:r>
      </w:hyperlink>
    </w:p>
    <w:p w:rsidR="005C4BA0" w:rsidRPr="005C4BA0" w:rsidP="005C4BA0" w14:paraId="1BB73376" w14:textId="77777777">
      <w:pPr>
        <w:ind w:left="180"/>
        <w:rPr>
          <w:rFonts w:eastAsiaTheme="minorHAnsi"/>
          <w:sz w:val="24"/>
          <w:szCs w:val="22"/>
        </w:rPr>
      </w:pPr>
    </w:p>
    <w:p w:rsidR="005C4BA0" w:rsidRPr="005C4BA0" w:rsidP="005C4BA0" w14:paraId="6B4047C8" w14:textId="77777777">
      <w:pPr>
        <w:ind w:left="180"/>
        <w:rPr>
          <w:rFonts w:eastAsiaTheme="minorHAnsi"/>
          <w:sz w:val="24"/>
          <w:szCs w:val="22"/>
        </w:rPr>
      </w:pPr>
      <w:r w:rsidRPr="005C4BA0">
        <w:rPr>
          <w:rFonts w:eastAsiaTheme="minorHAnsi"/>
          <w:sz w:val="24"/>
          <w:szCs w:val="22"/>
        </w:rPr>
        <w:t xml:space="preserve">Jane Allen </w:t>
      </w:r>
    </w:p>
    <w:p w:rsidR="005C4BA0" w:rsidRPr="005C4BA0" w:rsidP="005C4BA0" w14:paraId="1C0EAD02" w14:textId="77777777">
      <w:pPr>
        <w:ind w:left="180"/>
        <w:rPr>
          <w:rFonts w:eastAsiaTheme="minorHAnsi"/>
          <w:sz w:val="24"/>
          <w:szCs w:val="22"/>
        </w:rPr>
      </w:pPr>
      <w:r w:rsidRPr="005C4BA0">
        <w:rPr>
          <w:rFonts w:eastAsiaTheme="minorHAnsi"/>
          <w:sz w:val="24"/>
          <w:szCs w:val="22"/>
        </w:rPr>
        <w:t>RTI</w:t>
      </w:r>
      <w:r w:rsidRPr="005C4BA0">
        <w:rPr>
          <w:rFonts w:eastAsiaTheme="minorHAnsi"/>
          <w:sz w:val="24"/>
          <w:szCs w:val="22"/>
        </w:rPr>
        <w:t xml:space="preserve"> International</w:t>
      </w:r>
    </w:p>
    <w:p w:rsidR="005C4BA0" w:rsidRPr="005C4BA0" w:rsidP="005C4BA0" w14:paraId="7A0FE82F" w14:textId="77777777">
      <w:pPr>
        <w:ind w:left="180"/>
        <w:rPr>
          <w:rFonts w:eastAsiaTheme="minorHAnsi"/>
          <w:sz w:val="24"/>
          <w:szCs w:val="22"/>
        </w:rPr>
      </w:pPr>
      <w:r w:rsidRPr="005C4BA0">
        <w:rPr>
          <w:rFonts w:eastAsiaTheme="minorHAnsi"/>
          <w:sz w:val="24"/>
          <w:szCs w:val="22"/>
        </w:rPr>
        <w:t>3040 Cornwallis Road</w:t>
      </w:r>
    </w:p>
    <w:p w:rsidR="005C4BA0" w:rsidRPr="005C4BA0" w:rsidP="005C4BA0" w14:paraId="4F4B57B2" w14:textId="77777777">
      <w:pPr>
        <w:ind w:left="180"/>
        <w:rPr>
          <w:rFonts w:eastAsiaTheme="minorHAnsi"/>
          <w:sz w:val="24"/>
          <w:szCs w:val="22"/>
        </w:rPr>
      </w:pPr>
      <w:r w:rsidRPr="005C4BA0">
        <w:rPr>
          <w:rFonts w:eastAsiaTheme="minorHAnsi"/>
          <w:sz w:val="24"/>
          <w:szCs w:val="22"/>
        </w:rPr>
        <w:t>Research Triangle Park, NC 27709</w:t>
      </w:r>
    </w:p>
    <w:p w:rsidR="005C4BA0" w:rsidRPr="005C4BA0" w:rsidP="005C4BA0" w14:paraId="187034FD" w14:textId="77777777">
      <w:pPr>
        <w:ind w:left="180"/>
        <w:rPr>
          <w:rFonts w:eastAsiaTheme="minorHAnsi"/>
          <w:sz w:val="24"/>
          <w:szCs w:val="22"/>
        </w:rPr>
      </w:pPr>
      <w:r w:rsidRPr="005C4BA0">
        <w:rPr>
          <w:rFonts w:eastAsiaTheme="minorHAnsi"/>
          <w:sz w:val="24"/>
          <w:szCs w:val="22"/>
        </w:rPr>
        <w:t>Phone: 919-597-5115</w:t>
      </w:r>
    </w:p>
    <w:p w:rsidR="005C4BA0" w:rsidRPr="005C4BA0" w:rsidP="005C4BA0" w14:paraId="23AD81EA" w14:textId="77777777">
      <w:pPr>
        <w:ind w:left="180"/>
        <w:rPr>
          <w:rFonts w:eastAsiaTheme="minorHAnsi"/>
          <w:sz w:val="24"/>
          <w:szCs w:val="22"/>
        </w:rPr>
      </w:pPr>
      <w:r w:rsidRPr="005C4BA0">
        <w:rPr>
          <w:rFonts w:eastAsiaTheme="minorHAnsi"/>
          <w:sz w:val="24"/>
          <w:szCs w:val="22"/>
        </w:rPr>
        <w:t>E-mail:</w:t>
      </w:r>
      <w:hyperlink r:id="rId7" w:history="1">
        <w:r w:rsidRPr="005C4BA0">
          <w:rPr>
            <w:rFonts w:eastAsiaTheme="minorHAnsi"/>
            <w:color w:val="0000FF"/>
            <w:sz w:val="24"/>
            <w:szCs w:val="22"/>
            <w:u w:val="single"/>
          </w:rPr>
          <w:t>Janeallen@rti.org</w:t>
        </w:r>
      </w:hyperlink>
    </w:p>
    <w:p w:rsidR="005C4BA0" w:rsidRPr="005C4BA0" w:rsidP="005C4BA0" w14:paraId="525DA3BB" w14:textId="77777777">
      <w:pPr>
        <w:ind w:left="180"/>
        <w:rPr>
          <w:rFonts w:eastAsiaTheme="minorHAnsi"/>
          <w:sz w:val="24"/>
          <w:szCs w:val="22"/>
        </w:rPr>
      </w:pPr>
    </w:p>
    <w:p w:rsidR="005C4BA0" w:rsidRPr="005C4BA0" w:rsidP="005C4BA0" w14:paraId="6D5F1FD6" w14:textId="11C06C01">
      <w:pPr>
        <w:ind w:left="180"/>
        <w:rPr>
          <w:rFonts w:eastAsiaTheme="minorHAnsi"/>
          <w:sz w:val="24"/>
          <w:szCs w:val="22"/>
        </w:rPr>
      </w:pPr>
      <w:r>
        <w:rPr>
          <w:rFonts w:eastAsiaTheme="minorHAnsi"/>
          <w:sz w:val="24"/>
          <w:szCs w:val="22"/>
        </w:rPr>
        <w:t>Amy Henes</w:t>
      </w:r>
    </w:p>
    <w:p w:rsidR="005C4BA0" w:rsidRPr="005C4BA0" w:rsidP="005C4BA0" w14:paraId="75554BF3" w14:textId="77777777">
      <w:pPr>
        <w:ind w:left="180"/>
        <w:rPr>
          <w:rFonts w:eastAsiaTheme="minorHAnsi"/>
          <w:sz w:val="24"/>
          <w:szCs w:val="22"/>
        </w:rPr>
      </w:pPr>
      <w:r w:rsidRPr="005C4BA0">
        <w:rPr>
          <w:rFonts w:eastAsiaTheme="minorHAnsi"/>
          <w:sz w:val="24"/>
          <w:szCs w:val="22"/>
        </w:rPr>
        <w:t>RTI</w:t>
      </w:r>
      <w:r w:rsidRPr="005C4BA0">
        <w:rPr>
          <w:rFonts w:eastAsiaTheme="minorHAnsi"/>
          <w:sz w:val="24"/>
          <w:szCs w:val="22"/>
        </w:rPr>
        <w:t xml:space="preserve"> International</w:t>
      </w:r>
    </w:p>
    <w:p w:rsidR="005C4BA0" w:rsidRPr="005C4BA0" w:rsidP="005C4BA0" w14:paraId="644FA92E" w14:textId="77777777">
      <w:pPr>
        <w:ind w:left="180"/>
        <w:rPr>
          <w:rFonts w:eastAsiaTheme="minorHAnsi"/>
          <w:sz w:val="24"/>
          <w:szCs w:val="22"/>
        </w:rPr>
      </w:pPr>
      <w:r w:rsidRPr="005C4BA0">
        <w:rPr>
          <w:rFonts w:eastAsiaTheme="minorHAnsi"/>
          <w:sz w:val="24"/>
          <w:szCs w:val="22"/>
        </w:rPr>
        <w:t>3040 Cornwallis Road</w:t>
      </w:r>
    </w:p>
    <w:p w:rsidR="005C4BA0" w:rsidRPr="005C4BA0" w:rsidP="005C4BA0" w14:paraId="5F1A25F2" w14:textId="77777777">
      <w:pPr>
        <w:ind w:left="180"/>
        <w:rPr>
          <w:rFonts w:eastAsiaTheme="minorHAnsi"/>
          <w:sz w:val="24"/>
          <w:szCs w:val="22"/>
        </w:rPr>
      </w:pPr>
      <w:r w:rsidRPr="005C4BA0">
        <w:rPr>
          <w:rFonts w:eastAsiaTheme="minorHAnsi"/>
          <w:sz w:val="24"/>
          <w:szCs w:val="22"/>
        </w:rPr>
        <w:t>Research Triangle Park, NC 27709</w:t>
      </w:r>
    </w:p>
    <w:p w:rsidR="005C4BA0" w:rsidRPr="005C4BA0" w:rsidP="005C4BA0" w14:paraId="092EA5C2" w14:textId="1DFC2F18">
      <w:pPr>
        <w:ind w:left="180"/>
        <w:rPr>
          <w:rFonts w:eastAsiaTheme="minorHAnsi"/>
          <w:sz w:val="24"/>
          <w:szCs w:val="22"/>
        </w:rPr>
      </w:pPr>
      <w:r w:rsidRPr="005C4BA0">
        <w:rPr>
          <w:rFonts w:eastAsiaTheme="minorHAnsi"/>
          <w:sz w:val="24"/>
          <w:szCs w:val="22"/>
        </w:rPr>
        <w:t>Phone: 919-541-</w:t>
      </w:r>
      <w:r w:rsidR="000C729F">
        <w:rPr>
          <w:rFonts w:eastAsiaTheme="minorHAnsi"/>
          <w:sz w:val="24"/>
          <w:szCs w:val="22"/>
        </w:rPr>
        <w:t>7293</w:t>
      </w:r>
    </w:p>
    <w:p w:rsidR="005C4BA0" w:rsidRPr="00BF1075" w:rsidP="005C4BA0" w14:paraId="5D99CC15" w14:textId="6EA75F31">
      <w:pPr>
        <w:ind w:left="180"/>
        <w:rPr>
          <w:rFonts w:eastAsiaTheme="minorHAnsi"/>
          <w:sz w:val="24"/>
          <w:szCs w:val="22"/>
          <w:lang w:val="es-MX"/>
        </w:rPr>
      </w:pPr>
      <w:r w:rsidRPr="00BF1075">
        <w:rPr>
          <w:rFonts w:eastAsiaTheme="minorHAnsi"/>
          <w:sz w:val="24"/>
          <w:szCs w:val="22"/>
          <w:lang w:val="es-MX"/>
        </w:rPr>
        <w:t xml:space="preserve">E-mail: </w:t>
      </w:r>
      <w:hyperlink r:id="rId8" w:history="1">
        <w:r w:rsidRPr="00BF1075" w:rsidR="000C729F">
          <w:rPr>
            <w:rStyle w:val="Hyperlink"/>
            <w:rFonts w:eastAsiaTheme="minorHAnsi"/>
            <w:sz w:val="24"/>
            <w:szCs w:val="22"/>
            <w:lang w:val="es-MX"/>
          </w:rPr>
          <w:t>ahenes@rti.org</w:t>
        </w:r>
      </w:hyperlink>
    </w:p>
    <w:p w:rsidR="005C4BA0" w:rsidRPr="00BF1075" w:rsidP="005C4BA0" w14:paraId="70371BD7" w14:textId="77777777">
      <w:pPr>
        <w:ind w:left="180"/>
        <w:rPr>
          <w:rFonts w:eastAsiaTheme="minorHAnsi"/>
          <w:sz w:val="24"/>
          <w:szCs w:val="22"/>
          <w:lang w:val="es-MX"/>
        </w:rPr>
      </w:pPr>
    </w:p>
    <w:p w:rsidR="005C4BA0" w:rsidRPr="00BF1075" w:rsidP="005C4BA0" w14:paraId="0D33FB9F" w14:textId="77777777">
      <w:pPr>
        <w:ind w:left="180"/>
        <w:rPr>
          <w:rFonts w:eastAsiaTheme="minorHAnsi"/>
          <w:sz w:val="24"/>
          <w:szCs w:val="22"/>
          <w:lang w:val="es-MX"/>
        </w:rPr>
      </w:pPr>
      <w:r w:rsidRPr="00BF1075">
        <w:rPr>
          <w:rFonts w:eastAsiaTheme="minorHAnsi"/>
          <w:sz w:val="24"/>
          <w:szCs w:val="22"/>
          <w:lang w:val="es-MX"/>
        </w:rPr>
        <w:t>Laurel Curry</w:t>
      </w:r>
    </w:p>
    <w:p w:rsidR="005C4BA0" w:rsidRPr="005C4BA0" w:rsidP="005C4BA0" w14:paraId="1E48C7A0" w14:textId="77777777">
      <w:pPr>
        <w:ind w:left="180"/>
        <w:rPr>
          <w:rFonts w:eastAsiaTheme="minorHAnsi"/>
          <w:sz w:val="24"/>
          <w:szCs w:val="22"/>
        </w:rPr>
      </w:pPr>
      <w:r w:rsidRPr="005C4BA0">
        <w:rPr>
          <w:rFonts w:eastAsiaTheme="minorHAnsi"/>
          <w:sz w:val="24"/>
          <w:szCs w:val="22"/>
        </w:rPr>
        <w:t>RTI</w:t>
      </w:r>
      <w:r w:rsidRPr="005C4BA0">
        <w:rPr>
          <w:rFonts w:eastAsiaTheme="minorHAnsi"/>
          <w:sz w:val="24"/>
          <w:szCs w:val="22"/>
        </w:rPr>
        <w:t xml:space="preserve"> International</w:t>
      </w:r>
    </w:p>
    <w:p w:rsidR="005C4BA0" w:rsidRPr="005C4BA0" w:rsidP="005C4BA0" w14:paraId="691EF5D4" w14:textId="77777777">
      <w:pPr>
        <w:ind w:left="180"/>
        <w:rPr>
          <w:rFonts w:eastAsiaTheme="minorHAnsi"/>
          <w:sz w:val="24"/>
          <w:szCs w:val="22"/>
        </w:rPr>
      </w:pPr>
      <w:r w:rsidRPr="005C4BA0">
        <w:rPr>
          <w:rFonts w:eastAsiaTheme="minorHAnsi"/>
          <w:sz w:val="24"/>
          <w:szCs w:val="22"/>
        </w:rPr>
        <w:t>3040 Cornwallis Road</w:t>
      </w:r>
    </w:p>
    <w:p w:rsidR="005C4BA0" w:rsidRPr="005C4BA0" w:rsidP="005C4BA0" w14:paraId="63C9A266" w14:textId="77777777">
      <w:pPr>
        <w:ind w:left="180"/>
        <w:rPr>
          <w:rFonts w:eastAsiaTheme="minorHAnsi"/>
          <w:sz w:val="24"/>
          <w:szCs w:val="22"/>
        </w:rPr>
      </w:pPr>
      <w:r w:rsidRPr="005C4BA0">
        <w:rPr>
          <w:rFonts w:eastAsiaTheme="minorHAnsi"/>
          <w:sz w:val="24"/>
          <w:szCs w:val="22"/>
        </w:rPr>
        <w:t>Research Triangle Park, NC 27709</w:t>
      </w:r>
    </w:p>
    <w:p w:rsidR="005C4BA0" w:rsidRPr="005C4BA0" w:rsidP="005C4BA0" w14:paraId="496821D5" w14:textId="77777777">
      <w:pPr>
        <w:ind w:left="180"/>
        <w:rPr>
          <w:rFonts w:eastAsiaTheme="minorHAnsi"/>
          <w:sz w:val="24"/>
          <w:szCs w:val="22"/>
        </w:rPr>
      </w:pPr>
      <w:r w:rsidRPr="005C4BA0">
        <w:rPr>
          <w:rFonts w:eastAsiaTheme="minorHAnsi"/>
          <w:sz w:val="24"/>
          <w:szCs w:val="22"/>
        </w:rPr>
        <w:t>Phone: 202-728-2086</w:t>
      </w:r>
    </w:p>
    <w:p w:rsidR="005C4BA0" w:rsidRPr="005C4BA0" w:rsidP="005C4BA0" w14:paraId="3AE6CF1B" w14:textId="368F5D6A">
      <w:pPr>
        <w:ind w:left="180"/>
        <w:rPr>
          <w:rFonts w:eastAsiaTheme="minorHAnsi"/>
          <w:sz w:val="24"/>
          <w:szCs w:val="22"/>
        </w:rPr>
      </w:pPr>
      <w:r w:rsidRPr="005C4BA0">
        <w:rPr>
          <w:rFonts w:eastAsiaTheme="minorHAnsi"/>
          <w:sz w:val="24"/>
          <w:szCs w:val="22"/>
        </w:rPr>
        <w:t xml:space="preserve">E-mail: </w:t>
      </w:r>
      <w:hyperlink r:id="rId9" w:history="1">
        <w:r w:rsidRPr="005C4BA0">
          <w:rPr>
            <w:rFonts w:eastAsiaTheme="minorHAnsi"/>
            <w:color w:val="0000FF"/>
            <w:sz w:val="24"/>
            <w:szCs w:val="22"/>
            <w:u w:val="single"/>
          </w:rPr>
          <w:t>lcurry@rti.org</w:t>
        </w:r>
      </w:hyperlink>
    </w:p>
    <w:p w:rsidR="00D51F8F" w14:paraId="62E5D11B" w14:textId="02E6EC55">
      <w:pPr>
        <w:spacing w:after="160" w:line="259" w:lineRule="auto"/>
      </w:pPr>
      <w:r>
        <w:br w:type="page"/>
      </w:r>
    </w:p>
    <w:p w:rsidR="00C56818" w:rsidRPr="002E054D" w:rsidP="00C56818" w14:paraId="42D33864" w14:textId="77777777">
      <w:pPr>
        <w:rPr>
          <w:b/>
          <w:sz w:val="24"/>
          <w:szCs w:val="24"/>
        </w:rPr>
      </w:pPr>
      <w:r w:rsidRPr="002E054D">
        <w:rPr>
          <w:b/>
          <w:sz w:val="24"/>
          <w:szCs w:val="24"/>
        </w:rPr>
        <w:t>References</w:t>
      </w:r>
    </w:p>
    <w:p w:rsidR="00C56818" w:rsidP="00C56818" w14:paraId="3C2722DB" w14:textId="77777777">
      <w:pPr>
        <w:rPr>
          <w:sz w:val="24"/>
          <w:szCs w:val="24"/>
        </w:rPr>
      </w:pPr>
    </w:p>
    <w:p w:rsidR="00CE45F4" w:rsidRPr="00CE45F4" w:rsidP="00CE45F4" w14:paraId="581E7477"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Abreu, D. A., &amp; Winters, F. (1999). Using monetary incentives to reduce attrition in the survey of income and program participation. In: U.S. Census Bureau. </w:t>
      </w:r>
      <w:r w:rsidRPr="00CE45F4">
        <w:rPr>
          <w:i/>
          <w:iCs/>
          <w:color w:val="000000" w:themeColor="text1"/>
          <w:sz w:val="24"/>
          <w:szCs w:val="24"/>
          <w:shd w:val="clear" w:color="auto" w:fill="FFFFFF"/>
        </w:rPr>
        <w:t>Proceedings of the Survey Research Methods</w:t>
      </w:r>
      <w:r w:rsidRPr="00CE45F4">
        <w:rPr>
          <w:iCs/>
          <w:color w:val="000000" w:themeColor="text1"/>
          <w:sz w:val="24"/>
          <w:szCs w:val="24"/>
          <w:shd w:val="clear" w:color="auto" w:fill="FFFFFF"/>
        </w:rPr>
        <w:t>,</w:t>
      </w:r>
      <w:r w:rsidRPr="00CE45F4">
        <w:rPr>
          <w:iCs/>
          <w:color w:val="000000" w:themeColor="text1"/>
          <w:sz w:val="24"/>
          <w:szCs w:val="24"/>
          <w:shd w:val="clear" w:color="auto" w:fill="FFFFFF"/>
        </w:rPr>
        <w:t xml:space="preserve"> </w:t>
      </w:r>
      <w:r w:rsidRPr="00CE45F4">
        <w:rPr>
          <w:color w:val="000000" w:themeColor="text1"/>
          <w:sz w:val="24"/>
          <w:szCs w:val="24"/>
          <w:shd w:val="clear" w:color="auto" w:fill="FFFFFF"/>
        </w:rPr>
        <w:t>533-538.</w:t>
      </w:r>
    </w:p>
    <w:p w:rsidR="00CE45F4" w:rsidRPr="00CE45F4" w:rsidP="00CE45F4" w14:paraId="2366E547"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Booker, C.L., Harding, S., </w:t>
      </w:r>
      <w:r w:rsidRPr="00CE45F4">
        <w:rPr>
          <w:color w:val="000000" w:themeColor="text1"/>
          <w:sz w:val="24"/>
          <w:szCs w:val="24"/>
          <w:shd w:val="clear" w:color="auto" w:fill="FFFFFF"/>
        </w:rPr>
        <w:t>Benzeval</w:t>
      </w:r>
      <w:r w:rsidRPr="00CE45F4">
        <w:rPr>
          <w:color w:val="000000" w:themeColor="text1"/>
          <w:sz w:val="24"/>
          <w:szCs w:val="24"/>
          <w:shd w:val="clear" w:color="auto" w:fill="FFFFFF"/>
        </w:rPr>
        <w:t xml:space="preserve">, M. (2011). A systematic review of the effect of retention methods in population-based cohort studies. </w:t>
      </w:r>
      <w:r w:rsidRPr="00CE45F4">
        <w:rPr>
          <w:i/>
          <w:color w:val="000000" w:themeColor="text1"/>
          <w:sz w:val="24"/>
          <w:szCs w:val="24"/>
          <w:shd w:val="clear" w:color="auto" w:fill="FFFFFF"/>
        </w:rPr>
        <w:t>BMC Public Health, 11</w:t>
      </w:r>
      <w:r w:rsidRPr="00CE45F4">
        <w:rPr>
          <w:color w:val="000000" w:themeColor="text1"/>
          <w:sz w:val="24"/>
          <w:szCs w:val="24"/>
          <w:shd w:val="clear" w:color="auto" w:fill="FFFFFF"/>
        </w:rPr>
        <w:t>, 249.</w:t>
      </w:r>
    </w:p>
    <w:p w:rsidR="00CE45F4" w:rsidRPr="00CE45F4" w:rsidP="00CE45F4" w14:paraId="3D76ABC9"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Caldwell, P.H., Hamilton, S., Tan, A., &amp; Craig, J.C. (2010). Strategies for increasing recruitment to </w:t>
      </w:r>
      <w:r w:rsidRPr="00CE45F4">
        <w:rPr>
          <w:color w:val="000000" w:themeColor="text1"/>
          <w:sz w:val="24"/>
          <w:szCs w:val="24"/>
          <w:shd w:val="clear" w:color="auto" w:fill="FFFFFF"/>
        </w:rPr>
        <w:t>randomised</w:t>
      </w:r>
      <w:r w:rsidRPr="00CE45F4">
        <w:rPr>
          <w:color w:val="000000" w:themeColor="text1"/>
          <w:sz w:val="24"/>
          <w:szCs w:val="24"/>
          <w:shd w:val="clear" w:color="auto" w:fill="FFFFFF"/>
        </w:rPr>
        <w:t xml:space="preserve"> controlled trials: Systematic review. </w:t>
      </w:r>
      <w:r w:rsidRPr="00CE45F4">
        <w:rPr>
          <w:i/>
          <w:color w:val="000000" w:themeColor="text1"/>
          <w:sz w:val="24"/>
          <w:szCs w:val="24"/>
          <w:shd w:val="clear" w:color="auto" w:fill="FFFFFF"/>
        </w:rPr>
        <w:t>PLoS</w:t>
      </w:r>
      <w:r w:rsidRPr="00CE45F4">
        <w:rPr>
          <w:i/>
          <w:color w:val="000000" w:themeColor="text1"/>
          <w:sz w:val="24"/>
          <w:szCs w:val="24"/>
          <w:shd w:val="clear" w:color="auto" w:fill="FFFFFF"/>
        </w:rPr>
        <w:t xml:space="preserve"> Medicine, 7</w:t>
      </w:r>
      <w:r w:rsidRPr="00CE45F4">
        <w:rPr>
          <w:color w:val="000000" w:themeColor="text1"/>
          <w:sz w:val="24"/>
          <w:szCs w:val="24"/>
          <w:shd w:val="clear" w:color="auto" w:fill="FFFFFF"/>
        </w:rPr>
        <w:t>(11), e1000368.</w:t>
      </w:r>
    </w:p>
    <w:p w:rsidR="00CE45F4" w:rsidRPr="00CE45F4" w:rsidP="00CE45F4" w14:paraId="0CA91371"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Castiglioni, L., </w:t>
      </w:r>
      <w:r w:rsidRPr="00CE45F4">
        <w:rPr>
          <w:color w:val="000000" w:themeColor="text1"/>
          <w:sz w:val="24"/>
          <w:szCs w:val="24"/>
          <w:shd w:val="clear" w:color="auto" w:fill="FFFFFF"/>
        </w:rPr>
        <w:t>Pforr</w:t>
      </w:r>
      <w:r w:rsidRPr="00CE45F4">
        <w:rPr>
          <w:color w:val="000000" w:themeColor="text1"/>
          <w:sz w:val="24"/>
          <w:szCs w:val="24"/>
          <w:shd w:val="clear" w:color="auto" w:fill="FFFFFF"/>
        </w:rPr>
        <w:t>, K., Krieger, U. (2008). The effect of incentives on response rates and panel attrition: Results of a controlled experiment.</w:t>
      </w:r>
      <w:r w:rsidRPr="00CE45F4">
        <w:rPr>
          <w:color w:val="000000" w:themeColor="text1"/>
          <w:sz w:val="24"/>
          <w:szCs w:val="24"/>
          <w:shd w:val="clear" w:color="auto" w:fill="FFFFFF"/>
        </w:rPr>
        <w:t xml:space="preserve"> </w:t>
      </w:r>
      <w:r w:rsidRPr="00CE45F4">
        <w:rPr>
          <w:i/>
          <w:iCs/>
          <w:color w:val="000000" w:themeColor="text1"/>
          <w:sz w:val="24"/>
          <w:szCs w:val="24"/>
          <w:shd w:val="clear" w:color="auto" w:fill="FFFFFF"/>
        </w:rPr>
        <w:t xml:space="preserve">Survey Research Methods, </w:t>
      </w:r>
      <w:r w:rsidRPr="00CE45F4">
        <w:rPr>
          <w:i/>
          <w:color w:val="000000" w:themeColor="text1"/>
          <w:sz w:val="24"/>
          <w:szCs w:val="24"/>
          <w:shd w:val="clear" w:color="auto" w:fill="FFFFFF"/>
        </w:rPr>
        <w:t>2</w:t>
      </w:r>
      <w:r w:rsidRPr="00CE45F4">
        <w:rPr>
          <w:color w:val="000000" w:themeColor="text1"/>
          <w:sz w:val="24"/>
          <w:szCs w:val="24"/>
          <w:shd w:val="clear" w:color="auto" w:fill="FFFFFF"/>
        </w:rPr>
        <w:t>(3), 151-158.</w:t>
      </w:r>
    </w:p>
    <w:p w:rsidR="00CE45F4" w:rsidRPr="00CE45F4" w:rsidP="00CE45F4" w14:paraId="4D5B8C39" w14:textId="5C5657E0">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Giuliano, A.R., </w:t>
      </w:r>
      <w:r w:rsidRPr="00CE45F4">
        <w:rPr>
          <w:color w:val="000000" w:themeColor="text1"/>
          <w:sz w:val="24"/>
          <w:szCs w:val="24"/>
        </w:rPr>
        <w:t>Mokuau</w:t>
      </w:r>
      <w:r w:rsidRPr="00CE45F4">
        <w:rPr>
          <w:color w:val="000000" w:themeColor="text1"/>
          <w:sz w:val="24"/>
          <w:szCs w:val="24"/>
        </w:rPr>
        <w:t xml:space="preserve">, N., Hughes, C., </w:t>
      </w:r>
      <w:r w:rsidRPr="00CE45F4">
        <w:rPr>
          <w:color w:val="000000" w:themeColor="text1"/>
          <w:sz w:val="24"/>
          <w:szCs w:val="24"/>
        </w:rPr>
        <w:t>Tortolero</w:t>
      </w:r>
      <w:r w:rsidRPr="00CE45F4">
        <w:rPr>
          <w:color w:val="000000" w:themeColor="text1"/>
          <w:sz w:val="24"/>
          <w:szCs w:val="24"/>
        </w:rPr>
        <w:t xml:space="preserve">-Luna, G., </w:t>
      </w:r>
      <w:r w:rsidRPr="00CE45F4">
        <w:rPr>
          <w:color w:val="000000" w:themeColor="text1"/>
          <w:sz w:val="24"/>
          <w:szCs w:val="24"/>
        </w:rPr>
        <w:t>Risendal</w:t>
      </w:r>
      <w:r w:rsidRPr="00CE45F4">
        <w:rPr>
          <w:color w:val="000000" w:themeColor="text1"/>
          <w:sz w:val="24"/>
          <w:szCs w:val="24"/>
        </w:rPr>
        <w:t xml:space="preserve">, B., Ho, R.C.S., … McCaskill-Stevens, </w:t>
      </w:r>
      <w:r w:rsidRPr="00CE45F4">
        <w:rPr>
          <w:color w:val="000000" w:themeColor="text1"/>
          <w:sz w:val="24"/>
          <w:szCs w:val="24"/>
        </w:rPr>
        <w:t>W.J</w:t>
      </w:r>
      <w:r w:rsidRPr="00CE45F4">
        <w:rPr>
          <w:color w:val="000000" w:themeColor="text1"/>
          <w:sz w:val="24"/>
          <w:szCs w:val="24"/>
        </w:rPr>
        <w:t xml:space="preserve">. (2000). Participation of </w:t>
      </w:r>
      <w:r w:rsidRPr="00CE45F4" w:rsidR="008F5442">
        <w:rPr>
          <w:color w:val="000000" w:themeColor="text1"/>
          <w:sz w:val="24"/>
          <w:szCs w:val="24"/>
        </w:rPr>
        <w:t>minorities</w:t>
      </w:r>
      <w:r w:rsidRPr="00CE45F4">
        <w:rPr>
          <w:color w:val="000000" w:themeColor="text1"/>
          <w:sz w:val="24"/>
          <w:szCs w:val="24"/>
        </w:rPr>
        <w:t xml:space="preserve"> in cancer research. </w:t>
      </w:r>
      <w:r w:rsidRPr="00CE45F4">
        <w:rPr>
          <w:i/>
          <w:color w:val="000000" w:themeColor="text1"/>
          <w:sz w:val="24"/>
          <w:szCs w:val="24"/>
        </w:rPr>
        <w:t>Annals of Epidemiology, 10</w:t>
      </w:r>
      <w:r w:rsidRPr="00CE45F4">
        <w:rPr>
          <w:color w:val="000000" w:themeColor="text1"/>
          <w:sz w:val="24"/>
          <w:szCs w:val="24"/>
        </w:rPr>
        <w:t>(8 Suppl 1), S22-S34.</w:t>
      </w:r>
    </w:p>
    <w:p w:rsidR="00CE45F4" w:rsidRPr="00CE45F4" w:rsidP="00CE45F4" w14:paraId="4C1F4D0F" w14:textId="77777777">
      <w:pPr>
        <w:spacing w:before="100" w:beforeAutospacing="1" w:after="100" w:afterAutospacing="1"/>
        <w:ind w:left="720" w:hanging="720"/>
        <w:rPr>
          <w:sz w:val="24"/>
          <w:szCs w:val="24"/>
        </w:rPr>
      </w:pPr>
      <w:r w:rsidRPr="00CE45F4">
        <w:rPr>
          <w:color w:val="000000" w:themeColor="text1"/>
          <w:sz w:val="24"/>
          <w:szCs w:val="24"/>
        </w:rPr>
        <w:t>Hooven</w:t>
      </w:r>
      <w:r w:rsidRPr="00CE45F4">
        <w:rPr>
          <w:color w:val="000000" w:themeColor="text1"/>
          <w:sz w:val="24"/>
          <w:szCs w:val="24"/>
        </w:rPr>
        <w:t xml:space="preserve">, C., Walsh, E., </w:t>
      </w:r>
      <w:r w:rsidRPr="00CE45F4">
        <w:rPr>
          <w:color w:val="000000" w:themeColor="text1"/>
          <w:sz w:val="24"/>
          <w:szCs w:val="24"/>
        </w:rPr>
        <w:t>Willgerodt</w:t>
      </w:r>
      <w:r w:rsidRPr="00CE45F4">
        <w:rPr>
          <w:color w:val="000000" w:themeColor="text1"/>
          <w:sz w:val="24"/>
          <w:szCs w:val="24"/>
        </w:rPr>
        <w:t xml:space="preserve">, M., &amp; Salazar, A. (2011). Increasing participation in prevention research: Strategies for youth, parents, and schools. </w:t>
      </w:r>
      <w:r w:rsidRPr="00CE45F4">
        <w:rPr>
          <w:i/>
          <w:color w:val="000000" w:themeColor="text1"/>
          <w:sz w:val="24"/>
          <w:szCs w:val="24"/>
        </w:rPr>
        <w:t>Journal of Child and Adolescent Psychiatric Nursing, 24</w:t>
      </w:r>
      <w:r w:rsidRPr="00CE45F4">
        <w:rPr>
          <w:color w:val="000000" w:themeColor="text1"/>
          <w:sz w:val="24"/>
          <w:szCs w:val="24"/>
        </w:rPr>
        <w:t>(3), 137-149.</w:t>
      </w:r>
    </w:p>
    <w:p w:rsidR="00CE45F4" w:rsidRPr="00CE45F4" w:rsidP="00CE45F4" w14:paraId="67DC16E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Martinson, B.C., </w:t>
      </w:r>
      <w:r w:rsidRPr="00CE45F4">
        <w:rPr>
          <w:color w:val="000000" w:themeColor="text1"/>
          <w:sz w:val="24"/>
          <w:szCs w:val="24"/>
        </w:rPr>
        <w:t>Lazovich</w:t>
      </w:r>
      <w:r w:rsidRPr="00CE45F4">
        <w:rPr>
          <w:color w:val="000000" w:themeColor="text1"/>
          <w:sz w:val="24"/>
          <w:szCs w:val="24"/>
        </w:rPr>
        <w:t xml:space="preserve">, D., </w:t>
      </w:r>
      <w:r w:rsidRPr="00CE45F4">
        <w:rPr>
          <w:color w:val="000000" w:themeColor="text1"/>
          <w:sz w:val="24"/>
          <w:szCs w:val="24"/>
        </w:rPr>
        <w:t>Lando</w:t>
      </w:r>
      <w:r w:rsidRPr="00CE45F4">
        <w:rPr>
          <w:color w:val="000000" w:themeColor="text1"/>
          <w:sz w:val="24"/>
          <w:szCs w:val="24"/>
        </w:rPr>
        <w:t xml:space="preserve">, </w:t>
      </w:r>
      <w:r w:rsidRPr="00CE45F4">
        <w:rPr>
          <w:color w:val="000000" w:themeColor="text1"/>
          <w:sz w:val="24"/>
          <w:szCs w:val="24"/>
        </w:rPr>
        <w:t>H.A</w:t>
      </w:r>
      <w:r w:rsidRPr="00CE45F4">
        <w:rPr>
          <w:color w:val="000000" w:themeColor="text1"/>
          <w:sz w:val="24"/>
          <w:szCs w:val="24"/>
        </w:rPr>
        <w:t xml:space="preserve">., Perry, C.L., McGovern, P.G., &amp; Boyle, R.G. (2000). Effectiveness of monetary incentives for recruiting adolescents to an intervention trial to reduce smoking. </w:t>
      </w:r>
      <w:r w:rsidRPr="00CE45F4">
        <w:rPr>
          <w:i/>
          <w:color w:val="000000" w:themeColor="text1"/>
          <w:sz w:val="24"/>
          <w:szCs w:val="24"/>
        </w:rPr>
        <w:t>Preventive Medicine, 31</w:t>
      </w:r>
      <w:r w:rsidRPr="00CE45F4">
        <w:rPr>
          <w:color w:val="000000" w:themeColor="text1"/>
          <w:sz w:val="24"/>
          <w:szCs w:val="24"/>
        </w:rPr>
        <w:t>(6), 706-713.</w:t>
      </w:r>
    </w:p>
    <w:p w:rsidR="00CE45F4" w:rsidRPr="00CE45F4" w:rsidP="00CE45F4" w14:paraId="0168AA8A"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Murthy, </w:t>
      </w:r>
      <w:r w:rsidRPr="00CE45F4">
        <w:rPr>
          <w:color w:val="000000" w:themeColor="text1"/>
          <w:sz w:val="24"/>
          <w:szCs w:val="24"/>
        </w:rPr>
        <w:t>V.H</w:t>
      </w:r>
      <w:r w:rsidRPr="00CE45F4">
        <w:rPr>
          <w:color w:val="000000" w:themeColor="text1"/>
          <w:sz w:val="24"/>
          <w:szCs w:val="24"/>
        </w:rPr>
        <w:t xml:space="preserve">., </w:t>
      </w:r>
      <w:r w:rsidRPr="00CE45F4">
        <w:rPr>
          <w:color w:val="000000" w:themeColor="text1"/>
          <w:sz w:val="24"/>
          <w:szCs w:val="24"/>
        </w:rPr>
        <w:t>Krumholz</w:t>
      </w:r>
      <w:r w:rsidRPr="00CE45F4">
        <w:rPr>
          <w:color w:val="000000" w:themeColor="text1"/>
          <w:sz w:val="24"/>
          <w:szCs w:val="24"/>
        </w:rPr>
        <w:t xml:space="preserve">, H.M., &amp; Gross, C.P. (2004). Participation in cancer clinical trials: Race-, sex-, and age-based disparities. </w:t>
      </w:r>
      <w:r w:rsidRPr="00CE45F4">
        <w:rPr>
          <w:i/>
          <w:color w:val="000000" w:themeColor="text1"/>
          <w:sz w:val="24"/>
          <w:szCs w:val="24"/>
        </w:rPr>
        <w:t>Journal of the American Medical Association, 291</w:t>
      </w:r>
      <w:r w:rsidRPr="00CE45F4">
        <w:rPr>
          <w:color w:val="000000" w:themeColor="text1"/>
          <w:sz w:val="24"/>
          <w:szCs w:val="24"/>
        </w:rPr>
        <w:t>(22), 2720-2726.</w:t>
      </w:r>
    </w:p>
    <w:p w:rsidR="00CE45F4" w:rsidRPr="00CE45F4" w:rsidP="00CE45F4" w14:paraId="27633033" w14:textId="06C2132E">
      <w:pPr>
        <w:spacing w:before="100" w:beforeAutospacing="1" w:after="100" w:afterAutospacing="1"/>
        <w:ind w:left="720" w:hanging="720"/>
        <w:rPr>
          <w:color w:val="000000" w:themeColor="text1"/>
          <w:sz w:val="24"/>
          <w:szCs w:val="24"/>
        </w:rPr>
      </w:pPr>
      <w:r w:rsidRPr="00CE45F4">
        <w:rPr>
          <w:color w:val="000000" w:themeColor="text1"/>
          <w:sz w:val="24"/>
          <w:szCs w:val="24"/>
        </w:rPr>
        <w:t xml:space="preserve">Patel, </w:t>
      </w:r>
      <w:r w:rsidRPr="00CE45F4">
        <w:rPr>
          <w:color w:val="000000" w:themeColor="text1"/>
          <w:sz w:val="24"/>
          <w:szCs w:val="24"/>
        </w:rPr>
        <w:t>M.X</w:t>
      </w:r>
      <w:r w:rsidRPr="00CE45F4">
        <w:rPr>
          <w:color w:val="000000" w:themeColor="text1"/>
          <w:sz w:val="24"/>
          <w:szCs w:val="24"/>
        </w:rPr>
        <w:t xml:space="preserve">., </w:t>
      </w:r>
      <w:r w:rsidRPr="00CE45F4">
        <w:rPr>
          <w:color w:val="000000" w:themeColor="text1"/>
          <w:sz w:val="24"/>
          <w:szCs w:val="24"/>
        </w:rPr>
        <w:t>Doku</w:t>
      </w:r>
      <w:r w:rsidRPr="00CE45F4">
        <w:rPr>
          <w:color w:val="000000" w:themeColor="text1"/>
          <w:sz w:val="24"/>
          <w:szCs w:val="24"/>
        </w:rPr>
        <w:t xml:space="preserve">, V., Tennakoon, L. (2003). Challenges in recruitment of research participants. </w:t>
      </w:r>
      <w:r w:rsidRPr="00CE45F4">
        <w:rPr>
          <w:i/>
          <w:color w:val="000000" w:themeColor="text1"/>
          <w:sz w:val="24"/>
          <w:szCs w:val="24"/>
        </w:rPr>
        <w:t xml:space="preserve">Advances in Psychiatric </w:t>
      </w:r>
      <w:r w:rsidRPr="00CE45F4" w:rsidR="008F5442">
        <w:rPr>
          <w:i/>
          <w:color w:val="000000" w:themeColor="text1"/>
          <w:sz w:val="24"/>
          <w:szCs w:val="24"/>
        </w:rPr>
        <w:t>Treatment</w:t>
      </w:r>
      <w:r w:rsidRPr="00CE45F4">
        <w:rPr>
          <w:i/>
          <w:color w:val="000000" w:themeColor="text1"/>
          <w:sz w:val="24"/>
          <w:szCs w:val="24"/>
        </w:rPr>
        <w:t>, 9</w:t>
      </w:r>
      <w:r w:rsidRPr="00CE45F4">
        <w:rPr>
          <w:color w:val="000000" w:themeColor="text1"/>
          <w:sz w:val="24"/>
          <w:szCs w:val="24"/>
        </w:rPr>
        <w:t>(3), 229-238.</w:t>
      </w:r>
    </w:p>
    <w:p w:rsidR="00CE45F4" w:rsidRPr="00D338D1" w:rsidP="00D338D1" w14:paraId="6F8F377D" w14:textId="4779FA80">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Post, A., </w:t>
      </w:r>
      <w:r w:rsidRPr="00CE45F4">
        <w:rPr>
          <w:color w:val="000000" w:themeColor="text1"/>
          <w:sz w:val="24"/>
          <w:szCs w:val="24"/>
        </w:rPr>
        <w:t>Gilljam</w:t>
      </w:r>
      <w:r w:rsidRPr="00CE45F4">
        <w:rPr>
          <w:color w:val="000000" w:themeColor="text1"/>
          <w:sz w:val="24"/>
          <w:szCs w:val="24"/>
        </w:rPr>
        <w:t xml:space="preserve">, H., </w:t>
      </w:r>
      <w:r w:rsidRPr="00CE45F4">
        <w:rPr>
          <w:color w:val="000000" w:themeColor="text1"/>
          <w:sz w:val="24"/>
          <w:szCs w:val="24"/>
        </w:rPr>
        <w:t>Bremberg</w:t>
      </w:r>
      <w:r w:rsidRPr="00CE45F4">
        <w:rPr>
          <w:color w:val="000000" w:themeColor="text1"/>
          <w:sz w:val="24"/>
          <w:szCs w:val="24"/>
        </w:rPr>
        <w:t xml:space="preserve">, S., &amp; </w:t>
      </w:r>
      <w:r w:rsidRPr="00CE45F4">
        <w:rPr>
          <w:color w:val="000000" w:themeColor="text1"/>
          <w:sz w:val="24"/>
          <w:szCs w:val="24"/>
        </w:rPr>
        <w:t>Galanti</w:t>
      </w:r>
      <w:r w:rsidRPr="00CE45F4">
        <w:rPr>
          <w:color w:val="000000" w:themeColor="text1"/>
          <w:sz w:val="24"/>
          <w:szCs w:val="24"/>
        </w:rPr>
        <w:t xml:space="preserve">, M.R. (2012). Psychosocial determinants of attrition in a longitudinal study of tobacco use in youth. </w:t>
      </w:r>
      <w:r w:rsidRPr="00CE45F4">
        <w:rPr>
          <w:i/>
          <w:color w:val="000000" w:themeColor="text1"/>
          <w:sz w:val="24"/>
          <w:szCs w:val="24"/>
        </w:rPr>
        <w:t>Scientific World Journal, 2012</w:t>
      </w:r>
      <w:r w:rsidRPr="00CE45F4">
        <w:rPr>
          <w:color w:val="000000" w:themeColor="text1"/>
          <w:sz w:val="24"/>
          <w:szCs w:val="24"/>
        </w:rPr>
        <w:t>, 654030.</w:t>
      </w:r>
    </w:p>
    <w:p w:rsidR="00CE45F4" w:rsidRPr="00CE45F4" w:rsidP="00CE45F4" w14:paraId="6450ABDC"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Siddiqui, O., Flay, B.R., &amp; Hu, F.B. (1996). Factors affecting attrition in a longitudinal smoking prevention study. </w:t>
      </w:r>
      <w:r w:rsidRPr="00CE45F4">
        <w:rPr>
          <w:i/>
          <w:color w:val="000000" w:themeColor="text1"/>
          <w:sz w:val="24"/>
          <w:szCs w:val="24"/>
          <w:shd w:val="clear" w:color="auto" w:fill="FFFFFF"/>
        </w:rPr>
        <w:t>Preventive Medicine, 25</w:t>
      </w:r>
      <w:r w:rsidRPr="00CE45F4">
        <w:rPr>
          <w:color w:val="000000" w:themeColor="text1"/>
          <w:sz w:val="24"/>
          <w:szCs w:val="24"/>
          <w:shd w:val="clear" w:color="auto" w:fill="FFFFFF"/>
        </w:rPr>
        <w:t>(5), 554-560.</w:t>
      </w:r>
    </w:p>
    <w:p w:rsidR="00CE45F4" w:rsidRPr="00CE45F4" w:rsidP="00CE45F4" w14:paraId="05DDF94E"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Singer, E. (2002). The use of incentives to reduce nonresponse in household surveys. In: Wiley, ed. </w:t>
      </w:r>
      <w:r w:rsidRPr="00CE45F4">
        <w:rPr>
          <w:i/>
          <w:iCs/>
          <w:color w:val="000000" w:themeColor="text1"/>
          <w:sz w:val="24"/>
          <w:szCs w:val="24"/>
          <w:shd w:val="clear" w:color="auto" w:fill="FFFFFF"/>
        </w:rPr>
        <w:t>Survey nonresponse</w:t>
      </w:r>
      <w:r w:rsidRPr="00CE45F4">
        <w:rPr>
          <w:color w:val="000000" w:themeColor="text1"/>
          <w:sz w:val="24"/>
          <w:szCs w:val="24"/>
          <w:shd w:val="clear" w:color="auto" w:fill="FFFFFF"/>
        </w:rPr>
        <w:t>, </w:t>
      </w:r>
      <w:r w:rsidRPr="00CE45F4">
        <w:rPr>
          <w:i/>
          <w:iCs/>
          <w:color w:val="000000" w:themeColor="text1"/>
          <w:sz w:val="24"/>
          <w:szCs w:val="24"/>
          <w:shd w:val="clear" w:color="auto" w:fill="FFFFFF"/>
        </w:rPr>
        <w:t>51</w:t>
      </w:r>
      <w:r w:rsidRPr="00CE45F4">
        <w:rPr>
          <w:color w:val="000000" w:themeColor="text1"/>
          <w:sz w:val="24"/>
          <w:szCs w:val="24"/>
          <w:shd w:val="clear" w:color="auto" w:fill="FFFFFF"/>
        </w:rPr>
        <w:t>, 163-177.</w:t>
      </w:r>
    </w:p>
    <w:p w:rsidR="00CE45F4" w:rsidRPr="00D338D1" w:rsidP="00D338D1" w14:paraId="57AEB484" w14:textId="6E73F9A0">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Shettle</w:t>
      </w:r>
      <w:r w:rsidRPr="00CE45F4">
        <w:rPr>
          <w:color w:val="000000" w:themeColor="text1"/>
          <w:sz w:val="24"/>
          <w:szCs w:val="24"/>
          <w:shd w:val="clear" w:color="auto" w:fill="FFFFFF"/>
        </w:rPr>
        <w:t>, C., &amp; Mooney, G. (1999). Monetary incentives in US government surveys. </w:t>
      </w:r>
      <w:r w:rsidRPr="00CE45F4">
        <w:rPr>
          <w:i/>
          <w:iCs/>
          <w:color w:val="000000" w:themeColor="text1"/>
          <w:sz w:val="24"/>
          <w:szCs w:val="24"/>
          <w:shd w:val="clear" w:color="auto" w:fill="FFFFFF"/>
        </w:rPr>
        <w:t>Journal of Official Statistics, 15</w:t>
      </w:r>
      <w:r w:rsidRPr="00CE45F4">
        <w:rPr>
          <w:color w:val="000000" w:themeColor="text1"/>
          <w:sz w:val="24"/>
          <w:szCs w:val="24"/>
          <w:shd w:val="clear" w:color="auto" w:fill="FFFFFF"/>
        </w:rPr>
        <w:t>(2), 231.</w:t>
      </w:r>
    </w:p>
    <w:p w:rsidR="00CE45F4" w:rsidRPr="00CE45F4" w:rsidP="00CE45F4" w14:paraId="644FFE86" w14:textId="77777777">
      <w:pPr>
        <w:spacing w:after="240"/>
        <w:ind w:left="720" w:hanging="720"/>
        <w:rPr>
          <w:color w:val="000000" w:themeColor="text1"/>
          <w:sz w:val="24"/>
          <w:szCs w:val="24"/>
        </w:rPr>
      </w:pPr>
      <w:r w:rsidRPr="00CE45F4">
        <w:rPr>
          <w:color w:val="000000" w:themeColor="text1"/>
          <w:sz w:val="24"/>
          <w:szCs w:val="24"/>
        </w:rPr>
        <w:t xml:space="preserve">Walter, </w:t>
      </w:r>
      <w:r w:rsidRPr="00CE45F4">
        <w:rPr>
          <w:color w:val="000000" w:themeColor="text1"/>
          <w:sz w:val="24"/>
          <w:szCs w:val="24"/>
        </w:rPr>
        <w:t>J.K</w:t>
      </w:r>
      <w:r w:rsidRPr="00CE45F4">
        <w:rPr>
          <w:color w:val="000000" w:themeColor="text1"/>
          <w:sz w:val="24"/>
          <w:szCs w:val="24"/>
        </w:rPr>
        <w:t xml:space="preserve">., Burke, </w:t>
      </w:r>
      <w:r w:rsidRPr="00CE45F4">
        <w:rPr>
          <w:color w:val="000000" w:themeColor="text1"/>
          <w:sz w:val="24"/>
          <w:szCs w:val="24"/>
        </w:rPr>
        <w:t>J.F</w:t>
      </w:r>
      <w:r w:rsidRPr="00CE45F4">
        <w:rPr>
          <w:color w:val="000000" w:themeColor="text1"/>
          <w:sz w:val="24"/>
          <w:szCs w:val="24"/>
        </w:rPr>
        <w:t xml:space="preserve">., &amp; Davis, M.M. (2013). Research participation by low-income and racial/ethnic minority groups: How payment may change the balance. </w:t>
      </w:r>
      <w:r w:rsidRPr="00CE45F4">
        <w:rPr>
          <w:i/>
          <w:color w:val="000000" w:themeColor="text1"/>
          <w:sz w:val="24"/>
          <w:szCs w:val="24"/>
        </w:rPr>
        <w:t>Clinical and Translational Science, 6</w:t>
      </w:r>
      <w:r w:rsidRPr="00CE45F4">
        <w:rPr>
          <w:color w:val="000000" w:themeColor="text1"/>
          <w:sz w:val="24"/>
          <w:szCs w:val="24"/>
        </w:rPr>
        <w:t>, 363-371.</w:t>
      </w:r>
    </w:p>
    <w:p w:rsidR="00CE45F4" w:rsidRPr="00CE45F4" w:rsidP="00CE45F4" w14:paraId="6BE43AF6" w14:textId="77777777">
      <w:pPr>
        <w:spacing w:before="100" w:beforeAutospacing="1" w:after="100" w:afterAutospacing="1"/>
        <w:ind w:left="720" w:hanging="720"/>
        <w:rPr>
          <w:sz w:val="24"/>
          <w:szCs w:val="24"/>
        </w:rPr>
      </w:pPr>
      <w:r w:rsidRPr="00CE45F4">
        <w:rPr>
          <w:color w:val="000000" w:themeColor="text1"/>
          <w:sz w:val="24"/>
          <w:szCs w:val="24"/>
        </w:rPr>
        <w:t>Zand</w:t>
      </w:r>
      <w:r w:rsidRPr="00CE45F4">
        <w:rPr>
          <w:color w:val="000000" w:themeColor="text1"/>
          <w:sz w:val="24"/>
          <w:szCs w:val="24"/>
        </w:rPr>
        <w:t xml:space="preserve">, D., Thomson, N.R., </w:t>
      </w:r>
      <w:r w:rsidRPr="00CE45F4">
        <w:rPr>
          <w:color w:val="000000" w:themeColor="text1"/>
          <w:sz w:val="24"/>
          <w:szCs w:val="24"/>
        </w:rPr>
        <w:t>Budan</w:t>
      </w:r>
      <w:r w:rsidRPr="00CE45F4">
        <w:rPr>
          <w:color w:val="000000" w:themeColor="text1"/>
          <w:sz w:val="24"/>
          <w:szCs w:val="24"/>
        </w:rPr>
        <w:t xml:space="preserve">, M., Braun, J.A., </w:t>
      </w:r>
      <w:r w:rsidRPr="00CE45F4">
        <w:rPr>
          <w:color w:val="000000" w:themeColor="text1"/>
          <w:sz w:val="24"/>
          <w:szCs w:val="24"/>
        </w:rPr>
        <w:t>Holterman</w:t>
      </w:r>
      <w:r w:rsidRPr="00CE45F4">
        <w:rPr>
          <w:color w:val="000000" w:themeColor="text1"/>
          <w:sz w:val="24"/>
          <w:szCs w:val="24"/>
        </w:rPr>
        <w:t xml:space="preserve">-Hommes, P., &amp; Hunter, </w:t>
      </w:r>
      <w:r w:rsidRPr="00CE45F4">
        <w:rPr>
          <w:color w:val="000000" w:themeColor="text1"/>
          <w:sz w:val="24"/>
          <w:szCs w:val="24"/>
        </w:rPr>
        <w:t>P.L</w:t>
      </w:r>
      <w:r w:rsidRPr="00CE45F4">
        <w:rPr>
          <w:color w:val="000000" w:themeColor="text1"/>
          <w:sz w:val="24"/>
          <w:szCs w:val="24"/>
        </w:rPr>
        <w:t xml:space="preserve">. (2006). Predictors of retention in an alcohol, tobacco, and other drug prevention study. </w:t>
      </w:r>
      <w:r w:rsidRPr="00CE45F4">
        <w:rPr>
          <w:i/>
          <w:color w:val="000000" w:themeColor="text1"/>
          <w:sz w:val="24"/>
          <w:szCs w:val="24"/>
        </w:rPr>
        <w:t>Evaluation Review, 30</w:t>
      </w:r>
      <w:r w:rsidRPr="00CE45F4">
        <w:rPr>
          <w:color w:val="000000" w:themeColor="text1"/>
          <w:sz w:val="24"/>
          <w:szCs w:val="24"/>
        </w:rPr>
        <w:t>(2), 209-222.</w:t>
      </w:r>
    </w:p>
    <w:p w:rsidR="002375F3" w:rsidP="00CE45F4" w14:paraId="7005387E" w14:textId="77777777">
      <w:pPr>
        <w:spacing w:after="200"/>
        <w:ind w:left="720" w:hanging="720"/>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5378335"/>
      <w:docPartObj>
        <w:docPartGallery w:val="Page Numbers (Bottom of Page)"/>
        <w:docPartUnique/>
      </w:docPartObj>
    </w:sdtPr>
    <w:sdtEndPr>
      <w:rPr>
        <w:noProof/>
      </w:rPr>
    </w:sdtEndPr>
    <w:sdtContent>
      <w:p w:rsidR="00E85591" w14:paraId="34AF4A90" w14:textId="0C3AC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5591" w14:paraId="09DAA7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25367E"/>
    <w:multiLevelType w:val="hybridMultilevel"/>
    <w:tmpl w:val="5D5267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430288E"/>
    <w:multiLevelType w:val="hybridMultilevel"/>
    <w:tmpl w:val="174402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7D85EA5"/>
    <w:multiLevelType w:val="hybridMultilevel"/>
    <w:tmpl w:val="5232DE46"/>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A3808FA"/>
    <w:multiLevelType w:val="hybridMultilevel"/>
    <w:tmpl w:val="02748D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D2C72F8"/>
    <w:multiLevelType w:val="hybridMultilevel"/>
    <w:tmpl w:val="C2C6C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D732190"/>
    <w:multiLevelType w:val="hybridMultilevel"/>
    <w:tmpl w:val="6ED8B0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1492C"/>
    <w:rsid w:val="00026F69"/>
    <w:rsid w:val="00027455"/>
    <w:rsid w:val="00045397"/>
    <w:rsid w:val="00051977"/>
    <w:rsid w:val="000531B5"/>
    <w:rsid w:val="00067AC6"/>
    <w:rsid w:val="00067B41"/>
    <w:rsid w:val="00070DBA"/>
    <w:rsid w:val="00074541"/>
    <w:rsid w:val="00074AF4"/>
    <w:rsid w:val="00086C68"/>
    <w:rsid w:val="00094BAC"/>
    <w:rsid w:val="000A2116"/>
    <w:rsid w:val="000B3EEB"/>
    <w:rsid w:val="000C0CCB"/>
    <w:rsid w:val="000C2308"/>
    <w:rsid w:val="000C3349"/>
    <w:rsid w:val="000C6BBA"/>
    <w:rsid w:val="000C729F"/>
    <w:rsid w:val="000C7F6C"/>
    <w:rsid w:val="000D0F75"/>
    <w:rsid w:val="000E33FA"/>
    <w:rsid w:val="00101A33"/>
    <w:rsid w:val="00101CC7"/>
    <w:rsid w:val="00104799"/>
    <w:rsid w:val="00117E9F"/>
    <w:rsid w:val="00120D87"/>
    <w:rsid w:val="00124DE1"/>
    <w:rsid w:val="0014495C"/>
    <w:rsid w:val="0016053D"/>
    <w:rsid w:val="00160605"/>
    <w:rsid w:val="001756D7"/>
    <w:rsid w:val="00183413"/>
    <w:rsid w:val="00191553"/>
    <w:rsid w:val="001A2DFF"/>
    <w:rsid w:val="001A54A8"/>
    <w:rsid w:val="001B333C"/>
    <w:rsid w:val="001B38B4"/>
    <w:rsid w:val="001B576E"/>
    <w:rsid w:val="001C0022"/>
    <w:rsid w:val="001E32ED"/>
    <w:rsid w:val="001F082D"/>
    <w:rsid w:val="00224D06"/>
    <w:rsid w:val="002375F3"/>
    <w:rsid w:val="002514C5"/>
    <w:rsid w:val="00262E7C"/>
    <w:rsid w:val="00273625"/>
    <w:rsid w:val="00291CBB"/>
    <w:rsid w:val="002C7046"/>
    <w:rsid w:val="002D7C08"/>
    <w:rsid w:val="002E054D"/>
    <w:rsid w:val="002E0606"/>
    <w:rsid w:val="002E4270"/>
    <w:rsid w:val="002E54F4"/>
    <w:rsid w:val="00304E3C"/>
    <w:rsid w:val="00316355"/>
    <w:rsid w:val="003309E3"/>
    <w:rsid w:val="00330B65"/>
    <w:rsid w:val="003439CA"/>
    <w:rsid w:val="0035343E"/>
    <w:rsid w:val="0035589F"/>
    <w:rsid w:val="0036058F"/>
    <w:rsid w:val="00370350"/>
    <w:rsid w:val="00371BDC"/>
    <w:rsid w:val="00374305"/>
    <w:rsid w:val="003801F9"/>
    <w:rsid w:val="00390E2B"/>
    <w:rsid w:val="003A44EA"/>
    <w:rsid w:val="003A5E8D"/>
    <w:rsid w:val="003B36FC"/>
    <w:rsid w:val="003D68F9"/>
    <w:rsid w:val="003E6AEA"/>
    <w:rsid w:val="003E7D0F"/>
    <w:rsid w:val="003F47B7"/>
    <w:rsid w:val="004024B7"/>
    <w:rsid w:val="00411575"/>
    <w:rsid w:val="0041289E"/>
    <w:rsid w:val="00416EB5"/>
    <w:rsid w:val="00430B9F"/>
    <w:rsid w:val="00435258"/>
    <w:rsid w:val="004362A3"/>
    <w:rsid w:val="00447222"/>
    <w:rsid w:val="00466B04"/>
    <w:rsid w:val="00473009"/>
    <w:rsid w:val="0049247E"/>
    <w:rsid w:val="0049371C"/>
    <w:rsid w:val="004B0262"/>
    <w:rsid w:val="004B2850"/>
    <w:rsid w:val="004C1907"/>
    <w:rsid w:val="004D19BC"/>
    <w:rsid w:val="004E78FB"/>
    <w:rsid w:val="004F584D"/>
    <w:rsid w:val="00536944"/>
    <w:rsid w:val="005460B4"/>
    <w:rsid w:val="00552163"/>
    <w:rsid w:val="00552C0B"/>
    <w:rsid w:val="005606C8"/>
    <w:rsid w:val="00566FF8"/>
    <w:rsid w:val="005734AB"/>
    <w:rsid w:val="005772C6"/>
    <w:rsid w:val="005825C6"/>
    <w:rsid w:val="005914D6"/>
    <w:rsid w:val="005936C6"/>
    <w:rsid w:val="005A195B"/>
    <w:rsid w:val="005A5710"/>
    <w:rsid w:val="005B10C7"/>
    <w:rsid w:val="005B3C06"/>
    <w:rsid w:val="005B7A0E"/>
    <w:rsid w:val="005C4BA0"/>
    <w:rsid w:val="005C4F33"/>
    <w:rsid w:val="005D26AB"/>
    <w:rsid w:val="005D4931"/>
    <w:rsid w:val="005E6B30"/>
    <w:rsid w:val="005E778B"/>
    <w:rsid w:val="005F591E"/>
    <w:rsid w:val="006056AC"/>
    <w:rsid w:val="00607312"/>
    <w:rsid w:val="006315F5"/>
    <w:rsid w:val="00640310"/>
    <w:rsid w:val="006425B8"/>
    <w:rsid w:val="006425DB"/>
    <w:rsid w:val="00644417"/>
    <w:rsid w:val="00663B8C"/>
    <w:rsid w:val="00691C6D"/>
    <w:rsid w:val="006964A2"/>
    <w:rsid w:val="006A62B0"/>
    <w:rsid w:val="006C2E6D"/>
    <w:rsid w:val="006D155C"/>
    <w:rsid w:val="006E0CF8"/>
    <w:rsid w:val="006E32CC"/>
    <w:rsid w:val="006E71B8"/>
    <w:rsid w:val="006F1B71"/>
    <w:rsid w:val="006F24D9"/>
    <w:rsid w:val="00713BD6"/>
    <w:rsid w:val="00715008"/>
    <w:rsid w:val="00717ADE"/>
    <w:rsid w:val="00726270"/>
    <w:rsid w:val="007279B6"/>
    <w:rsid w:val="00727CFF"/>
    <w:rsid w:val="0074284B"/>
    <w:rsid w:val="00746845"/>
    <w:rsid w:val="007546AF"/>
    <w:rsid w:val="00764AB1"/>
    <w:rsid w:val="0077544E"/>
    <w:rsid w:val="0078668B"/>
    <w:rsid w:val="00786972"/>
    <w:rsid w:val="00796248"/>
    <w:rsid w:val="007A36C4"/>
    <w:rsid w:val="007C1C5E"/>
    <w:rsid w:val="007C3125"/>
    <w:rsid w:val="007C7317"/>
    <w:rsid w:val="007D067D"/>
    <w:rsid w:val="00803147"/>
    <w:rsid w:val="00805FD2"/>
    <w:rsid w:val="00814E14"/>
    <w:rsid w:val="00820A2D"/>
    <w:rsid w:val="00824045"/>
    <w:rsid w:val="00824EF4"/>
    <w:rsid w:val="0082516D"/>
    <w:rsid w:val="00832536"/>
    <w:rsid w:val="008430B3"/>
    <w:rsid w:val="00861055"/>
    <w:rsid w:val="00866429"/>
    <w:rsid w:val="00867AE3"/>
    <w:rsid w:val="00867E49"/>
    <w:rsid w:val="00870E38"/>
    <w:rsid w:val="00871620"/>
    <w:rsid w:val="00874B75"/>
    <w:rsid w:val="00886954"/>
    <w:rsid w:val="00892586"/>
    <w:rsid w:val="008931B3"/>
    <w:rsid w:val="008B59AE"/>
    <w:rsid w:val="008C027D"/>
    <w:rsid w:val="008C4B7E"/>
    <w:rsid w:val="008C5ABD"/>
    <w:rsid w:val="008D69A1"/>
    <w:rsid w:val="008D735E"/>
    <w:rsid w:val="008E1751"/>
    <w:rsid w:val="008E2F43"/>
    <w:rsid w:val="008E3A73"/>
    <w:rsid w:val="008F5442"/>
    <w:rsid w:val="008F6900"/>
    <w:rsid w:val="00905C59"/>
    <w:rsid w:val="00914ED6"/>
    <w:rsid w:val="00924863"/>
    <w:rsid w:val="00925614"/>
    <w:rsid w:val="00932242"/>
    <w:rsid w:val="00943E89"/>
    <w:rsid w:val="00954DE6"/>
    <w:rsid w:val="00955A1F"/>
    <w:rsid w:val="0096170D"/>
    <w:rsid w:val="00962713"/>
    <w:rsid w:val="009756AD"/>
    <w:rsid w:val="00986913"/>
    <w:rsid w:val="00991D13"/>
    <w:rsid w:val="009A24DD"/>
    <w:rsid w:val="009A77DC"/>
    <w:rsid w:val="009D2910"/>
    <w:rsid w:val="009D2B4B"/>
    <w:rsid w:val="009E32CC"/>
    <w:rsid w:val="009E33B2"/>
    <w:rsid w:val="009F1463"/>
    <w:rsid w:val="009F3871"/>
    <w:rsid w:val="009F3DD1"/>
    <w:rsid w:val="009F53EB"/>
    <w:rsid w:val="00A04A9B"/>
    <w:rsid w:val="00A1451A"/>
    <w:rsid w:val="00A25893"/>
    <w:rsid w:val="00A376AA"/>
    <w:rsid w:val="00A42E68"/>
    <w:rsid w:val="00A45CA1"/>
    <w:rsid w:val="00A4662D"/>
    <w:rsid w:val="00A77197"/>
    <w:rsid w:val="00A81A0D"/>
    <w:rsid w:val="00A95BCD"/>
    <w:rsid w:val="00AA4B12"/>
    <w:rsid w:val="00AA6648"/>
    <w:rsid w:val="00AC0F77"/>
    <w:rsid w:val="00AC139A"/>
    <w:rsid w:val="00AC21AC"/>
    <w:rsid w:val="00AD0BE8"/>
    <w:rsid w:val="00AE00C0"/>
    <w:rsid w:val="00B166C8"/>
    <w:rsid w:val="00B20608"/>
    <w:rsid w:val="00B26DBF"/>
    <w:rsid w:val="00B30F53"/>
    <w:rsid w:val="00B33D3C"/>
    <w:rsid w:val="00B35D18"/>
    <w:rsid w:val="00B42AE3"/>
    <w:rsid w:val="00B52356"/>
    <w:rsid w:val="00B57410"/>
    <w:rsid w:val="00B803B3"/>
    <w:rsid w:val="00B86EE1"/>
    <w:rsid w:val="00B943B5"/>
    <w:rsid w:val="00BA7A9E"/>
    <w:rsid w:val="00BD15C9"/>
    <w:rsid w:val="00BD3235"/>
    <w:rsid w:val="00BD5999"/>
    <w:rsid w:val="00BD6B55"/>
    <w:rsid w:val="00BE5D91"/>
    <w:rsid w:val="00BE781B"/>
    <w:rsid w:val="00BE7839"/>
    <w:rsid w:val="00BF1075"/>
    <w:rsid w:val="00BF3109"/>
    <w:rsid w:val="00C04860"/>
    <w:rsid w:val="00C05947"/>
    <w:rsid w:val="00C222E4"/>
    <w:rsid w:val="00C22839"/>
    <w:rsid w:val="00C24CA1"/>
    <w:rsid w:val="00C36EBD"/>
    <w:rsid w:val="00C44AD5"/>
    <w:rsid w:val="00C517B7"/>
    <w:rsid w:val="00C56818"/>
    <w:rsid w:val="00C6745E"/>
    <w:rsid w:val="00C67F80"/>
    <w:rsid w:val="00C90DFE"/>
    <w:rsid w:val="00C95C53"/>
    <w:rsid w:val="00CA09D2"/>
    <w:rsid w:val="00CA5B30"/>
    <w:rsid w:val="00CB1586"/>
    <w:rsid w:val="00CB6539"/>
    <w:rsid w:val="00CB6A47"/>
    <w:rsid w:val="00CC44F6"/>
    <w:rsid w:val="00CD24D2"/>
    <w:rsid w:val="00CE1702"/>
    <w:rsid w:val="00CE45F4"/>
    <w:rsid w:val="00CF2466"/>
    <w:rsid w:val="00D255F7"/>
    <w:rsid w:val="00D3338A"/>
    <w:rsid w:val="00D338D1"/>
    <w:rsid w:val="00D44342"/>
    <w:rsid w:val="00D44639"/>
    <w:rsid w:val="00D44F5F"/>
    <w:rsid w:val="00D51F8F"/>
    <w:rsid w:val="00D524D1"/>
    <w:rsid w:val="00D60212"/>
    <w:rsid w:val="00D602FA"/>
    <w:rsid w:val="00D6496F"/>
    <w:rsid w:val="00D80D71"/>
    <w:rsid w:val="00D844A8"/>
    <w:rsid w:val="00D873A0"/>
    <w:rsid w:val="00D87423"/>
    <w:rsid w:val="00D92785"/>
    <w:rsid w:val="00DA0578"/>
    <w:rsid w:val="00DB3E8B"/>
    <w:rsid w:val="00DD37DC"/>
    <w:rsid w:val="00DD73FD"/>
    <w:rsid w:val="00DD7EF8"/>
    <w:rsid w:val="00E0395E"/>
    <w:rsid w:val="00E25316"/>
    <w:rsid w:val="00E266A5"/>
    <w:rsid w:val="00E26DE0"/>
    <w:rsid w:val="00E37454"/>
    <w:rsid w:val="00E378E8"/>
    <w:rsid w:val="00E4255A"/>
    <w:rsid w:val="00E44872"/>
    <w:rsid w:val="00E4643E"/>
    <w:rsid w:val="00E502BD"/>
    <w:rsid w:val="00E57698"/>
    <w:rsid w:val="00E65B24"/>
    <w:rsid w:val="00E76392"/>
    <w:rsid w:val="00E85591"/>
    <w:rsid w:val="00EA15BD"/>
    <w:rsid w:val="00EA18CC"/>
    <w:rsid w:val="00EC25C7"/>
    <w:rsid w:val="00EC53AC"/>
    <w:rsid w:val="00ED532D"/>
    <w:rsid w:val="00ED7ABC"/>
    <w:rsid w:val="00EE192E"/>
    <w:rsid w:val="00F030EA"/>
    <w:rsid w:val="00F06747"/>
    <w:rsid w:val="00F207BD"/>
    <w:rsid w:val="00F269AD"/>
    <w:rsid w:val="00F40542"/>
    <w:rsid w:val="00F41100"/>
    <w:rsid w:val="00F60C65"/>
    <w:rsid w:val="00F62BE5"/>
    <w:rsid w:val="00F749C8"/>
    <w:rsid w:val="00F93925"/>
    <w:rsid w:val="00FA0CCE"/>
    <w:rsid w:val="00FA5F0E"/>
    <w:rsid w:val="00FB32BC"/>
    <w:rsid w:val="00FB3E26"/>
    <w:rsid w:val="00FC216D"/>
    <w:rsid w:val="00FC2A79"/>
    <w:rsid w:val="00FD0D09"/>
    <w:rsid w:val="00FD3E7B"/>
    <w:rsid w:val="00FE70A9"/>
    <w:rsid w:val="00FF183D"/>
    <w:rsid w:val="00FF3B03"/>
    <w:rsid w:val="00FF64EE"/>
    <w:rsid w:val="5A1303EB"/>
    <w:rsid w:val="5FB9221E"/>
    <w:rsid w:val="686B6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rsid w:val="00CA5B30"/>
    <w:rPr>
      <w:rFonts w:ascii="Courier New" w:hAnsi="Courier New" w:cs="Courier New"/>
    </w:rPr>
  </w:style>
  <w:style w:type="character" w:customStyle="1" w:styleId="PlainTextChar">
    <w:name w:val="Plain Text Char"/>
    <w:basedOn w:val="DefaultParagraphFont"/>
    <w:link w:val="PlainText"/>
    <w:uiPriority w:val="99"/>
    <w:rsid w:val="00CA5B30"/>
    <w:rPr>
      <w:rFonts w:ascii="Courier New" w:eastAsia="Times New Roman" w:hAnsi="Courier New" w:cs="Courier New"/>
      <w:sz w:val="20"/>
      <w:szCs w:val="20"/>
    </w:rPr>
  </w:style>
  <w:style w:type="paragraph" w:styleId="ListParagraph">
    <w:name w:val="List Paragraph"/>
    <w:basedOn w:val="Normal"/>
    <w:uiPriority w:val="34"/>
    <w:qFormat/>
    <w:rsid w:val="005B3C06"/>
    <w:pPr>
      <w:ind w:left="720"/>
      <w:contextualSpacing/>
    </w:pPr>
  </w:style>
  <w:style w:type="paragraph" w:customStyle="1" w:styleId="xmsonormal">
    <w:name w:val="x_msonormal"/>
    <w:basedOn w:val="Normal"/>
    <w:rsid w:val="009A77DC"/>
    <w:rPr>
      <w:rFonts w:ascii="Calibri" w:hAnsi="Calibri" w:eastAsiaTheme="minorHAnsi" w:cs="Calibri"/>
      <w:sz w:val="22"/>
      <w:szCs w:val="22"/>
    </w:rPr>
  </w:style>
  <w:style w:type="character" w:styleId="Mention">
    <w:name w:val="Mention"/>
    <w:basedOn w:val="DefaultParagraphFont"/>
    <w:uiPriority w:val="99"/>
    <w:unhideWhenUsed/>
    <w:rsid w:val="00BE5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ily.sanders@fda.hhs.gov" TargetMode="External" /><Relationship Id="rId5" Type="http://schemas.openxmlformats.org/officeDocument/2006/relationships/hyperlink" Target="mailto:Morgane.Bennett@fda.hhs.gov" TargetMode="External" /><Relationship Id="rId6" Type="http://schemas.openxmlformats.org/officeDocument/2006/relationships/hyperlink" Target="mailto:ntaylor@rti.org" TargetMode="External" /><Relationship Id="rId7" Type="http://schemas.openxmlformats.org/officeDocument/2006/relationships/hyperlink" Target="mailto:Janeallen@rti.org" TargetMode="External" /><Relationship Id="rId8" Type="http://schemas.openxmlformats.org/officeDocument/2006/relationships/hyperlink" Target="mailto:ahenes@rti.org" TargetMode="External" /><Relationship Id="rId9" Type="http://schemas.openxmlformats.org/officeDocument/2006/relationships/hyperlink" Target="https://researchtriangleinstitute-my.sharepoint.com/personal/lchapman_rti_org/Documents/M%20Drive/FDA/Media%20Tracking/lcurr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2</cp:revision>
  <dcterms:created xsi:type="dcterms:W3CDTF">2022-10-13T15:48:00Z</dcterms:created>
  <dcterms:modified xsi:type="dcterms:W3CDTF">2022-10-13T15:48:00Z</dcterms:modified>
</cp:coreProperties>
</file>