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C62E4" w:rsidR="001A2DFF" w:rsidP="001A2DFF" w:rsidRDefault="001A2DFF" w14:paraId="308B9325" w14:textId="27FBEAE7">
      <w:pPr>
        <w:jc w:val="right"/>
        <w:outlineLvl w:val="0"/>
        <w:rPr>
          <w:b/>
          <w:sz w:val="22"/>
        </w:rPr>
      </w:pPr>
      <w:r w:rsidRPr="003C62E4">
        <w:rPr>
          <w:b/>
          <w:sz w:val="22"/>
        </w:rPr>
        <w:t xml:space="preserve">OMB No. </w:t>
      </w:r>
      <w:r w:rsidRPr="003C62E4" w:rsidR="003F6D2B">
        <w:rPr>
          <w:b/>
          <w:sz w:val="22"/>
        </w:rPr>
        <w:t>0910-0810</w:t>
      </w:r>
    </w:p>
    <w:p w:rsidR="001A2DFF" w:rsidP="12CC7619" w:rsidRDefault="001A2DFF" w14:paraId="1A1CDB0A" w14:textId="66CE0E67">
      <w:pPr>
        <w:jc w:val="right"/>
        <w:outlineLvl w:val="0"/>
        <w:rPr>
          <w:b/>
          <w:bCs/>
          <w:sz w:val="22"/>
          <w:szCs w:val="22"/>
        </w:rPr>
      </w:pPr>
      <w:r w:rsidRPr="003C62E4">
        <w:rPr>
          <w:b/>
          <w:bCs/>
          <w:sz w:val="22"/>
          <w:szCs w:val="22"/>
        </w:rPr>
        <w:t xml:space="preserve">Exp. Date: </w:t>
      </w:r>
      <w:r w:rsidRPr="003C62E4" w:rsidR="00F03FCF">
        <w:rPr>
          <w:b/>
          <w:bCs/>
          <w:sz w:val="22"/>
          <w:szCs w:val="22"/>
        </w:rPr>
        <w:t>12/31/2024</w:t>
      </w:r>
    </w:p>
    <w:p w:rsidR="001A2DFF" w:rsidP="006E71B8" w:rsidRDefault="001A2DFF" w14:paraId="7E414199" w14:textId="77777777">
      <w:pPr>
        <w:jc w:val="center"/>
        <w:outlineLvl w:val="0"/>
        <w:rPr>
          <w:b/>
          <w:sz w:val="22"/>
        </w:rPr>
      </w:pPr>
    </w:p>
    <w:p w:rsidR="006E71B8" w:rsidP="006E71B8" w:rsidRDefault="00092803" w14:paraId="719863FF" w14:textId="51ADB25B">
      <w:pPr>
        <w:jc w:val="center"/>
        <w:rPr>
          <w:b/>
          <w:sz w:val="24"/>
          <w:szCs w:val="24"/>
        </w:rPr>
      </w:pPr>
      <w:r w:rsidRPr="00092803">
        <w:rPr>
          <w:b/>
          <w:bCs/>
          <w:sz w:val="24"/>
          <w:szCs w:val="24"/>
        </w:rPr>
        <w:t>The Real Cost Campaign</w:t>
      </w:r>
      <w:r w:rsidR="00D91BBF">
        <w:rPr>
          <w:b/>
          <w:bCs/>
          <w:sz w:val="24"/>
          <w:szCs w:val="24"/>
        </w:rPr>
        <w:t xml:space="preserve"> (W3)</w:t>
      </w:r>
      <w:r w:rsidRPr="00092803">
        <w:rPr>
          <w:b/>
          <w:bCs/>
          <w:sz w:val="24"/>
          <w:szCs w:val="24"/>
        </w:rPr>
        <w:t xml:space="preserve">: Online Quantitative Study of Reactions to Rough-Cut Advertising Designed to Prevent Youth Tobacco Use </w:t>
      </w:r>
    </w:p>
    <w:p w:rsidR="00092803" w:rsidP="006E71B8" w:rsidRDefault="00092803" w14:paraId="5F059CF1" w14:textId="77777777">
      <w:pPr>
        <w:rPr>
          <w:b/>
          <w:bCs/>
          <w:caps/>
          <w:sz w:val="24"/>
          <w:szCs w:val="24"/>
        </w:rPr>
      </w:pPr>
    </w:p>
    <w:p w:rsidR="006E71B8" w:rsidP="00D30E93" w:rsidRDefault="006E71B8" w14:paraId="7E41181B" w14:textId="14477CF8">
      <w:pPr>
        <w:jc w:val="center"/>
        <w:rPr>
          <w:caps/>
          <w:sz w:val="24"/>
          <w:szCs w:val="24"/>
        </w:rPr>
      </w:pPr>
      <w:r w:rsidRPr="062489F4">
        <w:rPr>
          <w:b/>
          <w:bCs/>
          <w:caps/>
          <w:sz w:val="24"/>
          <w:szCs w:val="24"/>
        </w:rPr>
        <w:t>B. Statistical Methods</w:t>
      </w:r>
    </w:p>
    <w:p w:rsidRPr="00A77197" w:rsidR="006E71B8" w:rsidP="006E71B8" w:rsidRDefault="006E71B8" w14:paraId="2246C85C" w14:textId="77777777">
      <w:pPr>
        <w:rPr>
          <w:b/>
          <w:bCs/>
          <w:caps/>
          <w:sz w:val="24"/>
          <w:szCs w:val="24"/>
        </w:rPr>
      </w:pPr>
    </w:p>
    <w:p w:rsidR="006E71B8" w:rsidP="006E71B8" w:rsidRDefault="006E71B8" w14:paraId="10813157" w14:textId="77777777">
      <w:pPr>
        <w:rPr>
          <w:b/>
          <w:sz w:val="24"/>
          <w:szCs w:val="24"/>
          <w:u w:val="single"/>
        </w:rPr>
      </w:pPr>
      <w:r w:rsidRPr="00A77197">
        <w:rPr>
          <w:b/>
          <w:sz w:val="24"/>
          <w:szCs w:val="24"/>
          <w:u w:val="single"/>
        </w:rPr>
        <w:t xml:space="preserve">1. Respondent Universe and Sampling Methods </w:t>
      </w:r>
    </w:p>
    <w:p w:rsidRPr="001405D0" w:rsidR="006E71B8" w:rsidP="006E71B8" w:rsidRDefault="006E71B8" w14:paraId="6294A5C0" w14:textId="7E03582D">
      <w:pPr>
        <w:rPr>
          <w:sz w:val="24"/>
          <w:szCs w:val="24"/>
        </w:rPr>
      </w:pPr>
    </w:p>
    <w:p w:rsidR="00633C7D" w:rsidRDefault="004E54BB" w14:paraId="40F1A79E" w14:textId="1591FD5A">
      <w:pPr>
        <w:rPr>
          <w:sz w:val="24"/>
          <w:szCs w:val="24"/>
        </w:rPr>
      </w:pPr>
      <w:r w:rsidRPr="12CC7619">
        <w:rPr>
          <w:sz w:val="24"/>
          <w:szCs w:val="24"/>
        </w:rPr>
        <w:t xml:space="preserve"> The respondent universe for this study is youth aged 13 to 17 who either: </w:t>
      </w:r>
    </w:p>
    <w:p w:rsidR="00D30E93" w:rsidRDefault="00D30E93" w14:paraId="1CB13592" w14:textId="77777777"/>
    <w:p w:rsidR="00633C7D" w:rsidP="003C62E4" w:rsidRDefault="004E54BB" w14:paraId="0DB56B25" w14:textId="1C428125">
      <w:pPr>
        <w:ind w:firstLine="720"/>
      </w:pPr>
      <w:r w:rsidRPr="062489F4">
        <w:rPr>
          <w:sz w:val="24"/>
          <w:szCs w:val="24"/>
        </w:rPr>
        <w:t xml:space="preserve">1) are at risk of/susceptible to initiating use of ENDS products, or </w:t>
      </w:r>
    </w:p>
    <w:p w:rsidR="00633C7D" w:rsidP="12CC7619" w:rsidRDefault="004E54BB" w14:paraId="12DCBC00" w14:textId="3C606326">
      <w:pPr>
        <w:ind w:firstLine="720"/>
      </w:pPr>
      <w:r w:rsidRPr="12CC7619">
        <w:rPr>
          <w:sz w:val="24"/>
          <w:szCs w:val="24"/>
        </w:rPr>
        <w:t xml:space="preserve">2) have experimented with ENDS products.  </w:t>
      </w:r>
    </w:p>
    <w:p w:rsidR="12CC7619" w:rsidP="12CC7619" w:rsidRDefault="12CC7619" w14:paraId="2CA340C5" w14:textId="49EFC981"/>
    <w:p w:rsidR="12CC7619" w:rsidP="12CC7619" w:rsidRDefault="12CC7619" w14:paraId="41E006E8" w14:textId="6F9ED19C">
      <w:pPr>
        <w:rPr>
          <w:sz w:val="24"/>
          <w:szCs w:val="24"/>
        </w:rPr>
      </w:pPr>
      <w:r w:rsidRPr="003C62E4">
        <w:rPr>
          <w:sz w:val="24"/>
          <w:szCs w:val="24"/>
        </w:rPr>
        <w:t>Susceptibility</w:t>
      </w:r>
      <w:r w:rsidRPr="12CC7619">
        <w:rPr>
          <w:sz w:val="24"/>
          <w:szCs w:val="24"/>
        </w:rPr>
        <w:t xml:space="preserve"> to initiating use of ENDS</w:t>
      </w:r>
      <w:r w:rsidRPr="003C62E4">
        <w:rPr>
          <w:sz w:val="24"/>
          <w:szCs w:val="24"/>
        </w:rPr>
        <w:t xml:space="preserve"> is determined by </w:t>
      </w:r>
      <w:r w:rsidRPr="12CC7619">
        <w:rPr>
          <w:sz w:val="24"/>
          <w:szCs w:val="24"/>
        </w:rPr>
        <w:t xml:space="preserve">an adapted </w:t>
      </w:r>
      <w:r w:rsidRPr="003C62E4">
        <w:rPr>
          <w:sz w:val="24"/>
          <w:szCs w:val="24"/>
        </w:rPr>
        <w:t>Pierce Susceptibility Scale (1995). The Pierce susceptibility scale is a 3-item scale that assesses susceptibility by asking the participant if they will try the product soon, in the next year, or if one of their best friends offered the product. If respondents answer anything other than “definitely not” to at least one of the three items, they are defined as being susceptible to that product.</w:t>
      </w:r>
    </w:p>
    <w:p w:rsidR="00633C7D" w:rsidP="006E71B8" w:rsidRDefault="00633C7D" w14:paraId="5BF97686" w14:textId="77777777">
      <w:pPr>
        <w:rPr>
          <w:sz w:val="24"/>
          <w:szCs w:val="24"/>
        </w:rPr>
      </w:pPr>
    </w:p>
    <w:p w:rsidR="006E71B8" w:rsidP="12CC7619" w:rsidRDefault="006E71B8" w14:paraId="795D1C58" w14:textId="3315599B">
      <w:pPr>
        <w:rPr>
          <w:sz w:val="24"/>
          <w:szCs w:val="24"/>
        </w:rPr>
      </w:pPr>
      <w:r w:rsidRPr="12CC7619">
        <w:rPr>
          <w:sz w:val="24"/>
          <w:szCs w:val="24"/>
        </w:rPr>
        <w:t>As this study is considered part of formative research for campaign development and planning, these methods are not intended to generate nationally representative samples or precise estimates of population parameters. The sample is designed primarily to</w:t>
      </w:r>
      <w:r w:rsidRPr="12CC7619" w:rsidR="00673A25">
        <w:rPr>
          <w:sz w:val="24"/>
          <w:szCs w:val="24"/>
        </w:rPr>
        <w:t xml:space="preserve"> </w:t>
      </w:r>
      <w:r w:rsidRPr="12CC7619" w:rsidR="007F5144">
        <w:rPr>
          <w:sz w:val="24"/>
          <w:szCs w:val="24"/>
        </w:rPr>
        <w:t>gain insight into youth perceptions of ENDS and cigarettes and reactions to draft advertising concepts</w:t>
      </w:r>
      <w:r w:rsidRPr="12CC7619" w:rsidR="00673A25">
        <w:rPr>
          <w:sz w:val="24"/>
          <w:szCs w:val="24"/>
        </w:rPr>
        <w:t>. Additionally, g</w:t>
      </w:r>
      <w:r w:rsidRPr="12CC7619" w:rsidR="12CC7619">
        <w:rPr>
          <w:sz w:val="24"/>
          <w:szCs w:val="24"/>
        </w:rPr>
        <w:t xml:space="preserve">enerating a representative sample of the size necessary for this study, using random digital dialing or another similar method, would be cost prohibitive. The study will use convenience samples rather than probability samples. </w:t>
      </w:r>
      <w:r w:rsidRPr="12CC7619" w:rsidR="00673A25">
        <w:rPr>
          <w:sz w:val="24"/>
          <w:szCs w:val="24"/>
        </w:rPr>
        <w:t xml:space="preserve">The </w:t>
      </w:r>
      <w:r w:rsidRPr="12CC7619" w:rsidR="00F60C65">
        <w:rPr>
          <w:sz w:val="24"/>
          <w:szCs w:val="24"/>
        </w:rPr>
        <w:t xml:space="preserve">results of the </w:t>
      </w:r>
      <w:r w:rsidRPr="12CC7619" w:rsidR="00092803">
        <w:rPr>
          <w:sz w:val="24"/>
          <w:szCs w:val="24"/>
        </w:rPr>
        <w:t xml:space="preserve">copy testing </w:t>
      </w:r>
      <w:r w:rsidRPr="12CC7619" w:rsidR="006B6509">
        <w:rPr>
          <w:sz w:val="24"/>
          <w:szCs w:val="24"/>
        </w:rPr>
        <w:t>study</w:t>
      </w:r>
      <w:r w:rsidRPr="12CC7619" w:rsidR="00F60C65">
        <w:rPr>
          <w:sz w:val="24"/>
          <w:szCs w:val="24"/>
        </w:rPr>
        <w:t xml:space="preserve"> </w:t>
      </w:r>
      <w:r w:rsidRPr="12CC7619" w:rsidR="00673A25">
        <w:rPr>
          <w:sz w:val="24"/>
          <w:szCs w:val="24"/>
        </w:rPr>
        <w:t xml:space="preserve">will </w:t>
      </w:r>
      <w:r w:rsidRPr="12CC7619" w:rsidR="00F60C65">
        <w:rPr>
          <w:sz w:val="24"/>
          <w:szCs w:val="24"/>
        </w:rPr>
        <w:t>be used to inform specified recommendations around the U.S. Food and Drug Administration (FD</w:t>
      </w:r>
      <w:r w:rsidRPr="12CC7619" w:rsidR="00CB5CA7">
        <w:rPr>
          <w:sz w:val="24"/>
          <w:szCs w:val="24"/>
        </w:rPr>
        <w:t>A</w:t>
      </w:r>
      <w:r w:rsidRPr="12CC7619" w:rsidR="00F60C65">
        <w:rPr>
          <w:sz w:val="24"/>
          <w:szCs w:val="24"/>
        </w:rPr>
        <w:t xml:space="preserve">) public education programs’ impact and effectiveness in reducing tobacco-related death and disease. </w:t>
      </w:r>
    </w:p>
    <w:p w:rsidR="00342B88" w:rsidP="12CC7619" w:rsidRDefault="00342B88" w14:paraId="551B5391" w14:textId="1461CDBA">
      <w:pPr>
        <w:rPr>
          <w:sz w:val="24"/>
          <w:szCs w:val="24"/>
        </w:rPr>
      </w:pPr>
    </w:p>
    <w:p w:rsidR="00342B88" w:rsidP="12CC7619" w:rsidRDefault="00342B88" w14:paraId="071E0934" w14:textId="32339BEA">
      <w:pPr>
        <w:rPr>
          <w:sz w:val="24"/>
          <w:szCs w:val="24"/>
        </w:rPr>
      </w:pPr>
      <w:r w:rsidRPr="00342B88">
        <w:rPr>
          <w:sz w:val="24"/>
          <w:szCs w:val="24"/>
        </w:rPr>
        <w:t xml:space="preserve">Collection of detailed demographic information, including race/ethnicity and gender identity are necessary </w:t>
      </w:r>
      <w:proofErr w:type="gramStart"/>
      <w:r w:rsidRPr="00342B88">
        <w:rPr>
          <w:sz w:val="24"/>
          <w:szCs w:val="24"/>
        </w:rPr>
        <w:t>in order to</w:t>
      </w:r>
      <w:proofErr w:type="gramEnd"/>
      <w:r w:rsidRPr="00342B88">
        <w:rPr>
          <w:sz w:val="24"/>
          <w:szCs w:val="24"/>
        </w:rPr>
        <w:t xml:space="preserve"> assess disparities in tobacco use and possible differences in campaign impact across different populations. Decades of research has shown significant disparities in tobacco use by race/ethnicity (e.g., Harlow et al., 2019; </w:t>
      </w:r>
      <w:proofErr w:type="spellStart"/>
      <w:r w:rsidRPr="00342B88">
        <w:rPr>
          <w:sz w:val="24"/>
          <w:szCs w:val="24"/>
        </w:rPr>
        <w:t>Odani</w:t>
      </w:r>
      <w:proofErr w:type="spellEnd"/>
      <w:r w:rsidRPr="00342B88">
        <w:rPr>
          <w:sz w:val="24"/>
          <w:szCs w:val="24"/>
        </w:rPr>
        <w:t xml:space="preserve"> et al, 2018)</w:t>
      </w:r>
      <w:r w:rsidR="001A10F6">
        <w:rPr>
          <w:sz w:val="24"/>
          <w:szCs w:val="24"/>
        </w:rPr>
        <w:t xml:space="preserve"> and</w:t>
      </w:r>
      <w:r w:rsidRPr="00342B88">
        <w:rPr>
          <w:sz w:val="24"/>
          <w:szCs w:val="24"/>
        </w:rPr>
        <w:t xml:space="preserve"> gender identity (e.g., Johnson et al, 2019; Delahanty et al, 2019</w:t>
      </w:r>
      <w:r w:rsidR="001A10F6">
        <w:rPr>
          <w:sz w:val="24"/>
          <w:szCs w:val="24"/>
        </w:rPr>
        <w:t>)</w:t>
      </w:r>
      <w:r w:rsidRPr="00342B88">
        <w:rPr>
          <w:sz w:val="24"/>
          <w:szCs w:val="24"/>
        </w:rPr>
        <w:t xml:space="preserve">. Therefore, collecting detailed information on these demographic characteristics will allow us to measure these differences with the goal of reducing these disparities. As multiple studies of youth and young adults have reported approximately 12-15% of the sample identified as gender non-conforming/non-binary (e.g., The Human Rights Campaign 2018 LGBTQ+ Youth Report; The Trevor Project 2020 National Survey on LGBT Youth Mental Health; CTP’s evaluation of This Free Life campaign), including gender non-conforming/non-binary response options is necessary to identify and assess </w:t>
      </w:r>
      <w:r w:rsidR="005C2F05">
        <w:rPr>
          <w:sz w:val="24"/>
          <w:szCs w:val="24"/>
        </w:rPr>
        <w:t>message effectiveness</w:t>
      </w:r>
      <w:r w:rsidRPr="00342B88">
        <w:rPr>
          <w:sz w:val="24"/>
          <w:szCs w:val="24"/>
        </w:rPr>
        <w:t xml:space="preserve"> among this population. Gender identity questions with genderqueer/gender non-conforming/non-binary response options have been approved by OMB for </w:t>
      </w:r>
      <w:proofErr w:type="spellStart"/>
      <w:r w:rsidRPr="00342B88">
        <w:rPr>
          <w:sz w:val="24"/>
          <w:szCs w:val="24"/>
        </w:rPr>
        <w:t>ExPECTT</w:t>
      </w:r>
      <w:proofErr w:type="spellEnd"/>
      <w:r w:rsidRPr="00342B88">
        <w:rPr>
          <w:sz w:val="24"/>
          <w:szCs w:val="24"/>
        </w:rPr>
        <w:t xml:space="preserve"> </w:t>
      </w:r>
      <w:r w:rsidR="00DB14CD">
        <w:rPr>
          <w:sz w:val="24"/>
          <w:szCs w:val="24"/>
        </w:rPr>
        <w:t xml:space="preserve">(0910-0753) </w:t>
      </w:r>
      <w:r w:rsidRPr="00342B88">
        <w:rPr>
          <w:sz w:val="24"/>
          <w:szCs w:val="24"/>
        </w:rPr>
        <w:t>and for RESPECT (0910-0808).</w:t>
      </w:r>
    </w:p>
    <w:p w:rsidR="00D30E93" w:rsidRDefault="00D30E93" w14:paraId="63FE3057" w14:textId="5560EDA4">
      <w:pPr>
        <w:spacing w:after="160" w:line="259" w:lineRule="auto"/>
        <w:rPr>
          <w:sz w:val="24"/>
          <w:szCs w:val="24"/>
        </w:rPr>
      </w:pPr>
      <w:bookmarkStart w:name="OLE_LINK1" w:id="0"/>
      <w:bookmarkStart w:name="OLE_LINK2" w:id="1"/>
      <w:r>
        <w:rPr>
          <w:sz w:val="24"/>
          <w:szCs w:val="24"/>
        </w:rPr>
        <w:br w:type="page"/>
      </w:r>
    </w:p>
    <w:p w:rsidRPr="00ED7ABC" w:rsidR="006E71B8" w:rsidP="006E71B8" w:rsidRDefault="006E71B8" w14:paraId="028990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p>
    <w:bookmarkEnd w:id="0"/>
    <w:bookmarkEnd w:id="1"/>
    <w:p w:rsidRPr="00A77197" w:rsidR="006E71B8" w:rsidP="006E71B8" w:rsidRDefault="006E71B8" w14:paraId="29915DDC" w14:textId="760E1601">
      <w:pPr>
        <w:rPr>
          <w:b/>
          <w:sz w:val="24"/>
          <w:szCs w:val="24"/>
          <w:u w:val="single"/>
        </w:rPr>
      </w:pPr>
      <w:r w:rsidRPr="00A77197">
        <w:rPr>
          <w:b/>
          <w:sz w:val="24"/>
          <w:szCs w:val="24"/>
          <w:u w:val="single"/>
        </w:rPr>
        <w:t xml:space="preserve">2. Procedures for the Collection of Information </w:t>
      </w:r>
    </w:p>
    <w:p w:rsidR="006E71B8" w:rsidP="006E71B8" w:rsidRDefault="006E71B8" w14:paraId="48CA9C1C" w14:textId="77777777">
      <w:pPr>
        <w:rPr>
          <w:sz w:val="24"/>
          <w:szCs w:val="24"/>
        </w:rPr>
      </w:pPr>
    </w:p>
    <w:p w:rsidR="00E53DF1" w:rsidP="006E71B8" w:rsidRDefault="006E71B8" w14:paraId="2E7FCA0F" w14:textId="3012FC54">
      <w:pPr>
        <w:rPr>
          <w:sz w:val="24"/>
          <w:szCs w:val="24"/>
        </w:rPr>
      </w:pPr>
      <w:r w:rsidRPr="12CC7619">
        <w:rPr>
          <w:sz w:val="24"/>
          <w:szCs w:val="24"/>
        </w:rPr>
        <w:t xml:space="preserve">This section describes the procedures for </w:t>
      </w:r>
      <w:r w:rsidRPr="12CC7619" w:rsidR="00D374C0">
        <w:rPr>
          <w:sz w:val="24"/>
          <w:szCs w:val="24"/>
        </w:rPr>
        <w:t xml:space="preserve">survey </w:t>
      </w:r>
      <w:r w:rsidRPr="12CC7619">
        <w:rPr>
          <w:sz w:val="24"/>
          <w:szCs w:val="24"/>
        </w:rPr>
        <w:t xml:space="preserve">data collection. </w:t>
      </w:r>
      <w:r w:rsidRPr="12CC7619" w:rsidR="00D374C0">
        <w:rPr>
          <w:rFonts w:eastAsiaTheme="minorEastAsia"/>
          <w:sz w:val="24"/>
          <w:szCs w:val="24"/>
        </w:rPr>
        <w:t xml:space="preserve">Online data collection will be completed by youth independently, on electronic devices, such as a mobile phone, tablet, or </w:t>
      </w:r>
      <w:r w:rsidRPr="12CC7619" w:rsidR="004C05CD">
        <w:rPr>
          <w:rFonts w:eastAsiaTheme="minorEastAsia"/>
          <w:sz w:val="24"/>
          <w:szCs w:val="24"/>
        </w:rPr>
        <w:t xml:space="preserve">personal </w:t>
      </w:r>
      <w:r w:rsidRPr="12CC7619" w:rsidR="00D374C0">
        <w:rPr>
          <w:rFonts w:eastAsiaTheme="minorEastAsia"/>
          <w:sz w:val="24"/>
          <w:szCs w:val="24"/>
        </w:rPr>
        <w:t>computer.</w:t>
      </w:r>
    </w:p>
    <w:p w:rsidR="003C62E4" w:rsidP="003C62E4" w:rsidRDefault="003C62E4" w14:paraId="5C4DF594" w14:textId="77777777">
      <w:pPr>
        <w:rPr>
          <w:sz w:val="24"/>
          <w:szCs w:val="24"/>
        </w:rPr>
      </w:pPr>
    </w:p>
    <w:p w:rsidR="006E71B8" w:rsidP="003C62E4" w:rsidRDefault="00F749C8" w14:paraId="44694770" w14:textId="2434B26B">
      <w:pPr>
        <w:rPr>
          <w:sz w:val="24"/>
          <w:szCs w:val="24"/>
        </w:rPr>
      </w:pPr>
      <w:r w:rsidRPr="062489F4">
        <w:rPr>
          <w:sz w:val="24"/>
          <w:szCs w:val="24"/>
        </w:rPr>
        <w:t xml:space="preserve">All surveys will be conducted using a self-administered, online survey. </w:t>
      </w:r>
      <w:r w:rsidRPr="062489F4" w:rsidR="006E71B8">
        <w:rPr>
          <w:sz w:val="24"/>
          <w:szCs w:val="24"/>
        </w:rPr>
        <w:t>To be eligible,</w:t>
      </w:r>
      <w:r w:rsidRPr="062489F4" w:rsidR="00076EDA">
        <w:rPr>
          <w:sz w:val="24"/>
          <w:szCs w:val="24"/>
        </w:rPr>
        <w:t xml:space="preserve"> </w:t>
      </w:r>
      <w:r w:rsidRPr="062489F4" w:rsidR="0034220C">
        <w:rPr>
          <w:sz w:val="24"/>
          <w:szCs w:val="24"/>
        </w:rPr>
        <w:t>participants</w:t>
      </w:r>
      <w:r w:rsidRPr="062489F4" w:rsidR="006E71B8">
        <w:rPr>
          <w:sz w:val="24"/>
          <w:szCs w:val="24"/>
        </w:rPr>
        <w:t xml:space="preserve"> must give their assent</w:t>
      </w:r>
      <w:r w:rsidRPr="062489F4" w:rsidR="006E71B8">
        <w:rPr>
          <w:b/>
          <w:bCs/>
          <w:sz w:val="24"/>
          <w:szCs w:val="24"/>
        </w:rPr>
        <w:t>,</w:t>
      </w:r>
      <w:r w:rsidRPr="062489F4" w:rsidR="006E71B8">
        <w:rPr>
          <w:sz w:val="24"/>
          <w:szCs w:val="24"/>
        </w:rPr>
        <w:t xml:space="preserve"> </w:t>
      </w:r>
      <w:r w:rsidRPr="062489F4" w:rsidR="00CB6A47">
        <w:rPr>
          <w:sz w:val="24"/>
          <w:szCs w:val="24"/>
        </w:rPr>
        <w:t xml:space="preserve">and </w:t>
      </w:r>
      <w:r w:rsidRPr="062489F4" w:rsidR="001A0A1D">
        <w:rPr>
          <w:sz w:val="24"/>
          <w:szCs w:val="24"/>
        </w:rPr>
        <w:t xml:space="preserve">provide their tobacco use status to be classified </w:t>
      </w:r>
      <w:r w:rsidRPr="062489F4" w:rsidR="00332FB5">
        <w:rPr>
          <w:sz w:val="24"/>
          <w:szCs w:val="24"/>
        </w:rPr>
        <w:t>as either: 1)</w:t>
      </w:r>
      <w:r w:rsidRPr="062489F4" w:rsidR="0001492C">
        <w:rPr>
          <w:sz w:val="24"/>
          <w:szCs w:val="24"/>
        </w:rPr>
        <w:t xml:space="preserve"> </w:t>
      </w:r>
      <w:r w:rsidRPr="062489F4" w:rsidR="00332FB5">
        <w:rPr>
          <w:sz w:val="24"/>
          <w:szCs w:val="24"/>
        </w:rPr>
        <w:t xml:space="preserve">at risk of initiating use of </w:t>
      </w:r>
      <w:r w:rsidRPr="062489F4" w:rsidR="00C41085">
        <w:rPr>
          <w:sz w:val="24"/>
          <w:szCs w:val="24"/>
        </w:rPr>
        <w:t>ENDS</w:t>
      </w:r>
      <w:r w:rsidRPr="062489F4" w:rsidR="00332FB5">
        <w:rPr>
          <w:sz w:val="24"/>
          <w:szCs w:val="24"/>
        </w:rPr>
        <w:t xml:space="preserve"> products</w:t>
      </w:r>
      <w:r w:rsidRPr="062489F4" w:rsidR="007546AF">
        <w:rPr>
          <w:sz w:val="24"/>
          <w:szCs w:val="24"/>
        </w:rPr>
        <w:t>, or</w:t>
      </w:r>
      <w:r w:rsidRPr="062489F4" w:rsidR="00332FB5">
        <w:rPr>
          <w:sz w:val="24"/>
          <w:szCs w:val="24"/>
        </w:rPr>
        <w:t xml:space="preserve"> 2)</w:t>
      </w:r>
      <w:r w:rsidRPr="062489F4" w:rsidR="007546AF">
        <w:rPr>
          <w:sz w:val="24"/>
          <w:szCs w:val="24"/>
        </w:rPr>
        <w:t xml:space="preserve"> </w:t>
      </w:r>
      <w:r w:rsidRPr="062489F4" w:rsidR="003F6D2B">
        <w:rPr>
          <w:sz w:val="24"/>
          <w:szCs w:val="24"/>
        </w:rPr>
        <w:t>having experimented with</w:t>
      </w:r>
      <w:r w:rsidRPr="062489F4" w:rsidR="007546AF">
        <w:rPr>
          <w:sz w:val="24"/>
          <w:szCs w:val="24"/>
        </w:rPr>
        <w:t xml:space="preserve"> </w:t>
      </w:r>
      <w:r w:rsidRPr="062489F4" w:rsidR="00C41085">
        <w:rPr>
          <w:sz w:val="24"/>
          <w:szCs w:val="24"/>
        </w:rPr>
        <w:t xml:space="preserve">ENDS </w:t>
      </w:r>
      <w:r w:rsidRPr="062489F4" w:rsidR="007546AF">
        <w:rPr>
          <w:sz w:val="24"/>
          <w:szCs w:val="24"/>
        </w:rPr>
        <w:t>products</w:t>
      </w:r>
      <w:r w:rsidRPr="062489F4" w:rsidR="00CE3CAF">
        <w:rPr>
          <w:sz w:val="24"/>
          <w:szCs w:val="24"/>
        </w:rPr>
        <w:t xml:space="preserve">. </w:t>
      </w:r>
      <w:r w:rsidRPr="062489F4" w:rsidR="0041289E">
        <w:rPr>
          <w:sz w:val="24"/>
          <w:szCs w:val="24"/>
        </w:rPr>
        <w:t xml:space="preserve">  </w:t>
      </w:r>
      <w:r w:rsidRPr="062489F4" w:rsidR="12CC7619">
        <w:rPr>
          <w:sz w:val="24"/>
          <w:szCs w:val="24"/>
        </w:rPr>
        <w:t>Those eligible will be sent directly to the full online survey, which will take up to 20 minutes to answer. At the end of the survey, participants who complete the survey will receive a $10 token of appreciation at the email address they provide. Specifically:</w:t>
      </w:r>
    </w:p>
    <w:p w:rsidR="006E71B8" w:rsidP="12CC7619" w:rsidRDefault="006E71B8" w14:paraId="241D2DA4" w14:textId="2A23380D">
      <w:pPr>
        <w:ind w:firstLine="720"/>
      </w:pPr>
    </w:p>
    <w:p w:rsidR="006E71B8" w:rsidP="12CC7619" w:rsidRDefault="00F813F0" w14:paraId="712514F5" w14:textId="77777777">
      <w:pPr>
        <w:numPr>
          <w:ilvl w:val="0"/>
          <w:numId w:val="10"/>
        </w:numPr>
        <w:rPr>
          <w:sz w:val="24"/>
          <w:szCs w:val="24"/>
        </w:rPr>
      </w:pPr>
      <w:r w:rsidRPr="12CC7619">
        <w:rPr>
          <w:rFonts w:eastAsiaTheme="minorEastAsia"/>
          <w:sz w:val="24"/>
          <w:szCs w:val="24"/>
        </w:rPr>
        <w:t>This study will recruit youth participants through their parents from online panels (via Marketing Workshop)</w:t>
      </w:r>
      <w:r w:rsidRPr="12CC7619">
        <w:rPr>
          <w:sz w:val="24"/>
          <w:szCs w:val="24"/>
        </w:rPr>
        <w:t xml:space="preserve">. </w:t>
      </w:r>
    </w:p>
    <w:p w:rsidR="006E71B8" w:rsidP="12CC7619" w:rsidRDefault="00F813F0" w14:paraId="5F6DB10B" w14:textId="0F4D273C">
      <w:pPr>
        <w:numPr>
          <w:ilvl w:val="0"/>
          <w:numId w:val="10"/>
        </w:numPr>
        <w:rPr>
          <w:sz w:val="24"/>
          <w:szCs w:val="24"/>
        </w:rPr>
      </w:pPr>
      <w:r w:rsidRPr="12CC7619">
        <w:rPr>
          <w:sz w:val="24"/>
          <w:szCs w:val="24"/>
        </w:rPr>
        <w:t xml:space="preserve">Parents of youth in the target age range will receive an initial email invitation informing them of the study and opportunity for their child(ren) to participate. The email invitation will also include a link that details the purpose of the study. After reading this invitation, the parent has three options: </w:t>
      </w:r>
    </w:p>
    <w:p w:rsidR="006E71B8" w:rsidP="12CC7619" w:rsidRDefault="00F813F0" w14:paraId="4E4F79A5" w14:textId="77777777">
      <w:pPr>
        <w:numPr>
          <w:ilvl w:val="1"/>
          <w:numId w:val="10"/>
        </w:numPr>
        <w:rPr>
          <w:sz w:val="24"/>
          <w:szCs w:val="24"/>
        </w:rPr>
      </w:pPr>
      <w:r w:rsidRPr="12CC7619">
        <w:rPr>
          <w:sz w:val="24"/>
          <w:szCs w:val="24"/>
        </w:rPr>
        <w:t>If the parent determines that he or she wants the child to participate in this study, he or she can use instructions in the Opt-out Form to forward the study link to their child’s email address, thereby actively opting in and providing permission for their child to participate in the study.</w:t>
      </w:r>
    </w:p>
    <w:p w:rsidR="006E71B8" w:rsidP="12CC7619" w:rsidRDefault="00F813F0" w14:paraId="728249EA" w14:textId="77777777">
      <w:pPr>
        <w:numPr>
          <w:ilvl w:val="2"/>
          <w:numId w:val="10"/>
        </w:numPr>
        <w:rPr>
          <w:sz w:val="24"/>
          <w:szCs w:val="24"/>
        </w:rPr>
      </w:pPr>
      <w:r w:rsidRPr="12CC7619">
        <w:rPr>
          <w:sz w:val="24"/>
          <w:szCs w:val="24"/>
        </w:rPr>
        <w:t xml:space="preserve">The child cannot participate from their parent's email account for the survey to be accepted as valid. </w:t>
      </w:r>
    </w:p>
    <w:p w:rsidR="006E71B8" w:rsidP="12CC7619" w:rsidRDefault="00F813F0" w14:paraId="521EA07E" w14:textId="77777777">
      <w:pPr>
        <w:numPr>
          <w:ilvl w:val="1"/>
          <w:numId w:val="10"/>
        </w:numPr>
        <w:rPr>
          <w:sz w:val="24"/>
          <w:szCs w:val="24"/>
        </w:rPr>
      </w:pPr>
      <w:r w:rsidRPr="12CC7619">
        <w:rPr>
          <w:sz w:val="24"/>
          <w:szCs w:val="24"/>
        </w:rPr>
        <w:t>The parent can do nothing, in which case the invitation dies in place and that parent's child will never receive information about the study.</w:t>
      </w:r>
    </w:p>
    <w:p w:rsidR="006E71B8" w:rsidP="12CC7619" w:rsidRDefault="00F813F0" w14:paraId="4E422A3A" w14:textId="77777777">
      <w:pPr>
        <w:numPr>
          <w:ilvl w:val="1"/>
          <w:numId w:val="10"/>
        </w:numPr>
        <w:rPr>
          <w:sz w:val="24"/>
          <w:szCs w:val="24"/>
        </w:rPr>
      </w:pPr>
      <w:r w:rsidRPr="12CC7619">
        <w:rPr>
          <w:sz w:val="24"/>
          <w:szCs w:val="24"/>
        </w:rPr>
        <w:t>If the parent does not want their child to participate in the study, he or she can use instructions in the Opt-out Form included in the email to indicate this. Parent reminders to participate will cease if the parent opts-out.</w:t>
      </w:r>
    </w:p>
    <w:p w:rsidR="006E71B8" w:rsidP="12CC7619" w:rsidRDefault="00A667D9" w14:paraId="5975A6DC" w14:textId="41E9257B">
      <w:pPr>
        <w:numPr>
          <w:ilvl w:val="0"/>
          <w:numId w:val="10"/>
        </w:numPr>
        <w:rPr>
          <w:sz w:val="24"/>
          <w:szCs w:val="24"/>
        </w:rPr>
      </w:pPr>
      <w:r>
        <w:rPr>
          <w:sz w:val="24"/>
          <w:szCs w:val="24"/>
        </w:rPr>
        <w:t xml:space="preserve">The same email invitation is sent a second time (reminder </w:t>
      </w:r>
      <w:r w:rsidR="003F19A9">
        <w:rPr>
          <w:sz w:val="24"/>
          <w:szCs w:val="24"/>
        </w:rPr>
        <w:t>invitation</w:t>
      </w:r>
      <w:r>
        <w:rPr>
          <w:sz w:val="24"/>
          <w:szCs w:val="24"/>
        </w:rPr>
        <w:t xml:space="preserve">) </w:t>
      </w:r>
      <w:r w:rsidRPr="12CC7619" w:rsidR="00F813F0">
        <w:rPr>
          <w:sz w:val="24"/>
          <w:szCs w:val="24"/>
        </w:rPr>
        <w:t xml:space="preserve">to all invitees who have not responded 48 hours after initial invitation. If an invitee does not respond after the reminder is sent, then he or she is considered unavailable and is not re-approached. </w:t>
      </w:r>
    </w:p>
    <w:p w:rsidR="006E71B8" w:rsidP="12CC7619" w:rsidRDefault="00F813F0" w14:paraId="43A987A1" w14:textId="77777777">
      <w:pPr>
        <w:numPr>
          <w:ilvl w:val="0"/>
          <w:numId w:val="10"/>
        </w:numPr>
        <w:rPr>
          <w:sz w:val="24"/>
          <w:szCs w:val="24"/>
        </w:rPr>
      </w:pPr>
      <w:r w:rsidRPr="12CC7619">
        <w:rPr>
          <w:sz w:val="24"/>
          <w:szCs w:val="24"/>
        </w:rPr>
        <w:t>From the email forwarded by their parents, youth will access the study link that details the purpose of the study and includes study materials (i.e., screener, assent form, and the survey).</w:t>
      </w:r>
    </w:p>
    <w:p w:rsidR="006E71B8" w:rsidP="12CC7619" w:rsidRDefault="00F813F0" w14:paraId="30CFABFE" w14:textId="77777777">
      <w:pPr>
        <w:numPr>
          <w:ilvl w:val="0"/>
          <w:numId w:val="10"/>
        </w:numPr>
        <w:rPr>
          <w:sz w:val="24"/>
          <w:szCs w:val="24"/>
        </w:rPr>
      </w:pPr>
      <w:r w:rsidRPr="12CC7619">
        <w:rPr>
          <w:sz w:val="24"/>
          <w:szCs w:val="24"/>
        </w:rPr>
        <w:t>Prior to beginning the screener, participants must choose yes or no to assent to the screening process. The screener is a list of questions to determine eligibility. Responses to the screening questions determine eligibility to complete the full survey. Only participants who choose yes will continue with the screener.</w:t>
      </w:r>
    </w:p>
    <w:p w:rsidR="006E71B8" w:rsidP="12CC7619" w:rsidRDefault="00F813F0" w14:paraId="5CE86FAD" w14:textId="5DACE99E">
      <w:pPr>
        <w:pStyle w:val="ListParagraph"/>
        <w:numPr>
          <w:ilvl w:val="0"/>
          <w:numId w:val="10"/>
        </w:numPr>
        <w:rPr>
          <w:sz w:val="24"/>
          <w:szCs w:val="24"/>
        </w:rPr>
      </w:pPr>
      <w:r w:rsidRPr="12CC7619">
        <w:rPr>
          <w:sz w:val="24"/>
          <w:szCs w:val="24"/>
        </w:rPr>
        <w:t xml:space="preserve">Eligible youth participants, defined as those that meet screening criteria, will view a full assent form, which he or she must complete prior to the survey. </w:t>
      </w:r>
    </w:p>
    <w:p w:rsidR="006E71B8" w:rsidP="12CC7619" w:rsidRDefault="00F813F0" w14:paraId="282BA8E7" w14:textId="77777777">
      <w:pPr>
        <w:numPr>
          <w:ilvl w:val="0"/>
          <w:numId w:val="10"/>
        </w:numPr>
        <w:rPr>
          <w:sz w:val="24"/>
          <w:szCs w:val="24"/>
        </w:rPr>
      </w:pPr>
      <w:r w:rsidRPr="12CC7619">
        <w:rPr>
          <w:sz w:val="24"/>
          <w:szCs w:val="24"/>
        </w:rPr>
        <w:t xml:space="preserve">Following completion of the screener, the survey will be presented for the participant to complete if the participant is eligible. If the participant is ineligible, a termination notice will appear, and the online system will close. </w:t>
      </w:r>
    </w:p>
    <w:p w:rsidR="006E71B8" w:rsidP="12CC7619" w:rsidRDefault="00F813F0" w14:paraId="5F985311" w14:textId="77777777">
      <w:pPr>
        <w:numPr>
          <w:ilvl w:val="0"/>
          <w:numId w:val="10"/>
        </w:numPr>
        <w:rPr>
          <w:sz w:val="24"/>
          <w:szCs w:val="24"/>
        </w:rPr>
      </w:pPr>
      <w:r w:rsidRPr="12CC7619">
        <w:rPr>
          <w:sz w:val="24"/>
          <w:szCs w:val="24"/>
        </w:rPr>
        <w:t>After completing the survey, the participant will be thanked, and participation will end.</w:t>
      </w:r>
    </w:p>
    <w:p w:rsidR="006E71B8" w:rsidP="12CC7619" w:rsidRDefault="006E71B8" w14:paraId="0620FF81" w14:textId="1BE3BA63">
      <w:pPr>
        <w:ind w:firstLine="720"/>
      </w:pPr>
    </w:p>
    <w:p w:rsidR="006E71B8" w:rsidP="12CC7619" w:rsidRDefault="006E71B8" w14:paraId="1FD3BA30" w14:textId="520A0684"/>
    <w:p w:rsidR="12CC7619" w:rsidP="006E1850" w:rsidRDefault="12CC7619" w14:paraId="41937B98" w14:textId="6834069A">
      <w:pPr>
        <w:pStyle w:val="Heading4"/>
        <w:rPr>
          <w:i/>
          <w:iCs/>
          <w:szCs w:val="24"/>
        </w:rPr>
      </w:pPr>
      <w:r w:rsidRPr="12CC7619">
        <w:rPr>
          <w:rFonts w:ascii="Times New Roman" w:hAnsi="Times New Roman" w:cs="Times New Roman"/>
          <w:szCs w:val="24"/>
        </w:rPr>
        <w:t xml:space="preserve">2b. </w:t>
      </w:r>
      <w:r w:rsidRPr="12CC7619">
        <w:rPr>
          <w:rFonts w:ascii="Times New Roman" w:hAnsi="Times New Roman" w:cs="Times New Roman"/>
          <w:i/>
          <w:iCs/>
          <w:szCs w:val="24"/>
        </w:rPr>
        <w:t>Degree of Accuracy Required for the Study</w:t>
      </w:r>
    </w:p>
    <w:p w:rsidR="12CC7619" w:rsidP="12CC7619" w:rsidRDefault="12CC7619" w14:paraId="5711B771" w14:textId="2EC7147B">
      <w:pPr>
        <w:rPr>
          <w:sz w:val="24"/>
          <w:szCs w:val="24"/>
        </w:rPr>
      </w:pPr>
      <w:r w:rsidRPr="12CC7619">
        <w:rPr>
          <w:sz w:val="24"/>
          <w:szCs w:val="24"/>
        </w:rPr>
        <w:t>For the purposes of estimating statistical power, we assumed a sample size of 300 participants with equal allocation (</w:t>
      </w:r>
      <w:r w:rsidRPr="12CC7619">
        <w:rPr>
          <w:i/>
          <w:iCs/>
          <w:sz w:val="24"/>
          <w:szCs w:val="24"/>
        </w:rPr>
        <w:t xml:space="preserve">n </w:t>
      </w:r>
      <w:r w:rsidRPr="12CC7619">
        <w:rPr>
          <w:sz w:val="24"/>
          <w:szCs w:val="24"/>
        </w:rPr>
        <w:t xml:space="preserve">= 150 assigned to the ad condition, and </w:t>
      </w:r>
      <w:r w:rsidRPr="12CC7619">
        <w:rPr>
          <w:i/>
          <w:iCs/>
          <w:sz w:val="24"/>
          <w:szCs w:val="24"/>
        </w:rPr>
        <w:t>n=</w:t>
      </w:r>
      <w:r w:rsidRPr="12CC7619">
        <w:rPr>
          <w:sz w:val="24"/>
          <w:szCs w:val="24"/>
        </w:rPr>
        <w:t xml:space="preserve">150 assigned to the control condition. </w:t>
      </w:r>
    </w:p>
    <w:p w:rsidR="12CC7619" w:rsidP="12CC7619" w:rsidRDefault="12CC7619" w14:paraId="7C01A46E" w14:textId="52AEA877"/>
    <w:p w:rsidRPr="006E1850" w:rsidR="12CC7619" w:rsidP="006E1850" w:rsidRDefault="12CC7619" w14:paraId="514E5840" w14:textId="4657F58D">
      <w:pPr>
        <w:pStyle w:val="Heading4"/>
        <w:rPr>
          <w:i/>
          <w:iCs/>
          <w:szCs w:val="24"/>
        </w:rPr>
      </w:pPr>
      <w:r w:rsidRPr="006E1850">
        <w:rPr>
          <w:rFonts w:ascii="Times New Roman" w:hAnsi="Times New Roman" w:cs="Times New Roman"/>
          <w:i/>
          <w:iCs/>
          <w:szCs w:val="24"/>
        </w:rPr>
        <w:t>2c. Estimation Procedures</w:t>
      </w:r>
    </w:p>
    <w:p w:rsidR="12CC7619" w:rsidP="003C62E4" w:rsidRDefault="12CC7619" w14:paraId="2049FBFF" w14:textId="6BD4E808">
      <w:pPr>
        <w:rPr>
          <w:sz w:val="24"/>
          <w:szCs w:val="24"/>
        </w:rPr>
      </w:pPr>
      <w:r w:rsidRPr="12CC7619">
        <w:rPr>
          <w:sz w:val="24"/>
          <w:szCs w:val="24"/>
        </w:rPr>
        <w:t>Statistical analyses will be conducted to address the study’s primary research questions. Following the recommendation of the U.S. Food and Drug Administration’s (FDA’s) Center for Tobacco Products’ (CTP’s) Office of Science (Yang, 2017), analytic procedures will be based on nonparametric tests of statistical significance.</w:t>
      </w:r>
    </w:p>
    <w:p w:rsidRPr="007E2AAC" w:rsidR="00DD37DC" w:rsidP="00DD37DC" w:rsidRDefault="00B62786" w14:paraId="2C2AAC83" w14:textId="0E99B163">
      <w:r w:rsidRPr="00B62786">
        <w:rPr>
          <w:szCs w:val="24"/>
        </w:rPr>
        <w:t xml:space="preserve"> </w:t>
      </w:r>
    </w:p>
    <w:p w:rsidRPr="00A77197" w:rsidR="006E71B8" w:rsidP="006E71B8" w:rsidRDefault="006E71B8" w14:paraId="1F1E5837" w14:textId="5273AA9E">
      <w:pPr>
        <w:pStyle w:val="Heading4"/>
        <w:rPr>
          <w:rFonts w:ascii="Times New Roman" w:hAnsi="Times New Roman" w:cs="Times New Roman"/>
          <w:szCs w:val="24"/>
          <w:u w:val="single"/>
        </w:rPr>
      </w:pPr>
      <w:r w:rsidRPr="007E2AAC">
        <w:rPr>
          <w:rFonts w:ascii="Times New Roman" w:hAnsi="Times New Roman" w:cs="Times New Roman"/>
          <w:szCs w:val="24"/>
          <w:u w:val="single"/>
        </w:rPr>
        <w:t>3. Methods to Maximize Response Rates</w:t>
      </w:r>
    </w:p>
    <w:p w:rsidR="006E71B8" w:rsidP="006E71B8" w:rsidRDefault="006E71B8" w14:paraId="6A2AEED9" w14:textId="77777777">
      <w:pPr>
        <w:rPr>
          <w:b/>
          <w:sz w:val="24"/>
          <w:szCs w:val="24"/>
          <w:u w:val="single"/>
        </w:rPr>
      </w:pPr>
    </w:p>
    <w:p w:rsidRPr="002E054D" w:rsidR="006E71B8" w:rsidP="006E71B8" w:rsidRDefault="006E71B8" w14:paraId="0C19F5DE" w14:textId="5E8E8E9A">
      <w:pPr>
        <w:rPr>
          <w:sz w:val="24"/>
          <w:szCs w:val="24"/>
        </w:rPr>
      </w:pPr>
      <w:r w:rsidRPr="002E054D">
        <w:rPr>
          <w:sz w:val="24"/>
          <w:szCs w:val="24"/>
        </w:rPr>
        <w:t xml:space="preserve">The ability to obtain the cooperation of potential respondents in the survey will be important to the success of this study. </w:t>
      </w:r>
      <w:r w:rsidR="000B4206">
        <w:rPr>
          <w:sz w:val="24"/>
          <w:szCs w:val="24"/>
        </w:rPr>
        <w:t xml:space="preserve">We </w:t>
      </w:r>
      <w:r w:rsidRPr="002E054D">
        <w:rPr>
          <w:sz w:val="24"/>
          <w:szCs w:val="24"/>
        </w:rPr>
        <w:t>will minimize the non-response rate by employing the following measures:</w:t>
      </w:r>
    </w:p>
    <w:p w:rsidRPr="007E2AAC" w:rsidR="006E71B8" w:rsidP="006E71B8" w:rsidRDefault="007E2AAC" w14:paraId="5AFA02DD" w14:textId="258D4E86">
      <w:pPr>
        <w:numPr>
          <w:ilvl w:val="0"/>
          <w:numId w:val="2"/>
        </w:numPr>
        <w:ind w:left="720"/>
        <w:rPr>
          <w:sz w:val="24"/>
          <w:szCs w:val="24"/>
        </w:rPr>
      </w:pPr>
      <w:r w:rsidRPr="007E2AAC">
        <w:rPr>
          <w:sz w:val="24"/>
          <w:szCs w:val="24"/>
        </w:rPr>
        <w:t xml:space="preserve">Use the online panels provided by </w:t>
      </w:r>
      <w:r w:rsidR="00AB6581">
        <w:rPr>
          <w:sz w:val="24"/>
          <w:szCs w:val="24"/>
        </w:rPr>
        <w:t xml:space="preserve">Marketing Workshop </w:t>
      </w:r>
      <w:r w:rsidRPr="007E2AAC" w:rsidR="006E71B8">
        <w:rPr>
          <w:sz w:val="24"/>
          <w:szCs w:val="24"/>
        </w:rPr>
        <w:t>to best reach the desired sample</w:t>
      </w:r>
    </w:p>
    <w:p w:rsidRPr="00101043" w:rsidR="00856F79" w:rsidP="00856F79" w:rsidRDefault="00856F79" w14:paraId="03DBF978" w14:textId="77777777">
      <w:pPr>
        <w:numPr>
          <w:ilvl w:val="0"/>
          <w:numId w:val="2"/>
        </w:numPr>
        <w:ind w:left="720"/>
        <w:rPr>
          <w:sz w:val="24"/>
          <w:szCs w:val="24"/>
        </w:rPr>
      </w:pPr>
      <w:r w:rsidRPr="00101043">
        <w:rPr>
          <w:sz w:val="24"/>
          <w:szCs w:val="24"/>
        </w:rPr>
        <w:t xml:space="preserve">Send reminders to all invitees who have not responded 48 hours after initial invitation. </w:t>
      </w:r>
    </w:p>
    <w:p w:rsidRPr="00101043" w:rsidR="006E71B8" w:rsidRDefault="006E71B8" w14:paraId="444CC17C" w14:textId="3295E7BD">
      <w:pPr>
        <w:numPr>
          <w:ilvl w:val="0"/>
          <w:numId w:val="2"/>
        </w:numPr>
        <w:ind w:left="720"/>
        <w:rPr>
          <w:sz w:val="24"/>
          <w:szCs w:val="24"/>
        </w:rPr>
      </w:pPr>
      <w:r w:rsidRPr="00101043">
        <w:rPr>
          <w:sz w:val="24"/>
          <w:szCs w:val="24"/>
        </w:rPr>
        <w:t xml:space="preserve">Provide </w:t>
      </w:r>
      <w:r w:rsidRPr="00101043" w:rsidR="00101043">
        <w:rPr>
          <w:sz w:val="24"/>
          <w:szCs w:val="24"/>
        </w:rPr>
        <w:t xml:space="preserve">a </w:t>
      </w:r>
      <w:r w:rsidRPr="00714A42" w:rsidR="00B62786">
        <w:rPr>
          <w:sz w:val="24"/>
        </w:rPr>
        <w:t>$</w:t>
      </w:r>
      <w:r w:rsidRPr="00B62786" w:rsidR="00B62786">
        <w:rPr>
          <w:sz w:val="24"/>
          <w:szCs w:val="24"/>
        </w:rPr>
        <w:t xml:space="preserve">10 e-gift </w:t>
      </w:r>
      <w:r w:rsidRPr="0004180D" w:rsidR="00B62786">
        <w:rPr>
          <w:sz w:val="24"/>
          <w:szCs w:val="24"/>
        </w:rPr>
        <w:t xml:space="preserve">in the form of a </w:t>
      </w:r>
      <w:r w:rsidRPr="00B62786" w:rsidR="00B62786">
        <w:rPr>
          <w:sz w:val="24"/>
          <w:szCs w:val="24"/>
        </w:rPr>
        <w:t>voucher or points</w:t>
      </w:r>
      <w:r w:rsidRPr="00101043" w:rsidDel="00F317AD" w:rsidR="00F317AD">
        <w:rPr>
          <w:sz w:val="24"/>
          <w:szCs w:val="24"/>
        </w:rPr>
        <w:t xml:space="preserve"> </w:t>
      </w:r>
      <w:r w:rsidRPr="00101043" w:rsidR="00F317AD">
        <w:rPr>
          <w:sz w:val="24"/>
          <w:szCs w:val="24"/>
        </w:rPr>
        <w:t>as a token of appreciation</w:t>
      </w:r>
      <w:r w:rsidRPr="00101043">
        <w:rPr>
          <w:sz w:val="24"/>
          <w:szCs w:val="24"/>
        </w:rPr>
        <w:t xml:space="preserve"> to participants who complete and submit the survey</w:t>
      </w:r>
    </w:p>
    <w:p w:rsidRPr="00101043" w:rsidR="006E71B8" w:rsidP="006E71B8" w:rsidRDefault="006E71B8" w14:paraId="4FA78CC9" w14:textId="77777777">
      <w:pPr>
        <w:rPr>
          <w:sz w:val="24"/>
          <w:szCs w:val="24"/>
        </w:rPr>
      </w:pPr>
    </w:p>
    <w:p w:rsidRPr="00101043" w:rsidR="00C34CEA" w:rsidP="12CC7619" w:rsidRDefault="00B62786" w14:paraId="043CCBFB" w14:textId="31EDE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sz w:val="24"/>
          <w:szCs w:val="24"/>
        </w:rPr>
      </w:pPr>
      <w:r w:rsidRPr="12CC7619">
        <w:rPr>
          <w:sz w:val="24"/>
          <w:szCs w:val="24"/>
        </w:rPr>
        <w:t xml:space="preserve">As a token of appreciation, participants recruited who complete and submit the survey will receive a $10 e-gift in the form of a voucher or points. Such tokens are commonly used by research agencies to recruit participants efficiently and effectively; parents/guardians or individual members who choose to be a part of these online panels have an expectation that they will be compensated for their time. We estimate that the survey will take up to 20 minutes to complete (20 minutes for the ad-viewing participants and 10 minutes for the non-ad viewing participants). The token amount not only reflects the burden of time to participate, but it will also ensure that the respondent pool is recruited within a tight timeframe. Smaller token amounts are associated with slower </w:t>
      </w:r>
      <w:r w:rsidRPr="12CC7619" w:rsidR="00622A22">
        <w:rPr>
          <w:sz w:val="24"/>
          <w:szCs w:val="24"/>
        </w:rPr>
        <w:t>pace of</w:t>
      </w:r>
      <w:r w:rsidRPr="12CC7619">
        <w:rPr>
          <w:sz w:val="24"/>
          <w:szCs w:val="24"/>
        </w:rPr>
        <w:t xml:space="preserve"> recruitment. </w:t>
      </w:r>
    </w:p>
    <w:p w:rsidRPr="003C27C8" w:rsidR="00273625" w:rsidP="007E2AAC" w:rsidRDefault="00273625" w14:paraId="2460A592"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sz w:val="24"/>
          <w:szCs w:val="24"/>
        </w:rPr>
      </w:pPr>
    </w:p>
    <w:p w:rsidRPr="00A77197" w:rsidR="006E71B8" w:rsidP="006E71B8" w:rsidRDefault="006E71B8" w14:paraId="42484D09" w14:textId="0615BE64">
      <w:pPr>
        <w:rPr>
          <w:b/>
          <w:sz w:val="24"/>
          <w:szCs w:val="24"/>
          <w:u w:val="single"/>
        </w:rPr>
      </w:pPr>
      <w:r w:rsidRPr="007E2AAC">
        <w:rPr>
          <w:b/>
          <w:sz w:val="24"/>
          <w:szCs w:val="24"/>
          <w:u w:val="single"/>
        </w:rPr>
        <w:t>4</w:t>
      </w:r>
      <w:r w:rsidRPr="007E2AAC">
        <w:rPr>
          <w:sz w:val="24"/>
          <w:szCs w:val="24"/>
          <w:u w:val="single"/>
        </w:rPr>
        <w:t xml:space="preserve">. </w:t>
      </w:r>
      <w:r w:rsidRPr="007E2AAC">
        <w:rPr>
          <w:b/>
          <w:sz w:val="24"/>
          <w:szCs w:val="24"/>
          <w:u w:val="single"/>
        </w:rPr>
        <w:t>Tests of Procedures or Methods</w:t>
      </w:r>
    </w:p>
    <w:p w:rsidR="006E71B8" w:rsidP="006E71B8" w:rsidRDefault="006E71B8" w14:paraId="6AC02344" w14:textId="1C536994">
      <w:pPr>
        <w:ind w:left="720" w:hanging="720"/>
        <w:rPr>
          <w:b/>
          <w:sz w:val="24"/>
          <w:szCs w:val="24"/>
          <w:u w:val="single"/>
        </w:rPr>
      </w:pPr>
    </w:p>
    <w:p w:rsidR="006E71B8" w:rsidP="006E71B8" w:rsidRDefault="007E2AAC" w14:paraId="6815CF1A" w14:textId="21B617F9">
      <w:pPr>
        <w:rPr>
          <w:sz w:val="24"/>
          <w:szCs w:val="24"/>
        </w:rPr>
      </w:pPr>
      <w:r w:rsidRPr="12CC7619">
        <w:rPr>
          <w:sz w:val="24"/>
          <w:szCs w:val="24"/>
        </w:rPr>
        <w:t xml:space="preserve">KDH Research &amp; Communication </w:t>
      </w:r>
      <w:r w:rsidRPr="12CC7619" w:rsidR="006E71B8">
        <w:rPr>
          <w:sz w:val="24"/>
          <w:szCs w:val="24"/>
        </w:rPr>
        <w:t>will conduct rigorous internal testing of the online survey instrument</w:t>
      </w:r>
      <w:r w:rsidRPr="12CC7619" w:rsidR="00B42AE3">
        <w:rPr>
          <w:sz w:val="24"/>
          <w:szCs w:val="24"/>
        </w:rPr>
        <w:t>s</w:t>
      </w:r>
      <w:r w:rsidRPr="12CC7619" w:rsidR="006E71B8">
        <w:rPr>
          <w:sz w:val="24"/>
          <w:szCs w:val="24"/>
        </w:rPr>
        <w:t xml:space="preserve"> prior to fielding. Survey testers will review the online test version of the instrument that we will use to verify that instrument skip patterns are functioning properly, delivery of the </w:t>
      </w:r>
      <w:r w:rsidRPr="12CC7619" w:rsidR="00523D61">
        <w:rPr>
          <w:sz w:val="24"/>
          <w:szCs w:val="24"/>
        </w:rPr>
        <w:t>token of appreciation</w:t>
      </w:r>
      <w:r w:rsidRPr="12CC7619" w:rsidR="00246ECB">
        <w:rPr>
          <w:sz w:val="24"/>
          <w:szCs w:val="24"/>
        </w:rPr>
        <w:t xml:space="preserve"> </w:t>
      </w:r>
      <w:r w:rsidRPr="12CC7619" w:rsidR="006E71B8">
        <w:rPr>
          <w:sz w:val="24"/>
          <w:szCs w:val="24"/>
        </w:rPr>
        <w:t>is working properly, and that all survey questions are worded correctly and are in accordance with the instrument approved by IRB and OMB.</w:t>
      </w:r>
    </w:p>
    <w:p w:rsidR="006E71B8" w:rsidP="006E71B8" w:rsidRDefault="006E71B8" w14:paraId="27B70BC3" w14:textId="77777777">
      <w:pPr>
        <w:ind w:left="720" w:hanging="720"/>
        <w:rPr>
          <w:b/>
          <w:sz w:val="24"/>
          <w:szCs w:val="24"/>
          <w:u w:val="single"/>
        </w:rPr>
      </w:pPr>
    </w:p>
    <w:p w:rsidRPr="00A77197" w:rsidR="006E71B8" w:rsidP="006E71B8" w:rsidRDefault="006E71B8" w14:paraId="344B0039" w14:textId="2038B577">
      <w:pPr>
        <w:ind w:left="720" w:hanging="720"/>
        <w:rPr>
          <w:b/>
          <w:sz w:val="24"/>
          <w:szCs w:val="24"/>
          <w:u w:val="single"/>
        </w:rPr>
      </w:pPr>
      <w:r w:rsidRPr="00A77197">
        <w:rPr>
          <w:b/>
          <w:sz w:val="24"/>
          <w:szCs w:val="24"/>
          <w:u w:val="single"/>
        </w:rPr>
        <w:t xml:space="preserve">5. Individuals Involved in Statistical Consultation and Information </w:t>
      </w:r>
      <w:r w:rsidR="00246ECB">
        <w:rPr>
          <w:b/>
          <w:sz w:val="24"/>
          <w:szCs w:val="24"/>
          <w:u w:val="single"/>
        </w:rPr>
        <w:t>Collection</w:t>
      </w:r>
    </w:p>
    <w:p w:rsidR="006E71B8" w:rsidP="006E71B8" w:rsidRDefault="006E71B8" w14:paraId="3C545004" w14:textId="77777777">
      <w:pPr>
        <w:rPr>
          <w:sz w:val="24"/>
          <w:szCs w:val="24"/>
        </w:rPr>
      </w:pPr>
    </w:p>
    <w:p w:rsidRPr="002E054D" w:rsidR="006E71B8" w:rsidP="006E71B8" w:rsidRDefault="006E71B8" w14:paraId="098E83F8" w14:textId="3A966129">
      <w:pPr>
        <w:rPr>
          <w:sz w:val="24"/>
          <w:szCs w:val="24"/>
        </w:rPr>
      </w:pPr>
      <w:bookmarkStart w:name="_Toc361824168" w:id="2"/>
      <w:bookmarkStart w:name="_Toc365037510" w:id="3"/>
      <w:r w:rsidRPr="002E054D">
        <w:rPr>
          <w:sz w:val="24"/>
          <w:szCs w:val="24"/>
        </w:rPr>
        <w:t xml:space="preserve">The following individuals inside the agency have been consulted on the design of the </w:t>
      </w:r>
      <w:r w:rsidR="001A54A8">
        <w:rPr>
          <w:sz w:val="24"/>
          <w:szCs w:val="24"/>
        </w:rPr>
        <w:t>study</w:t>
      </w:r>
      <w:r w:rsidR="00B30F53">
        <w:rPr>
          <w:sz w:val="24"/>
          <w:szCs w:val="24"/>
        </w:rPr>
        <w:t xml:space="preserve"> </w:t>
      </w:r>
      <w:r w:rsidRPr="002E054D">
        <w:rPr>
          <w:sz w:val="24"/>
          <w:szCs w:val="24"/>
        </w:rPr>
        <w:t xml:space="preserve">plan, audience </w:t>
      </w:r>
      <w:r w:rsidR="00DC685D">
        <w:rPr>
          <w:sz w:val="24"/>
          <w:szCs w:val="24"/>
        </w:rPr>
        <w:t>survey</w:t>
      </w:r>
      <w:r w:rsidRPr="002E054D" w:rsidR="00DC685D">
        <w:rPr>
          <w:sz w:val="24"/>
          <w:szCs w:val="24"/>
        </w:rPr>
        <w:t xml:space="preserve"> </w:t>
      </w:r>
      <w:r w:rsidRPr="002E054D">
        <w:rPr>
          <w:sz w:val="24"/>
          <w:szCs w:val="24"/>
        </w:rPr>
        <w:t>development, or intra-agency coordination of information collection efforts:</w:t>
      </w:r>
    </w:p>
    <w:p w:rsidRPr="002E054D" w:rsidR="006E71B8" w:rsidP="006E71B8" w:rsidRDefault="006E71B8" w14:paraId="3B6984C1" w14:textId="77777777">
      <w:pPr>
        <w:rPr>
          <w:sz w:val="24"/>
          <w:szCs w:val="24"/>
        </w:rPr>
      </w:pPr>
    </w:p>
    <w:p w:rsidRPr="00C41085" w:rsidR="00C41085" w:rsidP="062489F4" w:rsidRDefault="00C41085" w14:paraId="70DB81DE" w14:textId="77777777">
      <w:pPr>
        <w:rPr>
          <w:rFonts w:eastAsiaTheme="minorEastAsia"/>
          <w:sz w:val="24"/>
          <w:szCs w:val="24"/>
        </w:rPr>
      </w:pPr>
      <w:r w:rsidRPr="0C97F83D">
        <w:rPr>
          <w:rFonts w:eastAsiaTheme="minorEastAsia"/>
          <w:sz w:val="24"/>
          <w:szCs w:val="24"/>
        </w:rPr>
        <w:t>Emily Peterson, PhD</w:t>
      </w:r>
    </w:p>
    <w:p w:rsidRPr="00C41085" w:rsidR="00C41085" w:rsidP="00C41085" w:rsidRDefault="00C41085" w14:paraId="30121710" w14:textId="77777777">
      <w:pPr>
        <w:rPr>
          <w:rFonts w:eastAsiaTheme="minorHAnsi"/>
          <w:sz w:val="24"/>
          <w:szCs w:val="24"/>
        </w:rPr>
      </w:pPr>
      <w:r w:rsidRPr="00C41085">
        <w:rPr>
          <w:rFonts w:eastAsiaTheme="minorHAnsi"/>
          <w:sz w:val="24"/>
          <w:szCs w:val="24"/>
        </w:rPr>
        <w:lastRenderedPageBreak/>
        <w:t>Office of Health Communication &amp; Education</w:t>
      </w:r>
    </w:p>
    <w:p w:rsidRPr="00C41085" w:rsidR="00C41085" w:rsidP="00C41085" w:rsidRDefault="00C41085" w14:paraId="410B8C91" w14:textId="77777777">
      <w:pPr>
        <w:rPr>
          <w:rFonts w:eastAsiaTheme="minorHAnsi"/>
          <w:sz w:val="24"/>
          <w:szCs w:val="24"/>
        </w:rPr>
      </w:pPr>
      <w:r w:rsidRPr="00C41085">
        <w:rPr>
          <w:rFonts w:eastAsiaTheme="minorHAnsi"/>
          <w:sz w:val="24"/>
          <w:szCs w:val="24"/>
        </w:rPr>
        <w:t>Center for Tobacco Products</w:t>
      </w:r>
    </w:p>
    <w:p w:rsidRPr="00C41085" w:rsidR="00C41085" w:rsidP="00C41085" w:rsidRDefault="00C41085" w14:paraId="731C62A6" w14:textId="77777777">
      <w:pPr>
        <w:rPr>
          <w:rFonts w:eastAsiaTheme="minorHAnsi"/>
          <w:sz w:val="24"/>
          <w:szCs w:val="24"/>
        </w:rPr>
      </w:pPr>
      <w:r w:rsidRPr="00C41085">
        <w:rPr>
          <w:rFonts w:eastAsiaTheme="minorHAnsi"/>
          <w:sz w:val="24"/>
          <w:szCs w:val="24"/>
        </w:rPr>
        <w:t>Food and Drug Administration</w:t>
      </w:r>
    </w:p>
    <w:p w:rsidRPr="00C41085" w:rsidR="00C41085" w:rsidP="00C41085" w:rsidRDefault="00C41085" w14:paraId="2301818D" w14:textId="77777777">
      <w:pPr>
        <w:rPr>
          <w:rFonts w:eastAsiaTheme="minorHAnsi"/>
          <w:sz w:val="24"/>
          <w:szCs w:val="24"/>
        </w:rPr>
      </w:pPr>
      <w:r w:rsidRPr="00C41085">
        <w:rPr>
          <w:rFonts w:eastAsiaTheme="minorHAnsi"/>
          <w:sz w:val="24"/>
          <w:szCs w:val="24"/>
        </w:rPr>
        <w:t>9200 Corporate Boulevard</w:t>
      </w:r>
    </w:p>
    <w:p w:rsidRPr="00C41085" w:rsidR="00C41085" w:rsidP="00C41085" w:rsidRDefault="00C41085" w14:paraId="0BD3D2D2" w14:textId="77777777">
      <w:pPr>
        <w:rPr>
          <w:rFonts w:eastAsiaTheme="minorHAnsi"/>
          <w:sz w:val="24"/>
          <w:szCs w:val="24"/>
        </w:rPr>
      </w:pPr>
      <w:r w:rsidRPr="00C41085">
        <w:rPr>
          <w:rFonts w:eastAsiaTheme="minorHAnsi"/>
          <w:sz w:val="24"/>
          <w:szCs w:val="24"/>
        </w:rPr>
        <w:t>Rockville, MD 20850</w:t>
      </w:r>
    </w:p>
    <w:p w:rsidRPr="00C41085" w:rsidR="00C41085" w:rsidP="062489F4" w:rsidRDefault="00C41085" w14:paraId="584B7889" w14:textId="2CC036CB">
      <w:pPr>
        <w:rPr>
          <w:rFonts w:eastAsiaTheme="minorEastAsia"/>
          <w:sz w:val="24"/>
          <w:szCs w:val="24"/>
        </w:rPr>
      </w:pPr>
      <w:r w:rsidRPr="0C97F83D">
        <w:rPr>
          <w:rFonts w:eastAsiaTheme="minorEastAsia"/>
          <w:sz w:val="24"/>
          <w:szCs w:val="24"/>
        </w:rPr>
        <w:t xml:space="preserve">Phone: </w:t>
      </w:r>
      <w:bookmarkStart w:name="_Hlk108179563" w:id="4"/>
      <w:r w:rsidRPr="0C97F83D">
        <w:rPr>
          <w:rFonts w:eastAsiaTheme="minorEastAsia"/>
          <w:sz w:val="24"/>
          <w:szCs w:val="24"/>
        </w:rPr>
        <w:t>3</w:t>
      </w:r>
      <w:r w:rsidR="006E1850">
        <w:rPr>
          <w:rFonts w:eastAsiaTheme="minorEastAsia"/>
          <w:sz w:val="24"/>
          <w:szCs w:val="24"/>
        </w:rPr>
        <w:t>01</w:t>
      </w:r>
      <w:r w:rsidRPr="0C97F83D">
        <w:rPr>
          <w:rFonts w:eastAsiaTheme="minorEastAsia"/>
          <w:sz w:val="24"/>
          <w:szCs w:val="24"/>
        </w:rPr>
        <w:t>-633-4223</w:t>
      </w:r>
      <w:bookmarkEnd w:id="4"/>
    </w:p>
    <w:p w:rsidRPr="00C41085" w:rsidR="00C41085" w:rsidP="00C41085" w:rsidRDefault="00C41085" w14:paraId="625C0D17" w14:textId="77777777">
      <w:pPr>
        <w:rPr>
          <w:rFonts w:eastAsiaTheme="minorHAnsi"/>
          <w:sz w:val="24"/>
          <w:szCs w:val="24"/>
        </w:rPr>
      </w:pPr>
      <w:r w:rsidRPr="00C41085">
        <w:rPr>
          <w:rFonts w:eastAsiaTheme="minorHAnsi"/>
          <w:sz w:val="24"/>
          <w:szCs w:val="24"/>
        </w:rPr>
        <w:t xml:space="preserve">E-mail: Emily.Peterson@fda.hhs.gov </w:t>
      </w:r>
    </w:p>
    <w:p w:rsidRPr="00C41085" w:rsidR="00C41085" w:rsidP="00C41085" w:rsidRDefault="00C41085" w14:paraId="006F05B9" w14:textId="77777777">
      <w:pPr>
        <w:rPr>
          <w:rFonts w:eastAsiaTheme="minorHAnsi"/>
          <w:sz w:val="24"/>
          <w:szCs w:val="24"/>
        </w:rPr>
      </w:pPr>
    </w:p>
    <w:p w:rsidRPr="00C41085" w:rsidR="00C41085" w:rsidP="00C41085" w:rsidRDefault="00C41085" w14:paraId="3E3B3FEE" w14:textId="77777777">
      <w:pPr>
        <w:rPr>
          <w:rFonts w:eastAsiaTheme="minorHAnsi"/>
          <w:sz w:val="24"/>
          <w:szCs w:val="24"/>
        </w:rPr>
      </w:pPr>
      <w:r w:rsidRPr="00C41085">
        <w:rPr>
          <w:rFonts w:eastAsiaTheme="minorHAnsi"/>
          <w:sz w:val="24"/>
          <w:szCs w:val="24"/>
        </w:rPr>
        <w:t xml:space="preserve">Andrea </w:t>
      </w:r>
      <w:proofErr w:type="spellStart"/>
      <w:r w:rsidRPr="00C41085">
        <w:rPr>
          <w:rFonts w:eastAsiaTheme="minorHAnsi"/>
          <w:sz w:val="24"/>
          <w:szCs w:val="24"/>
        </w:rPr>
        <w:t>Malterud</w:t>
      </w:r>
      <w:proofErr w:type="spellEnd"/>
      <w:r w:rsidRPr="00C41085">
        <w:rPr>
          <w:rFonts w:eastAsiaTheme="minorHAnsi"/>
          <w:sz w:val="24"/>
          <w:szCs w:val="24"/>
        </w:rPr>
        <w:t xml:space="preserve">, PhD </w:t>
      </w:r>
    </w:p>
    <w:p w:rsidRPr="00C41085" w:rsidR="00C41085" w:rsidP="00C41085" w:rsidRDefault="00C41085" w14:paraId="0210705F" w14:textId="77777777">
      <w:pPr>
        <w:rPr>
          <w:rFonts w:eastAsiaTheme="minorHAnsi"/>
          <w:sz w:val="24"/>
          <w:szCs w:val="24"/>
        </w:rPr>
      </w:pPr>
      <w:r w:rsidRPr="00C41085">
        <w:rPr>
          <w:rFonts w:eastAsiaTheme="minorHAnsi"/>
          <w:sz w:val="24"/>
          <w:szCs w:val="24"/>
        </w:rPr>
        <w:t>Office of Health Communication &amp; Education</w:t>
      </w:r>
    </w:p>
    <w:p w:rsidRPr="00C41085" w:rsidR="00C41085" w:rsidP="00C41085" w:rsidRDefault="00C41085" w14:paraId="4BB3A276" w14:textId="77777777">
      <w:pPr>
        <w:rPr>
          <w:rFonts w:eastAsiaTheme="minorHAnsi"/>
          <w:sz w:val="24"/>
          <w:szCs w:val="24"/>
        </w:rPr>
      </w:pPr>
      <w:r w:rsidRPr="00C41085">
        <w:rPr>
          <w:rFonts w:eastAsiaTheme="minorHAnsi"/>
          <w:sz w:val="24"/>
          <w:szCs w:val="24"/>
        </w:rPr>
        <w:t>Center for Tobacco Products</w:t>
      </w:r>
    </w:p>
    <w:p w:rsidRPr="00C41085" w:rsidR="00C41085" w:rsidP="00C41085" w:rsidRDefault="00C41085" w14:paraId="456C5A51" w14:textId="77777777">
      <w:pPr>
        <w:rPr>
          <w:rFonts w:eastAsiaTheme="minorHAnsi"/>
          <w:sz w:val="24"/>
          <w:szCs w:val="24"/>
        </w:rPr>
      </w:pPr>
      <w:r w:rsidRPr="00C41085">
        <w:rPr>
          <w:rFonts w:eastAsiaTheme="minorHAnsi"/>
          <w:sz w:val="24"/>
          <w:szCs w:val="24"/>
        </w:rPr>
        <w:t>Food and Drug Administration</w:t>
      </w:r>
    </w:p>
    <w:p w:rsidRPr="00C41085" w:rsidR="00C41085" w:rsidP="00C41085" w:rsidRDefault="00C41085" w14:paraId="68D1B0E9" w14:textId="77777777">
      <w:pPr>
        <w:rPr>
          <w:rFonts w:eastAsiaTheme="minorHAnsi"/>
          <w:sz w:val="24"/>
          <w:szCs w:val="24"/>
        </w:rPr>
      </w:pPr>
      <w:r w:rsidRPr="00C41085">
        <w:rPr>
          <w:rFonts w:eastAsiaTheme="minorHAnsi"/>
          <w:sz w:val="24"/>
          <w:szCs w:val="24"/>
        </w:rPr>
        <w:t>10903 New Hampshire Avenue</w:t>
      </w:r>
    </w:p>
    <w:p w:rsidRPr="00C41085" w:rsidR="00C41085" w:rsidP="00C41085" w:rsidRDefault="00C41085" w14:paraId="4F7CD287" w14:textId="77777777">
      <w:pPr>
        <w:rPr>
          <w:rFonts w:eastAsiaTheme="minorHAnsi"/>
          <w:sz w:val="24"/>
          <w:szCs w:val="24"/>
        </w:rPr>
      </w:pPr>
      <w:r w:rsidRPr="00C41085">
        <w:rPr>
          <w:rFonts w:eastAsiaTheme="minorHAnsi"/>
          <w:sz w:val="24"/>
          <w:szCs w:val="24"/>
        </w:rPr>
        <w:t>Silver Spring, MD 20993</w:t>
      </w:r>
    </w:p>
    <w:p w:rsidRPr="00C41085" w:rsidR="00C41085" w:rsidP="00C41085" w:rsidRDefault="00C41085" w14:paraId="02A576DD" w14:textId="77777777">
      <w:pPr>
        <w:rPr>
          <w:rFonts w:eastAsiaTheme="minorHAnsi"/>
          <w:sz w:val="24"/>
          <w:szCs w:val="24"/>
        </w:rPr>
      </w:pPr>
      <w:r w:rsidRPr="00C41085">
        <w:rPr>
          <w:rFonts w:eastAsiaTheme="minorHAnsi"/>
          <w:sz w:val="24"/>
          <w:szCs w:val="24"/>
        </w:rPr>
        <w:t>Phone: 240-743-1750</w:t>
      </w:r>
    </w:p>
    <w:p w:rsidRPr="00C41085" w:rsidR="00C41085" w:rsidP="00C41085" w:rsidRDefault="00C41085" w14:paraId="20CDAC64" w14:textId="77777777">
      <w:pPr>
        <w:rPr>
          <w:rFonts w:eastAsiaTheme="minorHAnsi"/>
          <w:sz w:val="24"/>
          <w:szCs w:val="24"/>
        </w:rPr>
      </w:pPr>
      <w:r w:rsidRPr="00C41085">
        <w:rPr>
          <w:rFonts w:eastAsiaTheme="minorHAnsi"/>
          <w:sz w:val="24"/>
          <w:szCs w:val="24"/>
        </w:rPr>
        <w:t>E-mail: Andrea.Malterud@fda.hhs.gov</w:t>
      </w:r>
    </w:p>
    <w:p w:rsidR="00A45CA1" w:rsidP="0004180D" w:rsidRDefault="00A45CA1" w14:paraId="7E63DF6C" w14:textId="5EF134AF">
      <w:pPr>
        <w:rPr>
          <w:rFonts w:eastAsiaTheme="minorHAnsi"/>
          <w:sz w:val="24"/>
          <w:szCs w:val="24"/>
        </w:rPr>
      </w:pPr>
    </w:p>
    <w:p w:rsidR="006E71B8" w:rsidP="006E71B8" w:rsidRDefault="006E71B8" w14:paraId="5234F0FA" w14:textId="0BACEB4A">
      <w:pPr>
        <w:rPr>
          <w:sz w:val="24"/>
          <w:szCs w:val="24"/>
        </w:rPr>
      </w:pPr>
      <w:r w:rsidRPr="002E054D">
        <w:rPr>
          <w:sz w:val="24"/>
          <w:szCs w:val="24"/>
        </w:rPr>
        <w:t xml:space="preserve">The following individuals outside of the agency have been consulted on </w:t>
      </w:r>
      <w:r w:rsidR="00DC685D">
        <w:rPr>
          <w:sz w:val="24"/>
          <w:szCs w:val="24"/>
        </w:rPr>
        <w:t xml:space="preserve">survey </w:t>
      </w:r>
      <w:r w:rsidRPr="002E054D">
        <w:rPr>
          <w:sz w:val="24"/>
          <w:szCs w:val="24"/>
        </w:rPr>
        <w:t>development</w:t>
      </w:r>
      <w:r w:rsidR="00420575">
        <w:rPr>
          <w:sz w:val="24"/>
          <w:szCs w:val="24"/>
        </w:rPr>
        <w:t>:</w:t>
      </w:r>
    </w:p>
    <w:p w:rsidR="00B67ADD" w:rsidP="006E71B8" w:rsidRDefault="00B67ADD" w14:paraId="0633B2E0" w14:textId="52513107">
      <w:pPr>
        <w:rPr>
          <w:sz w:val="24"/>
          <w:szCs w:val="24"/>
        </w:rPr>
      </w:pPr>
    </w:p>
    <w:p w:rsidR="00B67ADD" w:rsidP="006E71B8" w:rsidRDefault="00031A3E" w14:paraId="0FD2C020" w14:textId="03CB3B45">
      <w:pPr>
        <w:rPr>
          <w:sz w:val="24"/>
          <w:szCs w:val="24"/>
        </w:rPr>
      </w:pPr>
      <w:r w:rsidRPr="007E2AAC">
        <w:rPr>
          <w:sz w:val="24"/>
          <w:szCs w:val="24"/>
        </w:rPr>
        <w:t xml:space="preserve">Kristen </w:t>
      </w:r>
      <w:r w:rsidRPr="007E2AAC" w:rsidR="0084031A">
        <w:rPr>
          <w:sz w:val="24"/>
          <w:szCs w:val="24"/>
        </w:rPr>
        <w:t>Holtz</w:t>
      </w:r>
      <w:r w:rsidR="000B076B">
        <w:rPr>
          <w:sz w:val="24"/>
          <w:szCs w:val="24"/>
        </w:rPr>
        <w:t xml:space="preserve">, </w:t>
      </w:r>
      <w:r w:rsidR="00AB6581">
        <w:rPr>
          <w:sz w:val="24"/>
          <w:szCs w:val="24"/>
        </w:rPr>
        <w:t>Ph.D.</w:t>
      </w:r>
    </w:p>
    <w:p w:rsidRPr="0084031A" w:rsidR="0084031A" w:rsidP="0084031A" w:rsidRDefault="0084031A" w14:paraId="33F6CA59" w14:textId="77777777">
      <w:pPr>
        <w:rPr>
          <w:sz w:val="24"/>
          <w:szCs w:val="24"/>
        </w:rPr>
      </w:pPr>
      <w:r w:rsidRPr="0084031A">
        <w:rPr>
          <w:sz w:val="24"/>
          <w:szCs w:val="24"/>
        </w:rPr>
        <w:t xml:space="preserve">KDH Research &amp; Communication </w:t>
      </w:r>
    </w:p>
    <w:p w:rsidRPr="0084031A" w:rsidR="0084031A" w:rsidP="0084031A" w:rsidRDefault="00622A22" w14:paraId="096758A6" w14:textId="78FFD093">
      <w:pPr>
        <w:rPr>
          <w:sz w:val="24"/>
          <w:szCs w:val="24"/>
        </w:rPr>
      </w:pPr>
      <w:r>
        <w:rPr>
          <w:sz w:val="24"/>
          <w:szCs w:val="24"/>
        </w:rPr>
        <w:t>145 15</w:t>
      </w:r>
      <w:r w:rsidRPr="00F22A78">
        <w:rPr>
          <w:sz w:val="24"/>
          <w:szCs w:val="24"/>
          <w:vertAlign w:val="superscript"/>
        </w:rPr>
        <w:t>th</w:t>
      </w:r>
      <w:r>
        <w:rPr>
          <w:sz w:val="24"/>
          <w:szCs w:val="24"/>
        </w:rPr>
        <w:t xml:space="preserve"> Street NE, Suite 831</w:t>
      </w:r>
    </w:p>
    <w:p w:rsidRPr="007E2AAC" w:rsidR="0084031A" w:rsidP="0084031A" w:rsidRDefault="0084031A" w14:paraId="5CC080B1" w14:textId="08F19D14">
      <w:pPr>
        <w:rPr>
          <w:sz w:val="24"/>
          <w:szCs w:val="24"/>
        </w:rPr>
      </w:pPr>
      <w:r w:rsidRPr="007E2AAC">
        <w:rPr>
          <w:sz w:val="24"/>
          <w:szCs w:val="24"/>
        </w:rPr>
        <w:t>Atlanta, GA 303</w:t>
      </w:r>
      <w:r w:rsidR="00622A22">
        <w:rPr>
          <w:sz w:val="24"/>
          <w:szCs w:val="24"/>
        </w:rPr>
        <w:t>09</w:t>
      </w:r>
    </w:p>
    <w:p w:rsidR="0084031A" w:rsidP="0084031A" w:rsidRDefault="00461DC2" w14:paraId="02577CA9" w14:textId="6A10F755">
      <w:pPr>
        <w:rPr>
          <w:sz w:val="24"/>
          <w:szCs w:val="24"/>
        </w:rPr>
      </w:pPr>
      <w:r w:rsidRPr="007E2AAC">
        <w:rPr>
          <w:sz w:val="24"/>
          <w:szCs w:val="24"/>
        </w:rPr>
        <w:t xml:space="preserve">Phone: </w:t>
      </w:r>
      <w:r w:rsidRPr="007E2AAC" w:rsidR="007E2AAC">
        <w:rPr>
          <w:sz w:val="24"/>
          <w:szCs w:val="24"/>
        </w:rPr>
        <w:t>404-395-8711</w:t>
      </w:r>
    </w:p>
    <w:p w:rsidR="00461DC2" w:rsidP="0084031A" w:rsidRDefault="00461DC2" w14:paraId="35EED7EF" w14:textId="1003A772">
      <w:pPr>
        <w:rPr>
          <w:rStyle w:val="Hyperlink"/>
          <w:sz w:val="24"/>
          <w:szCs w:val="24"/>
        </w:rPr>
      </w:pPr>
      <w:r>
        <w:rPr>
          <w:sz w:val="24"/>
          <w:szCs w:val="24"/>
        </w:rPr>
        <w:t xml:space="preserve">E-mail: </w:t>
      </w:r>
      <w:r w:rsidRPr="0004180D" w:rsidR="00C41085">
        <w:rPr>
          <w:sz w:val="24"/>
          <w:szCs w:val="24"/>
        </w:rPr>
        <w:t>Kholtz@kdhrc.com</w:t>
      </w:r>
    </w:p>
    <w:p w:rsidR="0019690A" w:rsidP="0084031A" w:rsidRDefault="0019690A" w14:paraId="645B9BBF" w14:textId="2972DD2B">
      <w:pPr>
        <w:rPr>
          <w:rStyle w:val="Hyperlink"/>
          <w:sz w:val="24"/>
          <w:szCs w:val="24"/>
        </w:rPr>
      </w:pPr>
    </w:p>
    <w:p w:rsidRPr="0019690A" w:rsidR="0019690A" w:rsidP="0019690A" w:rsidRDefault="0019690A" w14:paraId="04030A7B" w14:textId="77777777">
      <w:pPr>
        <w:rPr>
          <w:sz w:val="24"/>
          <w:szCs w:val="24"/>
        </w:rPr>
      </w:pPr>
      <w:r w:rsidRPr="0019690A">
        <w:rPr>
          <w:sz w:val="24"/>
          <w:szCs w:val="24"/>
        </w:rPr>
        <w:t xml:space="preserve">Dimas </w:t>
      </w:r>
      <w:proofErr w:type="spellStart"/>
      <w:r w:rsidRPr="0019690A">
        <w:rPr>
          <w:sz w:val="24"/>
          <w:szCs w:val="24"/>
        </w:rPr>
        <w:t>Adiwiyoto</w:t>
      </w:r>
      <w:proofErr w:type="spellEnd"/>
      <w:r w:rsidRPr="0019690A">
        <w:rPr>
          <w:sz w:val="24"/>
          <w:szCs w:val="24"/>
        </w:rPr>
        <w:t xml:space="preserve"> </w:t>
      </w:r>
    </w:p>
    <w:p w:rsidRPr="0019690A" w:rsidR="0019690A" w:rsidP="0019690A" w:rsidRDefault="0019690A" w14:paraId="03B5D0FA" w14:textId="77777777">
      <w:pPr>
        <w:rPr>
          <w:sz w:val="24"/>
          <w:szCs w:val="24"/>
        </w:rPr>
      </w:pPr>
      <w:r w:rsidRPr="0019690A">
        <w:rPr>
          <w:sz w:val="24"/>
          <w:szCs w:val="24"/>
        </w:rPr>
        <w:t>Senior Vice President</w:t>
      </w:r>
    </w:p>
    <w:p w:rsidRPr="0019690A" w:rsidR="0019690A" w:rsidP="0019690A" w:rsidRDefault="0019690A" w14:paraId="711EB473" w14:textId="77777777">
      <w:pPr>
        <w:rPr>
          <w:sz w:val="24"/>
          <w:szCs w:val="24"/>
        </w:rPr>
      </w:pPr>
      <w:r w:rsidRPr="0019690A">
        <w:rPr>
          <w:sz w:val="24"/>
          <w:szCs w:val="24"/>
        </w:rPr>
        <w:t>FCB</w:t>
      </w:r>
    </w:p>
    <w:p w:rsidRPr="0019690A" w:rsidR="0019690A" w:rsidP="0019690A" w:rsidRDefault="0019690A" w14:paraId="41FD915E" w14:textId="77777777">
      <w:pPr>
        <w:rPr>
          <w:sz w:val="24"/>
          <w:szCs w:val="24"/>
        </w:rPr>
      </w:pPr>
      <w:r w:rsidRPr="0019690A">
        <w:rPr>
          <w:sz w:val="24"/>
          <w:szCs w:val="24"/>
        </w:rPr>
        <w:t xml:space="preserve">111 W 33rd Street </w:t>
      </w:r>
    </w:p>
    <w:p w:rsidRPr="0019690A" w:rsidR="0019690A" w:rsidP="0019690A" w:rsidRDefault="0019690A" w14:paraId="37BEAB13" w14:textId="77777777">
      <w:pPr>
        <w:rPr>
          <w:sz w:val="24"/>
          <w:szCs w:val="24"/>
        </w:rPr>
      </w:pPr>
      <w:r w:rsidRPr="0019690A">
        <w:rPr>
          <w:sz w:val="24"/>
          <w:szCs w:val="24"/>
        </w:rPr>
        <w:t>New York, NY 10120</w:t>
      </w:r>
    </w:p>
    <w:p w:rsidR="0019690A" w:rsidP="0019690A" w:rsidRDefault="0019690A" w14:paraId="369B96A2" w14:textId="28B5CF45">
      <w:pPr>
        <w:rPr>
          <w:sz w:val="24"/>
          <w:szCs w:val="24"/>
        </w:rPr>
      </w:pPr>
      <w:r w:rsidRPr="0019690A">
        <w:rPr>
          <w:sz w:val="24"/>
          <w:szCs w:val="24"/>
        </w:rPr>
        <w:t>(646) 504 8586</w:t>
      </w:r>
    </w:p>
    <w:bookmarkEnd w:id="2"/>
    <w:bookmarkEnd w:id="3"/>
    <w:p w:rsidR="00D30E93" w:rsidP="007E2AAC" w:rsidRDefault="00D30E93" w14:paraId="4A2B1A24" w14:textId="77777777">
      <w:pPr>
        <w:rPr>
          <w:b/>
          <w:bCs/>
          <w:sz w:val="24"/>
          <w:szCs w:val="24"/>
        </w:rPr>
      </w:pPr>
    </w:p>
    <w:p w:rsidRPr="003C62E4" w:rsidR="007E2AAC" w:rsidP="007E2AAC" w:rsidRDefault="12CC7619" w14:paraId="22242153" w14:textId="3C9C1053">
      <w:pPr>
        <w:rPr>
          <w:b/>
          <w:bCs/>
        </w:rPr>
      </w:pPr>
      <w:r w:rsidRPr="003C62E4">
        <w:rPr>
          <w:b/>
          <w:bCs/>
          <w:sz w:val="24"/>
          <w:szCs w:val="24"/>
        </w:rPr>
        <w:t>Reference</w:t>
      </w:r>
    </w:p>
    <w:p w:rsidRPr="007E2AAC" w:rsidR="007E2AAC" w:rsidP="007E2AAC" w:rsidRDefault="12CC7619" w14:paraId="3341C609" w14:textId="2F5929A5">
      <w:r w:rsidRPr="12CC7619">
        <w:rPr>
          <w:sz w:val="24"/>
          <w:szCs w:val="24"/>
        </w:rPr>
        <w:t xml:space="preserve"> </w:t>
      </w:r>
    </w:p>
    <w:p w:rsidRPr="007E2AAC" w:rsidR="007E2AAC" w:rsidP="007E2AAC" w:rsidRDefault="12CC7619" w14:paraId="1BD8E2D7" w14:textId="0E4E163E">
      <w:r w:rsidRPr="12CC7619">
        <w:rPr>
          <w:sz w:val="24"/>
          <w:szCs w:val="24"/>
        </w:rPr>
        <w:t>Pierce JP, Choi WS, Gilpin EA, Farkas AJ, Merritt RK. Validation of susceptibility as a predictor of which adolescents take up smoking in the United States. Health Psychol. 1996;15(5):355–361.https://doi.org/10.1037/0278-6133.15.5.355.</w:t>
      </w:r>
    </w:p>
    <w:p w:rsidRPr="007E2AAC" w:rsidR="007E2AAC" w:rsidP="12CC7619" w:rsidRDefault="007E2AAC" w14:paraId="3E7A29FE" w14:textId="43B5D2CA"/>
    <w:p w:rsidRPr="007E2AAC" w:rsidR="007E2AAC" w:rsidP="007E2AAC" w:rsidRDefault="007E2AAC" w14:paraId="6FA9D04F" w14:textId="77777777">
      <w:pPr>
        <w:pBdr>
          <w:top w:val="nil"/>
          <w:left w:val="nil"/>
          <w:bottom w:val="nil"/>
          <w:right w:val="nil"/>
          <w:between w:val="nil"/>
          <w:bar w:val="nil"/>
        </w:pBdr>
        <w:rPr>
          <w:sz w:val="24"/>
          <w:szCs w:val="24"/>
        </w:rPr>
      </w:pPr>
    </w:p>
    <w:p w:rsidRPr="007E2AAC" w:rsidR="007E2AAC" w:rsidP="007E2AAC" w:rsidRDefault="007E2AAC" w14:paraId="60A95B23" w14:textId="77777777">
      <w:pPr>
        <w:rPr>
          <w:sz w:val="24"/>
          <w:szCs w:val="24"/>
        </w:rPr>
      </w:pPr>
    </w:p>
    <w:p w:rsidRPr="007E2AAC" w:rsidR="002375F3" w:rsidP="007E2AAC" w:rsidRDefault="00D30E93" w14:paraId="7005387E" w14:textId="77777777">
      <w:pPr>
        <w:spacing w:after="200"/>
        <w:ind w:left="720" w:hanging="720"/>
        <w:rPr>
          <w:sz w:val="24"/>
          <w:szCs w:val="24"/>
        </w:rPr>
      </w:pPr>
    </w:p>
    <w:sectPr w:rsidRPr="007E2AAC" w:rsidR="002375F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A6C3E" w14:textId="77777777" w:rsidR="004206A2" w:rsidRDefault="004206A2" w:rsidP="00E85591">
      <w:r>
        <w:separator/>
      </w:r>
    </w:p>
  </w:endnote>
  <w:endnote w:type="continuationSeparator" w:id="0">
    <w:p w14:paraId="32682514" w14:textId="77777777" w:rsidR="004206A2" w:rsidRDefault="004206A2" w:rsidP="00E8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378335"/>
      <w:docPartObj>
        <w:docPartGallery w:val="Page Numbers (Bottom of Page)"/>
        <w:docPartUnique/>
      </w:docPartObj>
    </w:sdtPr>
    <w:sdtEndPr>
      <w:rPr>
        <w:noProof/>
      </w:rPr>
    </w:sdtEndPr>
    <w:sdtContent>
      <w:p w14:paraId="34AF4A90" w14:textId="0C3AC73D" w:rsidR="00E85591" w:rsidRDefault="00E855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DAA7A5" w14:textId="77777777" w:rsidR="00E85591" w:rsidRDefault="00E85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F6989" w14:textId="77777777" w:rsidR="004206A2" w:rsidRDefault="004206A2" w:rsidP="00E85591">
      <w:r>
        <w:separator/>
      </w:r>
    </w:p>
  </w:footnote>
  <w:footnote w:type="continuationSeparator" w:id="0">
    <w:p w14:paraId="7512EAB0" w14:textId="77777777" w:rsidR="004206A2" w:rsidRDefault="004206A2" w:rsidP="00E85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F36D40"/>
    <w:multiLevelType w:val="hybridMultilevel"/>
    <w:tmpl w:val="6B447A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C36A3C"/>
    <w:multiLevelType w:val="hybridMultilevel"/>
    <w:tmpl w:val="45A8A17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DF6981"/>
    <w:multiLevelType w:val="hybridMultilevel"/>
    <w:tmpl w:val="C20E0896"/>
    <w:lvl w:ilvl="0" w:tplc="BC7207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B34382C"/>
    <w:multiLevelType w:val="hybridMultilevel"/>
    <w:tmpl w:val="5CC6B42E"/>
    <w:lvl w:ilvl="0" w:tplc="9782C9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408FB"/>
    <w:multiLevelType w:val="hybridMultilevel"/>
    <w:tmpl w:val="5232DE46"/>
    <w:lvl w:ilvl="0" w:tplc="8E4EDAD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30288E"/>
    <w:multiLevelType w:val="hybridMultilevel"/>
    <w:tmpl w:val="174402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7D85EA5"/>
    <w:multiLevelType w:val="hybridMultilevel"/>
    <w:tmpl w:val="5232DE46"/>
    <w:lvl w:ilvl="0" w:tplc="8E4EDADA">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2C7EBE"/>
    <w:multiLevelType w:val="hybridMultilevel"/>
    <w:tmpl w:val="536265C4"/>
    <w:lvl w:ilvl="0" w:tplc="9C0C11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732190"/>
    <w:multiLevelType w:val="hybridMultilevel"/>
    <w:tmpl w:val="6ED8B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A834C1"/>
    <w:multiLevelType w:val="hybridMultilevel"/>
    <w:tmpl w:val="24B0F4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3"/>
  </w:num>
  <w:num w:numId="5">
    <w:abstractNumId w:val="0"/>
  </w:num>
  <w:num w:numId="6">
    <w:abstractNumId w:val="7"/>
  </w:num>
  <w:num w:numId="7">
    <w:abstractNumId w:val="1"/>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B8"/>
    <w:rsid w:val="00005E95"/>
    <w:rsid w:val="000113C7"/>
    <w:rsid w:val="0001492C"/>
    <w:rsid w:val="00025668"/>
    <w:rsid w:val="00026F69"/>
    <w:rsid w:val="00027455"/>
    <w:rsid w:val="00031A3E"/>
    <w:rsid w:val="0004180D"/>
    <w:rsid w:val="00052276"/>
    <w:rsid w:val="000578C6"/>
    <w:rsid w:val="00067AC6"/>
    <w:rsid w:val="00067B41"/>
    <w:rsid w:val="00070DBA"/>
    <w:rsid w:val="00074541"/>
    <w:rsid w:val="00074AF4"/>
    <w:rsid w:val="00076EDA"/>
    <w:rsid w:val="00080227"/>
    <w:rsid w:val="00092803"/>
    <w:rsid w:val="00094BAC"/>
    <w:rsid w:val="000A2116"/>
    <w:rsid w:val="000B076B"/>
    <w:rsid w:val="000B3D6F"/>
    <w:rsid w:val="000B3EEB"/>
    <w:rsid w:val="000B4206"/>
    <w:rsid w:val="000B533E"/>
    <w:rsid w:val="000C0C74"/>
    <w:rsid w:val="000C0CCB"/>
    <w:rsid w:val="000C2308"/>
    <w:rsid w:val="000C3349"/>
    <w:rsid w:val="000C6BBA"/>
    <w:rsid w:val="000D4552"/>
    <w:rsid w:val="000E2196"/>
    <w:rsid w:val="000E33FA"/>
    <w:rsid w:val="000E757C"/>
    <w:rsid w:val="000F0269"/>
    <w:rsid w:val="000F2B9C"/>
    <w:rsid w:val="000F5143"/>
    <w:rsid w:val="00101043"/>
    <w:rsid w:val="00101CC7"/>
    <w:rsid w:val="00104799"/>
    <w:rsid w:val="0011100E"/>
    <w:rsid w:val="001133A8"/>
    <w:rsid w:val="00117E9F"/>
    <w:rsid w:val="00120D87"/>
    <w:rsid w:val="00125082"/>
    <w:rsid w:val="001255AF"/>
    <w:rsid w:val="001314C4"/>
    <w:rsid w:val="001405D0"/>
    <w:rsid w:val="0014495C"/>
    <w:rsid w:val="00160605"/>
    <w:rsid w:val="00164D0C"/>
    <w:rsid w:val="00167E66"/>
    <w:rsid w:val="001756D7"/>
    <w:rsid w:val="00191553"/>
    <w:rsid w:val="0019690A"/>
    <w:rsid w:val="001A0A1D"/>
    <w:rsid w:val="001A10F6"/>
    <w:rsid w:val="001A2DFF"/>
    <w:rsid w:val="001A54A8"/>
    <w:rsid w:val="001B38B4"/>
    <w:rsid w:val="001B576E"/>
    <w:rsid w:val="001B6959"/>
    <w:rsid w:val="001C0022"/>
    <w:rsid w:val="001C6E73"/>
    <w:rsid w:val="001E32ED"/>
    <w:rsid w:val="001F4383"/>
    <w:rsid w:val="00200AA1"/>
    <w:rsid w:val="00224D06"/>
    <w:rsid w:val="002321EF"/>
    <w:rsid w:val="002448F2"/>
    <w:rsid w:val="00246ECB"/>
    <w:rsid w:val="002514C5"/>
    <w:rsid w:val="00252A7F"/>
    <w:rsid w:val="00262E7C"/>
    <w:rsid w:val="00271E6F"/>
    <w:rsid w:val="00273625"/>
    <w:rsid w:val="002822C6"/>
    <w:rsid w:val="002869B3"/>
    <w:rsid w:val="00291CBB"/>
    <w:rsid w:val="002A083C"/>
    <w:rsid w:val="002A1190"/>
    <w:rsid w:val="002A7A2A"/>
    <w:rsid w:val="002B6B97"/>
    <w:rsid w:val="002C7046"/>
    <w:rsid w:val="002D7C08"/>
    <w:rsid w:val="002E0606"/>
    <w:rsid w:val="002E40F0"/>
    <w:rsid w:val="002E4270"/>
    <w:rsid w:val="0030308E"/>
    <w:rsid w:val="00304E3C"/>
    <w:rsid w:val="0031469B"/>
    <w:rsid w:val="00316355"/>
    <w:rsid w:val="003309E3"/>
    <w:rsid w:val="00332FB5"/>
    <w:rsid w:val="0034220C"/>
    <w:rsid w:val="00342B88"/>
    <w:rsid w:val="0035589F"/>
    <w:rsid w:val="0036058F"/>
    <w:rsid w:val="00370350"/>
    <w:rsid w:val="00374305"/>
    <w:rsid w:val="003801F9"/>
    <w:rsid w:val="003935E8"/>
    <w:rsid w:val="003A44EA"/>
    <w:rsid w:val="003B006F"/>
    <w:rsid w:val="003B36FC"/>
    <w:rsid w:val="003C4B17"/>
    <w:rsid w:val="003C62E4"/>
    <w:rsid w:val="003D68F9"/>
    <w:rsid w:val="003D6E6E"/>
    <w:rsid w:val="003E4B68"/>
    <w:rsid w:val="003E6AEA"/>
    <w:rsid w:val="003E7D0F"/>
    <w:rsid w:val="003F19A9"/>
    <w:rsid w:val="003F6D2B"/>
    <w:rsid w:val="003F73F1"/>
    <w:rsid w:val="0041189A"/>
    <w:rsid w:val="0041289E"/>
    <w:rsid w:val="00416EB5"/>
    <w:rsid w:val="00420575"/>
    <w:rsid w:val="004206A2"/>
    <w:rsid w:val="004279F2"/>
    <w:rsid w:val="00430B9F"/>
    <w:rsid w:val="00435258"/>
    <w:rsid w:val="004362A3"/>
    <w:rsid w:val="00447222"/>
    <w:rsid w:val="004553B4"/>
    <w:rsid w:val="00461DC2"/>
    <w:rsid w:val="00483715"/>
    <w:rsid w:val="0049247E"/>
    <w:rsid w:val="0049371C"/>
    <w:rsid w:val="004A396F"/>
    <w:rsid w:val="004B0262"/>
    <w:rsid w:val="004B2850"/>
    <w:rsid w:val="004C05CD"/>
    <w:rsid w:val="004C1907"/>
    <w:rsid w:val="004D3CCB"/>
    <w:rsid w:val="004D4069"/>
    <w:rsid w:val="004E54BB"/>
    <w:rsid w:val="004E78FB"/>
    <w:rsid w:val="004F06CA"/>
    <w:rsid w:val="00502EDD"/>
    <w:rsid w:val="00515008"/>
    <w:rsid w:val="005221C6"/>
    <w:rsid w:val="00523D61"/>
    <w:rsid w:val="00536944"/>
    <w:rsid w:val="00552C0B"/>
    <w:rsid w:val="0055693C"/>
    <w:rsid w:val="005606C8"/>
    <w:rsid w:val="00562887"/>
    <w:rsid w:val="005772C6"/>
    <w:rsid w:val="00577F4A"/>
    <w:rsid w:val="005825C6"/>
    <w:rsid w:val="00585EEF"/>
    <w:rsid w:val="005869F4"/>
    <w:rsid w:val="005914D6"/>
    <w:rsid w:val="00595004"/>
    <w:rsid w:val="005A195B"/>
    <w:rsid w:val="005B10C7"/>
    <w:rsid w:val="005B7A0E"/>
    <w:rsid w:val="005C0A24"/>
    <w:rsid w:val="005C2F05"/>
    <w:rsid w:val="005C4BA0"/>
    <w:rsid w:val="005C4F33"/>
    <w:rsid w:val="005D2044"/>
    <w:rsid w:val="005D26AB"/>
    <w:rsid w:val="005E3A9E"/>
    <w:rsid w:val="005E6B30"/>
    <w:rsid w:val="005E6D45"/>
    <w:rsid w:val="005F591E"/>
    <w:rsid w:val="006056AC"/>
    <w:rsid w:val="00607312"/>
    <w:rsid w:val="00611636"/>
    <w:rsid w:val="00616E51"/>
    <w:rsid w:val="00617C4B"/>
    <w:rsid w:val="00620E44"/>
    <w:rsid w:val="00622A22"/>
    <w:rsid w:val="00627C8D"/>
    <w:rsid w:val="00633C7D"/>
    <w:rsid w:val="00640310"/>
    <w:rsid w:val="006425B8"/>
    <w:rsid w:val="006425DB"/>
    <w:rsid w:val="00663B8C"/>
    <w:rsid w:val="00667334"/>
    <w:rsid w:val="00671171"/>
    <w:rsid w:val="00673A25"/>
    <w:rsid w:val="00691C6D"/>
    <w:rsid w:val="006964A2"/>
    <w:rsid w:val="006A62B0"/>
    <w:rsid w:val="006B6509"/>
    <w:rsid w:val="006C2E6D"/>
    <w:rsid w:val="006C5313"/>
    <w:rsid w:val="006D0449"/>
    <w:rsid w:val="006D155C"/>
    <w:rsid w:val="006D6429"/>
    <w:rsid w:val="006E0CF8"/>
    <w:rsid w:val="006E1850"/>
    <w:rsid w:val="006E1BD4"/>
    <w:rsid w:val="006E32CC"/>
    <w:rsid w:val="006E6249"/>
    <w:rsid w:val="006E71B8"/>
    <w:rsid w:val="006F1B71"/>
    <w:rsid w:val="006F24D9"/>
    <w:rsid w:val="006F7F7D"/>
    <w:rsid w:val="007073E9"/>
    <w:rsid w:val="00715008"/>
    <w:rsid w:val="00726270"/>
    <w:rsid w:val="007279B6"/>
    <w:rsid w:val="00727CFF"/>
    <w:rsid w:val="0074284B"/>
    <w:rsid w:val="00746845"/>
    <w:rsid w:val="007546AF"/>
    <w:rsid w:val="00764AB1"/>
    <w:rsid w:val="00786972"/>
    <w:rsid w:val="00786E79"/>
    <w:rsid w:val="007876A2"/>
    <w:rsid w:val="00796248"/>
    <w:rsid w:val="007A36C4"/>
    <w:rsid w:val="007A3830"/>
    <w:rsid w:val="007C4AFD"/>
    <w:rsid w:val="007C7317"/>
    <w:rsid w:val="007D067D"/>
    <w:rsid w:val="007E2AAC"/>
    <w:rsid w:val="007F1650"/>
    <w:rsid w:val="007F5144"/>
    <w:rsid w:val="00805FD2"/>
    <w:rsid w:val="00820A2D"/>
    <w:rsid w:val="00824045"/>
    <w:rsid w:val="00824EF4"/>
    <w:rsid w:val="008301AF"/>
    <w:rsid w:val="0084031A"/>
    <w:rsid w:val="008418E0"/>
    <w:rsid w:val="008430B3"/>
    <w:rsid w:val="00856F79"/>
    <w:rsid w:val="00861055"/>
    <w:rsid w:val="00861D71"/>
    <w:rsid w:val="008652C1"/>
    <w:rsid w:val="00866429"/>
    <w:rsid w:val="00866A54"/>
    <w:rsid w:val="00867AE3"/>
    <w:rsid w:val="00867E49"/>
    <w:rsid w:val="00870E38"/>
    <w:rsid w:val="00871620"/>
    <w:rsid w:val="00874B75"/>
    <w:rsid w:val="00886182"/>
    <w:rsid w:val="00886954"/>
    <w:rsid w:val="008976C3"/>
    <w:rsid w:val="008A0153"/>
    <w:rsid w:val="008B59AE"/>
    <w:rsid w:val="008C00BD"/>
    <w:rsid w:val="008C027D"/>
    <w:rsid w:val="008C58BD"/>
    <w:rsid w:val="008C5ABD"/>
    <w:rsid w:val="008D69A1"/>
    <w:rsid w:val="008D735E"/>
    <w:rsid w:val="008E1751"/>
    <w:rsid w:val="008E3A73"/>
    <w:rsid w:val="008F3538"/>
    <w:rsid w:val="008F5442"/>
    <w:rsid w:val="008F6900"/>
    <w:rsid w:val="00905C59"/>
    <w:rsid w:val="00907542"/>
    <w:rsid w:val="00924863"/>
    <w:rsid w:val="00925614"/>
    <w:rsid w:val="0092619D"/>
    <w:rsid w:val="00931662"/>
    <w:rsid w:val="00932242"/>
    <w:rsid w:val="00943E88"/>
    <w:rsid w:val="00943E89"/>
    <w:rsid w:val="00954DE6"/>
    <w:rsid w:val="00955A1F"/>
    <w:rsid w:val="0096170D"/>
    <w:rsid w:val="00962713"/>
    <w:rsid w:val="009717E7"/>
    <w:rsid w:val="009A24DD"/>
    <w:rsid w:val="009D2910"/>
    <w:rsid w:val="009E33B2"/>
    <w:rsid w:val="009F1463"/>
    <w:rsid w:val="009F3871"/>
    <w:rsid w:val="009F3DD1"/>
    <w:rsid w:val="009F53EB"/>
    <w:rsid w:val="009F5B74"/>
    <w:rsid w:val="00A04A9B"/>
    <w:rsid w:val="00A1451A"/>
    <w:rsid w:val="00A1623B"/>
    <w:rsid w:val="00A25893"/>
    <w:rsid w:val="00A373BF"/>
    <w:rsid w:val="00A376AA"/>
    <w:rsid w:val="00A42E68"/>
    <w:rsid w:val="00A45CA1"/>
    <w:rsid w:val="00A4662D"/>
    <w:rsid w:val="00A47C25"/>
    <w:rsid w:val="00A52DF0"/>
    <w:rsid w:val="00A667D9"/>
    <w:rsid w:val="00A76FEE"/>
    <w:rsid w:val="00A77689"/>
    <w:rsid w:val="00A911D1"/>
    <w:rsid w:val="00A91D7A"/>
    <w:rsid w:val="00AA4B12"/>
    <w:rsid w:val="00AB6581"/>
    <w:rsid w:val="00AC0F77"/>
    <w:rsid w:val="00AC139A"/>
    <w:rsid w:val="00AC21AC"/>
    <w:rsid w:val="00AD1A05"/>
    <w:rsid w:val="00AE76C8"/>
    <w:rsid w:val="00B0024E"/>
    <w:rsid w:val="00B166C8"/>
    <w:rsid w:val="00B30F53"/>
    <w:rsid w:val="00B337E5"/>
    <w:rsid w:val="00B33D3C"/>
    <w:rsid w:val="00B358CD"/>
    <w:rsid w:val="00B42AE3"/>
    <w:rsid w:val="00B57410"/>
    <w:rsid w:val="00B613F3"/>
    <w:rsid w:val="00B62786"/>
    <w:rsid w:val="00B67ADD"/>
    <w:rsid w:val="00B74A3D"/>
    <w:rsid w:val="00B803B3"/>
    <w:rsid w:val="00B86EE1"/>
    <w:rsid w:val="00B91C13"/>
    <w:rsid w:val="00B943B5"/>
    <w:rsid w:val="00B97007"/>
    <w:rsid w:val="00BB2293"/>
    <w:rsid w:val="00BD15C9"/>
    <w:rsid w:val="00BD3235"/>
    <w:rsid w:val="00BD6B55"/>
    <w:rsid w:val="00BE61D9"/>
    <w:rsid w:val="00BE781B"/>
    <w:rsid w:val="00BF4853"/>
    <w:rsid w:val="00C04860"/>
    <w:rsid w:val="00C222E4"/>
    <w:rsid w:val="00C22839"/>
    <w:rsid w:val="00C24CA1"/>
    <w:rsid w:val="00C30054"/>
    <w:rsid w:val="00C34CEA"/>
    <w:rsid w:val="00C36EBD"/>
    <w:rsid w:val="00C41085"/>
    <w:rsid w:val="00C44AD5"/>
    <w:rsid w:val="00C56818"/>
    <w:rsid w:val="00C629E9"/>
    <w:rsid w:val="00C67F80"/>
    <w:rsid w:val="00C71248"/>
    <w:rsid w:val="00C90CBB"/>
    <w:rsid w:val="00C95C53"/>
    <w:rsid w:val="00C96271"/>
    <w:rsid w:val="00C962C7"/>
    <w:rsid w:val="00CA09D2"/>
    <w:rsid w:val="00CA5B30"/>
    <w:rsid w:val="00CB5CA7"/>
    <w:rsid w:val="00CB6A47"/>
    <w:rsid w:val="00CC44F6"/>
    <w:rsid w:val="00CC5327"/>
    <w:rsid w:val="00CE1702"/>
    <w:rsid w:val="00CE3CAF"/>
    <w:rsid w:val="00CE45F4"/>
    <w:rsid w:val="00CF2466"/>
    <w:rsid w:val="00CF4846"/>
    <w:rsid w:val="00D010FF"/>
    <w:rsid w:val="00D15C6D"/>
    <w:rsid w:val="00D23040"/>
    <w:rsid w:val="00D255F7"/>
    <w:rsid w:val="00D30E93"/>
    <w:rsid w:val="00D3338A"/>
    <w:rsid w:val="00D374C0"/>
    <w:rsid w:val="00D44342"/>
    <w:rsid w:val="00D44639"/>
    <w:rsid w:val="00D46341"/>
    <w:rsid w:val="00D51F8F"/>
    <w:rsid w:val="00D60212"/>
    <w:rsid w:val="00D602FA"/>
    <w:rsid w:val="00D6496F"/>
    <w:rsid w:val="00D64B2B"/>
    <w:rsid w:val="00D7112A"/>
    <w:rsid w:val="00D80D71"/>
    <w:rsid w:val="00D844A8"/>
    <w:rsid w:val="00D873A0"/>
    <w:rsid w:val="00D87423"/>
    <w:rsid w:val="00D91BBF"/>
    <w:rsid w:val="00D92785"/>
    <w:rsid w:val="00DA39D3"/>
    <w:rsid w:val="00DB14CD"/>
    <w:rsid w:val="00DC685D"/>
    <w:rsid w:val="00DD37DC"/>
    <w:rsid w:val="00DD4194"/>
    <w:rsid w:val="00DD7EF8"/>
    <w:rsid w:val="00DE5C4E"/>
    <w:rsid w:val="00E0395E"/>
    <w:rsid w:val="00E10589"/>
    <w:rsid w:val="00E266A5"/>
    <w:rsid w:val="00E30679"/>
    <w:rsid w:val="00E33AD8"/>
    <w:rsid w:val="00E36B84"/>
    <w:rsid w:val="00E37454"/>
    <w:rsid w:val="00E4255A"/>
    <w:rsid w:val="00E43029"/>
    <w:rsid w:val="00E44872"/>
    <w:rsid w:val="00E4643E"/>
    <w:rsid w:val="00E465FC"/>
    <w:rsid w:val="00E502BD"/>
    <w:rsid w:val="00E53DF1"/>
    <w:rsid w:val="00E57698"/>
    <w:rsid w:val="00E625C2"/>
    <w:rsid w:val="00E85591"/>
    <w:rsid w:val="00E90138"/>
    <w:rsid w:val="00E9332F"/>
    <w:rsid w:val="00E97EDA"/>
    <w:rsid w:val="00EA18CC"/>
    <w:rsid w:val="00EC25C7"/>
    <w:rsid w:val="00EC2C77"/>
    <w:rsid w:val="00EC53AC"/>
    <w:rsid w:val="00ED44FE"/>
    <w:rsid w:val="00EE192E"/>
    <w:rsid w:val="00EE6425"/>
    <w:rsid w:val="00F03FCF"/>
    <w:rsid w:val="00F06747"/>
    <w:rsid w:val="00F06993"/>
    <w:rsid w:val="00F207BD"/>
    <w:rsid w:val="00F22A78"/>
    <w:rsid w:val="00F317AD"/>
    <w:rsid w:val="00F37C10"/>
    <w:rsid w:val="00F40542"/>
    <w:rsid w:val="00F41100"/>
    <w:rsid w:val="00F52858"/>
    <w:rsid w:val="00F60C65"/>
    <w:rsid w:val="00F749C8"/>
    <w:rsid w:val="00F813F0"/>
    <w:rsid w:val="00F81BC8"/>
    <w:rsid w:val="00F93925"/>
    <w:rsid w:val="00FA0CCE"/>
    <w:rsid w:val="00FA1CB6"/>
    <w:rsid w:val="00FC216D"/>
    <w:rsid w:val="00FC2A79"/>
    <w:rsid w:val="00FD4652"/>
    <w:rsid w:val="00FE70A9"/>
    <w:rsid w:val="00FE7B95"/>
    <w:rsid w:val="00FF183D"/>
    <w:rsid w:val="00FF64EE"/>
    <w:rsid w:val="062489F4"/>
    <w:rsid w:val="06C5421F"/>
    <w:rsid w:val="078CC676"/>
    <w:rsid w:val="09FCE2E1"/>
    <w:rsid w:val="0C97F83D"/>
    <w:rsid w:val="0F9E6011"/>
    <w:rsid w:val="1111C98B"/>
    <w:rsid w:val="113A3072"/>
    <w:rsid w:val="12CC7619"/>
    <w:rsid w:val="12DAA1D6"/>
    <w:rsid w:val="16750F2D"/>
    <w:rsid w:val="1874A599"/>
    <w:rsid w:val="18B65D46"/>
    <w:rsid w:val="1E18B37A"/>
    <w:rsid w:val="2150543C"/>
    <w:rsid w:val="2C866D0F"/>
    <w:rsid w:val="40C3538B"/>
    <w:rsid w:val="4678F5CF"/>
    <w:rsid w:val="48CE6570"/>
    <w:rsid w:val="4BB2FB9A"/>
    <w:rsid w:val="4BE56468"/>
    <w:rsid w:val="4DA1D693"/>
    <w:rsid w:val="53690AA9"/>
    <w:rsid w:val="54111817"/>
    <w:rsid w:val="573C1F05"/>
    <w:rsid w:val="5B5AF431"/>
    <w:rsid w:val="5DAB6089"/>
    <w:rsid w:val="602E6554"/>
    <w:rsid w:val="60C9D8EE"/>
    <w:rsid w:val="664A9C40"/>
    <w:rsid w:val="6A70BB34"/>
    <w:rsid w:val="78578889"/>
    <w:rsid w:val="79435DF6"/>
    <w:rsid w:val="7B7AA1F1"/>
    <w:rsid w:val="7EC6C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712C"/>
  <w15:chartTrackingRefBased/>
  <w15:docId w15:val="{69AC38BE-B276-4374-AE87-9AF87E97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B8"/>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6E71B8"/>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E71B8"/>
    <w:rPr>
      <w:rFonts w:ascii="Arial" w:eastAsia="Times New Roman" w:hAnsi="Arial" w:cs="Arial"/>
      <w:b/>
      <w:bCs/>
      <w:sz w:val="24"/>
      <w:szCs w:val="20"/>
    </w:rPr>
  </w:style>
  <w:style w:type="character" w:styleId="Hyperlink">
    <w:name w:val="Hyperlink"/>
    <w:rsid w:val="006E71B8"/>
    <w:rPr>
      <w:color w:val="0000FF"/>
      <w:u w:val="single"/>
    </w:rPr>
  </w:style>
  <w:style w:type="paragraph" w:customStyle="1" w:styleId="bodytextpsg">
    <w:name w:val="body text_psg"/>
    <w:basedOn w:val="Normal"/>
    <w:link w:val="bodytextpsgChar"/>
    <w:rsid w:val="006E71B8"/>
    <w:pPr>
      <w:spacing w:before="120" w:after="120"/>
      <w:ind w:firstLine="720"/>
    </w:pPr>
    <w:rPr>
      <w:sz w:val="22"/>
    </w:rPr>
  </w:style>
  <w:style w:type="character" w:customStyle="1" w:styleId="bodytextpsgChar">
    <w:name w:val="body text_psg Char"/>
    <w:link w:val="bodytextpsg"/>
    <w:rsid w:val="006E71B8"/>
    <w:rPr>
      <w:rFonts w:ascii="Times New Roman" w:eastAsia="Times New Roman" w:hAnsi="Times New Roman" w:cs="Times New Roman"/>
      <w:szCs w:val="20"/>
    </w:rPr>
  </w:style>
  <w:style w:type="paragraph" w:styleId="Header">
    <w:name w:val="header"/>
    <w:basedOn w:val="Normal"/>
    <w:link w:val="HeaderChar"/>
    <w:uiPriority w:val="99"/>
    <w:rsid w:val="006E71B8"/>
    <w:pPr>
      <w:tabs>
        <w:tab w:val="center" w:pos="4680"/>
        <w:tab w:val="right" w:pos="9360"/>
      </w:tabs>
    </w:pPr>
  </w:style>
  <w:style w:type="character" w:customStyle="1" w:styleId="HeaderChar">
    <w:name w:val="Header Char"/>
    <w:basedOn w:val="DefaultParagraphFont"/>
    <w:link w:val="Header"/>
    <w:uiPriority w:val="99"/>
    <w:rsid w:val="006E71B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E71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1B8"/>
    <w:rPr>
      <w:rFonts w:ascii="Segoe UI" w:eastAsia="Times New Roman" w:hAnsi="Segoe UI" w:cs="Segoe UI"/>
      <w:sz w:val="18"/>
      <w:szCs w:val="18"/>
    </w:rPr>
  </w:style>
  <w:style w:type="character" w:styleId="CommentReference">
    <w:name w:val="annotation reference"/>
    <w:basedOn w:val="DefaultParagraphFont"/>
    <w:unhideWhenUsed/>
    <w:rsid w:val="00C95C53"/>
    <w:rPr>
      <w:sz w:val="16"/>
      <w:szCs w:val="16"/>
    </w:rPr>
  </w:style>
  <w:style w:type="paragraph" w:styleId="CommentText">
    <w:name w:val="annotation text"/>
    <w:basedOn w:val="Normal"/>
    <w:link w:val="CommentTextChar"/>
    <w:uiPriority w:val="99"/>
    <w:unhideWhenUsed/>
    <w:rsid w:val="00C95C53"/>
  </w:style>
  <w:style w:type="character" w:customStyle="1" w:styleId="CommentTextChar">
    <w:name w:val="Comment Text Char"/>
    <w:basedOn w:val="DefaultParagraphFont"/>
    <w:link w:val="CommentText"/>
    <w:uiPriority w:val="99"/>
    <w:rsid w:val="00C95C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5C53"/>
    <w:rPr>
      <w:b/>
      <w:bCs/>
    </w:rPr>
  </w:style>
  <w:style w:type="character" w:customStyle="1" w:styleId="CommentSubjectChar">
    <w:name w:val="Comment Subject Char"/>
    <w:basedOn w:val="CommentTextChar"/>
    <w:link w:val="CommentSubject"/>
    <w:uiPriority w:val="99"/>
    <w:semiHidden/>
    <w:rsid w:val="00C95C5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727CFF"/>
    <w:rPr>
      <w:color w:val="605E5C"/>
      <w:shd w:val="clear" w:color="auto" w:fill="E1DFDD"/>
    </w:rPr>
  </w:style>
  <w:style w:type="paragraph" w:styleId="Footer">
    <w:name w:val="footer"/>
    <w:basedOn w:val="Normal"/>
    <w:link w:val="FooterChar"/>
    <w:uiPriority w:val="99"/>
    <w:unhideWhenUsed/>
    <w:rsid w:val="00E85591"/>
    <w:pPr>
      <w:tabs>
        <w:tab w:val="center" w:pos="4680"/>
        <w:tab w:val="right" w:pos="9360"/>
      </w:tabs>
    </w:pPr>
  </w:style>
  <w:style w:type="character" w:customStyle="1" w:styleId="FooterChar">
    <w:name w:val="Footer Char"/>
    <w:basedOn w:val="DefaultParagraphFont"/>
    <w:link w:val="Footer"/>
    <w:uiPriority w:val="99"/>
    <w:rsid w:val="00E85591"/>
    <w:rPr>
      <w:rFonts w:ascii="Times New Roman" w:eastAsia="Times New Roman" w:hAnsi="Times New Roman" w:cs="Times New Roman"/>
      <w:sz w:val="20"/>
      <w:szCs w:val="20"/>
    </w:rPr>
  </w:style>
  <w:style w:type="paragraph" w:styleId="Revision">
    <w:name w:val="Revision"/>
    <w:hidden/>
    <w:uiPriority w:val="99"/>
    <w:semiHidden/>
    <w:rsid w:val="00DD7EF8"/>
    <w:pPr>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uiPriority w:val="99"/>
    <w:rsid w:val="00CA5B30"/>
    <w:rPr>
      <w:rFonts w:ascii="Courier New" w:hAnsi="Courier New" w:cs="Courier New"/>
    </w:rPr>
  </w:style>
  <w:style w:type="character" w:customStyle="1" w:styleId="PlainTextChar">
    <w:name w:val="Plain Text Char"/>
    <w:basedOn w:val="DefaultParagraphFont"/>
    <w:link w:val="PlainText"/>
    <w:uiPriority w:val="99"/>
    <w:rsid w:val="00CA5B30"/>
    <w:rPr>
      <w:rFonts w:ascii="Courier New" w:eastAsia="Times New Roman" w:hAnsi="Courier New" w:cs="Courier New"/>
      <w:sz w:val="20"/>
      <w:szCs w:val="20"/>
    </w:rPr>
  </w:style>
  <w:style w:type="paragraph" w:styleId="ListParagraph">
    <w:name w:val="List Paragraph"/>
    <w:aliases w:val="List Paragraph1,List Paragraph11,Sect Header,QuestionNumber,Bullet List,FooterText,cS List Paragraph,CH Bullets (square),3,POCG Table Text,Bulleted List Level 1,DAI 2,3 heading,Call Out Bullets,List-Bullets,Normal Bullet,Bullets,lp1"/>
    <w:basedOn w:val="Normal"/>
    <w:link w:val="ListParagraphChar"/>
    <w:uiPriority w:val="34"/>
    <w:qFormat/>
    <w:rsid w:val="008C58BD"/>
    <w:pPr>
      <w:ind w:left="720"/>
      <w:contextualSpacing/>
    </w:pPr>
  </w:style>
  <w:style w:type="paragraph" w:customStyle="1" w:styleId="Default">
    <w:name w:val="Default"/>
    <w:rsid w:val="00673A2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List Paragraph1 Char,List Paragraph11 Char,Sect Header Char,QuestionNumber Char,Bullet List Char,FooterText Char,cS List Paragraph Char,CH Bullets (square) Char,3 Char,POCG Table Text Char,Bulleted List Level 1 Char,DAI 2 Char"/>
    <w:basedOn w:val="DefaultParagraphFont"/>
    <w:link w:val="ListParagraph"/>
    <w:uiPriority w:val="34"/>
    <w:qFormat/>
    <w:locked/>
    <w:rsid w:val="00F813F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723">
      <w:bodyDiv w:val="1"/>
      <w:marLeft w:val="0"/>
      <w:marRight w:val="0"/>
      <w:marTop w:val="0"/>
      <w:marBottom w:val="0"/>
      <w:divBdr>
        <w:top w:val="none" w:sz="0" w:space="0" w:color="auto"/>
        <w:left w:val="none" w:sz="0" w:space="0" w:color="auto"/>
        <w:bottom w:val="none" w:sz="0" w:space="0" w:color="auto"/>
        <w:right w:val="none" w:sz="0" w:space="0" w:color="auto"/>
      </w:divBdr>
    </w:div>
    <w:div w:id="57613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678f18b-9527-4c5f-84c7-7fcedd3a4a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F0D3802B2A854688572645C39C764F" ma:contentTypeVersion="5" ma:contentTypeDescription="Create a new document." ma:contentTypeScope="" ma:versionID="b6fafabed54005c0b8c3c93f22c66f3c">
  <xsd:schema xmlns:xsd="http://www.w3.org/2001/XMLSchema" xmlns:xs="http://www.w3.org/2001/XMLSchema" xmlns:p="http://schemas.microsoft.com/office/2006/metadata/properties" xmlns:ns2="1678f18b-9527-4c5f-84c7-7fcedd3a4a7a" xmlns:ns3="c291c8b6-0c7a-4bff-b38f-93ee833b2dba" targetNamespace="http://schemas.microsoft.com/office/2006/metadata/properties" ma:root="true" ma:fieldsID="c89e6049398a5343a9c65d48d30558d5" ns2:_="" ns3:_="">
    <xsd:import namespace="1678f18b-9527-4c5f-84c7-7fcedd3a4a7a"/>
    <xsd:import namespace="c291c8b6-0c7a-4bff-b38f-93ee833b2dba"/>
    <xsd:element name="properties">
      <xsd:complexType>
        <xsd:sequence>
          <xsd:element name="documentManagement">
            <xsd:complexType>
              <xsd:all>
                <xsd:element ref="ns2:Category"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8f18b-9527-4c5f-84c7-7fcedd3a4a7a"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Planning"/>
              <xsd:enumeration value="Meeting Agendas/Notes"/>
              <xsd:enumeration value="Deliverables"/>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08F20-63E9-4FA9-8C95-EA8221260EA5}">
  <ds:schemaRefs>
    <ds:schemaRef ds:uri="http://schemas.microsoft.com/office/2006/metadata/properties"/>
    <ds:schemaRef ds:uri="http://schemas.microsoft.com/office/infopath/2007/PartnerControls"/>
    <ds:schemaRef ds:uri="1678f18b-9527-4c5f-84c7-7fcedd3a4a7a"/>
  </ds:schemaRefs>
</ds:datastoreItem>
</file>

<file path=customXml/itemProps2.xml><?xml version="1.0" encoding="utf-8"?>
<ds:datastoreItem xmlns:ds="http://schemas.openxmlformats.org/officeDocument/2006/customXml" ds:itemID="{645B4548-248A-4D36-BBA4-203BB81DD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8f18b-9527-4c5f-84c7-7fcedd3a4a7a"/>
    <ds:schemaRef ds:uri="c291c8b6-0c7a-4bff-b38f-93ee833b2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824A85-6BD9-4C2B-BDF6-04C3A04EC787}">
  <ds:schemaRefs>
    <ds:schemaRef ds:uri="http://schemas.openxmlformats.org/officeDocument/2006/bibliography"/>
  </ds:schemaRefs>
</ds:datastoreItem>
</file>

<file path=customXml/itemProps4.xml><?xml version="1.0" encoding="utf-8"?>
<ds:datastoreItem xmlns:ds="http://schemas.openxmlformats.org/officeDocument/2006/customXml" ds:itemID="{30730401-BF29-4EB7-87FE-387C65B49E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1489</Words>
  <Characters>8488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LeTonya</dc:creator>
  <cp:keywords/>
  <dc:description/>
  <cp:lastModifiedBy>Capezzuto, JonnaLynn</cp:lastModifiedBy>
  <cp:revision>2</cp:revision>
  <dcterms:created xsi:type="dcterms:W3CDTF">2022-08-16T17:18:00Z</dcterms:created>
  <dcterms:modified xsi:type="dcterms:W3CDTF">2022-08-16T17:18:00Z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0x010100B4F0D3802B2A854688572645C39C764F</vt:lpwstr>
  </property>
</Properties>
</file>