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723B" w:rsidRPr="00F203C7" w:rsidP="00BA723B" w14:paraId="2BB20F17" w14:textId="77777777">
      <w:pPr>
        <w:jc w:val="center"/>
        <w:outlineLvl w:val="0"/>
        <w:rPr>
          <w:b/>
          <w:bCs/>
          <w:szCs w:val="24"/>
        </w:rPr>
      </w:pPr>
      <w:r w:rsidRPr="00F203C7">
        <w:rPr>
          <w:b/>
          <w:bCs/>
          <w:szCs w:val="24"/>
        </w:rPr>
        <w:t>SUPPORTING STATEMENT</w:t>
      </w:r>
    </w:p>
    <w:p w:rsidR="00BA723B" w:rsidRPr="00F203C7" w:rsidP="00BA723B" w14:paraId="68F9B0E2" w14:textId="77777777">
      <w:pPr>
        <w:widowControl/>
        <w:jc w:val="center"/>
        <w:rPr>
          <w:b/>
          <w:snapToGrid/>
          <w:szCs w:val="24"/>
        </w:rPr>
      </w:pPr>
      <w:r w:rsidRPr="00F203C7">
        <w:rPr>
          <w:b/>
          <w:snapToGrid/>
          <w:szCs w:val="24"/>
        </w:rPr>
        <w:t xml:space="preserve">FOR THE PAPERWORK REDUCTION ACT SUBMISSION FOR A </w:t>
      </w:r>
      <w:r>
        <w:rPr>
          <w:b/>
          <w:snapToGrid/>
          <w:szCs w:val="24"/>
        </w:rPr>
        <w:t xml:space="preserve">REVISED </w:t>
      </w:r>
      <w:r w:rsidRPr="00F203C7">
        <w:rPr>
          <w:b/>
          <w:snapToGrid/>
          <w:szCs w:val="24"/>
        </w:rPr>
        <w:t>INFORMATION COLLECTION</w:t>
      </w:r>
    </w:p>
    <w:p w:rsidR="00BA723B" w:rsidRPr="00F203C7" w:rsidP="00BA723B" w14:paraId="4E03AB89" w14:textId="77777777">
      <w:pPr>
        <w:jc w:val="center"/>
        <w:outlineLvl w:val="0"/>
        <w:rPr>
          <w:b/>
          <w:bCs/>
          <w:szCs w:val="24"/>
        </w:rPr>
      </w:pPr>
    </w:p>
    <w:p w:rsidR="00BA723B" w:rsidP="00BA723B" w14:paraId="7DD89403" w14:textId="77777777">
      <w:pPr>
        <w:jc w:val="center"/>
        <w:outlineLvl w:val="0"/>
        <w:rPr>
          <w:b/>
          <w:bCs/>
          <w:szCs w:val="24"/>
        </w:rPr>
      </w:pPr>
      <w:r w:rsidRPr="00F203C7">
        <w:rPr>
          <w:b/>
          <w:bCs/>
          <w:szCs w:val="24"/>
        </w:rPr>
        <w:t>“Joint Standards for Assessing the Diversity Policies and Practices</w:t>
      </w:r>
      <w:r>
        <w:rPr>
          <w:b/>
          <w:bCs/>
          <w:szCs w:val="24"/>
        </w:rPr>
        <w:t xml:space="preserve"> of Entities” </w:t>
      </w:r>
    </w:p>
    <w:p w:rsidR="00BA723B" w:rsidP="00BA723B" w14:paraId="78B330D8" w14:textId="77777777">
      <w:pPr>
        <w:jc w:val="center"/>
        <w:outlineLvl w:val="0"/>
        <w:rPr>
          <w:b/>
          <w:bCs/>
          <w:szCs w:val="24"/>
        </w:rPr>
      </w:pPr>
      <w:r>
        <w:rPr>
          <w:b/>
          <w:bCs/>
          <w:szCs w:val="24"/>
        </w:rPr>
        <w:t>OMB Control No. 3235-0740</w:t>
      </w:r>
    </w:p>
    <w:p w:rsidR="00BA723B" w:rsidP="00BA723B" w14:paraId="0D65D51E" w14:textId="77777777">
      <w:pPr>
        <w:outlineLvl w:val="0"/>
        <w:rPr>
          <w:b/>
          <w:bCs/>
          <w:szCs w:val="24"/>
        </w:rPr>
      </w:pPr>
    </w:p>
    <w:p w:rsidR="00BA723B" w:rsidP="00BA723B" w14:paraId="16ADA31D" w14:textId="77777777">
      <w:pPr>
        <w:outlineLvl w:val="0"/>
        <w:rPr>
          <w:b/>
          <w:bCs/>
          <w:szCs w:val="24"/>
        </w:rPr>
      </w:pPr>
      <w:r>
        <w:rPr>
          <w:b/>
          <w:bCs/>
          <w:szCs w:val="24"/>
        </w:rPr>
        <w:t>A.</w:t>
      </w:r>
      <w:r>
        <w:rPr>
          <w:b/>
          <w:bCs/>
          <w:szCs w:val="24"/>
        </w:rPr>
        <w:tab/>
        <w:t xml:space="preserve">JUSTIFICATION </w:t>
      </w:r>
    </w:p>
    <w:p w:rsidR="00BA723B" w:rsidP="00BA723B" w14:paraId="1E574064" w14:textId="77777777">
      <w:pPr>
        <w:outlineLvl w:val="0"/>
        <w:rPr>
          <w:b/>
          <w:bCs/>
          <w:szCs w:val="24"/>
        </w:rPr>
      </w:pPr>
    </w:p>
    <w:p w:rsidR="00BA723B" w:rsidP="00BA723B" w14:paraId="144E004B" w14:textId="77777777">
      <w:pPr>
        <w:outlineLvl w:val="0"/>
        <w:rPr>
          <w:b/>
          <w:bCs/>
          <w:szCs w:val="24"/>
        </w:rPr>
      </w:pPr>
      <w:r>
        <w:rPr>
          <w:b/>
          <w:bCs/>
          <w:szCs w:val="24"/>
        </w:rPr>
        <w:tab/>
        <w:t>1.</w:t>
      </w:r>
      <w:r>
        <w:rPr>
          <w:b/>
          <w:bCs/>
          <w:szCs w:val="24"/>
        </w:rPr>
        <w:tab/>
      </w:r>
      <w:r w:rsidR="001D2427">
        <w:rPr>
          <w:b/>
          <w:bCs/>
          <w:szCs w:val="24"/>
        </w:rPr>
        <w:t xml:space="preserve">Necessity for the Information Collection </w:t>
      </w:r>
      <w:r>
        <w:rPr>
          <w:b/>
          <w:bCs/>
          <w:szCs w:val="24"/>
        </w:rPr>
        <w:t xml:space="preserve"> </w:t>
      </w:r>
    </w:p>
    <w:p w:rsidR="00BA723B" w:rsidP="00BA723B" w14:paraId="0F6DE70F" w14:textId="77777777">
      <w:pPr>
        <w:outlineLvl w:val="0"/>
        <w:rPr>
          <w:b/>
          <w:bCs/>
          <w:szCs w:val="24"/>
        </w:rPr>
      </w:pPr>
    </w:p>
    <w:p w:rsidR="00BA723B" w:rsidP="00BA723B" w14:paraId="0645EB91" w14:textId="4A48CDD8">
      <w:pPr>
        <w:widowControl/>
        <w:ind w:left="1440"/>
        <w:rPr>
          <w:szCs w:val="24"/>
        </w:rPr>
      </w:pPr>
      <w:r>
        <w:t>S</w:t>
      </w:r>
      <w:r w:rsidRPr="001952BD">
        <w:t>ection 342 of the Dodd-Frank Wall Street Reform and Consumer Protection Act of 2010 (Act) required the</w:t>
      </w:r>
      <w:r w:rsidRPr="001C3800">
        <w:t xml:space="preserve"> </w:t>
      </w:r>
      <w:r w:rsidRPr="001952BD">
        <w:t>Securities and Exchange Commission (SEC</w:t>
      </w:r>
      <w:r w:rsidR="001431DE">
        <w:t xml:space="preserve"> or agency</w:t>
      </w:r>
      <w:r w:rsidRPr="001952BD">
        <w:t>)</w:t>
      </w:r>
      <w:r>
        <w:t>,</w:t>
      </w:r>
      <w:r w:rsidRPr="001952BD">
        <w:t xml:space="preserve"> Office of the Comptroller of the Currency, Board of Governors of the Federal Reserve System, Federal Deposit Insurance Corporation, Bureau of Consumer Financial Protection</w:t>
      </w:r>
      <w:r>
        <w:t>, and the National Credit Union Administration</w:t>
      </w:r>
      <w:r w:rsidRPr="001952BD">
        <w:t xml:space="preserve"> (</w:t>
      </w:r>
      <w:r w:rsidR="00287534">
        <w:t>collectively, Agencies</w:t>
      </w:r>
      <w:r w:rsidRPr="001952BD">
        <w:t>) each to establish an Office of Minority and Women Inclusion (OMWI) to be responsible for all matters of the Agency relating to diversity in management, employment, and business activities. The Act also instructed each OMWI Director to develop standards for assessing the diversity policies and practices of entities regulated by the Agency. The Agencies worked together to develop joint standards</w:t>
      </w:r>
      <w:r>
        <w:t xml:space="preserve"> </w:t>
      </w:r>
      <w:r>
        <w:rPr>
          <w:szCs w:val="24"/>
        </w:rPr>
        <w:t>(Joint Standards</w:t>
      </w:r>
      <w:r>
        <w:rPr>
          <w:szCs w:val="24"/>
        </w:rPr>
        <w:t>)</w:t>
      </w:r>
      <w:r w:rsidRPr="001952BD">
        <w:rPr>
          <w:szCs w:val="24"/>
        </w:rPr>
        <w:t xml:space="preserve"> and, on June 10, 2015, they jointly published in the Federal Register</w:t>
      </w:r>
      <w:r w:rsidRPr="001952BD">
        <w:rPr>
          <w:szCs w:val="24"/>
          <w:vertAlign w:val="superscript"/>
        </w:rPr>
        <w:t xml:space="preserve"> </w:t>
      </w:r>
      <w:r w:rsidRPr="001952BD">
        <w:rPr>
          <w:szCs w:val="24"/>
        </w:rPr>
        <w:t>the “Final Interagency Policy Statement Establishing Joint Standards for Assessing the Diversity Policies and Practices of Entities Regulated by the Agencies</w:t>
      </w:r>
      <w:r>
        <w:rPr>
          <w:szCs w:val="24"/>
        </w:rPr>
        <w:t>” (Policy Statement).</w:t>
      </w:r>
      <w:r>
        <w:rPr>
          <w:rStyle w:val="FootnoteReference"/>
          <w:szCs w:val="24"/>
        </w:rPr>
        <w:footnoteReference w:id="2"/>
      </w:r>
      <w:r w:rsidRPr="001952BD">
        <w:rPr>
          <w:szCs w:val="24"/>
        </w:rPr>
        <w:t xml:space="preserve"> </w:t>
      </w:r>
    </w:p>
    <w:p w:rsidR="00BA723B" w:rsidP="00BA723B" w14:paraId="436AC73B" w14:textId="77777777">
      <w:pPr>
        <w:widowControl/>
        <w:ind w:left="1440"/>
        <w:rPr>
          <w:szCs w:val="24"/>
        </w:rPr>
      </w:pPr>
    </w:p>
    <w:p w:rsidR="00BA723B" w:rsidP="00BA723B" w14:paraId="726A0D0E" w14:textId="5050BCD6">
      <w:pPr>
        <w:autoSpaceDE w:val="0"/>
        <w:autoSpaceDN w:val="0"/>
        <w:adjustRightInd w:val="0"/>
        <w:ind w:left="1440"/>
        <w:rPr>
          <w:szCs w:val="24"/>
        </w:rPr>
      </w:pPr>
      <w:r w:rsidRPr="00F203C7">
        <w:rPr>
          <w:szCs w:val="24"/>
        </w:rPr>
        <w:t xml:space="preserve">The </w:t>
      </w:r>
      <w:r>
        <w:rPr>
          <w:szCs w:val="24"/>
        </w:rPr>
        <w:t xml:space="preserve">Policy Statement </w:t>
      </w:r>
      <w:r w:rsidR="00816D06">
        <w:rPr>
          <w:szCs w:val="24"/>
        </w:rPr>
        <w:t xml:space="preserve">contains </w:t>
      </w:r>
      <w:r>
        <w:rPr>
          <w:szCs w:val="24"/>
        </w:rPr>
        <w:t xml:space="preserve">a “collection of information” within </w:t>
      </w:r>
      <w:r w:rsidRPr="00F203C7">
        <w:rPr>
          <w:szCs w:val="24"/>
        </w:rPr>
        <w:t>the</w:t>
      </w:r>
      <w:r>
        <w:rPr>
          <w:szCs w:val="24"/>
        </w:rPr>
        <w:t xml:space="preserve"> meaning of the </w:t>
      </w:r>
      <w:r w:rsidRPr="00F203C7">
        <w:rPr>
          <w:szCs w:val="24"/>
        </w:rPr>
        <w:t xml:space="preserve">Paperwork Reduction Act of 1995 (PRA). </w:t>
      </w:r>
      <w:r>
        <w:rPr>
          <w:szCs w:val="24"/>
        </w:rPr>
        <w:t xml:space="preserve">The Policy Statement includes </w:t>
      </w:r>
      <w:r w:rsidRPr="00F203C7">
        <w:rPr>
          <w:szCs w:val="24"/>
        </w:rPr>
        <w:t>Joint Standards that cover “</w:t>
      </w:r>
      <w:r w:rsidRPr="00F203C7">
        <w:rPr>
          <w:bCs/>
          <w:szCs w:val="24"/>
        </w:rPr>
        <w:t>Practices to Promote Transparency of Organizational Diversity and Inclusion</w:t>
      </w:r>
      <w:r>
        <w:rPr>
          <w:bCs/>
          <w:szCs w:val="24"/>
        </w:rPr>
        <w:t>.</w:t>
      </w:r>
      <w:r w:rsidRPr="00F203C7">
        <w:rPr>
          <w:bCs/>
          <w:szCs w:val="24"/>
        </w:rPr>
        <w:t>”</w:t>
      </w:r>
      <w:r>
        <w:rPr>
          <w:bCs/>
          <w:szCs w:val="24"/>
        </w:rPr>
        <w:t xml:space="preserve"> These Joint Standards </w:t>
      </w:r>
      <w:r w:rsidRPr="00F203C7">
        <w:rPr>
          <w:szCs w:val="24"/>
        </w:rPr>
        <w:t>contemplate that a regulated entity</w:t>
      </w:r>
      <w:r>
        <w:rPr>
          <w:szCs w:val="24"/>
        </w:rPr>
        <w:t>,</w:t>
      </w:r>
      <w:r w:rsidRPr="00F203C7">
        <w:rPr>
          <w:szCs w:val="24"/>
        </w:rPr>
        <w:t xml:space="preserve"> in a manner reflective of the entity’s size and other characteristics</w:t>
      </w:r>
      <w:r>
        <w:rPr>
          <w:szCs w:val="24"/>
        </w:rPr>
        <w:t>,</w:t>
      </w:r>
      <w:r w:rsidRPr="00F203C7">
        <w:rPr>
          <w:szCs w:val="24"/>
        </w:rPr>
        <w:t xml:space="preserve"> mak</w:t>
      </w:r>
      <w:r>
        <w:rPr>
          <w:szCs w:val="24"/>
        </w:rPr>
        <w:t>es</w:t>
      </w:r>
      <w:r w:rsidRPr="00F203C7">
        <w:rPr>
          <w:szCs w:val="24"/>
        </w:rPr>
        <w:t xml:space="preserve"> certain information available to the public annually on its </w:t>
      </w:r>
      <w:r>
        <w:rPr>
          <w:szCs w:val="24"/>
        </w:rPr>
        <w:t>w</w:t>
      </w:r>
      <w:r w:rsidRPr="00F203C7">
        <w:rPr>
          <w:szCs w:val="24"/>
        </w:rPr>
        <w:t>ebsite or through other appropriate communication methods</w:t>
      </w:r>
      <w:r>
        <w:rPr>
          <w:szCs w:val="24"/>
        </w:rPr>
        <w:t xml:space="preserve">. </w:t>
      </w:r>
      <w:r w:rsidRPr="00F203C7">
        <w:rPr>
          <w:szCs w:val="24"/>
        </w:rPr>
        <w:t>The specific information referenced in these standards is</w:t>
      </w:r>
      <w:r>
        <w:rPr>
          <w:szCs w:val="24"/>
        </w:rPr>
        <w:t>:</w:t>
      </w:r>
      <w:r w:rsidRPr="00F203C7">
        <w:rPr>
          <w:szCs w:val="24"/>
        </w:rPr>
        <w:t xml:space="preserve"> (a) the entity’s diversity and inclusion strategic plan; (b) its policy on its commitment to diversity and inclusion; (c) its progress toward achieving diversity and inclusion in its workforce and procurement activities (which may include the entity’s current workforce and supplier diversity demographic profiles); and (d) opportunities available at the entity that promote diversity.  </w:t>
      </w:r>
    </w:p>
    <w:p w:rsidR="00BA723B" w:rsidP="00BA723B" w14:paraId="6983BE21" w14:textId="77777777">
      <w:pPr>
        <w:autoSpaceDE w:val="0"/>
        <w:autoSpaceDN w:val="0"/>
        <w:adjustRightInd w:val="0"/>
        <w:ind w:left="1440"/>
        <w:rPr>
          <w:szCs w:val="24"/>
        </w:rPr>
      </w:pPr>
    </w:p>
    <w:p w:rsidR="00BA723B" w:rsidRPr="00BA723B" w:rsidP="00BA723B" w14:paraId="7E21F57D" w14:textId="7E8B927A">
      <w:pPr>
        <w:autoSpaceDE w:val="0"/>
        <w:autoSpaceDN w:val="0"/>
        <w:adjustRightInd w:val="0"/>
        <w:ind w:left="1440"/>
        <w:rPr>
          <w:szCs w:val="24"/>
        </w:rPr>
      </w:pPr>
      <w:r w:rsidRPr="00BA723B">
        <w:rPr>
          <w:szCs w:val="24"/>
        </w:rPr>
        <w:t>In addition, the Policy Statement includes Joint Standards that address “Entities’ Self-Assessment.</w:t>
      </w:r>
      <w:r w:rsidR="00816D06">
        <w:rPr>
          <w:szCs w:val="24"/>
        </w:rPr>
        <w:t>”</w:t>
      </w:r>
      <w:r w:rsidRPr="00BA723B">
        <w:rPr>
          <w:szCs w:val="24"/>
        </w:rPr>
        <w:t xml:space="preserve"> The Joint Standards for Entities Self-Assessment envision that a regulated entity, in a manner reflective of the entity’s size and other characteristics: (a) conducts a voluntary self-assessment of its diversity policies and practices annually; (b) monitors and evaluates its performance under its </w:t>
      </w:r>
      <w:r w:rsidRPr="00BA723B">
        <w:rPr>
          <w:szCs w:val="24"/>
        </w:rPr>
        <w:t xml:space="preserve">diversity policies and practices on an ongoing basis; (c) provides information pertaining to its self-assessment to the OMWI Director of its primary federal financial regulator; and (d) publishes information pertaining to its efforts with respect to the Joint Standards.  </w:t>
      </w:r>
    </w:p>
    <w:p w:rsidR="00BA723B" w:rsidP="00BA723B" w14:paraId="77D3C620" w14:textId="77777777">
      <w:pPr>
        <w:autoSpaceDE w:val="0"/>
        <w:autoSpaceDN w:val="0"/>
        <w:adjustRightInd w:val="0"/>
        <w:ind w:left="1440"/>
        <w:rPr>
          <w:szCs w:val="24"/>
        </w:rPr>
      </w:pPr>
    </w:p>
    <w:p w:rsidR="00BA723B" w:rsidP="00BA723B" w14:paraId="1264B470" w14:textId="13305531">
      <w:pPr>
        <w:autoSpaceDE w:val="0"/>
        <w:autoSpaceDN w:val="0"/>
        <w:adjustRightInd w:val="0"/>
        <w:ind w:left="1440"/>
        <w:rPr>
          <w:szCs w:val="24"/>
        </w:rPr>
      </w:pPr>
      <w:r w:rsidRPr="00BA723B">
        <w:rPr>
          <w:szCs w:val="24"/>
        </w:rPr>
        <w:t xml:space="preserve">To facilitate the collection of information described in the Joint Standards for “Entities’ Self-Assessment,” the SEC provides a form titled “Diversity Assessment Report for Entities Regulated by the SEC” (Diversity Assessment Report).  </w:t>
      </w:r>
    </w:p>
    <w:p w:rsidR="004F443E" w:rsidP="00BA723B" w14:paraId="3C6AD513" w14:textId="77777777">
      <w:pPr>
        <w:autoSpaceDE w:val="0"/>
        <w:autoSpaceDN w:val="0"/>
        <w:adjustRightInd w:val="0"/>
        <w:ind w:left="1440"/>
        <w:rPr>
          <w:szCs w:val="24"/>
        </w:rPr>
      </w:pPr>
    </w:p>
    <w:p w:rsidR="004F443E" w:rsidP="00BA723B" w14:paraId="697D1011" w14:textId="553B3E77">
      <w:pPr>
        <w:autoSpaceDE w:val="0"/>
        <w:autoSpaceDN w:val="0"/>
        <w:adjustRightInd w:val="0"/>
        <w:ind w:left="1440"/>
        <w:rPr>
          <w:szCs w:val="24"/>
        </w:rPr>
      </w:pPr>
      <w:r>
        <w:rPr>
          <w:szCs w:val="24"/>
        </w:rPr>
        <w:t>The SEC proposes to amend the Diversity Assessment Report to</w:t>
      </w:r>
      <w:r w:rsidR="00F704D4">
        <w:rPr>
          <w:szCs w:val="24"/>
        </w:rPr>
        <w:t xml:space="preserve">: </w:t>
      </w:r>
      <w:r w:rsidR="00EC370D">
        <w:rPr>
          <w:szCs w:val="24"/>
        </w:rPr>
        <w:t>(a</w:t>
      </w:r>
      <w:r w:rsidRPr="004D0CA1" w:rsidR="00EC370D">
        <w:rPr>
          <w:szCs w:val="24"/>
        </w:rPr>
        <w:t xml:space="preserve">) change the name of the information collection from the “Diversity Assessment Report” to the “Diversity Self-Assessment Tool”; </w:t>
      </w:r>
      <w:r w:rsidR="00EC370D">
        <w:rPr>
          <w:szCs w:val="24"/>
        </w:rPr>
        <w:t>(b</w:t>
      </w:r>
      <w:r w:rsidRPr="004D0CA1" w:rsidR="00EC370D">
        <w:rPr>
          <w:szCs w:val="24"/>
        </w:rPr>
        <w:t xml:space="preserve">) allow firms to consent to allowing the SEC to publish the name of consenting firms having submitted a Diversity Self-Assessment Tool; </w:t>
      </w:r>
      <w:r w:rsidR="00EC370D">
        <w:rPr>
          <w:szCs w:val="24"/>
        </w:rPr>
        <w:t>(c</w:t>
      </w:r>
      <w:r w:rsidRPr="004D0CA1" w:rsidR="00EC370D">
        <w:rPr>
          <w:szCs w:val="24"/>
        </w:rPr>
        <w:t xml:space="preserve">) shorten the Diversity Self-Assessment Tool by combining and removing some items; </w:t>
      </w:r>
      <w:r w:rsidR="00EC370D">
        <w:rPr>
          <w:szCs w:val="24"/>
        </w:rPr>
        <w:t>(d</w:t>
      </w:r>
      <w:r w:rsidRPr="004D0CA1" w:rsidR="00EC370D">
        <w:rPr>
          <w:szCs w:val="24"/>
        </w:rPr>
        <w:t xml:space="preserve">) add clarifying language to items; and </w:t>
      </w:r>
      <w:r w:rsidR="00EC370D">
        <w:rPr>
          <w:szCs w:val="24"/>
        </w:rPr>
        <w:t>(e</w:t>
      </w:r>
      <w:r w:rsidRPr="004D0CA1" w:rsidR="00EC370D">
        <w:rPr>
          <w:szCs w:val="24"/>
        </w:rPr>
        <w:t>) shorten items for brevity.</w:t>
      </w:r>
    </w:p>
    <w:p w:rsidR="00F704D4" w:rsidP="00F704D4" w14:paraId="5CDD0204" w14:textId="77777777">
      <w:pPr>
        <w:autoSpaceDE w:val="0"/>
        <w:autoSpaceDN w:val="0"/>
        <w:adjustRightInd w:val="0"/>
        <w:rPr>
          <w:szCs w:val="24"/>
        </w:rPr>
      </w:pPr>
    </w:p>
    <w:p w:rsidR="00BA723B" w:rsidP="00D74282" w14:paraId="25A34173" w14:textId="77777777">
      <w:pPr>
        <w:autoSpaceDE w:val="0"/>
        <w:autoSpaceDN w:val="0"/>
        <w:adjustRightInd w:val="0"/>
        <w:ind w:left="720"/>
        <w:rPr>
          <w:b/>
          <w:szCs w:val="24"/>
        </w:rPr>
      </w:pPr>
      <w:r>
        <w:rPr>
          <w:b/>
          <w:szCs w:val="24"/>
        </w:rPr>
        <w:t>2</w:t>
      </w:r>
      <w:r w:rsidRPr="00D74282" w:rsidR="00D74282">
        <w:rPr>
          <w:b/>
          <w:szCs w:val="24"/>
        </w:rPr>
        <w:t>.</w:t>
      </w:r>
      <w:r w:rsidR="00D74282">
        <w:rPr>
          <w:szCs w:val="24"/>
        </w:rPr>
        <w:tab/>
      </w:r>
      <w:r>
        <w:rPr>
          <w:b/>
          <w:szCs w:val="24"/>
        </w:rPr>
        <w:t xml:space="preserve">Purpose and </w:t>
      </w:r>
      <w:r>
        <w:rPr>
          <w:b/>
          <w:szCs w:val="24"/>
        </w:rPr>
        <w:t>Use of the Information Collected</w:t>
      </w:r>
    </w:p>
    <w:p w:rsidR="00BA723B" w:rsidP="00BA723B" w14:paraId="0312B099" w14:textId="77777777">
      <w:pPr>
        <w:autoSpaceDE w:val="0"/>
        <w:autoSpaceDN w:val="0"/>
        <w:adjustRightInd w:val="0"/>
        <w:rPr>
          <w:b/>
          <w:szCs w:val="24"/>
        </w:rPr>
      </w:pPr>
    </w:p>
    <w:p w:rsidR="00BA723B" w:rsidP="00BA723B" w14:paraId="7F0D8C8F" w14:textId="7E9C1C15">
      <w:pPr>
        <w:ind w:left="1440"/>
        <w:rPr>
          <w:szCs w:val="24"/>
        </w:rPr>
      </w:pPr>
      <w:r w:rsidRPr="00F203C7">
        <w:rPr>
          <w:szCs w:val="24"/>
        </w:rPr>
        <w:t xml:space="preserve">The </w:t>
      </w:r>
      <w:r>
        <w:rPr>
          <w:szCs w:val="24"/>
        </w:rPr>
        <w:t>SEC</w:t>
      </w:r>
      <w:r w:rsidRPr="00F203C7">
        <w:rPr>
          <w:szCs w:val="24"/>
        </w:rPr>
        <w:t xml:space="preserve"> will use the information </w:t>
      </w:r>
      <w:r>
        <w:rPr>
          <w:szCs w:val="24"/>
        </w:rPr>
        <w:t xml:space="preserve">collected to monitor progress and trends in the financial services industry with regard to diversity and inclusion in employment and contracting activities, as well as </w:t>
      </w:r>
      <w:r w:rsidRPr="00F203C7">
        <w:rPr>
          <w:szCs w:val="24"/>
        </w:rPr>
        <w:t>to identify and highlight those policies and practices that have been successful.</w:t>
      </w:r>
      <w:r>
        <w:rPr>
          <w:szCs w:val="24"/>
        </w:rPr>
        <w:t xml:space="preserve"> T</w:t>
      </w:r>
      <w:r w:rsidRPr="00F203C7">
        <w:rPr>
          <w:szCs w:val="24"/>
        </w:rPr>
        <w:t xml:space="preserve">he </w:t>
      </w:r>
      <w:r>
        <w:rPr>
          <w:szCs w:val="24"/>
        </w:rPr>
        <w:t xml:space="preserve">SEC </w:t>
      </w:r>
      <w:r w:rsidRPr="00F203C7">
        <w:rPr>
          <w:szCs w:val="24"/>
        </w:rPr>
        <w:t xml:space="preserve">may publish </w:t>
      </w:r>
      <w:r>
        <w:rPr>
          <w:szCs w:val="24"/>
        </w:rPr>
        <w:t>i</w:t>
      </w:r>
      <w:r w:rsidRPr="00F203C7">
        <w:rPr>
          <w:szCs w:val="24"/>
        </w:rPr>
        <w:t xml:space="preserve">nformation disclosed </w:t>
      </w:r>
      <w:r>
        <w:rPr>
          <w:szCs w:val="24"/>
        </w:rPr>
        <w:t xml:space="preserve">to the agency, </w:t>
      </w:r>
      <w:r w:rsidRPr="00F203C7">
        <w:rPr>
          <w:szCs w:val="24"/>
        </w:rPr>
        <w:t>such as best practices,</w:t>
      </w:r>
      <w:r>
        <w:rPr>
          <w:szCs w:val="24"/>
        </w:rPr>
        <w:t xml:space="preserve"> i</w:t>
      </w:r>
      <w:r w:rsidRPr="00F203C7">
        <w:rPr>
          <w:szCs w:val="24"/>
        </w:rPr>
        <w:t>n a</w:t>
      </w:r>
      <w:r>
        <w:rPr>
          <w:szCs w:val="24"/>
        </w:rPr>
        <w:t>ny</w:t>
      </w:r>
      <w:r w:rsidRPr="00F203C7">
        <w:rPr>
          <w:szCs w:val="24"/>
        </w:rPr>
        <w:t xml:space="preserve"> form that does not identify a particular entity or disclose confidential business information. </w:t>
      </w:r>
      <w:r>
        <w:rPr>
          <w:szCs w:val="24"/>
        </w:rPr>
        <w:t>The agency will not generalize findings when presenting results of this collection beyond the particular entities submitting information. Further, t</w:t>
      </w:r>
      <w:r w:rsidRPr="00F203C7">
        <w:rPr>
          <w:szCs w:val="24"/>
        </w:rPr>
        <w:t xml:space="preserve">he </w:t>
      </w:r>
      <w:r>
        <w:rPr>
          <w:szCs w:val="24"/>
        </w:rPr>
        <w:t>SEC</w:t>
      </w:r>
      <w:r w:rsidRPr="00F203C7">
        <w:rPr>
          <w:szCs w:val="24"/>
        </w:rPr>
        <w:t xml:space="preserve"> </w:t>
      </w:r>
      <w:r>
        <w:rPr>
          <w:szCs w:val="24"/>
        </w:rPr>
        <w:t>may</w:t>
      </w:r>
      <w:r w:rsidR="00287534">
        <w:rPr>
          <w:szCs w:val="24"/>
        </w:rPr>
        <w:t xml:space="preserve"> share information with the A</w:t>
      </w:r>
      <w:r w:rsidRPr="00F203C7">
        <w:rPr>
          <w:spacing w:val="-1"/>
          <w:szCs w:val="24"/>
        </w:rPr>
        <w:t>gencies,</w:t>
      </w:r>
      <w:r>
        <w:rPr>
          <w:spacing w:val="-1"/>
          <w:szCs w:val="24"/>
        </w:rPr>
        <w:t xml:space="preserve"> </w:t>
      </w:r>
      <w:r w:rsidRPr="00F203C7">
        <w:rPr>
          <w:szCs w:val="24"/>
        </w:rPr>
        <w:t>when appropriate</w:t>
      </w:r>
      <w:r>
        <w:rPr>
          <w:szCs w:val="24"/>
        </w:rPr>
        <w:t>,</w:t>
      </w:r>
      <w:r w:rsidRPr="00F203C7">
        <w:rPr>
          <w:szCs w:val="24"/>
        </w:rPr>
        <w:t xml:space="preserve"> to support coordination of efforts and to avoid duplication</w:t>
      </w:r>
      <w:r>
        <w:rPr>
          <w:szCs w:val="24"/>
        </w:rPr>
        <w:t xml:space="preserve">.  </w:t>
      </w:r>
    </w:p>
    <w:p w:rsidR="00BA723B" w:rsidP="00BA723B" w14:paraId="45D645E2" w14:textId="77777777">
      <w:pPr>
        <w:autoSpaceDE w:val="0"/>
        <w:autoSpaceDN w:val="0"/>
        <w:adjustRightInd w:val="0"/>
        <w:rPr>
          <w:b/>
          <w:szCs w:val="24"/>
        </w:rPr>
      </w:pPr>
    </w:p>
    <w:p w:rsidR="00BA723B" w:rsidP="00BA723B" w14:paraId="4843CA4A" w14:textId="77777777">
      <w:pPr>
        <w:autoSpaceDE w:val="0"/>
        <w:autoSpaceDN w:val="0"/>
        <w:adjustRightInd w:val="0"/>
        <w:rPr>
          <w:b/>
          <w:szCs w:val="24"/>
        </w:rPr>
      </w:pPr>
      <w:r>
        <w:rPr>
          <w:b/>
          <w:szCs w:val="24"/>
        </w:rPr>
        <w:tab/>
        <w:t>3.</w:t>
      </w:r>
      <w:r>
        <w:rPr>
          <w:b/>
          <w:szCs w:val="24"/>
        </w:rPr>
        <w:tab/>
        <w:t>Consideration Given to Information Technology</w:t>
      </w:r>
    </w:p>
    <w:p w:rsidR="00BA723B" w:rsidP="00BA723B" w14:paraId="6BB454E4" w14:textId="77777777">
      <w:pPr>
        <w:autoSpaceDE w:val="0"/>
        <w:autoSpaceDN w:val="0"/>
        <w:adjustRightInd w:val="0"/>
        <w:rPr>
          <w:b/>
          <w:szCs w:val="24"/>
        </w:rPr>
      </w:pPr>
    </w:p>
    <w:p w:rsidR="00BA723B" w:rsidP="00BA723B" w14:paraId="0029B122" w14:textId="77777777">
      <w:pPr>
        <w:autoSpaceDE w:val="0"/>
        <w:autoSpaceDN w:val="0"/>
        <w:adjustRightInd w:val="0"/>
        <w:ind w:left="1440"/>
        <w:rPr>
          <w:szCs w:val="24"/>
        </w:rPr>
      </w:pPr>
      <w:r>
        <w:rPr>
          <w:szCs w:val="24"/>
        </w:rPr>
        <w:t>Any entity may use any available automated, electronic, mechanical or other technological collection technique to submit the requested information to the SEC.</w:t>
      </w:r>
    </w:p>
    <w:p w:rsidR="00BA723B" w:rsidP="00BA723B" w14:paraId="5A7D1408" w14:textId="77777777">
      <w:pPr>
        <w:autoSpaceDE w:val="0"/>
        <w:autoSpaceDN w:val="0"/>
        <w:adjustRightInd w:val="0"/>
        <w:rPr>
          <w:szCs w:val="24"/>
        </w:rPr>
      </w:pPr>
    </w:p>
    <w:p w:rsidR="00BA723B" w:rsidP="00BA723B" w14:paraId="0B7656F8" w14:textId="77777777">
      <w:pPr>
        <w:autoSpaceDE w:val="0"/>
        <w:autoSpaceDN w:val="0"/>
        <w:adjustRightInd w:val="0"/>
        <w:rPr>
          <w:b/>
          <w:szCs w:val="24"/>
        </w:rPr>
      </w:pPr>
      <w:r>
        <w:rPr>
          <w:szCs w:val="24"/>
        </w:rPr>
        <w:tab/>
      </w:r>
      <w:r>
        <w:rPr>
          <w:b/>
          <w:szCs w:val="24"/>
        </w:rPr>
        <w:t>4.</w:t>
      </w:r>
      <w:r>
        <w:rPr>
          <w:b/>
          <w:szCs w:val="24"/>
        </w:rPr>
        <w:tab/>
        <w:t>Duplication of Information</w:t>
      </w:r>
    </w:p>
    <w:p w:rsidR="00BA723B" w:rsidP="00BA723B" w14:paraId="55F324B6" w14:textId="77777777">
      <w:pPr>
        <w:autoSpaceDE w:val="0"/>
        <w:autoSpaceDN w:val="0"/>
        <w:adjustRightInd w:val="0"/>
        <w:rPr>
          <w:b/>
          <w:szCs w:val="24"/>
        </w:rPr>
      </w:pPr>
    </w:p>
    <w:p w:rsidR="00BA723B" w:rsidP="00BA723B" w14:paraId="6BD431EE" w14:textId="45EE3FA0">
      <w:pPr>
        <w:ind w:left="1440"/>
        <w:rPr>
          <w:spacing w:val="-1"/>
          <w:szCs w:val="24"/>
        </w:rPr>
      </w:pPr>
      <w:r>
        <w:rPr>
          <w:spacing w:val="-1"/>
          <w:szCs w:val="24"/>
        </w:rPr>
        <w:t xml:space="preserve">Entities </w:t>
      </w:r>
      <w:r w:rsidRPr="00F203C7">
        <w:rPr>
          <w:spacing w:val="-1"/>
          <w:szCs w:val="24"/>
        </w:rPr>
        <w:t xml:space="preserve">subject to certain recordkeeping and reporting requirements, </w:t>
      </w:r>
      <w:r w:rsidRPr="00F469F0">
        <w:rPr>
          <w:spacing w:val="-1"/>
          <w:szCs w:val="24"/>
        </w:rPr>
        <w:t>such a</w:t>
      </w:r>
      <w:r>
        <w:rPr>
          <w:spacing w:val="-1"/>
          <w:szCs w:val="24"/>
        </w:rPr>
        <w:t xml:space="preserve">s those </w:t>
      </w:r>
      <w:r w:rsidRPr="00F203C7">
        <w:rPr>
          <w:spacing w:val="-1"/>
          <w:szCs w:val="24"/>
        </w:rPr>
        <w:t xml:space="preserve">required by the Equal Employment Opportunity Commission </w:t>
      </w:r>
      <w:r>
        <w:rPr>
          <w:spacing w:val="-1"/>
          <w:szCs w:val="24"/>
        </w:rPr>
        <w:t xml:space="preserve">(EEOC) </w:t>
      </w:r>
      <w:r w:rsidRPr="00F203C7">
        <w:rPr>
          <w:spacing w:val="-1"/>
          <w:szCs w:val="24"/>
        </w:rPr>
        <w:t>and the Office of Federal Contract Compliance Programs</w:t>
      </w:r>
      <w:r>
        <w:rPr>
          <w:spacing w:val="-1"/>
          <w:szCs w:val="24"/>
        </w:rPr>
        <w:t xml:space="preserve"> (OFCCP), </w:t>
      </w:r>
      <w:r w:rsidRPr="00F203C7">
        <w:rPr>
          <w:spacing w:val="-1"/>
          <w:szCs w:val="24"/>
        </w:rPr>
        <w:t>currently collect and maintain data</w:t>
      </w:r>
      <w:r>
        <w:rPr>
          <w:spacing w:val="-1"/>
          <w:szCs w:val="24"/>
        </w:rPr>
        <w:t xml:space="preserve"> and supporting documentation</w:t>
      </w:r>
      <w:r w:rsidRPr="00F203C7">
        <w:rPr>
          <w:spacing w:val="-1"/>
          <w:szCs w:val="24"/>
        </w:rPr>
        <w:t xml:space="preserve"> that may assist in evaluating and assessing their policies and practices related to workforce diversity and inclusion</w:t>
      </w:r>
      <w:r>
        <w:rPr>
          <w:spacing w:val="-1"/>
          <w:szCs w:val="24"/>
        </w:rPr>
        <w:t>.</w:t>
      </w:r>
      <w:r>
        <w:rPr>
          <w:rStyle w:val="FootnoteReference"/>
          <w:spacing w:val="-1"/>
          <w:szCs w:val="24"/>
        </w:rPr>
        <w:footnoteReference w:id="3"/>
      </w:r>
      <w:r>
        <w:rPr>
          <w:spacing w:val="-1"/>
          <w:szCs w:val="24"/>
        </w:rPr>
        <w:t xml:space="preserve">  </w:t>
      </w:r>
      <w:r>
        <w:rPr>
          <w:spacing w:val="-1"/>
          <w:szCs w:val="24"/>
        </w:rPr>
        <w:t>En</w:t>
      </w:r>
      <w:r w:rsidRPr="00F203C7">
        <w:rPr>
          <w:spacing w:val="-1"/>
          <w:szCs w:val="24"/>
        </w:rPr>
        <w:t xml:space="preserve">tities also are encouraged to use other analytical tools that they may find helpful. In addition, the </w:t>
      </w:r>
      <w:r>
        <w:rPr>
          <w:spacing w:val="-1"/>
          <w:szCs w:val="24"/>
        </w:rPr>
        <w:t xml:space="preserve">SEC </w:t>
      </w:r>
      <w:r w:rsidRPr="00F203C7">
        <w:rPr>
          <w:spacing w:val="-1"/>
          <w:szCs w:val="24"/>
        </w:rPr>
        <w:t xml:space="preserve">will share information with other </w:t>
      </w:r>
      <w:r>
        <w:rPr>
          <w:spacing w:val="-1"/>
          <w:szCs w:val="24"/>
        </w:rPr>
        <w:t>A</w:t>
      </w:r>
      <w:r w:rsidRPr="00F203C7">
        <w:rPr>
          <w:spacing w:val="-1"/>
          <w:szCs w:val="24"/>
        </w:rPr>
        <w:t xml:space="preserve">gencies, when appropriate, to support coordination of efforts and to avoid duplication.  </w:t>
      </w:r>
    </w:p>
    <w:p w:rsidR="00BA723B" w:rsidP="00BA723B" w14:paraId="468C732B" w14:textId="77777777">
      <w:pPr>
        <w:ind w:left="1440"/>
        <w:rPr>
          <w:spacing w:val="-1"/>
          <w:szCs w:val="24"/>
        </w:rPr>
      </w:pPr>
    </w:p>
    <w:p w:rsidR="00BA723B" w:rsidP="00BA723B" w14:paraId="152B0E44" w14:textId="77777777">
      <w:pPr>
        <w:ind w:firstLine="720"/>
        <w:rPr>
          <w:b/>
          <w:spacing w:val="-1"/>
          <w:szCs w:val="24"/>
        </w:rPr>
      </w:pPr>
      <w:r>
        <w:rPr>
          <w:b/>
          <w:spacing w:val="-1"/>
          <w:szCs w:val="24"/>
        </w:rPr>
        <w:t>5.</w:t>
      </w:r>
      <w:r>
        <w:rPr>
          <w:b/>
          <w:spacing w:val="-1"/>
          <w:szCs w:val="24"/>
        </w:rPr>
        <w:tab/>
        <w:t>Reducing the Burden on Small Entities</w:t>
      </w:r>
    </w:p>
    <w:p w:rsidR="00BA723B" w:rsidP="00BA723B" w14:paraId="2FCF11C8" w14:textId="77777777">
      <w:pPr>
        <w:ind w:left="1440"/>
        <w:rPr>
          <w:b/>
          <w:spacing w:val="-1"/>
          <w:szCs w:val="24"/>
        </w:rPr>
      </w:pPr>
    </w:p>
    <w:p w:rsidR="00BA723B" w:rsidP="00BA723B" w14:paraId="35E9FFA5" w14:textId="77777777">
      <w:pPr>
        <w:pStyle w:val="BodyText"/>
        <w:widowControl w:val="0"/>
        <w:ind w:left="1440"/>
        <w:rPr>
          <w:rFonts w:ascii="Times New Roman" w:hAnsi="Times New Roman"/>
          <w:spacing w:val="-1"/>
          <w:szCs w:val="24"/>
          <w:u w:val="none"/>
        </w:rPr>
      </w:pPr>
      <w:r w:rsidRPr="00F203C7">
        <w:rPr>
          <w:rFonts w:ascii="Times New Roman" w:hAnsi="Times New Roman"/>
          <w:spacing w:val="-1"/>
          <w:szCs w:val="24"/>
          <w:u w:val="none"/>
        </w:rPr>
        <w:t>When drafting the</w:t>
      </w:r>
      <w:r>
        <w:rPr>
          <w:rFonts w:ascii="Times New Roman" w:hAnsi="Times New Roman"/>
          <w:spacing w:val="-1"/>
          <w:szCs w:val="24"/>
          <w:u w:val="none"/>
        </w:rPr>
        <w:t xml:space="preserve"> Joint Standards</w:t>
      </w:r>
      <w:r w:rsidRPr="00F203C7">
        <w:rPr>
          <w:rFonts w:ascii="Times New Roman" w:hAnsi="Times New Roman"/>
          <w:spacing w:val="-1"/>
          <w:szCs w:val="24"/>
          <w:u w:val="none"/>
        </w:rPr>
        <w:t>, the Agencies focused primarily on institutions with more than 100 employees in an effort to minimize the impact on smaller entities. In addition, in order to make clear how the standards are relevant to</w:t>
      </w:r>
      <w:r>
        <w:rPr>
          <w:rFonts w:ascii="Times New Roman" w:hAnsi="Times New Roman"/>
          <w:spacing w:val="-1"/>
          <w:szCs w:val="24"/>
          <w:u w:val="none"/>
        </w:rPr>
        <w:t>,</w:t>
      </w:r>
      <w:r w:rsidRPr="00F203C7">
        <w:rPr>
          <w:rFonts w:ascii="Times New Roman" w:hAnsi="Times New Roman"/>
          <w:spacing w:val="-1"/>
          <w:szCs w:val="24"/>
          <w:u w:val="none"/>
        </w:rPr>
        <w:t xml:space="preserve"> and may be used by</w:t>
      </w:r>
      <w:r>
        <w:rPr>
          <w:rFonts w:ascii="Times New Roman" w:hAnsi="Times New Roman"/>
          <w:spacing w:val="-1"/>
          <w:szCs w:val="24"/>
          <w:u w:val="none"/>
        </w:rPr>
        <w:t>,</w:t>
      </w:r>
      <w:r w:rsidRPr="00F203C7">
        <w:rPr>
          <w:rFonts w:ascii="Times New Roman" w:hAnsi="Times New Roman"/>
          <w:spacing w:val="-1"/>
          <w:szCs w:val="24"/>
          <w:u w:val="none"/>
        </w:rPr>
        <w:t xml:space="preserve"> small entities, the Policy Statement encourages each entity to use the standards in a manner appropriate to its size and unique characteristics. This also should minimize </w:t>
      </w:r>
      <w:r>
        <w:rPr>
          <w:rFonts w:ascii="Times New Roman" w:hAnsi="Times New Roman"/>
          <w:spacing w:val="-1"/>
          <w:szCs w:val="24"/>
          <w:u w:val="none"/>
        </w:rPr>
        <w:t xml:space="preserve">the </w:t>
      </w:r>
      <w:r w:rsidRPr="00F203C7">
        <w:rPr>
          <w:rFonts w:ascii="Times New Roman" w:hAnsi="Times New Roman"/>
          <w:spacing w:val="-1"/>
          <w:szCs w:val="24"/>
          <w:u w:val="none"/>
        </w:rPr>
        <w:t>burden on smaller institutions</w:t>
      </w:r>
      <w:r w:rsidRPr="00F203C7">
        <w:rPr>
          <w:u w:val="none"/>
        </w:rPr>
        <w:t xml:space="preserve">. </w:t>
      </w:r>
      <w:r w:rsidRPr="00F203C7">
        <w:rPr>
          <w:rFonts w:ascii="Times New Roman" w:hAnsi="Times New Roman"/>
          <w:spacing w:val="-1"/>
          <w:szCs w:val="24"/>
          <w:u w:val="none"/>
        </w:rPr>
        <w:t xml:space="preserve">Finally, </w:t>
      </w:r>
      <w:r>
        <w:rPr>
          <w:rFonts w:ascii="Times New Roman" w:hAnsi="Times New Roman"/>
          <w:spacing w:val="-1"/>
          <w:szCs w:val="24"/>
          <w:u w:val="none"/>
        </w:rPr>
        <w:t xml:space="preserve">we note that </w:t>
      </w:r>
      <w:r w:rsidRPr="00F203C7">
        <w:rPr>
          <w:rFonts w:ascii="Times New Roman" w:hAnsi="Times New Roman"/>
          <w:spacing w:val="-1"/>
          <w:szCs w:val="24"/>
          <w:u w:val="none"/>
        </w:rPr>
        <w:t>the standards are voluntary</w:t>
      </w:r>
      <w:r>
        <w:rPr>
          <w:rFonts w:ascii="Times New Roman" w:hAnsi="Times New Roman"/>
          <w:spacing w:val="-1"/>
          <w:szCs w:val="24"/>
          <w:u w:val="none"/>
        </w:rPr>
        <w:t>.</w:t>
      </w:r>
    </w:p>
    <w:p w:rsidR="00BA723B" w:rsidP="00BA723B" w14:paraId="6D013C8C" w14:textId="77777777">
      <w:pPr>
        <w:pStyle w:val="BodyText"/>
        <w:widowControl w:val="0"/>
        <w:rPr>
          <w:rFonts w:ascii="Times New Roman" w:hAnsi="Times New Roman"/>
          <w:spacing w:val="-1"/>
          <w:szCs w:val="24"/>
          <w:u w:val="none"/>
        </w:rPr>
      </w:pPr>
    </w:p>
    <w:p w:rsidR="00BA723B" w:rsidP="00BA723B" w14:paraId="637CBE5E" w14:textId="77777777">
      <w:pPr>
        <w:pStyle w:val="BodyText"/>
        <w:widowControl w:val="0"/>
        <w:rPr>
          <w:rFonts w:ascii="Times New Roman" w:hAnsi="Times New Roman"/>
          <w:b/>
          <w:spacing w:val="-1"/>
          <w:szCs w:val="24"/>
          <w:u w:val="none"/>
        </w:rPr>
      </w:pPr>
      <w:r>
        <w:rPr>
          <w:rFonts w:ascii="Times New Roman" w:hAnsi="Times New Roman"/>
          <w:spacing w:val="-1"/>
          <w:szCs w:val="24"/>
          <w:u w:val="none"/>
        </w:rPr>
        <w:tab/>
      </w:r>
      <w:r>
        <w:rPr>
          <w:rFonts w:ascii="Times New Roman" w:hAnsi="Times New Roman"/>
          <w:b/>
          <w:spacing w:val="-1"/>
          <w:szCs w:val="24"/>
          <w:u w:val="none"/>
        </w:rPr>
        <w:t>6.</w:t>
      </w:r>
      <w:r>
        <w:rPr>
          <w:rFonts w:ascii="Times New Roman" w:hAnsi="Times New Roman"/>
          <w:b/>
          <w:spacing w:val="-1"/>
          <w:szCs w:val="24"/>
          <w:u w:val="none"/>
        </w:rPr>
        <w:tab/>
        <w:t>Consequences of Not Conducting Collection</w:t>
      </w:r>
    </w:p>
    <w:p w:rsidR="00BA723B" w:rsidP="00BA723B" w14:paraId="43A01190" w14:textId="77777777">
      <w:pPr>
        <w:pStyle w:val="BodyText"/>
        <w:widowControl w:val="0"/>
        <w:rPr>
          <w:rFonts w:ascii="Times New Roman" w:hAnsi="Times New Roman"/>
          <w:b/>
          <w:spacing w:val="-1"/>
          <w:szCs w:val="24"/>
          <w:u w:val="none"/>
        </w:rPr>
      </w:pPr>
    </w:p>
    <w:p w:rsidR="00BA723B" w:rsidP="00BA723B" w14:paraId="6ECE8CFD" w14:textId="37D2FA60">
      <w:pPr>
        <w:pStyle w:val="BodyText"/>
        <w:widowControl w:val="0"/>
        <w:tabs>
          <w:tab w:val="left" w:pos="340"/>
          <w:tab w:val="left" w:pos="630"/>
        </w:tabs>
        <w:ind w:left="1440"/>
        <w:rPr>
          <w:rFonts w:ascii="Times New Roman" w:hAnsi="Times New Roman"/>
          <w:szCs w:val="24"/>
          <w:u w:val="none"/>
        </w:rPr>
      </w:pPr>
      <w:r>
        <w:rPr>
          <w:rFonts w:ascii="Times New Roman" w:hAnsi="Times New Roman"/>
          <w:szCs w:val="24"/>
          <w:u w:val="none"/>
        </w:rPr>
        <w:t xml:space="preserve">If the information </w:t>
      </w:r>
      <w:r w:rsidRPr="00F203C7">
        <w:rPr>
          <w:rFonts w:ascii="Times New Roman" w:hAnsi="Times New Roman"/>
          <w:szCs w:val="24"/>
          <w:u w:val="none"/>
        </w:rPr>
        <w:t xml:space="preserve">is not collected or is collected less frequently, the </w:t>
      </w:r>
      <w:r>
        <w:rPr>
          <w:rFonts w:ascii="Times New Roman" w:hAnsi="Times New Roman"/>
          <w:szCs w:val="24"/>
          <w:u w:val="none"/>
        </w:rPr>
        <w:t>SEC</w:t>
      </w:r>
      <w:r w:rsidRPr="00F203C7">
        <w:rPr>
          <w:rFonts w:ascii="Times New Roman" w:hAnsi="Times New Roman"/>
          <w:szCs w:val="24"/>
          <w:u w:val="none"/>
        </w:rPr>
        <w:t xml:space="preserve"> </w:t>
      </w:r>
      <w:r>
        <w:rPr>
          <w:rFonts w:ascii="Times New Roman" w:hAnsi="Times New Roman"/>
          <w:szCs w:val="24"/>
          <w:u w:val="none"/>
        </w:rPr>
        <w:t>will not be able to monitor</w:t>
      </w:r>
      <w:r w:rsidR="007B55B4">
        <w:rPr>
          <w:rFonts w:ascii="Times New Roman" w:hAnsi="Times New Roman"/>
          <w:szCs w:val="24"/>
          <w:u w:val="none"/>
        </w:rPr>
        <w:t xml:space="preserve"> diversity and inclusion in employment and contracting activities</w:t>
      </w:r>
      <w:r>
        <w:rPr>
          <w:rFonts w:ascii="Times New Roman" w:hAnsi="Times New Roman"/>
          <w:szCs w:val="24"/>
          <w:u w:val="none"/>
        </w:rPr>
        <w:t xml:space="preserve"> progress and trends in the financial services industry with regard to diversity and inclusion in employment and contracting activities, and therefore</w:t>
      </w:r>
      <w:r w:rsidR="007B55B4">
        <w:rPr>
          <w:rFonts w:ascii="Times New Roman" w:hAnsi="Times New Roman"/>
          <w:szCs w:val="24"/>
          <w:u w:val="none"/>
        </w:rPr>
        <w:t>,</w:t>
      </w:r>
      <w:r>
        <w:rPr>
          <w:rFonts w:ascii="Times New Roman" w:hAnsi="Times New Roman"/>
          <w:szCs w:val="24"/>
          <w:u w:val="none"/>
        </w:rPr>
        <w:t xml:space="preserve"> will be unable to identify and highlight those policies and practices that have been successful. </w:t>
      </w:r>
    </w:p>
    <w:p w:rsidR="00BA723B" w:rsidP="00BA723B" w14:paraId="0503B149" w14:textId="77777777">
      <w:pPr>
        <w:pStyle w:val="BodyText"/>
        <w:widowControl w:val="0"/>
        <w:tabs>
          <w:tab w:val="left" w:pos="340"/>
          <w:tab w:val="left" w:pos="630"/>
        </w:tabs>
        <w:rPr>
          <w:rFonts w:ascii="Times New Roman" w:hAnsi="Times New Roman"/>
          <w:szCs w:val="24"/>
          <w:u w:val="none"/>
        </w:rPr>
      </w:pPr>
    </w:p>
    <w:p w:rsidR="00BA723B" w:rsidP="00BA723B" w14:paraId="79B4FC3B" w14:textId="77777777">
      <w:pPr>
        <w:pStyle w:val="BodyText"/>
        <w:widowControl w:val="0"/>
        <w:tabs>
          <w:tab w:val="left" w:pos="340"/>
          <w:tab w:val="left" w:pos="630"/>
        </w:tabs>
        <w:rPr>
          <w:rFonts w:ascii="Times New Roman" w:hAnsi="Times New Roman"/>
          <w:b/>
          <w:szCs w:val="24"/>
          <w:u w:val="none"/>
        </w:rPr>
      </w:pPr>
      <w:r>
        <w:rPr>
          <w:rFonts w:ascii="Times New Roman" w:hAnsi="Times New Roman"/>
          <w:szCs w:val="24"/>
          <w:u w:val="none"/>
        </w:rPr>
        <w:tab/>
      </w:r>
      <w:r>
        <w:rPr>
          <w:rFonts w:ascii="Times New Roman" w:hAnsi="Times New Roman"/>
          <w:szCs w:val="24"/>
          <w:u w:val="none"/>
        </w:rPr>
        <w:tab/>
      </w:r>
      <w:r>
        <w:rPr>
          <w:rFonts w:ascii="Times New Roman" w:hAnsi="Times New Roman"/>
          <w:szCs w:val="24"/>
          <w:u w:val="none"/>
        </w:rPr>
        <w:tab/>
      </w:r>
      <w:r>
        <w:rPr>
          <w:rFonts w:ascii="Times New Roman" w:hAnsi="Times New Roman"/>
          <w:b/>
          <w:szCs w:val="24"/>
          <w:u w:val="none"/>
        </w:rPr>
        <w:t>7.</w:t>
      </w:r>
      <w:r>
        <w:rPr>
          <w:rFonts w:ascii="Times New Roman" w:hAnsi="Times New Roman"/>
          <w:b/>
          <w:szCs w:val="24"/>
          <w:u w:val="none"/>
        </w:rPr>
        <w:tab/>
        <w:t>Inconsistencies with Guidelines in 5 CFR 1320.5(d)(2)</w:t>
      </w:r>
    </w:p>
    <w:p w:rsidR="00BA723B" w:rsidP="00BA723B" w14:paraId="2F3D64E9" w14:textId="77777777">
      <w:pPr>
        <w:pStyle w:val="BodyText"/>
        <w:widowControl w:val="0"/>
        <w:tabs>
          <w:tab w:val="left" w:pos="340"/>
          <w:tab w:val="left" w:pos="630"/>
        </w:tabs>
        <w:rPr>
          <w:rFonts w:ascii="Times New Roman" w:hAnsi="Times New Roman"/>
          <w:b/>
          <w:szCs w:val="24"/>
          <w:u w:val="none"/>
        </w:rPr>
      </w:pPr>
    </w:p>
    <w:p w:rsidR="00BA723B" w:rsidRPr="00BA723B" w:rsidP="00BA723B" w14:paraId="615513B0" w14:textId="77777777">
      <w:pPr>
        <w:pStyle w:val="BodyText"/>
        <w:widowControl w:val="0"/>
        <w:tabs>
          <w:tab w:val="left" w:pos="340"/>
          <w:tab w:val="left" w:pos="630"/>
        </w:tabs>
        <w:rPr>
          <w:rFonts w:ascii="Times New Roman" w:hAnsi="Times New Roman"/>
          <w:szCs w:val="24"/>
          <w:u w:val="none"/>
        </w:rPr>
      </w:pPr>
      <w:r>
        <w:rPr>
          <w:rFonts w:ascii="Times New Roman" w:hAnsi="Times New Roman"/>
          <w:bCs/>
          <w:iCs/>
          <w:snapToGrid w:val="0"/>
          <w:szCs w:val="24"/>
          <w:u w:val="none"/>
        </w:rPr>
        <w:tab/>
      </w:r>
      <w:r>
        <w:rPr>
          <w:rFonts w:ascii="Times New Roman" w:hAnsi="Times New Roman"/>
          <w:bCs/>
          <w:iCs/>
          <w:snapToGrid w:val="0"/>
          <w:szCs w:val="24"/>
          <w:u w:val="none"/>
        </w:rPr>
        <w:tab/>
      </w:r>
      <w:r>
        <w:rPr>
          <w:rFonts w:ascii="Times New Roman" w:hAnsi="Times New Roman"/>
          <w:bCs/>
          <w:iCs/>
          <w:snapToGrid w:val="0"/>
          <w:szCs w:val="24"/>
          <w:u w:val="none"/>
        </w:rPr>
        <w:tab/>
      </w:r>
      <w:r>
        <w:rPr>
          <w:rFonts w:ascii="Times New Roman" w:hAnsi="Times New Roman"/>
          <w:bCs/>
          <w:iCs/>
          <w:snapToGrid w:val="0"/>
          <w:szCs w:val="24"/>
          <w:u w:val="none"/>
        </w:rPr>
        <w:tab/>
      </w:r>
      <w:r w:rsidRPr="00BA723B">
        <w:rPr>
          <w:rFonts w:ascii="Times New Roman" w:hAnsi="Times New Roman"/>
          <w:bCs/>
          <w:iCs/>
          <w:snapToGrid w:val="0"/>
          <w:szCs w:val="24"/>
          <w:u w:val="none"/>
        </w:rPr>
        <w:t>The information is collected in a manner consistent with 5 CFR 1320.5(d)(2).</w:t>
      </w:r>
    </w:p>
    <w:p w:rsidR="00BA723B" w:rsidP="00BA723B" w14:paraId="17E12700" w14:textId="77777777">
      <w:pPr>
        <w:pStyle w:val="BodyText"/>
        <w:widowControl w:val="0"/>
        <w:rPr>
          <w:rFonts w:ascii="Times New Roman" w:hAnsi="Times New Roman"/>
          <w:szCs w:val="24"/>
          <w:u w:val="none"/>
        </w:rPr>
      </w:pPr>
      <w:r>
        <w:rPr>
          <w:rFonts w:ascii="Times New Roman" w:hAnsi="Times New Roman"/>
          <w:szCs w:val="24"/>
          <w:u w:val="none"/>
        </w:rPr>
        <w:tab/>
      </w:r>
      <w:r>
        <w:rPr>
          <w:rFonts w:ascii="Times New Roman" w:hAnsi="Times New Roman"/>
          <w:szCs w:val="24"/>
          <w:u w:val="none"/>
        </w:rPr>
        <w:tab/>
      </w:r>
    </w:p>
    <w:p w:rsidR="001D2427" w:rsidP="00BA723B" w14:paraId="33A1D93B" w14:textId="77777777">
      <w:pPr>
        <w:pStyle w:val="BodyText"/>
        <w:widowControl w:val="0"/>
        <w:ind w:firstLine="720"/>
        <w:rPr>
          <w:rFonts w:ascii="Times New Roman" w:hAnsi="Times New Roman"/>
          <w:b/>
          <w:szCs w:val="24"/>
          <w:u w:val="none"/>
        </w:rPr>
      </w:pPr>
      <w:r>
        <w:rPr>
          <w:rFonts w:ascii="Times New Roman" w:hAnsi="Times New Roman"/>
          <w:b/>
          <w:szCs w:val="24"/>
          <w:u w:val="none"/>
        </w:rPr>
        <w:t>8.</w:t>
      </w:r>
      <w:r>
        <w:rPr>
          <w:rFonts w:ascii="Times New Roman" w:hAnsi="Times New Roman"/>
          <w:b/>
          <w:szCs w:val="24"/>
          <w:u w:val="none"/>
        </w:rPr>
        <w:tab/>
      </w:r>
      <w:r w:rsidRPr="001D2427">
        <w:rPr>
          <w:rFonts w:ascii="Times New Roman" w:hAnsi="Times New Roman"/>
          <w:b/>
          <w:szCs w:val="24"/>
          <w:u w:val="none"/>
        </w:rPr>
        <w:t>Consultations Outside the Agency</w:t>
      </w:r>
    </w:p>
    <w:p w:rsidR="001D2427" w:rsidP="00BA723B" w14:paraId="6317890B" w14:textId="77777777">
      <w:pPr>
        <w:pStyle w:val="BodyText"/>
        <w:widowControl w:val="0"/>
        <w:ind w:firstLine="720"/>
        <w:rPr>
          <w:rFonts w:ascii="Times New Roman" w:hAnsi="Times New Roman"/>
          <w:b/>
          <w:szCs w:val="24"/>
          <w:u w:val="none"/>
        </w:rPr>
      </w:pPr>
    </w:p>
    <w:p w:rsidR="00BA723B" w:rsidRPr="001D2427" w:rsidP="001D2427" w14:paraId="18F15852" w14:textId="5DFE5397">
      <w:pPr>
        <w:pStyle w:val="BodyText"/>
        <w:widowControl w:val="0"/>
        <w:ind w:left="1440"/>
        <w:rPr>
          <w:rFonts w:ascii="Times New Roman" w:hAnsi="Times New Roman"/>
          <w:szCs w:val="24"/>
          <w:u w:val="none"/>
        </w:rPr>
      </w:pPr>
      <w:r>
        <w:rPr>
          <w:rFonts w:ascii="Times New Roman" w:hAnsi="Times New Roman"/>
          <w:szCs w:val="24"/>
          <w:u w:val="none"/>
        </w:rPr>
        <w:t xml:space="preserve">The </w:t>
      </w:r>
      <w:r w:rsidR="00287534">
        <w:rPr>
          <w:rFonts w:ascii="Times New Roman" w:hAnsi="Times New Roman"/>
          <w:szCs w:val="24"/>
          <w:u w:val="none"/>
        </w:rPr>
        <w:t>SEC</w:t>
      </w:r>
      <w:r>
        <w:rPr>
          <w:rFonts w:ascii="Times New Roman" w:hAnsi="Times New Roman"/>
          <w:szCs w:val="24"/>
          <w:u w:val="none"/>
        </w:rPr>
        <w:t xml:space="preserve"> and the staff of the Office of Minority and Women </w:t>
      </w:r>
      <w:r w:rsidR="00816D06">
        <w:rPr>
          <w:rFonts w:ascii="Times New Roman" w:hAnsi="Times New Roman"/>
          <w:szCs w:val="24"/>
          <w:u w:val="none"/>
        </w:rPr>
        <w:t xml:space="preserve">Inclusion </w:t>
      </w:r>
      <w:r>
        <w:rPr>
          <w:rFonts w:ascii="Times New Roman" w:hAnsi="Times New Roman"/>
          <w:szCs w:val="24"/>
          <w:u w:val="none"/>
        </w:rPr>
        <w:t xml:space="preserve">participate in ongoing dialogue with representatives of the </w:t>
      </w:r>
      <w:r w:rsidR="00287534">
        <w:rPr>
          <w:rFonts w:ascii="Times New Roman" w:hAnsi="Times New Roman"/>
          <w:szCs w:val="24"/>
          <w:u w:val="none"/>
        </w:rPr>
        <w:t>SEC</w:t>
      </w:r>
      <w:r>
        <w:rPr>
          <w:rFonts w:ascii="Times New Roman" w:hAnsi="Times New Roman"/>
          <w:szCs w:val="24"/>
          <w:u w:val="none"/>
        </w:rPr>
        <w:t>’s regulated entities through public conferences, meetings, and informal exchanges. These forum</w:t>
      </w:r>
      <w:r w:rsidR="00290873">
        <w:rPr>
          <w:rFonts w:ascii="Times New Roman" w:hAnsi="Times New Roman"/>
          <w:szCs w:val="24"/>
          <w:u w:val="none"/>
        </w:rPr>
        <w:t>s</w:t>
      </w:r>
      <w:r>
        <w:rPr>
          <w:rFonts w:ascii="Times New Roman" w:hAnsi="Times New Roman"/>
          <w:szCs w:val="24"/>
          <w:u w:val="none"/>
        </w:rPr>
        <w:t xml:space="preserve"> provide the </w:t>
      </w:r>
      <w:r w:rsidR="00287534">
        <w:rPr>
          <w:rFonts w:ascii="Times New Roman" w:hAnsi="Times New Roman"/>
          <w:szCs w:val="24"/>
          <w:u w:val="none"/>
        </w:rPr>
        <w:t>SEC</w:t>
      </w:r>
      <w:r>
        <w:rPr>
          <w:rFonts w:ascii="Times New Roman" w:hAnsi="Times New Roman"/>
          <w:szCs w:val="24"/>
          <w:u w:val="none"/>
        </w:rPr>
        <w:t xml:space="preserve"> with a means of ascertaining and acting upon paperwork burdens confronting the regulated entities. In addition, the </w:t>
      </w:r>
      <w:r w:rsidR="00287534">
        <w:rPr>
          <w:rFonts w:ascii="Times New Roman" w:hAnsi="Times New Roman"/>
          <w:szCs w:val="24"/>
          <w:u w:val="none"/>
        </w:rPr>
        <w:t>SEC</w:t>
      </w:r>
      <w:r>
        <w:rPr>
          <w:rFonts w:ascii="Times New Roman" w:hAnsi="Times New Roman"/>
          <w:szCs w:val="24"/>
          <w:u w:val="none"/>
        </w:rPr>
        <w:t xml:space="preserve"> has requested public comment on the proposed amendments to the </w:t>
      </w:r>
      <w:r w:rsidR="007B55B4">
        <w:rPr>
          <w:rFonts w:ascii="Times New Roman" w:hAnsi="Times New Roman"/>
          <w:szCs w:val="24"/>
          <w:u w:val="none"/>
        </w:rPr>
        <w:t>Diversity Self-Assessment Tool (formerly the “</w:t>
      </w:r>
      <w:r>
        <w:rPr>
          <w:rFonts w:ascii="Times New Roman" w:hAnsi="Times New Roman"/>
          <w:szCs w:val="24"/>
          <w:u w:val="none"/>
        </w:rPr>
        <w:t>Diversity Assessment Report</w:t>
      </w:r>
      <w:r w:rsidR="007B55B4">
        <w:rPr>
          <w:rFonts w:ascii="Times New Roman" w:hAnsi="Times New Roman"/>
          <w:szCs w:val="24"/>
          <w:u w:val="none"/>
        </w:rPr>
        <w:t>”)</w:t>
      </w:r>
      <w:r>
        <w:rPr>
          <w:rFonts w:ascii="Times New Roman" w:hAnsi="Times New Roman"/>
          <w:szCs w:val="24"/>
          <w:u w:val="none"/>
        </w:rPr>
        <w:t xml:space="preserve">. Before adopting these amendments, the </w:t>
      </w:r>
      <w:r w:rsidR="00287534">
        <w:rPr>
          <w:rFonts w:ascii="Times New Roman" w:hAnsi="Times New Roman"/>
          <w:szCs w:val="24"/>
          <w:u w:val="none"/>
        </w:rPr>
        <w:t>SEC</w:t>
      </w:r>
      <w:r>
        <w:rPr>
          <w:rFonts w:ascii="Times New Roman" w:hAnsi="Times New Roman"/>
          <w:szCs w:val="24"/>
          <w:u w:val="none"/>
        </w:rPr>
        <w:t xml:space="preserve"> will receive and evaluate</w:t>
      </w:r>
      <w:r w:rsidR="007B55B4">
        <w:rPr>
          <w:rFonts w:ascii="Times New Roman" w:hAnsi="Times New Roman"/>
          <w:szCs w:val="24"/>
          <w:u w:val="none"/>
        </w:rPr>
        <w:t xml:space="preserve"> any </w:t>
      </w:r>
      <w:r>
        <w:rPr>
          <w:rFonts w:ascii="Times New Roman" w:hAnsi="Times New Roman"/>
          <w:szCs w:val="24"/>
          <w:u w:val="none"/>
        </w:rPr>
        <w:t>public comments on the proposed amendments and their associated collection of information requirements.</w:t>
      </w:r>
    </w:p>
    <w:p w:rsidR="00BA723B" w:rsidP="00BA723B" w14:paraId="7DD5F5C9" w14:textId="77777777">
      <w:pPr>
        <w:pStyle w:val="BodyText"/>
        <w:widowControl w:val="0"/>
        <w:rPr>
          <w:rFonts w:ascii="Times New Roman" w:hAnsi="Times New Roman"/>
          <w:b/>
          <w:szCs w:val="24"/>
          <w:u w:val="none"/>
        </w:rPr>
      </w:pPr>
    </w:p>
    <w:p w:rsidR="00BA723B" w:rsidP="00721364" w14:paraId="14432279" w14:textId="77777777">
      <w:pPr>
        <w:pStyle w:val="BodyText"/>
        <w:keepNext/>
        <w:widowControl w:val="0"/>
        <w:rPr>
          <w:rFonts w:ascii="Times New Roman" w:hAnsi="Times New Roman"/>
          <w:b/>
          <w:szCs w:val="24"/>
          <w:u w:val="none"/>
        </w:rPr>
      </w:pPr>
      <w:r>
        <w:rPr>
          <w:rFonts w:ascii="Times New Roman" w:hAnsi="Times New Roman"/>
          <w:b/>
          <w:szCs w:val="24"/>
          <w:u w:val="none"/>
        </w:rPr>
        <w:tab/>
        <w:t>9.</w:t>
      </w:r>
      <w:r>
        <w:rPr>
          <w:rFonts w:ascii="Times New Roman" w:hAnsi="Times New Roman"/>
          <w:b/>
          <w:szCs w:val="24"/>
          <w:u w:val="none"/>
        </w:rPr>
        <w:tab/>
        <w:t xml:space="preserve">Payment of Gift to Respondents </w:t>
      </w:r>
    </w:p>
    <w:p w:rsidR="00BA723B" w:rsidP="00721364" w14:paraId="6E8E3892" w14:textId="77777777">
      <w:pPr>
        <w:pStyle w:val="BodyText"/>
        <w:keepNext/>
        <w:widowControl w:val="0"/>
        <w:rPr>
          <w:rFonts w:ascii="Times New Roman" w:hAnsi="Times New Roman"/>
          <w:b/>
          <w:szCs w:val="24"/>
          <w:u w:val="none"/>
        </w:rPr>
      </w:pPr>
      <w:r>
        <w:rPr>
          <w:rFonts w:ascii="Times New Roman" w:hAnsi="Times New Roman"/>
          <w:b/>
          <w:szCs w:val="24"/>
          <w:u w:val="none"/>
        </w:rPr>
        <w:tab/>
      </w:r>
      <w:r>
        <w:rPr>
          <w:rFonts w:ascii="Times New Roman" w:hAnsi="Times New Roman"/>
          <w:b/>
          <w:szCs w:val="24"/>
          <w:u w:val="none"/>
        </w:rPr>
        <w:tab/>
      </w:r>
    </w:p>
    <w:p w:rsidR="00BA723B" w:rsidRPr="00BA723B" w:rsidP="00721364" w14:paraId="611D3737" w14:textId="77777777">
      <w:pPr>
        <w:pStyle w:val="BodyText"/>
        <w:keepNext/>
        <w:widowControl w:val="0"/>
        <w:rPr>
          <w:rFonts w:ascii="Times New Roman" w:hAnsi="Times New Roman"/>
          <w:szCs w:val="24"/>
          <w:u w:val="none"/>
        </w:rPr>
      </w:pPr>
      <w:r>
        <w:rPr>
          <w:rFonts w:ascii="Times New Roman" w:hAnsi="Times New Roman"/>
          <w:b/>
          <w:szCs w:val="24"/>
          <w:u w:val="none"/>
        </w:rPr>
        <w:tab/>
      </w:r>
      <w:r>
        <w:rPr>
          <w:rFonts w:ascii="Times New Roman" w:hAnsi="Times New Roman"/>
          <w:b/>
          <w:szCs w:val="24"/>
          <w:u w:val="none"/>
        </w:rPr>
        <w:tab/>
      </w:r>
      <w:r>
        <w:rPr>
          <w:rFonts w:ascii="Times New Roman" w:hAnsi="Times New Roman"/>
          <w:szCs w:val="24"/>
          <w:u w:val="none"/>
        </w:rPr>
        <w:t xml:space="preserve">Not applicable. </w:t>
      </w:r>
    </w:p>
    <w:p w:rsidR="00BA723B" w:rsidP="00721364" w14:paraId="38DC34B0" w14:textId="77777777">
      <w:pPr>
        <w:pStyle w:val="BodyText"/>
        <w:keepNext/>
        <w:widowControl w:val="0"/>
        <w:rPr>
          <w:rFonts w:ascii="Times New Roman" w:hAnsi="Times New Roman"/>
          <w:b/>
          <w:szCs w:val="24"/>
          <w:u w:val="none"/>
        </w:rPr>
      </w:pPr>
    </w:p>
    <w:p w:rsidR="00BA723B" w:rsidP="00721364" w14:paraId="72DE1981" w14:textId="77777777">
      <w:pPr>
        <w:pStyle w:val="BodyText"/>
        <w:keepNext/>
        <w:widowControl w:val="0"/>
        <w:tabs>
          <w:tab w:val="left" w:pos="720"/>
          <w:tab w:val="left" w:pos="1440"/>
          <w:tab w:val="left" w:pos="2160"/>
          <w:tab w:val="left" w:pos="2880"/>
          <w:tab w:val="left" w:pos="3600"/>
          <w:tab w:val="left" w:pos="4320"/>
          <w:tab w:val="left" w:pos="4830"/>
        </w:tabs>
        <w:rPr>
          <w:rFonts w:ascii="Times New Roman" w:hAnsi="Times New Roman"/>
          <w:b/>
          <w:szCs w:val="24"/>
          <w:u w:val="none"/>
        </w:rPr>
      </w:pPr>
      <w:r>
        <w:rPr>
          <w:rFonts w:ascii="Times New Roman" w:hAnsi="Times New Roman"/>
          <w:b/>
          <w:szCs w:val="24"/>
          <w:u w:val="none"/>
        </w:rPr>
        <w:tab/>
        <w:t>10.</w:t>
      </w:r>
      <w:r>
        <w:rPr>
          <w:rFonts w:ascii="Times New Roman" w:hAnsi="Times New Roman"/>
          <w:b/>
          <w:szCs w:val="24"/>
          <w:u w:val="none"/>
        </w:rPr>
        <w:tab/>
        <w:t>Assurance of Confidentiality</w:t>
      </w:r>
      <w:r>
        <w:rPr>
          <w:rFonts w:ascii="Times New Roman" w:hAnsi="Times New Roman"/>
          <w:b/>
          <w:szCs w:val="24"/>
          <w:u w:val="none"/>
        </w:rPr>
        <w:tab/>
      </w:r>
    </w:p>
    <w:p w:rsidR="00BA723B" w:rsidP="00721364" w14:paraId="4D855456" w14:textId="77777777">
      <w:pPr>
        <w:pStyle w:val="BodyText"/>
        <w:keepNext/>
        <w:widowControl w:val="0"/>
        <w:tabs>
          <w:tab w:val="left" w:pos="720"/>
          <w:tab w:val="left" w:pos="1440"/>
          <w:tab w:val="left" w:pos="2160"/>
          <w:tab w:val="left" w:pos="2880"/>
          <w:tab w:val="left" w:pos="3600"/>
          <w:tab w:val="left" w:pos="4320"/>
          <w:tab w:val="left" w:pos="4830"/>
        </w:tabs>
        <w:rPr>
          <w:rFonts w:ascii="Times New Roman" w:hAnsi="Times New Roman"/>
          <w:b/>
          <w:szCs w:val="24"/>
          <w:u w:val="none"/>
        </w:rPr>
      </w:pPr>
    </w:p>
    <w:p w:rsidR="00BA723B" w:rsidP="00721364" w14:paraId="0F01456E" w14:textId="77777777">
      <w:pPr>
        <w:keepNext/>
        <w:ind w:left="1440"/>
        <w:rPr>
          <w:szCs w:val="24"/>
        </w:rPr>
      </w:pPr>
      <w:r w:rsidRPr="00F203C7">
        <w:rPr>
          <w:szCs w:val="24"/>
        </w:rPr>
        <w:t xml:space="preserve">The </w:t>
      </w:r>
      <w:r>
        <w:rPr>
          <w:szCs w:val="24"/>
        </w:rPr>
        <w:t>Policy Statement</w:t>
      </w:r>
      <w:r w:rsidRPr="00F203C7">
        <w:rPr>
          <w:szCs w:val="24"/>
        </w:rPr>
        <w:t xml:space="preserve"> state</w:t>
      </w:r>
      <w:r>
        <w:rPr>
          <w:szCs w:val="24"/>
        </w:rPr>
        <w:t>s</w:t>
      </w:r>
      <w:r w:rsidRPr="00F203C7">
        <w:rPr>
          <w:szCs w:val="24"/>
        </w:rPr>
        <w:t xml:space="preserve"> that the Agencies may publish information disclosed to them provided they do not identify a particular entity or disclose confidential business information in an effort to balance concerns about confidentiality of information with the importance of sharing information. Any entit</w:t>
      </w:r>
      <w:r>
        <w:rPr>
          <w:szCs w:val="24"/>
        </w:rPr>
        <w:t>y</w:t>
      </w:r>
      <w:r w:rsidRPr="00F203C7">
        <w:rPr>
          <w:szCs w:val="24"/>
        </w:rPr>
        <w:t xml:space="preserve"> submitting information may designate such information as confidential, as appropriate, and the Agencies will </w:t>
      </w:r>
      <w:r w:rsidRPr="00F203C7">
        <w:t xml:space="preserve">keep this information private to the extent allowed by law.  </w:t>
      </w:r>
    </w:p>
    <w:p w:rsidR="00BA723B" w:rsidP="00BA723B" w14:paraId="3ED14CCD" w14:textId="77777777">
      <w:pPr>
        <w:pStyle w:val="BodyText"/>
        <w:widowControl w:val="0"/>
        <w:rPr>
          <w:rFonts w:ascii="Times New Roman" w:hAnsi="Times New Roman"/>
          <w:b/>
          <w:szCs w:val="24"/>
          <w:u w:val="none"/>
        </w:rPr>
      </w:pPr>
    </w:p>
    <w:p w:rsidR="00BA723B" w:rsidP="00BA723B" w14:paraId="7E7C2504" w14:textId="77777777">
      <w:pPr>
        <w:pStyle w:val="BodyText"/>
        <w:widowControl w:val="0"/>
        <w:rPr>
          <w:rFonts w:ascii="Times New Roman" w:hAnsi="Times New Roman"/>
          <w:b/>
          <w:szCs w:val="24"/>
          <w:u w:val="none"/>
        </w:rPr>
      </w:pPr>
      <w:r>
        <w:rPr>
          <w:rFonts w:ascii="Times New Roman" w:hAnsi="Times New Roman"/>
          <w:b/>
          <w:szCs w:val="24"/>
          <w:u w:val="none"/>
        </w:rPr>
        <w:tab/>
        <w:t>11.</w:t>
      </w:r>
      <w:r>
        <w:rPr>
          <w:rFonts w:ascii="Times New Roman" w:hAnsi="Times New Roman"/>
          <w:b/>
          <w:szCs w:val="24"/>
          <w:u w:val="none"/>
        </w:rPr>
        <w:tab/>
        <w:t>Sensitive Questions</w:t>
      </w:r>
    </w:p>
    <w:p w:rsidR="00BA723B" w:rsidP="00BA723B" w14:paraId="7BA514C4" w14:textId="77777777">
      <w:pPr>
        <w:pStyle w:val="BodyText"/>
        <w:widowControl w:val="0"/>
        <w:rPr>
          <w:rFonts w:ascii="Times New Roman" w:hAnsi="Times New Roman"/>
          <w:b/>
          <w:szCs w:val="24"/>
          <w:u w:val="none"/>
        </w:rPr>
      </w:pPr>
      <w:r>
        <w:rPr>
          <w:rFonts w:ascii="Times New Roman" w:hAnsi="Times New Roman"/>
          <w:b/>
          <w:szCs w:val="24"/>
          <w:u w:val="none"/>
        </w:rPr>
        <w:tab/>
      </w:r>
      <w:r>
        <w:rPr>
          <w:rFonts w:ascii="Times New Roman" w:hAnsi="Times New Roman"/>
          <w:b/>
          <w:szCs w:val="24"/>
          <w:u w:val="none"/>
        </w:rPr>
        <w:tab/>
      </w:r>
      <w:r>
        <w:rPr>
          <w:rFonts w:ascii="Times New Roman" w:hAnsi="Times New Roman"/>
          <w:b/>
          <w:szCs w:val="24"/>
          <w:u w:val="none"/>
        </w:rPr>
        <w:tab/>
      </w:r>
    </w:p>
    <w:p w:rsidR="00BA723B" w:rsidRPr="00BA723B" w:rsidP="00BA723B" w14:paraId="071AAF66" w14:textId="77777777">
      <w:pPr>
        <w:pStyle w:val="BodyText"/>
        <w:widowControl w:val="0"/>
        <w:rPr>
          <w:rFonts w:ascii="Times New Roman" w:hAnsi="Times New Roman"/>
          <w:szCs w:val="24"/>
          <w:u w:val="none"/>
        </w:rPr>
      </w:pPr>
      <w:r>
        <w:rPr>
          <w:rFonts w:ascii="Times New Roman" w:hAnsi="Times New Roman"/>
          <w:b/>
          <w:szCs w:val="24"/>
          <w:u w:val="none"/>
        </w:rPr>
        <w:tab/>
      </w:r>
      <w:r>
        <w:rPr>
          <w:rFonts w:ascii="Times New Roman" w:hAnsi="Times New Roman"/>
          <w:b/>
          <w:szCs w:val="24"/>
          <w:u w:val="none"/>
        </w:rPr>
        <w:tab/>
      </w:r>
      <w:r>
        <w:rPr>
          <w:rFonts w:ascii="Times New Roman" w:hAnsi="Times New Roman"/>
          <w:szCs w:val="24"/>
          <w:u w:val="none"/>
        </w:rPr>
        <w:t xml:space="preserve">Not applicable. </w:t>
      </w:r>
    </w:p>
    <w:p w:rsidR="00BA723B" w:rsidP="00BA723B" w14:paraId="25C789D6" w14:textId="77777777">
      <w:pPr>
        <w:pStyle w:val="BodyText"/>
        <w:widowControl w:val="0"/>
        <w:rPr>
          <w:rFonts w:ascii="Times New Roman" w:hAnsi="Times New Roman"/>
          <w:b/>
          <w:szCs w:val="24"/>
          <w:u w:val="none"/>
        </w:rPr>
      </w:pPr>
    </w:p>
    <w:p w:rsidR="00BA723B" w:rsidP="00BA723B" w14:paraId="72FFAFE7" w14:textId="77777777">
      <w:pPr>
        <w:pStyle w:val="BodyText"/>
        <w:widowControl w:val="0"/>
        <w:rPr>
          <w:rFonts w:ascii="Times New Roman" w:hAnsi="Times New Roman"/>
          <w:b/>
          <w:szCs w:val="24"/>
          <w:u w:val="none"/>
        </w:rPr>
      </w:pPr>
      <w:r>
        <w:rPr>
          <w:rFonts w:ascii="Times New Roman" w:hAnsi="Times New Roman"/>
          <w:b/>
          <w:szCs w:val="24"/>
          <w:u w:val="none"/>
        </w:rPr>
        <w:tab/>
        <w:t>12.</w:t>
      </w:r>
      <w:r>
        <w:rPr>
          <w:rFonts w:ascii="Times New Roman" w:hAnsi="Times New Roman"/>
          <w:b/>
          <w:szCs w:val="24"/>
          <w:u w:val="none"/>
        </w:rPr>
        <w:tab/>
        <w:t>Estimate of Information Collection Burden</w:t>
      </w:r>
    </w:p>
    <w:p w:rsidR="001D2427" w:rsidP="00BA723B" w14:paraId="560C36F7" w14:textId="77777777">
      <w:pPr>
        <w:pStyle w:val="BodyText"/>
        <w:widowControl w:val="0"/>
        <w:rPr>
          <w:rFonts w:ascii="Times New Roman" w:hAnsi="Times New Roman"/>
          <w:b/>
          <w:szCs w:val="24"/>
          <w:u w:val="none"/>
        </w:rPr>
      </w:pPr>
      <w:r>
        <w:rPr>
          <w:rFonts w:ascii="Times New Roman" w:hAnsi="Times New Roman"/>
          <w:b/>
          <w:szCs w:val="24"/>
          <w:u w:val="none"/>
        </w:rPr>
        <w:tab/>
      </w:r>
      <w:r>
        <w:rPr>
          <w:rFonts w:ascii="Times New Roman" w:hAnsi="Times New Roman"/>
          <w:b/>
          <w:szCs w:val="24"/>
          <w:u w:val="none"/>
        </w:rPr>
        <w:tab/>
      </w:r>
    </w:p>
    <w:p w:rsidR="001D2427" w:rsidP="001D2427" w14:paraId="2DA579EC" w14:textId="77777777">
      <w:pPr>
        <w:pStyle w:val="BodyText"/>
        <w:widowControl w:val="0"/>
        <w:ind w:left="1440"/>
        <w:rPr>
          <w:rFonts w:ascii="Times New Roman" w:hAnsi="Times New Roman"/>
          <w:szCs w:val="24"/>
          <w:u w:val="none"/>
        </w:rPr>
      </w:pPr>
      <w:r>
        <w:rPr>
          <w:rFonts w:ascii="Times New Roman" w:hAnsi="Times New Roman"/>
          <w:szCs w:val="24"/>
          <w:u w:val="none"/>
        </w:rPr>
        <w:t>The following estimates of average burden hours and costs are made solely for the purposes of the Paperwork Reduction Act of 1995</w:t>
      </w:r>
      <w:r>
        <w:rPr>
          <w:rStyle w:val="FootnoteReference"/>
          <w:szCs w:val="24"/>
          <w:u w:val="none"/>
        </w:rPr>
        <w:footnoteReference w:id="4"/>
      </w:r>
      <w:r w:rsidR="001431DE">
        <w:rPr>
          <w:rFonts w:ascii="Times New Roman" w:hAnsi="Times New Roman"/>
          <w:szCs w:val="24"/>
          <w:u w:val="none"/>
        </w:rPr>
        <w:t xml:space="preserve"> and are not derived from a comprehensive or even representative survey or study of the cost.</w:t>
      </w:r>
    </w:p>
    <w:p w:rsidR="001431DE" w:rsidP="001D2427" w14:paraId="4043248E" w14:textId="77777777">
      <w:pPr>
        <w:pStyle w:val="BodyText"/>
        <w:widowControl w:val="0"/>
        <w:ind w:left="1440"/>
        <w:rPr>
          <w:rFonts w:ascii="Times New Roman" w:hAnsi="Times New Roman"/>
          <w:szCs w:val="24"/>
          <w:u w:val="none"/>
        </w:rPr>
      </w:pPr>
    </w:p>
    <w:p w:rsidR="001431DE" w:rsidRPr="00F203C7" w:rsidP="001431DE" w14:paraId="6ADE42E9" w14:textId="77777777">
      <w:pPr>
        <w:ind w:left="1440"/>
        <w:rPr>
          <w:szCs w:val="24"/>
        </w:rPr>
      </w:pPr>
      <w:r w:rsidRPr="00F203C7">
        <w:rPr>
          <w:szCs w:val="24"/>
        </w:rPr>
        <w:t>The collection of information contemplated by the Joint Standards imposes no new recordkeeping burdens as regulated entities will only publish or provide information pertaining to diversity policies and practices</w:t>
      </w:r>
      <w:r w:rsidRPr="00F203C7">
        <w:rPr>
          <w:b/>
          <w:szCs w:val="24"/>
        </w:rPr>
        <w:t xml:space="preserve"> </w:t>
      </w:r>
      <w:r w:rsidRPr="00F203C7">
        <w:rPr>
          <w:szCs w:val="24"/>
        </w:rPr>
        <w:t>that they maintain during the normal course of business</w:t>
      </w:r>
      <w:r>
        <w:rPr>
          <w:szCs w:val="24"/>
        </w:rPr>
        <w:t xml:space="preserve">. </w:t>
      </w:r>
    </w:p>
    <w:p w:rsidR="001431DE" w:rsidRPr="00F203C7" w:rsidP="001431DE" w14:paraId="6BB9D0FD" w14:textId="77777777">
      <w:pPr>
        <w:ind w:firstLine="90"/>
        <w:rPr>
          <w:szCs w:val="24"/>
        </w:rPr>
      </w:pPr>
    </w:p>
    <w:p w:rsidR="001431DE" w:rsidP="001431DE" w14:paraId="52936CED" w14:textId="05F5A2EA">
      <w:pPr>
        <w:ind w:left="1440"/>
        <w:rPr>
          <w:szCs w:val="24"/>
        </w:rPr>
      </w:pPr>
      <w:r>
        <w:rPr>
          <w:szCs w:val="24"/>
        </w:rPr>
        <w:t xml:space="preserve">The </w:t>
      </w:r>
      <w:r w:rsidR="00287534">
        <w:rPr>
          <w:szCs w:val="24"/>
        </w:rPr>
        <w:t>SEC</w:t>
      </w:r>
      <w:r>
        <w:rPr>
          <w:szCs w:val="24"/>
        </w:rPr>
        <w:t xml:space="preserve"> estimates it will take a</w:t>
      </w:r>
      <w:r w:rsidRPr="00D579D4">
        <w:rPr>
          <w:szCs w:val="24"/>
        </w:rPr>
        <w:t xml:space="preserve"> </w:t>
      </w:r>
      <w:r>
        <w:rPr>
          <w:szCs w:val="24"/>
        </w:rPr>
        <w:t xml:space="preserve">regulated entity approximately 8 hours to retrieve and submit information pertaining to the entity’s self-assessment of its diversity policies and practices on the </w:t>
      </w:r>
      <w:r w:rsidR="007B55B4">
        <w:rPr>
          <w:szCs w:val="24"/>
        </w:rPr>
        <w:t>Diversity Self-Assessment Tool (formerly the “</w:t>
      </w:r>
      <w:r>
        <w:rPr>
          <w:szCs w:val="24"/>
        </w:rPr>
        <w:t>Diversity Assessment Report</w:t>
      </w:r>
      <w:r w:rsidR="007B55B4">
        <w:rPr>
          <w:szCs w:val="24"/>
        </w:rPr>
        <w:t>”)</w:t>
      </w:r>
      <w:r>
        <w:rPr>
          <w:szCs w:val="24"/>
        </w:rPr>
        <w:t xml:space="preserve">. </w:t>
      </w:r>
    </w:p>
    <w:p w:rsidR="001431DE" w:rsidP="001431DE" w14:paraId="7CC6930A" w14:textId="77777777">
      <w:pPr>
        <w:rPr>
          <w:szCs w:val="24"/>
        </w:rPr>
      </w:pPr>
    </w:p>
    <w:p w:rsidR="001431DE" w:rsidRPr="00F203C7" w:rsidP="001431DE" w14:paraId="6903E9C1" w14:textId="77777777">
      <w:pPr>
        <w:ind w:firstLine="720"/>
        <w:rPr>
          <w:szCs w:val="24"/>
        </w:rPr>
      </w:pPr>
    </w:p>
    <w:tbl>
      <w:tblPr>
        <w:tblW w:w="8100" w:type="dxa"/>
        <w:tblInd w:w="1432"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tblPr>
      <w:tblGrid>
        <w:gridCol w:w="1137"/>
        <w:gridCol w:w="1611"/>
        <w:gridCol w:w="1879"/>
        <w:gridCol w:w="1680"/>
        <w:gridCol w:w="1793"/>
      </w:tblGrid>
      <w:tr w14:paraId="1EFD0D4F" w14:textId="77777777" w:rsidTr="001431DE">
        <w:tblPrEx>
          <w:tblW w:w="8100" w:type="dxa"/>
          <w:tblInd w:w="1432"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tblPrEx>
        <w:trPr>
          <w:trHeight w:val="915"/>
        </w:trPr>
        <w:tc>
          <w:tcPr>
            <w:tcW w:w="2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1431DE" w:rsidRPr="004F7E3A" w:rsidP="00C471B3" w14:paraId="562B8C85" w14:textId="77777777">
            <w:pPr>
              <w:widowControl/>
              <w:jc w:val="center"/>
              <w:rPr>
                <w:snapToGrid/>
                <w:color w:val="000000"/>
                <w:sz w:val="18"/>
                <w:szCs w:val="16"/>
              </w:rPr>
            </w:pPr>
            <w:r w:rsidRPr="004F7E3A">
              <w:rPr>
                <w:snapToGrid/>
                <w:color w:val="000000"/>
                <w:sz w:val="18"/>
                <w:szCs w:val="16"/>
              </w:rPr>
              <w:t>Estimated Number of Respondents</w:t>
            </w:r>
          </w:p>
        </w:tc>
        <w:tc>
          <w:tcPr>
            <w:tcW w:w="180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1431DE" w:rsidRPr="004F7E3A" w:rsidP="00C471B3" w14:paraId="5FBAAA5F" w14:textId="77777777">
            <w:pPr>
              <w:widowControl/>
              <w:jc w:val="center"/>
              <w:rPr>
                <w:snapToGrid/>
                <w:color w:val="000000"/>
                <w:sz w:val="18"/>
                <w:szCs w:val="16"/>
              </w:rPr>
            </w:pPr>
            <w:r w:rsidRPr="004F7E3A">
              <w:rPr>
                <w:snapToGrid/>
                <w:color w:val="000000"/>
                <w:sz w:val="18"/>
                <w:szCs w:val="16"/>
              </w:rPr>
              <w:t>Estimated Number of Responses</w:t>
            </w:r>
          </w:p>
        </w:tc>
        <w:tc>
          <w:tcPr>
            <w:tcW w:w="216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1431DE" w:rsidRPr="004F7E3A" w:rsidP="00C471B3" w14:paraId="1726F979" w14:textId="77777777">
            <w:pPr>
              <w:widowControl/>
              <w:jc w:val="center"/>
              <w:rPr>
                <w:snapToGrid/>
                <w:color w:val="000000"/>
                <w:sz w:val="18"/>
                <w:szCs w:val="16"/>
              </w:rPr>
            </w:pPr>
            <w:r w:rsidRPr="004F7E3A">
              <w:rPr>
                <w:snapToGrid/>
                <w:color w:val="000000"/>
                <w:sz w:val="18"/>
                <w:szCs w:val="16"/>
              </w:rPr>
              <w:t>Estimated Time per Response</w:t>
            </w:r>
          </w:p>
          <w:p w:rsidR="001431DE" w:rsidRPr="004F7E3A" w:rsidP="00C471B3" w14:paraId="4D3D4D34" w14:textId="77777777">
            <w:pPr>
              <w:widowControl/>
              <w:jc w:val="center"/>
              <w:rPr>
                <w:snapToGrid/>
                <w:color w:val="000000"/>
                <w:sz w:val="18"/>
                <w:szCs w:val="16"/>
              </w:rPr>
            </w:pPr>
            <w:r w:rsidRPr="004F7E3A">
              <w:rPr>
                <w:snapToGrid/>
                <w:color w:val="000000"/>
                <w:sz w:val="18"/>
                <w:szCs w:val="16"/>
              </w:rPr>
              <w:t>(Hours)</w:t>
            </w:r>
          </w:p>
        </w:tc>
        <w:tc>
          <w:tcPr>
            <w:tcW w:w="189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1431DE" w:rsidRPr="004F7E3A" w:rsidP="00C471B3" w14:paraId="43C7B136" w14:textId="77777777">
            <w:pPr>
              <w:widowControl/>
              <w:jc w:val="center"/>
              <w:rPr>
                <w:snapToGrid/>
                <w:color w:val="000000"/>
                <w:sz w:val="18"/>
                <w:szCs w:val="16"/>
              </w:rPr>
            </w:pPr>
            <w:r w:rsidRPr="004F7E3A">
              <w:rPr>
                <w:snapToGrid/>
                <w:color w:val="000000"/>
                <w:sz w:val="18"/>
                <w:szCs w:val="16"/>
              </w:rPr>
              <w:t>Frequency of Response</w:t>
            </w:r>
          </w:p>
        </w:tc>
        <w:tc>
          <w:tcPr>
            <w:tcW w:w="1980" w:type="dxa"/>
            <w:tcBorders>
              <w:top w:val="single" w:sz="4" w:space="0" w:color="auto"/>
              <w:left w:val="single" w:sz="6" w:space="0" w:color="auto"/>
              <w:bottom w:val="single" w:sz="4" w:space="0" w:color="auto"/>
            </w:tcBorders>
            <w:shd w:val="clear" w:color="000000" w:fill="D9D9D9"/>
            <w:vAlign w:val="center"/>
            <w:hideMark/>
          </w:tcPr>
          <w:p w:rsidR="001431DE" w:rsidRPr="004F7E3A" w:rsidP="00C471B3" w14:paraId="5EE63EFB" w14:textId="77777777">
            <w:pPr>
              <w:widowControl/>
              <w:rPr>
                <w:snapToGrid/>
                <w:color w:val="000000"/>
                <w:sz w:val="18"/>
                <w:szCs w:val="16"/>
              </w:rPr>
            </w:pPr>
            <w:r w:rsidRPr="004F7E3A">
              <w:rPr>
                <w:snapToGrid/>
                <w:color w:val="000000"/>
                <w:sz w:val="18"/>
                <w:szCs w:val="16"/>
              </w:rPr>
              <w:t>Total Estimated Burden</w:t>
            </w:r>
          </w:p>
          <w:p w:rsidR="001431DE" w:rsidP="00C471B3" w14:paraId="420AFF45" w14:textId="77777777">
            <w:pPr>
              <w:widowControl/>
              <w:rPr>
                <w:snapToGrid/>
                <w:color w:val="000000"/>
                <w:sz w:val="18"/>
                <w:szCs w:val="16"/>
              </w:rPr>
            </w:pPr>
            <w:r w:rsidRPr="004F7E3A">
              <w:rPr>
                <w:snapToGrid/>
                <w:color w:val="000000"/>
                <w:sz w:val="18"/>
                <w:szCs w:val="16"/>
              </w:rPr>
              <w:t>Hour</w:t>
            </w:r>
            <w:r>
              <w:rPr>
                <w:snapToGrid/>
                <w:color w:val="000000"/>
                <w:sz w:val="18"/>
                <w:szCs w:val="16"/>
              </w:rPr>
              <w:t xml:space="preserve"> (Annualized)</w:t>
            </w:r>
          </w:p>
          <w:p w:rsidR="001431DE" w:rsidRPr="004F7E3A" w:rsidP="00C471B3" w14:paraId="3AEFDCF9" w14:textId="77777777">
            <w:pPr>
              <w:widowControl/>
              <w:rPr>
                <w:snapToGrid/>
                <w:color w:val="000000"/>
                <w:sz w:val="18"/>
                <w:szCs w:val="16"/>
              </w:rPr>
            </w:pPr>
          </w:p>
        </w:tc>
      </w:tr>
      <w:tr w14:paraId="39FC9D3A" w14:textId="77777777" w:rsidTr="001431DE">
        <w:tblPrEx>
          <w:tblW w:w="8100" w:type="dxa"/>
          <w:tblInd w:w="1432" w:type="dxa"/>
          <w:tblLook w:val="04A0"/>
        </w:tblPrEx>
        <w:trPr>
          <w:trHeight w:val="576"/>
        </w:trPr>
        <w:tc>
          <w:tcPr>
            <w:tcW w:w="270" w:type="dxa"/>
            <w:tcBorders>
              <w:left w:val="single" w:sz="6" w:space="0" w:color="auto"/>
              <w:bottom w:val="single" w:sz="8" w:space="0" w:color="auto"/>
              <w:right w:val="single" w:sz="6" w:space="0" w:color="auto"/>
            </w:tcBorders>
            <w:shd w:val="clear" w:color="auto" w:fill="auto"/>
            <w:vAlign w:val="center"/>
            <w:hideMark/>
          </w:tcPr>
          <w:p w:rsidR="001431DE" w:rsidRPr="004F7E3A" w:rsidP="00C471B3" w14:paraId="6CF442CC" w14:textId="77777777">
            <w:pPr>
              <w:widowControl/>
              <w:jc w:val="center"/>
              <w:rPr>
                <w:snapToGrid/>
                <w:color w:val="000000"/>
                <w:sz w:val="18"/>
                <w:szCs w:val="16"/>
              </w:rPr>
            </w:pPr>
            <w:r>
              <w:rPr>
                <w:snapToGrid/>
                <w:color w:val="000000"/>
                <w:sz w:val="18"/>
                <w:szCs w:val="16"/>
              </w:rPr>
              <w:t>260</w:t>
            </w:r>
          </w:p>
        </w:tc>
        <w:tc>
          <w:tcPr>
            <w:tcW w:w="1800" w:type="dxa"/>
            <w:tcBorders>
              <w:left w:val="single" w:sz="6" w:space="0" w:color="auto"/>
              <w:bottom w:val="single" w:sz="8" w:space="0" w:color="auto"/>
              <w:right w:val="single" w:sz="6" w:space="0" w:color="auto"/>
            </w:tcBorders>
            <w:shd w:val="clear" w:color="auto" w:fill="auto"/>
            <w:vAlign w:val="center"/>
            <w:hideMark/>
          </w:tcPr>
          <w:p w:rsidR="001431DE" w:rsidRPr="004F7E3A" w:rsidP="00C471B3" w14:paraId="71B387AA" w14:textId="77777777">
            <w:pPr>
              <w:widowControl/>
              <w:jc w:val="center"/>
              <w:rPr>
                <w:snapToGrid/>
                <w:color w:val="000000"/>
                <w:sz w:val="18"/>
                <w:szCs w:val="16"/>
              </w:rPr>
            </w:pPr>
            <w:r w:rsidRPr="004F7E3A">
              <w:rPr>
                <w:snapToGrid/>
                <w:color w:val="000000"/>
                <w:sz w:val="18"/>
                <w:szCs w:val="16"/>
              </w:rPr>
              <w:t>1</w:t>
            </w:r>
          </w:p>
        </w:tc>
        <w:tc>
          <w:tcPr>
            <w:tcW w:w="2160" w:type="dxa"/>
            <w:tcBorders>
              <w:left w:val="single" w:sz="6" w:space="0" w:color="auto"/>
              <w:bottom w:val="single" w:sz="8" w:space="0" w:color="auto"/>
              <w:right w:val="single" w:sz="6" w:space="0" w:color="auto"/>
            </w:tcBorders>
            <w:shd w:val="clear" w:color="auto" w:fill="auto"/>
            <w:vAlign w:val="center"/>
            <w:hideMark/>
          </w:tcPr>
          <w:p w:rsidR="001431DE" w:rsidRPr="004F7E3A" w:rsidP="00C471B3" w14:paraId="0F6872D5" w14:textId="77777777">
            <w:pPr>
              <w:widowControl/>
              <w:jc w:val="center"/>
              <w:rPr>
                <w:snapToGrid/>
                <w:color w:val="000000"/>
                <w:sz w:val="18"/>
                <w:szCs w:val="16"/>
              </w:rPr>
            </w:pPr>
            <w:r>
              <w:rPr>
                <w:snapToGrid/>
                <w:color w:val="000000"/>
                <w:sz w:val="18"/>
                <w:szCs w:val="16"/>
              </w:rPr>
              <w:t>8</w:t>
            </w:r>
          </w:p>
        </w:tc>
        <w:tc>
          <w:tcPr>
            <w:tcW w:w="1890" w:type="dxa"/>
            <w:tcBorders>
              <w:left w:val="single" w:sz="6" w:space="0" w:color="auto"/>
              <w:bottom w:val="single" w:sz="8" w:space="0" w:color="auto"/>
              <w:right w:val="single" w:sz="6" w:space="0" w:color="auto"/>
            </w:tcBorders>
            <w:shd w:val="clear" w:color="auto" w:fill="auto"/>
            <w:vAlign w:val="center"/>
            <w:hideMark/>
          </w:tcPr>
          <w:p w:rsidR="001431DE" w:rsidRPr="004F7E3A" w:rsidP="00C471B3" w14:paraId="350A0269" w14:textId="77777777">
            <w:pPr>
              <w:widowControl/>
              <w:jc w:val="center"/>
              <w:rPr>
                <w:snapToGrid/>
                <w:color w:val="000000"/>
                <w:sz w:val="18"/>
                <w:szCs w:val="16"/>
              </w:rPr>
            </w:pPr>
            <w:r>
              <w:rPr>
                <w:snapToGrid/>
                <w:color w:val="000000"/>
                <w:sz w:val="18"/>
                <w:szCs w:val="16"/>
              </w:rPr>
              <w:t>Biennially</w:t>
            </w:r>
          </w:p>
        </w:tc>
        <w:tc>
          <w:tcPr>
            <w:tcW w:w="1980" w:type="dxa"/>
            <w:tcBorders>
              <w:left w:val="single" w:sz="6" w:space="0" w:color="auto"/>
              <w:bottom w:val="single" w:sz="8" w:space="0" w:color="auto"/>
              <w:right w:val="single" w:sz="8" w:space="0" w:color="auto"/>
            </w:tcBorders>
            <w:shd w:val="clear" w:color="auto" w:fill="auto"/>
            <w:vAlign w:val="center"/>
          </w:tcPr>
          <w:p w:rsidR="001431DE" w:rsidP="00C471B3" w14:paraId="5C0B565A" w14:textId="77777777">
            <w:pPr>
              <w:widowControl/>
              <w:jc w:val="center"/>
              <w:rPr>
                <w:snapToGrid/>
                <w:color w:val="000000"/>
                <w:sz w:val="18"/>
                <w:szCs w:val="16"/>
              </w:rPr>
            </w:pPr>
            <w:r>
              <w:rPr>
                <w:snapToGrid/>
                <w:color w:val="000000"/>
                <w:sz w:val="18"/>
                <w:szCs w:val="16"/>
              </w:rPr>
              <w:t>1040</w:t>
            </w:r>
          </w:p>
        </w:tc>
      </w:tr>
    </w:tbl>
    <w:p w:rsidR="001431DE" w:rsidP="001431DE" w14:paraId="2B288E71" w14:textId="77777777">
      <w:pPr>
        <w:rPr>
          <w:szCs w:val="24"/>
        </w:rPr>
      </w:pPr>
    </w:p>
    <w:p w:rsidR="001431DE" w:rsidP="001431DE" w14:paraId="4DED4CC2" w14:textId="21FBDE6C">
      <w:pPr>
        <w:ind w:left="806" w:firstLine="634"/>
        <w:rPr>
          <w:szCs w:val="24"/>
        </w:rPr>
      </w:pPr>
      <w:r w:rsidRPr="0038347F">
        <w:rPr>
          <w:szCs w:val="24"/>
        </w:rPr>
        <w:t>The estimated cost of the burden is $1</w:t>
      </w:r>
      <w:r w:rsidR="00B030BA">
        <w:rPr>
          <w:szCs w:val="24"/>
        </w:rPr>
        <w:t>23,760</w:t>
      </w:r>
      <w:r w:rsidRPr="0038347F">
        <w:rPr>
          <w:szCs w:val="24"/>
        </w:rPr>
        <w:t xml:space="preserve"> (annualized).</w:t>
      </w:r>
      <w:r>
        <w:rPr>
          <w:rStyle w:val="FootnoteReference"/>
          <w:szCs w:val="24"/>
        </w:rPr>
        <w:footnoteReference w:id="5"/>
      </w:r>
      <w:r>
        <w:rPr>
          <w:szCs w:val="24"/>
        </w:rPr>
        <w:t xml:space="preserve"> </w:t>
      </w:r>
    </w:p>
    <w:p w:rsidR="00BA723B" w:rsidP="00BA723B" w14:paraId="23A681CD" w14:textId="77777777">
      <w:pPr>
        <w:pStyle w:val="BodyText"/>
        <w:widowControl w:val="0"/>
        <w:rPr>
          <w:rFonts w:ascii="Times New Roman" w:hAnsi="Times New Roman"/>
          <w:b/>
          <w:szCs w:val="24"/>
          <w:u w:val="none"/>
        </w:rPr>
      </w:pPr>
    </w:p>
    <w:p w:rsidR="00BA723B" w:rsidP="007B55B4" w14:paraId="45CE4859" w14:textId="579ADCC5">
      <w:pPr>
        <w:pStyle w:val="BodyText"/>
        <w:keepNext/>
        <w:widowControl w:val="0"/>
        <w:rPr>
          <w:rFonts w:ascii="Times New Roman" w:hAnsi="Times New Roman"/>
          <w:b/>
          <w:szCs w:val="24"/>
          <w:u w:val="none"/>
        </w:rPr>
      </w:pPr>
      <w:r>
        <w:rPr>
          <w:rFonts w:ascii="Times New Roman" w:hAnsi="Times New Roman"/>
          <w:b/>
          <w:szCs w:val="24"/>
          <w:u w:val="none"/>
        </w:rPr>
        <w:tab/>
        <w:t>13.</w:t>
      </w:r>
      <w:r>
        <w:rPr>
          <w:rFonts w:ascii="Times New Roman" w:hAnsi="Times New Roman"/>
          <w:b/>
          <w:szCs w:val="24"/>
          <w:u w:val="none"/>
        </w:rPr>
        <w:tab/>
        <w:t xml:space="preserve">Estimate of Total </w:t>
      </w:r>
      <w:r w:rsidR="00721364">
        <w:rPr>
          <w:rFonts w:ascii="Times New Roman" w:hAnsi="Times New Roman"/>
          <w:b/>
          <w:szCs w:val="24"/>
          <w:u w:val="none"/>
        </w:rPr>
        <w:t>Annualized Cost Burden</w:t>
      </w:r>
    </w:p>
    <w:p w:rsidR="00BA723B" w:rsidP="007B55B4" w14:paraId="15BA64FD" w14:textId="77777777">
      <w:pPr>
        <w:pStyle w:val="BodyText"/>
        <w:keepNext/>
        <w:widowControl w:val="0"/>
        <w:rPr>
          <w:rFonts w:ascii="Times New Roman" w:hAnsi="Times New Roman"/>
          <w:b/>
          <w:szCs w:val="24"/>
          <w:u w:val="none"/>
        </w:rPr>
      </w:pPr>
      <w:r>
        <w:rPr>
          <w:rFonts w:ascii="Times New Roman" w:hAnsi="Times New Roman"/>
          <w:b/>
          <w:szCs w:val="24"/>
          <w:u w:val="none"/>
        </w:rPr>
        <w:tab/>
      </w:r>
      <w:r>
        <w:rPr>
          <w:rFonts w:ascii="Times New Roman" w:hAnsi="Times New Roman"/>
          <w:b/>
          <w:szCs w:val="24"/>
          <w:u w:val="none"/>
        </w:rPr>
        <w:tab/>
      </w:r>
    </w:p>
    <w:p w:rsidR="00BA723B" w:rsidRPr="00721364" w:rsidP="007B55B4" w14:paraId="2AC0EB8B" w14:textId="74BC7559">
      <w:pPr>
        <w:pStyle w:val="BodyText"/>
        <w:keepNext/>
        <w:widowControl w:val="0"/>
        <w:rPr>
          <w:rFonts w:ascii="Times New Roman" w:hAnsi="Times New Roman"/>
          <w:szCs w:val="24"/>
          <w:u w:val="none"/>
        </w:rPr>
      </w:pPr>
      <w:r>
        <w:rPr>
          <w:rFonts w:ascii="Times New Roman" w:hAnsi="Times New Roman"/>
          <w:b/>
          <w:szCs w:val="24"/>
          <w:u w:val="none"/>
        </w:rPr>
        <w:tab/>
      </w:r>
      <w:r>
        <w:rPr>
          <w:rFonts w:ascii="Times New Roman" w:hAnsi="Times New Roman"/>
          <w:b/>
          <w:szCs w:val="24"/>
          <w:u w:val="none"/>
        </w:rPr>
        <w:tab/>
      </w:r>
      <w:r w:rsidR="00721364">
        <w:rPr>
          <w:rFonts w:ascii="Times New Roman" w:hAnsi="Times New Roman"/>
          <w:szCs w:val="24"/>
          <w:u w:val="none"/>
        </w:rPr>
        <w:t xml:space="preserve">The estimated cost of the burden is $123,760 (annualized). </w:t>
      </w:r>
      <w:r w:rsidR="00721364">
        <w:rPr>
          <w:rFonts w:ascii="Times New Roman" w:hAnsi="Times New Roman"/>
          <w:i/>
          <w:iCs/>
          <w:szCs w:val="24"/>
          <w:u w:val="none"/>
        </w:rPr>
        <w:t xml:space="preserve">See </w:t>
      </w:r>
      <w:r w:rsidR="00721364">
        <w:rPr>
          <w:rFonts w:ascii="Times New Roman" w:hAnsi="Times New Roman"/>
          <w:szCs w:val="24"/>
          <w:u w:val="none"/>
        </w:rPr>
        <w:t xml:space="preserve">FN 4. </w:t>
      </w:r>
    </w:p>
    <w:p w:rsidR="00BA723B" w:rsidP="00BA723B" w14:paraId="4618FEB9" w14:textId="77777777">
      <w:pPr>
        <w:pStyle w:val="BodyText"/>
        <w:widowControl w:val="0"/>
        <w:rPr>
          <w:rFonts w:ascii="Times New Roman" w:hAnsi="Times New Roman"/>
          <w:b/>
          <w:szCs w:val="24"/>
          <w:u w:val="none"/>
        </w:rPr>
      </w:pPr>
    </w:p>
    <w:p w:rsidR="00BA723B" w:rsidP="00BA723B" w14:paraId="47F0E722" w14:textId="77777777">
      <w:pPr>
        <w:pStyle w:val="BodyText"/>
        <w:widowControl w:val="0"/>
        <w:rPr>
          <w:rFonts w:ascii="Times New Roman" w:hAnsi="Times New Roman"/>
          <w:b/>
          <w:szCs w:val="24"/>
          <w:u w:val="none"/>
        </w:rPr>
      </w:pPr>
      <w:r>
        <w:rPr>
          <w:rFonts w:ascii="Times New Roman" w:hAnsi="Times New Roman"/>
          <w:b/>
          <w:szCs w:val="24"/>
          <w:u w:val="none"/>
        </w:rPr>
        <w:tab/>
        <w:t>14.</w:t>
      </w:r>
      <w:r>
        <w:rPr>
          <w:rFonts w:ascii="Times New Roman" w:hAnsi="Times New Roman"/>
          <w:b/>
          <w:szCs w:val="24"/>
          <w:u w:val="none"/>
        </w:rPr>
        <w:tab/>
        <w:t>Estimate of Cost to Federal Government</w:t>
      </w:r>
    </w:p>
    <w:p w:rsidR="00BA723B" w:rsidP="00BA723B" w14:paraId="7FDFDAB7" w14:textId="77777777">
      <w:pPr>
        <w:pStyle w:val="BodyText"/>
        <w:widowControl w:val="0"/>
        <w:rPr>
          <w:rFonts w:ascii="Times New Roman" w:hAnsi="Times New Roman"/>
          <w:b/>
          <w:szCs w:val="24"/>
          <w:u w:val="none"/>
        </w:rPr>
      </w:pPr>
    </w:p>
    <w:p w:rsidR="00BA723B" w:rsidRPr="00BA723B" w:rsidP="00BA723B" w14:paraId="49D696BD" w14:textId="77777777">
      <w:pPr>
        <w:pStyle w:val="BodyText"/>
        <w:widowControl w:val="0"/>
        <w:rPr>
          <w:rFonts w:ascii="Times New Roman" w:hAnsi="Times New Roman"/>
          <w:szCs w:val="24"/>
          <w:u w:val="none"/>
        </w:rPr>
      </w:pPr>
      <w:r>
        <w:rPr>
          <w:rFonts w:ascii="Times New Roman" w:hAnsi="Times New Roman"/>
          <w:b/>
          <w:szCs w:val="24"/>
          <w:u w:val="none"/>
        </w:rPr>
        <w:tab/>
      </w:r>
      <w:r>
        <w:rPr>
          <w:rFonts w:ascii="Times New Roman" w:hAnsi="Times New Roman"/>
          <w:b/>
          <w:szCs w:val="24"/>
          <w:u w:val="none"/>
        </w:rPr>
        <w:tab/>
      </w:r>
      <w:r>
        <w:rPr>
          <w:rFonts w:ascii="Times New Roman" w:hAnsi="Times New Roman"/>
          <w:szCs w:val="24"/>
          <w:u w:val="none"/>
        </w:rPr>
        <w:t>None.</w:t>
      </w:r>
    </w:p>
    <w:p w:rsidR="00BA723B" w:rsidP="00BA723B" w14:paraId="4861BF08" w14:textId="77777777">
      <w:pPr>
        <w:pStyle w:val="BodyText"/>
        <w:widowControl w:val="0"/>
        <w:rPr>
          <w:rFonts w:ascii="Times New Roman" w:hAnsi="Times New Roman"/>
          <w:b/>
          <w:szCs w:val="24"/>
          <w:u w:val="none"/>
        </w:rPr>
      </w:pPr>
    </w:p>
    <w:p w:rsidR="00BA723B" w:rsidP="00BA723B" w14:paraId="68EA5EBC" w14:textId="77777777">
      <w:pPr>
        <w:pStyle w:val="BodyText"/>
        <w:widowControl w:val="0"/>
        <w:rPr>
          <w:rFonts w:ascii="Times New Roman" w:hAnsi="Times New Roman"/>
          <w:b/>
          <w:szCs w:val="24"/>
          <w:u w:val="none"/>
        </w:rPr>
      </w:pPr>
      <w:r>
        <w:rPr>
          <w:rFonts w:ascii="Times New Roman" w:hAnsi="Times New Roman"/>
          <w:b/>
          <w:szCs w:val="24"/>
          <w:u w:val="none"/>
        </w:rPr>
        <w:tab/>
      </w:r>
      <w:r w:rsidRPr="0038347F">
        <w:rPr>
          <w:rFonts w:ascii="Times New Roman" w:hAnsi="Times New Roman"/>
          <w:b/>
          <w:szCs w:val="24"/>
          <w:u w:val="none"/>
        </w:rPr>
        <w:t>15.</w:t>
      </w:r>
      <w:r w:rsidRPr="0038347F">
        <w:rPr>
          <w:rFonts w:ascii="Times New Roman" w:hAnsi="Times New Roman"/>
          <w:b/>
          <w:szCs w:val="24"/>
          <w:u w:val="none"/>
        </w:rPr>
        <w:tab/>
        <w:t>Explanation of Changes in Burden</w:t>
      </w:r>
    </w:p>
    <w:p w:rsidR="001431DE" w:rsidP="00BA723B" w14:paraId="0241416B" w14:textId="77777777">
      <w:pPr>
        <w:pStyle w:val="BodyText"/>
        <w:widowControl w:val="0"/>
        <w:rPr>
          <w:rFonts w:ascii="Times New Roman" w:hAnsi="Times New Roman"/>
          <w:b/>
          <w:szCs w:val="24"/>
          <w:u w:val="none"/>
        </w:rPr>
      </w:pPr>
    </w:p>
    <w:p w:rsidR="001431DE" w:rsidP="001431DE" w14:paraId="1C7767A9" w14:textId="236B800B">
      <w:pPr>
        <w:pStyle w:val="BodyText"/>
        <w:widowControl w:val="0"/>
        <w:ind w:left="1440"/>
        <w:rPr>
          <w:rFonts w:ascii="Times New Roman" w:hAnsi="Times New Roman"/>
          <w:b/>
          <w:szCs w:val="24"/>
          <w:u w:val="none"/>
        </w:rPr>
      </w:pPr>
      <w:r>
        <w:rPr>
          <w:rFonts w:ascii="Times New Roman" w:hAnsi="Times New Roman"/>
          <w:szCs w:val="24"/>
          <w:u w:val="none"/>
        </w:rPr>
        <w:t xml:space="preserve">We estimate that amendments to the </w:t>
      </w:r>
      <w:r w:rsidR="007B55B4">
        <w:rPr>
          <w:rFonts w:ascii="Times New Roman" w:hAnsi="Times New Roman"/>
          <w:szCs w:val="24"/>
          <w:u w:val="none"/>
        </w:rPr>
        <w:t>Diversity Self-Assessment Tool (formerly the “</w:t>
      </w:r>
      <w:r>
        <w:rPr>
          <w:rFonts w:ascii="Times New Roman" w:hAnsi="Times New Roman"/>
          <w:szCs w:val="24"/>
          <w:u w:val="none"/>
        </w:rPr>
        <w:t>Diversity Assessment Report</w:t>
      </w:r>
      <w:r w:rsidR="007B55B4">
        <w:rPr>
          <w:rFonts w:ascii="Times New Roman" w:hAnsi="Times New Roman"/>
          <w:szCs w:val="24"/>
          <w:u w:val="none"/>
        </w:rPr>
        <w:t>”)</w:t>
      </w:r>
      <w:r>
        <w:rPr>
          <w:rFonts w:ascii="Times New Roman" w:hAnsi="Times New Roman"/>
          <w:szCs w:val="24"/>
          <w:u w:val="none"/>
        </w:rPr>
        <w:t xml:space="preserve"> will result in a revised annual aggregate burden hours to 1040 hours per year, with a monetized value of </w:t>
      </w:r>
      <w:r w:rsidR="00301074">
        <w:rPr>
          <w:rFonts w:ascii="Times New Roman" w:hAnsi="Times New Roman"/>
          <w:szCs w:val="24"/>
          <w:u w:val="none"/>
        </w:rPr>
        <w:t>$123,760</w:t>
      </w:r>
      <w:r>
        <w:rPr>
          <w:rFonts w:ascii="Times New Roman" w:hAnsi="Times New Roman"/>
          <w:szCs w:val="24"/>
          <w:u w:val="none"/>
        </w:rPr>
        <w:t>. This would be an aggregate decrease of 260 hours</w:t>
      </w:r>
      <w:r w:rsidR="00B030BA">
        <w:rPr>
          <w:rFonts w:ascii="Times New Roman" w:hAnsi="Times New Roman"/>
          <w:szCs w:val="24"/>
          <w:u w:val="none"/>
        </w:rPr>
        <w:t>.</w:t>
      </w:r>
      <w:r>
        <w:rPr>
          <w:rStyle w:val="FootnoteReference"/>
          <w:szCs w:val="24"/>
          <w:u w:val="none"/>
        </w:rPr>
        <w:footnoteReference w:id="6"/>
      </w:r>
      <w:r>
        <w:rPr>
          <w:rFonts w:ascii="Times New Roman" w:hAnsi="Times New Roman"/>
          <w:szCs w:val="24"/>
          <w:u w:val="none"/>
        </w:rPr>
        <w:t xml:space="preserve"> </w:t>
      </w:r>
      <w:r w:rsidRPr="00BA723B">
        <w:rPr>
          <w:rFonts w:ascii="Times New Roman" w:hAnsi="Times New Roman"/>
          <w:bCs/>
          <w:iCs/>
          <w:snapToGrid w:val="0"/>
          <w:szCs w:val="24"/>
          <w:u w:val="none"/>
        </w:rPr>
        <w:t xml:space="preserve">The change in burden is due to an adjustment to the </w:t>
      </w:r>
      <w:r>
        <w:rPr>
          <w:rFonts w:ascii="Times New Roman" w:hAnsi="Times New Roman"/>
          <w:bCs/>
          <w:iCs/>
          <w:snapToGrid w:val="0"/>
          <w:szCs w:val="24"/>
          <w:u w:val="none"/>
        </w:rPr>
        <w:t xml:space="preserve">burden hours for retrieving and submitting information due to a decrease in the number of questions in </w:t>
      </w:r>
      <w:r w:rsidR="007B55B4">
        <w:rPr>
          <w:rFonts w:ascii="Times New Roman" w:hAnsi="Times New Roman"/>
          <w:bCs/>
          <w:iCs/>
          <w:snapToGrid w:val="0"/>
          <w:szCs w:val="24"/>
          <w:u w:val="none"/>
        </w:rPr>
        <w:t xml:space="preserve">the </w:t>
      </w:r>
      <w:r>
        <w:rPr>
          <w:rFonts w:ascii="Times New Roman" w:hAnsi="Times New Roman"/>
          <w:bCs/>
          <w:iCs/>
          <w:snapToGrid w:val="0"/>
          <w:szCs w:val="24"/>
          <w:u w:val="none"/>
        </w:rPr>
        <w:t xml:space="preserve">amended </w:t>
      </w:r>
      <w:r w:rsidR="007B55B4">
        <w:rPr>
          <w:rFonts w:ascii="Times New Roman" w:hAnsi="Times New Roman"/>
          <w:bCs/>
          <w:iCs/>
          <w:snapToGrid w:val="0"/>
          <w:szCs w:val="24"/>
          <w:u w:val="none"/>
        </w:rPr>
        <w:t>Diversity Self-Assessment Tool (formerly the “</w:t>
      </w:r>
      <w:r>
        <w:rPr>
          <w:rFonts w:ascii="Times New Roman" w:hAnsi="Times New Roman"/>
          <w:bCs/>
          <w:iCs/>
          <w:snapToGrid w:val="0"/>
          <w:szCs w:val="24"/>
          <w:u w:val="none"/>
        </w:rPr>
        <w:t>Diversity Assessment Report</w:t>
      </w:r>
      <w:r w:rsidR="007B55B4">
        <w:rPr>
          <w:rFonts w:ascii="Times New Roman" w:hAnsi="Times New Roman"/>
          <w:bCs/>
          <w:iCs/>
          <w:snapToGrid w:val="0"/>
          <w:szCs w:val="24"/>
          <w:u w:val="none"/>
        </w:rPr>
        <w:t>”)</w:t>
      </w:r>
      <w:r w:rsidR="00B030BA">
        <w:rPr>
          <w:rFonts w:ascii="Times New Roman" w:hAnsi="Times New Roman"/>
          <w:bCs/>
          <w:iCs/>
          <w:snapToGrid w:val="0"/>
          <w:szCs w:val="24"/>
          <w:u w:val="none"/>
        </w:rPr>
        <w:t xml:space="preserve">, this resulted in a reduction </w:t>
      </w:r>
      <w:r w:rsidR="00291685">
        <w:rPr>
          <w:rFonts w:ascii="Times New Roman" w:hAnsi="Times New Roman"/>
          <w:bCs/>
          <w:iCs/>
          <w:snapToGrid w:val="0"/>
          <w:szCs w:val="24"/>
          <w:u w:val="none"/>
        </w:rPr>
        <w:t xml:space="preserve">in the </w:t>
      </w:r>
      <w:r w:rsidR="00B030BA">
        <w:rPr>
          <w:rFonts w:ascii="Times New Roman" w:hAnsi="Times New Roman"/>
          <w:bCs/>
          <w:iCs/>
          <w:snapToGrid w:val="0"/>
          <w:szCs w:val="24"/>
          <w:u w:val="none"/>
        </w:rPr>
        <w:t xml:space="preserve">cost burden of </w:t>
      </w:r>
      <w:r w:rsidR="00291685">
        <w:rPr>
          <w:rFonts w:ascii="Times New Roman" w:hAnsi="Times New Roman"/>
          <w:bCs/>
          <w:iCs/>
          <w:snapToGrid w:val="0"/>
          <w:szCs w:val="24"/>
          <w:u w:val="none"/>
        </w:rPr>
        <w:t>$</w:t>
      </w:r>
      <w:r w:rsidR="00B030BA">
        <w:rPr>
          <w:rFonts w:ascii="Times New Roman" w:hAnsi="Times New Roman"/>
          <w:bCs/>
          <w:iCs/>
          <w:snapToGrid w:val="0"/>
          <w:szCs w:val="24"/>
          <w:u w:val="none"/>
        </w:rPr>
        <w:t>23,140.</w:t>
      </w:r>
      <w:r>
        <w:rPr>
          <w:rStyle w:val="FootnoteReference"/>
          <w:bCs/>
          <w:iCs/>
          <w:snapToGrid w:val="0"/>
          <w:szCs w:val="24"/>
          <w:u w:val="none"/>
        </w:rPr>
        <w:footnoteReference w:id="7"/>
      </w:r>
    </w:p>
    <w:p w:rsidR="00BA723B" w:rsidP="00BA723B" w14:paraId="2BD0844E" w14:textId="77777777">
      <w:pPr>
        <w:pStyle w:val="BodyText"/>
        <w:widowControl w:val="0"/>
        <w:rPr>
          <w:rFonts w:ascii="Times New Roman" w:hAnsi="Times New Roman"/>
          <w:b/>
          <w:szCs w:val="24"/>
          <w:u w:val="none"/>
        </w:rPr>
      </w:pPr>
      <w:r>
        <w:rPr>
          <w:rFonts w:ascii="Times New Roman" w:hAnsi="Times New Roman"/>
          <w:b/>
          <w:szCs w:val="24"/>
          <w:u w:val="none"/>
        </w:rPr>
        <w:tab/>
      </w:r>
      <w:r>
        <w:rPr>
          <w:rFonts w:ascii="Times New Roman" w:hAnsi="Times New Roman"/>
          <w:b/>
          <w:szCs w:val="24"/>
          <w:u w:val="none"/>
        </w:rPr>
        <w:tab/>
      </w:r>
    </w:p>
    <w:p w:rsidR="00BA723B" w:rsidP="00BA723B" w14:paraId="797080DF" w14:textId="77777777">
      <w:pPr>
        <w:pStyle w:val="BodyText"/>
        <w:widowControl w:val="0"/>
        <w:rPr>
          <w:rFonts w:ascii="Times New Roman" w:hAnsi="Times New Roman"/>
          <w:b/>
          <w:szCs w:val="24"/>
          <w:u w:val="none"/>
        </w:rPr>
      </w:pPr>
      <w:r>
        <w:rPr>
          <w:rFonts w:ascii="Times New Roman" w:hAnsi="Times New Roman"/>
          <w:b/>
          <w:szCs w:val="24"/>
          <w:u w:val="none"/>
        </w:rPr>
        <w:tab/>
        <w:t>16.</w:t>
      </w:r>
      <w:r>
        <w:rPr>
          <w:rFonts w:ascii="Times New Roman" w:hAnsi="Times New Roman"/>
          <w:b/>
          <w:szCs w:val="24"/>
          <w:u w:val="none"/>
        </w:rPr>
        <w:tab/>
        <w:t>Information Collections Planned for Statistical Purposes</w:t>
      </w:r>
    </w:p>
    <w:p w:rsidR="00BA723B" w:rsidP="00BA723B" w14:paraId="6C0CD15D" w14:textId="77777777">
      <w:pPr>
        <w:pStyle w:val="BodyText"/>
        <w:widowControl w:val="0"/>
        <w:rPr>
          <w:rFonts w:ascii="Times New Roman" w:hAnsi="Times New Roman"/>
          <w:b/>
          <w:szCs w:val="24"/>
          <w:u w:val="none"/>
        </w:rPr>
      </w:pPr>
    </w:p>
    <w:p w:rsidR="00BA723B" w:rsidP="00BA723B" w14:paraId="42C8BB6B" w14:textId="25DC66BF">
      <w:pPr>
        <w:ind w:left="1440"/>
        <w:rPr>
          <w:szCs w:val="24"/>
        </w:rPr>
      </w:pPr>
      <w:r>
        <w:rPr>
          <w:bCs/>
          <w:iCs/>
          <w:szCs w:val="24"/>
        </w:rPr>
        <w:t>The results of this collection will not be published for statistical use. As stated in the Policy Statement, t</w:t>
      </w:r>
      <w:r w:rsidRPr="00F203C7">
        <w:rPr>
          <w:bCs/>
          <w:iCs/>
          <w:szCs w:val="24"/>
        </w:rPr>
        <w:t xml:space="preserve">he </w:t>
      </w:r>
      <w:r>
        <w:rPr>
          <w:bCs/>
          <w:iCs/>
          <w:szCs w:val="24"/>
        </w:rPr>
        <w:t>SEC</w:t>
      </w:r>
      <w:r w:rsidRPr="00F203C7">
        <w:rPr>
          <w:bCs/>
          <w:iCs/>
          <w:szCs w:val="24"/>
        </w:rPr>
        <w:t xml:space="preserve"> may publish</w:t>
      </w:r>
      <w:r>
        <w:rPr>
          <w:bCs/>
          <w:iCs/>
          <w:szCs w:val="24"/>
        </w:rPr>
        <w:t xml:space="preserve"> information disclosed </w:t>
      </w:r>
      <w:r w:rsidRPr="00F203C7">
        <w:rPr>
          <w:bCs/>
          <w:iCs/>
          <w:szCs w:val="24"/>
        </w:rPr>
        <w:t>such as best practices, in a</w:t>
      </w:r>
      <w:r>
        <w:rPr>
          <w:bCs/>
          <w:iCs/>
          <w:szCs w:val="24"/>
        </w:rPr>
        <w:t>ny</w:t>
      </w:r>
      <w:r w:rsidRPr="00F203C7">
        <w:rPr>
          <w:bCs/>
          <w:iCs/>
          <w:szCs w:val="24"/>
        </w:rPr>
        <w:t xml:space="preserve"> form that does not identify a particular entity or disclose confidential business information.</w:t>
      </w:r>
      <w:r w:rsidRPr="00F203C7">
        <w:rPr>
          <w:szCs w:val="24"/>
        </w:rPr>
        <w:t xml:space="preserve"> </w:t>
      </w:r>
      <w:r>
        <w:rPr>
          <w:szCs w:val="24"/>
        </w:rPr>
        <w:t xml:space="preserve">The SEC will not generalize results beyond the particular regulated entities submitting </w:t>
      </w:r>
      <w:r w:rsidR="007B55B4">
        <w:rPr>
          <w:szCs w:val="24"/>
        </w:rPr>
        <w:t>self-assessments</w:t>
      </w:r>
      <w:r>
        <w:rPr>
          <w:szCs w:val="24"/>
        </w:rPr>
        <w:t xml:space="preserve">. </w:t>
      </w:r>
      <w:r w:rsidRPr="00F203C7">
        <w:rPr>
          <w:szCs w:val="24"/>
        </w:rPr>
        <w:t xml:space="preserve">At the current time, no further plans have been made with respect to publication. </w:t>
      </w:r>
    </w:p>
    <w:p w:rsidR="00BA723B" w:rsidRPr="00BA723B" w:rsidP="00BA723B" w14:paraId="29CAE199" w14:textId="77777777">
      <w:pPr>
        <w:ind w:left="1440"/>
        <w:rPr>
          <w:b/>
          <w:szCs w:val="24"/>
        </w:rPr>
      </w:pPr>
    </w:p>
    <w:p w:rsidR="00BA723B" w:rsidP="00BA723B" w14:paraId="673D695F" w14:textId="77777777">
      <w:pPr>
        <w:widowControl/>
        <w:ind w:firstLine="720"/>
        <w:rPr>
          <w:b/>
          <w:snapToGrid/>
          <w:szCs w:val="24"/>
        </w:rPr>
      </w:pPr>
      <w:r>
        <w:rPr>
          <w:b/>
          <w:snapToGrid/>
          <w:szCs w:val="24"/>
        </w:rPr>
        <w:t>17.</w:t>
      </w:r>
      <w:r>
        <w:rPr>
          <w:b/>
          <w:snapToGrid/>
          <w:szCs w:val="24"/>
        </w:rPr>
        <w:tab/>
        <w:t>Display of OMB Expiration Date</w:t>
      </w:r>
    </w:p>
    <w:p w:rsidR="00BA723B" w:rsidP="00BA723B" w14:paraId="3A004398" w14:textId="77777777">
      <w:pPr>
        <w:widowControl/>
        <w:ind w:firstLine="720"/>
        <w:rPr>
          <w:b/>
          <w:snapToGrid/>
          <w:szCs w:val="24"/>
        </w:rPr>
      </w:pPr>
    </w:p>
    <w:p w:rsidR="00BA723B" w:rsidP="00BA723B" w14:paraId="372DEF24" w14:textId="358AED49">
      <w:pPr>
        <w:widowControl/>
        <w:ind w:left="1440"/>
        <w:rPr>
          <w:b/>
          <w:snapToGrid/>
          <w:szCs w:val="24"/>
        </w:rPr>
      </w:pPr>
      <w:r w:rsidRPr="00F203C7">
        <w:rPr>
          <w:szCs w:val="24"/>
        </w:rPr>
        <w:t xml:space="preserve">The </w:t>
      </w:r>
      <w:r>
        <w:rPr>
          <w:szCs w:val="24"/>
        </w:rPr>
        <w:t>SEC</w:t>
      </w:r>
      <w:r w:rsidRPr="00F203C7">
        <w:rPr>
          <w:szCs w:val="24"/>
        </w:rPr>
        <w:t xml:space="preserve"> do</w:t>
      </w:r>
      <w:r>
        <w:rPr>
          <w:szCs w:val="24"/>
        </w:rPr>
        <w:t>es</w:t>
      </w:r>
      <w:r w:rsidRPr="00F203C7">
        <w:rPr>
          <w:szCs w:val="24"/>
        </w:rPr>
        <w:t xml:space="preserve"> not seek approval to not display the expiration date for OMB approval for the information collection.  </w:t>
      </w:r>
      <w:r w:rsidRPr="00F203C7">
        <w:t>The OMB control number and expiration date will be displayed on the</w:t>
      </w:r>
      <w:r>
        <w:t xml:space="preserve"> </w:t>
      </w:r>
      <w:r w:rsidR="007B55B4">
        <w:t>self-assessment</w:t>
      </w:r>
      <w:r>
        <w:t xml:space="preserve"> form, as well as in </w:t>
      </w:r>
      <w:r w:rsidRPr="00F203C7">
        <w:t xml:space="preserve">Federal government’s electronic PRA docket at </w:t>
      </w:r>
      <w:hyperlink r:id="rId10" w:history="1">
        <w:r w:rsidRPr="008C20A9">
          <w:rPr>
            <w:rStyle w:val="Hyperlink"/>
          </w:rPr>
          <w:t>www.reginfo.gov</w:t>
        </w:r>
      </w:hyperlink>
      <w:r w:rsidRPr="00F203C7">
        <w:t>.</w:t>
      </w:r>
    </w:p>
    <w:p w:rsidR="00BA723B" w:rsidP="00BA723B" w14:paraId="783C1882" w14:textId="77777777">
      <w:pPr>
        <w:widowControl/>
        <w:ind w:left="1440"/>
        <w:rPr>
          <w:b/>
          <w:snapToGrid/>
          <w:szCs w:val="24"/>
        </w:rPr>
      </w:pPr>
    </w:p>
    <w:p w:rsidR="00BA723B" w:rsidP="00BA723B" w14:paraId="34852AAA" w14:textId="77777777">
      <w:pPr>
        <w:widowControl/>
        <w:ind w:firstLine="720"/>
        <w:rPr>
          <w:b/>
          <w:snapToGrid/>
          <w:szCs w:val="24"/>
        </w:rPr>
      </w:pPr>
      <w:r>
        <w:rPr>
          <w:b/>
          <w:snapToGrid/>
          <w:szCs w:val="24"/>
        </w:rPr>
        <w:t>18.</w:t>
      </w:r>
      <w:r>
        <w:rPr>
          <w:b/>
          <w:snapToGrid/>
          <w:szCs w:val="24"/>
        </w:rPr>
        <w:tab/>
        <w:t>Exceptions to Certification</w:t>
      </w:r>
    </w:p>
    <w:p w:rsidR="00BA723B" w:rsidP="00BA723B" w14:paraId="73C283E9" w14:textId="77777777">
      <w:pPr>
        <w:widowControl/>
        <w:ind w:firstLine="720"/>
        <w:rPr>
          <w:b/>
          <w:snapToGrid/>
          <w:szCs w:val="24"/>
        </w:rPr>
      </w:pPr>
    </w:p>
    <w:p w:rsidR="00BA723B" w:rsidRPr="00F203C7" w:rsidP="001431DE" w14:paraId="084B7EC7" w14:textId="79ADB59B">
      <w:pPr>
        <w:ind w:left="1440"/>
        <w:rPr>
          <w:szCs w:val="24"/>
        </w:rPr>
      </w:pPr>
      <w:r w:rsidRPr="00F203C7">
        <w:rPr>
          <w:szCs w:val="24"/>
        </w:rPr>
        <w:t xml:space="preserve">The </w:t>
      </w:r>
      <w:r>
        <w:rPr>
          <w:szCs w:val="24"/>
        </w:rPr>
        <w:t>SEC</w:t>
      </w:r>
      <w:r w:rsidRPr="00F203C7">
        <w:rPr>
          <w:szCs w:val="24"/>
        </w:rPr>
        <w:t xml:space="preserve"> certif</w:t>
      </w:r>
      <w:r>
        <w:rPr>
          <w:szCs w:val="24"/>
        </w:rPr>
        <w:t>ies</w:t>
      </w:r>
      <w:r w:rsidRPr="00F203C7">
        <w:rPr>
          <w:szCs w:val="24"/>
        </w:rPr>
        <w:t xml:space="preserve"> that this collection of information is consistent with the requirements of 5 C.F.R. 1320.9 and the related provisions of 5 C.F.R.</w:t>
      </w:r>
      <w:r w:rsidR="00290873">
        <w:rPr>
          <w:szCs w:val="24"/>
        </w:rPr>
        <w:t> </w:t>
      </w:r>
      <w:r w:rsidRPr="00F203C7">
        <w:rPr>
          <w:szCs w:val="24"/>
        </w:rPr>
        <w:t>1320.8(b)(3), and the</w:t>
      </w:r>
      <w:r>
        <w:rPr>
          <w:szCs w:val="24"/>
        </w:rPr>
        <w:t xml:space="preserve"> </w:t>
      </w:r>
      <w:r w:rsidR="00287534">
        <w:rPr>
          <w:szCs w:val="24"/>
        </w:rPr>
        <w:t>SEC</w:t>
      </w:r>
      <w:r>
        <w:rPr>
          <w:szCs w:val="24"/>
        </w:rPr>
        <w:t xml:space="preserve"> is</w:t>
      </w:r>
      <w:r w:rsidRPr="00F203C7">
        <w:rPr>
          <w:szCs w:val="24"/>
        </w:rPr>
        <w:t xml:space="preserve"> not seeking an exemption to these certification requirements.</w:t>
      </w:r>
    </w:p>
    <w:p w:rsidR="00BA723B" w:rsidP="00BA723B" w14:paraId="534B58F5" w14:textId="77777777">
      <w:pPr>
        <w:widowControl/>
        <w:rPr>
          <w:b/>
          <w:snapToGrid/>
          <w:szCs w:val="24"/>
        </w:rPr>
      </w:pPr>
    </w:p>
    <w:p w:rsidR="00BA723B" w:rsidP="00721364" w14:paraId="0CA07F7B" w14:textId="77777777">
      <w:pPr>
        <w:keepNext/>
        <w:widowControl/>
        <w:ind w:left="720" w:hanging="720"/>
        <w:rPr>
          <w:b/>
          <w:snapToGrid/>
          <w:szCs w:val="24"/>
        </w:rPr>
      </w:pPr>
      <w:r>
        <w:rPr>
          <w:b/>
          <w:snapToGrid/>
          <w:szCs w:val="24"/>
        </w:rPr>
        <w:t>B.</w:t>
      </w:r>
      <w:r>
        <w:rPr>
          <w:b/>
          <w:snapToGrid/>
          <w:szCs w:val="24"/>
        </w:rPr>
        <w:tab/>
        <w:t xml:space="preserve">COLLECTION OF INFORMATION </w:t>
      </w:r>
      <w:r w:rsidR="001D2427">
        <w:rPr>
          <w:b/>
          <w:snapToGrid/>
          <w:szCs w:val="24"/>
        </w:rPr>
        <w:t>EMPLOYME</w:t>
      </w:r>
      <w:r>
        <w:rPr>
          <w:b/>
          <w:snapToGrid/>
          <w:szCs w:val="24"/>
        </w:rPr>
        <w:t>N</w:t>
      </w:r>
      <w:r w:rsidR="001D2427">
        <w:rPr>
          <w:b/>
          <w:snapToGrid/>
          <w:szCs w:val="24"/>
        </w:rPr>
        <w:t>T</w:t>
      </w:r>
      <w:r>
        <w:rPr>
          <w:b/>
          <w:snapToGrid/>
          <w:szCs w:val="24"/>
        </w:rPr>
        <w:t xml:space="preserve"> STATISTICAL METHODS</w:t>
      </w:r>
    </w:p>
    <w:p w:rsidR="00BA723B" w:rsidP="00721364" w14:paraId="0447484F" w14:textId="77777777">
      <w:pPr>
        <w:pStyle w:val="BodyText"/>
        <w:keepNext/>
        <w:rPr>
          <w:rFonts w:ascii="Times New Roman" w:hAnsi="Times New Roman"/>
          <w:szCs w:val="24"/>
        </w:rPr>
      </w:pPr>
    </w:p>
    <w:p w:rsidR="00BA723B" w:rsidRPr="000E158B" w:rsidP="00721364" w14:paraId="3DADC223" w14:textId="62A01598">
      <w:pPr>
        <w:pStyle w:val="BodyText"/>
        <w:keepNext/>
        <w:ind w:left="720"/>
        <w:rPr>
          <w:rFonts w:ascii="Times New Roman" w:hAnsi="Times New Roman"/>
          <w:szCs w:val="24"/>
          <w:u w:val="none"/>
        </w:rPr>
      </w:pPr>
      <w:r w:rsidRPr="000E158B">
        <w:rPr>
          <w:rFonts w:ascii="Times New Roman" w:hAnsi="Times New Roman"/>
          <w:szCs w:val="24"/>
          <w:u w:val="none"/>
        </w:rPr>
        <w:t>Not applicable.</w:t>
      </w:r>
      <w:r w:rsidR="005457E2">
        <w:rPr>
          <w:rFonts w:ascii="Times New Roman" w:hAnsi="Times New Roman"/>
          <w:szCs w:val="24"/>
          <w:u w:val="none"/>
        </w:rPr>
        <w:t xml:space="preserve"> </w:t>
      </w:r>
      <w:r w:rsidRPr="000E158B">
        <w:rPr>
          <w:rFonts w:ascii="Times New Roman" w:hAnsi="Times New Roman"/>
          <w:szCs w:val="24"/>
          <w:u w:val="none"/>
        </w:rPr>
        <w:t xml:space="preserve">This collection of information does not involve the use of statistical methods. </w:t>
      </w:r>
    </w:p>
    <w:p w:rsidR="00BA723B" w:rsidRPr="00BA723B" w:rsidP="00BA723B" w14:paraId="4DFD7E79" w14:textId="77777777">
      <w:pPr>
        <w:widowControl/>
        <w:ind w:left="720" w:hanging="720"/>
        <w:rPr>
          <w:b/>
          <w:snapToGrid/>
          <w:szCs w:val="24"/>
        </w:rPr>
      </w:pPr>
    </w:p>
    <w:p w:rsidR="00A83530" w:rsidRPr="00BA723B" w14:paraId="10E9C5EC" w14:textId="77777777">
      <w:pPr>
        <w:rPr>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PS">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4E46" w:rsidP="00BA723B" w14:paraId="13102CEB" w14:textId="77777777">
      <w:r>
        <w:separator/>
      </w:r>
    </w:p>
  </w:footnote>
  <w:footnote w:type="continuationSeparator" w:id="1">
    <w:p w:rsidR="00E44E46" w:rsidP="00BA723B" w14:paraId="57D87DF7" w14:textId="77777777">
      <w:r>
        <w:continuationSeparator/>
      </w:r>
    </w:p>
  </w:footnote>
  <w:footnote w:id="2">
    <w:p w:rsidR="00BA723B" w:rsidP="00BA723B" w14:paraId="3E51A9AF" w14:textId="77777777">
      <w:pPr>
        <w:pStyle w:val="FootnoteText"/>
      </w:pPr>
      <w:r>
        <w:rPr>
          <w:rStyle w:val="FootnoteReference"/>
        </w:rPr>
        <w:footnoteRef/>
      </w:r>
      <w:r w:rsidRPr="005C2BED">
        <w:rPr>
          <w:rFonts w:ascii="Times New Roman" w:hAnsi="Times New Roman"/>
        </w:rPr>
        <w:t>80 F</w:t>
      </w:r>
      <w:r>
        <w:rPr>
          <w:rFonts w:ascii="Times New Roman" w:hAnsi="Times New Roman"/>
        </w:rPr>
        <w:t>R</w:t>
      </w:r>
      <w:r w:rsidRPr="005C2BED">
        <w:rPr>
          <w:rFonts w:ascii="Times New Roman" w:hAnsi="Times New Roman"/>
        </w:rPr>
        <w:t xml:space="preserve"> 33016.</w:t>
      </w:r>
    </w:p>
  </w:footnote>
  <w:footnote w:id="3">
    <w:p w:rsidR="00BA723B" w:rsidP="00BA723B" w14:paraId="5DE7872C" w14:textId="3D767A8A">
      <w:r>
        <w:rPr>
          <w:rStyle w:val="FootnoteReference"/>
        </w:rPr>
        <w:footnoteRef/>
      </w:r>
      <w:r>
        <w:t xml:space="preserve"> </w:t>
      </w:r>
      <w:r w:rsidRPr="008C5512">
        <w:rPr>
          <w:sz w:val="20"/>
        </w:rPr>
        <w:t>Section II</w:t>
      </w:r>
      <w:r>
        <w:rPr>
          <w:sz w:val="20"/>
        </w:rPr>
        <w:t>I</w:t>
      </w:r>
      <w:r w:rsidRPr="008C5512">
        <w:rPr>
          <w:sz w:val="20"/>
        </w:rPr>
        <w:t xml:space="preserve"> of the </w:t>
      </w:r>
      <w:r w:rsidR="007B55B4">
        <w:rPr>
          <w:sz w:val="20"/>
        </w:rPr>
        <w:t>Diversity Self-Assessment Tool (previously the “Diversity Assessment Report”)</w:t>
      </w:r>
      <w:r w:rsidRPr="008C5512">
        <w:rPr>
          <w:sz w:val="20"/>
        </w:rPr>
        <w:t xml:space="preserve"> requests workforce demographic data using the same categories for race and ethnicity</w:t>
      </w:r>
      <w:r w:rsidRPr="00AF3EFC">
        <w:rPr>
          <w:sz w:val="20"/>
        </w:rPr>
        <w:t xml:space="preserve"> EEOC adopted for the</w:t>
      </w:r>
      <w:r>
        <w:rPr>
          <w:sz w:val="20"/>
        </w:rPr>
        <w:t xml:space="preserve"> Standard Form 100, Employer</w:t>
      </w:r>
      <w:r w:rsidRPr="00AF3EFC">
        <w:rPr>
          <w:sz w:val="20"/>
        </w:rPr>
        <w:t xml:space="preserve"> </w:t>
      </w:r>
      <w:r>
        <w:rPr>
          <w:sz w:val="20"/>
        </w:rPr>
        <w:t>Information Report, commonly referred to as the EEO-1 Report.</w:t>
      </w:r>
      <w:r>
        <w:rPr>
          <w:color w:val="000000"/>
          <w:sz w:val="20"/>
        </w:rPr>
        <w:t xml:space="preserve"> </w:t>
      </w:r>
      <w:r w:rsidRPr="008C5512">
        <w:rPr>
          <w:snapToGrid/>
          <w:color w:val="000000"/>
          <w:sz w:val="20"/>
        </w:rPr>
        <w:t>These categories are consistent with the minimum standards for maintaining, collecting</w:t>
      </w:r>
      <w:r>
        <w:rPr>
          <w:color w:val="000000"/>
          <w:sz w:val="20"/>
        </w:rPr>
        <w:t>,</w:t>
      </w:r>
      <w:r w:rsidRPr="008C5512">
        <w:rPr>
          <w:snapToGrid/>
          <w:color w:val="000000"/>
          <w:sz w:val="20"/>
        </w:rPr>
        <w:t xml:space="preserve"> and presenting data on race and ethnicity prescribed by OMB. </w:t>
      </w:r>
      <w:r>
        <w:rPr>
          <w:color w:val="000000"/>
          <w:sz w:val="20"/>
        </w:rPr>
        <w:t xml:space="preserve"> </w:t>
      </w:r>
      <w:r w:rsidRPr="00D32A44">
        <w:rPr>
          <w:i/>
          <w:snapToGrid/>
          <w:color w:val="000000"/>
          <w:sz w:val="20"/>
        </w:rPr>
        <w:t>See</w:t>
      </w:r>
      <w:r w:rsidRPr="008C5512">
        <w:rPr>
          <w:snapToGrid/>
          <w:color w:val="000000"/>
          <w:sz w:val="20"/>
        </w:rPr>
        <w:t xml:space="preserve"> Revised Standards for the Classification of Federal Data on Race and Ethnicity, 62 FR 58782 (October 30, 1997).</w:t>
      </w:r>
    </w:p>
    <w:p w:rsidR="00BA723B" w:rsidP="00BA723B" w14:paraId="163992B5" w14:textId="77777777">
      <w:pPr>
        <w:pStyle w:val="FootnoteText"/>
      </w:pPr>
    </w:p>
  </w:footnote>
  <w:footnote w:id="4">
    <w:p w:rsidR="001D2427" w:rsidRPr="001D2427" w14:paraId="39BDD690" w14:textId="77777777">
      <w:pPr>
        <w:pStyle w:val="FootnoteText"/>
        <w:rPr>
          <w:rFonts w:ascii="Times New Roman" w:hAnsi="Times New Roman"/>
        </w:rPr>
      </w:pPr>
      <w:r w:rsidRPr="001D2427">
        <w:rPr>
          <w:rStyle w:val="FootnoteReference"/>
          <w:sz w:val="20"/>
        </w:rPr>
        <w:footnoteRef/>
      </w:r>
      <w:r w:rsidRPr="001D2427">
        <w:rPr>
          <w:rFonts w:ascii="Times New Roman" w:hAnsi="Times New Roman"/>
        </w:rPr>
        <w:t xml:space="preserve"> 44 U.S.C. 3501 et seq.</w:t>
      </w:r>
    </w:p>
  </w:footnote>
  <w:footnote w:id="5">
    <w:p w:rsidR="001431DE" w:rsidP="001431DE" w14:paraId="42DD1D9E" w14:textId="77777777">
      <w:pPr>
        <w:pStyle w:val="FootnoteText"/>
      </w:pPr>
      <w:r w:rsidRPr="0038347F">
        <w:rPr>
          <w:rStyle w:val="FootnoteReference"/>
        </w:rPr>
        <w:footnoteRef/>
      </w:r>
      <w:r w:rsidRPr="0038347F">
        <w:t xml:space="preserve"> </w:t>
      </w:r>
      <w:bookmarkStart w:id="0" w:name="_Hlk140657897"/>
      <w:r w:rsidRPr="0038347F">
        <w:rPr>
          <w:rFonts w:ascii="Times New Roman" w:hAnsi="Times New Roman"/>
          <w:szCs w:val="24"/>
        </w:rPr>
        <w:t xml:space="preserve">This is based on Bureau of Labor Statistics May </w:t>
      </w:r>
      <w:r w:rsidRPr="0038347F" w:rsidR="00301074">
        <w:rPr>
          <w:rFonts w:ascii="Times New Roman" w:hAnsi="Times New Roman"/>
          <w:szCs w:val="24"/>
        </w:rPr>
        <w:t>2021</w:t>
      </w:r>
      <w:r w:rsidRPr="0038347F">
        <w:rPr>
          <w:rFonts w:ascii="Times New Roman" w:hAnsi="Times New Roman"/>
          <w:szCs w:val="24"/>
        </w:rPr>
        <w:t xml:space="preserve"> Industry-Specific Occupational Employment and Wage Estimates for Securities and Commodity Contracts Intermediation and Brokerage (NAICS 523100). We use $</w:t>
      </w:r>
      <w:r w:rsidRPr="0038347F" w:rsidR="00301074">
        <w:rPr>
          <w:rFonts w:ascii="Times New Roman" w:hAnsi="Times New Roman"/>
          <w:szCs w:val="24"/>
        </w:rPr>
        <w:t>119</w:t>
      </w:r>
      <w:r w:rsidRPr="0038347F">
        <w:rPr>
          <w:rFonts w:ascii="Times New Roman" w:hAnsi="Times New Roman"/>
          <w:szCs w:val="24"/>
        </w:rPr>
        <w:t xml:space="preserve"> per hour as the estimated compensation costs for the collection of information. This estimate reflects the mean hourly wage of $</w:t>
      </w:r>
      <w:r w:rsidRPr="0038347F" w:rsidR="00301074">
        <w:rPr>
          <w:rFonts w:ascii="Times New Roman" w:hAnsi="Times New Roman"/>
          <w:szCs w:val="24"/>
        </w:rPr>
        <w:t>87.69</w:t>
      </w:r>
      <w:r w:rsidRPr="0038347F">
        <w:rPr>
          <w:rFonts w:ascii="Times New Roman" w:hAnsi="Times New Roman"/>
          <w:szCs w:val="24"/>
        </w:rPr>
        <w:t xml:space="preserve"> per hour for human resources managers adjusted for </w:t>
      </w:r>
      <w:r w:rsidRPr="0038347F" w:rsidR="00301074">
        <w:rPr>
          <w:rFonts w:ascii="Times New Roman" w:hAnsi="Times New Roman"/>
          <w:szCs w:val="24"/>
        </w:rPr>
        <w:t xml:space="preserve">annual </w:t>
      </w:r>
      <w:r w:rsidRPr="0038347F">
        <w:rPr>
          <w:rFonts w:ascii="Times New Roman" w:hAnsi="Times New Roman"/>
          <w:szCs w:val="24"/>
        </w:rPr>
        <w:t>inflation (at 2 percent</w:t>
      </w:r>
      <w:r w:rsidRPr="0038347F" w:rsidR="00301074">
        <w:rPr>
          <w:rFonts w:ascii="Times New Roman" w:hAnsi="Times New Roman"/>
          <w:szCs w:val="24"/>
        </w:rPr>
        <w:t xml:space="preserve"> per year</w:t>
      </w:r>
      <w:r w:rsidRPr="0038347F">
        <w:rPr>
          <w:rFonts w:ascii="Times New Roman" w:hAnsi="Times New Roman"/>
          <w:szCs w:val="24"/>
        </w:rPr>
        <w:t>), plus an additional 30 percent to cover the average private sector costs of employee benefits.</w:t>
      </w:r>
      <w:bookmarkEnd w:id="0"/>
    </w:p>
  </w:footnote>
  <w:footnote w:id="6">
    <w:p w:rsidR="00291685" w:rsidRPr="00527BC9" w14:paraId="6E1BDDF7" w14:textId="2879EFB2">
      <w:pPr>
        <w:pStyle w:val="FootnoteText"/>
        <w:rPr>
          <w:rFonts w:ascii="Times New Roman" w:hAnsi="Times New Roman"/>
        </w:rPr>
      </w:pPr>
      <w:r w:rsidRPr="00527BC9">
        <w:rPr>
          <w:rStyle w:val="FootnoteReference"/>
          <w:sz w:val="20"/>
        </w:rPr>
        <w:footnoteRef/>
      </w:r>
      <w:r w:rsidRPr="00527BC9">
        <w:rPr>
          <w:rFonts w:ascii="Times New Roman" w:hAnsi="Times New Roman"/>
        </w:rPr>
        <w:t xml:space="preserve"> The previously approved </w:t>
      </w:r>
      <w:r>
        <w:rPr>
          <w:rFonts w:ascii="Times New Roman" w:hAnsi="Times New Roman"/>
        </w:rPr>
        <w:t>time</w:t>
      </w:r>
      <w:r w:rsidRPr="00527BC9">
        <w:rPr>
          <w:rFonts w:ascii="Times New Roman" w:hAnsi="Times New Roman"/>
        </w:rPr>
        <w:t xml:space="preserve"> burden was 1300</w:t>
      </w:r>
      <w:r>
        <w:rPr>
          <w:rFonts w:ascii="Times New Roman" w:hAnsi="Times New Roman"/>
        </w:rPr>
        <w:t xml:space="preserve"> hours</w:t>
      </w:r>
      <w:r w:rsidRPr="00527BC9">
        <w:rPr>
          <w:rFonts w:ascii="Times New Roman" w:hAnsi="Times New Roman"/>
        </w:rPr>
        <w:t>.</w:t>
      </w:r>
    </w:p>
  </w:footnote>
  <w:footnote w:id="7">
    <w:p w:rsidR="00291685" w:rsidRPr="00527BC9" w14:paraId="31E034C1" w14:textId="55A51EF7">
      <w:pPr>
        <w:pStyle w:val="FootnoteText"/>
        <w:rPr>
          <w:rFonts w:ascii="Times New Roman" w:hAnsi="Times New Roman"/>
        </w:rPr>
      </w:pPr>
      <w:r w:rsidRPr="00527BC9">
        <w:rPr>
          <w:rStyle w:val="FootnoteReference"/>
          <w:sz w:val="20"/>
        </w:rPr>
        <w:footnoteRef/>
      </w:r>
      <w:r w:rsidRPr="00527BC9">
        <w:rPr>
          <w:rFonts w:ascii="Times New Roman" w:hAnsi="Times New Roman"/>
        </w:rPr>
        <w:t xml:space="preserve"> The previously approved cost burden was $146,900.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23B"/>
    <w:rsid w:val="000D5477"/>
    <w:rsid w:val="000E158B"/>
    <w:rsid w:val="00134BF4"/>
    <w:rsid w:val="001431DE"/>
    <w:rsid w:val="001952BD"/>
    <w:rsid w:val="001C3800"/>
    <w:rsid w:val="001D2427"/>
    <w:rsid w:val="001F5A71"/>
    <w:rsid w:val="00287534"/>
    <w:rsid w:val="00290873"/>
    <w:rsid w:val="00291685"/>
    <w:rsid w:val="00301074"/>
    <w:rsid w:val="0038347F"/>
    <w:rsid w:val="004D0CA1"/>
    <w:rsid w:val="004F443E"/>
    <w:rsid w:val="004F7E3A"/>
    <w:rsid w:val="005256E4"/>
    <w:rsid w:val="00527BC9"/>
    <w:rsid w:val="005457E2"/>
    <w:rsid w:val="005C2BED"/>
    <w:rsid w:val="00721364"/>
    <w:rsid w:val="007B55B4"/>
    <w:rsid w:val="00816D06"/>
    <w:rsid w:val="008C20A9"/>
    <w:rsid w:val="008C3603"/>
    <w:rsid w:val="008C5512"/>
    <w:rsid w:val="009C2031"/>
    <w:rsid w:val="00A031E3"/>
    <w:rsid w:val="00A83530"/>
    <w:rsid w:val="00AF3EFC"/>
    <w:rsid w:val="00B030BA"/>
    <w:rsid w:val="00BA723B"/>
    <w:rsid w:val="00C471B3"/>
    <w:rsid w:val="00D04145"/>
    <w:rsid w:val="00D32A44"/>
    <w:rsid w:val="00D579D4"/>
    <w:rsid w:val="00D74282"/>
    <w:rsid w:val="00D86D1F"/>
    <w:rsid w:val="00E44E46"/>
    <w:rsid w:val="00EC370D"/>
    <w:rsid w:val="00F203C7"/>
    <w:rsid w:val="00F469F0"/>
    <w:rsid w:val="00F704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DC907"/>
  <w15:chartTrackingRefBased/>
  <w15:docId w15:val="{9F253644-B701-4093-9CBD-DF5A5A52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23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BA723B"/>
    <w:rPr>
      <w:rFonts w:ascii="Times New Roman" w:hAnsi="Times New Roman"/>
      <w:sz w:val="24"/>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rsid w:val="00BA723B"/>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BA723B"/>
    <w:rPr>
      <w:rFonts w:ascii="CourierPS" w:eastAsia="Times New Roman" w:hAnsi="CourierPS" w:cs="Times New Roman"/>
      <w:sz w:val="20"/>
      <w:szCs w:val="20"/>
    </w:rPr>
  </w:style>
  <w:style w:type="paragraph" w:styleId="BodyText">
    <w:name w:val="Body Text"/>
    <w:basedOn w:val="Normal"/>
    <w:link w:val="BodyTextChar"/>
    <w:unhideWhenUsed/>
    <w:qFormat/>
    <w:rsid w:val="00BA723B"/>
    <w:pPr>
      <w:widowControl/>
    </w:pPr>
    <w:rPr>
      <w:rFonts w:ascii="Arial Narrow" w:hAnsi="Arial Narrow"/>
      <w:snapToGrid/>
      <w:u w:val="single"/>
    </w:rPr>
  </w:style>
  <w:style w:type="character" w:customStyle="1" w:styleId="BodyTextChar">
    <w:name w:val="Body Text Char"/>
    <w:basedOn w:val="DefaultParagraphFont"/>
    <w:link w:val="BodyText"/>
    <w:rsid w:val="00BA723B"/>
    <w:rPr>
      <w:rFonts w:ascii="Arial Narrow" w:eastAsia="Times New Roman" w:hAnsi="Arial Narrow" w:cs="Times New Roman"/>
      <w:sz w:val="24"/>
      <w:szCs w:val="20"/>
      <w:u w:val="single"/>
    </w:rPr>
  </w:style>
  <w:style w:type="character" w:styleId="Hyperlink">
    <w:name w:val="Hyperlink"/>
    <w:uiPriority w:val="99"/>
    <w:unhideWhenUsed/>
    <w:rsid w:val="00BA723B"/>
    <w:rPr>
      <w:color w:val="0000FF"/>
      <w:u w:val="single"/>
    </w:rPr>
  </w:style>
  <w:style w:type="character" w:styleId="CommentReference">
    <w:name w:val="annotation reference"/>
    <w:basedOn w:val="DefaultParagraphFont"/>
    <w:uiPriority w:val="99"/>
    <w:semiHidden/>
    <w:unhideWhenUsed/>
    <w:rsid w:val="005256E4"/>
    <w:rPr>
      <w:sz w:val="16"/>
      <w:szCs w:val="16"/>
    </w:rPr>
  </w:style>
  <w:style w:type="paragraph" w:styleId="CommentText">
    <w:name w:val="annotation text"/>
    <w:basedOn w:val="Normal"/>
    <w:link w:val="CommentTextChar"/>
    <w:uiPriority w:val="99"/>
    <w:unhideWhenUsed/>
    <w:rsid w:val="005256E4"/>
    <w:rPr>
      <w:sz w:val="20"/>
    </w:rPr>
  </w:style>
  <w:style w:type="character" w:customStyle="1" w:styleId="CommentTextChar">
    <w:name w:val="Comment Text Char"/>
    <w:basedOn w:val="DefaultParagraphFont"/>
    <w:link w:val="CommentText"/>
    <w:uiPriority w:val="99"/>
    <w:rsid w:val="005256E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256E4"/>
    <w:rPr>
      <w:b/>
      <w:bCs/>
    </w:rPr>
  </w:style>
  <w:style w:type="character" w:customStyle="1" w:styleId="CommentSubjectChar">
    <w:name w:val="Comment Subject Char"/>
    <w:basedOn w:val="CommentTextChar"/>
    <w:link w:val="CommentSubject"/>
    <w:uiPriority w:val="99"/>
    <w:semiHidden/>
    <w:rsid w:val="005256E4"/>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5256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6E4"/>
    <w:rPr>
      <w:rFonts w:ascii="Segoe UI" w:eastAsia="Times New Roman" w:hAnsi="Segoe UI" w:cs="Segoe UI"/>
      <w:snapToGrid w:val="0"/>
      <w:sz w:val="18"/>
      <w:szCs w:val="18"/>
    </w:rPr>
  </w:style>
  <w:style w:type="paragraph" w:styleId="Revision">
    <w:name w:val="Revision"/>
    <w:hidden/>
    <w:uiPriority w:val="99"/>
    <w:semiHidden/>
    <w:rsid w:val="00816D06"/>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9" ma:contentTypeDescription="" ma:contentTypeScope="" ma:versionID="b80553456ac7469431ef1075e4c46b7a">
  <xsd:schema xmlns:xsd="http://www.w3.org/2001/XMLSchema" xmlns:xs="http://www.w3.org/2001/XMLSchema" xmlns:p="http://schemas.microsoft.com/office/2006/metadata/properties" targetNamespace="http://schemas.microsoft.com/office/2006/metadata/properties" ma:root="true" ma:fieldsID="e00ffe60495a92b6041971e4ff6df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CE7A-1229-4D9D-AAFE-8ED341AC69E9}">
  <ds:schemaRefs>
    <ds:schemaRef ds:uri="http://schemas.microsoft.com/sharepoint/v3/contenttype/forms"/>
  </ds:schemaRefs>
</ds:datastoreItem>
</file>

<file path=customXml/itemProps2.xml><?xml version="1.0" encoding="utf-8"?>
<ds:datastoreItem xmlns:ds="http://schemas.openxmlformats.org/officeDocument/2006/customXml" ds:itemID="{9482E651-8740-4223-8869-445AEA1103B9}">
  <ds:schemaRefs>
    <ds:schemaRef ds:uri="http://schemas.microsoft.com/sharepoint/events"/>
    <ds:schemaRef ds:uri=""/>
  </ds:schemaRefs>
</ds:datastoreItem>
</file>

<file path=customXml/itemProps3.xml><?xml version="1.0" encoding="utf-8"?>
<ds:datastoreItem xmlns:ds="http://schemas.openxmlformats.org/officeDocument/2006/customXml" ds:itemID="{FAC34AD0-F1F8-492F-BC37-A7A533B5C029}">
  <ds:schemaRefs>
    <ds:schemaRef ds:uri="http://schemas.openxmlformats.org/officeDocument/2006/bibliography"/>
  </ds:schemaRefs>
</ds:datastoreItem>
</file>

<file path=customXml/itemProps4.xml><?xml version="1.0" encoding="utf-8"?>
<ds:datastoreItem xmlns:ds="http://schemas.openxmlformats.org/officeDocument/2006/customXml" ds:itemID="{1806760D-190A-43FC-831E-E043828F8EA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3C467F-A18E-44D8-8509-E07215663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OMWI</dc:creator>
  <cp:lastModifiedBy>Shirley Sohrn</cp:lastModifiedBy>
  <cp:revision>2</cp:revision>
  <dcterms:created xsi:type="dcterms:W3CDTF">2023-07-20T12:06:00Z</dcterms:created>
  <dcterms:modified xsi:type="dcterms:W3CDTF">2023-07-20T12:06:00Z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0x0101008CE57A305FE3344E8586358791CCFB2000F6A1F1ACD4F9BD4CB5CD562D39E5E4D2</vt:lpwstr>
  </property>
  <property fmtid="{D5CDD505-2E9C-101B-9397-08002B2CF9AE}" pid="3" name="Previously Modified By">
    <vt:lpwstr/>
  </property>
</Properties>
</file>