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1FDF" w:rsidRPr="00775C9A" w14:paraId="72D691EA" w14:textId="77777777">
      <w:pPr>
        <w:pStyle w:val="Heading1"/>
      </w:pPr>
      <w:r w:rsidRPr="00775C9A">
        <w:tab/>
      </w:r>
      <w:r w:rsidRPr="00775C9A">
        <w:tab/>
      </w:r>
      <w:r w:rsidRPr="00775C9A">
        <w:tab/>
      </w:r>
      <w:r w:rsidRPr="00775C9A">
        <w:tab/>
        <w:t>SUPPORTING STATEMENT</w:t>
      </w:r>
    </w:p>
    <w:p w:rsidR="00E01FDF" w:rsidRPr="00775C9A" w14:paraId="2CA8B585" w14:textId="77777777">
      <w:pPr>
        <w:rPr>
          <w:b/>
          <w:sz w:val="24"/>
        </w:rPr>
      </w:pPr>
      <w:r w:rsidRPr="00775C9A">
        <w:rPr>
          <w:b/>
          <w:sz w:val="24"/>
        </w:rPr>
        <w:t>A.  Justification:</w:t>
      </w:r>
    </w:p>
    <w:p w:rsidR="00E01FDF" w:rsidRPr="00775C9A" w14:paraId="5F487E5D" w14:textId="77777777">
      <w:pPr>
        <w:rPr>
          <w:sz w:val="24"/>
        </w:rPr>
      </w:pPr>
    </w:p>
    <w:p w:rsidR="00E01FDF" w:rsidRPr="00775C9A" w:rsidP="00E01FDF" w14:paraId="7B24A7D3" w14:textId="77777777">
      <w:pPr>
        <w:pStyle w:val="NormalWeb"/>
      </w:pPr>
      <w:bookmarkStart w:id="0" w:name="OLE_LINK1"/>
      <w:bookmarkStart w:id="1" w:name="OLE_LINK2"/>
      <w:r w:rsidRPr="00775C9A">
        <w:rPr>
          <w:snapToGrid w:val="0"/>
        </w:rPr>
        <w:t>1.   47 CFR 78.27(b)(1) requires t</w:t>
      </w:r>
      <w:r w:rsidRPr="00775C9A">
        <w:t>he licensee of a Cable Television Relay Service (CARS) station to notify the Commission in writing when the station commences operation. Such notification shall be submitted on or before the last day of the authorized one year construction period; otherwise, the station license shall be automatically forfeited.</w:t>
      </w:r>
    </w:p>
    <w:p w:rsidR="00E01FDF" w:rsidRPr="00775C9A" w:rsidP="00E01FDF" w14:paraId="48473506" w14:textId="77777777">
      <w:pPr>
        <w:pStyle w:val="NormalWeb"/>
      </w:pPr>
      <w:r w:rsidRPr="00775C9A">
        <w:rPr>
          <w:snapToGrid w:val="0"/>
        </w:rPr>
        <w:t>47 CFR 78.27(b)</w:t>
      </w:r>
      <w:r w:rsidRPr="00775C9A">
        <w:t>(2) requires CARS licensees needing additional time to complete construction of the station and commence operation shall request an extension of time 30 days before the expiration of the one year construction period. Exceptions to the 30-day advance-filing requirement may be granted where unanticipated delays occur</w:t>
      </w:r>
    </w:p>
    <w:bookmarkEnd w:id="0"/>
    <w:bookmarkEnd w:id="1"/>
    <w:p w:rsidR="00E01FDF" w:rsidRPr="00775C9A" w:rsidP="00E01FDF" w14:paraId="6ECA0C41" w14:textId="77777777">
      <w:pPr>
        <w:suppressAutoHyphens/>
        <w:rPr>
          <w:spacing w:val="-3"/>
          <w:sz w:val="24"/>
          <w:szCs w:val="24"/>
        </w:rPr>
      </w:pPr>
    </w:p>
    <w:p w:rsidR="00E01FDF" w:rsidRPr="00775C9A" w:rsidP="00E01FDF" w14:paraId="58451B17" w14:textId="77777777">
      <w:pPr>
        <w:suppressAutoHyphens/>
        <w:rPr>
          <w:spacing w:val="-3"/>
          <w:sz w:val="24"/>
          <w:szCs w:val="24"/>
        </w:rPr>
      </w:pPr>
      <w:r w:rsidRPr="00775C9A">
        <w:rPr>
          <w:spacing w:val="-3"/>
          <w:sz w:val="24"/>
          <w:szCs w:val="24"/>
        </w:rPr>
        <w:t xml:space="preserve">The Commission is requesting an extension of this information collection in order to receive the full </w:t>
      </w:r>
      <w:r w:rsidR="00642F05">
        <w:rPr>
          <w:spacing w:val="-3"/>
          <w:sz w:val="24"/>
          <w:szCs w:val="24"/>
        </w:rPr>
        <w:t>approval from the Office of Management and Budget (</w:t>
      </w:r>
      <w:r w:rsidRPr="00775C9A">
        <w:rPr>
          <w:spacing w:val="-3"/>
          <w:sz w:val="24"/>
          <w:szCs w:val="24"/>
        </w:rPr>
        <w:t>OMB</w:t>
      </w:r>
      <w:r w:rsidR="00642F05">
        <w:rPr>
          <w:spacing w:val="-3"/>
          <w:sz w:val="24"/>
          <w:szCs w:val="24"/>
        </w:rPr>
        <w:t>)</w:t>
      </w:r>
      <w:r w:rsidRPr="00775C9A">
        <w:rPr>
          <w:spacing w:val="-3"/>
          <w:sz w:val="24"/>
          <w:szCs w:val="24"/>
        </w:rPr>
        <w:t xml:space="preserve"> three</w:t>
      </w:r>
      <w:r w:rsidR="003E73B6">
        <w:rPr>
          <w:spacing w:val="-3"/>
          <w:sz w:val="24"/>
          <w:szCs w:val="24"/>
        </w:rPr>
        <w:t>-</w:t>
      </w:r>
      <w:r w:rsidRPr="00775C9A">
        <w:rPr>
          <w:spacing w:val="-3"/>
          <w:sz w:val="24"/>
          <w:szCs w:val="24"/>
        </w:rPr>
        <w:t>year clearance/approval.</w:t>
      </w:r>
    </w:p>
    <w:p w:rsidR="00E01FDF" w:rsidRPr="00775C9A" w:rsidP="00E01FDF" w14:paraId="6E2D1666" w14:textId="77777777">
      <w:pPr>
        <w:suppressAutoHyphens/>
        <w:rPr>
          <w:spacing w:val="-3"/>
          <w:sz w:val="24"/>
          <w:szCs w:val="24"/>
        </w:rPr>
      </w:pPr>
    </w:p>
    <w:p w:rsidR="00E01FDF" w:rsidRPr="00775C9A" w:rsidP="00E01FDF" w14:paraId="52C1271D" w14:textId="77777777">
      <w:pPr>
        <w:suppressAutoHyphens/>
        <w:rPr>
          <w:spacing w:val="-3"/>
          <w:sz w:val="24"/>
          <w:szCs w:val="24"/>
        </w:rPr>
      </w:pPr>
      <w:r w:rsidRPr="00775C9A">
        <w:rPr>
          <w:spacing w:val="-3"/>
          <w:sz w:val="24"/>
          <w:szCs w:val="24"/>
        </w:rPr>
        <w:t>This information collection does not affect individuals or households; thus, there are no impacts under the Privacy Act.</w:t>
      </w:r>
    </w:p>
    <w:p w:rsidR="00E01FDF" w:rsidRPr="00775C9A" w14:paraId="57065847" w14:textId="77777777">
      <w:pPr>
        <w:pStyle w:val="BodyText"/>
        <w:rPr>
          <w:szCs w:val="22"/>
        </w:rPr>
      </w:pPr>
    </w:p>
    <w:p w:rsidR="00E01FDF" w:rsidRPr="00775C9A" w14:paraId="29758658" w14:textId="77777777">
      <w:pPr>
        <w:pStyle w:val="BodyText"/>
      </w:pPr>
      <w:r w:rsidRPr="00775C9A">
        <w:t>Statutory authority for this collection of information is contained in Section 154(i) of the Communications Act of 1934, as amended.</w:t>
      </w:r>
    </w:p>
    <w:p w:rsidR="00E01FDF" w:rsidRPr="00775C9A" w14:paraId="1CAF9CB0" w14:textId="77777777">
      <w:pPr>
        <w:pStyle w:val="BodyText"/>
      </w:pPr>
    </w:p>
    <w:p w:rsidR="00E01FDF" w:rsidRPr="00775C9A" w:rsidP="00E01FDF" w14:paraId="181AC0B1" w14:textId="77777777">
      <w:pPr>
        <w:pStyle w:val="BodyText"/>
      </w:pPr>
      <w:r w:rsidRPr="00775C9A">
        <w:t>2.  The information is filed and provides to the Commission accurate records of actual CARS channel usage for frequency coordination purposes and to prevent spectrum warehousing.</w:t>
      </w:r>
    </w:p>
    <w:p w:rsidR="00E01FDF" w:rsidRPr="00775C9A" w14:paraId="555EF4FB" w14:textId="77777777">
      <w:pPr>
        <w:pStyle w:val="BodyText"/>
      </w:pPr>
    </w:p>
    <w:p w:rsidR="00E01FDF" w:rsidRPr="00775C9A" w:rsidP="00E01FDF" w14:paraId="36E9213E" w14:textId="77777777">
      <w:pPr>
        <w:pStyle w:val="BodyText"/>
      </w:pPr>
      <w:r w:rsidRPr="00775C9A">
        <w:t xml:space="preserve">3.  The use of information technology is not feasible in this situation.  Each filing is unique and does not require the use of a standardized form. </w:t>
      </w:r>
    </w:p>
    <w:p w:rsidR="00E01FDF" w:rsidRPr="00775C9A" w14:paraId="28AD1C1F" w14:textId="77777777">
      <w:pPr>
        <w:pStyle w:val="BodyText"/>
      </w:pPr>
    </w:p>
    <w:p w:rsidR="00E01FDF" w:rsidRPr="00775C9A" w:rsidP="00E01FDF" w14:paraId="141C8783" w14:textId="77777777">
      <w:pPr>
        <w:pStyle w:val="BodyText"/>
      </w:pPr>
      <w:r w:rsidRPr="00775C9A">
        <w:t>4.   No other agency imposes similar information collection requirements on the respondents.</w:t>
      </w:r>
    </w:p>
    <w:p w:rsidR="00E01FDF" w:rsidRPr="00775C9A" w14:paraId="2587738D" w14:textId="77777777">
      <w:pPr>
        <w:pStyle w:val="BodyText"/>
      </w:pPr>
    </w:p>
    <w:p w:rsidR="00E01FDF" w:rsidRPr="00775C9A" w:rsidP="00E01FDF" w14:paraId="58689C39" w14:textId="77777777">
      <w:pPr>
        <w:pStyle w:val="BodyText"/>
      </w:pPr>
      <w:r w:rsidRPr="00775C9A">
        <w:t xml:space="preserve">5.   These information collection requirements do not have a significant economic impact on small entities/businesses.   </w:t>
      </w:r>
    </w:p>
    <w:p w:rsidR="00E01FDF" w:rsidRPr="00775C9A" w14:paraId="403E12CB" w14:textId="77777777">
      <w:pPr>
        <w:pStyle w:val="BodyText"/>
      </w:pPr>
    </w:p>
    <w:p w:rsidR="00E01FDF" w:rsidRPr="00775C9A" w:rsidP="00E01FDF" w14:paraId="2863D8A7" w14:textId="77777777">
      <w:pPr>
        <w:pStyle w:val="BodyText"/>
      </w:pPr>
      <w:r w:rsidRPr="00775C9A">
        <w:t xml:space="preserve">6.   If these information collection requirements were not conducted, the Commission would not be aware that all pending CARS stations have either commenced operation or experienced delays in construction that delayed operation.  These filings are essential to the Commission, in that they are used to ensure appropriate frequency coordination and to prevent frequency interference. </w:t>
      </w:r>
    </w:p>
    <w:p w:rsidR="00E01FDF" w:rsidRPr="00775C9A" w14:paraId="197B4F85" w14:textId="77777777">
      <w:pPr>
        <w:pStyle w:val="BodyText"/>
      </w:pPr>
    </w:p>
    <w:p w:rsidR="00E01FDF" w:rsidRPr="00775C9A" w14:paraId="2AA6546B" w14:textId="77777777">
      <w:pPr>
        <w:pStyle w:val="BodyText"/>
      </w:pPr>
      <w:r w:rsidRPr="00775C9A">
        <w:t>7.    There are no special circumstances that apply to these information collection requirements</w:t>
      </w:r>
    </w:p>
    <w:p w:rsidR="00E01FDF" w:rsidRPr="00775C9A" w14:paraId="4A016210" w14:textId="77777777">
      <w:pPr>
        <w:pStyle w:val="BodyText"/>
      </w:pPr>
      <w:r w:rsidRPr="00775C9A">
        <w:t xml:space="preserve"> </w:t>
      </w:r>
    </w:p>
    <w:p w:rsidR="00E01FDF" w:rsidRPr="00775C9A" w14:paraId="321BEDCF" w14:textId="606498C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4"/>
        </w:rPr>
      </w:pPr>
      <w:r w:rsidRPr="00775C9A">
        <w:rPr>
          <w:sz w:val="24"/>
          <w:szCs w:val="24"/>
        </w:rPr>
        <w:t xml:space="preserve">8.    </w:t>
      </w:r>
      <w:r w:rsidRPr="00775C9A">
        <w:rPr>
          <w:spacing w:val="-3"/>
          <w:sz w:val="24"/>
          <w:szCs w:val="24"/>
        </w:rPr>
        <w:t>The C</w:t>
      </w:r>
      <w:r w:rsidR="00FE1947">
        <w:rPr>
          <w:spacing w:val="-3"/>
          <w:sz w:val="24"/>
          <w:szCs w:val="24"/>
        </w:rPr>
        <w:t>ommission published a Notice (</w:t>
      </w:r>
      <w:r w:rsidR="00E27763">
        <w:rPr>
          <w:spacing w:val="-3"/>
          <w:sz w:val="24"/>
          <w:szCs w:val="24"/>
        </w:rPr>
        <w:t>8</w:t>
      </w:r>
      <w:r w:rsidR="00A10245">
        <w:rPr>
          <w:spacing w:val="-3"/>
          <w:sz w:val="24"/>
          <w:szCs w:val="24"/>
        </w:rPr>
        <w:t>8</w:t>
      </w:r>
      <w:r w:rsidR="00E27763">
        <w:rPr>
          <w:spacing w:val="-3"/>
          <w:sz w:val="24"/>
          <w:szCs w:val="24"/>
        </w:rPr>
        <w:t xml:space="preserve"> </w:t>
      </w:r>
      <w:r w:rsidRPr="00775C9A">
        <w:rPr>
          <w:spacing w:val="-3"/>
          <w:sz w:val="24"/>
          <w:szCs w:val="24"/>
        </w:rPr>
        <w:t>FR</w:t>
      </w:r>
      <w:r w:rsidR="00FC4A49">
        <w:rPr>
          <w:spacing w:val="-3"/>
          <w:sz w:val="24"/>
          <w:szCs w:val="24"/>
        </w:rPr>
        <w:t xml:space="preserve"> 26541</w:t>
      </w:r>
      <w:r w:rsidRPr="00775C9A">
        <w:rPr>
          <w:spacing w:val="-3"/>
          <w:sz w:val="24"/>
          <w:szCs w:val="24"/>
        </w:rPr>
        <w:t xml:space="preserve">) in the </w:t>
      </w:r>
      <w:r w:rsidRPr="00775C9A">
        <w:rPr>
          <w:i/>
          <w:spacing w:val="-3"/>
          <w:sz w:val="24"/>
          <w:szCs w:val="24"/>
        </w:rPr>
        <w:t>Federal Register</w:t>
      </w:r>
      <w:r w:rsidRPr="00775C9A">
        <w:rPr>
          <w:spacing w:val="-3"/>
          <w:sz w:val="24"/>
          <w:szCs w:val="24"/>
        </w:rPr>
        <w:t xml:space="preserve"> on</w:t>
      </w:r>
      <w:r w:rsidR="00C52455">
        <w:rPr>
          <w:spacing w:val="-3"/>
          <w:sz w:val="24"/>
          <w:szCs w:val="24"/>
        </w:rPr>
        <w:t xml:space="preserve"> </w:t>
      </w:r>
      <w:r w:rsidR="00E27763">
        <w:rPr>
          <w:spacing w:val="-3"/>
          <w:sz w:val="24"/>
          <w:szCs w:val="24"/>
        </w:rPr>
        <w:t>A</w:t>
      </w:r>
      <w:r w:rsidR="00A10245">
        <w:rPr>
          <w:spacing w:val="-3"/>
          <w:sz w:val="24"/>
          <w:szCs w:val="24"/>
        </w:rPr>
        <w:t xml:space="preserve">pril </w:t>
      </w:r>
      <w:r w:rsidR="00FC4A49">
        <w:rPr>
          <w:spacing w:val="-3"/>
          <w:sz w:val="24"/>
          <w:szCs w:val="24"/>
        </w:rPr>
        <w:t>4</w:t>
      </w:r>
      <w:r w:rsidR="00E27763">
        <w:rPr>
          <w:spacing w:val="-3"/>
          <w:sz w:val="24"/>
          <w:szCs w:val="24"/>
        </w:rPr>
        <w:t>,</w:t>
      </w:r>
      <w:r w:rsidR="009F6945">
        <w:rPr>
          <w:spacing w:val="-3"/>
          <w:sz w:val="24"/>
          <w:szCs w:val="24"/>
        </w:rPr>
        <w:t xml:space="preserve"> 202</w:t>
      </w:r>
      <w:r w:rsidR="00A10245">
        <w:rPr>
          <w:spacing w:val="-3"/>
          <w:sz w:val="24"/>
          <w:szCs w:val="24"/>
        </w:rPr>
        <w:t>3</w:t>
      </w:r>
      <w:r w:rsidR="009F6945">
        <w:rPr>
          <w:spacing w:val="-3"/>
          <w:sz w:val="24"/>
          <w:szCs w:val="24"/>
        </w:rPr>
        <w:t xml:space="preserve"> </w:t>
      </w:r>
      <w:r w:rsidR="001A37E1">
        <w:rPr>
          <w:spacing w:val="-3"/>
          <w:sz w:val="24"/>
          <w:szCs w:val="24"/>
        </w:rPr>
        <w:t>seeking comments from the public on the information collection requirements contained in this collection</w:t>
      </w:r>
      <w:r w:rsidRPr="00775C9A">
        <w:rPr>
          <w:spacing w:val="-3"/>
          <w:sz w:val="24"/>
          <w:szCs w:val="24"/>
        </w:rPr>
        <w:t xml:space="preserve">.  No comments were </w:t>
      </w:r>
      <w:r w:rsidR="001A37E1">
        <w:rPr>
          <w:spacing w:val="-3"/>
          <w:sz w:val="24"/>
          <w:szCs w:val="24"/>
        </w:rPr>
        <w:t>received from the public</w:t>
      </w:r>
      <w:r w:rsidRPr="00775C9A">
        <w:rPr>
          <w:spacing w:val="-3"/>
          <w:sz w:val="24"/>
          <w:szCs w:val="24"/>
        </w:rPr>
        <w:t xml:space="preserve">.  </w:t>
      </w:r>
    </w:p>
    <w:p w:rsidR="00E01FDF" w:rsidRPr="00775C9A" w14:paraId="747EEA8C" w14:textId="77777777">
      <w:pPr>
        <w:pStyle w:val="BodyText"/>
      </w:pPr>
    </w:p>
    <w:p w:rsidR="00E01FDF" w:rsidRPr="00775C9A" w14:paraId="43F90095" w14:textId="77777777">
      <w:pPr>
        <w:pStyle w:val="BodyText"/>
        <w:numPr>
          <w:ilvl w:val="0"/>
          <w:numId w:val="2"/>
        </w:numPr>
      </w:pPr>
      <w:r w:rsidRPr="00775C9A">
        <w:t xml:space="preserve">  There will be no payment or gifts given to respondents.</w:t>
      </w:r>
    </w:p>
    <w:p w:rsidR="00E01FDF" w:rsidRPr="00775C9A" w14:paraId="42983A8E" w14:textId="77777777">
      <w:pPr>
        <w:pStyle w:val="BodyText"/>
      </w:pPr>
    </w:p>
    <w:p w:rsidR="00E01FDF" w:rsidRPr="00775C9A" w14:paraId="650B3F09" w14:textId="77777777">
      <w:pPr>
        <w:pStyle w:val="BodyText"/>
        <w:numPr>
          <w:ilvl w:val="0"/>
          <w:numId w:val="2"/>
        </w:numPr>
      </w:pPr>
      <w:r w:rsidRPr="00775C9A">
        <w:t xml:space="preserve">  There is no need for confidentiality with this collection of information.</w:t>
      </w:r>
    </w:p>
    <w:p w:rsidR="00E01FDF" w:rsidRPr="00775C9A" w14:paraId="7B7E3A38" w14:textId="77777777">
      <w:pPr>
        <w:pStyle w:val="BodyText"/>
      </w:pPr>
    </w:p>
    <w:p w:rsidR="00E01FDF" w:rsidRPr="00775C9A" w14:paraId="348C8382" w14:textId="77777777">
      <w:pPr>
        <w:pStyle w:val="BodyText"/>
        <w:numPr>
          <w:ilvl w:val="0"/>
          <w:numId w:val="2"/>
        </w:numPr>
      </w:pPr>
      <w:r w:rsidRPr="00775C9A">
        <w:t xml:space="preserve">  This collection of information does not address any private matters of a sensitive nature. </w:t>
      </w:r>
    </w:p>
    <w:p w:rsidR="00E01FDF" w:rsidRPr="00775C9A" w14:paraId="0D9DF429" w14:textId="77777777">
      <w:pPr>
        <w:pStyle w:val="BodyText"/>
      </w:pPr>
    </w:p>
    <w:p w:rsidR="00E01FDF" w:rsidRPr="00775C9A" w:rsidP="00E01FDF" w14:paraId="7FAC8BE0" w14:textId="77777777">
      <w:pPr>
        <w:pStyle w:val="BodyText"/>
      </w:pPr>
      <w:r w:rsidRPr="00775C9A">
        <w:rPr>
          <w:spacing w:val="-3"/>
        </w:rPr>
        <w:t xml:space="preserve">12.   </w:t>
      </w:r>
      <w:r w:rsidRPr="00775C9A">
        <w:t xml:space="preserve">We estimate that CARS licenses will, on an annual basis, file approximately </w:t>
      </w:r>
      <w:r w:rsidR="00895134">
        <w:t>3</w:t>
      </w:r>
      <w:r w:rsidRPr="00775C9A">
        <w:t xml:space="preserve"> notifications and 1 request for additional time to construct.  The average burden for each filing is estimated to be 10 minutes (0.166).</w:t>
      </w:r>
    </w:p>
    <w:p w:rsidR="00E01FDF" w:rsidRPr="00775C9A" w:rsidP="00E01FDF" w14:paraId="197F1F6A" w14:textId="77777777">
      <w:pPr>
        <w:suppressAutoHyphens/>
        <w:ind w:left="720"/>
        <w:rPr>
          <w:b/>
          <w:spacing w:val="-3"/>
          <w:sz w:val="24"/>
          <w:szCs w:val="24"/>
        </w:rPr>
      </w:pPr>
    </w:p>
    <w:p w:rsidR="00E01FDF" w:rsidRPr="000844BB" w:rsidP="00E01FDF" w14:paraId="3CE4F5E8" w14:textId="77777777">
      <w:pPr>
        <w:suppressAutoHyphens/>
        <w:ind w:left="720"/>
        <w:rPr>
          <w:b/>
          <w:spacing w:val="-3"/>
          <w:sz w:val="24"/>
          <w:szCs w:val="24"/>
        </w:rPr>
      </w:pPr>
      <w:r w:rsidRPr="000844BB">
        <w:rPr>
          <w:b/>
          <w:spacing w:val="-3"/>
          <w:sz w:val="24"/>
          <w:szCs w:val="24"/>
        </w:rPr>
        <w:t xml:space="preserve">Total Number of Annual Respondents: </w:t>
      </w:r>
      <w:r w:rsidRPr="000844BB" w:rsidR="00DF0D5B">
        <w:rPr>
          <w:b/>
          <w:spacing w:val="-3"/>
          <w:sz w:val="24"/>
          <w:szCs w:val="24"/>
        </w:rPr>
        <w:t>4</w:t>
      </w:r>
      <w:r w:rsidRPr="000844BB">
        <w:rPr>
          <w:b/>
          <w:spacing w:val="-3"/>
          <w:sz w:val="24"/>
          <w:szCs w:val="24"/>
        </w:rPr>
        <w:t xml:space="preserve"> CAR Licensees</w:t>
      </w:r>
      <w:r>
        <w:rPr>
          <w:rStyle w:val="FootnoteReference"/>
          <w:b/>
          <w:spacing w:val="-3"/>
          <w:sz w:val="24"/>
          <w:szCs w:val="24"/>
        </w:rPr>
        <w:footnoteReference w:id="2"/>
      </w:r>
    </w:p>
    <w:p w:rsidR="00E01FDF" w:rsidRPr="003E73B6" w:rsidP="00E01FDF" w14:paraId="36BA9B4D" w14:textId="77777777">
      <w:pPr>
        <w:suppressAutoHyphens/>
        <w:rPr>
          <w:b/>
          <w:spacing w:val="-3"/>
          <w:sz w:val="24"/>
          <w:szCs w:val="24"/>
        </w:rPr>
      </w:pPr>
    </w:p>
    <w:p w:rsidR="00E01FDF" w:rsidRPr="003E73B6" w:rsidP="00E01FDF" w14:paraId="2FE4A088" w14:textId="77777777">
      <w:pPr>
        <w:suppressAutoHyphens/>
        <w:ind w:left="720"/>
        <w:rPr>
          <w:b/>
          <w:spacing w:val="-3"/>
          <w:sz w:val="24"/>
          <w:szCs w:val="24"/>
        </w:rPr>
      </w:pPr>
      <w:r w:rsidRPr="003E73B6">
        <w:rPr>
          <w:b/>
          <w:spacing w:val="-3"/>
          <w:sz w:val="24"/>
          <w:szCs w:val="24"/>
        </w:rPr>
        <w:t xml:space="preserve">Total Number of Annual Responses: </w:t>
      </w:r>
      <w:r w:rsidRPr="003E73B6" w:rsidR="00DF0D5B">
        <w:rPr>
          <w:b/>
          <w:spacing w:val="-3"/>
          <w:sz w:val="24"/>
          <w:szCs w:val="24"/>
        </w:rPr>
        <w:t>3</w:t>
      </w:r>
      <w:r w:rsidRPr="003E73B6">
        <w:rPr>
          <w:b/>
          <w:spacing w:val="-3"/>
          <w:sz w:val="24"/>
          <w:szCs w:val="24"/>
        </w:rPr>
        <w:t xml:space="preserve"> notifications + 1 request = </w:t>
      </w:r>
      <w:r w:rsidRPr="003E73B6" w:rsidR="00DF0D5B">
        <w:rPr>
          <w:b/>
          <w:spacing w:val="-3"/>
          <w:sz w:val="24"/>
          <w:szCs w:val="24"/>
        </w:rPr>
        <w:t>4</w:t>
      </w:r>
      <w:r w:rsidRPr="003E73B6">
        <w:rPr>
          <w:b/>
          <w:spacing w:val="-3"/>
          <w:sz w:val="24"/>
          <w:szCs w:val="24"/>
        </w:rPr>
        <w:t xml:space="preserve"> responses</w:t>
      </w:r>
    </w:p>
    <w:p w:rsidR="00E01FDF" w:rsidRPr="003E73B6" w:rsidP="00E01FDF" w14:paraId="70EF46CA" w14:textId="77777777">
      <w:pPr>
        <w:suppressAutoHyphens/>
        <w:ind w:left="720"/>
        <w:rPr>
          <w:spacing w:val="-3"/>
          <w:sz w:val="24"/>
          <w:szCs w:val="24"/>
        </w:rPr>
      </w:pPr>
    </w:p>
    <w:p w:rsidR="00E01FDF" w:rsidRPr="003E73B6" w:rsidP="00E01FDF" w14:paraId="267B94DE" w14:textId="77777777">
      <w:pPr>
        <w:pStyle w:val="BodyText"/>
        <w:rPr>
          <w:szCs w:val="24"/>
        </w:rPr>
      </w:pPr>
      <w:r w:rsidRPr="003E73B6">
        <w:rPr>
          <w:b/>
          <w:spacing w:val="-3"/>
          <w:szCs w:val="24"/>
        </w:rPr>
        <w:tab/>
        <w:t xml:space="preserve">Total Annual Burden Hours: </w:t>
      </w:r>
      <w:r w:rsidRPr="003E73B6" w:rsidR="00DF0D5B">
        <w:rPr>
          <w:b/>
          <w:spacing w:val="-3"/>
          <w:szCs w:val="24"/>
        </w:rPr>
        <w:t>3</w:t>
      </w:r>
      <w:r w:rsidRPr="003E73B6">
        <w:rPr>
          <w:b/>
          <w:szCs w:val="24"/>
        </w:rPr>
        <w:t xml:space="preserve"> notifications + 1 request</w:t>
      </w:r>
      <w:r w:rsidRPr="003E73B6" w:rsidR="00C52455">
        <w:rPr>
          <w:b/>
          <w:szCs w:val="24"/>
        </w:rPr>
        <w:t xml:space="preserve"> </w:t>
      </w:r>
      <w:r w:rsidRPr="003E73B6">
        <w:rPr>
          <w:b/>
          <w:szCs w:val="24"/>
        </w:rPr>
        <w:t xml:space="preserve">x 0.166 hours = </w:t>
      </w:r>
      <w:r w:rsidRPr="003E73B6" w:rsidR="00DF0D5B">
        <w:rPr>
          <w:b/>
          <w:szCs w:val="24"/>
        </w:rPr>
        <w:t>1</w:t>
      </w:r>
      <w:r w:rsidRPr="003E73B6">
        <w:rPr>
          <w:b/>
          <w:szCs w:val="24"/>
        </w:rPr>
        <w:t xml:space="preserve"> hour</w:t>
      </w:r>
    </w:p>
    <w:p w:rsidR="00E01FDF" w:rsidRPr="003E73B6" w14:paraId="6E0AC843" w14:textId="77777777">
      <w:pPr>
        <w:pStyle w:val="BodyText"/>
        <w:rPr>
          <w:szCs w:val="24"/>
        </w:rPr>
      </w:pPr>
    </w:p>
    <w:p w:rsidR="00E01FDF" w:rsidRPr="003E73B6" w14:paraId="2EB19459" w14:textId="77777777">
      <w:pPr>
        <w:pStyle w:val="BodyText"/>
        <w:rPr>
          <w:b/>
          <w:szCs w:val="24"/>
        </w:rPr>
      </w:pPr>
    </w:p>
    <w:p w:rsidR="00E01FDF" w:rsidRPr="003E73B6" w:rsidP="00E01FDF" w14:paraId="6D94E449" w14:textId="77777777">
      <w:pPr>
        <w:pStyle w:val="BodyText"/>
      </w:pPr>
      <w:r w:rsidRPr="003E73B6">
        <w:rPr>
          <w:b/>
          <w:szCs w:val="24"/>
        </w:rPr>
        <w:t>Annual “In-house” cost:</w:t>
      </w:r>
      <w:r w:rsidRPr="003E73B6">
        <w:rPr>
          <w:szCs w:val="24"/>
        </w:rPr>
        <w:t xml:space="preserve"> We estimate the average hourly wage of $48.08 per hour for individuals tasked with filing requirement. </w:t>
      </w:r>
      <w:r w:rsidRPr="003E73B6">
        <w:t>These estimates are based on Commission staff’s knowledge and familiarity with the availability of data required.</w:t>
      </w:r>
    </w:p>
    <w:p w:rsidR="00E01FDF" w:rsidRPr="003E73B6" w14:paraId="0406A914" w14:textId="77777777">
      <w:pPr>
        <w:pStyle w:val="BodyText"/>
        <w:rPr>
          <w:szCs w:val="24"/>
        </w:rPr>
      </w:pPr>
    </w:p>
    <w:p w:rsidR="00E01FDF" w:rsidRPr="003E73B6" w14:paraId="0E910EC1" w14:textId="77777777">
      <w:pPr>
        <w:pStyle w:val="BodyText"/>
        <w:rPr>
          <w:szCs w:val="24"/>
        </w:rPr>
      </w:pPr>
    </w:p>
    <w:p w:rsidR="00E01FDF" w:rsidRPr="003E73B6" w:rsidP="00E01FDF" w14:paraId="6DEFB536" w14:textId="77777777">
      <w:pPr>
        <w:pStyle w:val="BodyText"/>
        <w:ind w:left="720"/>
        <w:rPr>
          <w:b/>
          <w:szCs w:val="24"/>
        </w:rPr>
      </w:pPr>
      <w:r w:rsidRPr="003E73B6">
        <w:rPr>
          <w:b/>
          <w:szCs w:val="24"/>
        </w:rPr>
        <w:t>3</w:t>
      </w:r>
      <w:r w:rsidRPr="003E73B6">
        <w:rPr>
          <w:b/>
          <w:szCs w:val="24"/>
        </w:rPr>
        <w:t xml:space="preserve"> notifications + 1 request</w:t>
      </w:r>
      <w:r w:rsidRPr="003E73B6" w:rsidR="00C52455">
        <w:rPr>
          <w:b/>
          <w:szCs w:val="24"/>
        </w:rPr>
        <w:t xml:space="preserve"> </w:t>
      </w:r>
      <w:r w:rsidRPr="003E73B6">
        <w:rPr>
          <w:b/>
          <w:szCs w:val="24"/>
        </w:rPr>
        <w:t>x 0.166 hours x $48.08/hours = $</w:t>
      </w:r>
      <w:r w:rsidRPr="003E73B6">
        <w:rPr>
          <w:b/>
          <w:szCs w:val="24"/>
        </w:rPr>
        <w:t>31</w:t>
      </w:r>
      <w:r w:rsidRPr="003E73B6">
        <w:rPr>
          <w:b/>
          <w:szCs w:val="24"/>
        </w:rPr>
        <w:t>.</w:t>
      </w:r>
      <w:r w:rsidRPr="003E73B6">
        <w:rPr>
          <w:b/>
          <w:szCs w:val="24"/>
        </w:rPr>
        <w:t>9</w:t>
      </w:r>
      <w:r w:rsidR="003E73B6">
        <w:rPr>
          <w:b/>
          <w:szCs w:val="24"/>
        </w:rPr>
        <w:t>3</w:t>
      </w:r>
    </w:p>
    <w:p w:rsidR="00E01FDF" w:rsidRPr="003E73B6" w14:paraId="2007D42D" w14:textId="77777777">
      <w:pPr>
        <w:pStyle w:val="BodyText"/>
        <w:rPr>
          <w:b/>
          <w:szCs w:val="24"/>
        </w:rPr>
      </w:pPr>
      <w:r w:rsidRPr="003E73B6">
        <w:rPr>
          <w:b/>
          <w:szCs w:val="24"/>
        </w:rPr>
        <w:t xml:space="preserve">         </w:t>
      </w:r>
    </w:p>
    <w:p w:rsidR="00E01FDF" w:rsidRPr="003E73B6" w14:paraId="67638A0D" w14:textId="77777777">
      <w:pPr>
        <w:pStyle w:val="BodyText"/>
        <w:rPr>
          <w:b/>
          <w:szCs w:val="24"/>
        </w:rPr>
      </w:pPr>
      <w:r w:rsidRPr="003E73B6">
        <w:rPr>
          <w:b/>
          <w:szCs w:val="24"/>
        </w:rPr>
        <w:t xml:space="preserve">                                                         </w:t>
      </w:r>
      <w:r w:rsidR="003E73B6">
        <w:rPr>
          <w:b/>
          <w:szCs w:val="24"/>
        </w:rPr>
        <w:t xml:space="preserve">  </w:t>
      </w:r>
      <w:r w:rsidRPr="003E73B6">
        <w:rPr>
          <w:b/>
          <w:szCs w:val="24"/>
        </w:rPr>
        <w:t>Total Annual In-House Cost: $</w:t>
      </w:r>
      <w:r w:rsidRPr="003E73B6" w:rsidR="00DF0D5B">
        <w:rPr>
          <w:b/>
          <w:szCs w:val="24"/>
        </w:rPr>
        <w:t>31</w:t>
      </w:r>
      <w:r w:rsidRPr="003E73B6">
        <w:rPr>
          <w:b/>
          <w:szCs w:val="24"/>
        </w:rPr>
        <w:t>.</w:t>
      </w:r>
      <w:r w:rsidRPr="003E73B6" w:rsidR="00DF0D5B">
        <w:rPr>
          <w:b/>
          <w:szCs w:val="24"/>
        </w:rPr>
        <w:t>9</w:t>
      </w:r>
      <w:r w:rsidR="003E73B6">
        <w:rPr>
          <w:b/>
          <w:szCs w:val="24"/>
        </w:rPr>
        <w:t>3</w:t>
      </w:r>
    </w:p>
    <w:p w:rsidR="00E01FDF" w:rsidRPr="003E73B6" w14:paraId="70B40E67" w14:textId="77777777">
      <w:pPr>
        <w:pStyle w:val="BodyText"/>
      </w:pPr>
    </w:p>
    <w:p w:rsidR="00E01FDF" w:rsidRPr="003E73B6" w:rsidP="00E01FDF" w14:paraId="46998505" w14:textId="77777777">
      <w:pPr>
        <w:suppressAutoHyphens/>
        <w:rPr>
          <w:sz w:val="24"/>
        </w:rPr>
      </w:pPr>
      <w:r w:rsidRPr="003E73B6">
        <w:rPr>
          <w:sz w:val="24"/>
        </w:rPr>
        <w:t xml:space="preserve">13.  </w:t>
      </w:r>
      <w:r w:rsidRPr="003E73B6">
        <w:rPr>
          <w:b/>
          <w:sz w:val="24"/>
        </w:rPr>
        <w:t>Annual Cost Burden</w:t>
      </w:r>
      <w:r w:rsidRPr="003E73B6">
        <w:rPr>
          <w:sz w:val="24"/>
        </w:rPr>
        <w:t xml:space="preserve">:  </w:t>
      </w:r>
      <w:r w:rsidRPr="003E73B6" w:rsidR="001A37E1">
        <w:rPr>
          <w:sz w:val="24"/>
        </w:rPr>
        <w:t>There are no costs to respondents for the information collection requirements contained in this collection.</w:t>
      </w:r>
    </w:p>
    <w:p w:rsidR="00E01FDF" w:rsidRPr="003E73B6" w14:paraId="0A90F78C" w14:textId="77777777">
      <w:pPr>
        <w:pStyle w:val="BodyText"/>
      </w:pPr>
    </w:p>
    <w:p w:rsidR="00E01FDF" w:rsidRPr="003E73B6" w14:paraId="76756A75" w14:textId="57734726">
      <w:pPr>
        <w:pStyle w:val="BodyText"/>
      </w:pPr>
      <w:r w:rsidRPr="003E73B6">
        <w:t>14.   Cost to the Federal Government: Notifications/extension req</w:t>
      </w:r>
      <w:r w:rsidRPr="003E73B6" w:rsidR="00C52455">
        <w:t xml:space="preserve">uests estimated to be filed: </w:t>
      </w:r>
      <w:r w:rsidRPr="003E73B6" w:rsidR="004979E2">
        <w:t>4</w:t>
      </w:r>
      <w:r w:rsidRPr="003E73B6" w:rsidR="00C52455">
        <w:t>.</w:t>
      </w:r>
      <w:r w:rsidRPr="003E73B6">
        <w:t xml:space="preserve">  Average processing time for each request: </w:t>
      </w:r>
      <w:r w:rsidRPr="003E73B6" w:rsidR="0014737C">
        <w:t>0</w:t>
      </w:r>
      <w:r w:rsidRPr="003E73B6">
        <w:t xml:space="preserve">.50 hours.  The responses will be processed by Commission staff at the GS </w:t>
      </w:r>
      <w:r w:rsidRPr="003E73B6" w:rsidR="00C52455">
        <w:t xml:space="preserve">14 </w:t>
      </w:r>
      <w:r w:rsidRPr="003E73B6" w:rsidR="00FE1947">
        <w:t xml:space="preserve">step </w:t>
      </w:r>
      <w:r w:rsidRPr="003E73B6" w:rsidR="00DE051B">
        <w:t>5 grade level ($</w:t>
      </w:r>
      <w:r w:rsidR="00A10245">
        <w:t>71</w:t>
      </w:r>
      <w:r w:rsidRPr="003E73B6" w:rsidR="009F6945">
        <w:t>.88/</w:t>
      </w:r>
      <w:r w:rsidRPr="003E73B6">
        <w:t>hour) and</w:t>
      </w:r>
      <w:r w:rsidRPr="003E73B6" w:rsidR="00C52455">
        <w:t xml:space="preserve"> a</w:t>
      </w:r>
      <w:r w:rsidRPr="003E73B6" w:rsidR="00DE051B">
        <w:t xml:space="preserve"> GS 7 step 5 grade level ($</w:t>
      </w:r>
      <w:r w:rsidRPr="003E73B6" w:rsidR="009F6945">
        <w:t>2</w:t>
      </w:r>
      <w:r w:rsidR="00A10245">
        <w:t>8.84</w:t>
      </w:r>
      <w:r w:rsidRPr="003E73B6">
        <w:t>).</w:t>
      </w:r>
    </w:p>
    <w:p w:rsidR="00E01FDF" w:rsidRPr="003E73B6" w14:paraId="1181F7FA" w14:textId="77777777">
      <w:pPr>
        <w:pStyle w:val="BodyText"/>
      </w:pPr>
    </w:p>
    <w:p w:rsidR="00BA4C6C" w:rsidRPr="003E73B6" w14:paraId="4212F3D5" w14:textId="77777777">
      <w:pPr>
        <w:pStyle w:val="BodyText"/>
      </w:pPr>
    </w:p>
    <w:p w:rsidR="00BA4C6C" w:rsidRPr="003E73B6" w14:paraId="6C210D31" w14:textId="77777777">
      <w:pPr>
        <w:pStyle w:val="BodyText"/>
      </w:pPr>
    </w:p>
    <w:p w:rsidR="00BA4C6C" w:rsidRPr="003E73B6" w14:paraId="4B03F056" w14:textId="77777777">
      <w:pPr>
        <w:pStyle w:val="BodyText"/>
      </w:pPr>
    </w:p>
    <w:p w:rsidR="00BA4C6C" w:rsidRPr="003E73B6" w14:paraId="7127DD7E" w14:textId="77777777">
      <w:pPr>
        <w:pStyle w:val="BodyText"/>
      </w:pPr>
    </w:p>
    <w:p w:rsidR="00E01FDF" w:rsidRPr="003E73B6" w14:paraId="21692B34" w14:textId="77777777">
      <w:pPr>
        <w:pStyle w:val="BodyText"/>
      </w:pPr>
      <w:r w:rsidRPr="003E73B6">
        <w:tab/>
      </w:r>
      <w:r w:rsidRPr="003E73B6">
        <w:tab/>
      </w:r>
      <w:r w:rsidRPr="003E73B6">
        <w:tab/>
      </w:r>
      <w:r w:rsidRPr="003E73B6">
        <w:tab/>
      </w:r>
      <w:r w:rsidRPr="003E73B6">
        <w:tab/>
      </w:r>
      <w:r w:rsidRPr="003E73B6">
        <w:tab/>
      </w:r>
      <w:r w:rsidRPr="003E73B6">
        <w:tab/>
      </w:r>
      <w:r w:rsidRPr="003E73B6">
        <w:tab/>
      </w:r>
      <w:r w:rsidRPr="003E73B6">
        <w:tab/>
      </w:r>
      <w:r w:rsidRPr="003E73B6">
        <w:tab/>
      </w:r>
      <w:r w:rsidRPr="003E73B6">
        <w:tab/>
      </w:r>
    </w:p>
    <w:p w:rsidR="00E01FDF" w:rsidRPr="003E73B6" w:rsidP="00E01FDF" w14:paraId="5AAB2A41" w14:textId="77777777">
      <w:pPr>
        <w:pStyle w:val="BodyText"/>
        <w:ind w:left="1440"/>
      </w:pPr>
      <w:r w:rsidRPr="003E73B6">
        <w:tab/>
      </w:r>
      <w:r w:rsidRPr="003E73B6">
        <w:tab/>
        <w:t>Total hours</w:t>
      </w:r>
      <w:r w:rsidRPr="003E73B6">
        <w:tab/>
      </w:r>
      <w:r w:rsidRPr="003E73B6">
        <w:tab/>
      </w:r>
      <w:r w:rsidRPr="003E73B6">
        <w:tab/>
      </w:r>
      <w:r w:rsidRPr="003E73B6">
        <w:tab/>
        <w:t xml:space="preserve">Number of </w:t>
      </w:r>
      <w:r w:rsidRPr="003E73B6">
        <w:tab/>
        <w:t xml:space="preserve">          Total</w:t>
      </w:r>
    </w:p>
    <w:p w:rsidR="00E01FDF" w:rsidRPr="003E73B6" w:rsidP="00E01FDF" w14:paraId="7380DA93" w14:textId="77777777">
      <w:pPr>
        <w:pStyle w:val="BodyText"/>
        <w:ind w:left="1440"/>
        <w:rPr>
          <w:u w:val="single"/>
        </w:rPr>
      </w:pPr>
      <w:r w:rsidRPr="003E73B6">
        <w:tab/>
      </w:r>
      <w:r w:rsidRPr="003E73B6">
        <w:tab/>
      </w:r>
      <w:r w:rsidRPr="003E73B6">
        <w:rPr>
          <w:u w:val="single"/>
        </w:rPr>
        <w:t>per filing</w:t>
      </w:r>
      <w:r w:rsidRPr="003E73B6">
        <w:tab/>
      </w:r>
      <w:r w:rsidRPr="003E73B6">
        <w:rPr>
          <w:u w:val="single"/>
        </w:rPr>
        <w:t>Cost per filing</w:t>
      </w:r>
      <w:r w:rsidRPr="003E73B6">
        <w:tab/>
      </w:r>
      <w:r w:rsidRPr="003E73B6">
        <w:tab/>
      </w:r>
      <w:r w:rsidRPr="003E73B6">
        <w:rPr>
          <w:u w:val="single"/>
        </w:rPr>
        <w:t>Filings/Requests</w:t>
      </w:r>
      <w:r w:rsidRPr="003E73B6">
        <w:t xml:space="preserve">        </w:t>
      </w:r>
      <w:r w:rsidRPr="003E73B6">
        <w:rPr>
          <w:u w:val="single"/>
        </w:rPr>
        <w:t>Cost</w:t>
      </w:r>
    </w:p>
    <w:p w:rsidR="00E01FDF" w:rsidRPr="003E73B6" w:rsidP="00E01FDF" w14:paraId="314E26E0" w14:textId="77777777">
      <w:pPr>
        <w:pStyle w:val="BodyText"/>
        <w:ind w:left="1440"/>
        <w:rPr>
          <w:u w:val="single"/>
        </w:rPr>
      </w:pPr>
    </w:p>
    <w:p w:rsidR="00E01FDF" w:rsidRPr="003E73B6" w:rsidP="00E01FDF" w14:paraId="1E362164" w14:textId="6BA9ED79">
      <w:pPr>
        <w:pStyle w:val="BodyText"/>
        <w:ind w:left="1440"/>
        <w:rPr>
          <w:u w:val="single"/>
        </w:rPr>
      </w:pPr>
      <w:r w:rsidRPr="003E73B6">
        <w:rPr>
          <w:u w:val="single"/>
        </w:rPr>
        <w:t>Professional</w:t>
      </w:r>
      <w:r w:rsidRPr="003E73B6">
        <w:tab/>
      </w:r>
      <w:r w:rsidRPr="003E73B6" w:rsidR="0014737C">
        <w:t>0</w:t>
      </w:r>
      <w:r w:rsidRPr="003E73B6" w:rsidR="00FE1947">
        <w:t>.25 hours</w:t>
      </w:r>
      <w:r w:rsidRPr="003E73B6" w:rsidR="00FE1947">
        <w:tab/>
        <w:t xml:space="preserve">    </w:t>
      </w:r>
      <w:r w:rsidRPr="003E73B6" w:rsidR="00DE051B">
        <w:t>$</w:t>
      </w:r>
      <w:r w:rsidR="00A10245">
        <w:t>71.88</w:t>
      </w:r>
      <w:r w:rsidRPr="003E73B6">
        <w:tab/>
      </w:r>
      <w:r w:rsidRPr="003E73B6">
        <w:tab/>
        <w:t xml:space="preserve">       </w:t>
      </w:r>
      <w:r w:rsidRPr="003E73B6" w:rsidR="004979E2">
        <w:t>4</w:t>
      </w:r>
      <w:r w:rsidRPr="003E73B6">
        <w:tab/>
      </w:r>
      <w:r w:rsidRPr="003E73B6">
        <w:tab/>
        <w:t xml:space="preserve">           $</w:t>
      </w:r>
      <w:r w:rsidR="00A10245">
        <w:t>71.88</w:t>
      </w:r>
    </w:p>
    <w:p w:rsidR="00E01FDF" w:rsidRPr="003E73B6" w:rsidP="00E01FDF" w14:paraId="1DABADC8" w14:textId="118719C3">
      <w:pPr>
        <w:pStyle w:val="BodyText"/>
        <w:ind w:left="1440"/>
        <w:rPr>
          <w:b/>
        </w:rPr>
      </w:pPr>
      <w:r w:rsidRPr="003E73B6">
        <w:rPr>
          <w:u w:val="single"/>
        </w:rPr>
        <w:t>Clerical</w:t>
      </w:r>
      <w:r w:rsidRPr="003E73B6">
        <w:tab/>
      </w:r>
      <w:r w:rsidRPr="003E73B6" w:rsidR="0014737C">
        <w:t>0</w:t>
      </w:r>
      <w:r w:rsidRPr="003E73B6" w:rsidR="00FE1947">
        <w:t>.25 hours</w:t>
      </w:r>
      <w:r w:rsidRPr="003E73B6" w:rsidR="00FE1947">
        <w:tab/>
        <w:t xml:space="preserve">    </w:t>
      </w:r>
      <w:r w:rsidRPr="003E73B6" w:rsidR="00DE051B">
        <w:t>$</w:t>
      </w:r>
      <w:r w:rsidRPr="003E73B6" w:rsidR="009F6945">
        <w:t>2</w:t>
      </w:r>
      <w:r w:rsidR="00A10245">
        <w:t>8.84</w:t>
      </w:r>
      <w:r w:rsidRPr="003E73B6">
        <w:tab/>
      </w:r>
      <w:r w:rsidRPr="003E73B6">
        <w:tab/>
        <w:t xml:space="preserve">       </w:t>
      </w:r>
      <w:r w:rsidRPr="003E73B6" w:rsidR="004979E2">
        <w:t>4</w:t>
      </w:r>
      <w:r w:rsidRPr="003E73B6">
        <w:tab/>
      </w:r>
      <w:r w:rsidRPr="003E73B6">
        <w:tab/>
        <w:t xml:space="preserve">           </w:t>
      </w:r>
      <w:r w:rsidRPr="003E73B6">
        <w:rPr>
          <w:u w:val="single"/>
        </w:rPr>
        <w:t>$</w:t>
      </w:r>
      <w:r w:rsidR="00A10245">
        <w:rPr>
          <w:u w:val="single"/>
        </w:rPr>
        <w:t>28.84</w:t>
      </w:r>
      <w:r w:rsidRPr="003E73B6">
        <w:tab/>
      </w:r>
      <w:r w:rsidRPr="003E73B6">
        <w:tab/>
      </w:r>
      <w:r w:rsidRPr="003E73B6">
        <w:rPr>
          <w:b/>
        </w:rPr>
        <w:t xml:space="preserve">              Total Cost to the Federal Gove</w:t>
      </w:r>
      <w:r w:rsidRPr="000844BB">
        <w:rPr>
          <w:b/>
        </w:rPr>
        <w:t xml:space="preserve">rnment: </w:t>
      </w:r>
      <w:r w:rsidRPr="000844BB" w:rsidR="00C52455">
        <w:rPr>
          <w:b/>
        </w:rPr>
        <w:t xml:space="preserve">  </w:t>
      </w:r>
      <w:r w:rsidRPr="003E73B6" w:rsidR="0014737C">
        <w:rPr>
          <w:b/>
        </w:rPr>
        <w:t xml:space="preserve">       </w:t>
      </w:r>
      <w:r w:rsidRPr="003E73B6" w:rsidR="00C52455">
        <w:rPr>
          <w:b/>
        </w:rPr>
        <w:t xml:space="preserve">   </w:t>
      </w:r>
      <w:r w:rsidRPr="003E73B6" w:rsidR="0014737C">
        <w:rPr>
          <w:b/>
        </w:rPr>
        <w:t xml:space="preserve"> </w:t>
      </w:r>
      <w:r w:rsidRPr="003E73B6" w:rsidR="004979E2">
        <w:rPr>
          <w:b/>
        </w:rPr>
        <w:tab/>
      </w:r>
      <w:r w:rsidR="00EE345D">
        <w:rPr>
          <w:b/>
        </w:rPr>
        <w:t xml:space="preserve">           </w:t>
      </w:r>
      <w:r w:rsidRPr="003E73B6">
        <w:rPr>
          <w:b/>
        </w:rPr>
        <w:t>$</w:t>
      </w:r>
      <w:r w:rsidR="00A10245">
        <w:rPr>
          <w:b/>
        </w:rPr>
        <w:t>100.72</w:t>
      </w:r>
      <w:r w:rsidRPr="003E73B6">
        <w:rPr>
          <w:b/>
        </w:rPr>
        <w:t xml:space="preserve">             </w:t>
      </w:r>
    </w:p>
    <w:p w:rsidR="00E01FDF" w:rsidRPr="003E73B6" w:rsidP="00E01FDF" w14:paraId="5E368AD3" w14:textId="77777777">
      <w:pPr>
        <w:pStyle w:val="BodyText"/>
        <w:ind w:left="1440"/>
        <w:rPr>
          <w:b/>
        </w:rPr>
      </w:pPr>
    </w:p>
    <w:p w:rsidR="00E01FDF" w:rsidRPr="003E73B6" w14:paraId="6D78B131" w14:textId="77777777">
      <w:pPr>
        <w:pStyle w:val="BodyText"/>
      </w:pPr>
    </w:p>
    <w:p w:rsidR="00E01FDF" w:rsidP="00E01FDF" w14:paraId="4A329E42" w14:textId="23BDF6E3">
      <w:pPr>
        <w:autoSpaceDE w:val="0"/>
        <w:autoSpaceDN w:val="0"/>
        <w:adjustRightInd w:val="0"/>
        <w:rPr>
          <w:sz w:val="24"/>
        </w:rPr>
      </w:pPr>
      <w:r w:rsidRPr="003E73B6">
        <w:rPr>
          <w:sz w:val="24"/>
        </w:rPr>
        <w:t xml:space="preserve">15.   There no program changes </w:t>
      </w:r>
      <w:r w:rsidR="00A10245">
        <w:rPr>
          <w:sz w:val="24"/>
        </w:rPr>
        <w:t xml:space="preserve">or adjustments </w:t>
      </w:r>
      <w:r w:rsidR="00EE345D">
        <w:rPr>
          <w:sz w:val="24"/>
        </w:rPr>
        <w:t xml:space="preserve">to this collection.  </w:t>
      </w:r>
    </w:p>
    <w:p w:rsidR="00BA4C6C" w:rsidP="00E01FDF" w14:paraId="12EE34C1" w14:textId="77777777">
      <w:pPr>
        <w:autoSpaceDE w:val="0"/>
        <w:autoSpaceDN w:val="0"/>
        <w:adjustRightInd w:val="0"/>
        <w:rPr>
          <w:sz w:val="24"/>
        </w:rPr>
      </w:pPr>
    </w:p>
    <w:p w:rsidR="00BA4C6C" w:rsidRPr="00775C9A" w:rsidP="00E01FDF" w14:paraId="576A7D5E" w14:textId="77777777">
      <w:pPr>
        <w:autoSpaceDE w:val="0"/>
        <w:autoSpaceDN w:val="0"/>
        <w:adjustRightInd w:val="0"/>
        <w:rPr>
          <w:sz w:val="24"/>
        </w:rPr>
      </w:pPr>
      <w:r>
        <w:rPr>
          <w:sz w:val="24"/>
        </w:rPr>
        <w:t>16.   The Commission does not intend to publish the results of these collections of information.</w:t>
      </w:r>
    </w:p>
    <w:p w:rsidR="00E01FDF" w:rsidRPr="00775C9A" w14:paraId="2B587443" w14:textId="77777777">
      <w:pPr>
        <w:pStyle w:val="BodyText"/>
      </w:pPr>
    </w:p>
    <w:p w:rsidR="00E01FDF" w:rsidRPr="00775C9A" w14:paraId="7B710481" w14:textId="77777777">
      <w:pPr>
        <w:pStyle w:val="BodyText"/>
      </w:pPr>
      <w:r w:rsidRPr="00775C9A">
        <w:t>17.   We do not seek approval not to display the expiration date for OMB approval of this information collection.</w:t>
      </w:r>
    </w:p>
    <w:p w:rsidR="00E01FDF" w:rsidRPr="00775C9A" w14:paraId="39C6C4B8" w14:textId="77777777">
      <w:pPr>
        <w:pStyle w:val="BodyText"/>
      </w:pPr>
    </w:p>
    <w:p w:rsidR="00E01FDF" w:rsidRPr="00775C9A" w14:paraId="1975AA6D" w14:textId="77777777">
      <w:pPr>
        <w:pStyle w:val="BodyText"/>
      </w:pPr>
      <w:r w:rsidRPr="00775C9A">
        <w:t>18.   There are no exceptions to Certification Statement.</w:t>
      </w:r>
    </w:p>
    <w:p w:rsidR="00E01FDF" w:rsidRPr="00775C9A" w14:paraId="5217DA6F" w14:textId="77777777">
      <w:pPr>
        <w:pStyle w:val="BodyText"/>
      </w:pPr>
    </w:p>
    <w:p w:rsidR="00E01FDF" w:rsidRPr="00775C9A" w14:paraId="7823AF0F" w14:textId="77777777">
      <w:pPr>
        <w:pStyle w:val="BodyText"/>
        <w:numPr>
          <w:ilvl w:val="0"/>
          <w:numId w:val="5"/>
        </w:numPr>
        <w:rPr>
          <w:b/>
          <w:u w:val="single"/>
        </w:rPr>
      </w:pPr>
      <w:r w:rsidRPr="00775C9A">
        <w:rPr>
          <w:b/>
          <w:u w:val="single"/>
        </w:rPr>
        <w:t>Collections of Information Employing Statistical Methods:</w:t>
      </w:r>
    </w:p>
    <w:p w:rsidR="00E01FDF" w:rsidRPr="00775C9A" w14:paraId="0BFFD162" w14:textId="77777777">
      <w:pPr>
        <w:pStyle w:val="BodyText"/>
        <w:rPr>
          <w:b/>
          <w:u w:val="single"/>
        </w:rPr>
      </w:pPr>
    </w:p>
    <w:p w:rsidR="00E01FDF" w:rsidRPr="00775C9A" w14:paraId="701044B0" w14:textId="77777777">
      <w:pPr>
        <w:pStyle w:val="BodyText"/>
      </w:pPr>
      <w:r w:rsidRPr="00775C9A">
        <w:t>No statistical methods will be employed for this information collection.</w:t>
      </w:r>
    </w:p>
    <w:p w:rsidR="00E01FDF" w:rsidRPr="00775C9A" w14:paraId="3B27F498" w14:textId="77777777">
      <w:pPr>
        <w:pStyle w:val="BodyText"/>
      </w:pPr>
    </w:p>
    <w:p w:rsidR="00E01FDF" w:rsidRPr="00775C9A" w14:paraId="06DF515A" w14:textId="77777777">
      <w:pPr>
        <w:pStyle w:val="BodyText"/>
      </w:pPr>
    </w:p>
    <w:p w:rsidR="00E01FDF" w:rsidRPr="00775C9A" w14:paraId="40408CE9" w14:textId="77777777">
      <w:pPr>
        <w:pStyle w:val="BodyText"/>
      </w:pPr>
      <w:r w:rsidRPr="00775C9A">
        <w:t xml:space="preserve">  </w:t>
      </w:r>
    </w:p>
    <w:p w:rsidR="00E01FDF" w:rsidRPr="00775C9A" w14:paraId="076AAEB9" w14:textId="77777777">
      <w:pPr>
        <w:rPr>
          <w:sz w:val="24"/>
        </w:rPr>
      </w:pPr>
      <w:r w:rsidRPr="00775C9A">
        <w:rPr>
          <w:sz w:val="24"/>
        </w:rPr>
        <w:t xml:space="preserve">  </w:t>
      </w:r>
    </w:p>
    <w:sectPr w:rsidSect="00E01FDF">
      <w:headerReference w:type="default" r:id="rId6"/>
      <w:footerReference w:type="even" r:id="rId7"/>
      <w:footerReference w:type="default" r:id="rId8"/>
      <w:pgSz w:w="12240" w:h="15840" w:code="1"/>
      <w:pgMar w:top="1440" w:right="1440" w:bottom="1440" w:left="1440" w:header="1440" w:footer="11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DAD" w14:paraId="166922A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2DAD" w14:paraId="5A63D7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DAD" w14:paraId="5A8A19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310E">
      <w:rPr>
        <w:rStyle w:val="PageNumber"/>
        <w:noProof/>
      </w:rPr>
      <w:t>1</w:t>
    </w:r>
    <w:r>
      <w:rPr>
        <w:rStyle w:val="PageNumber"/>
      </w:rPr>
      <w:fldChar w:fldCharType="end"/>
    </w:r>
  </w:p>
  <w:p w:rsidR="002F2DAD" w14:paraId="7EFAD9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788F" w14:paraId="22BDAE26" w14:textId="77777777">
      <w:r>
        <w:separator/>
      </w:r>
    </w:p>
  </w:footnote>
  <w:footnote w:type="continuationSeparator" w:id="1">
    <w:p w:rsidR="009D788F" w14:paraId="517AC48C" w14:textId="77777777">
      <w:r>
        <w:continuationSeparator/>
      </w:r>
    </w:p>
  </w:footnote>
  <w:footnote w:id="2">
    <w:p w:rsidR="00642F05" w14:paraId="42D2833F" w14:textId="77777777">
      <w:pPr>
        <w:pStyle w:val="FootnoteText"/>
      </w:pPr>
      <w:r>
        <w:rPr>
          <w:rStyle w:val="FootnoteReference"/>
        </w:rPr>
        <w:footnoteRef/>
      </w:r>
      <w:r>
        <w:t xml:space="preserve"> These four respondents make up their universe of respondent pool; therefore, approval for this collection is needed from OMB.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DAD" w:rsidP="00C52455" w14:paraId="17EE138E" w14:textId="5B25D758">
    <w:pPr>
      <w:suppressAutoHyphens/>
      <w:jc w:val="both"/>
      <w:rPr>
        <w:b/>
        <w:spacing w:val="-3"/>
        <w:sz w:val="24"/>
      </w:rPr>
    </w:pPr>
    <w:r>
      <w:rPr>
        <w:b/>
        <w:spacing w:val="-3"/>
        <w:sz w:val="24"/>
      </w:rPr>
      <w:t>OMB Control Number:  3060-0346</w:t>
    </w:r>
    <w:r>
      <w:rPr>
        <w:b/>
        <w:spacing w:val="-3"/>
        <w:sz w:val="24"/>
      </w:rPr>
      <w:tab/>
    </w:r>
    <w:r>
      <w:rPr>
        <w:b/>
        <w:spacing w:val="-3"/>
        <w:sz w:val="24"/>
      </w:rPr>
      <w:tab/>
    </w:r>
    <w:r>
      <w:rPr>
        <w:b/>
        <w:spacing w:val="-3"/>
        <w:sz w:val="24"/>
      </w:rPr>
      <w:tab/>
    </w:r>
    <w:r>
      <w:rPr>
        <w:b/>
        <w:spacing w:val="-3"/>
        <w:sz w:val="24"/>
      </w:rPr>
      <w:tab/>
    </w:r>
    <w:r>
      <w:rPr>
        <w:b/>
        <w:spacing w:val="-3"/>
        <w:sz w:val="24"/>
      </w:rPr>
      <w:tab/>
    </w:r>
    <w:r>
      <w:rPr>
        <w:b/>
        <w:spacing w:val="-3"/>
        <w:sz w:val="24"/>
      </w:rPr>
      <w:tab/>
    </w:r>
    <w:r w:rsidR="00A10245">
      <w:rPr>
        <w:b/>
        <w:spacing w:val="-3"/>
        <w:sz w:val="24"/>
      </w:rPr>
      <w:t>Ju</w:t>
    </w:r>
    <w:r w:rsidR="00415506">
      <w:rPr>
        <w:b/>
        <w:spacing w:val="-3"/>
        <w:sz w:val="24"/>
      </w:rPr>
      <w:t>ly</w:t>
    </w:r>
    <w:r w:rsidR="00A10245">
      <w:rPr>
        <w:b/>
        <w:spacing w:val="-3"/>
        <w:sz w:val="24"/>
      </w:rPr>
      <w:t xml:space="preserve"> 2023</w:t>
    </w:r>
    <w:r>
      <w:rPr>
        <w:b/>
        <w:spacing w:val="-3"/>
        <w:sz w:val="24"/>
      </w:rPr>
      <w:t xml:space="preserve"> </w:t>
    </w:r>
  </w:p>
  <w:p w:rsidR="002F2DAD" w:rsidRPr="006F094C" w14:paraId="2370E0DD" w14:textId="77777777">
    <w:pPr>
      <w:suppressAutoHyphens/>
      <w:jc w:val="both"/>
      <w:rPr>
        <w:b/>
        <w:sz w:val="24"/>
      </w:rPr>
    </w:pPr>
    <w:r>
      <w:rPr>
        <w:b/>
        <w:sz w:val="24"/>
      </w:rPr>
      <w:t>Title</w:t>
    </w:r>
    <w:r w:rsidRPr="006F094C">
      <w:rPr>
        <w:b/>
        <w:sz w:val="24"/>
      </w:rPr>
      <w:t>:</w:t>
    </w:r>
    <w:r>
      <w:rPr>
        <w:sz w:val="24"/>
      </w:rPr>
      <w:t xml:space="preserve"> </w:t>
    </w:r>
    <w:r w:rsidRPr="006F094C">
      <w:rPr>
        <w:b/>
        <w:sz w:val="24"/>
      </w:rPr>
      <w:t>Section 7</w:t>
    </w:r>
    <w:r>
      <w:rPr>
        <w:b/>
        <w:sz w:val="24"/>
      </w:rPr>
      <w:t>8</w:t>
    </w:r>
    <w:r w:rsidRPr="006F094C">
      <w:rPr>
        <w:b/>
        <w:sz w:val="24"/>
      </w:rPr>
      <w:t>.27</w:t>
    </w:r>
    <w:r>
      <w:rPr>
        <w:b/>
        <w:sz w:val="24"/>
      </w:rPr>
      <w:t>,</w:t>
    </w:r>
    <w:r w:rsidRPr="006F094C">
      <w:rPr>
        <w:b/>
        <w:sz w:val="24"/>
      </w:rPr>
      <w:t xml:space="preserve"> License Conditions</w:t>
    </w:r>
  </w:p>
  <w:p w:rsidR="002F2DAD" w14:paraId="3C6F53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18020C6"/>
    <w:multiLevelType w:val="singleLevel"/>
    <w:tmpl w:val="27AAE92A"/>
    <w:lvl w:ilvl="0">
      <w:start w:val="455"/>
      <w:numFmt w:val="decimal"/>
      <w:lvlText w:val="%1"/>
      <w:lvlJc w:val="left"/>
      <w:pPr>
        <w:tabs>
          <w:tab w:val="num" w:pos="360"/>
        </w:tabs>
        <w:ind w:left="360" w:hanging="360"/>
      </w:pPr>
      <w:rPr>
        <w:rFonts w:hint="default"/>
      </w:rPr>
    </w:lvl>
  </w:abstractNum>
  <w:abstractNum w:abstractNumId="2">
    <w:nsid w:val="206C0EB7"/>
    <w:multiLevelType w:val="hybridMultilevel"/>
    <w:tmpl w:val="838029B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2A844C9F"/>
    <w:multiLevelType w:val="hybridMultilevel"/>
    <w:tmpl w:val="8D8A4C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2D25CB"/>
    <w:multiLevelType w:val="singleLevel"/>
    <w:tmpl w:val="32787400"/>
    <w:lvl w:ilvl="0">
      <w:start w:val="2"/>
      <w:numFmt w:val="upperLetter"/>
      <w:lvlText w:val="%1."/>
      <w:lvlJc w:val="left"/>
      <w:pPr>
        <w:tabs>
          <w:tab w:val="num" w:pos="405"/>
        </w:tabs>
        <w:ind w:left="405" w:hanging="405"/>
      </w:pPr>
      <w:rPr>
        <w:rFonts w:hint="default"/>
      </w:rPr>
    </w:lvl>
  </w:abstractNum>
  <w:abstractNum w:abstractNumId="5">
    <w:nsid w:val="37114726"/>
    <w:multiLevelType w:val="hybridMultilevel"/>
    <w:tmpl w:val="2D30121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495E6FD3"/>
    <w:multiLevelType w:val="singleLevel"/>
    <w:tmpl w:val="0409000F"/>
    <w:lvl w:ilvl="0">
      <w:start w:val="15"/>
      <w:numFmt w:val="decimal"/>
      <w:lvlText w:val="%1."/>
      <w:lvlJc w:val="left"/>
      <w:pPr>
        <w:tabs>
          <w:tab w:val="num" w:pos="360"/>
        </w:tabs>
        <w:ind w:left="360" w:hanging="360"/>
      </w:pPr>
      <w:rPr>
        <w:rFonts w:hint="default"/>
      </w:rPr>
    </w:lvl>
  </w:abstractNum>
  <w:abstractNum w:abstractNumId="7">
    <w:nsid w:val="523201E0"/>
    <w:multiLevelType w:val="hybridMultilevel"/>
    <w:tmpl w:val="59C0B5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FF87EE5"/>
    <w:multiLevelType w:val="hybridMultilevel"/>
    <w:tmpl w:val="FA6CAF5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63352510"/>
    <w:multiLevelType w:val="hybridMultilevel"/>
    <w:tmpl w:val="4058DDE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71264FF"/>
    <w:multiLevelType w:val="hybridMultilevel"/>
    <w:tmpl w:val="73CCE4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A395664"/>
    <w:multiLevelType w:val="singleLevel"/>
    <w:tmpl w:val="0409000F"/>
    <w:lvl w:ilvl="0">
      <w:start w:val="9"/>
      <w:numFmt w:val="decimal"/>
      <w:lvlText w:val="%1."/>
      <w:lvlJc w:val="left"/>
      <w:pPr>
        <w:tabs>
          <w:tab w:val="num" w:pos="360"/>
        </w:tabs>
        <w:ind w:left="360" w:hanging="360"/>
      </w:pPr>
      <w:rPr>
        <w:rFonts w:hint="default"/>
      </w:rPr>
    </w:lvl>
  </w:abstractNum>
  <w:abstractNum w:abstractNumId="12">
    <w:nsid w:val="6C3909CC"/>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7C936396"/>
    <w:multiLevelType w:val="hybridMultilevel"/>
    <w:tmpl w:val="70D056D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60042233">
    <w:abstractNumId w:val="12"/>
  </w:num>
  <w:num w:numId="2" w16cid:durableId="508369231">
    <w:abstractNumId w:val="11"/>
  </w:num>
  <w:num w:numId="3" w16cid:durableId="1699700482">
    <w:abstractNumId w:val="1"/>
  </w:num>
  <w:num w:numId="4" w16cid:durableId="948665574">
    <w:abstractNumId w:val="6"/>
  </w:num>
  <w:num w:numId="5" w16cid:durableId="1854026609">
    <w:abstractNumId w:val="4"/>
  </w:num>
  <w:num w:numId="6" w16cid:durableId="1094083828">
    <w:abstractNumId w:val="0"/>
  </w:num>
  <w:num w:numId="7" w16cid:durableId="895550315">
    <w:abstractNumId w:val="8"/>
  </w:num>
  <w:num w:numId="8" w16cid:durableId="520170570">
    <w:abstractNumId w:val="7"/>
  </w:num>
  <w:num w:numId="9" w16cid:durableId="531651081">
    <w:abstractNumId w:val="9"/>
  </w:num>
  <w:num w:numId="10" w16cid:durableId="249387536">
    <w:abstractNumId w:val="5"/>
  </w:num>
  <w:num w:numId="11" w16cid:durableId="1585603308">
    <w:abstractNumId w:val="3"/>
  </w:num>
  <w:num w:numId="12" w16cid:durableId="791745620">
    <w:abstractNumId w:val="13"/>
  </w:num>
  <w:num w:numId="13" w16cid:durableId="267811961">
    <w:abstractNumId w:val="10"/>
  </w:num>
  <w:num w:numId="14" w16cid:durableId="2017073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30"/>
    <w:rsid w:val="0000549C"/>
    <w:rsid w:val="000844BB"/>
    <w:rsid w:val="00103304"/>
    <w:rsid w:val="0014737C"/>
    <w:rsid w:val="001572F1"/>
    <w:rsid w:val="001A37E1"/>
    <w:rsid w:val="001E3FD5"/>
    <w:rsid w:val="002F2DAD"/>
    <w:rsid w:val="003E73B6"/>
    <w:rsid w:val="00415506"/>
    <w:rsid w:val="00422B8B"/>
    <w:rsid w:val="004979E2"/>
    <w:rsid w:val="00534595"/>
    <w:rsid w:val="005B22F5"/>
    <w:rsid w:val="00603FF5"/>
    <w:rsid w:val="00642F05"/>
    <w:rsid w:val="00646307"/>
    <w:rsid w:val="0066231F"/>
    <w:rsid w:val="006E2ED5"/>
    <w:rsid w:val="006E3EB1"/>
    <w:rsid w:val="006F094C"/>
    <w:rsid w:val="00775C9A"/>
    <w:rsid w:val="00817022"/>
    <w:rsid w:val="00895134"/>
    <w:rsid w:val="008B0405"/>
    <w:rsid w:val="008B1A5B"/>
    <w:rsid w:val="008F7DB9"/>
    <w:rsid w:val="0092596A"/>
    <w:rsid w:val="0096466D"/>
    <w:rsid w:val="009D788F"/>
    <w:rsid w:val="009E7439"/>
    <w:rsid w:val="009F6945"/>
    <w:rsid w:val="00A10245"/>
    <w:rsid w:val="00A31289"/>
    <w:rsid w:val="00A6310E"/>
    <w:rsid w:val="00A81223"/>
    <w:rsid w:val="00B61F49"/>
    <w:rsid w:val="00B65373"/>
    <w:rsid w:val="00BA4C6C"/>
    <w:rsid w:val="00C25159"/>
    <w:rsid w:val="00C52455"/>
    <w:rsid w:val="00CA5F1F"/>
    <w:rsid w:val="00CC165E"/>
    <w:rsid w:val="00DE051B"/>
    <w:rsid w:val="00DF0D5B"/>
    <w:rsid w:val="00E01FDF"/>
    <w:rsid w:val="00E05086"/>
    <w:rsid w:val="00E12730"/>
    <w:rsid w:val="00E27763"/>
    <w:rsid w:val="00EA1FFB"/>
    <w:rsid w:val="00EE345D"/>
    <w:rsid w:val="00F02E43"/>
    <w:rsid w:val="00F7546D"/>
    <w:rsid w:val="00FC4A49"/>
    <w:rsid w:val="00FE1947"/>
    <w:rsid w:val="00FF6B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5B9416"/>
  <w15:chartTrackingRefBased/>
  <w15:docId w15:val="{6F14BB4B-C41D-47F1-B4D4-B347AC68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utoCorrect">
    <w:name w:val="AutoCorrect"/>
  </w:style>
  <w:style w:type="paragraph" w:styleId="BalloonText">
    <w:name w:val="Balloon Text"/>
    <w:basedOn w:val="Normal"/>
    <w:semiHidden/>
    <w:rsid w:val="00EA6AA5"/>
    <w:rPr>
      <w:rFonts w:ascii="Tahoma" w:hAnsi="Tahoma" w:cs="Tahoma"/>
      <w:sz w:val="16"/>
      <w:szCs w:val="16"/>
    </w:rPr>
  </w:style>
  <w:style w:type="paragraph" w:styleId="EndnoteText">
    <w:name w:val="endnote text"/>
    <w:basedOn w:val="Normal"/>
    <w:semiHidden/>
    <w:rsid w:val="00361F0E"/>
    <w:pPr>
      <w:widowControl w:val="0"/>
    </w:pPr>
    <w:rPr>
      <w:rFonts w:ascii="CG Omega" w:hAnsi="CG Omega"/>
      <w:snapToGrid w:val="0"/>
      <w:sz w:val="24"/>
    </w:rPr>
  </w:style>
  <w:style w:type="paragraph" w:styleId="NormalWeb">
    <w:name w:val="Normal (Web)"/>
    <w:basedOn w:val="Normal"/>
    <w:rsid w:val="005C53E1"/>
    <w:pPr>
      <w:spacing w:before="100" w:beforeAutospacing="1" w:after="100" w:afterAutospacing="1"/>
    </w:pPr>
    <w:rPr>
      <w:sz w:val="24"/>
      <w:szCs w:val="24"/>
    </w:rPr>
  </w:style>
  <w:style w:type="paragraph" w:styleId="FootnoteText">
    <w:name w:val="footnote text"/>
    <w:basedOn w:val="Normal"/>
    <w:link w:val="FootnoteTextChar"/>
    <w:rsid w:val="00642F05"/>
  </w:style>
  <w:style w:type="character" w:customStyle="1" w:styleId="FootnoteTextChar">
    <w:name w:val="Footnote Text Char"/>
    <w:basedOn w:val="DefaultParagraphFont"/>
    <w:link w:val="FootnoteText"/>
    <w:rsid w:val="00642F05"/>
  </w:style>
  <w:style w:type="character" w:styleId="FootnoteReference">
    <w:name w:val="footnote reference"/>
    <w:rsid w:val="00642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FADC-2313-467C-92FE-EF31116E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681</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OMB 3060-0346</vt:lpstr>
    </vt:vector>
  </TitlesOfParts>
  <Company>FCC</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3060-0346</dc:title>
  <dc:creator>hspencer</dc:creator>
  <cp:lastModifiedBy>Cathy Williams</cp:lastModifiedBy>
  <cp:revision>4</cp:revision>
  <cp:lastPrinted>2012-02-01T17:21:00Z</cp:lastPrinted>
  <dcterms:created xsi:type="dcterms:W3CDTF">2023-04-22T20:29:00Z</dcterms:created>
  <dcterms:modified xsi:type="dcterms:W3CDTF">2023-07-07T15:04:00Z</dcterms:modified>
</cp:coreProperties>
</file>