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1110" w:rsidRPr="000D6AE9" w:rsidP="000D6AE9" w14:paraId="27A71D1B" w14:textId="77777777">
      <w:pPr>
        <w:jc w:val="center"/>
        <w:rPr>
          <w:b/>
          <w:sz w:val="22"/>
          <w:szCs w:val="22"/>
        </w:rPr>
      </w:pPr>
      <w:r w:rsidRPr="000D6AE9">
        <w:rPr>
          <w:b/>
          <w:sz w:val="22"/>
          <w:szCs w:val="22"/>
        </w:rPr>
        <w:t>SUPPORTING STATEMENT</w:t>
      </w:r>
    </w:p>
    <w:p w:rsidR="006E1110" w:rsidRPr="000D6AE9" w:rsidP="000D6AE9" w14:paraId="5114564C" w14:textId="77777777">
      <w:pPr>
        <w:jc w:val="center"/>
        <w:rPr>
          <w:b/>
          <w:sz w:val="22"/>
          <w:szCs w:val="22"/>
        </w:rPr>
      </w:pPr>
      <w:r w:rsidRPr="000D6AE9">
        <w:rPr>
          <w:b/>
          <w:sz w:val="22"/>
          <w:szCs w:val="22"/>
        </w:rPr>
        <w:t>OMB Control Number 2700</w:t>
      </w:r>
      <w:r w:rsidRPr="000D6AE9">
        <w:rPr>
          <w:b/>
          <w:sz w:val="22"/>
          <w:szCs w:val="22"/>
        </w:rPr>
        <w:noBreakHyphen/>
        <w:t>0092</w:t>
      </w:r>
    </w:p>
    <w:p w:rsidR="00335ED6" w:rsidRPr="000D6AE9" w:rsidP="000D6AE9" w14:paraId="143F7203" w14:textId="77777777">
      <w:pPr>
        <w:rPr>
          <w:b/>
          <w:sz w:val="22"/>
          <w:szCs w:val="22"/>
        </w:rPr>
      </w:pPr>
    </w:p>
    <w:p w:rsidR="00335ED6" w:rsidRPr="000D6AE9" w:rsidP="000D6AE9" w14:paraId="61058CBE" w14:textId="77777777">
      <w:pPr>
        <w:rPr>
          <w:sz w:val="22"/>
          <w:szCs w:val="22"/>
        </w:rPr>
      </w:pPr>
      <w:r w:rsidRPr="000D6AE9">
        <w:rPr>
          <w:b/>
          <w:sz w:val="22"/>
          <w:szCs w:val="22"/>
        </w:rPr>
        <w:t>INFORMATION COLLECTION TITLE:</w:t>
      </w:r>
      <w:r w:rsidRPr="000D6AE9">
        <w:rPr>
          <w:sz w:val="22"/>
          <w:szCs w:val="22"/>
        </w:rPr>
        <w:t xml:space="preserve"> Financial Assistan</w:t>
      </w:r>
      <w:r w:rsidRPr="000D6AE9" w:rsidR="00DB1444">
        <w:rPr>
          <w:sz w:val="22"/>
          <w:szCs w:val="22"/>
        </w:rPr>
        <w:t>ce</w:t>
      </w:r>
      <w:r w:rsidRPr="000D6AE9">
        <w:rPr>
          <w:sz w:val="22"/>
          <w:szCs w:val="22"/>
        </w:rPr>
        <w:t xml:space="preserve"> Awards/Grants and Cooperative Agreements</w:t>
      </w:r>
    </w:p>
    <w:p w:rsidR="00335ED6" w:rsidRPr="000D6AE9" w:rsidP="000D6AE9" w14:paraId="2CF542F2" w14:textId="77777777">
      <w:pPr>
        <w:rPr>
          <w:b/>
          <w:sz w:val="22"/>
          <w:szCs w:val="22"/>
        </w:rPr>
      </w:pPr>
    </w:p>
    <w:p w:rsidR="00C4592C" w:rsidRPr="000D6AE9" w:rsidP="000D6AE9" w14:paraId="5816034C" w14:textId="77777777">
      <w:pPr>
        <w:rPr>
          <w:sz w:val="22"/>
          <w:szCs w:val="22"/>
        </w:rPr>
      </w:pPr>
      <w:r w:rsidRPr="000D6AE9">
        <w:rPr>
          <w:b/>
          <w:sz w:val="22"/>
          <w:szCs w:val="22"/>
        </w:rPr>
        <w:t>INFORMATION COLLECTION TYPE:</w:t>
      </w:r>
      <w:r w:rsidRPr="000D6AE9">
        <w:rPr>
          <w:sz w:val="22"/>
          <w:szCs w:val="22"/>
        </w:rPr>
        <w:t xml:space="preserve"> </w:t>
      </w:r>
      <w:r w:rsidRPr="000D6AE9" w:rsidR="000F77BD">
        <w:rPr>
          <w:sz w:val="22"/>
          <w:szCs w:val="22"/>
        </w:rPr>
        <w:t>Revision of a currently approved information collection</w:t>
      </w:r>
    </w:p>
    <w:p w:rsidR="00C4592C" w:rsidRPr="000D6AE9" w:rsidP="000D6AE9" w14:paraId="5F895C17" w14:textId="77777777">
      <w:pPr>
        <w:pStyle w:val="BodyText"/>
        <w:rPr>
          <w:sz w:val="22"/>
          <w:szCs w:val="22"/>
        </w:rPr>
      </w:pPr>
    </w:p>
    <w:p w:rsidR="006E1110" w:rsidRPr="000D6AE9" w:rsidP="000D6AE9" w14:paraId="339EC442" w14:textId="516BD8E0">
      <w:pPr>
        <w:pStyle w:val="BodyText"/>
        <w:rPr>
          <w:sz w:val="22"/>
          <w:szCs w:val="22"/>
        </w:rPr>
      </w:pPr>
      <w:r w:rsidRPr="000D6AE9">
        <w:rPr>
          <w:sz w:val="22"/>
          <w:szCs w:val="22"/>
        </w:rPr>
        <w:t>A.</w:t>
      </w:r>
      <w:r w:rsidRPr="000D6AE9">
        <w:rPr>
          <w:sz w:val="22"/>
          <w:szCs w:val="22"/>
        </w:rPr>
        <w:tab/>
      </w:r>
      <w:r w:rsidRPr="000D6AE9" w:rsidR="00335ED6">
        <w:rPr>
          <w:sz w:val="22"/>
          <w:szCs w:val="22"/>
        </w:rPr>
        <w:t>JUSTIFICATION</w:t>
      </w:r>
    </w:p>
    <w:p w:rsidR="006E1110" w:rsidRPr="000D6AE9" w:rsidP="000D6AE9" w14:paraId="6CDBF303" w14:textId="77777777">
      <w:pPr>
        <w:rPr>
          <w:sz w:val="22"/>
          <w:szCs w:val="22"/>
        </w:rPr>
      </w:pPr>
    </w:p>
    <w:p w:rsidR="006E1110" w:rsidRPr="000D6AE9" w:rsidP="000D6AE9" w14:paraId="4D06AE87" w14:textId="77777777">
      <w:pPr>
        <w:numPr>
          <w:ilvl w:val="0"/>
          <w:numId w:val="6"/>
        </w:numPr>
        <w:rPr>
          <w:b/>
          <w:sz w:val="22"/>
          <w:szCs w:val="22"/>
        </w:rPr>
      </w:pPr>
      <w:r w:rsidRPr="000D6AE9">
        <w:rPr>
          <w:b/>
          <w:sz w:val="22"/>
          <w:szCs w:val="22"/>
        </w:rPr>
        <w:t>Explain the circumstances that make the collection of information necessary.</w:t>
      </w:r>
    </w:p>
    <w:p w:rsidR="006E1110" w:rsidRPr="000D6AE9" w:rsidP="000D6AE9" w14:paraId="14625560" w14:textId="60EE0925">
      <w:pPr>
        <w:rPr>
          <w:sz w:val="22"/>
          <w:szCs w:val="22"/>
        </w:rPr>
      </w:pPr>
    </w:p>
    <w:p w:rsidR="001D6C3E" w:rsidRPr="000D6AE9" w:rsidP="000D6AE9" w14:paraId="3E1FB1DC" w14:textId="7A8CFD20">
      <w:pPr>
        <w:rPr>
          <w:sz w:val="22"/>
          <w:szCs w:val="22"/>
        </w:rPr>
      </w:pPr>
      <w:r w:rsidRPr="000D6AE9">
        <w:rPr>
          <w:sz w:val="22"/>
          <w:szCs w:val="22"/>
        </w:rPr>
        <w:t>The National Aeronautics and Space Act of 1958 charges NASA to plan, dire</w:t>
      </w:r>
      <w:r w:rsidRPr="000D6AE9" w:rsidR="0060440F">
        <w:rPr>
          <w:sz w:val="22"/>
          <w:szCs w:val="22"/>
        </w:rPr>
        <w:t>c</w:t>
      </w:r>
      <w:r w:rsidRPr="000D6AE9">
        <w:rPr>
          <w:sz w:val="22"/>
          <w:szCs w:val="22"/>
        </w:rPr>
        <w:t xml:space="preserve">t and conduct aeronautical and space </w:t>
      </w:r>
      <w:r w:rsidRPr="000D6AE9" w:rsidR="009D401D">
        <w:rPr>
          <w:sz w:val="22"/>
          <w:szCs w:val="22"/>
        </w:rPr>
        <w:t>activities</w:t>
      </w:r>
      <w:r w:rsidRPr="000D6AE9">
        <w:rPr>
          <w:sz w:val="22"/>
          <w:szCs w:val="22"/>
        </w:rPr>
        <w:t xml:space="preserve"> and research and development in certain technologies. NASA’s mission is to enable a safer, more secure, efficient and environmentally-friendly air transportation system through aeronautics research; operate the International Space Station and prepare for human exploration beyond low Earth orbit; explore the Earth-Sun system, our own solar system, and the universe beyond; and develop the crosscutting, advanced and pioneering new technologies needed for current and future missions, benefiting the aerospace industry and other agencies and addressing national needs.</w:t>
      </w:r>
    </w:p>
    <w:p w:rsidR="001D6C3E" w:rsidRPr="000D6AE9" w:rsidP="000D6AE9" w14:paraId="26E1C3C2" w14:textId="0E26BDA7">
      <w:pPr>
        <w:rPr>
          <w:sz w:val="22"/>
          <w:szCs w:val="22"/>
        </w:rPr>
      </w:pPr>
    </w:p>
    <w:p w:rsidR="001D6C3E" w:rsidRPr="000D6AE9" w:rsidP="000D6AE9" w14:paraId="7F467845" w14:textId="0DD7C012">
      <w:pPr>
        <w:rPr>
          <w:sz w:val="22"/>
          <w:szCs w:val="22"/>
        </w:rPr>
      </w:pPr>
      <w:r w:rsidRPr="000D6AE9">
        <w:rPr>
          <w:sz w:val="22"/>
          <w:szCs w:val="22"/>
        </w:rPr>
        <w:t xml:space="preserve">NASA’s Mission Directorates and Program Offices are assigned with the responsibility of implementing NASA’s vision, mission, and values. To this end, </w:t>
      </w:r>
      <w:r w:rsidRPr="000D6AE9" w:rsidR="0060440F">
        <w:rPr>
          <w:sz w:val="22"/>
          <w:szCs w:val="22"/>
        </w:rPr>
        <w:t>t</w:t>
      </w:r>
      <w:r w:rsidRPr="000D6AE9">
        <w:rPr>
          <w:sz w:val="22"/>
          <w:szCs w:val="22"/>
        </w:rPr>
        <w:t>he Mission Directorates</w:t>
      </w:r>
      <w:r w:rsidRPr="000D6AE9" w:rsidR="00E81B21">
        <w:rPr>
          <w:sz w:val="22"/>
          <w:szCs w:val="22"/>
        </w:rPr>
        <w:t>, NASA Centers</w:t>
      </w:r>
      <w:r w:rsidRPr="000D6AE9" w:rsidR="00FF2952">
        <w:rPr>
          <w:sz w:val="22"/>
          <w:szCs w:val="22"/>
        </w:rPr>
        <w:t xml:space="preserve"> </w:t>
      </w:r>
      <w:r w:rsidRPr="000D6AE9">
        <w:rPr>
          <w:sz w:val="22"/>
          <w:szCs w:val="22"/>
        </w:rPr>
        <w:t>and Program Offices solicit</w:t>
      </w:r>
      <w:r w:rsidRPr="000D6AE9" w:rsidR="0060440F">
        <w:rPr>
          <w:sz w:val="22"/>
          <w:szCs w:val="22"/>
        </w:rPr>
        <w:t xml:space="preserve"> proposals for</w:t>
      </w:r>
      <w:r w:rsidRPr="000D6AE9">
        <w:rPr>
          <w:sz w:val="22"/>
          <w:szCs w:val="22"/>
        </w:rPr>
        <w:t xml:space="preserve"> resear</w:t>
      </w:r>
      <w:r w:rsidRPr="000D6AE9" w:rsidR="0060440F">
        <w:rPr>
          <w:sz w:val="22"/>
          <w:szCs w:val="22"/>
        </w:rPr>
        <w:t>c</w:t>
      </w:r>
      <w:r w:rsidRPr="000D6AE9">
        <w:rPr>
          <w:sz w:val="22"/>
          <w:szCs w:val="22"/>
        </w:rPr>
        <w:t xml:space="preserve">h </w:t>
      </w:r>
      <w:r w:rsidRPr="000D6AE9" w:rsidR="00E34B04">
        <w:rPr>
          <w:sz w:val="22"/>
          <w:szCs w:val="22"/>
        </w:rPr>
        <w:t>and research related</w:t>
      </w:r>
      <w:r w:rsidRPr="000D6AE9" w:rsidR="00177948">
        <w:rPr>
          <w:sz w:val="22"/>
          <w:szCs w:val="22"/>
        </w:rPr>
        <w:t xml:space="preserve">, i.e., engagement, </w:t>
      </w:r>
      <w:r w:rsidRPr="000D6AE9" w:rsidR="0060440F">
        <w:rPr>
          <w:sz w:val="22"/>
          <w:szCs w:val="22"/>
        </w:rPr>
        <w:t xml:space="preserve">projects </w:t>
      </w:r>
      <w:r w:rsidRPr="000D6AE9">
        <w:rPr>
          <w:sz w:val="22"/>
          <w:szCs w:val="22"/>
        </w:rPr>
        <w:t>through the release of various notice of funding opportunities (NOFO) in a wide range of science and technolo</w:t>
      </w:r>
      <w:r w:rsidRPr="000D6AE9" w:rsidR="0060440F">
        <w:rPr>
          <w:sz w:val="22"/>
          <w:szCs w:val="22"/>
        </w:rPr>
        <w:t>g</w:t>
      </w:r>
      <w:r w:rsidRPr="000D6AE9">
        <w:rPr>
          <w:sz w:val="22"/>
          <w:szCs w:val="22"/>
        </w:rPr>
        <w:t>y disciplines.</w:t>
      </w:r>
    </w:p>
    <w:p w:rsidR="001D6C3E" w:rsidRPr="000D6AE9" w:rsidP="000D6AE9" w14:paraId="3741DFD2" w14:textId="60F9DCEC">
      <w:pPr>
        <w:rPr>
          <w:sz w:val="22"/>
          <w:szCs w:val="22"/>
        </w:rPr>
      </w:pPr>
    </w:p>
    <w:p w:rsidR="007A1023" w:rsidRPr="000D6AE9" w:rsidP="000D6AE9" w14:paraId="4F48904A" w14:textId="73F8CF9E">
      <w:pPr>
        <w:rPr>
          <w:sz w:val="22"/>
          <w:szCs w:val="22"/>
        </w:rPr>
      </w:pPr>
      <w:r w:rsidRPr="000D6AE9">
        <w:rPr>
          <w:sz w:val="22"/>
          <w:szCs w:val="22"/>
        </w:rPr>
        <w:t>Proposers respond</w:t>
      </w:r>
      <w:r w:rsidRPr="000D6AE9" w:rsidR="000B2720">
        <w:rPr>
          <w:sz w:val="22"/>
          <w:szCs w:val="22"/>
        </w:rPr>
        <w:t>ing</w:t>
      </w:r>
      <w:r w:rsidRPr="000D6AE9">
        <w:rPr>
          <w:sz w:val="22"/>
          <w:szCs w:val="22"/>
        </w:rPr>
        <w:t xml:space="preserve"> to NASA NOFO</w:t>
      </w:r>
      <w:r w:rsidRPr="000D6AE9" w:rsidR="0060440F">
        <w:rPr>
          <w:sz w:val="22"/>
          <w:szCs w:val="22"/>
        </w:rPr>
        <w:t>s</w:t>
      </w:r>
      <w:r w:rsidRPr="000D6AE9">
        <w:rPr>
          <w:sz w:val="22"/>
          <w:szCs w:val="22"/>
        </w:rPr>
        <w:t xml:space="preserve"> </w:t>
      </w:r>
      <w:r w:rsidRPr="000D6AE9" w:rsidR="000B2720">
        <w:rPr>
          <w:sz w:val="22"/>
          <w:szCs w:val="22"/>
        </w:rPr>
        <w:t xml:space="preserve">are required to submit their proposals electronically via </w:t>
      </w:r>
      <w:r w:rsidRPr="000D6AE9" w:rsidR="0060440F">
        <w:rPr>
          <w:sz w:val="22"/>
          <w:szCs w:val="22"/>
        </w:rPr>
        <w:t xml:space="preserve">the </w:t>
      </w:r>
      <w:r w:rsidRPr="000D6AE9">
        <w:rPr>
          <w:sz w:val="22"/>
          <w:szCs w:val="22"/>
        </w:rPr>
        <w:t xml:space="preserve">NASA Solicitation Proposal Integrated Review and Evaluation System (NSPIRES) </w:t>
      </w:r>
      <w:r w:rsidRPr="000D6AE9" w:rsidR="000B2720">
        <w:rPr>
          <w:sz w:val="22"/>
          <w:szCs w:val="22"/>
        </w:rPr>
        <w:t>or Grants.gov.  For proposals submitted via NSPIRES,</w:t>
      </w:r>
      <w:r w:rsidRPr="000D6AE9" w:rsidR="00177948">
        <w:rPr>
          <w:sz w:val="22"/>
          <w:szCs w:val="22"/>
        </w:rPr>
        <w:t xml:space="preserve"> </w:t>
      </w:r>
      <w:r w:rsidRPr="000D6AE9" w:rsidR="000B2720">
        <w:rPr>
          <w:sz w:val="22"/>
          <w:szCs w:val="22"/>
        </w:rPr>
        <w:t xml:space="preserve">registration is required for all </w:t>
      </w:r>
      <w:r w:rsidRPr="000D6AE9" w:rsidR="009D401D">
        <w:rPr>
          <w:sz w:val="22"/>
          <w:szCs w:val="22"/>
        </w:rPr>
        <w:t>organizations</w:t>
      </w:r>
      <w:r w:rsidRPr="000D6AE9" w:rsidR="000B2720">
        <w:rPr>
          <w:sz w:val="22"/>
          <w:szCs w:val="22"/>
        </w:rPr>
        <w:t xml:space="preserve">, and individuals named in the proposal. As part of the NSPIRES registration process, NASA requests </w:t>
      </w:r>
      <w:r w:rsidRPr="000D6AE9" w:rsidR="00287539">
        <w:rPr>
          <w:sz w:val="22"/>
          <w:szCs w:val="22"/>
        </w:rPr>
        <w:t xml:space="preserve">a </w:t>
      </w:r>
      <w:r w:rsidRPr="000D6AE9" w:rsidR="00F9583A">
        <w:rPr>
          <w:sz w:val="22"/>
          <w:szCs w:val="22"/>
        </w:rPr>
        <w:t xml:space="preserve">limited </w:t>
      </w:r>
      <w:r w:rsidRPr="000D6AE9" w:rsidR="00287539">
        <w:rPr>
          <w:sz w:val="22"/>
          <w:szCs w:val="22"/>
        </w:rPr>
        <w:t xml:space="preserve">set of </w:t>
      </w:r>
      <w:r w:rsidRPr="000D6AE9" w:rsidR="000B2720">
        <w:rPr>
          <w:sz w:val="22"/>
          <w:szCs w:val="22"/>
        </w:rPr>
        <w:t>demographic</w:t>
      </w:r>
      <w:r w:rsidRPr="000D6AE9" w:rsidR="00F9583A">
        <w:rPr>
          <w:sz w:val="22"/>
          <w:szCs w:val="22"/>
        </w:rPr>
        <w:t xml:space="preserve"> data for</w:t>
      </w:r>
      <w:r w:rsidRPr="000D6AE9" w:rsidR="000B2720">
        <w:rPr>
          <w:sz w:val="22"/>
          <w:szCs w:val="22"/>
        </w:rPr>
        <w:t xml:space="preserve"> gender, race, </w:t>
      </w:r>
      <w:r w:rsidRPr="000D6AE9" w:rsidR="00401102">
        <w:rPr>
          <w:sz w:val="22"/>
          <w:szCs w:val="22"/>
        </w:rPr>
        <w:t>ethnicity,</w:t>
      </w:r>
      <w:r w:rsidRPr="000D6AE9" w:rsidR="000B2720">
        <w:rPr>
          <w:sz w:val="22"/>
          <w:szCs w:val="22"/>
        </w:rPr>
        <w:t xml:space="preserve"> or disability </w:t>
      </w:r>
      <w:r w:rsidRPr="000D6AE9">
        <w:rPr>
          <w:sz w:val="22"/>
          <w:szCs w:val="22"/>
        </w:rPr>
        <w:t xml:space="preserve">from </w:t>
      </w:r>
      <w:r w:rsidRPr="000D6AE9" w:rsidR="00287539">
        <w:rPr>
          <w:sz w:val="22"/>
          <w:szCs w:val="22"/>
        </w:rPr>
        <w:t xml:space="preserve">all NSPIRES registrants, </w:t>
      </w:r>
      <w:r w:rsidRPr="000D6AE9" w:rsidR="00443473">
        <w:rPr>
          <w:sz w:val="22"/>
          <w:szCs w:val="22"/>
        </w:rPr>
        <w:t xml:space="preserve">such as </w:t>
      </w:r>
      <w:r w:rsidRPr="000D6AE9" w:rsidR="000B2720">
        <w:rPr>
          <w:sz w:val="22"/>
          <w:szCs w:val="22"/>
        </w:rPr>
        <w:t>Principal Inv</w:t>
      </w:r>
      <w:r w:rsidRPr="000D6AE9" w:rsidR="00315E8D">
        <w:rPr>
          <w:sz w:val="22"/>
          <w:szCs w:val="22"/>
        </w:rPr>
        <w:t>e</w:t>
      </w:r>
      <w:r w:rsidRPr="000D6AE9" w:rsidR="000B2720">
        <w:rPr>
          <w:sz w:val="22"/>
          <w:szCs w:val="22"/>
        </w:rPr>
        <w:t>stigator</w:t>
      </w:r>
      <w:r w:rsidRPr="000D6AE9">
        <w:rPr>
          <w:sz w:val="22"/>
          <w:szCs w:val="22"/>
        </w:rPr>
        <w:t>s</w:t>
      </w:r>
      <w:r w:rsidRPr="000D6AE9" w:rsidR="00915980">
        <w:rPr>
          <w:sz w:val="22"/>
          <w:szCs w:val="22"/>
        </w:rPr>
        <w:t>,</w:t>
      </w:r>
      <w:r w:rsidRPr="000D6AE9" w:rsidR="000B2720">
        <w:rPr>
          <w:sz w:val="22"/>
          <w:szCs w:val="22"/>
        </w:rPr>
        <w:t xml:space="preserve"> Co-Investigators</w:t>
      </w:r>
      <w:r w:rsidRPr="000D6AE9" w:rsidR="00915980">
        <w:rPr>
          <w:sz w:val="22"/>
          <w:szCs w:val="22"/>
        </w:rPr>
        <w:t>, etc</w:t>
      </w:r>
      <w:r w:rsidRPr="000D6AE9" w:rsidR="000B2720">
        <w:rPr>
          <w:sz w:val="22"/>
          <w:szCs w:val="22"/>
        </w:rPr>
        <w:t>. Submission of the demographic data is voluntarily and does not affect the eligibility for an award.</w:t>
      </w:r>
      <w:r w:rsidR="002B743F">
        <w:rPr>
          <w:sz w:val="22"/>
          <w:szCs w:val="22"/>
        </w:rPr>
        <w:t xml:space="preserve"> </w:t>
      </w:r>
      <w:r w:rsidRPr="000D6AE9" w:rsidR="00315E8D">
        <w:rPr>
          <w:sz w:val="22"/>
          <w:szCs w:val="22"/>
        </w:rPr>
        <w:t xml:space="preserve">When grant and cooperative agreement proposals are received, each demographic data </w:t>
      </w:r>
      <w:r w:rsidRPr="000D6AE9" w:rsidR="00BA1B72">
        <w:rPr>
          <w:sz w:val="22"/>
          <w:szCs w:val="22"/>
        </w:rPr>
        <w:t>submitted</w:t>
      </w:r>
      <w:r w:rsidRPr="000D6AE9" w:rsidR="00315E8D">
        <w:rPr>
          <w:sz w:val="22"/>
          <w:szCs w:val="22"/>
        </w:rPr>
        <w:t xml:space="preserve"> will be separated from the proposal and will not be a factor in the proposal review and award process.</w:t>
      </w:r>
    </w:p>
    <w:p w:rsidR="007A1023" w:rsidRPr="000D6AE9" w:rsidP="000D6AE9" w14:paraId="40D840FE" w14:textId="77777777">
      <w:pPr>
        <w:rPr>
          <w:sz w:val="22"/>
          <w:szCs w:val="22"/>
        </w:rPr>
      </w:pPr>
    </w:p>
    <w:p w:rsidR="001D6C3E" w:rsidRPr="000D6AE9" w:rsidP="000D6AE9" w14:paraId="66A66AD4" w14:textId="44AF4822">
      <w:pPr>
        <w:rPr>
          <w:sz w:val="22"/>
          <w:szCs w:val="22"/>
        </w:rPr>
      </w:pPr>
      <w:r w:rsidRPr="000D6AE9">
        <w:rPr>
          <w:sz w:val="22"/>
          <w:szCs w:val="22"/>
        </w:rPr>
        <w:t xml:space="preserve">All proposals are subject to a merit review with the objective of </w:t>
      </w:r>
      <w:r w:rsidRPr="000D6AE9" w:rsidR="002B743F">
        <w:rPr>
          <w:sz w:val="22"/>
          <w:szCs w:val="22"/>
        </w:rPr>
        <w:t>selecting</w:t>
      </w:r>
      <w:r w:rsidRPr="000D6AE9">
        <w:rPr>
          <w:sz w:val="22"/>
          <w:szCs w:val="22"/>
        </w:rPr>
        <w:t xml:space="preserve"> the recipient most likely to be successful in delivering results based on the program objectives outline</w:t>
      </w:r>
      <w:r w:rsidRPr="000D6AE9" w:rsidR="000B2720">
        <w:rPr>
          <w:sz w:val="22"/>
          <w:szCs w:val="22"/>
        </w:rPr>
        <w:t>d</w:t>
      </w:r>
      <w:r w:rsidRPr="000D6AE9">
        <w:rPr>
          <w:sz w:val="22"/>
          <w:szCs w:val="22"/>
        </w:rPr>
        <w:t xml:space="preserve"> in the NOFO.  A</w:t>
      </w:r>
      <w:r w:rsidRPr="000D6AE9" w:rsidR="009D401D">
        <w:rPr>
          <w:sz w:val="22"/>
          <w:szCs w:val="22"/>
        </w:rPr>
        <w:t xml:space="preserve"> </w:t>
      </w:r>
      <w:r w:rsidRPr="000D6AE9" w:rsidR="0060440F">
        <w:rPr>
          <w:sz w:val="22"/>
          <w:szCs w:val="22"/>
        </w:rPr>
        <w:t>financial assistance award (i.e., grant or cooperative agreement)</w:t>
      </w:r>
      <w:r w:rsidRPr="000D6AE9">
        <w:rPr>
          <w:sz w:val="22"/>
          <w:szCs w:val="22"/>
        </w:rPr>
        <w:t xml:space="preserve"> is issued for successful proposals, along with terms and conditions of the award and reporting requirements.</w:t>
      </w:r>
    </w:p>
    <w:p w:rsidR="001D6C3E" w:rsidRPr="000D6AE9" w:rsidP="000D6AE9" w14:paraId="0DE71B1D" w14:textId="77777777">
      <w:pPr>
        <w:rPr>
          <w:sz w:val="22"/>
          <w:szCs w:val="22"/>
        </w:rPr>
      </w:pPr>
    </w:p>
    <w:p w:rsidR="006E1110" w:rsidRPr="000D6AE9" w:rsidP="000D6AE9" w14:paraId="1B71FFAC" w14:textId="1FBAECC1">
      <w:pPr>
        <w:rPr>
          <w:sz w:val="22"/>
          <w:szCs w:val="22"/>
        </w:rPr>
      </w:pPr>
      <w:r w:rsidRPr="000D6AE9">
        <w:rPr>
          <w:sz w:val="22"/>
          <w:szCs w:val="22"/>
        </w:rPr>
        <w:t xml:space="preserve">This </w:t>
      </w:r>
      <w:r w:rsidRPr="000D6AE9" w:rsidR="001D6C3E">
        <w:rPr>
          <w:sz w:val="22"/>
          <w:szCs w:val="22"/>
        </w:rPr>
        <w:t xml:space="preserve">information </w:t>
      </w:r>
      <w:r w:rsidRPr="000D6AE9">
        <w:rPr>
          <w:sz w:val="22"/>
          <w:szCs w:val="22"/>
        </w:rPr>
        <w:t xml:space="preserve">collection is </w:t>
      </w:r>
      <w:r w:rsidRPr="000D6AE9" w:rsidR="000B2720">
        <w:rPr>
          <w:sz w:val="22"/>
          <w:szCs w:val="22"/>
        </w:rPr>
        <w:t xml:space="preserve">necessary </w:t>
      </w:r>
      <w:r w:rsidRPr="000D6AE9">
        <w:rPr>
          <w:sz w:val="22"/>
          <w:szCs w:val="22"/>
        </w:rPr>
        <w:t xml:space="preserve">to </w:t>
      </w:r>
      <w:r w:rsidRPr="000D6AE9" w:rsidR="001D6C3E">
        <w:rPr>
          <w:sz w:val="22"/>
          <w:szCs w:val="22"/>
        </w:rPr>
        <w:t xml:space="preserve">assist NASA make informed decisions when selecting proposals to carry out its mission, </w:t>
      </w:r>
      <w:r w:rsidRPr="000D6AE9" w:rsidR="00D9158C">
        <w:rPr>
          <w:sz w:val="22"/>
          <w:szCs w:val="22"/>
        </w:rPr>
        <w:t>and</w:t>
      </w:r>
      <w:r w:rsidRPr="000D6AE9" w:rsidR="001D6C3E">
        <w:rPr>
          <w:sz w:val="22"/>
          <w:szCs w:val="22"/>
        </w:rPr>
        <w:t xml:space="preserve"> </w:t>
      </w:r>
      <w:r w:rsidRPr="000D6AE9">
        <w:rPr>
          <w:sz w:val="22"/>
          <w:szCs w:val="22"/>
        </w:rPr>
        <w:t>ensure</w:t>
      </w:r>
      <w:r w:rsidRPr="000D6AE9" w:rsidR="000B2720">
        <w:rPr>
          <w:sz w:val="22"/>
          <w:szCs w:val="22"/>
        </w:rPr>
        <w:t xml:space="preserve"> that all qualified proposers are evaluated based </w:t>
      </w:r>
      <w:r w:rsidRPr="000D6AE9" w:rsidR="000D6AE9">
        <w:rPr>
          <w:sz w:val="22"/>
          <w:szCs w:val="22"/>
        </w:rPr>
        <w:t>solely</w:t>
      </w:r>
      <w:r w:rsidRPr="000D6AE9" w:rsidR="000B2720">
        <w:rPr>
          <w:sz w:val="22"/>
          <w:szCs w:val="22"/>
        </w:rPr>
        <w:t xml:space="preserve"> on the quality of the proposal submitted. </w:t>
      </w:r>
      <w:r w:rsidRPr="000D6AE9" w:rsidR="00E71489">
        <w:rPr>
          <w:sz w:val="22"/>
          <w:szCs w:val="22"/>
        </w:rPr>
        <w:t xml:space="preserve">Furthermore, the </w:t>
      </w:r>
      <w:r w:rsidRPr="000D6AE9" w:rsidR="000B2720">
        <w:rPr>
          <w:sz w:val="22"/>
          <w:szCs w:val="22"/>
        </w:rPr>
        <w:t xml:space="preserve">information collected </w:t>
      </w:r>
      <w:r w:rsidRPr="000D6AE9" w:rsidR="00EE1616">
        <w:rPr>
          <w:sz w:val="22"/>
          <w:szCs w:val="22"/>
        </w:rPr>
        <w:t>will provide insight and the opportunity to better manage the award process</w:t>
      </w:r>
      <w:r w:rsidRPr="000D6AE9" w:rsidR="00686014">
        <w:rPr>
          <w:sz w:val="22"/>
          <w:szCs w:val="22"/>
        </w:rPr>
        <w:t xml:space="preserve"> in accordance with Title 2 of the Code of Federal Regulations (CFR) Part 200 (2 CFR 200) and 2 CFR Part 1800, and address </w:t>
      </w:r>
      <w:r w:rsidRPr="000D6AE9" w:rsidR="007A1023">
        <w:rPr>
          <w:sz w:val="22"/>
          <w:szCs w:val="22"/>
        </w:rPr>
        <w:t>the Government Accountability Office’s (</w:t>
      </w:r>
      <w:r w:rsidRPr="000D6AE9" w:rsidR="00686014">
        <w:rPr>
          <w:sz w:val="22"/>
          <w:szCs w:val="22"/>
        </w:rPr>
        <w:t>GAO</w:t>
      </w:r>
      <w:r w:rsidRPr="000D6AE9" w:rsidR="007A1023">
        <w:rPr>
          <w:sz w:val="22"/>
          <w:szCs w:val="22"/>
        </w:rPr>
        <w:t>)</w:t>
      </w:r>
      <w:r w:rsidRPr="000D6AE9" w:rsidR="00686014">
        <w:rPr>
          <w:sz w:val="22"/>
          <w:szCs w:val="22"/>
        </w:rPr>
        <w:t xml:space="preserve"> recommendation</w:t>
      </w:r>
      <w:r w:rsidRPr="000D6AE9" w:rsidR="007F5926">
        <w:rPr>
          <w:sz w:val="22"/>
          <w:szCs w:val="22"/>
        </w:rPr>
        <w:t>s</w:t>
      </w:r>
      <w:r w:rsidRPr="000D6AE9" w:rsidR="00686014">
        <w:rPr>
          <w:sz w:val="22"/>
          <w:szCs w:val="22"/>
        </w:rPr>
        <w:t xml:space="preserve"> to collect additional data to improve </w:t>
      </w:r>
      <w:r w:rsidRPr="000D6AE9" w:rsidR="00E71489">
        <w:rPr>
          <w:sz w:val="22"/>
          <w:szCs w:val="22"/>
        </w:rPr>
        <w:t xml:space="preserve">oversight of </w:t>
      </w:r>
      <w:r w:rsidRPr="000D6AE9" w:rsidR="0057720B">
        <w:rPr>
          <w:sz w:val="22"/>
          <w:szCs w:val="22"/>
        </w:rPr>
        <w:t xml:space="preserve">NASA </w:t>
      </w:r>
      <w:r w:rsidRPr="000D6AE9" w:rsidR="00E71489">
        <w:rPr>
          <w:sz w:val="22"/>
          <w:szCs w:val="22"/>
        </w:rPr>
        <w:t>funds and title IX compliance</w:t>
      </w:r>
      <w:r w:rsidRPr="000D6AE9" w:rsidR="009E48BF">
        <w:rPr>
          <w:sz w:val="22"/>
          <w:szCs w:val="22"/>
        </w:rPr>
        <w:t>.</w:t>
      </w:r>
      <w:r w:rsidRPr="000D6AE9" w:rsidR="00686014">
        <w:rPr>
          <w:sz w:val="22"/>
          <w:szCs w:val="22"/>
        </w:rPr>
        <w:t xml:space="preserve"> </w:t>
      </w:r>
    </w:p>
    <w:p w:rsidR="00C4592C" w:rsidRPr="000D6AE9" w:rsidP="000D6AE9" w14:paraId="7F6A1B02" w14:textId="77777777">
      <w:pPr>
        <w:rPr>
          <w:sz w:val="22"/>
          <w:szCs w:val="22"/>
        </w:rPr>
      </w:pPr>
    </w:p>
    <w:p w:rsidR="006E1110" w:rsidRPr="000D6AE9" w:rsidP="000D6AE9" w14:paraId="249B1E67" w14:textId="77777777">
      <w:pPr>
        <w:rPr>
          <w:b/>
          <w:sz w:val="22"/>
          <w:szCs w:val="22"/>
        </w:rPr>
      </w:pPr>
      <w:r w:rsidRPr="000D6AE9">
        <w:rPr>
          <w:b/>
          <w:sz w:val="22"/>
          <w:szCs w:val="22"/>
        </w:rPr>
        <w:t>2.</w:t>
      </w:r>
      <w:r w:rsidRPr="000D6AE9" w:rsidR="00C4592C">
        <w:rPr>
          <w:sz w:val="22"/>
          <w:szCs w:val="22"/>
        </w:rPr>
        <w:t xml:space="preserve">  </w:t>
      </w:r>
      <w:r w:rsidRPr="000D6AE9">
        <w:rPr>
          <w:b/>
          <w:sz w:val="22"/>
          <w:szCs w:val="22"/>
        </w:rPr>
        <w:t xml:space="preserve">Indicate how, by whom, how frequently, and for what purpose the information will </w:t>
      </w:r>
    </w:p>
    <w:p w:rsidR="006E1110" w:rsidRPr="000D6AE9" w:rsidP="000D6AE9" w14:paraId="6DEA26DD" w14:textId="77777777">
      <w:pPr>
        <w:rPr>
          <w:b/>
          <w:sz w:val="22"/>
          <w:szCs w:val="22"/>
        </w:rPr>
      </w:pPr>
      <w:r w:rsidRPr="000D6AE9">
        <w:rPr>
          <w:b/>
          <w:sz w:val="22"/>
          <w:szCs w:val="22"/>
        </w:rPr>
        <w:t>be used.</w:t>
      </w:r>
    </w:p>
    <w:p w:rsidR="006E1110" w:rsidRPr="000D6AE9" w:rsidP="000D6AE9" w14:paraId="4AE1D722" w14:textId="77777777">
      <w:pPr>
        <w:rPr>
          <w:sz w:val="22"/>
          <w:szCs w:val="22"/>
        </w:rPr>
      </w:pPr>
    </w:p>
    <w:p w:rsidR="001E358D" w:rsidRPr="000D6AE9" w:rsidP="000D6AE9" w14:paraId="55070E17" w14:textId="55758D04">
      <w:pPr>
        <w:rPr>
          <w:sz w:val="22"/>
          <w:szCs w:val="22"/>
        </w:rPr>
      </w:pPr>
      <w:r w:rsidRPr="000D6AE9">
        <w:rPr>
          <w:sz w:val="22"/>
          <w:szCs w:val="22"/>
        </w:rPr>
        <w:t xml:space="preserve">Information collected will be used by the NASA </w:t>
      </w:r>
      <w:r w:rsidRPr="000D6AE9" w:rsidR="001D6C3E">
        <w:rPr>
          <w:sz w:val="22"/>
          <w:szCs w:val="22"/>
        </w:rPr>
        <w:t>Mission Directorates</w:t>
      </w:r>
      <w:r w:rsidRPr="000D6AE9" w:rsidR="000B6BFB">
        <w:rPr>
          <w:sz w:val="22"/>
          <w:szCs w:val="22"/>
        </w:rPr>
        <w:t xml:space="preserve">, </w:t>
      </w:r>
      <w:r w:rsidRPr="000D6AE9" w:rsidR="00FE3BF1">
        <w:rPr>
          <w:sz w:val="22"/>
          <w:szCs w:val="22"/>
        </w:rPr>
        <w:t>NASA Shared Service</w:t>
      </w:r>
      <w:r w:rsidRPr="000D6AE9" w:rsidR="00967FCB">
        <w:rPr>
          <w:sz w:val="22"/>
          <w:szCs w:val="22"/>
        </w:rPr>
        <w:t>s</w:t>
      </w:r>
      <w:r w:rsidRPr="000D6AE9" w:rsidR="00FE3BF1">
        <w:rPr>
          <w:sz w:val="22"/>
          <w:szCs w:val="22"/>
        </w:rPr>
        <w:t xml:space="preserve"> Center (NSSC)</w:t>
      </w:r>
      <w:r w:rsidRPr="000D6AE9" w:rsidR="000B2720">
        <w:rPr>
          <w:sz w:val="22"/>
          <w:szCs w:val="22"/>
        </w:rPr>
        <w:t xml:space="preserve">, Office of the Chief Scientist, </w:t>
      </w:r>
      <w:r w:rsidRPr="000D6AE9" w:rsidR="000E282B">
        <w:rPr>
          <w:sz w:val="22"/>
          <w:szCs w:val="22"/>
        </w:rPr>
        <w:t xml:space="preserve">Office of Procurement, </w:t>
      </w:r>
      <w:r w:rsidRPr="000D6AE9" w:rsidR="000B6BFB">
        <w:rPr>
          <w:sz w:val="22"/>
          <w:szCs w:val="22"/>
        </w:rPr>
        <w:t>and the Office of the Chief Financial Officer</w:t>
      </w:r>
      <w:r w:rsidRPr="000D6AE9">
        <w:rPr>
          <w:sz w:val="22"/>
          <w:szCs w:val="22"/>
        </w:rPr>
        <w:t>.</w:t>
      </w:r>
      <w:r w:rsidRPr="000D6AE9" w:rsidR="00967FCB">
        <w:rPr>
          <w:sz w:val="22"/>
          <w:szCs w:val="22"/>
        </w:rPr>
        <w:t xml:space="preserve"> </w:t>
      </w:r>
      <w:r w:rsidRPr="000D6AE9">
        <w:rPr>
          <w:sz w:val="22"/>
          <w:szCs w:val="22"/>
        </w:rPr>
        <w:t xml:space="preserve">Absence of the information provided </w:t>
      </w:r>
      <w:r w:rsidRPr="000D6AE9" w:rsidR="00BB50E4">
        <w:rPr>
          <w:sz w:val="22"/>
          <w:szCs w:val="22"/>
        </w:rPr>
        <w:t>in</w:t>
      </w:r>
      <w:r w:rsidRPr="000D6AE9">
        <w:rPr>
          <w:sz w:val="22"/>
          <w:szCs w:val="22"/>
        </w:rPr>
        <w:t xml:space="preserve"> </w:t>
      </w:r>
      <w:r w:rsidRPr="000D6AE9" w:rsidR="00967FCB">
        <w:rPr>
          <w:sz w:val="22"/>
          <w:szCs w:val="22"/>
        </w:rPr>
        <w:t xml:space="preserve">grant </w:t>
      </w:r>
      <w:r w:rsidRPr="000D6AE9">
        <w:rPr>
          <w:sz w:val="22"/>
          <w:szCs w:val="22"/>
        </w:rPr>
        <w:t>recipients</w:t>
      </w:r>
      <w:r w:rsidRPr="000D6AE9" w:rsidR="00BB50E4">
        <w:rPr>
          <w:sz w:val="22"/>
          <w:szCs w:val="22"/>
        </w:rPr>
        <w:t>’</w:t>
      </w:r>
      <w:r w:rsidRPr="000D6AE9">
        <w:rPr>
          <w:sz w:val="22"/>
          <w:szCs w:val="22"/>
        </w:rPr>
        <w:t xml:space="preserve"> proposals, reports, and recordkeeping would result in NASA’s inability to carry out its mission and to comp</w:t>
      </w:r>
      <w:r w:rsidRPr="000D6AE9" w:rsidR="00967FCB">
        <w:rPr>
          <w:sz w:val="22"/>
          <w:szCs w:val="22"/>
        </w:rPr>
        <w:t>ly with</w:t>
      </w:r>
      <w:r w:rsidRPr="000D6AE9" w:rsidR="001A6899">
        <w:rPr>
          <w:sz w:val="22"/>
          <w:szCs w:val="22"/>
        </w:rPr>
        <w:t xml:space="preserve"> various</w:t>
      </w:r>
      <w:r w:rsidRPr="000D6AE9" w:rsidR="00967FCB">
        <w:rPr>
          <w:sz w:val="22"/>
          <w:szCs w:val="22"/>
        </w:rPr>
        <w:t xml:space="preserve"> statutory requirements </w:t>
      </w:r>
      <w:r w:rsidRPr="000D6AE9" w:rsidR="00BB50E4">
        <w:rPr>
          <w:sz w:val="22"/>
          <w:szCs w:val="22"/>
        </w:rPr>
        <w:t>(</w:t>
      </w:r>
      <w:r w:rsidRPr="000D6AE9" w:rsidR="00967FCB">
        <w:rPr>
          <w:sz w:val="22"/>
          <w:szCs w:val="22"/>
        </w:rPr>
        <w:t>e.g., the Chief Financial Officers (CFO)</w:t>
      </w:r>
      <w:r w:rsidRPr="000D6AE9">
        <w:rPr>
          <w:sz w:val="22"/>
          <w:szCs w:val="22"/>
        </w:rPr>
        <w:t xml:space="preserve"> Act, on the accountability of public funds and maintenance of an appropriate internal control system</w:t>
      </w:r>
      <w:r w:rsidRPr="000D6AE9" w:rsidR="00BB50E4">
        <w:rPr>
          <w:sz w:val="22"/>
          <w:szCs w:val="22"/>
        </w:rPr>
        <w:t>)</w:t>
      </w:r>
      <w:r w:rsidRPr="000D6AE9">
        <w:rPr>
          <w:sz w:val="22"/>
          <w:szCs w:val="22"/>
        </w:rPr>
        <w:t>.</w:t>
      </w:r>
    </w:p>
    <w:p w:rsidR="001E358D" w:rsidRPr="000D6AE9" w:rsidP="000D6AE9" w14:paraId="0AB460ED" w14:textId="77777777">
      <w:pPr>
        <w:rPr>
          <w:sz w:val="22"/>
          <w:szCs w:val="22"/>
        </w:rPr>
      </w:pPr>
    </w:p>
    <w:p w:rsidR="001E358D" w:rsidRPr="000D6AE9" w:rsidP="000D6AE9" w14:paraId="44F70C09" w14:textId="77777777">
      <w:pPr>
        <w:rPr>
          <w:sz w:val="22"/>
          <w:szCs w:val="22"/>
        </w:rPr>
      </w:pPr>
      <w:r w:rsidRPr="000D6AE9">
        <w:rPr>
          <w:sz w:val="22"/>
          <w:szCs w:val="22"/>
        </w:rPr>
        <w:t xml:space="preserve">The </w:t>
      </w:r>
      <w:r w:rsidRPr="000D6AE9" w:rsidR="005C0184">
        <w:rPr>
          <w:sz w:val="22"/>
          <w:szCs w:val="22"/>
        </w:rPr>
        <w:t xml:space="preserve">following table depicts </w:t>
      </w:r>
      <w:r w:rsidRPr="000D6AE9">
        <w:rPr>
          <w:sz w:val="22"/>
          <w:szCs w:val="22"/>
        </w:rPr>
        <w:t xml:space="preserve">projected information collection frequency and </w:t>
      </w:r>
      <w:r w:rsidRPr="000D6AE9" w:rsidR="005C0184">
        <w:rPr>
          <w:sz w:val="22"/>
          <w:szCs w:val="22"/>
        </w:rPr>
        <w:t xml:space="preserve">its </w:t>
      </w:r>
      <w:r w:rsidRPr="000D6AE9">
        <w:rPr>
          <w:sz w:val="22"/>
          <w:szCs w:val="22"/>
        </w:rPr>
        <w:t>intended use</w:t>
      </w:r>
      <w:r w:rsidRPr="000D6AE9" w:rsidR="005C0184">
        <w:rPr>
          <w:sz w:val="22"/>
          <w:szCs w:val="22"/>
        </w:rPr>
        <w:t>:</w:t>
      </w:r>
    </w:p>
    <w:p w:rsidR="001E358D" w:rsidRPr="000D6AE9" w:rsidP="000D6AE9" w14:paraId="549587FD" w14:textId="77777777">
      <w:pPr>
        <w:rPr>
          <w:sz w:val="22"/>
          <w:szCs w:val="22"/>
        </w:rPr>
      </w:pPr>
    </w:p>
    <w:tbl>
      <w:tblPr>
        <w:tblW w:w="9576" w:type="dxa"/>
        <w:tblBorders>
          <w:top w:val="single" w:sz="12" w:space="0" w:color="008000"/>
          <w:left w:val="nil"/>
          <w:bottom w:val="single" w:sz="12" w:space="0" w:color="008000"/>
          <w:right w:val="nil"/>
          <w:insideH w:val="nil"/>
          <w:insideV w:val="nil"/>
        </w:tblBorders>
        <w:tblLayout w:type="fixed"/>
        <w:tblLook w:val="0020"/>
      </w:tblPr>
      <w:tblGrid>
        <w:gridCol w:w="3060"/>
        <w:gridCol w:w="1620"/>
        <w:gridCol w:w="4896"/>
      </w:tblGrid>
      <w:tr w14:paraId="76D27C80" w14:textId="77777777" w:rsidTr="00746A24">
        <w:tblPrEx>
          <w:tblW w:w="9576" w:type="dxa"/>
          <w:tblBorders>
            <w:top w:val="single" w:sz="12" w:space="0" w:color="008000"/>
            <w:left w:val="nil"/>
            <w:bottom w:val="single" w:sz="12" w:space="0" w:color="008000"/>
            <w:right w:val="nil"/>
            <w:insideH w:val="nil"/>
            <w:insideV w:val="nil"/>
          </w:tblBorders>
          <w:tblLayout w:type="fixed"/>
          <w:tblLook w:val="0020"/>
        </w:tblPrEx>
        <w:tc>
          <w:tcPr>
            <w:tcW w:w="3060" w:type="dxa"/>
            <w:tcBorders>
              <w:top w:val="single" w:sz="12" w:space="0" w:color="008000"/>
              <w:bottom w:val="single" w:sz="4" w:space="0" w:color="auto"/>
            </w:tcBorders>
            <w:shd w:val="pct95" w:color="auto" w:fill="auto"/>
          </w:tcPr>
          <w:p w:rsidR="001E358D" w:rsidRPr="000D6AE9" w:rsidP="000D6AE9" w14:paraId="078EE322" w14:textId="77777777">
            <w:pPr>
              <w:rPr>
                <w:sz w:val="22"/>
                <w:szCs w:val="22"/>
              </w:rPr>
            </w:pPr>
            <w:r w:rsidRPr="000D6AE9">
              <w:rPr>
                <w:sz w:val="22"/>
                <w:szCs w:val="22"/>
              </w:rPr>
              <w:t>INFO</w:t>
            </w:r>
            <w:r w:rsidRPr="000D6AE9" w:rsidR="00EE733B">
              <w:rPr>
                <w:sz w:val="22"/>
                <w:szCs w:val="22"/>
              </w:rPr>
              <w:t>RMATION/</w:t>
            </w:r>
            <w:r w:rsidRPr="000D6AE9">
              <w:rPr>
                <w:sz w:val="22"/>
                <w:szCs w:val="22"/>
              </w:rPr>
              <w:t xml:space="preserve"> REPORTS</w:t>
            </w:r>
          </w:p>
        </w:tc>
        <w:tc>
          <w:tcPr>
            <w:tcW w:w="1620" w:type="dxa"/>
            <w:tcBorders>
              <w:top w:val="single" w:sz="12" w:space="0" w:color="008000"/>
              <w:bottom w:val="single" w:sz="4" w:space="0" w:color="auto"/>
            </w:tcBorders>
            <w:shd w:val="pct95" w:color="auto" w:fill="auto"/>
          </w:tcPr>
          <w:p w:rsidR="001E358D" w:rsidRPr="000D6AE9" w:rsidP="000D6AE9" w14:paraId="0FAC4A40" w14:textId="77777777">
            <w:pPr>
              <w:rPr>
                <w:sz w:val="22"/>
                <w:szCs w:val="22"/>
              </w:rPr>
            </w:pPr>
            <w:r w:rsidRPr="000D6AE9">
              <w:rPr>
                <w:sz w:val="22"/>
                <w:szCs w:val="22"/>
              </w:rPr>
              <w:t>FREQUENCY</w:t>
            </w:r>
          </w:p>
        </w:tc>
        <w:tc>
          <w:tcPr>
            <w:tcW w:w="4896" w:type="dxa"/>
            <w:tcBorders>
              <w:top w:val="single" w:sz="12" w:space="0" w:color="008000"/>
              <w:bottom w:val="single" w:sz="4" w:space="0" w:color="auto"/>
            </w:tcBorders>
            <w:shd w:val="pct95" w:color="auto" w:fill="auto"/>
          </w:tcPr>
          <w:p w:rsidR="001E358D" w:rsidRPr="000D6AE9" w:rsidP="000D6AE9" w14:paraId="5FA923E2" w14:textId="77777777">
            <w:pPr>
              <w:rPr>
                <w:sz w:val="22"/>
                <w:szCs w:val="22"/>
              </w:rPr>
            </w:pPr>
            <w:r w:rsidRPr="000D6AE9">
              <w:rPr>
                <w:sz w:val="22"/>
                <w:szCs w:val="22"/>
              </w:rPr>
              <w:t>USE</w:t>
            </w:r>
          </w:p>
        </w:tc>
      </w:tr>
      <w:tr w14:paraId="59628847" w14:textId="77777777" w:rsidTr="00746A24">
        <w:tblPrEx>
          <w:tblW w:w="9576" w:type="dxa"/>
          <w:tblLayout w:type="fixed"/>
          <w:tblLook w:val="0020"/>
        </w:tblPrEx>
        <w:tc>
          <w:tcPr>
            <w:tcW w:w="3060" w:type="dxa"/>
            <w:tcBorders>
              <w:top w:val="single" w:sz="4" w:space="0" w:color="auto"/>
              <w:left w:val="single" w:sz="4" w:space="0" w:color="auto"/>
              <w:bottom w:val="single" w:sz="4" w:space="0" w:color="auto"/>
              <w:right w:val="single" w:sz="4" w:space="0" w:color="auto"/>
            </w:tcBorders>
          </w:tcPr>
          <w:p w:rsidR="001E358D" w:rsidRPr="000D6AE9" w:rsidP="000D6AE9" w14:paraId="03FF2DD2" w14:textId="77777777">
            <w:pPr>
              <w:rPr>
                <w:sz w:val="22"/>
                <w:szCs w:val="22"/>
              </w:rPr>
            </w:pPr>
            <w:r w:rsidRPr="000D6AE9">
              <w:rPr>
                <w:sz w:val="22"/>
                <w:szCs w:val="22"/>
              </w:rPr>
              <w:t>Proposals</w:t>
            </w:r>
          </w:p>
        </w:tc>
        <w:tc>
          <w:tcPr>
            <w:tcW w:w="1620" w:type="dxa"/>
            <w:tcBorders>
              <w:top w:val="single" w:sz="4" w:space="0" w:color="auto"/>
              <w:left w:val="single" w:sz="4" w:space="0" w:color="auto"/>
              <w:bottom w:val="single" w:sz="4" w:space="0" w:color="auto"/>
              <w:right w:val="single" w:sz="4" w:space="0" w:color="auto"/>
            </w:tcBorders>
          </w:tcPr>
          <w:p w:rsidR="001E358D" w:rsidRPr="000D6AE9" w:rsidP="000D6AE9" w14:paraId="6F8D7361" w14:textId="77777777">
            <w:pPr>
              <w:rPr>
                <w:sz w:val="22"/>
                <w:szCs w:val="22"/>
              </w:rPr>
            </w:pPr>
            <w:r w:rsidRPr="000D6AE9">
              <w:rPr>
                <w:sz w:val="22"/>
                <w:szCs w:val="22"/>
              </w:rPr>
              <w:t>Occasionally</w:t>
            </w:r>
          </w:p>
        </w:tc>
        <w:tc>
          <w:tcPr>
            <w:tcW w:w="4896" w:type="dxa"/>
            <w:tcBorders>
              <w:top w:val="single" w:sz="4" w:space="0" w:color="auto"/>
              <w:left w:val="single" w:sz="4" w:space="0" w:color="auto"/>
              <w:bottom w:val="single" w:sz="4" w:space="0" w:color="auto"/>
              <w:right w:val="single" w:sz="4" w:space="0" w:color="auto"/>
            </w:tcBorders>
          </w:tcPr>
          <w:p w:rsidR="001E358D" w:rsidRPr="000D6AE9" w:rsidP="000D6AE9" w14:paraId="209042E1" w14:textId="6FF5F8AE">
            <w:pPr>
              <w:rPr>
                <w:sz w:val="22"/>
                <w:szCs w:val="22"/>
              </w:rPr>
            </w:pPr>
            <w:r w:rsidRPr="000D6AE9">
              <w:rPr>
                <w:sz w:val="22"/>
                <w:szCs w:val="22"/>
              </w:rPr>
              <w:t xml:space="preserve">Select qualified </w:t>
            </w:r>
            <w:r w:rsidRPr="000D6AE9" w:rsidR="001D6C3E">
              <w:rPr>
                <w:sz w:val="22"/>
                <w:szCs w:val="22"/>
              </w:rPr>
              <w:t>proposals</w:t>
            </w:r>
          </w:p>
        </w:tc>
      </w:tr>
      <w:tr w14:paraId="38CBCA4A" w14:textId="77777777" w:rsidTr="00746A24">
        <w:tblPrEx>
          <w:tblW w:w="9576" w:type="dxa"/>
          <w:tblLayout w:type="fixed"/>
          <w:tblLook w:val="0020"/>
        </w:tblPrEx>
        <w:tc>
          <w:tcPr>
            <w:tcW w:w="3060" w:type="dxa"/>
            <w:tcBorders>
              <w:top w:val="single" w:sz="4" w:space="0" w:color="auto"/>
              <w:left w:val="single" w:sz="4" w:space="0" w:color="auto"/>
              <w:bottom w:val="single" w:sz="4" w:space="0" w:color="auto"/>
              <w:right w:val="single" w:sz="4" w:space="0" w:color="auto"/>
            </w:tcBorders>
          </w:tcPr>
          <w:p w:rsidR="001E358D" w:rsidRPr="000D6AE9" w:rsidP="000D6AE9" w14:paraId="34130421" w14:textId="4A5211B7">
            <w:pPr>
              <w:rPr>
                <w:sz w:val="22"/>
                <w:szCs w:val="22"/>
              </w:rPr>
            </w:pPr>
            <w:r w:rsidRPr="000D6AE9">
              <w:rPr>
                <w:sz w:val="22"/>
                <w:szCs w:val="22"/>
              </w:rPr>
              <w:t xml:space="preserve">Federal </w:t>
            </w:r>
            <w:r w:rsidRPr="000D6AE9" w:rsidR="001D6C3E">
              <w:rPr>
                <w:sz w:val="22"/>
                <w:szCs w:val="22"/>
              </w:rPr>
              <w:t>Financial Reports (SF-425)</w:t>
            </w:r>
          </w:p>
        </w:tc>
        <w:tc>
          <w:tcPr>
            <w:tcW w:w="1620" w:type="dxa"/>
            <w:tcBorders>
              <w:top w:val="single" w:sz="4" w:space="0" w:color="auto"/>
              <w:left w:val="single" w:sz="4" w:space="0" w:color="auto"/>
              <w:bottom w:val="single" w:sz="4" w:space="0" w:color="auto"/>
              <w:right w:val="single" w:sz="4" w:space="0" w:color="auto"/>
            </w:tcBorders>
          </w:tcPr>
          <w:p w:rsidR="001E358D" w:rsidRPr="000D6AE9" w:rsidP="000D6AE9" w14:paraId="589234E3" w14:textId="77777777">
            <w:pPr>
              <w:rPr>
                <w:sz w:val="22"/>
                <w:szCs w:val="22"/>
              </w:rPr>
            </w:pPr>
            <w:r w:rsidRPr="000D6AE9">
              <w:rPr>
                <w:sz w:val="22"/>
                <w:szCs w:val="22"/>
              </w:rPr>
              <w:t>Milestones</w:t>
            </w:r>
          </w:p>
        </w:tc>
        <w:tc>
          <w:tcPr>
            <w:tcW w:w="4896" w:type="dxa"/>
            <w:tcBorders>
              <w:top w:val="single" w:sz="4" w:space="0" w:color="auto"/>
              <w:left w:val="single" w:sz="4" w:space="0" w:color="auto"/>
              <w:bottom w:val="single" w:sz="4" w:space="0" w:color="auto"/>
              <w:right w:val="single" w:sz="4" w:space="0" w:color="auto"/>
            </w:tcBorders>
          </w:tcPr>
          <w:p w:rsidR="001E358D" w:rsidRPr="000D6AE9" w:rsidP="000D6AE9" w14:paraId="7C03CC91" w14:textId="77777777">
            <w:pPr>
              <w:rPr>
                <w:sz w:val="22"/>
                <w:szCs w:val="22"/>
              </w:rPr>
            </w:pPr>
            <w:r w:rsidRPr="000D6AE9">
              <w:rPr>
                <w:sz w:val="22"/>
                <w:szCs w:val="22"/>
              </w:rPr>
              <w:t>Report expenditures</w:t>
            </w:r>
          </w:p>
        </w:tc>
      </w:tr>
      <w:tr w14:paraId="1097FD58" w14:textId="77777777" w:rsidTr="00746A24">
        <w:tblPrEx>
          <w:tblW w:w="9576" w:type="dxa"/>
          <w:tblLayout w:type="fixed"/>
          <w:tblLook w:val="0020"/>
        </w:tblPrEx>
        <w:tc>
          <w:tcPr>
            <w:tcW w:w="3060" w:type="dxa"/>
            <w:tcBorders>
              <w:top w:val="single" w:sz="4" w:space="0" w:color="auto"/>
              <w:left w:val="single" w:sz="4" w:space="0" w:color="auto"/>
              <w:bottom w:val="single" w:sz="4" w:space="0" w:color="auto"/>
              <w:right w:val="single" w:sz="4" w:space="0" w:color="auto"/>
            </w:tcBorders>
          </w:tcPr>
          <w:p w:rsidR="001E358D" w:rsidRPr="000D6AE9" w:rsidP="000D6AE9" w14:paraId="7D1C5D35" w14:textId="28F2EA89">
            <w:pPr>
              <w:rPr>
                <w:sz w:val="22"/>
                <w:szCs w:val="22"/>
              </w:rPr>
            </w:pPr>
            <w:r w:rsidRPr="000D6AE9">
              <w:rPr>
                <w:sz w:val="22"/>
                <w:szCs w:val="22"/>
              </w:rPr>
              <w:t>Property Reports</w:t>
            </w:r>
            <w:r w:rsidRPr="000D6AE9" w:rsidR="001D6C3E">
              <w:rPr>
                <w:sz w:val="22"/>
                <w:szCs w:val="22"/>
              </w:rPr>
              <w:t>*</w:t>
            </w:r>
          </w:p>
        </w:tc>
        <w:tc>
          <w:tcPr>
            <w:tcW w:w="1620" w:type="dxa"/>
            <w:tcBorders>
              <w:top w:val="single" w:sz="4" w:space="0" w:color="auto"/>
              <w:left w:val="single" w:sz="4" w:space="0" w:color="auto"/>
              <w:bottom w:val="single" w:sz="4" w:space="0" w:color="auto"/>
              <w:right w:val="single" w:sz="4" w:space="0" w:color="auto"/>
            </w:tcBorders>
          </w:tcPr>
          <w:p w:rsidR="001E358D" w:rsidRPr="000D6AE9" w:rsidP="000D6AE9" w14:paraId="4430C2C6" w14:textId="77777777">
            <w:pPr>
              <w:rPr>
                <w:sz w:val="22"/>
                <w:szCs w:val="22"/>
              </w:rPr>
            </w:pPr>
            <w:r w:rsidRPr="000D6AE9">
              <w:rPr>
                <w:sz w:val="22"/>
                <w:szCs w:val="22"/>
              </w:rPr>
              <w:t>Annually</w:t>
            </w:r>
          </w:p>
        </w:tc>
        <w:tc>
          <w:tcPr>
            <w:tcW w:w="4896" w:type="dxa"/>
            <w:tcBorders>
              <w:top w:val="single" w:sz="4" w:space="0" w:color="auto"/>
              <w:left w:val="single" w:sz="4" w:space="0" w:color="auto"/>
              <w:bottom w:val="single" w:sz="4" w:space="0" w:color="auto"/>
              <w:right w:val="single" w:sz="4" w:space="0" w:color="auto"/>
            </w:tcBorders>
          </w:tcPr>
          <w:p w:rsidR="001E358D" w:rsidRPr="000D6AE9" w:rsidP="000D6AE9" w14:paraId="1DACFDF9" w14:textId="7CAB8A95">
            <w:pPr>
              <w:rPr>
                <w:sz w:val="22"/>
                <w:szCs w:val="22"/>
              </w:rPr>
            </w:pPr>
            <w:r w:rsidRPr="000D6AE9">
              <w:rPr>
                <w:sz w:val="22"/>
                <w:szCs w:val="22"/>
              </w:rPr>
              <w:t>Financial Reporting/Assess success of programs</w:t>
            </w:r>
          </w:p>
        </w:tc>
      </w:tr>
      <w:tr w14:paraId="75A924A0" w14:textId="77777777" w:rsidTr="00746A24">
        <w:tblPrEx>
          <w:tblW w:w="9576" w:type="dxa"/>
          <w:tblLayout w:type="fixed"/>
          <w:tblLook w:val="0020"/>
        </w:tblPrEx>
        <w:tc>
          <w:tcPr>
            <w:tcW w:w="3060" w:type="dxa"/>
            <w:tcBorders>
              <w:top w:val="single" w:sz="4" w:space="0" w:color="auto"/>
              <w:left w:val="single" w:sz="4" w:space="0" w:color="auto"/>
              <w:bottom w:val="single" w:sz="4" w:space="0" w:color="auto"/>
              <w:right w:val="single" w:sz="4" w:space="0" w:color="auto"/>
            </w:tcBorders>
          </w:tcPr>
          <w:p w:rsidR="001E358D" w:rsidRPr="000D6AE9" w:rsidP="000D6AE9" w14:paraId="31DEE22D" w14:textId="0A1C56F3">
            <w:pPr>
              <w:rPr>
                <w:sz w:val="22"/>
                <w:szCs w:val="22"/>
              </w:rPr>
            </w:pPr>
            <w:r w:rsidRPr="000D6AE9">
              <w:rPr>
                <w:sz w:val="22"/>
                <w:szCs w:val="22"/>
              </w:rPr>
              <w:t>Patent &amp; New Technology Reports</w:t>
            </w:r>
            <w:r w:rsidRPr="000D6AE9" w:rsidR="001D6C3E">
              <w:rPr>
                <w:sz w:val="22"/>
                <w:szCs w:val="22"/>
              </w:rPr>
              <w:t>*</w:t>
            </w:r>
          </w:p>
        </w:tc>
        <w:tc>
          <w:tcPr>
            <w:tcW w:w="1620" w:type="dxa"/>
            <w:tcBorders>
              <w:top w:val="single" w:sz="4" w:space="0" w:color="auto"/>
              <w:left w:val="single" w:sz="4" w:space="0" w:color="auto"/>
              <w:bottom w:val="single" w:sz="4" w:space="0" w:color="auto"/>
              <w:right w:val="single" w:sz="4" w:space="0" w:color="auto"/>
            </w:tcBorders>
          </w:tcPr>
          <w:p w:rsidR="001E358D" w:rsidRPr="000D6AE9" w:rsidP="000D6AE9" w14:paraId="4E979D95" w14:textId="77777777">
            <w:pPr>
              <w:rPr>
                <w:sz w:val="22"/>
                <w:szCs w:val="22"/>
              </w:rPr>
            </w:pPr>
            <w:r w:rsidRPr="000D6AE9">
              <w:rPr>
                <w:sz w:val="22"/>
                <w:szCs w:val="22"/>
              </w:rPr>
              <w:t>Annually</w:t>
            </w:r>
          </w:p>
        </w:tc>
        <w:tc>
          <w:tcPr>
            <w:tcW w:w="4896" w:type="dxa"/>
            <w:tcBorders>
              <w:top w:val="single" w:sz="4" w:space="0" w:color="auto"/>
              <w:left w:val="single" w:sz="4" w:space="0" w:color="auto"/>
              <w:bottom w:val="single" w:sz="4" w:space="0" w:color="auto"/>
              <w:right w:val="single" w:sz="4" w:space="0" w:color="auto"/>
            </w:tcBorders>
          </w:tcPr>
          <w:p w:rsidR="001E358D" w:rsidRPr="000D6AE9" w:rsidP="000D6AE9" w14:paraId="298530AD" w14:textId="77777777">
            <w:pPr>
              <w:rPr>
                <w:sz w:val="22"/>
                <w:szCs w:val="22"/>
              </w:rPr>
            </w:pPr>
            <w:r w:rsidRPr="000D6AE9">
              <w:rPr>
                <w:sz w:val="22"/>
                <w:szCs w:val="22"/>
              </w:rPr>
              <w:t>Protect rights of Government &amp; recipients</w:t>
            </w:r>
          </w:p>
        </w:tc>
      </w:tr>
      <w:tr w14:paraId="23594E39" w14:textId="77777777" w:rsidTr="00746A24">
        <w:tblPrEx>
          <w:tblW w:w="9576" w:type="dxa"/>
          <w:tblLayout w:type="fixed"/>
          <w:tblLook w:val="0020"/>
        </w:tblPrEx>
        <w:tc>
          <w:tcPr>
            <w:tcW w:w="3060" w:type="dxa"/>
            <w:tcBorders>
              <w:top w:val="single" w:sz="4" w:space="0" w:color="auto"/>
              <w:left w:val="single" w:sz="4" w:space="0" w:color="auto"/>
              <w:bottom w:val="single" w:sz="4" w:space="0" w:color="auto"/>
              <w:right w:val="single" w:sz="4" w:space="0" w:color="auto"/>
            </w:tcBorders>
          </w:tcPr>
          <w:p w:rsidR="001E358D" w:rsidRPr="000D6AE9" w:rsidP="000D6AE9" w14:paraId="74EF0EC6" w14:textId="77777777">
            <w:pPr>
              <w:rPr>
                <w:sz w:val="22"/>
                <w:szCs w:val="22"/>
              </w:rPr>
            </w:pPr>
            <w:r w:rsidRPr="000D6AE9">
              <w:rPr>
                <w:sz w:val="22"/>
                <w:szCs w:val="22"/>
              </w:rPr>
              <w:t>Performance</w:t>
            </w:r>
            <w:r w:rsidRPr="000D6AE9" w:rsidR="00F9408D">
              <w:rPr>
                <w:sz w:val="22"/>
                <w:szCs w:val="22"/>
              </w:rPr>
              <w:t>/Progress</w:t>
            </w:r>
            <w:r w:rsidRPr="000D6AE9">
              <w:rPr>
                <w:sz w:val="22"/>
                <w:szCs w:val="22"/>
              </w:rPr>
              <w:t xml:space="preserve"> Reports</w:t>
            </w:r>
          </w:p>
        </w:tc>
        <w:tc>
          <w:tcPr>
            <w:tcW w:w="1620" w:type="dxa"/>
            <w:tcBorders>
              <w:top w:val="single" w:sz="4" w:space="0" w:color="auto"/>
              <w:left w:val="single" w:sz="4" w:space="0" w:color="auto"/>
              <w:bottom w:val="single" w:sz="4" w:space="0" w:color="auto"/>
              <w:right w:val="single" w:sz="4" w:space="0" w:color="auto"/>
            </w:tcBorders>
          </w:tcPr>
          <w:p w:rsidR="001E358D" w:rsidRPr="000D6AE9" w:rsidP="000D6AE9" w14:paraId="1216BD7D" w14:textId="77777777">
            <w:pPr>
              <w:rPr>
                <w:sz w:val="22"/>
                <w:szCs w:val="22"/>
              </w:rPr>
            </w:pPr>
            <w:r w:rsidRPr="000D6AE9">
              <w:rPr>
                <w:sz w:val="22"/>
                <w:szCs w:val="22"/>
              </w:rPr>
              <w:t>Annually</w:t>
            </w:r>
          </w:p>
        </w:tc>
        <w:tc>
          <w:tcPr>
            <w:tcW w:w="4896" w:type="dxa"/>
            <w:tcBorders>
              <w:top w:val="single" w:sz="4" w:space="0" w:color="auto"/>
              <w:left w:val="single" w:sz="4" w:space="0" w:color="auto"/>
              <w:bottom w:val="single" w:sz="4" w:space="0" w:color="auto"/>
              <w:right w:val="single" w:sz="4" w:space="0" w:color="auto"/>
            </w:tcBorders>
          </w:tcPr>
          <w:p w:rsidR="001E358D" w:rsidRPr="000D6AE9" w:rsidP="000D6AE9" w14:paraId="0D702C1F" w14:textId="061FC19B">
            <w:pPr>
              <w:rPr>
                <w:sz w:val="22"/>
                <w:szCs w:val="22"/>
              </w:rPr>
            </w:pPr>
            <w:r w:rsidRPr="000D6AE9">
              <w:rPr>
                <w:sz w:val="22"/>
                <w:szCs w:val="22"/>
              </w:rPr>
              <w:t>Assess progress</w:t>
            </w:r>
            <w:r w:rsidRPr="000D6AE9" w:rsidR="000B6BFB">
              <w:rPr>
                <w:sz w:val="22"/>
                <w:szCs w:val="22"/>
              </w:rPr>
              <w:t xml:space="preserve"> of project</w:t>
            </w:r>
          </w:p>
        </w:tc>
      </w:tr>
      <w:tr w14:paraId="5AD156F8" w14:textId="77777777" w:rsidTr="00746A24">
        <w:tblPrEx>
          <w:tblW w:w="9576" w:type="dxa"/>
          <w:tblLayout w:type="fixed"/>
          <w:tblLook w:val="0020"/>
        </w:tblPrEx>
        <w:tc>
          <w:tcPr>
            <w:tcW w:w="3060" w:type="dxa"/>
            <w:tcBorders>
              <w:top w:val="single" w:sz="4" w:space="0" w:color="auto"/>
              <w:left w:val="single" w:sz="4" w:space="0" w:color="auto"/>
              <w:bottom w:val="single" w:sz="4" w:space="0" w:color="auto"/>
              <w:right w:val="single" w:sz="4" w:space="0" w:color="auto"/>
            </w:tcBorders>
          </w:tcPr>
          <w:p w:rsidR="001E358D" w:rsidRPr="000D6AE9" w:rsidP="000D6AE9" w14:paraId="341A9396" w14:textId="1897A9C0">
            <w:pPr>
              <w:rPr>
                <w:sz w:val="22"/>
                <w:szCs w:val="22"/>
              </w:rPr>
            </w:pPr>
            <w:r w:rsidRPr="000D6AE9">
              <w:rPr>
                <w:sz w:val="22"/>
                <w:szCs w:val="22"/>
              </w:rPr>
              <w:t>Administrative and funding changes to grant award</w:t>
            </w:r>
            <w:r w:rsidRPr="000D6AE9" w:rsidR="00EF0335">
              <w:rPr>
                <w:sz w:val="22"/>
                <w:szCs w:val="22"/>
              </w:rPr>
              <w:t>s</w:t>
            </w:r>
          </w:p>
        </w:tc>
        <w:tc>
          <w:tcPr>
            <w:tcW w:w="1620" w:type="dxa"/>
            <w:tcBorders>
              <w:top w:val="single" w:sz="4" w:space="0" w:color="auto"/>
              <w:left w:val="single" w:sz="4" w:space="0" w:color="auto"/>
              <w:bottom w:val="single" w:sz="4" w:space="0" w:color="auto"/>
              <w:right w:val="single" w:sz="4" w:space="0" w:color="auto"/>
            </w:tcBorders>
          </w:tcPr>
          <w:p w:rsidR="001E358D" w:rsidRPr="000D6AE9" w:rsidP="000D6AE9" w14:paraId="7A9CA1C7" w14:textId="77777777">
            <w:pPr>
              <w:rPr>
                <w:sz w:val="22"/>
                <w:szCs w:val="22"/>
              </w:rPr>
            </w:pPr>
            <w:r w:rsidRPr="000D6AE9">
              <w:rPr>
                <w:sz w:val="22"/>
                <w:szCs w:val="22"/>
              </w:rPr>
              <w:t>Occasionally</w:t>
            </w:r>
          </w:p>
        </w:tc>
        <w:tc>
          <w:tcPr>
            <w:tcW w:w="4896" w:type="dxa"/>
            <w:tcBorders>
              <w:top w:val="single" w:sz="4" w:space="0" w:color="auto"/>
              <w:left w:val="single" w:sz="4" w:space="0" w:color="auto"/>
              <w:bottom w:val="single" w:sz="4" w:space="0" w:color="auto"/>
              <w:right w:val="single" w:sz="4" w:space="0" w:color="auto"/>
            </w:tcBorders>
          </w:tcPr>
          <w:p w:rsidR="001E358D" w:rsidRPr="000D6AE9" w:rsidP="000D6AE9" w14:paraId="65F749A6" w14:textId="0D57FA1B">
            <w:pPr>
              <w:rPr>
                <w:sz w:val="22"/>
                <w:szCs w:val="22"/>
              </w:rPr>
            </w:pPr>
            <w:r w:rsidRPr="000D6AE9">
              <w:rPr>
                <w:sz w:val="22"/>
                <w:szCs w:val="22"/>
              </w:rPr>
              <w:t>Ensure proper execution of the award project</w:t>
            </w:r>
            <w:r w:rsidRPr="000D6AE9" w:rsidR="00EF0335">
              <w:rPr>
                <w:sz w:val="22"/>
                <w:szCs w:val="22"/>
              </w:rPr>
              <w:t xml:space="preserve"> and add funding, as necessary</w:t>
            </w:r>
            <w:r w:rsidRPr="000D6AE9">
              <w:rPr>
                <w:sz w:val="22"/>
                <w:szCs w:val="22"/>
              </w:rPr>
              <w:t xml:space="preserve">. </w:t>
            </w:r>
          </w:p>
        </w:tc>
      </w:tr>
      <w:tr w14:paraId="207C4666" w14:textId="77777777" w:rsidTr="00746A24">
        <w:tblPrEx>
          <w:tblW w:w="9576" w:type="dxa"/>
          <w:tblLayout w:type="fixed"/>
          <w:tblLook w:val="0020"/>
        </w:tblPrEx>
        <w:tc>
          <w:tcPr>
            <w:tcW w:w="3060" w:type="dxa"/>
            <w:tcBorders>
              <w:top w:val="single" w:sz="4" w:space="0" w:color="auto"/>
              <w:left w:val="single" w:sz="4" w:space="0" w:color="auto"/>
              <w:bottom w:val="single" w:sz="4" w:space="0" w:color="auto"/>
              <w:right w:val="single" w:sz="4" w:space="0" w:color="auto"/>
            </w:tcBorders>
          </w:tcPr>
          <w:p w:rsidR="001E358D" w:rsidRPr="000D6AE9" w:rsidP="000D6AE9" w14:paraId="2C0256FD" w14:textId="77777777">
            <w:pPr>
              <w:rPr>
                <w:sz w:val="22"/>
                <w:szCs w:val="22"/>
              </w:rPr>
            </w:pPr>
            <w:r w:rsidRPr="000D6AE9">
              <w:rPr>
                <w:sz w:val="22"/>
                <w:szCs w:val="22"/>
              </w:rPr>
              <w:t>Recordkeeping</w:t>
            </w:r>
          </w:p>
        </w:tc>
        <w:tc>
          <w:tcPr>
            <w:tcW w:w="1620" w:type="dxa"/>
            <w:tcBorders>
              <w:top w:val="single" w:sz="4" w:space="0" w:color="auto"/>
              <w:left w:val="single" w:sz="4" w:space="0" w:color="auto"/>
              <w:bottom w:val="single" w:sz="4" w:space="0" w:color="auto"/>
              <w:right w:val="single" w:sz="4" w:space="0" w:color="auto"/>
            </w:tcBorders>
          </w:tcPr>
          <w:p w:rsidR="001E358D" w:rsidRPr="000D6AE9" w:rsidP="000D6AE9" w14:paraId="70CFFB27" w14:textId="77777777">
            <w:pPr>
              <w:rPr>
                <w:sz w:val="22"/>
                <w:szCs w:val="22"/>
              </w:rPr>
            </w:pPr>
            <w:r w:rsidRPr="000D6AE9">
              <w:rPr>
                <w:sz w:val="22"/>
                <w:szCs w:val="22"/>
              </w:rPr>
              <w:t>Continuous</w:t>
            </w:r>
          </w:p>
        </w:tc>
        <w:tc>
          <w:tcPr>
            <w:tcW w:w="4896" w:type="dxa"/>
            <w:tcBorders>
              <w:top w:val="single" w:sz="4" w:space="0" w:color="auto"/>
              <w:left w:val="single" w:sz="4" w:space="0" w:color="auto"/>
              <w:bottom w:val="single" w:sz="4" w:space="0" w:color="auto"/>
              <w:right w:val="single" w:sz="4" w:space="0" w:color="auto"/>
            </w:tcBorders>
          </w:tcPr>
          <w:p w:rsidR="001E358D" w:rsidRPr="000D6AE9" w:rsidP="000D6AE9" w14:paraId="75E2FFCD" w14:textId="65A9CD4B">
            <w:pPr>
              <w:rPr>
                <w:sz w:val="22"/>
                <w:szCs w:val="22"/>
              </w:rPr>
            </w:pPr>
            <w:r w:rsidRPr="000D6AE9">
              <w:rPr>
                <w:sz w:val="22"/>
                <w:szCs w:val="22"/>
              </w:rPr>
              <w:t>Ensure proper accounting of funds</w:t>
            </w:r>
            <w:r w:rsidRPr="000D6AE9" w:rsidR="00EF0335">
              <w:rPr>
                <w:sz w:val="22"/>
                <w:szCs w:val="22"/>
              </w:rPr>
              <w:t xml:space="preserve"> and maintenance of records.</w:t>
            </w:r>
          </w:p>
        </w:tc>
      </w:tr>
      <w:tr w14:paraId="7CC5658E" w14:textId="77777777" w:rsidTr="00746A24">
        <w:tblPrEx>
          <w:tblW w:w="9576" w:type="dxa"/>
          <w:tblLayout w:type="fixed"/>
          <w:tblLook w:val="0020"/>
        </w:tblPrEx>
        <w:trPr>
          <w:trHeight w:val="620"/>
        </w:trPr>
        <w:tc>
          <w:tcPr>
            <w:tcW w:w="3060" w:type="dxa"/>
            <w:tcBorders>
              <w:top w:val="single" w:sz="4" w:space="0" w:color="auto"/>
              <w:left w:val="single" w:sz="4" w:space="0" w:color="auto"/>
              <w:bottom w:val="single" w:sz="4" w:space="0" w:color="auto"/>
              <w:right w:val="single" w:sz="4" w:space="0" w:color="auto"/>
            </w:tcBorders>
          </w:tcPr>
          <w:p w:rsidR="000B2720" w:rsidRPr="000D6AE9" w:rsidP="000D6AE9" w14:paraId="667347CB" w14:textId="0933D522">
            <w:pPr>
              <w:rPr>
                <w:sz w:val="22"/>
                <w:szCs w:val="22"/>
              </w:rPr>
            </w:pPr>
            <w:r w:rsidRPr="000D6AE9">
              <w:rPr>
                <w:sz w:val="22"/>
                <w:szCs w:val="22"/>
              </w:rPr>
              <w:t xml:space="preserve">Demographic Data </w:t>
            </w:r>
          </w:p>
        </w:tc>
        <w:tc>
          <w:tcPr>
            <w:tcW w:w="1620" w:type="dxa"/>
            <w:tcBorders>
              <w:top w:val="single" w:sz="4" w:space="0" w:color="auto"/>
              <w:left w:val="single" w:sz="4" w:space="0" w:color="auto"/>
              <w:bottom w:val="single" w:sz="4" w:space="0" w:color="auto"/>
              <w:right w:val="single" w:sz="4" w:space="0" w:color="auto"/>
            </w:tcBorders>
          </w:tcPr>
          <w:p w:rsidR="000B2720" w:rsidRPr="000D6AE9" w:rsidP="000D6AE9" w14:paraId="6F961AEC" w14:textId="72D43B12">
            <w:pPr>
              <w:rPr>
                <w:sz w:val="22"/>
                <w:szCs w:val="22"/>
              </w:rPr>
            </w:pPr>
            <w:r w:rsidRPr="000D6AE9">
              <w:rPr>
                <w:sz w:val="22"/>
                <w:szCs w:val="22"/>
              </w:rPr>
              <w:t xml:space="preserve">Occasionally </w:t>
            </w:r>
          </w:p>
        </w:tc>
        <w:tc>
          <w:tcPr>
            <w:tcW w:w="4896" w:type="dxa"/>
            <w:tcBorders>
              <w:top w:val="single" w:sz="4" w:space="0" w:color="auto"/>
              <w:left w:val="single" w:sz="4" w:space="0" w:color="auto"/>
              <w:bottom w:val="single" w:sz="4" w:space="0" w:color="auto"/>
              <w:right w:val="single" w:sz="4" w:space="0" w:color="auto"/>
            </w:tcBorders>
          </w:tcPr>
          <w:p w:rsidR="000B2720" w:rsidRPr="000D6AE9" w:rsidP="000D6AE9" w14:paraId="4844C91C" w14:textId="193EB815">
            <w:pPr>
              <w:pStyle w:val="ListParagraph"/>
              <w:numPr>
                <w:ilvl w:val="0"/>
                <w:numId w:val="11"/>
              </w:numPr>
              <w:ind w:left="231" w:hanging="274"/>
              <w:contextualSpacing w:val="0"/>
              <w:rPr>
                <w:sz w:val="22"/>
                <w:szCs w:val="22"/>
              </w:rPr>
            </w:pPr>
            <w:r w:rsidRPr="000D6AE9">
              <w:rPr>
                <w:sz w:val="22"/>
                <w:szCs w:val="22"/>
              </w:rPr>
              <w:t xml:space="preserve">Ensures compliance with Title VI of the Civil Rights Act of 1964, 42 U.S.C. § 2000d et seq., Title IX of the Education Amendments of 1972, 20 U.S.C. A § 1681 et seq., Section 504 of the Rehabilitation Act of 1973, 29 U.S.C. § 701 et seq., and NASA’s implementing regulations.  </w:t>
            </w:r>
          </w:p>
          <w:p w:rsidR="000B2720" w:rsidRPr="000D6AE9" w:rsidP="000D6AE9" w14:paraId="64EB7FB8" w14:textId="77777777">
            <w:pPr>
              <w:pStyle w:val="ListParagraph"/>
              <w:numPr>
                <w:ilvl w:val="0"/>
                <w:numId w:val="11"/>
              </w:numPr>
              <w:ind w:left="231" w:hanging="274"/>
              <w:contextualSpacing w:val="0"/>
              <w:rPr>
                <w:sz w:val="22"/>
                <w:szCs w:val="22"/>
              </w:rPr>
            </w:pPr>
            <w:r w:rsidRPr="000D6AE9">
              <w:rPr>
                <w:sz w:val="22"/>
                <w:szCs w:val="22"/>
              </w:rPr>
              <w:t>Helps NASA determine whether there is bias in grant selections (</w:t>
            </w:r>
            <w:r w:rsidRPr="000D6AE9" w:rsidR="00484E4E">
              <w:rPr>
                <w:sz w:val="22"/>
                <w:szCs w:val="22"/>
              </w:rPr>
              <w:t>i.e.,</w:t>
            </w:r>
            <w:r w:rsidRPr="000D6AE9">
              <w:rPr>
                <w:sz w:val="22"/>
                <w:szCs w:val="22"/>
              </w:rPr>
              <w:t xml:space="preserve"> establishes whether PIs have been successfully receiving grant awards overtime or whether they are consistently unsuccessful.</w:t>
            </w:r>
          </w:p>
          <w:p w:rsidR="00F71042" w:rsidRPr="000D6AE9" w:rsidP="000D6AE9" w14:paraId="6C93CA51" w14:textId="4E30F322">
            <w:pPr>
              <w:pStyle w:val="ListParagraph"/>
              <w:numPr>
                <w:ilvl w:val="0"/>
                <w:numId w:val="11"/>
              </w:numPr>
              <w:ind w:left="231" w:hanging="274"/>
              <w:contextualSpacing w:val="0"/>
              <w:rPr>
                <w:sz w:val="22"/>
                <w:szCs w:val="22"/>
              </w:rPr>
            </w:pPr>
            <w:r w:rsidRPr="000D6AE9">
              <w:rPr>
                <w:sz w:val="22"/>
                <w:szCs w:val="22"/>
              </w:rPr>
              <w:t xml:space="preserve">Enables NASA to enhance equity in its grants programs in accordance with the strategic and equity action plan   </w:t>
            </w:r>
          </w:p>
        </w:tc>
      </w:tr>
    </w:tbl>
    <w:p w:rsidR="001D6C3E" w:rsidRPr="000D6AE9" w:rsidP="000D6AE9" w14:paraId="66EC6A55" w14:textId="77777777">
      <w:pPr>
        <w:rPr>
          <w:sz w:val="22"/>
          <w:szCs w:val="22"/>
        </w:rPr>
      </w:pPr>
      <w:r w:rsidRPr="000D6AE9">
        <w:rPr>
          <w:sz w:val="22"/>
          <w:szCs w:val="22"/>
        </w:rPr>
        <w:t>*</w:t>
      </w:r>
      <w:r w:rsidRPr="000D6AE9">
        <w:rPr>
          <w:b/>
          <w:bCs/>
          <w:i/>
          <w:iCs/>
          <w:sz w:val="22"/>
          <w:szCs w:val="22"/>
        </w:rPr>
        <w:t>These reports have a separate NASA information collection and are not calculated in the estimated burden hour</w:t>
      </w:r>
    </w:p>
    <w:p w:rsidR="001D6C3E" w:rsidRPr="000D6AE9" w:rsidP="000D6AE9" w14:paraId="3EFB25CD" w14:textId="77777777">
      <w:pPr>
        <w:tabs>
          <w:tab w:val="left" w:pos="0"/>
        </w:tabs>
        <w:rPr>
          <w:b/>
          <w:sz w:val="22"/>
          <w:szCs w:val="22"/>
        </w:rPr>
      </w:pPr>
    </w:p>
    <w:p w:rsidR="00083FE8" w:rsidRPr="000D6AE9" w:rsidP="000D6AE9" w14:paraId="181FA7A2" w14:textId="66329A36">
      <w:pPr>
        <w:tabs>
          <w:tab w:val="left" w:pos="0"/>
        </w:tabs>
        <w:rPr>
          <w:b/>
          <w:sz w:val="22"/>
          <w:szCs w:val="22"/>
        </w:rPr>
      </w:pPr>
      <w:r w:rsidRPr="000D6AE9">
        <w:rPr>
          <w:b/>
          <w:sz w:val="22"/>
          <w:szCs w:val="22"/>
        </w:rPr>
        <w:t xml:space="preserve">3. </w:t>
      </w:r>
      <w:r w:rsidRPr="000D6AE9" w:rsidR="006E1110">
        <w:rPr>
          <w:b/>
          <w:sz w:val="22"/>
          <w:szCs w:val="22"/>
        </w:rPr>
        <w:t>Describe whether, and to what extent the collection of information involves the use</w:t>
      </w:r>
      <w:r w:rsidRPr="000D6AE9" w:rsidR="00992913">
        <w:rPr>
          <w:b/>
          <w:sz w:val="22"/>
          <w:szCs w:val="22"/>
        </w:rPr>
        <w:t xml:space="preserve"> </w:t>
      </w:r>
      <w:r w:rsidRPr="000D6AE9" w:rsidR="006E1110">
        <w:rPr>
          <w:b/>
          <w:sz w:val="22"/>
          <w:szCs w:val="22"/>
        </w:rPr>
        <w:t>of automated, electronic, mechanical, or other technological collection techniques or other</w:t>
      </w:r>
      <w:r w:rsidRPr="000D6AE9" w:rsidR="00992913">
        <w:rPr>
          <w:b/>
          <w:sz w:val="22"/>
          <w:szCs w:val="22"/>
        </w:rPr>
        <w:t xml:space="preserve"> </w:t>
      </w:r>
      <w:r w:rsidRPr="000D6AE9" w:rsidR="006E1110">
        <w:rPr>
          <w:b/>
          <w:sz w:val="22"/>
          <w:szCs w:val="22"/>
        </w:rPr>
        <w:t>forms of information technology.</w:t>
      </w:r>
    </w:p>
    <w:p w:rsidR="00673E70" w:rsidRPr="000D6AE9" w:rsidP="000D6AE9" w14:paraId="3E52EB8D" w14:textId="77777777">
      <w:pPr>
        <w:tabs>
          <w:tab w:val="left" w:pos="0"/>
        </w:tabs>
        <w:rPr>
          <w:sz w:val="22"/>
          <w:szCs w:val="22"/>
        </w:rPr>
      </w:pPr>
    </w:p>
    <w:p w:rsidR="006E1110" w:rsidRPr="000D6AE9" w:rsidP="000D6AE9" w14:paraId="116E9E4A" w14:textId="392BD85A">
      <w:pPr>
        <w:rPr>
          <w:sz w:val="22"/>
          <w:szCs w:val="22"/>
        </w:rPr>
      </w:pPr>
      <w:r w:rsidRPr="000D6AE9">
        <w:rPr>
          <w:sz w:val="22"/>
          <w:szCs w:val="22"/>
        </w:rPr>
        <w:t xml:space="preserve">Proposals are </w:t>
      </w:r>
      <w:r w:rsidRPr="000D6AE9" w:rsidR="005E0CC7">
        <w:rPr>
          <w:sz w:val="22"/>
          <w:szCs w:val="22"/>
        </w:rPr>
        <w:t>submitted</w:t>
      </w:r>
      <w:r w:rsidRPr="000D6AE9">
        <w:rPr>
          <w:sz w:val="22"/>
          <w:szCs w:val="22"/>
        </w:rPr>
        <w:t xml:space="preserve"> through NSPIRES or </w:t>
      </w:r>
      <w:r w:rsidRPr="000D6AE9" w:rsidR="00B10EF8">
        <w:rPr>
          <w:sz w:val="22"/>
          <w:szCs w:val="22"/>
        </w:rPr>
        <w:t>G</w:t>
      </w:r>
      <w:r w:rsidRPr="000D6AE9">
        <w:rPr>
          <w:sz w:val="22"/>
          <w:szCs w:val="22"/>
        </w:rPr>
        <w:t xml:space="preserve">rants.gov.  The use of these systems reduces the need for proposers to submit </w:t>
      </w:r>
      <w:r w:rsidRPr="000D6AE9" w:rsidR="00B10EF8">
        <w:rPr>
          <w:sz w:val="22"/>
          <w:szCs w:val="22"/>
        </w:rPr>
        <w:t xml:space="preserve">multiple </w:t>
      </w:r>
      <w:r w:rsidRPr="000D6AE9">
        <w:rPr>
          <w:sz w:val="22"/>
          <w:szCs w:val="22"/>
        </w:rPr>
        <w:t>copies</w:t>
      </w:r>
      <w:r w:rsidRPr="000D6AE9" w:rsidR="00DE181F">
        <w:rPr>
          <w:sz w:val="22"/>
          <w:szCs w:val="22"/>
        </w:rPr>
        <w:t xml:space="preserve"> to the</w:t>
      </w:r>
      <w:r w:rsidRPr="000D6AE9" w:rsidR="00500A09">
        <w:rPr>
          <w:sz w:val="22"/>
          <w:szCs w:val="22"/>
        </w:rPr>
        <w:t xml:space="preserve"> agency.  It </w:t>
      </w:r>
      <w:r w:rsidRPr="000D6AE9">
        <w:rPr>
          <w:sz w:val="22"/>
          <w:szCs w:val="22"/>
        </w:rPr>
        <w:t xml:space="preserve">allows </w:t>
      </w:r>
      <w:r w:rsidRPr="000D6AE9" w:rsidR="00500A09">
        <w:rPr>
          <w:sz w:val="22"/>
          <w:szCs w:val="22"/>
        </w:rPr>
        <w:t>proposers</w:t>
      </w:r>
      <w:r w:rsidRPr="000D6AE9">
        <w:rPr>
          <w:sz w:val="22"/>
          <w:szCs w:val="22"/>
        </w:rPr>
        <w:t xml:space="preserve"> to submit multiple proposals to different funding announcements without registering each time.</w:t>
      </w:r>
      <w:r w:rsidRPr="000D6AE9" w:rsidR="00DE181F">
        <w:rPr>
          <w:sz w:val="22"/>
          <w:szCs w:val="22"/>
        </w:rPr>
        <w:t xml:space="preserve">  </w:t>
      </w:r>
      <w:r w:rsidRPr="000D6AE9">
        <w:rPr>
          <w:sz w:val="22"/>
          <w:szCs w:val="22"/>
        </w:rPr>
        <w:t xml:space="preserve">Electronic funds transfer is </w:t>
      </w:r>
      <w:r w:rsidRPr="000D6AE9" w:rsidR="002F27D1">
        <w:rPr>
          <w:sz w:val="22"/>
          <w:szCs w:val="22"/>
        </w:rPr>
        <w:t xml:space="preserve">conducted </w:t>
      </w:r>
      <w:r w:rsidRPr="000D6AE9">
        <w:rPr>
          <w:sz w:val="22"/>
          <w:szCs w:val="22"/>
        </w:rPr>
        <w:t xml:space="preserve">through the </w:t>
      </w:r>
      <w:r w:rsidRPr="000D6AE9" w:rsidR="002F27D1">
        <w:rPr>
          <w:sz w:val="22"/>
          <w:szCs w:val="22"/>
        </w:rPr>
        <w:t>Department of Health and Human Services (</w:t>
      </w:r>
      <w:r w:rsidRPr="000D6AE9">
        <w:rPr>
          <w:sz w:val="22"/>
          <w:szCs w:val="22"/>
        </w:rPr>
        <w:t>HHS</w:t>
      </w:r>
      <w:r w:rsidRPr="000D6AE9" w:rsidR="002F27D1">
        <w:rPr>
          <w:sz w:val="22"/>
          <w:szCs w:val="22"/>
        </w:rPr>
        <w:t>)</w:t>
      </w:r>
      <w:r w:rsidRPr="000D6AE9">
        <w:rPr>
          <w:sz w:val="22"/>
          <w:szCs w:val="22"/>
        </w:rPr>
        <w:t xml:space="preserve"> Payment Management System</w:t>
      </w:r>
      <w:r w:rsidRPr="000D6AE9" w:rsidR="00967FCB">
        <w:rPr>
          <w:sz w:val="22"/>
          <w:szCs w:val="22"/>
        </w:rPr>
        <w:t xml:space="preserve"> (PMS)</w:t>
      </w:r>
      <w:r w:rsidRPr="000D6AE9">
        <w:rPr>
          <w:sz w:val="22"/>
          <w:szCs w:val="22"/>
        </w:rPr>
        <w:t xml:space="preserve"> for </w:t>
      </w:r>
      <w:r w:rsidRPr="000D6AE9" w:rsidR="00DE181F">
        <w:rPr>
          <w:sz w:val="22"/>
          <w:szCs w:val="22"/>
        </w:rPr>
        <w:t>recipients</w:t>
      </w:r>
      <w:r w:rsidRPr="000D6AE9">
        <w:rPr>
          <w:sz w:val="22"/>
          <w:szCs w:val="22"/>
        </w:rPr>
        <w:t xml:space="preserve">.  In addition, NASA encourages the use of computer technology and is participating in </w:t>
      </w:r>
      <w:r w:rsidRPr="000D6AE9" w:rsidR="00B10EF8">
        <w:rPr>
          <w:sz w:val="22"/>
          <w:szCs w:val="22"/>
        </w:rPr>
        <w:t xml:space="preserve">government-wide </w:t>
      </w:r>
      <w:r w:rsidRPr="000D6AE9">
        <w:rPr>
          <w:sz w:val="22"/>
          <w:szCs w:val="22"/>
        </w:rPr>
        <w:t xml:space="preserve">efforts to extend the use of information technology to more </w:t>
      </w:r>
      <w:r w:rsidRPr="000D6AE9" w:rsidR="00967FCB">
        <w:rPr>
          <w:sz w:val="22"/>
          <w:szCs w:val="22"/>
        </w:rPr>
        <w:t>agency grant-related</w:t>
      </w:r>
      <w:r w:rsidRPr="000D6AE9">
        <w:rPr>
          <w:sz w:val="22"/>
          <w:szCs w:val="22"/>
        </w:rPr>
        <w:t xml:space="preserve"> processes.</w:t>
      </w:r>
      <w:r w:rsidRPr="000D6AE9" w:rsidR="000B2720">
        <w:rPr>
          <w:sz w:val="22"/>
          <w:szCs w:val="22"/>
        </w:rPr>
        <w:t xml:space="preserve"> </w:t>
      </w:r>
    </w:p>
    <w:p w:rsidR="00DE181F" w:rsidRPr="000D6AE9" w:rsidP="000D6AE9" w14:paraId="5BBB2558" w14:textId="77777777">
      <w:pPr>
        <w:rPr>
          <w:b/>
          <w:sz w:val="22"/>
          <w:szCs w:val="22"/>
        </w:rPr>
      </w:pPr>
    </w:p>
    <w:p w:rsidR="006E1110" w:rsidRPr="000D6AE9" w:rsidP="000D6AE9" w14:paraId="35947E1B" w14:textId="77777777">
      <w:pPr>
        <w:rPr>
          <w:b/>
          <w:sz w:val="22"/>
          <w:szCs w:val="22"/>
        </w:rPr>
      </w:pPr>
      <w:r w:rsidRPr="000D6AE9">
        <w:rPr>
          <w:b/>
          <w:sz w:val="22"/>
          <w:szCs w:val="22"/>
        </w:rPr>
        <w:t>4. Describe efforts to identify duplication.</w:t>
      </w:r>
    </w:p>
    <w:p w:rsidR="006E1110" w:rsidRPr="000D6AE9" w:rsidP="000D6AE9" w14:paraId="1CB6A32F" w14:textId="77777777">
      <w:pPr>
        <w:rPr>
          <w:sz w:val="22"/>
          <w:szCs w:val="22"/>
        </w:rPr>
      </w:pPr>
    </w:p>
    <w:p w:rsidR="006E1110" w:rsidRPr="000D6AE9" w:rsidP="000D6AE9" w14:paraId="259EFF98" w14:textId="5C7E7CC7">
      <w:pPr>
        <w:rPr>
          <w:sz w:val="22"/>
          <w:szCs w:val="22"/>
        </w:rPr>
      </w:pPr>
      <w:r w:rsidRPr="000D6AE9">
        <w:rPr>
          <w:sz w:val="22"/>
          <w:szCs w:val="22"/>
        </w:rPr>
        <w:t xml:space="preserve">Each </w:t>
      </w:r>
      <w:r w:rsidRPr="000D6AE9" w:rsidR="00DE181F">
        <w:rPr>
          <w:sz w:val="22"/>
          <w:szCs w:val="22"/>
        </w:rPr>
        <w:t xml:space="preserve">financial assistance award is </w:t>
      </w:r>
      <w:r w:rsidRPr="000D6AE9">
        <w:rPr>
          <w:sz w:val="22"/>
          <w:szCs w:val="22"/>
        </w:rPr>
        <w:t>a unique project</w:t>
      </w:r>
      <w:r w:rsidRPr="000D6AE9" w:rsidR="000B2720">
        <w:rPr>
          <w:sz w:val="22"/>
          <w:szCs w:val="22"/>
        </w:rPr>
        <w:t xml:space="preserve">; </w:t>
      </w:r>
      <w:r w:rsidRPr="000D6AE9" w:rsidR="00F71042">
        <w:rPr>
          <w:sz w:val="22"/>
          <w:szCs w:val="22"/>
        </w:rPr>
        <w:t>therefore, there</w:t>
      </w:r>
      <w:r w:rsidRPr="000D6AE9">
        <w:rPr>
          <w:sz w:val="22"/>
          <w:szCs w:val="22"/>
        </w:rPr>
        <w:t xml:space="preserve"> is no known duplication of information.</w:t>
      </w:r>
    </w:p>
    <w:p w:rsidR="006E1110" w:rsidRPr="000D6AE9" w:rsidP="000D6AE9" w14:paraId="5FC02290" w14:textId="77777777">
      <w:pPr>
        <w:rPr>
          <w:b/>
          <w:sz w:val="22"/>
          <w:szCs w:val="22"/>
        </w:rPr>
      </w:pPr>
    </w:p>
    <w:p w:rsidR="00341F60" w:rsidRPr="000D6AE9" w:rsidP="000D6AE9" w14:paraId="68FADEED" w14:textId="77777777">
      <w:pPr>
        <w:rPr>
          <w:b/>
          <w:sz w:val="22"/>
          <w:szCs w:val="22"/>
        </w:rPr>
      </w:pPr>
      <w:r w:rsidRPr="000D6AE9">
        <w:rPr>
          <w:b/>
          <w:sz w:val="22"/>
          <w:szCs w:val="22"/>
        </w:rPr>
        <w:t xml:space="preserve">5.  </w:t>
      </w:r>
      <w:r w:rsidRPr="000D6AE9" w:rsidR="006E1110">
        <w:rPr>
          <w:b/>
          <w:sz w:val="22"/>
          <w:szCs w:val="22"/>
        </w:rPr>
        <w:t>If the collection of information impacts small businesses or other small entities describe any methods used to minimize burden.</w:t>
      </w:r>
    </w:p>
    <w:p w:rsidR="00341F60" w:rsidRPr="000D6AE9" w:rsidP="000D6AE9" w14:paraId="7B472A85" w14:textId="77777777">
      <w:pPr>
        <w:rPr>
          <w:b/>
          <w:sz w:val="22"/>
          <w:szCs w:val="22"/>
        </w:rPr>
      </w:pPr>
    </w:p>
    <w:p w:rsidR="00DF1317" w:rsidP="000D6AE9" w14:paraId="74373D41" w14:textId="625BD079">
      <w:pPr>
        <w:rPr>
          <w:rStyle w:val="CharacterStyle1"/>
          <w:sz w:val="22"/>
          <w:szCs w:val="22"/>
        </w:rPr>
      </w:pPr>
      <w:r w:rsidRPr="000D6AE9">
        <w:rPr>
          <w:rStyle w:val="CharacterStyle1"/>
          <w:sz w:val="22"/>
          <w:szCs w:val="22"/>
        </w:rPr>
        <w:t xml:space="preserve">The burden </w:t>
      </w:r>
      <w:r w:rsidRPr="000D6AE9" w:rsidR="00FA0FBD">
        <w:rPr>
          <w:rStyle w:val="CharacterStyle1"/>
          <w:sz w:val="22"/>
          <w:szCs w:val="22"/>
        </w:rPr>
        <w:t xml:space="preserve">on small business </w:t>
      </w:r>
      <w:r w:rsidRPr="000D6AE9" w:rsidR="00341F60">
        <w:rPr>
          <w:rStyle w:val="CharacterStyle1"/>
          <w:sz w:val="22"/>
          <w:szCs w:val="22"/>
        </w:rPr>
        <w:t>has been minimized</w:t>
      </w:r>
      <w:r w:rsidRPr="000D6AE9" w:rsidR="00FA0FBD">
        <w:rPr>
          <w:rStyle w:val="CharacterStyle1"/>
          <w:sz w:val="22"/>
          <w:szCs w:val="22"/>
        </w:rPr>
        <w:t xml:space="preserve"> </w:t>
      </w:r>
      <w:r w:rsidRPr="000D6AE9" w:rsidR="007B0F50">
        <w:rPr>
          <w:rStyle w:val="CharacterStyle1"/>
          <w:sz w:val="22"/>
          <w:szCs w:val="22"/>
        </w:rPr>
        <w:t xml:space="preserve">by decreasing the frequency of reporting </w:t>
      </w:r>
      <w:r w:rsidRPr="000D6AE9">
        <w:rPr>
          <w:rStyle w:val="CharacterStyle1"/>
          <w:sz w:val="22"/>
          <w:szCs w:val="22"/>
        </w:rPr>
        <w:t>consistent with applicable laws, Executive Orders, regulations, and prudent business practices</w:t>
      </w:r>
      <w:r w:rsidRPr="000D6AE9" w:rsidR="00F71042">
        <w:rPr>
          <w:rStyle w:val="CharacterStyle1"/>
          <w:sz w:val="22"/>
          <w:szCs w:val="22"/>
        </w:rPr>
        <w:t>.</w:t>
      </w:r>
    </w:p>
    <w:p w:rsidR="002B743F" w:rsidRPr="000D6AE9" w:rsidP="000D6AE9" w14:paraId="2AA56BE9" w14:textId="77777777">
      <w:pPr>
        <w:rPr>
          <w:rStyle w:val="CharacterStyle1"/>
          <w:sz w:val="22"/>
          <w:szCs w:val="22"/>
        </w:rPr>
      </w:pPr>
    </w:p>
    <w:p w:rsidR="006E1110" w:rsidRPr="000D6AE9" w:rsidP="000D6AE9" w14:paraId="0635DA15" w14:textId="77777777">
      <w:pPr>
        <w:pStyle w:val="Style2"/>
        <w:spacing w:before="0"/>
        <w:jc w:val="both"/>
        <w:rPr>
          <w:b/>
          <w:sz w:val="22"/>
          <w:szCs w:val="22"/>
        </w:rPr>
      </w:pPr>
      <w:r w:rsidRPr="000D6AE9">
        <w:rPr>
          <w:b/>
          <w:sz w:val="22"/>
          <w:szCs w:val="22"/>
        </w:rPr>
        <w:t>6.  Describe the consequence to Federal program or policy activities if the collection is</w:t>
      </w:r>
      <w:r w:rsidRPr="000D6AE9" w:rsidR="006A542A">
        <w:rPr>
          <w:b/>
          <w:sz w:val="22"/>
          <w:szCs w:val="22"/>
        </w:rPr>
        <w:t xml:space="preserve"> </w:t>
      </w:r>
      <w:r w:rsidRPr="000D6AE9">
        <w:rPr>
          <w:b/>
          <w:sz w:val="22"/>
          <w:szCs w:val="22"/>
        </w:rPr>
        <w:t>not conducted or is conducted less frequently.</w:t>
      </w:r>
    </w:p>
    <w:p w:rsidR="006E1110" w:rsidRPr="000D6AE9" w:rsidP="000D6AE9" w14:paraId="5AFC07A8" w14:textId="77777777">
      <w:pPr>
        <w:rPr>
          <w:sz w:val="22"/>
          <w:szCs w:val="22"/>
        </w:rPr>
      </w:pPr>
    </w:p>
    <w:p w:rsidR="000B2720" w:rsidRPr="000D6AE9" w:rsidP="000D6AE9" w14:paraId="1D4279D1" w14:textId="75D8035D">
      <w:pPr>
        <w:rPr>
          <w:sz w:val="22"/>
          <w:szCs w:val="22"/>
        </w:rPr>
      </w:pPr>
      <w:r w:rsidRPr="000D6AE9">
        <w:rPr>
          <w:sz w:val="22"/>
          <w:szCs w:val="22"/>
        </w:rPr>
        <w:t>NASA has a continuing commitment to monitor the operation of its review and award processes to identify and address any inequities based on gender, race, ethnicity, or disability of its proposed Principal Investigators/Co-Investigators. If the collection of demographic data is not conducted, NASA will not be able to analyze differences, if any, regarding grant awards to women, men, and minoritie</w:t>
      </w:r>
      <w:r w:rsidRPr="000D6AE9" w:rsidR="00F71042">
        <w:rPr>
          <w:sz w:val="22"/>
          <w:szCs w:val="22"/>
        </w:rPr>
        <w:t>s.</w:t>
      </w:r>
    </w:p>
    <w:p w:rsidR="000B2720" w:rsidRPr="000D6AE9" w:rsidP="000D6AE9" w14:paraId="4C38AE09" w14:textId="77777777">
      <w:pPr>
        <w:rPr>
          <w:sz w:val="22"/>
          <w:szCs w:val="22"/>
        </w:rPr>
      </w:pPr>
      <w:r w:rsidRPr="000D6AE9">
        <w:rPr>
          <w:sz w:val="22"/>
          <w:szCs w:val="22"/>
        </w:rPr>
        <w:t xml:space="preserve"> </w:t>
      </w:r>
    </w:p>
    <w:p w:rsidR="006E1110" w:rsidRPr="000D6AE9" w:rsidP="000D6AE9" w14:paraId="11BEA26F" w14:textId="254B8243">
      <w:pPr>
        <w:rPr>
          <w:sz w:val="22"/>
          <w:szCs w:val="22"/>
        </w:rPr>
      </w:pPr>
      <w:r w:rsidRPr="000D6AE9">
        <w:rPr>
          <w:sz w:val="22"/>
          <w:szCs w:val="22"/>
        </w:rPr>
        <w:t xml:space="preserve">Absence of </w:t>
      </w:r>
      <w:r w:rsidRPr="000D6AE9" w:rsidR="001A6899">
        <w:rPr>
          <w:sz w:val="22"/>
          <w:szCs w:val="22"/>
        </w:rPr>
        <w:t xml:space="preserve">proposal </w:t>
      </w:r>
      <w:r w:rsidRPr="000D6AE9">
        <w:rPr>
          <w:sz w:val="22"/>
          <w:szCs w:val="22"/>
        </w:rPr>
        <w:t xml:space="preserve">information </w:t>
      </w:r>
      <w:r w:rsidRPr="000D6AE9" w:rsidR="009A24A6">
        <w:rPr>
          <w:sz w:val="22"/>
          <w:szCs w:val="22"/>
        </w:rPr>
        <w:t xml:space="preserve">collection or </w:t>
      </w:r>
      <w:r w:rsidRPr="000D6AE9" w:rsidR="00EA6A60">
        <w:rPr>
          <w:sz w:val="22"/>
          <w:szCs w:val="22"/>
        </w:rPr>
        <w:t xml:space="preserve">reductions in the </w:t>
      </w:r>
      <w:r w:rsidRPr="000D6AE9" w:rsidR="009A24A6">
        <w:rPr>
          <w:sz w:val="22"/>
          <w:szCs w:val="22"/>
        </w:rPr>
        <w:t>frequency of collection</w:t>
      </w:r>
      <w:r w:rsidRPr="000D6AE9" w:rsidR="00EA6A60">
        <w:rPr>
          <w:sz w:val="22"/>
          <w:szCs w:val="22"/>
        </w:rPr>
        <w:t>s</w:t>
      </w:r>
      <w:r w:rsidRPr="000D6AE9" w:rsidR="009A24A6">
        <w:rPr>
          <w:sz w:val="22"/>
          <w:szCs w:val="22"/>
        </w:rPr>
        <w:t xml:space="preserve"> </w:t>
      </w:r>
      <w:r w:rsidRPr="000D6AE9" w:rsidR="00EA6A60">
        <w:rPr>
          <w:sz w:val="22"/>
          <w:szCs w:val="22"/>
        </w:rPr>
        <w:t>c</w:t>
      </w:r>
      <w:r w:rsidRPr="000D6AE9">
        <w:rPr>
          <w:sz w:val="22"/>
          <w:szCs w:val="22"/>
        </w:rPr>
        <w:t xml:space="preserve">ould </w:t>
      </w:r>
      <w:r w:rsidRPr="000D6AE9" w:rsidR="001A6899">
        <w:rPr>
          <w:sz w:val="22"/>
          <w:szCs w:val="22"/>
        </w:rPr>
        <w:t xml:space="preserve">prevent NASA from achieving its mission and </w:t>
      </w:r>
      <w:r w:rsidRPr="000D6AE9" w:rsidR="000B2720">
        <w:rPr>
          <w:sz w:val="22"/>
          <w:szCs w:val="22"/>
        </w:rPr>
        <w:t xml:space="preserve">also </w:t>
      </w:r>
      <w:r w:rsidRPr="000D6AE9" w:rsidR="00EA6A60">
        <w:rPr>
          <w:sz w:val="22"/>
          <w:szCs w:val="22"/>
        </w:rPr>
        <w:t>jeopardize</w:t>
      </w:r>
      <w:r w:rsidRPr="000D6AE9">
        <w:rPr>
          <w:sz w:val="22"/>
          <w:szCs w:val="22"/>
        </w:rPr>
        <w:t xml:space="preserve"> </w:t>
      </w:r>
      <w:r w:rsidRPr="000D6AE9" w:rsidR="00EA6A60">
        <w:rPr>
          <w:sz w:val="22"/>
          <w:szCs w:val="22"/>
        </w:rPr>
        <w:t xml:space="preserve">the proper </w:t>
      </w:r>
      <w:r w:rsidRPr="000D6AE9">
        <w:rPr>
          <w:sz w:val="22"/>
          <w:szCs w:val="22"/>
        </w:rPr>
        <w:t xml:space="preserve">accountability </w:t>
      </w:r>
      <w:r w:rsidRPr="000D6AE9" w:rsidR="00EA6A60">
        <w:rPr>
          <w:sz w:val="22"/>
          <w:szCs w:val="22"/>
        </w:rPr>
        <w:t xml:space="preserve">of </w:t>
      </w:r>
      <w:r w:rsidRPr="000D6AE9">
        <w:rPr>
          <w:sz w:val="22"/>
          <w:szCs w:val="22"/>
        </w:rPr>
        <w:t>public funds and property.</w:t>
      </w:r>
    </w:p>
    <w:p w:rsidR="006E1110" w:rsidRPr="000D6AE9" w:rsidP="000D6AE9" w14:paraId="596A2D1A" w14:textId="77777777">
      <w:pPr>
        <w:rPr>
          <w:sz w:val="22"/>
          <w:szCs w:val="22"/>
        </w:rPr>
      </w:pPr>
    </w:p>
    <w:p w:rsidR="006E1110" w:rsidRPr="000D6AE9" w:rsidP="000D6AE9" w14:paraId="595121CD" w14:textId="77777777">
      <w:pPr>
        <w:rPr>
          <w:b/>
          <w:sz w:val="22"/>
          <w:szCs w:val="22"/>
        </w:rPr>
      </w:pPr>
      <w:r w:rsidRPr="000D6AE9">
        <w:rPr>
          <w:b/>
          <w:sz w:val="22"/>
          <w:szCs w:val="22"/>
        </w:rPr>
        <w:t>7.  Explain any special circumstances that would cause an information collection to be</w:t>
      </w:r>
    </w:p>
    <w:p w:rsidR="006E1110" w:rsidRPr="000D6AE9" w:rsidP="000D6AE9" w14:paraId="188A89C5" w14:textId="77777777">
      <w:pPr>
        <w:rPr>
          <w:b/>
          <w:sz w:val="22"/>
          <w:szCs w:val="22"/>
        </w:rPr>
      </w:pPr>
      <w:r w:rsidRPr="000D6AE9">
        <w:rPr>
          <w:b/>
          <w:sz w:val="22"/>
          <w:szCs w:val="22"/>
        </w:rPr>
        <w:t>conducted in certain manners as listed</w:t>
      </w:r>
      <w:r w:rsidRPr="000D6AE9" w:rsidR="001E5E1E">
        <w:rPr>
          <w:b/>
          <w:sz w:val="22"/>
          <w:szCs w:val="22"/>
        </w:rPr>
        <w:t xml:space="preserve"> on the 83-</w:t>
      </w:r>
      <w:r w:rsidRPr="000D6AE9" w:rsidR="00AA15EA">
        <w:rPr>
          <w:b/>
          <w:sz w:val="22"/>
          <w:szCs w:val="22"/>
        </w:rPr>
        <w:t xml:space="preserve">I </w:t>
      </w:r>
      <w:r w:rsidRPr="000D6AE9" w:rsidR="001E5E1E">
        <w:rPr>
          <w:b/>
          <w:sz w:val="22"/>
          <w:szCs w:val="22"/>
        </w:rPr>
        <w:t>form.</w:t>
      </w:r>
    </w:p>
    <w:p w:rsidR="006E1110" w:rsidRPr="000D6AE9" w:rsidP="000D6AE9" w14:paraId="15D40B4F" w14:textId="77777777">
      <w:pPr>
        <w:rPr>
          <w:sz w:val="22"/>
          <w:szCs w:val="22"/>
        </w:rPr>
      </w:pPr>
    </w:p>
    <w:p w:rsidR="006E1110" w:rsidRPr="000D6AE9" w:rsidP="000D6AE9" w14:paraId="02C286C8" w14:textId="72D3F755">
      <w:pPr>
        <w:rPr>
          <w:sz w:val="22"/>
          <w:szCs w:val="22"/>
        </w:rPr>
      </w:pPr>
      <w:r w:rsidRPr="000D6AE9">
        <w:rPr>
          <w:sz w:val="22"/>
          <w:szCs w:val="22"/>
        </w:rPr>
        <w:t>The collection of information conducted is consistent with manners listed on the 83 -I form.</w:t>
      </w:r>
      <w:r w:rsidRPr="000D6AE9" w:rsidR="008B574E">
        <w:rPr>
          <w:sz w:val="22"/>
          <w:szCs w:val="22"/>
        </w:rPr>
        <w:t xml:space="preserve"> </w:t>
      </w:r>
      <w:r w:rsidRPr="000D6AE9" w:rsidR="006D14FE">
        <w:rPr>
          <w:sz w:val="22"/>
          <w:szCs w:val="22"/>
        </w:rPr>
        <w:t xml:space="preserve">No </w:t>
      </w:r>
      <w:r w:rsidRPr="000D6AE9" w:rsidR="007A1023">
        <w:rPr>
          <w:sz w:val="22"/>
          <w:szCs w:val="22"/>
        </w:rPr>
        <w:t xml:space="preserve">special </w:t>
      </w:r>
      <w:r w:rsidRPr="000D6AE9" w:rsidR="006D14FE">
        <w:rPr>
          <w:sz w:val="22"/>
          <w:szCs w:val="22"/>
        </w:rPr>
        <w:t>circumstances apply.</w:t>
      </w:r>
    </w:p>
    <w:p w:rsidR="006E1110" w:rsidRPr="000D6AE9" w:rsidP="000D6AE9" w14:paraId="109E3DB6" w14:textId="77777777">
      <w:pPr>
        <w:rPr>
          <w:sz w:val="22"/>
          <w:szCs w:val="22"/>
        </w:rPr>
      </w:pPr>
    </w:p>
    <w:p w:rsidR="006E1110" w:rsidRPr="000D6AE9" w:rsidP="000D6AE9" w14:paraId="21B221FF" w14:textId="77777777">
      <w:pPr>
        <w:rPr>
          <w:b/>
          <w:sz w:val="22"/>
          <w:szCs w:val="22"/>
        </w:rPr>
      </w:pPr>
      <w:r w:rsidRPr="000D6AE9">
        <w:rPr>
          <w:b/>
          <w:sz w:val="22"/>
          <w:szCs w:val="22"/>
        </w:rPr>
        <w:t>8.</w:t>
      </w:r>
      <w:r w:rsidRPr="000D6AE9" w:rsidR="00C4592C">
        <w:rPr>
          <w:b/>
          <w:sz w:val="22"/>
          <w:szCs w:val="22"/>
        </w:rPr>
        <w:t xml:space="preserve">  I</w:t>
      </w:r>
      <w:r w:rsidRPr="000D6AE9">
        <w:rPr>
          <w:b/>
          <w:sz w:val="22"/>
          <w:szCs w:val="22"/>
        </w:rPr>
        <w:t>dentify the date and page number of publication</w:t>
      </w:r>
      <w:r w:rsidRPr="000D6AE9" w:rsidR="00335ED6">
        <w:rPr>
          <w:b/>
          <w:sz w:val="22"/>
          <w:szCs w:val="22"/>
        </w:rPr>
        <w:t xml:space="preserve"> </w:t>
      </w:r>
      <w:r w:rsidRPr="000D6AE9">
        <w:rPr>
          <w:b/>
          <w:sz w:val="22"/>
          <w:szCs w:val="22"/>
        </w:rPr>
        <w:t>in the Federal Register of the agency's notice, required by 5 CFR § 1320.8 (d), soliciting comments on the information collection before submission to OMB.</w:t>
      </w:r>
    </w:p>
    <w:p w:rsidR="006E1110" w:rsidRPr="000D6AE9" w:rsidP="000D6AE9" w14:paraId="49CEF3ED" w14:textId="77777777">
      <w:pPr>
        <w:rPr>
          <w:sz w:val="22"/>
          <w:szCs w:val="22"/>
        </w:rPr>
      </w:pPr>
    </w:p>
    <w:p w:rsidR="001D58B8" w:rsidRPr="000D6AE9" w:rsidP="000D6AE9" w14:paraId="44CCCDD4" w14:textId="700D006C">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Cs/>
          <w:sz w:val="22"/>
          <w:szCs w:val="22"/>
        </w:rPr>
      </w:pPr>
      <w:r w:rsidRPr="000D6AE9">
        <w:rPr>
          <w:bCs/>
          <w:sz w:val="22"/>
          <w:szCs w:val="22"/>
        </w:rPr>
        <w:t xml:space="preserve">60-day FRN: </w:t>
      </w:r>
      <w:r w:rsidRPr="000D6AE9" w:rsidR="000077D9">
        <w:rPr>
          <w:bCs/>
          <w:sz w:val="22"/>
          <w:szCs w:val="22"/>
        </w:rPr>
        <w:t>88 FR 17273</w:t>
      </w:r>
      <w:r w:rsidRPr="000D6AE9">
        <w:rPr>
          <w:bCs/>
          <w:sz w:val="22"/>
          <w:szCs w:val="22"/>
        </w:rPr>
        <w:t xml:space="preserve"> on 3/</w:t>
      </w:r>
      <w:r w:rsidRPr="000D6AE9" w:rsidR="000077D9">
        <w:rPr>
          <w:bCs/>
          <w:sz w:val="22"/>
          <w:szCs w:val="22"/>
        </w:rPr>
        <w:t>22</w:t>
      </w:r>
      <w:r w:rsidRPr="000D6AE9">
        <w:rPr>
          <w:bCs/>
          <w:sz w:val="22"/>
          <w:szCs w:val="22"/>
        </w:rPr>
        <w:t>/2023. No comments were received.</w:t>
      </w:r>
    </w:p>
    <w:p w:rsidR="001D58B8" w:rsidRPr="000D6AE9" w:rsidP="000D6AE9" w14:paraId="00011037" w14:textId="76A97926">
      <w:pPr>
        <w:tabs>
          <w:tab w:val="left" w:pos="0"/>
          <w:tab w:val="left" w:pos="361"/>
          <w:tab w:val="left" w:pos="722"/>
          <w:tab w:val="num" w:pos="81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Cs/>
          <w:sz w:val="22"/>
          <w:szCs w:val="22"/>
        </w:rPr>
      </w:pPr>
      <w:r w:rsidRPr="000D6AE9">
        <w:rPr>
          <w:bCs/>
          <w:sz w:val="22"/>
          <w:szCs w:val="22"/>
        </w:rPr>
        <w:t xml:space="preserve">30-day FRN: </w:t>
      </w:r>
      <w:r w:rsidRPr="000D6AE9" w:rsidR="009D401D">
        <w:rPr>
          <w:bCs/>
          <w:sz w:val="22"/>
          <w:szCs w:val="22"/>
        </w:rPr>
        <w:t>88 FR 44413</w:t>
      </w:r>
      <w:r w:rsidRPr="000D6AE9">
        <w:rPr>
          <w:bCs/>
          <w:sz w:val="22"/>
          <w:szCs w:val="22"/>
        </w:rPr>
        <w:t xml:space="preserve"> on 7/</w:t>
      </w:r>
      <w:r w:rsidRPr="000D6AE9" w:rsidR="009D401D">
        <w:rPr>
          <w:bCs/>
          <w:sz w:val="22"/>
          <w:szCs w:val="22"/>
        </w:rPr>
        <w:t>12</w:t>
      </w:r>
      <w:r w:rsidRPr="000D6AE9">
        <w:rPr>
          <w:bCs/>
          <w:sz w:val="22"/>
          <w:szCs w:val="22"/>
        </w:rPr>
        <w:t xml:space="preserve">/2023. </w:t>
      </w:r>
    </w:p>
    <w:p w:rsidR="001E5E1E" w:rsidRPr="000D6AE9" w:rsidP="000D6AE9" w14:paraId="38CB8479" w14:textId="77777777">
      <w:pPr>
        <w:rPr>
          <w:sz w:val="22"/>
          <w:szCs w:val="22"/>
        </w:rPr>
      </w:pPr>
    </w:p>
    <w:p w:rsidR="006E1110" w:rsidRPr="000D6AE9" w:rsidP="000D6AE9" w14:paraId="72A5E800" w14:textId="77777777">
      <w:pPr>
        <w:rPr>
          <w:b/>
          <w:sz w:val="22"/>
          <w:szCs w:val="22"/>
        </w:rPr>
      </w:pPr>
      <w:r w:rsidRPr="000D6AE9">
        <w:rPr>
          <w:b/>
          <w:sz w:val="22"/>
          <w:szCs w:val="22"/>
        </w:rPr>
        <w:t>9.  Explain any decision to provide any payment or gift to respondents, other than</w:t>
      </w:r>
    </w:p>
    <w:p w:rsidR="006E1110" w:rsidRPr="000D6AE9" w:rsidP="000D6AE9" w14:paraId="61C2443B" w14:textId="77777777">
      <w:pPr>
        <w:rPr>
          <w:b/>
          <w:sz w:val="22"/>
          <w:szCs w:val="22"/>
        </w:rPr>
      </w:pPr>
      <w:r w:rsidRPr="000D6AE9">
        <w:rPr>
          <w:b/>
          <w:sz w:val="22"/>
          <w:szCs w:val="22"/>
        </w:rPr>
        <w:t>remuneration of contractors or grantees.</w:t>
      </w:r>
    </w:p>
    <w:p w:rsidR="006E1110" w:rsidRPr="000D6AE9" w:rsidP="000D6AE9" w14:paraId="74C06B90" w14:textId="77777777">
      <w:pPr>
        <w:rPr>
          <w:sz w:val="22"/>
          <w:szCs w:val="22"/>
        </w:rPr>
      </w:pPr>
    </w:p>
    <w:p w:rsidR="006E1110" w:rsidRPr="000D6AE9" w:rsidP="000D6AE9" w14:paraId="14EB753E" w14:textId="77777777">
      <w:pPr>
        <w:rPr>
          <w:sz w:val="22"/>
          <w:szCs w:val="22"/>
        </w:rPr>
      </w:pPr>
      <w:r w:rsidRPr="000D6AE9">
        <w:rPr>
          <w:sz w:val="22"/>
          <w:szCs w:val="22"/>
        </w:rPr>
        <w:t>No gifts or payments will be provided to respondents.</w:t>
      </w:r>
    </w:p>
    <w:p w:rsidR="006B6906" w:rsidRPr="000D6AE9" w:rsidP="000D6AE9" w14:paraId="27FD7DCD" w14:textId="77777777">
      <w:pPr>
        <w:rPr>
          <w:sz w:val="22"/>
          <w:szCs w:val="22"/>
        </w:rPr>
      </w:pPr>
    </w:p>
    <w:p w:rsidR="006E1110" w:rsidRPr="000D6AE9" w:rsidP="000D6AE9" w14:paraId="42CFF6BE" w14:textId="77777777">
      <w:pPr>
        <w:rPr>
          <w:b/>
          <w:sz w:val="22"/>
          <w:szCs w:val="22"/>
        </w:rPr>
      </w:pPr>
      <w:r w:rsidRPr="000D6AE9">
        <w:rPr>
          <w:b/>
          <w:sz w:val="22"/>
          <w:szCs w:val="22"/>
        </w:rPr>
        <w:t>10</w:t>
      </w:r>
      <w:r w:rsidRPr="000D6AE9" w:rsidR="00335ED6">
        <w:rPr>
          <w:b/>
          <w:sz w:val="22"/>
          <w:szCs w:val="22"/>
        </w:rPr>
        <w:t xml:space="preserve">.  </w:t>
      </w:r>
      <w:r w:rsidRPr="000D6AE9">
        <w:rPr>
          <w:b/>
          <w:sz w:val="22"/>
          <w:szCs w:val="22"/>
        </w:rPr>
        <w:t>Describe any assurance of confidentiality provided to respondents and the basis for</w:t>
      </w:r>
      <w:r w:rsidRPr="000D6AE9" w:rsidR="00513DC8">
        <w:rPr>
          <w:b/>
          <w:sz w:val="22"/>
          <w:szCs w:val="22"/>
        </w:rPr>
        <w:t xml:space="preserve"> </w:t>
      </w:r>
      <w:r w:rsidRPr="000D6AE9">
        <w:rPr>
          <w:b/>
          <w:sz w:val="22"/>
          <w:szCs w:val="22"/>
        </w:rPr>
        <w:t>the assurance in statute, regulation, or agency policy.</w:t>
      </w:r>
    </w:p>
    <w:p w:rsidR="006E1110" w:rsidRPr="000D6AE9" w:rsidP="000D6AE9" w14:paraId="3F39A5A0" w14:textId="77777777">
      <w:pPr>
        <w:rPr>
          <w:sz w:val="22"/>
          <w:szCs w:val="22"/>
        </w:rPr>
      </w:pPr>
    </w:p>
    <w:p w:rsidR="00AB0C51" w:rsidP="000D6AE9" w14:paraId="52718D1C" w14:textId="2AAE9271">
      <w:pPr>
        <w:pStyle w:val="NormalWeb"/>
        <w:shd w:val="clear" w:color="auto" w:fill="FFFFFF"/>
        <w:spacing w:before="0" w:beforeAutospacing="0" w:after="0" w:afterAutospacing="0"/>
        <w:rPr>
          <w:sz w:val="22"/>
          <w:szCs w:val="22"/>
        </w:rPr>
      </w:pPr>
      <w:r w:rsidRPr="000D6AE9">
        <w:rPr>
          <w:sz w:val="22"/>
          <w:szCs w:val="22"/>
        </w:rPr>
        <w:t>Any information collected through NSPIRES will be maintained in accordance with the Privacy Act of 1974.</w:t>
      </w:r>
      <w:r w:rsidRPr="000D6AE9" w:rsidR="003209D8">
        <w:rPr>
          <w:sz w:val="22"/>
          <w:szCs w:val="22"/>
        </w:rPr>
        <w:t xml:space="preserve"> </w:t>
      </w:r>
      <w:r>
        <w:rPr>
          <w:sz w:val="22"/>
          <w:szCs w:val="22"/>
        </w:rPr>
        <w:t xml:space="preserve">The applicable system of records notice (SORN) is NASA 10OAAR, Opportunities and Associated Reviewers. It can be found at: </w:t>
      </w:r>
      <w:r w:rsidRPr="00963140" w:rsidR="00963140">
        <w:rPr>
          <w:sz w:val="22"/>
          <w:szCs w:val="22"/>
        </w:rPr>
        <w:t>https://www.federalregister.gov/documents/2023/03/14/2023-05168/privacy-act-of-1974-system-of-records</w:t>
      </w:r>
    </w:p>
    <w:p w:rsidR="00AB0C51" w:rsidP="000D6AE9" w14:paraId="3A27E2B2" w14:textId="77777777">
      <w:pPr>
        <w:pStyle w:val="NormalWeb"/>
        <w:shd w:val="clear" w:color="auto" w:fill="FFFFFF"/>
        <w:spacing w:before="0" w:beforeAutospacing="0" w:after="0" w:afterAutospacing="0"/>
        <w:rPr>
          <w:sz w:val="22"/>
          <w:szCs w:val="22"/>
        </w:rPr>
      </w:pPr>
    </w:p>
    <w:p w:rsidR="00A33AD4" w:rsidP="000D6AE9" w14:paraId="361A7387" w14:textId="693F3D84">
      <w:pPr>
        <w:pStyle w:val="NormalWeb"/>
        <w:shd w:val="clear" w:color="auto" w:fill="FFFFFF"/>
        <w:spacing w:before="0" w:beforeAutospacing="0" w:after="0" w:afterAutospacing="0"/>
        <w:rPr>
          <w:sz w:val="22"/>
          <w:szCs w:val="22"/>
        </w:rPr>
      </w:pPr>
      <w:r w:rsidRPr="000D6AE9">
        <w:rPr>
          <w:sz w:val="22"/>
          <w:szCs w:val="22"/>
        </w:rPr>
        <w:t>Additionally,</w:t>
      </w:r>
      <w:r w:rsidRPr="000D6AE9" w:rsidR="004E1C72">
        <w:rPr>
          <w:sz w:val="22"/>
          <w:szCs w:val="22"/>
        </w:rPr>
        <w:t xml:space="preserve"> </w:t>
      </w:r>
      <w:r w:rsidRPr="000D6AE9" w:rsidR="00334298">
        <w:rPr>
          <w:sz w:val="22"/>
          <w:szCs w:val="22"/>
        </w:rPr>
        <w:t>NASA uses Privacy Impact Assessments (PIA) as a tool to identify, evaluate and mitigate privacy risks, and ensure compliance to federal privacy regulations. A PIA analyzes how PII is collected, used, stored, and protected by NASA and serves as documentation that the collection is being conducted in full compliance with applicable federal laws, statutes, government-wide, and NASA policies and procedures. In addition, the PIA examines the risk to the individual caused by the collection of Information in Identifiable Form (IIF).</w:t>
      </w:r>
      <w:r w:rsidRPr="000D6AE9">
        <w:rPr>
          <w:sz w:val="22"/>
          <w:szCs w:val="22"/>
        </w:rPr>
        <w:t xml:space="preserve"> </w:t>
      </w:r>
    </w:p>
    <w:p w:rsidR="0062281A" w:rsidRPr="000D6AE9" w:rsidP="000D6AE9" w14:paraId="68C63DDA" w14:textId="77777777">
      <w:pPr>
        <w:pStyle w:val="NormalWeb"/>
        <w:shd w:val="clear" w:color="auto" w:fill="FFFFFF"/>
        <w:spacing w:before="0" w:beforeAutospacing="0" w:after="0" w:afterAutospacing="0"/>
        <w:rPr>
          <w:sz w:val="22"/>
          <w:szCs w:val="22"/>
        </w:rPr>
      </w:pPr>
    </w:p>
    <w:p w:rsidR="007A1023" w:rsidRPr="000D6AE9" w:rsidP="000D6AE9" w14:paraId="29BCE028" w14:textId="384253C2">
      <w:pPr>
        <w:pStyle w:val="NormalWeb"/>
        <w:shd w:val="clear" w:color="auto" w:fill="FFFFFF"/>
        <w:spacing w:before="0" w:beforeAutospacing="0" w:after="0" w:afterAutospacing="0"/>
        <w:rPr>
          <w:b/>
          <w:sz w:val="22"/>
          <w:szCs w:val="22"/>
        </w:rPr>
      </w:pPr>
      <w:r w:rsidRPr="000D6AE9">
        <w:rPr>
          <w:sz w:val="22"/>
          <w:szCs w:val="22"/>
        </w:rPr>
        <w:t>NASA publishes its Privacy Impact Assessment summaries on the NASA Privacy Impact Assessment</w:t>
      </w:r>
      <w:r w:rsidRPr="000D6AE9" w:rsidR="000D6AE9">
        <w:rPr>
          <w:sz w:val="22"/>
          <w:szCs w:val="22"/>
        </w:rPr>
        <w:t xml:space="preserve"> at https://www.nasa.gov/content/privacy-impact-assessment-pia-summaries.</w:t>
      </w:r>
    </w:p>
    <w:p w:rsidR="0093768C" w:rsidRPr="000D6AE9" w:rsidP="000D6AE9" w14:paraId="3A5487CB" w14:textId="77777777">
      <w:pPr>
        <w:rPr>
          <w:b/>
          <w:sz w:val="22"/>
          <w:szCs w:val="22"/>
        </w:rPr>
      </w:pPr>
    </w:p>
    <w:p w:rsidR="006E1110" w:rsidRPr="000D6AE9" w:rsidP="000D6AE9" w14:paraId="57EA5980" w14:textId="77777777">
      <w:pPr>
        <w:pStyle w:val="BodyText"/>
        <w:rPr>
          <w:sz w:val="22"/>
          <w:szCs w:val="22"/>
        </w:rPr>
      </w:pPr>
      <w:r w:rsidRPr="000D6AE9">
        <w:rPr>
          <w:sz w:val="22"/>
          <w:szCs w:val="22"/>
        </w:rPr>
        <w:t>11.  Provide additional justification for any questions of a sensitive nature, such as sexual behavior and attitudes, religious beliefs, and other matters that are commonly considered private.</w:t>
      </w:r>
    </w:p>
    <w:p w:rsidR="006E1110" w:rsidRPr="000D6AE9" w:rsidP="000D6AE9" w14:paraId="54786CC6" w14:textId="77777777">
      <w:pPr>
        <w:rPr>
          <w:sz w:val="22"/>
          <w:szCs w:val="22"/>
        </w:rPr>
      </w:pPr>
    </w:p>
    <w:p w:rsidR="006E1110" w:rsidRPr="000D6AE9" w:rsidP="000D6AE9" w14:paraId="2AF1C9A3" w14:textId="77777777">
      <w:pPr>
        <w:rPr>
          <w:sz w:val="22"/>
          <w:szCs w:val="22"/>
        </w:rPr>
      </w:pPr>
      <w:r w:rsidRPr="000D6AE9">
        <w:rPr>
          <w:sz w:val="22"/>
          <w:szCs w:val="22"/>
        </w:rPr>
        <w:t xml:space="preserve">No </w:t>
      </w:r>
      <w:r w:rsidRPr="000D6AE9" w:rsidR="00170F05">
        <w:rPr>
          <w:sz w:val="22"/>
          <w:szCs w:val="22"/>
        </w:rPr>
        <w:t xml:space="preserve">questions of a </w:t>
      </w:r>
      <w:r w:rsidRPr="000D6AE9">
        <w:rPr>
          <w:sz w:val="22"/>
          <w:szCs w:val="22"/>
        </w:rPr>
        <w:t xml:space="preserve">sensitive </w:t>
      </w:r>
      <w:r w:rsidRPr="000D6AE9" w:rsidR="00170F05">
        <w:rPr>
          <w:sz w:val="22"/>
          <w:szCs w:val="22"/>
        </w:rPr>
        <w:t>nature</w:t>
      </w:r>
      <w:r w:rsidRPr="000D6AE9">
        <w:rPr>
          <w:sz w:val="22"/>
          <w:szCs w:val="22"/>
        </w:rPr>
        <w:t xml:space="preserve"> are involved.</w:t>
      </w:r>
    </w:p>
    <w:p w:rsidR="006E1110" w:rsidRPr="000D6AE9" w:rsidP="000D6AE9" w14:paraId="18D146A9" w14:textId="77777777">
      <w:pPr>
        <w:rPr>
          <w:sz w:val="22"/>
          <w:szCs w:val="22"/>
        </w:rPr>
      </w:pPr>
    </w:p>
    <w:p w:rsidR="006E1110" w:rsidRPr="000D6AE9" w:rsidP="000D6AE9" w14:paraId="2F909012" w14:textId="77777777">
      <w:pPr>
        <w:rPr>
          <w:b/>
          <w:sz w:val="22"/>
          <w:szCs w:val="22"/>
        </w:rPr>
      </w:pPr>
      <w:r w:rsidRPr="000D6AE9">
        <w:rPr>
          <w:b/>
          <w:sz w:val="22"/>
          <w:szCs w:val="22"/>
        </w:rPr>
        <w:t>12.</w:t>
      </w:r>
      <w:r w:rsidRPr="000D6AE9" w:rsidR="00335ED6">
        <w:rPr>
          <w:b/>
          <w:sz w:val="22"/>
          <w:szCs w:val="22"/>
        </w:rPr>
        <w:t xml:space="preserve">  </w:t>
      </w:r>
      <w:r w:rsidRPr="000D6AE9">
        <w:rPr>
          <w:b/>
          <w:sz w:val="22"/>
          <w:szCs w:val="22"/>
        </w:rPr>
        <w:t xml:space="preserve">Provide estimates of the burden </w:t>
      </w:r>
      <w:r w:rsidRPr="000D6AE9" w:rsidR="00CF15F5">
        <w:rPr>
          <w:b/>
          <w:sz w:val="22"/>
          <w:szCs w:val="22"/>
        </w:rPr>
        <w:t xml:space="preserve">hour associated with </w:t>
      </w:r>
      <w:r w:rsidRPr="000D6AE9">
        <w:rPr>
          <w:b/>
          <w:sz w:val="22"/>
          <w:szCs w:val="22"/>
        </w:rPr>
        <w:t>the collection of information.</w:t>
      </w:r>
    </w:p>
    <w:p w:rsidR="006E1110" w:rsidRPr="000D6AE9" w:rsidP="000D6AE9" w14:paraId="57F3D1BD" w14:textId="77777777">
      <w:pPr>
        <w:rPr>
          <w:sz w:val="22"/>
          <w:szCs w:val="22"/>
        </w:rPr>
      </w:pPr>
    </w:p>
    <w:p w:rsidR="00507C17" w:rsidRPr="000D6AE9" w:rsidP="000D6AE9" w14:paraId="3FC21946" w14:textId="6A6261DE">
      <w:pPr>
        <w:rPr>
          <w:sz w:val="22"/>
          <w:szCs w:val="22"/>
        </w:rPr>
      </w:pPr>
      <w:r w:rsidRPr="000D6AE9">
        <w:rPr>
          <w:sz w:val="22"/>
          <w:szCs w:val="22"/>
        </w:rPr>
        <w:t xml:space="preserve">The annual burden </w:t>
      </w:r>
      <w:r w:rsidRPr="000D6AE9" w:rsidR="005B2184">
        <w:rPr>
          <w:sz w:val="22"/>
          <w:szCs w:val="22"/>
        </w:rPr>
        <w:t xml:space="preserve">estimate </w:t>
      </w:r>
      <w:r w:rsidRPr="000D6AE9" w:rsidR="00E70075">
        <w:rPr>
          <w:sz w:val="22"/>
          <w:szCs w:val="22"/>
        </w:rPr>
        <w:t xml:space="preserve">of </w:t>
      </w:r>
      <w:r w:rsidRPr="000D6AE9" w:rsidR="008F698A">
        <w:rPr>
          <w:sz w:val="22"/>
          <w:szCs w:val="22"/>
        </w:rPr>
        <w:t>1,712</w:t>
      </w:r>
      <w:r w:rsidRPr="000D6AE9" w:rsidR="00080487">
        <w:rPr>
          <w:sz w:val="22"/>
          <w:szCs w:val="22"/>
        </w:rPr>
        <w:t>,</w:t>
      </w:r>
      <w:r w:rsidRPr="000D6AE9" w:rsidR="008F698A">
        <w:rPr>
          <w:sz w:val="22"/>
          <w:szCs w:val="22"/>
        </w:rPr>
        <w:t xml:space="preserve">434 </w:t>
      </w:r>
      <w:r w:rsidRPr="000D6AE9" w:rsidR="00E70075">
        <w:rPr>
          <w:sz w:val="22"/>
          <w:szCs w:val="22"/>
        </w:rPr>
        <w:t>hours</w:t>
      </w:r>
      <w:r w:rsidRPr="000D6AE9" w:rsidR="00145682">
        <w:rPr>
          <w:sz w:val="22"/>
          <w:szCs w:val="22"/>
        </w:rPr>
        <w:t>,</w:t>
      </w:r>
      <w:r w:rsidRPr="000D6AE9" w:rsidR="00E70075">
        <w:rPr>
          <w:sz w:val="22"/>
          <w:szCs w:val="22"/>
        </w:rPr>
        <w:t xml:space="preserve"> </w:t>
      </w:r>
      <w:r w:rsidRPr="000D6AE9" w:rsidR="003F18CD">
        <w:rPr>
          <w:sz w:val="22"/>
          <w:szCs w:val="22"/>
        </w:rPr>
        <w:t>associated with the collection of information</w:t>
      </w:r>
      <w:r w:rsidRPr="000D6AE9" w:rsidR="00145682">
        <w:rPr>
          <w:sz w:val="22"/>
          <w:szCs w:val="22"/>
        </w:rPr>
        <w:t>,</w:t>
      </w:r>
      <w:r w:rsidRPr="000D6AE9" w:rsidR="003F18CD">
        <w:rPr>
          <w:sz w:val="22"/>
          <w:szCs w:val="22"/>
        </w:rPr>
        <w:t xml:space="preserve"> </w:t>
      </w:r>
      <w:r w:rsidRPr="000D6AE9" w:rsidR="00E70075">
        <w:rPr>
          <w:sz w:val="22"/>
          <w:szCs w:val="22"/>
        </w:rPr>
        <w:t>is calculated as follows:</w:t>
      </w:r>
    </w:p>
    <w:p w:rsidR="00DF1317" w:rsidRPr="000D6AE9" w:rsidP="000D6AE9" w14:paraId="14507590" w14:textId="77777777">
      <w:pPr>
        <w:rPr>
          <w:sz w:val="22"/>
          <w:szCs w:val="22"/>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350"/>
        <w:gridCol w:w="1170"/>
        <w:gridCol w:w="1147"/>
        <w:gridCol w:w="1260"/>
        <w:gridCol w:w="990"/>
        <w:gridCol w:w="1710"/>
      </w:tblGrid>
      <w:tr w14:paraId="245BA5A8" w14:textId="77777777" w:rsidTr="00CC1DE1">
        <w:tblPrEx>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80" w:type="dxa"/>
            <w:shd w:val="pct95" w:color="auto" w:fill="auto"/>
          </w:tcPr>
          <w:p w:rsidR="00F52F94" w:rsidRPr="000D6AE9" w:rsidP="000D6AE9" w14:paraId="09AEB629" w14:textId="77777777">
            <w:pPr>
              <w:jc w:val="center"/>
              <w:rPr>
                <w:b/>
                <w:sz w:val="22"/>
                <w:szCs w:val="22"/>
              </w:rPr>
            </w:pPr>
            <w:r w:rsidRPr="000D6AE9">
              <w:rPr>
                <w:b/>
                <w:sz w:val="22"/>
                <w:szCs w:val="22"/>
              </w:rPr>
              <w:t>INFO/</w:t>
            </w:r>
          </w:p>
          <w:p w:rsidR="0082054D" w:rsidRPr="000D6AE9" w:rsidP="000D6AE9" w14:paraId="6DBAD4B3" w14:textId="180BEF3A">
            <w:pPr>
              <w:jc w:val="center"/>
              <w:rPr>
                <w:b/>
                <w:sz w:val="22"/>
                <w:szCs w:val="22"/>
              </w:rPr>
            </w:pPr>
            <w:r w:rsidRPr="000D6AE9">
              <w:rPr>
                <w:b/>
                <w:sz w:val="22"/>
                <w:szCs w:val="22"/>
              </w:rPr>
              <w:t>REPORTS</w:t>
            </w:r>
          </w:p>
        </w:tc>
        <w:tc>
          <w:tcPr>
            <w:tcW w:w="1350" w:type="dxa"/>
            <w:shd w:val="pct95" w:color="auto" w:fill="auto"/>
          </w:tcPr>
          <w:p w:rsidR="0082054D" w:rsidRPr="000D6AE9" w:rsidP="000D6AE9" w14:paraId="337ECA7E" w14:textId="77777777">
            <w:pPr>
              <w:jc w:val="center"/>
              <w:rPr>
                <w:b/>
                <w:sz w:val="22"/>
                <w:szCs w:val="22"/>
              </w:rPr>
            </w:pPr>
            <w:r w:rsidRPr="000D6AE9">
              <w:rPr>
                <w:b/>
                <w:sz w:val="22"/>
                <w:szCs w:val="22"/>
              </w:rPr>
              <w:t>No. of Respondents</w:t>
            </w:r>
          </w:p>
        </w:tc>
        <w:tc>
          <w:tcPr>
            <w:tcW w:w="1170" w:type="dxa"/>
            <w:shd w:val="pct95" w:color="auto" w:fill="auto"/>
          </w:tcPr>
          <w:p w:rsidR="0082054D" w:rsidRPr="000D6AE9" w:rsidP="000D6AE9" w14:paraId="222B1A2B" w14:textId="77777777">
            <w:pPr>
              <w:jc w:val="center"/>
              <w:rPr>
                <w:b/>
                <w:sz w:val="22"/>
                <w:szCs w:val="22"/>
              </w:rPr>
            </w:pPr>
            <w:r w:rsidRPr="000D6AE9">
              <w:rPr>
                <w:b/>
                <w:sz w:val="22"/>
                <w:szCs w:val="22"/>
              </w:rPr>
              <w:t>No. of Responses</w:t>
            </w:r>
          </w:p>
        </w:tc>
        <w:tc>
          <w:tcPr>
            <w:tcW w:w="1147" w:type="dxa"/>
            <w:shd w:val="pct95" w:color="auto" w:fill="auto"/>
          </w:tcPr>
          <w:p w:rsidR="0082054D" w:rsidRPr="000D6AE9" w:rsidP="000D6AE9" w14:paraId="6A97A7A7" w14:textId="6DB094DD">
            <w:pPr>
              <w:jc w:val="center"/>
              <w:rPr>
                <w:b/>
                <w:sz w:val="22"/>
                <w:szCs w:val="22"/>
              </w:rPr>
            </w:pPr>
            <w:r w:rsidRPr="000D6AE9">
              <w:rPr>
                <w:b/>
                <w:sz w:val="22"/>
                <w:szCs w:val="22"/>
              </w:rPr>
              <w:t>Hours per Report</w:t>
            </w:r>
          </w:p>
        </w:tc>
        <w:tc>
          <w:tcPr>
            <w:tcW w:w="1260" w:type="dxa"/>
            <w:shd w:val="pct95" w:color="auto" w:fill="auto"/>
          </w:tcPr>
          <w:p w:rsidR="0082054D" w:rsidRPr="000D6AE9" w:rsidP="000D6AE9" w14:paraId="5707AF2C" w14:textId="77777777">
            <w:pPr>
              <w:jc w:val="center"/>
              <w:rPr>
                <w:b/>
                <w:sz w:val="22"/>
                <w:szCs w:val="22"/>
              </w:rPr>
            </w:pPr>
            <w:r w:rsidRPr="000D6AE9">
              <w:rPr>
                <w:b/>
                <w:sz w:val="22"/>
                <w:szCs w:val="22"/>
              </w:rPr>
              <w:t>TOTAL HOURS</w:t>
            </w:r>
          </w:p>
        </w:tc>
        <w:tc>
          <w:tcPr>
            <w:tcW w:w="990" w:type="dxa"/>
            <w:shd w:val="pct95" w:color="auto" w:fill="auto"/>
          </w:tcPr>
          <w:p w:rsidR="0082054D" w:rsidRPr="000D6AE9" w:rsidP="000D6AE9" w14:paraId="5CD80E56" w14:textId="77777777">
            <w:pPr>
              <w:jc w:val="center"/>
              <w:rPr>
                <w:b/>
                <w:sz w:val="22"/>
                <w:szCs w:val="22"/>
              </w:rPr>
            </w:pPr>
            <w:r w:rsidRPr="000D6AE9">
              <w:rPr>
                <w:b/>
                <w:sz w:val="22"/>
                <w:szCs w:val="22"/>
              </w:rPr>
              <w:t>Hourly Rate</w:t>
            </w:r>
          </w:p>
        </w:tc>
        <w:tc>
          <w:tcPr>
            <w:tcW w:w="1710" w:type="dxa"/>
            <w:shd w:val="pct95" w:color="auto" w:fill="auto"/>
          </w:tcPr>
          <w:p w:rsidR="0082054D" w:rsidRPr="000D6AE9" w:rsidP="000D6AE9" w14:paraId="67AAF3E6" w14:textId="77777777">
            <w:pPr>
              <w:jc w:val="center"/>
              <w:rPr>
                <w:b/>
                <w:sz w:val="22"/>
                <w:szCs w:val="22"/>
              </w:rPr>
            </w:pPr>
            <w:r w:rsidRPr="000D6AE9">
              <w:rPr>
                <w:b/>
                <w:sz w:val="22"/>
                <w:szCs w:val="22"/>
              </w:rPr>
              <w:t>Cost</w:t>
            </w:r>
          </w:p>
        </w:tc>
      </w:tr>
      <w:tr w14:paraId="24D1E3CE" w14:textId="77777777" w:rsidTr="00CC1DE1">
        <w:tblPrEx>
          <w:tblW w:w="9607" w:type="dxa"/>
          <w:tblInd w:w="108" w:type="dxa"/>
          <w:tblLayout w:type="fixed"/>
          <w:tblLook w:val="0000"/>
        </w:tblPrEx>
        <w:trPr>
          <w:trHeight w:val="377"/>
        </w:trPr>
        <w:tc>
          <w:tcPr>
            <w:tcW w:w="1980" w:type="dxa"/>
          </w:tcPr>
          <w:p w:rsidR="0082054D" w:rsidRPr="000D6AE9" w:rsidP="000D6AE9" w14:paraId="6AEEF578" w14:textId="1BD1EE01">
            <w:pPr>
              <w:rPr>
                <w:sz w:val="22"/>
                <w:szCs w:val="22"/>
              </w:rPr>
            </w:pPr>
            <w:r w:rsidRPr="000D6AE9">
              <w:rPr>
                <w:sz w:val="22"/>
                <w:szCs w:val="22"/>
              </w:rPr>
              <w:t>Proposals</w:t>
            </w:r>
            <w:r w:rsidRPr="000D6AE9" w:rsidR="00665EFC">
              <w:rPr>
                <w:sz w:val="22"/>
                <w:szCs w:val="22"/>
              </w:rPr>
              <w:t xml:space="preserve"> (includes demographic data)</w:t>
            </w:r>
          </w:p>
        </w:tc>
        <w:tc>
          <w:tcPr>
            <w:tcW w:w="1350" w:type="dxa"/>
          </w:tcPr>
          <w:p w:rsidR="0082054D" w:rsidRPr="000D6AE9" w:rsidP="000D6AE9" w14:paraId="6C4BFBD2" w14:textId="77777777">
            <w:pPr>
              <w:jc w:val="right"/>
              <w:rPr>
                <w:sz w:val="22"/>
                <w:szCs w:val="22"/>
              </w:rPr>
            </w:pPr>
            <w:r w:rsidRPr="000D6AE9">
              <w:rPr>
                <w:sz w:val="22"/>
                <w:szCs w:val="22"/>
              </w:rPr>
              <w:t>11,000</w:t>
            </w:r>
          </w:p>
        </w:tc>
        <w:tc>
          <w:tcPr>
            <w:tcW w:w="1170" w:type="dxa"/>
          </w:tcPr>
          <w:p w:rsidR="0082054D" w:rsidRPr="000D6AE9" w:rsidP="000D6AE9" w14:paraId="3A08919D" w14:textId="77777777">
            <w:pPr>
              <w:jc w:val="right"/>
              <w:rPr>
                <w:sz w:val="22"/>
                <w:szCs w:val="22"/>
              </w:rPr>
            </w:pPr>
            <w:r w:rsidRPr="000D6AE9">
              <w:rPr>
                <w:sz w:val="22"/>
                <w:szCs w:val="22"/>
              </w:rPr>
              <w:t>11,000</w:t>
            </w:r>
          </w:p>
        </w:tc>
        <w:tc>
          <w:tcPr>
            <w:tcW w:w="1147" w:type="dxa"/>
          </w:tcPr>
          <w:p w:rsidR="0082054D" w:rsidRPr="000D6AE9" w:rsidP="000D6AE9" w14:paraId="75C70448" w14:textId="2A4BC305">
            <w:pPr>
              <w:jc w:val="center"/>
              <w:rPr>
                <w:sz w:val="22"/>
                <w:szCs w:val="22"/>
              </w:rPr>
            </w:pPr>
            <w:r w:rsidRPr="000D6AE9">
              <w:rPr>
                <w:sz w:val="22"/>
                <w:szCs w:val="22"/>
              </w:rPr>
              <w:t>120</w:t>
            </w:r>
          </w:p>
        </w:tc>
        <w:tc>
          <w:tcPr>
            <w:tcW w:w="1260" w:type="dxa"/>
          </w:tcPr>
          <w:p w:rsidR="0082054D" w:rsidRPr="000D6AE9" w:rsidP="000D6AE9" w14:paraId="6EFC2C99" w14:textId="53D6EF60">
            <w:pPr>
              <w:jc w:val="right"/>
              <w:rPr>
                <w:sz w:val="22"/>
                <w:szCs w:val="22"/>
              </w:rPr>
            </w:pPr>
            <w:r w:rsidRPr="000D6AE9">
              <w:rPr>
                <w:sz w:val="22"/>
                <w:szCs w:val="22"/>
              </w:rPr>
              <w:t>1,320,000</w:t>
            </w:r>
          </w:p>
        </w:tc>
        <w:tc>
          <w:tcPr>
            <w:tcW w:w="990" w:type="dxa"/>
          </w:tcPr>
          <w:p w:rsidR="0082054D" w:rsidRPr="000D6AE9" w:rsidP="000D6AE9" w14:paraId="5B47DFE4" w14:textId="2F58B75A">
            <w:pPr>
              <w:jc w:val="right"/>
              <w:rPr>
                <w:sz w:val="22"/>
                <w:szCs w:val="22"/>
              </w:rPr>
            </w:pPr>
            <w:r w:rsidRPr="000D6AE9">
              <w:rPr>
                <w:sz w:val="22"/>
                <w:szCs w:val="22"/>
              </w:rPr>
              <w:t>$</w:t>
            </w:r>
            <w:r w:rsidRPr="000D6AE9" w:rsidR="001F0737">
              <w:rPr>
                <w:sz w:val="22"/>
                <w:szCs w:val="22"/>
              </w:rPr>
              <w:t>3</w:t>
            </w:r>
            <w:r w:rsidRPr="000D6AE9" w:rsidR="001D6C3E">
              <w:rPr>
                <w:sz w:val="22"/>
                <w:szCs w:val="22"/>
              </w:rPr>
              <w:t>7</w:t>
            </w:r>
            <w:r w:rsidRPr="000D6AE9" w:rsidR="001F0737">
              <w:rPr>
                <w:sz w:val="22"/>
                <w:szCs w:val="22"/>
              </w:rPr>
              <w:t>.0</w:t>
            </w:r>
            <w:r w:rsidRPr="000D6AE9" w:rsidR="001D6C3E">
              <w:rPr>
                <w:sz w:val="22"/>
                <w:szCs w:val="22"/>
              </w:rPr>
              <w:t>9</w:t>
            </w:r>
          </w:p>
        </w:tc>
        <w:tc>
          <w:tcPr>
            <w:tcW w:w="1710" w:type="dxa"/>
          </w:tcPr>
          <w:p w:rsidR="001F0737" w:rsidRPr="000D6AE9" w:rsidP="000D6AE9" w14:paraId="6F6526D6" w14:textId="58F5E2CB">
            <w:pPr>
              <w:jc w:val="right"/>
              <w:rPr>
                <w:sz w:val="22"/>
                <w:szCs w:val="22"/>
              </w:rPr>
            </w:pPr>
            <w:r w:rsidRPr="000D6AE9">
              <w:rPr>
                <w:sz w:val="22"/>
                <w:szCs w:val="22"/>
              </w:rPr>
              <w:t>$</w:t>
            </w:r>
            <w:r w:rsidRPr="000D6AE9" w:rsidR="001D6C3E">
              <w:rPr>
                <w:sz w:val="22"/>
                <w:szCs w:val="22"/>
              </w:rPr>
              <w:t>48,958</w:t>
            </w:r>
            <w:r w:rsidRPr="000D6AE9">
              <w:rPr>
                <w:sz w:val="22"/>
                <w:szCs w:val="22"/>
              </w:rPr>
              <w:t>,000</w:t>
            </w:r>
            <w:r w:rsidRPr="000D6AE9" w:rsidR="00030954">
              <w:rPr>
                <w:sz w:val="22"/>
                <w:szCs w:val="22"/>
              </w:rPr>
              <w:t>.00</w:t>
            </w:r>
            <w:r w:rsidRPr="000D6AE9">
              <w:rPr>
                <w:sz w:val="22"/>
                <w:szCs w:val="22"/>
              </w:rPr>
              <w:t xml:space="preserve"> </w:t>
            </w:r>
          </w:p>
          <w:p w:rsidR="0082054D" w:rsidRPr="000D6AE9" w:rsidP="000D6AE9" w14:paraId="168FC6FF" w14:textId="77777777">
            <w:pPr>
              <w:jc w:val="right"/>
              <w:rPr>
                <w:sz w:val="22"/>
                <w:szCs w:val="22"/>
              </w:rPr>
            </w:pPr>
          </w:p>
        </w:tc>
      </w:tr>
      <w:tr w14:paraId="40A0491C" w14:textId="77777777" w:rsidTr="00CC1DE1">
        <w:tblPrEx>
          <w:tblW w:w="9607" w:type="dxa"/>
          <w:tblInd w:w="108" w:type="dxa"/>
          <w:tblLayout w:type="fixed"/>
          <w:tblLook w:val="0000"/>
        </w:tblPrEx>
        <w:tc>
          <w:tcPr>
            <w:tcW w:w="1980" w:type="dxa"/>
          </w:tcPr>
          <w:p w:rsidR="001F0737" w:rsidRPr="000D6AE9" w:rsidP="000D6AE9" w14:paraId="68AE2B88" w14:textId="64BF4186">
            <w:pPr>
              <w:rPr>
                <w:sz w:val="22"/>
                <w:szCs w:val="22"/>
              </w:rPr>
            </w:pPr>
            <w:r w:rsidRPr="000D6AE9">
              <w:rPr>
                <w:sz w:val="22"/>
                <w:szCs w:val="22"/>
              </w:rPr>
              <w:t xml:space="preserve">Financial Reports </w:t>
            </w:r>
            <w:r w:rsidRPr="000D6AE9" w:rsidR="003761AD">
              <w:rPr>
                <w:sz w:val="22"/>
                <w:szCs w:val="22"/>
              </w:rPr>
              <w:t>(</w:t>
            </w:r>
            <w:r w:rsidRPr="000D6AE9">
              <w:rPr>
                <w:sz w:val="22"/>
                <w:szCs w:val="22"/>
              </w:rPr>
              <w:t>SF 425</w:t>
            </w:r>
            <w:r w:rsidRPr="000D6AE9" w:rsidR="003761AD">
              <w:rPr>
                <w:sz w:val="22"/>
                <w:szCs w:val="22"/>
              </w:rPr>
              <w:t>)</w:t>
            </w:r>
          </w:p>
        </w:tc>
        <w:tc>
          <w:tcPr>
            <w:tcW w:w="1350" w:type="dxa"/>
          </w:tcPr>
          <w:p w:rsidR="001F0737" w:rsidRPr="000D6AE9" w:rsidP="000D6AE9" w14:paraId="7CC8FDAF" w14:textId="6C0A7E01">
            <w:pPr>
              <w:jc w:val="right"/>
              <w:rPr>
                <w:sz w:val="22"/>
                <w:szCs w:val="22"/>
              </w:rPr>
            </w:pPr>
            <w:r w:rsidRPr="000D6AE9">
              <w:rPr>
                <w:sz w:val="22"/>
                <w:szCs w:val="22"/>
              </w:rPr>
              <w:t>7,000</w:t>
            </w:r>
          </w:p>
        </w:tc>
        <w:tc>
          <w:tcPr>
            <w:tcW w:w="1170" w:type="dxa"/>
          </w:tcPr>
          <w:p w:rsidR="001F0737" w:rsidRPr="000D6AE9" w:rsidP="000D6AE9" w14:paraId="45B91763" w14:textId="6990DAA8">
            <w:pPr>
              <w:jc w:val="right"/>
              <w:rPr>
                <w:sz w:val="22"/>
                <w:szCs w:val="22"/>
              </w:rPr>
            </w:pPr>
            <w:r w:rsidRPr="000D6AE9">
              <w:rPr>
                <w:sz w:val="22"/>
                <w:szCs w:val="22"/>
              </w:rPr>
              <w:t>2</w:t>
            </w:r>
            <w:r w:rsidRPr="000D6AE9" w:rsidR="007472A3">
              <w:rPr>
                <w:sz w:val="22"/>
                <w:szCs w:val="22"/>
              </w:rPr>
              <w:t>8</w:t>
            </w:r>
            <w:r w:rsidRPr="000D6AE9">
              <w:rPr>
                <w:sz w:val="22"/>
                <w:szCs w:val="22"/>
              </w:rPr>
              <w:t>,000</w:t>
            </w:r>
          </w:p>
        </w:tc>
        <w:tc>
          <w:tcPr>
            <w:tcW w:w="1147" w:type="dxa"/>
          </w:tcPr>
          <w:p w:rsidR="001F0737" w:rsidRPr="000D6AE9" w:rsidP="000D6AE9" w14:paraId="68C311B2" w14:textId="2CC18165">
            <w:pPr>
              <w:jc w:val="center"/>
              <w:rPr>
                <w:sz w:val="22"/>
                <w:szCs w:val="22"/>
              </w:rPr>
            </w:pPr>
            <w:r w:rsidRPr="000D6AE9">
              <w:rPr>
                <w:sz w:val="22"/>
                <w:szCs w:val="22"/>
              </w:rPr>
              <w:t>9</w:t>
            </w:r>
          </w:p>
        </w:tc>
        <w:tc>
          <w:tcPr>
            <w:tcW w:w="1260" w:type="dxa"/>
          </w:tcPr>
          <w:p w:rsidR="001F0737" w:rsidRPr="000D6AE9" w:rsidP="000D6AE9" w14:paraId="1E8AC69D" w14:textId="75214741">
            <w:pPr>
              <w:jc w:val="right"/>
              <w:rPr>
                <w:sz w:val="22"/>
                <w:szCs w:val="22"/>
              </w:rPr>
            </w:pPr>
            <w:r w:rsidRPr="000D6AE9">
              <w:rPr>
                <w:sz w:val="22"/>
                <w:szCs w:val="22"/>
              </w:rPr>
              <w:t>252,000</w:t>
            </w:r>
          </w:p>
        </w:tc>
        <w:tc>
          <w:tcPr>
            <w:tcW w:w="990" w:type="dxa"/>
          </w:tcPr>
          <w:p w:rsidR="001F0737" w:rsidRPr="000D6AE9" w:rsidP="000D6AE9" w14:paraId="4CF22C8E" w14:textId="18B77BDB">
            <w:pPr>
              <w:jc w:val="right"/>
              <w:rPr>
                <w:sz w:val="22"/>
                <w:szCs w:val="22"/>
              </w:rPr>
            </w:pPr>
            <w:r w:rsidRPr="000D6AE9">
              <w:rPr>
                <w:sz w:val="22"/>
                <w:szCs w:val="22"/>
              </w:rPr>
              <w:t>$3</w:t>
            </w:r>
            <w:r w:rsidRPr="000D6AE9" w:rsidR="007472A3">
              <w:rPr>
                <w:sz w:val="22"/>
                <w:szCs w:val="22"/>
              </w:rPr>
              <w:t>7.09</w:t>
            </w:r>
          </w:p>
        </w:tc>
        <w:tc>
          <w:tcPr>
            <w:tcW w:w="1710" w:type="dxa"/>
          </w:tcPr>
          <w:p w:rsidR="001F0737" w:rsidRPr="000D6AE9" w:rsidP="000D6AE9" w14:paraId="01A43448" w14:textId="53E936B0">
            <w:pPr>
              <w:jc w:val="right"/>
              <w:rPr>
                <w:sz w:val="22"/>
                <w:szCs w:val="22"/>
              </w:rPr>
            </w:pPr>
            <w:r w:rsidRPr="000D6AE9">
              <w:rPr>
                <w:sz w:val="22"/>
                <w:szCs w:val="22"/>
              </w:rPr>
              <w:t>$</w:t>
            </w:r>
            <w:r w:rsidRPr="000D6AE9" w:rsidR="007472A3">
              <w:rPr>
                <w:sz w:val="22"/>
                <w:szCs w:val="22"/>
              </w:rPr>
              <w:t>9</w:t>
            </w:r>
            <w:r w:rsidRPr="000D6AE9">
              <w:rPr>
                <w:sz w:val="22"/>
                <w:szCs w:val="22"/>
              </w:rPr>
              <w:t>,</w:t>
            </w:r>
            <w:r w:rsidRPr="000D6AE9" w:rsidR="007472A3">
              <w:rPr>
                <w:sz w:val="22"/>
                <w:szCs w:val="22"/>
              </w:rPr>
              <w:t>346</w:t>
            </w:r>
            <w:r w:rsidRPr="000D6AE9">
              <w:rPr>
                <w:sz w:val="22"/>
                <w:szCs w:val="22"/>
              </w:rPr>
              <w:t>,680</w:t>
            </w:r>
            <w:r w:rsidRPr="000D6AE9" w:rsidR="00030954">
              <w:rPr>
                <w:sz w:val="22"/>
                <w:szCs w:val="22"/>
              </w:rPr>
              <w:t>.00</w:t>
            </w:r>
            <w:r w:rsidRPr="000D6AE9">
              <w:rPr>
                <w:sz w:val="22"/>
                <w:szCs w:val="22"/>
              </w:rPr>
              <w:t xml:space="preserve"> </w:t>
            </w:r>
          </w:p>
          <w:p w:rsidR="001F0737" w:rsidRPr="000D6AE9" w:rsidP="000D6AE9" w14:paraId="137668D4" w14:textId="77777777">
            <w:pPr>
              <w:jc w:val="right"/>
              <w:rPr>
                <w:sz w:val="22"/>
                <w:szCs w:val="22"/>
              </w:rPr>
            </w:pPr>
          </w:p>
        </w:tc>
      </w:tr>
      <w:tr w14:paraId="05FE80F8" w14:textId="77777777" w:rsidTr="00CC1DE1">
        <w:tblPrEx>
          <w:tblW w:w="9607" w:type="dxa"/>
          <w:tblInd w:w="108" w:type="dxa"/>
          <w:tblLayout w:type="fixed"/>
          <w:tblLook w:val="0000"/>
        </w:tblPrEx>
        <w:tc>
          <w:tcPr>
            <w:tcW w:w="1980" w:type="dxa"/>
          </w:tcPr>
          <w:p w:rsidR="001F0737" w:rsidRPr="000D6AE9" w:rsidP="000D6AE9" w14:paraId="09D2D065" w14:textId="77777777">
            <w:pPr>
              <w:pStyle w:val="Header"/>
              <w:tabs>
                <w:tab w:val="clear" w:pos="4320"/>
                <w:tab w:val="clear" w:pos="8640"/>
              </w:tabs>
              <w:rPr>
                <w:sz w:val="22"/>
                <w:szCs w:val="22"/>
              </w:rPr>
            </w:pPr>
            <w:r w:rsidRPr="000D6AE9">
              <w:rPr>
                <w:sz w:val="22"/>
                <w:szCs w:val="22"/>
              </w:rPr>
              <w:t>Performance Reports</w:t>
            </w:r>
          </w:p>
        </w:tc>
        <w:tc>
          <w:tcPr>
            <w:tcW w:w="1350" w:type="dxa"/>
          </w:tcPr>
          <w:p w:rsidR="001F0737" w:rsidRPr="000D6AE9" w:rsidP="000D6AE9" w14:paraId="77916D35" w14:textId="34E3D814">
            <w:pPr>
              <w:jc w:val="right"/>
              <w:rPr>
                <w:sz w:val="22"/>
                <w:szCs w:val="22"/>
              </w:rPr>
            </w:pPr>
            <w:r w:rsidRPr="000D6AE9">
              <w:rPr>
                <w:sz w:val="22"/>
                <w:szCs w:val="22"/>
              </w:rPr>
              <w:t>7,000</w:t>
            </w:r>
          </w:p>
        </w:tc>
        <w:tc>
          <w:tcPr>
            <w:tcW w:w="1170" w:type="dxa"/>
          </w:tcPr>
          <w:p w:rsidR="001F0737" w:rsidRPr="000D6AE9" w:rsidP="000D6AE9" w14:paraId="21178523" w14:textId="23E53E73">
            <w:pPr>
              <w:jc w:val="right"/>
              <w:rPr>
                <w:sz w:val="22"/>
                <w:szCs w:val="22"/>
              </w:rPr>
            </w:pPr>
            <w:r w:rsidRPr="000D6AE9">
              <w:rPr>
                <w:sz w:val="22"/>
                <w:szCs w:val="22"/>
              </w:rPr>
              <w:t>7,000</w:t>
            </w:r>
          </w:p>
        </w:tc>
        <w:tc>
          <w:tcPr>
            <w:tcW w:w="1147" w:type="dxa"/>
          </w:tcPr>
          <w:p w:rsidR="001F0737" w:rsidRPr="000D6AE9" w:rsidP="000D6AE9" w14:paraId="1E5B655C" w14:textId="168DC3FE">
            <w:pPr>
              <w:jc w:val="center"/>
              <w:rPr>
                <w:sz w:val="22"/>
                <w:szCs w:val="22"/>
              </w:rPr>
            </w:pPr>
            <w:r w:rsidRPr="000D6AE9">
              <w:rPr>
                <w:sz w:val="22"/>
                <w:szCs w:val="22"/>
              </w:rPr>
              <w:t>8</w:t>
            </w:r>
          </w:p>
        </w:tc>
        <w:tc>
          <w:tcPr>
            <w:tcW w:w="1260" w:type="dxa"/>
          </w:tcPr>
          <w:p w:rsidR="001F0737" w:rsidRPr="000D6AE9" w:rsidP="000D6AE9" w14:paraId="334C4580" w14:textId="2C998AAF">
            <w:pPr>
              <w:jc w:val="right"/>
              <w:rPr>
                <w:sz w:val="22"/>
                <w:szCs w:val="22"/>
              </w:rPr>
            </w:pPr>
            <w:r w:rsidRPr="000D6AE9">
              <w:rPr>
                <w:sz w:val="22"/>
                <w:szCs w:val="22"/>
              </w:rPr>
              <w:t>5</w:t>
            </w:r>
            <w:r w:rsidRPr="000D6AE9" w:rsidR="00030954">
              <w:rPr>
                <w:sz w:val="22"/>
                <w:szCs w:val="22"/>
              </w:rPr>
              <w:t>6</w:t>
            </w:r>
            <w:r w:rsidRPr="000D6AE9">
              <w:rPr>
                <w:sz w:val="22"/>
                <w:szCs w:val="22"/>
              </w:rPr>
              <w:t>,000</w:t>
            </w:r>
          </w:p>
        </w:tc>
        <w:tc>
          <w:tcPr>
            <w:tcW w:w="990" w:type="dxa"/>
          </w:tcPr>
          <w:p w:rsidR="001F0737" w:rsidRPr="000D6AE9" w:rsidP="000D6AE9" w14:paraId="1013197E" w14:textId="6E0AD7A3">
            <w:pPr>
              <w:jc w:val="right"/>
              <w:rPr>
                <w:sz w:val="22"/>
                <w:szCs w:val="22"/>
              </w:rPr>
            </w:pPr>
            <w:r w:rsidRPr="000D6AE9">
              <w:rPr>
                <w:sz w:val="22"/>
                <w:szCs w:val="22"/>
              </w:rPr>
              <w:t>$</w:t>
            </w:r>
            <w:r w:rsidRPr="000D6AE9" w:rsidR="00030954">
              <w:rPr>
                <w:sz w:val="22"/>
                <w:szCs w:val="22"/>
              </w:rPr>
              <w:t>37.09</w:t>
            </w:r>
          </w:p>
        </w:tc>
        <w:tc>
          <w:tcPr>
            <w:tcW w:w="1710" w:type="dxa"/>
          </w:tcPr>
          <w:p w:rsidR="001F0737" w:rsidRPr="000D6AE9" w:rsidP="000D6AE9" w14:paraId="47C5B005" w14:textId="1C6854A0">
            <w:pPr>
              <w:jc w:val="right"/>
              <w:rPr>
                <w:sz w:val="22"/>
                <w:szCs w:val="22"/>
              </w:rPr>
            </w:pPr>
            <w:r w:rsidRPr="000D6AE9">
              <w:rPr>
                <w:sz w:val="22"/>
                <w:szCs w:val="22"/>
              </w:rPr>
              <w:t>$</w:t>
            </w:r>
            <w:r w:rsidRPr="000D6AE9" w:rsidR="00030954">
              <w:rPr>
                <w:sz w:val="22"/>
                <w:szCs w:val="22"/>
              </w:rPr>
              <w:t>2</w:t>
            </w:r>
            <w:r w:rsidRPr="000D6AE9">
              <w:rPr>
                <w:sz w:val="22"/>
                <w:szCs w:val="22"/>
              </w:rPr>
              <w:t>,</w:t>
            </w:r>
            <w:r w:rsidRPr="000D6AE9" w:rsidR="00030954">
              <w:rPr>
                <w:sz w:val="22"/>
                <w:szCs w:val="22"/>
              </w:rPr>
              <w:t>007</w:t>
            </w:r>
            <w:r w:rsidRPr="000D6AE9">
              <w:rPr>
                <w:sz w:val="22"/>
                <w:szCs w:val="22"/>
              </w:rPr>
              <w:t>,040</w:t>
            </w:r>
            <w:r w:rsidRPr="000D6AE9" w:rsidR="00030954">
              <w:rPr>
                <w:sz w:val="22"/>
                <w:szCs w:val="22"/>
              </w:rPr>
              <w:t>.00</w:t>
            </w:r>
          </w:p>
        </w:tc>
      </w:tr>
      <w:tr w14:paraId="2094F689" w14:textId="77777777" w:rsidTr="00CC1DE1">
        <w:tblPrEx>
          <w:tblW w:w="9607" w:type="dxa"/>
          <w:tblInd w:w="108" w:type="dxa"/>
          <w:tblLayout w:type="fixed"/>
          <w:tblLook w:val="0000"/>
        </w:tblPrEx>
        <w:tc>
          <w:tcPr>
            <w:tcW w:w="1980" w:type="dxa"/>
          </w:tcPr>
          <w:p w:rsidR="001F0737" w:rsidRPr="000D6AE9" w:rsidP="000D6AE9" w14:paraId="0FA652B5" w14:textId="1CE54868">
            <w:pPr>
              <w:rPr>
                <w:sz w:val="22"/>
                <w:szCs w:val="22"/>
              </w:rPr>
            </w:pPr>
            <w:r w:rsidRPr="000D6AE9">
              <w:rPr>
                <w:sz w:val="22"/>
                <w:szCs w:val="22"/>
              </w:rPr>
              <w:t>Administrative and funding changes to grant award</w:t>
            </w:r>
            <w:r w:rsidRPr="000D6AE9" w:rsidR="002F27D1">
              <w:rPr>
                <w:sz w:val="22"/>
                <w:szCs w:val="22"/>
              </w:rPr>
              <w:t>s</w:t>
            </w:r>
          </w:p>
        </w:tc>
        <w:tc>
          <w:tcPr>
            <w:tcW w:w="1350" w:type="dxa"/>
          </w:tcPr>
          <w:p w:rsidR="001F0737" w:rsidRPr="000D6AE9" w:rsidP="000D6AE9" w14:paraId="7ABFAE76" w14:textId="2301AC22">
            <w:pPr>
              <w:jc w:val="right"/>
              <w:rPr>
                <w:sz w:val="22"/>
                <w:szCs w:val="22"/>
              </w:rPr>
            </w:pPr>
            <w:r w:rsidRPr="000D6AE9">
              <w:rPr>
                <w:sz w:val="22"/>
                <w:szCs w:val="22"/>
              </w:rPr>
              <w:t>7,217</w:t>
            </w:r>
          </w:p>
        </w:tc>
        <w:tc>
          <w:tcPr>
            <w:tcW w:w="1170" w:type="dxa"/>
          </w:tcPr>
          <w:p w:rsidR="001F0737" w:rsidRPr="000D6AE9" w:rsidP="000D6AE9" w14:paraId="2694D45D" w14:textId="123564D4">
            <w:pPr>
              <w:jc w:val="right"/>
              <w:rPr>
                <w:sz w:val="22"/>
                <w:szCs w:val="22"/>
              </w:rPr>
            </w:pPr>
            <w:r w:rsidRPr="000D6AE9">
              <w:rPr>
                <w:sz w:val="22"/>
                <w:szCs w:val="22"/>
              </w:rPr>
              <w:t>7,217</w:t>
            </w:r>
          </w:p>
        </w:tc>
        <w:tc>
          <w:tcPr>
            <w:tcW w:w="1147" w:type="dxa"/>
          </w:tcPr>
          <w:p w:rsidR="001F0737" w:rsidRPr="000D6AE9" w:rsidP="000D6AE9" w14:paraId="36A3B20D" w14:textId="57A49D42">
            <w:pPr>
              <w:jc w:val="center"/>
              <w:rPr>
                <w:sz w:val="22"/>
                <w:szCs w:val="22"/>
              </w:rPr>
            </w:pPr>
            <w:r w:rsidRPr="000D6AE9">
              <w:rPr>
                <w:sz w:val="22"/>
                <w:szCs w:val="22"/>
              </w:rPr>
              <w:t>2</w:t>
            </w:r>
          </w:p>
        </w:tc>
        <w:tc>
          <w:tcPr>
            <w:tcW w:w="1260" w:type="dxa"/>
          </w:tcPr>
          <w:p w:rsidR="001F0737" w:rsidRPr="000D6AE9" w:rsidP="000D6AE9" w14:paraId="40F27464" w14:textId="674F8A03">
            <w:pPr>
              <w:jc w:val="right"/>
              <w:rPr>
                <w:sz w:val="22"/>
                <w:szCs w:val="22"/>
              </w:rPr>
            </w:pPr>
            <w:r w:rsidRPr="000D6AE9">
              <w:rPr>
                <w:sz w:val="22"/>
                <w:szCs w:val="22"/>
              </w:rPr>
              <w:t>14,434</w:t>
            </w:r>
          </w:p>
        </w:tc>
        <w:tc>
          <w:tcPr>
            <w:tcW w:w="990" w:type="dxa"/>
          </w:tcPr>
          <w:p w:rsidR="001F0737" w:rsidRPr="000D6AE9" w:rsidP="000D6AE9" w14:paraId="3067E7BC" w14:textId="375FD294">
            <w:pPr>
              <w:jc w:val="right"/>
              <w:rPr>
                <w:sz w:val="22"/>
                <w:szCs w:val="22"/>
              </w:rPr>
            </w:pPr>
            <w:r w:rsidRPr="000D6AE9">
              <w:rPr>
                <w:sz w:val="22"/>
                <w:szCs w:val="22"/>
              </w:rPr>
              <w:t>$3</w:t>
            </w:r>
            <w:r w:rsidRPr="000D6AE9" w:rsidR="00030954">
              <w:rPr>
                <w:sz w:val="22"/>
                <w:szCs w:val="22"/>
              </w:rPr>
              <w:t>7</w:t>
            </w:r>
            <w:r w:rsidRPr="000D6AE9">
              <w:rPr>
                <w:sz w:val="22"/>
                <w:szCs w:val="22"/>
              </w:rPr>
              <w:t>.0</w:t>
            </w:r>
            <w:r w:rsidRPr="000D6AE9" w:rsidR="00030954">
              <w:rPr>
                <w:sz w:val="22"/>
                <w:szCs w:val="22"/>
              </w:rPr>
              <w:t>9</w:t>
            </w:r>
          </w:p>
        </w:tc>
        <w:tc>
          <w:tcPr>
            <w:tcW w:w="1710" w:type="dxa"/>
          </w:tcPr>
          <w:p w:rsidR="001F0737" w:rsidRPr="000D6AE9" w:rsidP="000D6AE9" w14:paraId="1D31F51C" w14:textId="0EEB8778">
            <w:pPr>
              <w:jc w:val="right"/>
              <w:rPr>
                <w:sz w:val="22"/>
                <w:szCs w:val="22"/>
              </w:rPr>
            </w:pPr>
            <w:r w:rsidRPr="000D6AE9">
              <w:rPr>
                <w:sz w:val="22"/>
                <w:szCs w:val="22"/>
              </w:rPr>
              <w:t>$</w:t>
            </w:r>
            <w:r w:rsidRPr="000D6AE9" w:rsidR="00030954">
              <w:rPr>
                <w:sz w:val="22"/>
                <w:szCs w:val="22"/>
              </w:rPr>
              <w:t>535</w:t>
            </w:r>
            <w:r w:rsidRPr="000D6AE9">
              <w:rPr>
                <w:sz w:val="22"/>
                <w:szCs w:val="22"/>
              </w:rPr>
              <w:t>,</w:t>
            </w:r>
            <w:r w:rsidRPr="000D6AE9" w:rsidR="00030954">
              <w:rPr>
                <w:sz w:val="22"/>
                <w:szCs w:val="22"/>
              </w:rPr>
              <w:t>357.00</w:t>
            </w:r>
          </w:p>
        </w:tc>
      </w:tr>
      <w:tr w14:paraId="140DAFE4" w14:textId="77777777" w:rsidTr="00CC1DE1">
        <w:tblPrEx>
          <w:tblW w:w="9607" w:type="dxa"/>
          <w:tblInd w:w="108" w:type="dxa"/>
          <w:tblLayout w:type="fixed"/>
          <w:tblLook w:val="0000"/>
        </w:tblPrEx>
        <w:tc>
          <w:tcPr>
            <w:tcW w:w="1980" w:type="dxa"/>
          </w:tcPr>
          <w:p w:rsidR="001F0737" w:rsidRPr="000D6AE9" w:rsidP="000D6AE9" w14:paraId="0DC2A490" w14:textId="77777777">
            <w:pPr>
              <w:rPr>
                <w:sz w:val="22"/>
                <w:szCs w:val="22"/>
              </w:rPr>
            </w:pPr>
            <w:r w:rsidRPr="000D6AE9">
              <w:rPr>
                <w:sz w:val="22"/>
                <w:szCs w:val="22"/>
              </w:rPr>
              <w:t>Recordkeeping</w:t>
            </w:r>
          </w:p>
        </w:tc>
        <w:tc>
          <w:tcPr>
            <w:tcW w:w="1350" w:type="dxa"/>
          </w:tcPr>
          <w:p w:rsidR="001F0737" w:rsidRPr="000D6AE9" w:rsidP="000D6AE9" w14:paraId="7F2FE407" w14:textId="55E994A8">
            <w:pPr>
              <w:jc w:val="right"/>
              <w:rPr>
                <w:sz w:val="22"/>
                <w:szCs w:val="22"/>
              </w:rPr>
            </w:pPr>
            <w:r w:rsidRPr="000D6AE9">
              <w:rPr>
                <w:sz w:val="22"/>
                <w:szCs w:val="22"/>
              </w:rPr>
              <w:t>7,000</w:t>
            </w:r>
          </w:p>
        </w:tc>
        <w:tc>
          <w:tcPr>
            <w:tcW w:w="1170" w:type="dxa"/>
          </w:tcPr>
          <w:p w:rsidR="001F0737" w:rsidRPr="000D6AE9" w:rsidP="000D6AE9" w14:paraId="6B4BD7D4" w14:textId="23178A6F">
            <w:pPr>
              <w:jc w:val="right"/>
              <w:rPr>
                <w:sz w:val="22"/>
                <w:szCs w:val="22"/>
              </w:rPr>
            </w:pPr>
            <w:r w:rsidRPr="000D6AE9">
              <w:rPr>
                <w:sz w:val="22"/>
                <w:szCs w:val="22"/>
              </w:rPr>
              <w:t>7,000</w:t>
            </w:r>
          </w:p>
        </w:tc>
        <w:tc>
          <w:tcPr>
            <w:tcW w:w="1147" w:type="dxa"/>
          </w:tcPr>
          <w:p w:rsidR="001F0737" w:rsidRPr="000D6AE9" w:rsidP="000D6AE9" w14:paraId="57A3C072" w14:textId="6131D516">
            <w:pPr>
              <w:jc w:val="center"/>
              <w:rPr>
                <w:sz w:val="22"/>
                <w:szCs w:val="22"/>
              </w:rPr>
            </w:pPr>
            <w:r w:rsidRPr="000D6AE9">
              <w:rPr>
                <w:sz w:val="22"/>
                <w:szCs w:val="22"/>
              </w:rPr>
              <w:t>10</w:t>
            </w:r>
          </w:p>
        </w:tc>
        <w:tc>
          <w:tcPr>
            <w:tcW w:w="1260" w:type="dxa"/>
          </w:tcPr>
          <w:p w:rsidR="001F0737" w:rsidRPr="000D6AE9" w:rsidP="000D6AE9" w14:paraId="401ACCED" w14:textId="73967020">
            <w:pPr>
              <w:jc w:val="right"/>
              <w:rPr>
                <w:sz w:val="22"/>
                <w:szCs w:val="22"/>
              </w:rPr>
            </w:pPr>
            <w:r w:rsidRPr="000D6AE9">
              <w:rPr>
                <w:sz w:val="22"/>
                <w:szCs w:val="22"/>
              </w:rPr>
              <w:t>70,000</w:t>
            </w:r>
          </w:p>
        </w:tc>
        <w:tc>
          <w:tcPr>
            <w:tcW w:w="990" w:type="dxa"/>
          </w:tcPr>
          <w:p w:rsidR="001F0737" w:rsidRPr="000D6AE9" w:rsidP="000D6AE9" w14:paraId="5F346F12" w14:textId="1E7EE64B">
            <w:pPr>
              <w:jc w:val="right"/>
              <w:rPr>
                <w:sz w:val="22"/>
                <w:szCs w:val="22"/>
              </w:rPr>
            </w:pPr>
            <w:r w:rsidRPr="000D6AE9">
              <w:rPr>
                <w:sz w:val="22"/>
                <w:szCs w:val="22"/>
              </w:rPr>
              <w:t>$3</w:t>
            </w:r>
            <w:r w:rsidRPr="000D6AE9" w:rsidR="00030954">
              <w:rPr>
                <w:sz w:val="22"/>
                <w:szCs w:val="22"/>
              </w:rPr>
              <w:t>7</w:t>
            </w:r>
            <w:r w:rsidRPr="000D6AE9">
              <w:rPr>
                <w:sz w:val="22"/>
                <w:szCs w:val="22"/>
              </w:rPr>
              <w:t>.0</w:t>
            </w:r>
            <w:r w:rsidRPr="000D6AE9" w:rsidR="00030954">
              <w:rPr>
                <w:sz w:val="22"/>
                <w:szCs w:val="22"/>
              </w:rPr>
              <w:t>9</w:t>
            </w:r>
          </w:p>
        </w:tc>
        <w:tc>
          <w:tcPr>
            <w:tcW w:w="1710" w:type="dxa"/>
          </w:tcPr>
          <w:p w:rsidR="001F0737" w:rsidRPr="000D6AE9" w:rsidP="0062281A" w14:paraId="083C802B" w14:textId="0E048FE8">
            <w:pPr>
              <w:jc w:val="right"/>
              <w:rPr>
                <w:sz w:val="22"/>
                <w:szCs w:val="22"/>
              </w:rPr>
            </w:pPr>
            <w:r w:rsidRPr="000D6AE9">
              <w:rPr>
                <w:sz w:val="22"/>
                <w:szCs w:val="22"/>
              </w:rPr>
              <w:t>$2,</w:t>
            </w:r>
            <w:r w:rsidRPr="000D6AE9" w:rsidR="00030954">
              <w:rPr>
                <w:sz w:val="22"/>
                <w:szCs w:val="22"/>
              </w:rPr>
              <w:t>596</w:t>
            </w:r>
            <w:r w:rsidRPr="000D6AE9">
              <w:rPr>
                <w:sz w:val="22"/>
                <w:szCs w:val="22"/>
              </w:rPr>
              <w:t xml:space="preserve">,300.00 </w:t>
            </w:r>
          </w:p>
        </w:tc>
      </w:tr>
      <w:tr w14:paraId="35598E80" w14:textId="77777777" w:rsidTr="00CC1DE1">
        <w:tblPrEx>
          <w:tblW w:w="9607" w:type="dxa"/>
          <w:tblInd w:w="108" w:type="dxa"/>
          <w:tblLayout w:type="fixed"/>
          <w:tblLook w:val="0000"/>
        </w:tblPrEx>
        <w:tc>
          <w:tcPr>
            <w:tcW w:w="1980" w:type="dxa"/>
          </w:tcPr>
          <w:p w:rsidR="0082054D" w:rsidRPr="000D6AE9" w:rsidP="000D6AE9" w14:paraId="6C216F21" w14:textId="77777777">
            <w:pPr>
              <w:jc w:val="center"/>
              <w:rPr>
                <w:b/>
                <w:sz w:val="22"/>
                <w:szCs w:val="22"/>
              </w:rPr>
            </w:pPr>
            <w:r w:rsidRPr="000D6AE9">
              <w:rPr>
                <w:b/>
                <w:sz w:val="22"/>
                <w:szCs w:val="22"/>
              </w:rPr>
              <w:t>TOTALS</w:t>
            </w:r>
          </w:p>
        </w:tc>
        <w:tc>
          <w:tcPr>
            <w:tcW w:w="1350" w:type="dxa"/>
          </w:tcPr>
          <w:p w:rsidR="0082054D" w:rsidRPr="000D6AE9" w:rsidP="000D6AE9" w14:paraId="59B132C2" w14:textId="0421D319">
            <w:pPr>
              <w:jc w:val="center"/>
              <w:rPr>
                <w:b/>
                <w:sz w:val="22"/>
                <w:szCs w:val="22"/>
              </w:rPr>
            </w:pPr>
            <w:r w:rsidRPr="000D6AE9">
              <w:rPr>
                <w:b/>
                <w:sz w:val="22"/>
                <w:szCs w:val="22"/>
              </w:rPr>
              <w:t>39,217</w:t>
            </w:r>
          </w:p>
        </w:tc>
        <w:tc>
          <w:tcPr>
            <w:tcW w:w="1170" w:type="dxa"/>
          </w:tcPr>
          <w:p w:rsidR="0082054D" w:rsidRPr="000D6AE9" w:rsidP="000D6AE9" w14:paraId="7DF51A5C" w14:textId="02D3B1DA">
            <w:pPr>
              <w:jc w:val="right"/>
              <w:rPr>
                <w:b/>
                <w:sz w:val="22"/>
                <w:szCs w:val="22"/>
              </w:rPr>
            </w:pPr>
            <w:r w:rsidRPr="000D6AE9">
              <w:rPr>
                <w:b/>
                <w:sz w:val="22"/>
                <w:szCs w:val="22"/>
              </w:rPr>
              <w:t>60,217</w:t>
            </w:r>
          </w:p>
        </w:tc>
        <w:tc>
          <w:tcPr>
            <w:tcW w:w="1147" w:type="dxa"/>
          </w:tcPr>
          <w:p w:rsidR="0082054D" w:rsidRPr="000D6AE9" w:rsidP="000D6AE9" w14:paraId="3F012C1D" w14:textId="67B973A6">
            <w:pPr>
              <w:jc w:val="center"/>
              <w:rPr>
                <w:b/>
                <w:color w:val="000000"/>
                <w:sz w:val="22"/>
                <w:szCs w:val="22"/>
              </w:rPr>
            </w:pPr>
            <w:r w:rsidRPr="000D6AE9">
              <w:rPr>
                <w:b/>
                <w:color w:val="000000"/>
                <w:sz w:val="22"/>
                <w:szCs w:val="22"/>
              </w:rPr>
              <w:t>28.43</w:t>
            </w:r>
          </w:p>
        </w:tc>
        <w:tc>
          <w:tcPr>
            <w:tcW w:w="1260" w:type="dxa"/>
          </w:tcPr>
          <w:p w:rsidR="0082054D" w:rsidRPr="000D6AE9" w:rsidP="000D6AE9" w14:paraId="2B063592" w14:textId="031EECC5">
            <w:pPr>
              <w:jc w:val="right"/>
              <w:rPr>
                <w:b/>
                <w:sz w:val="22"/>
                <w:szCs w:val="22"/>
              </w:rPr>
            </w:pPr>
            <w:r w:rsidRPr="000D6AE9">
              <w:rPr>
                <w:b/>
                <w:sz w:val="22"/>
                <w:szCs w:val="22"/>
              </w:rPr>
              <w:t>1</w:t>
            </w:r>
            <w:r w:rsidRPr="000D6AE9" w:rsidR="00AB0537">
              <w:rPr>
                <w:b/>
                <w:sz w:val="22"/>
                <w:szCs w:val="22"/>
              </w:rPr>
              <w:t>,</w:t>
            </w:r>
            <w:r w:rsidRPr="000D6AE9">
              <w:rPr>
                <w:b/>
                <w:sz w:val="22"/>
                <w:szCs w:val="22"/>
              </w:rPr>
              <w:t>712</w:t>
            </w:r>
            <w:r w:rsidRPr="000D6AE9" w:rsidR="00D63BD9">
              <w:rPr>
                <w:b/>
                <w:sz w:val="22"/>
                <w:szCs w:val="22"/>
              </w:rPr>
              <w:t>,</w:t>
            </w:r>
            <w:r w:rsidRPr="000D6AE9">
              <w:rPr>
                <w:b/>
                <w:sz w:val="22"/>
                <w:szCs w:val="22"/>
              </w:rPr>
              <w:t>434</w:t>
            </w:r>
          </w:p>
        </w:tc>
        <w:tc>
          <w:tcPr>
            <w:tcW w:w="990" w:type="dxa"/>
          </w:tcPr>
          <w:p w:rsidR="0082054D" w:rsidRPr="000D6AE9" w:rsidP="000D6AE9" w14:paraId="2841DE22" w14:textId="17508756">
            <w:pPr>
              <w:jc w:val="right"/>
              <w:rPr>
                <w:b/>
                <w:sz w:val="22"/>
                <w:szCs w:val="22"/>
              </w:rPr>
            </w:pPr>
            <w:r w:rsidRPr="000D6AE9">
              <w:rPr>
                <w:b/>
                <w:sz w:val="22"/>
                <w:szCs w:val="22"/>
              </w:rPr>
              <w:t>3</w:t>
            </w:r>
            <w:r w:rsidRPr="000D6AE9" w:rsidR="00C95724">
              <w:rPr>
                <w:b/>
                <w:sz w:val="22"/>
                <w:szCs w:val="22"/>
              </w:rPr>
              <w:t>7.</w:t>
            </w:r>
            <w:r w:rsidRPr="000D6AE9">
              <w:rPr>
                <w:b/>
                <w:sz w:val="22"/>
                <w:szCs w:val="22"/>
              </w:rPr>
              <w:t>0</w:t>
            </w:r>
            <w:r w:rsidRPr="000D6AE9" w:rsidR="00C95724">
              <w:rPr>
                <w:b/>
                <w:sz w:val="22"/>
                <w:szCs w:val="22"/>
              </w:rPr>
              <w:t>9</w:t>
            </w:r>
          </w:p>
        </w:tc>
        <w:tc>
          <w:tcPr>
            <w:tcW w:w="1710" w:type="dxa"/>
          </w:tcPr>
          <w:p w:rsidR="0082054D" w:rsidRPr="000D6AE9" w:rsidP="0062281A" w14:paraId="774536F0" w14:textId="6AB688E9">
            <w:pPr>
              <w:jc w:val="right"/>
              <w:rPr>
                <w:b/>
                <w:sz w:val="22"/>
                <w:szCs w:val="22"/>
              </w:rPr>
            </w:pPr>
            <w:r w:rsidRPr="000D6AE9">
              <w:rPr>
                <w:b/>
                <w:sz w:val="22"/>
                <w:szCs w:val="22"/>
              </w:rPr>
              <w:t>$</w:t>
            </w:r>
            <w:r w:rsidRPr="000D6AE9" w:rsidR="00C95724">
              <w:rPr>
                <w:b/>
                <w:sz w:val="22"/>
                <w:szCs w:val="22"/>
              </w:rPr>
              <w:t>63,514,177.00</w:t>
            </w:r>
            <w:r w:rsidRPr="000D6AE9">
              <w:rPr>
                <w:b/>
                <w:sz w:val="22"/>
                <w:szCs w:val="22"/>
              </w:rPr>
              <w:t xml:space="preserve"> </w:t>
            </w:r>
          </w:p>
        </w:tc>
      </w:tr>
    </w:tbl>
    <w:p w:rsidR="008B7580" w:rsidRPr="000D6AE9" w:rsidP="000D6AE9" w14:paraId="30074E83" w14:textId="77777777">
      <w:pPr>
        <w:rPr>
          <w:sz w:val="22"/>
          <w:szCs w:val="22"/>
        </w:rPr>
      </w:pPr>
    </w:p>
    <w:p w:rsidR="00C1445F" w:rsidRPr="000D6AE9" w:rsidP="000D6AE9" w14:paraId="47BC91E7" w14:textId="5BF062B3">
      <w:pPr>
        <w:rPr>
          <w:b/>
          <w:sz w:val="22"/>
          <w:szCs w:val="22"/>
        </w:rPr>
      </w:pPr>
      <w:r w:rsidRPr="000D6AE9">
        <w:rPr>
          <w:sz w:val="22"/>
          <w:szCs w:val="22"/>
        </w:rPr>
        <w:t xml:space="preserve">There are approximately </w:t>
      </w:r>
      <w:r w:rsidRPr="000D6AE9" w:rsidR="00C95724">
        <w:rPr>
          <w:sz w:val="22"/>
          <w:szCs w:val="22"/>
        </w:rPr>
        <w:t>7</w:t>
      </w:r>
      <w:r w:rsidRPr="000D6AE9" w:rsidR="00FA0FBD">
        <w:rPr>
          <w:sz w:val="22"/>
          <w:szCs w:val="22"/>
        </w:rPr>
        <w:t>,</w:t>
      </w:r>
      <w:r w:rsidRPr="000D6AE9" w:rsidR="00C95724">
        <w:rPr>
          <w:sz w:val="22"/>
          <w:szCs w:val="22"/>
        </w:rPr>
        <w:t>0</w:t>
      </w:r>
      <w:r w:rsidRPr="000D6AE9" w:rsidR="00EB602F">
        <w:rPr>
          <w:sz w:val="22"/>
          <w:szCs w:val="22"/>
        </w:rPr>
        <w:t>00</w:t>
      </w:r>
      <w:r w:rsidRPr="000D6AE9">
        <w:rPr>
          <w:sz w:val="22"/>
          <w:szCs w:val="22"/>
        </w:rPr>
        <w:t xml:space="preserve"> </w:t>
      </w:r>
      <w:r w:rsidRPr="000D6AE9" w:rsidR="00FA0FBD">
        <w:rPr>
          <w:sz w:val="22"/>
          <w:szCs w:val="22"/>
        </w:rPr>
        <w:t>financial assistance awards</w:t>
      </w:r>
      <w:r w:rsidRPr="000D6AE9">
        <w:rPr>
          <w:sz w:val="22"/>
          <w:szCs w:val="22"/>
        </w:rPr>
        <w:t xml:space="preserve"> open at any one time.  It is estimated that </w:t>
      </w:r>
      <w:r w:rsidRPr="000D6AE9" w:rsidR="00DE181F">
        <w:rPr>
          <w:sz w:val="22"/>
          <w:szCs w:val="22"/>
        </w:rPr>
        <w:t xml:space="preserve">out </w:t>
      </w:r>
      <w:r w:rsidRPr="000D6AE9" w:rsidR="00DE7601">
        <w:rPr>
          <w:sz w:val="22"/>
          <w:szCs w:val="22"/>
        </w:rPr>
        <w:t xml:space="preserve">of the </w:t>
      </w:r>
      <w:r w:rsidRPr="000D6AE9" w:rsidR="00B31043">
        <w:rPr>
          <w:sz w:val="22"/>
          <w:szCs w:val="22"/>
        </w:rPr>
        <w:t xml:space="preserve">approximately </w:t>
      </w:r>
      <w:r w:rsidRPr="000D6AE9" w:rsidR="00DC288D">
        <w:rPr>
          <w:sz w:val="22"/>
          <w:szCs w:val="22"/>
        </w:rPr>
        <w:t>11,000</w:t>
      </w:r>
      <w:r w:rsidRPr="000D6AE9" w:rsidR="00B31043">
        <w:rPr>
          <w:sz w:val="22"/>
          <w:szCs w:val="22"/>
        </w:rPr>
        <w:t xml:space="preserve"> </w:t>
      </w:r>
      <w:r w:rsidRPr="000D6AE9" w:rsidR="00DE7601">
        <w:rPr>
          <w:sz w:val="22"/>
          <w:szCs w:val="22"/>
        </w:rPr>
        <w:t>proposals received each year</w:t>
      </w:r>
      <w:r w:rsidRPr="000D6AE9" w:rsidR="00565392">
        <w:rPr>
          <w:sz w:val="22"/>
          <w:szCs w:val="22"/>
        </w:rPr>
        <w:t>,</w:t>
      </w:r>
      <w:r w:rsidRPr="000D6AE9" w:rsidR="00DE7601">
        <w:rPr>
          <w:sz w:val="22"/>
          <w:szCs w:val="22"/>
        </w:rPr>
        <w:t xml:space="preserve"> NASA awards </w:t>
      </w:r>
      <w:r w:rsidRPr="000D6AE9" w:rsidR="001C0BAE">
        <w:rPr>
          <w:sz w:val="22"/>
          <w:szCs w:val="22"/>
        </w:rPr>
        <w:t xml:space="preserve">approximately </w:t>
      </w:r>
      <w:r w:rsidRPr="000D6AE9" w:rsidR="00C95724">
        <w:rPr>
          <w:sz w:val="22"/>
          <w:szCs w:val="22"/>
        </w:rPr>
        <w:t>2</w:t>
      </w:r>
      <w:r w:rsidRPr="000D6AE9" w:rsidR="001C0BAE">
        <w:rPr>
          <w:sz w:val="22"/>
          <w:szCs w:val="22"/>
        </w:rPr>
        <w:t>,</w:t>
      </w:r>
      <w:r w:rsidRPr="000D6AE9" w:rsidR="00C95724">
        <w:rPr>
          <w:sz w:val="22"/>
          <w:szCs w:val="22"/>
        </w:rPr>
        <w:t>228</w:t>
      </w:r>
      <w:r w:rsidRPr="000D6AE9" w:rsidR="001C0BAE">
        <w:rPr>
          <w:sz w:val="22"/>
          <w:szCs w:val="22"/>
        </w:rPr>
        <w:t xml:space="preserve"> </w:t>
      </w:r>
      <w:r w:rsidRPr="000D6AE9" w:rsidR="00DE7601">
        <w:rPr>
          <w:sz w:val="22"/>
          <w:szCs w:val="22"/>
        </w:rPr>
        <w:t xml:space="preserve">new awards. The period of performance </w:t>
      </w:r>
      <w:r w:rsidRPr="000D6AE9" w:rsidR="00565392">
        <w:rPr>
          <w:sz w:val="22"/>
          <w:szCs w:val="22"/>
        </w:rPr>
        <w:t xml:space="preserve">for these financial assistance awards </w:t>
      </w:r>
      <w:r w:rsidRPr="000D6AE9" w:rsidR="00DE7601">
        <w:rPr>
          <w:sz w:val="22"/>
          <w:szCs w:val="22"/>
        </w:rPr>
        <w:t>is usu</w:t>
      </w:r>
      <w:r w:rsidRPr="000D6AE9" w:rsidR="00DE181F">
        <w:rPr>
          <w:sz w:val="22"/>
          <w:szCs w:val="22"/>
        </w:rPr>
        <w:t>all</w:t>
      </w:r>
      <w:r w:rsidRPr="000D6AE9" w:rsidR="00DE7601">
        <w:rPr>
          <w:sz w:val="22"/>
          <w:szCs w:val="22"/>
        </w:rPr>
        <w:t>y three to five years.</w:t>
      </w:r>
      <w:r w:rsidRPr="000D6AE9" w:rsidR="00143FC8">
        <w:rPr>
          <w:sz w:val="22"/>
          <w:szCs w:val="22"/>
        </w:rPr>
        <w:t xml:space="preserve">  </w:t>
      </w:r>
      <w:r w:rsidRPr="000D6AE9" w:rsidR="00C95724">
        <w:rPr>
          <w:sz w:val="22"/>
          <w:szCs w:val="22"/>
        </w:rPr>
        <w:t>NASA award</w:t>
      </w:r>
      <w:r w:rsidRPr="000D6AE9" w:rsidR="00FA0FBD">
        <w:rPr>
          <w:sz w:val="22"/>
          <w:szCs w:val="22"/>
        </w:rPr>
        <w:t xml:space="preserve"> recipients submit </w:t>
      </w:r>
      <w:r w:rsidRPr="000D6AE9" w:rsidR="00B10EF8">
        <w:rPr>
          <w:sz w:val="22"/>
          <w:szCs w:val="22"/>
        </w:rPr>
        <w:t xml:space="preserve">Federal </w:t>
      </w:r>
      <w:r w:rsidRPr="000D6AE9">
        <w:rPr>
          <w:sz w:val="22"/>
          <w:szCs w:val="22"/>
        </w:rPr>
        <w:t>Financial</w:t>
      </w:r>
      <w:r w:rsidRPr="000D6AE9" w:rsidR="00554A7E">
        <w:rPr>
          <w:sz w:val="22"/>
          <w:szCs w:val="22"/>
        </w:rPr>
        <w:t xml:space="preserve"> Reports (SF 425)</w:t>
      </w:r>
      <w:r w:rsidRPr="000D6AE9" w:rsidR="00C25CD5">
        <w:rPr>
          <w:sz w:val="22"/>
          <w:szCs w:val="22"/>
        </w:rPr>
        <w:t xml:space="preserve"> </w:t>
      </w:r>
      <w:r w:rsidRPr="000D6AE9" w:rsidR="001C0BAE">
        <w:rPr>
          <w:sz w:val="22"/>
          <w:szCs w:val="22"/>
        </w:rPr>
        <w:t xml:space="preserve">each </w:t>
      </w:r>
      <w:r w:rsidRPr="000D6AE9" w:rsidR="00C25CD5">
        <w:rPr>
          <w:sz w:val="22"/>
          <w:szCs w:val="22"/>
        </w:rPr>
        <w:t>quarter</w:t>
      </w:r>
      <w:r w:rsidRPr="000D6AE9" w:rsidR="001C0BAE">
        <w:rPr>
          <w:sz w:val="22"/>
          <w:szCs w:val="22"/>
        </w:rPr>
        <w:t xml:space="preserve"> </w:t>
      </w:r>
      <w:r w:rsidRPr="000D6AE9" w:rsidR="00FA0FBD">
        <w:rPr>
          <w:sz w:val="22"/>
          <w:szCs w:val="22"/>
        </w:rPr>
        <w:t xml:space="preserve">to </w:t>
      </w:r>
      <w:r w:rsidRPr="000D6AE9" w:rsidR="001C0BAE">
        <w:rPr>
          <w:sz w:val="22"/>
          <w:szCs w:val="22"/>
        </w:rPr>
        <w:t>PMS</w:t>
      </w:r>
      <w:r w:rsidRPr="000D6AE9" w:rsidR="00C25CD5">
        <w:rPr>
          <w:sz w:val="22"/>
          <w:szCs w:val="22"/>
        </w:rPr>
        <w:t xml:space="preserve">. </w:t>
      </w:r>
      <w:r w:rsidRPr="000D6AE9">
        <w:rPr>
          <w:sz w:val="22"/>
          <w:szCs w:val="22"/>
        </w:rPr>
        <w:t xml:space="preserve"> </w:t>
      </w:r>
      <w:r w:rsidRPr="000D6AE9" w:rsidR="00554A7E">
        <w:rPr>
          <w:sz w:val="22"/>
          <w:szCs w:val="22"/>
        </w:rPr>
        <w:t>Performance</w:t>
      </w:r>
      <w:r w:rsidRPr="000D6AE9" w:rsidR="00C95724">
        <w:rPr>
          <w:sz w:val="22"/>
          <w:szCs w:val="22"/>
        </w:rPr>
        <w:t>, property and patent reports are filed annually. Historical rec</w:t>
      </w:r>
      <w:r w:rsidRPr="000D6AE9" w:rsidR="00995A8D">
        <w:rPr>
          <w:sz w:val="22"/>
          <w:szCs w:val="22"/>
        </w:rPr>
        <w:t>ords indicate that on average</w:t>
      </w:r>
      <w:r w:rsidRPr="000D6AE9" w:rsidR="00A93729">
        <w:rPr>
          <w:sz w:val="22"/>
          <w:szCs w:val="22"/>
        </w:rPr>
        <w:t xml:space="preserve"> </w:t>
      </w:r>
      <w:r w:rsidRPr="000D6AE9" w:rsidR="00C95724">
        <w:rPr>
          <w:sz w:val="22"/>
          <w:szCs w:val="22"/>
        </w:rPr>
        <w:t>7,217</w:t>
      </w:r>
      <w:r w:rsidRPr="000D6AE9">
        <w:rPr>
          <w:sz w:val="22"/>
          <w:szCs w:val="22"/>
        </w:rPr>
        <w:t xml:space="preserve"> </w:t>
      </w:r>
      <w:r w:rsidRPr="000D6AE9" w:rsidR="00C95724">
        <w:rPr>
          <w:sz w:val="22"/>
          <w:szCs w:val="22"/>
        </w:rPr>
        <w:t xml:space="preserve">administrative and funding </w:t>
      </w:r>
      <w:r w:rsidRPr="000D6AE9">
        <w:rPr>
          <w:sz w:val="22"/>
          <w:szCs w:val="22"/>
        </w:rPr>
        <w:t>changes</w:t>
      </w:r>
      <w:r w:rsidRPr="000D6AE9">
        <w:rPr>
          <w:b/>
          <w:sz w:val="22"/>
          <w:szCs w:val="22"/>
        </w:rPr>
        <w:t xml:space="preserve"> </w:t>
      </w:r>
      <w:r w:rsidRPr="000D6AE9">
        <w:rPr>
          <w:sz w:val="22"/>
          <w:szCs w:val="22"/>
        </w:rPr>
        <w:t>are submitted annually.</w:t>
      </w:r>
    </w:p>
    <w:p w:rsidR="00DF1317" w:rsidRPr="000D6AE9" w:rsidP="000D6AE9" w14:paraId="283616BF" w14:textId="77777777">
      <w:pPr>
        <w:rPr>
          <w:b/>
          <w:sz w:val="22"/>
          <w:szCs w:val="22"/>
        </w:rPr>
      </w:pPr>
    </w:p>
    <w:p w:rsidR="007D0395" w:rsidRPr="000D6AE9" w:rsidP="000D6AE9" w14:paraId="3E137055" w14:textId="77777777">
      <w:pPr>
        <w:rPr>
          <w:b/>
          <w:bCs/>
          <w:iCs/>
          <w:sz w:val="22"/>
          <w:szCs w:val="22"/>
        </w:rPr>
      </w:pPr>
      <w:r w:rsidRPr="000D6AE9">
        <w:rPr>
          <w:b/>
          <w:bCs/>
          <w:iCs/>
          <w:sz w:val="22"/>
          <w:szCs w:val="22"/>
        </w:rPr>
        <w:t>13.</w:t>
      </w:r>
      <w:r w:rsidRPr="000D6AE9" w:rsidR="00335ED6">
        <w:rPr>
          <w:b/>
          <w:bCs/>
          <w:iCs/>
          <w:sz w:val="22"/>
          <w:szCs w:val="22"/>
        </w:rPr>
        <w:t xml:space="preserve">  </w:t>
      </w:r>
      <w:r w:rsidRPr="000D6AE9">
        <w:rPr>
          <w:b/>
          <w:bCs/>
          <w:iCs/>
          <w:sz w:val="22"/>
          <w:szCs w:val="22"/>
        </w:rPr>
        <w:t>Provide an estimate of the total annual cost burden to respondents or record</w:t>
      </w:r>
      <w:r w:rsidRPr="000D6AE9" w:rsidR="00335ED6">
        <w:rPr>
          <w:b/>
          <w:bCs/>
          <w:iCs/>
          <w:sz w:val="22"/>
          <w:szCs w:val="22"/>
        </w:rPr>
        <w:t xml:space="preserve"> </w:t>
      </w:r>
      <w:r w:rsidRPr="000D6AE9">
        <w:rPr>
          <w:b/>
          <w:bCs/>
          <w:iCs/>
          <w:sz w:val="22"/>
          <w:szCs w:val="22"/>
        </w:rPr>
        <w:t>keepers</w:t>
      </w:r>
      <w:r w:rsidRPr="000D6AE9" w:rsidR="000C77E4">
        <w:rPr>
          <w:b/>
          <w:bCs/>
          <w:iCs/>
          <w:sz w:val="22"/>
          <w:szCs w:val="22"/>
        </w:rPr>
        <w:t xml:space="preserve"> </w:t>
      </w:r>
      <w:r w:rsidRPr="000D6AE9">
        <w:rPr>
          <w:b/>
          <w:bCs/>
          <w:iCs/>
          <w:sz w:val="22"/>
          <w:szCs w:val="22"/>
        </w:rPr>
        <w:t>resulting from the collection of information.</w:t>
      </w:r>
    </w:p>
    <w:p w:rsidR="00C1445F" w:rsidRPr="000D6AE9" w:rsidP="000D6AE9" w14:paraId="0AC949A5" w14:textId="77777777">
      <w:pPr>
        <w:pStyle w:val="Style1"/>
        <w:adjustRightInd/>
        <w:ind w:left="720"/>
        <w:rPr>
          <w:sz w:val="22"/>
          <w:szCs w:val="22"/>
        </w:rPr>
      </w:pPr>
    </w:p>
    <w:p w:rsidR="006E1110" w:rsidRPr="000D6AE9" w:rsidP="000D6AE9" w14:paraId="671AED78" w14:textId="5A31F7E3">
      <w:pPr>
        <w:rPr>
          <w:sz w:val="22"/>
          <w:szCs w:val="22"/>
        </w:rPr>
      </w:pPr>
      <w:r w:rsidRPr="000D6AE9">
        <w:rPr>
          <w:sz w:val="22"/>
          <w:szCs w:val="22"/>
        </w:rPr>
        <w:t>Total annual co</w:t>
      </w:r>
      <w:r w:rsidRPr="000D6AE9" w:rsidR="00DF1317">
        <w:rPr>
          <w:sz w:val="22"/>
          <w:szCs w:val="22"/>
        </w:rPr>
        <w:t xml:space="preserve">st burden is estimated to be </w:t>
      </w:r>
      <w:r w:rsidRPr="000D6AE9" w:rsidR="001C654E">
        <w:rPr>
          <w:sz w:val="22"/>
          <w:szCs w:val="22"/>
        </w:rPr>
        <w:t>$</w:t>
      </w:r>
      <w:r w:rsidRPr="000D6AE9" w:rsidR="00C95724">
        <w:rPr>
          <w:sz w:val="22"/>
          <w:szCs w:val="22"/>
        </w:rPr>
        <w:t>63</w:t>
      </w:r>
      <w:r w:rsidRPr="000D6AE9" w:rsidR="001C654E">
        <w:rPr>
          <w:sz w:val="22"/>
          <w:szCs w:val="22"/>
        </w:rPr>
        <w:t>,</w:t>
      </w:r>
      <w:r w:rsidRPr="000D6AE9" w:rsidR="00C95724">
        <w:rPr>
          <w:sz w:val="22"/>
          <w:szCs w:val="22"/>
        </w:rPr>
        <w:t>514</w:t>
      </w:r>
      <w:r w:rsidRPr="000D6AE9" w:rsidR="001C654E">
        <w:rPr>
          <w:sz w:val="22"/>
          <w:szCs w:val="22"/>
        </w:rPr>
        <w:t>,</w:t>
      </w:r>
      <w:r w:rsidRPr="000D6AE9" w:rsidR="00C95724">
        <w:rPr>
          <w:sz w:val="22"/>
          <w:szCs w:val="22"/>
        </w:rPr>
        <w:t>177</w:t>
      </w:r>
      <w:r w:rsidRPr="000D6AE9" w:rsidR="001C654E">
        <w:rPr>
          <w:sz w:val="22"/>
          <w:szCs w:val="22"/>
        </w:rPr>
        <w:t>.</w:t>
      </w:r>
      <w:r w:rsidRPr="000D6AE9" w:rsidR="00C95724">
        <w:rPr>
          <w:sz w:val="22"/>
          <w:szCs w:val="22"/>
        </w:rPr>
        <w:t>0</w:t>
      </w:r>
      <w:r w:rsidRPr="000D6AE9" w:rsidR="001C654E">
        <w:rPr>
          <w:sz w:val="22"/>
          <w:szCs w:val="22"/>
        </w:rPr>
        <w:t>0</w:t>
      </w:r>
      <w:r w:rsidRPr="000D6AE9" w:rsidR="00DF1317">
        <w:rPr>
          <w:sz w:val="22"/>
          <w:szCs w:val="22"/>
        </w:rPr>
        <w:t xml:space="preserve">.  This figure is </w:t>
      </w:r>
      <w:r w:rsidRPr="000D6AE9" w:rsidR="00315C88">
        <w:rPr>
          <w:sz w:val="22"/>
          <w:szCs w:val="22"/>
        </w:rPr>
        <w:t>derived by applying</w:t>
      </w:r>
      <w:r w:rsidRPr="000D6AE9" w:rsidR="00DF1317">
        <w:rPr>
          <w:sz w:val="22"/>
          <w:szCs w:val="22"/>
        </w:rPr>
        <w:t xml:space="preserve"> a burdened labor rate of $</w:t>
      </w:r>
      <w:r w:rsidRPr="000D6AE9" w:rsidR="00D63BD9">
        <w:rPr>
          <w:sz w:val="22"/>
          <w:szCs w:val="22"/>
        </w:rPr>
        <w:t>37</w:t>
      </w:r>
      <w:r w:rsidRPr="000D6AE9" w:rsidR="001C654E">
        <w:rPr>
          <w:sz w:val="22"/>
          <w:szCs w:val="22"/>
        </w:rPr>
        <w:t>.0</w:t>
      </w:r>
      <w:r w:rsidRPr="000D6AE9" w:rsidR="00D63BD9">
        <w:rPr>
          <w:sz w:val="22"/>
          <w:szCs w:val="22"/>
        </w:rPr>
        <w:t>9</w:t>
      </w:r>
      <w:r w:rsidRPr="000D6AE9" w:rsidR="00DE181F">
        <w:rPr>
          <w:sz w:val="22"/>
          <w:szCs w:val="22"/>
        </w:rPr>
        <w:t xml:space="preserve"> </w:t>
      </w:r>
      <w:r w:rsidRPr="000D6AE9" w:rsidR="00C1445F">
        <w:rPr>
          <w:sz w:val="22"/>
          <w:szCs w:val="22"/>
        </w:rPr>
        <w:t xml:space="preserve">to the total </w:t>
      </w:r>
      <w:r w:rsidRPr="000D6AE9" w:rsidR="00315C88">
        <w:rPr>
          <w:sz w:val="22"/>
          <w:szCs w:val="22"/>
        </w:rPr>
        <w:t xml:space="preserve">number of </w:t>
      </w:r>
      <w:r w:rsidRPr="000D6AE9" w:rsidR="00D63BD9">
        <w:rPr>
          <w:sz w:val="22"/>
          <w:szCs w:val="22"/>
        </w:rPr>
        <w:t>1,712,434</w:t>
      </w:r>
      <w:r w:rsidRPr="000D6AE9" w:rsidR="003A7A8D">
        <w:rPr>
          <w:sz w:val="22"/>
          <w:szCs w:val="22"/>
        </w:rPr>
        <w:t xml:space="preserve"> </w:t>
      </w:r>
      <w:r w:rsidRPr="000D6AE9" w:rsidR="00C1445F">
        <w:rPr>
          <w:sz w:val="22"/>
          <w:szCs w:val="22"/>
        </w:rPr>
        <w:t>hours</w:t>
      </w:r>
      <w:r w:rsidRPr="000D6AE9" w:rsidR="00DF1317">
        <w:rPr>
          <w:sz w:val="22"/>
          <w:szCs w:val="22"/>
        </w:rPr>
        <w:t xml:space="preserve">.  This rate </w:t>
      </w:r>
      <w:r w:rsidRPr="000D6AE9" w:rsidR="00315C88">
        <w:rPr>
          <w:sz w:val="22"/>
          <w:szCs w:val="22"/>
        </w:rPr>
        <w:t>of $</w:t>
      </w:r>
      <w:r w:rsidRPr="000D6AE9" w:rsidR="001C654E">
        <w:rPr>
          <w:sz w:val="22"/>
          <w:szCs w:val="22"/>
        </w:rPr>
        <w:t>3</w:t>
      </w:r>
      <w:r w:rsidRPr="000D6AE9" w:rsidR="00D63BD9">
        <w:rPr>
          <w:sz w:val="22"/>
          <w:szCs w:val="22"/>
        </w:rPr>
        <w:t>7</w:t>
      </w:r>
      <w:r w:rsidRPr="000D6AE9" w:rsidR="001C654E">
        <w:rPr>
          <w:sz w:val="22"/>
          <w:szCs w:val="22"/>
        </w:rPr>
        <w:t>.0</w:t>
      </w:r>
      <w:r w:rsidRPr="000D6AE9" w:rsidR="00D63BD9">
        <w:rPr>
          <w:sz w:val="22"/>
          <w:szCs w:val="22"/>
        </w:rPr>
        <w:t>9</w:t>
      </w:r>
      <w:r w:rsidRPr="000D6AE9" w:rsidR="00315C88">
        <w:rPr>
          <w:sz w:val="22"/>
          <w:szCs w:val="22"/>
        </w:rPr>
        <w:t xml:space="preserve"> </w:t>
      </w:r>
      <w:r w:rsidRPr="000D6AE9" w:rsidR="00DF1317">
        <w:rPr>
          <w:sz w:val="22"/>
          <w:szCs w:val="22"/>
        </w:rPr>
        <w:t>is for a GS-12, step 5 (</w:t>
      </w:r>
      <w:r w:rsidRPr="000D6AE9" w:rsidR="00D63BD9">
        <w:rPr>
          <w:sz w:val="22"/>
          <w:szCs w:val="22"/>
        </w:rPr>
        <w:t>2022</w:t>
      </w:r>
      <w:r w:rsidRPr="000D6AE9" w:rsidR="00DF1317">
        <w:rPr>
          <w:sz w:val="22"/>
          <w:szCs w:val="22"/>
        </w:rPr>
        <w:t>)</w:t>
      </w:r>
      <w:r w:rsidRPr="000D6AE9" w:rsidR="002F27D1">
        <w:rPr>
          <w:sz w:val="22"/>
          <w:szCs w:val="22"/>
        </w:rPr>
        <w:t>,</w:t>
      </w:r>
      <w:r w:rsidRPr="000D6AE9" w:rsidR="00DF1317">
        <w:rPr>
          <w:sz w:val="22"/>
          <w:szCs w:val="22"/>
        </w:rPr>
        <w:t xml:space="preserve"> as this is the comparable skill le</w:t>
      </w:r>
      <w:r w:rsidRPr="000D6AE9" w:rsidR="00DE181F">
        <w:rPr>
          <w:sz w:val="22"/>
          <w:szCs w:val="22"/>
        </w:rPr>
        <w:t xml:space="preserve">vel that would be required </w:t>
      </w:r>
      <w:r w:rsidRPr="000D6AE9" w:rsidR="00295BC6">
        <w:rPr>
          <w:sz w:val="22"/>
          <w:szCs w:val="22"/>
        </w:rPr>
        <w:t>to perform these duties.</w:t>
      </w:r>
    </w:p>
    <w:p w:rsidR="00C1445F" w:rsidRPr="000D6AE9" w:rsidP="000D6AE9" w14:paraId="0F150D15" w14:textId="77777777">
      <w:pPr>
        <w:pStyle w:val="Style1"/>
        <w:adjustRightInd/>
        <w:rPr>
          <w:sz w:val="22"/>
          <w:szCs w:val="22"/>
        </w:rPr>
      </w:pPr>
    </w:p>
    <w:p w:rsidR="006E1110" w:rsidRPr="000D6AE9" w:rsidP="000D6AE9" w14:paraId="35A3951A" w14:textId="2014D81A">
      <w:pPr>
        <w:ind w:right="-270"/>
        <w:rPr>
          <w:b/>
          <w:sz w:val="22"/>
          <w:szCs w:val="22"/>
        </w:rPr>
      </w:pPr>
      <w:r w:rsidRPr="000D6AE9">
        <w:rPr>
          <w:b/>
          <w:sz w:val="22"/>
          <w:szCs w:val="22"/>
        </w:rPr>
        <w:t>14</w:t>
      </w:r>
      <w:r w:rsidRPr="000D6AE9">
        <w:rPr>
          <w:sz w:val="22"/>
          <w:szCs w:val="22"/>
        </w:rPr>
        <w:t>.</w:t>
      </w:r>
      <w:r w:rsidRPr="000D6AE9" w:rsidR="00335ED6">
        <w:rPr>
          <w:sz w:val="22"/>
          <w:szCs w:val="22"/>
        </w:rPr>
        <w:t xml:space="preserve">  </w:t>
      </w:r>
      <w:r w:rsidRPr="000D6AE9">
        <w:rPr>
          <w:b/>
          <w:sz w:val="22"/>
          <w:szCs w:val="22"/>
        </w:rPr>
        <w:t>Provide estimates of annualized cos</w:t>
      </w:r>
      <w:r w:rsidRPr="000D6AE9" w:rsidR="00C1445F">
        <w:rPr>
          <w:b/>
          <w:sz w:val="22"/>
          <w:szCs w:val="22"/>
        </w:rPr>
        <w:t>t to the Federal G</w:t>
      </w:r>
      <w:r w:rsidRPr="000D6AE9">
        <w:rPr>
          <w:b/>
          <w:sz w:val="22"/>
          <w:szCs w:val="22"/>
        </w:rPr>
        <w:t>overnment.  Also, provide a description of the method used to estimate cost, which should include quantification of hours, operational expenses, and any other expense that would not have been incurred without this collection of information.</w:t>
      </w:r>
    </w:p>
    <w:p w:rsidR="003600FD" w:rsidRPr="000D6AE9" w:rsidP="000D6AE9" w14:paraId="5AB32BE5" w14:textId="77777777">
      <w:pPr>
        <w:ind w:right="-270"/>
        <w:rPr>
          <w:b/>
          <w:sz w:val="22"/>
          <w:szCs w:val="22"/>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530"/>
        <w:gridCol w:w="1170"/>
        <w:gridCol w:w="1170"/>
        <w:gridCol w:w="1440"/>
        <w:gridCol w:w="1687"/>
      </w:tblGrid>
      <w:tr w14:paraId="72BC296A" w14:textId="77777777" w:rsidTr="00860289">
        <w:tblPrEx>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80" w:type="dxa"/>
            <w:shd w:val="pct95" w:color="auto" w:fill="auto"/>
          </w:tcPr>
          <w:p w:rsidR="00793EDA" w:rsidRPr="000D6AE9" w:rsidP="000D6AE9" w14:paraId="3F488DE3" w14:textId="77777777">
            <w:pPr>
              <w:jc w:val="center"/>
              <w:rPr>
                <w:b/>
                <w:sz w:val="22"/>
                <w:szCs w:val="22"/>
              </w:rPr>
            </w:pPr>
            <w:r w:rsidRPr="000D6AE9">
              <w:rPr>
                <w:b/>
                <w:sz w:val="22"/>
                <w:szCs w:val="22"/>
              </w:rPr>
              <w:t>INFO/</w:t>
            </w:r>
          </w:p>
          <w:p w:rsidR="00793EDA" w:rsidRPr="000D6AE9" w:rsidP="000D6AE9" w14:paraId="5D780BFD" w14:textId="7C38D06A">
            <w:pPr>
              <w:jc w:val="center"/>
              <w:rPr>
                <w:b/>
                <w:sz w:val="22"/>
                <w:szCs w:val="22"/>
              </w:rPr>
            </w:pPr>
            <w:r w:rsidRPr="000D6AE9">
              <w:rPr>
                <w:b/>
                <w:sz w:val="22"/>
                <w:szCs w:val="22"/>
              </w:rPr>
              <w:t>REPORTS</w:t>
            </w:r>
          </w:p>
        </w:tc>
        <w:tc>
          <w:tcPr>
            <w:tcW w:w="1530" w:type="dxa"/>
            <w:shd w:val="pct95" w:color="auto" w:fill="auto"/>
          </w:tcPr>
          <w:p w:rsidR="00793EDA" w:rsidRPr="000D6AE9" w:rsidP="000D6AE9" w14:paraId="514C581F" w14:textId="78DD735A">
            <w:pPr>
              <w:jc w:val="right"/>
              <w:rPr>
                <w:b/>
                <w:sz w:val="22"/>
                <w:szCs w:val="22"/>
              </w:rPr>
            </w:pPr>
            <w:r w:rsidRPr="000D6AE9">
              <w:rPr>
                <w:b/>
                <w:sz w:val="22"/>
                <w:szCs w:val="22"/>
              </w:rPr>
              <w:t>TOTAL RESPONSES/YEAR</w:t>
            </w:r>
          </w:p>
          <w:p w:rsidR="00793EDA" w:rsidRPr="000D6AE9" w:rsidP="000D6AE9" w14:paraId="6170D089" w14:textId="2ABA89FC">
            <w:pPr>
              <w:jc w:val="right"/>
              <w:rPr>
                <w:b/>
                <w:sz w:val="22"/>
                <w:szCs w:val="22"/>
              </w:rPr>
            </w:pPr>
          </w:p>
        </w:tc>
        <w:tc>
          <w:tcPr>
            <w:tcW w:w="1170" w:type="dxa"/>
            <w:shd w:val="pct95" w:color="auto" w:fill="auto"/>
          </w:tcPr>
          <w:p w:rsidR="00793EDA" w:rsidRPr="000D6AE9" w:rsidP="000D6AE9" w14:paraId="3FFCF9A0" w14:textId="5365556A">
            <w:pPr>
              <w:jc w:val="right"/>
              <w:rPr>
                <w:b/>
                <w:sz w:val="22"/>
                <w:szCs w:val="22"/>
              </w:rPr>
            </w:pPr>
            <w:r w:rsidRPr="000D6AE9">
              <w:rPr>
                <w:b/>
                <w:sz w:val="22"/>
                <w:szCs w:val="22"/>
              </w:rPr>
              <w:t>HOURS PER REPORT</w:t>
            </w:r>
          </w:p>
        </w:tc>
        <w:tc>
          <w:tcPr>
            <w:tcW w:w="1170" w:type="dxa"/>
            <w:shd w:val="pct95" w:color="auto" w:fill="auto"/>
          </w:tcPr>
          <w:p w:rsidR="00793EDA" w:rsidRPr="000D6AE9" w:rsidP="000D6AE9" w14:paraId="67015181" w14:textId="6694F530">
            <w:pPr>
              <w:jc w:val="center"/>
              <w:rPr>
                <w:b/>
                <w:sz w:val="22"/>
                <w:szCs w:val="22"/>
              </w:rPr>
            </w:pPr>
            <w:r w:rsidRPr="000D6AE9">
              <w:rPr>
                <w:b/>
                <w:sz w:val="22"/>
                <w:szCs w:val="22"/>
              </w:rPr>
              <w:t>TOTAL HOURS</w:t>
            </w:r>
          </w:p>
        </w:tc>
        <w:tc>
          <w:tcPr>
            <w:tcW w:w="1440" w:type="dxa"/>
            <w:shd w:val="pct95" w:color="auto" w:fill="auto"/>
          </w:tcPr>
          <w:p w:rsidR="00793EDA" w:rsidRPr="000D6AE9" w:rsidP="000D6AE9" w14:paraId="38A0AEA9" w14:textId="498561B2">
            <w:pPr>
              <w:jc w:val="center"/>
              <w:rPr>
                <w:b/>
                <w:sz w:val="22"/>
                <w:szCs w:val="22"/>
              </w:rPr>
            </w:pPr>
            <w:r w:rsidRPr="000D6AE9">
              <w:rPr>
                <w:b/>
                <w:sz w:val="22"/>
                <w:szCs w:val="22"/>
              </w:rPr>
              <w:t>HOURLY PAY RATE</w:t>
            </w:r>
          </w:p>
        </w:tc>
        <w:tc>
          <w:tcPr>
            <w:tcW w:w="1687" w:type="dxa"/>
            <w:shd w:val="pct95" w:color="auto" w:fill="auto"/>
          </w:tcPr>
          <w:p w:rsidR="00793EDA" w:rsidRPr="000D6AE9" w:rsidP="000D6AE9" w14:paraId="09C5578B" w14:textId="4F80AEDF">
            <w:pPr>
              <w:jc w:val="center"/>
              <w:rPr>
                <w:b/>
                <w:sz w:val="22"/>
                <w:szCs w:val="22"/>
              </w:rPr>
            </w:pPr>
            <w:r w:rsidRPr="000D6AE9">
              <w:rPr>
                <w:b/>
                <w:sz w:val="22"/>
                <w:szCs w:val="22"/>
              </w:rPr>
              <w:t>Total Cost/Year</w:t>
            </w:r>
          </w:p>
        </w:tc>
      </w:tr>
      <w:tr w14:paraId="2108F125" w14:textId="77777777" w:rsidTr="00860289">
        <w:tblPrEx>
          <w:tblW w:w="8977" w:type="dxa"/>
          <w:tblInd w:w="108" w:type="dxa"/>
          <w:tblLayout w:type="fixed"/>
          <w:tblLook w:val="0000"/>
        </w:tblPrEx>
        <w:trPr>
          <w:trHeight w:val="377"/>
        </w:trPr>
        <w:tc>
          <w:tcPr>
            <w:tcW w:w="1980" w:type="dxa"/>
            <w:vAlign w:val="bottom"/>
          </w:tcPr>
          <w:p w:rsidR="00793EDA" w:rsidRPr="000D6AE9" w:rsidP="000D6AE9" w14:paraId="378DB102" w14:textId="3F4EA4FB">
            <w:pPr>
              <w:rPr>
                <w:sz w:val="22"/>
                <w:szCs w:val="22"/>
              </w:rPr>
            </w:pPr>
            <w:r w:rsidRPr="000D6AE9">
              <w:rPr>
                <w:color w:val="000000"/>
                <w:sz w:val="22"/>
                <w:szCs w:val="22"/>
              </w:rPr>
              <w:t>Proposals</w:t>
            </w:r>
            <w:r w:rsidRPr="000D6AE9" w:rsidR="0062701B">
              <w:rPr>
                <w:color w:val="000000"/>
                <w:sz w:val="22"/>
                <w:szCs w:val="22"/>
              </w:rPr>
              <w:t xml:space="preserve"> (includes demographic data)</w:t>
            </w:r>
          </w:p>
        </w:tc>
        <w:tc>
          <w:tcPr>
            <w:tcW w:w="1530" w:type="dxa"/>
          </w:tcPr>
          <w:p w:rsidR="00793EDA" w:rsidRPr="000D6AE9" w:rsidP="000D6AE9" w14:paraId="51CC69F9" w14:textId="1399334D">
            <w:pPr>
              <w:jc w:val="right"/>
              <w:rPr>
                <w:color w:val="000000"/>
                <w:sz w:val="22"/>
                <w:szCs w:val="22"/>
              </w:rPr>
            </w:pPr>
            <w:r w:rsidRPr="000D6AE9">
              <w:rPr>
                <w:color w:val="000000"/>
                <w:sz w:val="22"/>
                <w:szCs w:val="22"/>
              </w:rPr>
              <w:t>11,000</w:t>
            </w:r>
          </w:p>
        </w:tc>
        <w:tc>
          <w:tcPr>
            <w:tcW w:w="1170" w:type="dxa"/>
          </w:tcPr>
          <w:p w:rsidR="00793EDA" w:rsidRPr="000D6AE9" w:rsidP="000D6AE9" w14:paraId="2A0A63E7" w14:textId="5EF93156">
            <w:pPr>
              <w:jc w:val="right"/>
              <w:rPr>
                <w:sz w:val="22"/>
                <w:szCs w:val="22"/>
              </w:rPr>
            </w:pPr>
            <w:r w:rsidRPr="000D6AE9">
              <w:rPr>
                <w:color w:val="000000"/>
                <w:sz w:val="22"/>
                <w:szCs w:val="22"/>
              </w:rPr>
              <w:t>50</w:t>
            </w:r>
          </w:p>
        </w:tc>
        <w:tc>
          <w:tcPr>
            <w:tcW w:w="1170" w:type="dxa"/>
          </w:tcPr>
          <w:p w:rsidR="00793EDA" w:rsidRPr="000D6AE9" w:rsidP="000D6AE9" w14:paraId="6BA764B7" w14:textId="0806AC57">
            <w:pPr>
              <w:jc w:val="right"/>
              <w:rPr>
                <w:sz w:val="22"/>
                <w:szCs w:val="22"/>
              </w:rPr>
            </w:pPr>
            <w:r w:rsidRPr="000D6AE9">
              <w:rPr>
                <w:sz w:val="22"/>
                <w:szCs w:val="22"/>
              </w:rPr>
              <w:t>550,000</w:t>
            </w:r>
          </w:p>
        </w:tc>
        <w:tc>
          <w:tcPr>
            <w:tcW w:w="1440" w:type="dxa"/>
          </w:tcPr>
          <w:p w:rsidR="00793EDA" w:rsidRPr="000D6AE9" w:rsidP="000D6AE9" w14:paraId="0FCFAB7B" w14:textId="68C7DD00">
            <w:pPr>
              <w:jc w:val="right"/>
              <w:rPr>
                <w:sz w:val="22"/>
                <w:szCs w:val="22"/>
              </w:rPr>
            </w:pPr>
            <w:r w:rsidRPr="000D6AE9">
              <w:rPr>
                <w:sz w:val="22"/>
                <w:szCs w:val="22"/>
              </w:rPr>
              <w:t>$</w:t>
            </w:r>
            <w:r w:rsidRPr="000D6AE9" w:rsidR="009770F6">
              <w:rPr>
                <w:sz w:val="22"/>
                <w:szCs w:val="22"/>
              </w:rPr>
              <w:t>49</w:t>
            </w:r>
            <w:r w:rsidRPr="000D6AE9">
              <w:rPr>
                <w:sz w:val="22"/>
                <w:szCs w:val="22"/>
              </w:rPr>
              <w:t>.</w:t>
            </w:r>
            <w:r w:rsidRPr="000D6AE9" w:rsidR="009770F6">
              <w:rPr>
                <w:sz w:val="22"/>
                <w:szCs w:val="22"/>
              </w:rPr>
              <w:t>20</w:t>
            </w:r>
          </w:p>
        </w:tc>
        <w:tc>
          <w:tcPr>
            <w:tcW w:w="1687" w:type="dxa"/>
          </w:tcPr>
          <w:p w:rsidR="00793EDA" w:rsidRPr="000D6AE9" w:rsidP="000D6AE9" w14:paraId="52A50DA2" w14:textId="567649BA">
            <w:pPr>
              <w:jc w:val="right"/>
              <w:rPr>
                <w:sz w:val="22"/>
                <w:szCs w:val="22"/>
              </w:rPr>
            </w:pPr>
            <w:r w:rsidRPr="000D6AE9">
              <w:rPr>
                <w:sz w:val="22"/>
                <w:szCs w:val="22"/>
              </w:rPr>
              <w:t>$27,</w:t>
            </w:r>
            <w:r w:rsidRPr="000D6AE9" w:rsidR="00667C8A">
              <w:rPr>
                <w:sz w:val="22"/>
                <w:szCs w:val="22"/>
              </w:rPr>
              <w:t>070.000.00</w:t>
            </w:r>
          </w:p>
        </w:tc>
      </w:tr>
      <w:tr w14:paraId="4FB77A17" w14:textId="77777777" w:rsidTr="00860289">
        <w:tblPrEx>
          <w:tblW w:w="8977" w:type="dxa"/>
          <w:tblInd w:w="108" w:type="dxa"/>
          <w:tblLayout w:type="fixed"/>
          <w:tblLook w:val="0000"/>
        </w:tblPrEx>
        <w:tc>
          <w:tcPr>
            <w:tcW w:w="1980" w:type="dxa"/>
            <w:vAlign w:val="bottom"/>
          </w:tcPr>
          <w:p w:rsidR="00793EDA" w:rsidRPr="000D6AE9" w:rsidP="000D6AE9" w14:paraId="6E89007A" w14:textId="12F740A9">
            <w:pPr>
              <w:rPr>
                <w:sz w:val="22"/>
                <w:szCs w:val="22"/>
              </w:rPr>
            </w:pPr>
            <w:r w:rsidRPr="000D6AE9">
              <w:rPr>
                <w:color w:val="000000"/>
                <w:sz w:val="22"/>
                <w:szCs w:val="22"/>
              </w:rPr>
              <w:t>Financial reports (SF-425</w:t>
            </w:r>
          </w:p>
        </w:tc>
        <w:tc>
          <w:tcPr>
            <w:tcW w:w="1530" w:type="dxa"/>
          </w:tcPr>
          <w:p w:rsidR="00793EDA" w:rsidRPr="000D6AE9" w:rsidP="000D6AE9" w14:paraId="18E44441" w14:textId="32784FF0">
            <w:pPr>
              <w:jc w:val="right"/>
              <w:rPr>
                <w:sz w:val="22"/>
                <w:szCs w:val="22"/>
              </w:rPr>
            </w:pPr>
            <w:r w:rsidRPr="000D6AE9">
              <w:rPr>
                <w:color w:val="000000"/>
                <w:sz w:val="22"/>
                <w:szCs w:val="22"/>
              </w:rPr>
              <w:t>28,000</w:t>
            </w:r>
          </w:p>
        </w:tc>
        <w:tc>
          <w:tcPr>
            <w:tcW w:w="1170" w:type="dxa"/>
          </w:tcPr>
          <w:p w:rsidR="00793EDA" w:rsidRPr="000D6AE9" w:rsidP="000D6AE9" w14:paraId="081B35E0" w14:textId="4C9F7B09">
            <w:pPr>
              <w:jc w:val="right"/>
              <w:rPr>
                <w:sz w:val="22"/>
                <w:szCs w:val="22"/>
              </w:rPr>
            </w:pPr>
            <w:r w:rsidRPr="000D6AE9">
              <w:rPr>
                <w:color w:val="000000"/>
                <w:sz w:val="22"/>
                <w:szCs w:val="22"/>
              </w:rPr>
              <w:t>3</w:t>
            </w:r>
          </w:p>
        </w:tc>
        <w:tc>
          <w:tcPr>
            <w:tcW w:w="1170" w:type="dxa"/>
          </w:tcPr>
          <w:p w:rsidR="00793EDA" w:rsidRPr="000D6AE9" w:rsidP="000D6AE9" w14:paraId="16EE9810" w14:textId="0D785BE0">
            <w:pPr>
              <w:jc w:val="right"/>
              <w:rPr>
                <w:sz w:val="22"/>
                <w:szCs w:val="22"/>
              </w:rPr>
            </w:pPr>
            <w:r w:rsidRPr="000D6AE9">
              <w:rPr>
                <w:sz w:val="22"/>
                <w:szCs w:val="22"/>
              </w:rPr>
              <w:t>84,000</w:t>
            </w:r>
          </w:p>
        </w:tc>
        <w:tc>
          <w:tcPr>
            <w:tcW w:w="1440" w:type="dxa"/>
          </w:tcPr>
          <w:p w:rsidR="00793EDA" w:rsidRPr="000D6AE9" w:rsidP="000D6AE9" w14:paraId="5A4C4E71" w14:textId="58A93997">
            <w:pPr>
              <w:jc w:val="right"/>
              <w:rPr>
                <w:sz w:val="22"/>
                <w:szCs w:val="22"/>
              </w:rPr>
            </w:pPr>
            <w:r w:rsidRPr="000D6AE9">
              <w:rPr>
                <w:sz w:val="22"/>
                <w:szCs w:val="22"/>
              </w:rPr>
              <w:t>$37.09</w:t>
            </w:r>
          </w:p>
        </w:tc>
        <w:tc>
          <w:tcPr>
            <w:tcW w:w="1687" w:type="dxa"/>
          </w:tcPr>
          <w:p w:rsidR="00793EDA" w:rsidRPr="000D6AE9" w:rsidP="000D6AE9" w14:paraId="33D6BA57" w14:textId="503A2A77">
            <w:pPr>
              <w:jc w:val="right"/>
              <w:rPr>
                <w:sz w:val="22"/>
                <w:szCs w:val="22"/>
              </w:rPr>
            </w:pPr>
            <w:r w:rsidRPr="000D6AE9">
              <w:rPr>
                <w:sz w:val="22"/>
                <w:szCs w:val="22"/>
              </w:rPr>
              <w:t>$3,115,560.00</w:t>
            </w:r>
          </w:p>
        </w:tc>
      </w:tr>
      <w:tr w14:paraId="51287A09" w14:textId="77777777" w:rsidTr="00860289">
        <w:tblPrEx>
          <w:tblW w:w="8977" w:type="dxa"/>
          <w:tblInd w:w="108" w:type="dxa"/>
          <w:tblLayout w:type="fixed"/>
          <w:tblLook w:val="0000"/>
        </w:tblPrEx>
        <w:tc>
          <w:tcPr>
            <w:tcW w:w="1980" w:type="dxa"/>
            <w:vAlign w:val="bottom"/>
          </w:tcPr>
          <w:p w:rsidR="00793EDA" w:rsidRPr="000D6AE9" w:rsidP="000D6AE9" w14:paraId="0346BFB1" w14:textId="7A430DE1">
            <w:pPr>
              <w:pStyle w:val="Header"/>
              <w:tabs>
                <w:tab w:val="clear" w:pos="4320"/>
                <w:tab w:val="clear" w:pos="8640"/>
              </w:tabs>
              <w:rPr>
                <w:sz w:val="22"/>
                <w:szCs w:val="22"/>
              </w:rPr>
            </w:pPr>
            <w:r w:rsidRPr="000D6AE9">
              <w:rPr>
                <w:color w:val="000000"/>
                <w:sz w:val="22"/>
                <w:szCs w:val="22"/>
              </w:rPr>
              <w:t>Performance reports</w:t>
            </w:r>
          </w:p>
        </w:tc>
        <w:tc>
          <w:tcPr>
            <w:tcW w:w="1530" w:type="dxa"/>
          </w:tcPr>
          <w:p w:rsidR="00793EDA" w:rsidRPr="000D6AE9" w:rsidP="000D6AE9" w14:paraId="4C34931C" w14:textId="0AA0B113">
            <w:pPr>
              <w:jc w:val="right"/>
              <w:rPr>
                <w:sz w:val="22"/>
                <w:szCs w:val="22"/>
              </w:rPr>
            </w:pPr>
            <w:r w:rsidRPr="000D6AE9">
              <w:rPr>
                <w:color w:val="000000"/>
                <w:sz w:val="22"/>
                <w:szCs w:val="22"/>
              </w:rPr>
              <w:t>7,000</w:t>
            </w:r>
          </w:p>
        </w:tc>
        <w:tc>
          <w:tcPr>
            <w:tcW w:w="1170" w:type="dxa"/>
          </w:tcPr>
          <w:p w:rsidR="00793EDA" w:rsidRPr="000D6AE9" w:rsidP="000D6AE9" w14:paraId="17FC80A7" w14:textId="2E0CF84E">
            <w:pPr>
              <w:jc w:val="right"/>
              <w:rPr>
                <w:sz w:val="22"/>
                <w:szCs w:val="22"/>
              </w:rPr>
            </w:pPr>
            <w:r w:rsidRPr="000D6AE9">
              <w:rPr>
                <w:color w:val="000000"/>
                <w:sz w:val="22"/>
                <w:szCs w:val="22"/>
              </w:rPr>
              <w:t>4</w:t>
            </w:r>
          </w:p>
        </w:tc>
        <w:tc>
          <w:tcPr>
            <w:tcW w:w="1170" w:type="dxa"/>
          </w:tcPr>
          <w:p w:rsidR="00793EDA" w:rsidRPr="000D6AE9" w:rsidP="000D6AE9" w14:paraId="4CE04B3A" w14:textId="64EBBDD2">
            <w:pPr>
              <w:jc w:val="right"/>
              <w:rPr>
                <w:sz w:val="22"/>
                <w:szCs w:val="22"/>
              </w:rPr>
            </w:pPr>
            <w:r w:rsidRPr="000D6AE9">
              <w:rPr>
                <w:sz w:val="22"/>
                <w:szCs w:val="22"/>
              </w:rPr>
              <w:t>28,000</w:t>
            </w:r>
          </w:p>
        </w:tc>
        <w:tc>
          <w:tcPr>
            <w:tcW w:w="1440" w:type="dxa"/>
          </w:tcPr>
          <w:p w:rsidR="00793EDA" w:rsidRPr="000D6AE9" w:rsidP="000D6AE9" w14:paraId="53B2D1A0" w14:textId="1D3FE1BD">
            <w:pPr>
              <w:jc w:val="right"/>
              <w:rPr>
                <w:sz w:val="22"/>
                <w:szCs w:val="22"/>
              </w:rPr>
            </w:pPr>
            <w:r w:rsidRPr="000D6AE9">
              <w:rPr>
                <w:sz w:val="22"/>
                <w:szCs w:val="22"/>
              </w:rPr>
              <w:t>$49.20</w:t>
            </w:r>
          </w:p>
        </w:tc>
        <w:tc>
          <w:tcPr>
            <w:tcW w:w="1687" w:type="dxa"/>
          </w:tcPr>
          <w:p w:rsidR="00793EDA" w:rsidRPr="000D6AE9" w:rsidP="000D6AE9" w14:paraId="1C71B48E" w14:textId="688874D7">
            <w:pPr>
              <w:jc w:val="right"/>
              <w:rPr>
                <w:sz w:val="22"/>
                <w:szCs w:val="22"/>
              </w:rPr>
            </w:pPr>
            <w:r w:rsidRPr="000D6AE9">
              <w:rPr>
                <w:color w:val="000000"/>
                <w:sz w:val="22"/>
                <w:szCs w:val="22"/>
              </w:rPr>
              <w:t>$1,716,400.00</w:t>
            </w:r>
          </w:p>
        </w:tc>
      </w:tr>
      <w:tr w14:paraId="47D734B4" w14:textId="77777777" w:rsidTr="00860289">
        <w:tblPrEx>
          <w:tblW w:w="8977" w:type="dxa"/>
          <w:tblInd w:w="108" w:type="dxa"/>
          <w:tblLayout w:type="fixed"/>
          <w:tblLook w:val="0000"/>
        </w:tblPrEx>
        <w:tc>
          <w:tcPr>
            <w:tcW w:w="1980" w:type="dxa"/>
            <w:vAlign w:val="bottom"/>
          </w:tcPr>
          <w:p w:rsidR="00793EDA" w:rsidRPr="000D6AE9" w:rsidP="000D6AE9" w14:paraId="18DE8BEE" w14:textId="36C3BE7E">
            <w:pPr>
              <w:rPr>
                <w:sz w:val="22"/>
                <w:szCs w:val="22"/>
              </w:rPr>
            </w:pPr>
            <w:r w:rsidRPr="000D6AE9">
              <w:rPr>
                <w:color w:val="000000"/>
                <w:sz w:val="22"/>
                <w:szCs w:val="22"/>
              </w:rPr>
              <w:t>Administrative and funding changes to grant award</w:t>
            </w:r>
            <w:r w:rsidRPr="000D6AE9" w:rsidR="002F27D1">
              <w:rPr>
                <w:color w:val="000000"/>
                <w:sz w:val="22"/>
                <w:szCs w:val="22"/>
              </w:rPr>
              <w:t>s</w:t>
            </w:r>
          </w:p>
        </w:tc>
        <w:tc>
          <w:tcPr>
            <w:tcW w:w="1530" w:type="dxa"/>
          </w:tcPr>
          <w:p w:rsidR="00793EDA" w:rsidRPr="000D6AE9" w:rsidP="000D6AE9" w14:paraId="2CAAE914" w14:textId="51B5EC69">
            <w:pPr>
              <w:jc w:val="right"/>
              <w:rPr>
                <w:sz w:val="22"/>
                <w:szCs w:val="22"/>
              </w:rPr>
            </w:pPr>
            <w:r w:rsidRPr="000D6AE9">
              <w:rPr>
                <w:color w:val="000000"/>
                <w:sz w:val="22"/>
                <w:szCs w:val="22"/>
              </w:rPr>
              <w:t>7,217</w:t>
            </w:r>
          </w:p>
        </w:tc>
        <w:tc>
          <w:tcPr>
            <w:tcW w:w="1170" w:type="dxa"/>
          </w:tcPr>
          <w:p w:rsidR="00793EDA" w:rsidRPr="000D6AE9" w:rsidP="000D6AE9" w14:paraId="33BC5FE9" w14:textId="429E919E">
            <w:pPr>
              <w:jc w:val="right"/>
              <w:rPr>
                <w:sz w:val="22"/>
                <w:szCs w:val="22"/>
              </w:rPr>
            </w:pPr>
            <w:r w:rsidRPr="000D6AE9">
              <w:rPr>
                <w:color w:val="000000"/>
                <w:sz w:val="22"/>
                <w:szCs w:val="22"/>
              </w:rPr>
              <w:t>5</w:t>
            </w:r>
          </w:p>
        </w:tc>
        <w:tc>
          <w:tcPr>
            <w:tcW w:w="1170" w:type="dxa"/>
          </w:tcPr>
          <w:p w:rsidR="00793EDA" w:rsidRPr="000D6AE9" w:rsidP="000D6AE9" w14:paraId="5CB83799" w14:textId="0B791CE3">
            <w:pPr>
              <w:jc w:val="right"/>
              <w:rPr>
                <w:sz w:val="22"/>
                <w:szCs w:val="22"/>
              </w:rPr>
            </w:pPr>
            <w:r w:rsidRPr="000D6AE9">
              <w:rPr>
                <w:sz w:val="22"/>
                <w:szCs w:val="22"/>
              </w:rPr>
              <w:t>36,085</w:t>
            </w:r>
          </w:p>
        </w:tc>
        <w:tc>
          <w:tcPr>
            <w:tcW w:w="1440" w:type="dxa"/>
          </w:tcPr>
          <w:p w:rsidR="00793EDA" w:rsidRPr="000D6AE9" w:rsidP="000D6AE9" w14:paraId="2239CD23" w14:textId="0A7E93C7">
            <w:pPr>
              <w:jc w:val="right"/>
              <w:rPr>
                <w:sz w:val="22"/>
                <w:szCs w:val="22"/>
              </w:rPr>
            </w:pPr>
            <w:r w:rsidRPr="000D6AE9">
              <w:rPr>
                <w:sz w:val="22"/>
                <w:szCs w:val="22"/>
              </w:rPr>
              <w:t>$37.09</w:t>
            </w:r>
          </w:p>
        </w:tc>
        <w:tc>
          <w:tcPr>
            <w:tcW w:w="1687" w:type="dxa"/>
          </w:tcPr>
          <w:p w:rsidR="00793EDA" w:rsidRPr="000D6AE9" w:rsidP="000D6AE9" w14:paraId="1DA1160A" w14:textId="52041A9D">
            <w:pPr>
              <w:jc w:val="right"/>
              <w:rPr>
                <w:sz w:val="22"/>
                <w:szCs w:val="22"/>
              </w:rPr>
            </w:pPr>
            <w:r w:rsidRPr="000D6AE9">
              <w:rPr>
                <w:color w:val="000000"/>
                <w:sz w:val="22"/>
                <w:szCs w:val="22"/>
              </w:rPr>
              <w:t>$1,338,392.00</w:t>
            </w:r>
          </w:p>
        </w:tc>
      </w:tr>
      <w:tr w14:paraId="62A63055" w14:textId="77777777" w:rsidTr="00860289">
        <w:tblPrEx>
          <w:tblW w:w="8977" w:type="dxa"/>
          <w:tblInd w:w="108" w:type="dxa"/>
          <w:tblLayout w:type="fixed"/>
          <w:tblLook w:val="0000"/>
        </w:tblPrEx>
        <w:tc>
          <w:tcPr>
            <w:tcW w:w="1980" w:type="dxa"/>
            <w:vAlign w:val="bottom"/>
          </w:tcPr>
          <w:p w:rsidR="00793EDA" w:rsidRPr="000D6AE9" w:rsidP="000D6AE9" w14:paraId="260DCAA3" w14:textId="1E5D8A9C">
            <w:pPr>
              <w:rPr>
                <w:sz w:val="22"/>
                <w:szCs w:val="22"/>
              </w:rPr>
            </w:pPr>
            <w:r w:rsidRPr="000D6AE9">
              <w:rPr>
                <w:color w:val="000000"/>
                <w:sz w:val="22"/>
                <w:szCs w:val="22"/>
              </w:rPr>
              <w:t>Recordkeeping</w:t>
            </w:r>
          </w:p>
        </w:tc>
        <w:tc>
          <w:tcPr>
            <w:tcW w:w="1530" w:type="dxa"/>
            <w:vAlign w:val="bottom"/>
          </w:tcPr>
          <w:p w:rsidR="00793EDA" w:rsidRPr="000D6AE9" w:rsidP="000D6AE9" w14:paraId="7A23A29B" w14:textId="4B3B4F10">
            <w:pPr>
              <w:jc w:val="right"/>
              <w:rPr>
                <w:sz w:val="22"/>
                <w:szCs w:val="22"/>
              </w:rPr>
            </w:pPr>
            <w:r w:rsidRPr="000D6AE9">
              <w:rPr>
                <w:color w:val="000000"/>
                <w:sz w:val="22"/>
                <w:szCs w:val="22"/>
              </w:rPr>
              <w:t>7,000</w:t>
            </w:r>
          </w:p>
        </w:tc>
        <w:tc>
          <w:tcPr>
            <w:tcW w:w="1170" w:type="dxa"/>
          </w:tcPr>
          <w:p w:rsidR="00793EDA" w:rsidRPr="000D6AE9" w:rsidP="000D6AE9" w14:paraId="44221AE1" w14:textId="58452699">
            <w:pPr>
              <w:jc w:val="right"/>
              <w:rPr>
                <w:sz w:val="22"/>
                <w:szCs w:val="22"/>
              </w:rPr>
            </w:pPr>
            <w:r w:rsidRPr="000D6AE9">
              <w:rPr>
                <w:color w:val="000000"/>
                <w:sz w:val="22"/>
                <w:szCs w:val="22"/>
              </w:rPr>
              <w:t>10</w:t>
            </w:r>
          </w:p>
        </w:tc>
        <w:tc>
          <w:tcPr>
            <w:tcW w:w="1170" w:type="dxa"/>
          </w:tcPr>
          <w:p w:rsidR="00793EDA" w:rsidRPr="000D6AE9" w:rsidP="000D6AE9" w14:paraId="6B6E0C44" w14:textId="456C0E23">
            <w:pPr>
              <w:jc w:val="right"/>
              <w:rPr>
                <w:sz w:val="22"/>
                <w:szCs w:val="22"/>
              </w:rPr>
            </w:pPr>
            <w:r w:rsidRPr="000D6AE9">
              <w:rPr>
                <w:sz w:val="22"/>
                <w:szCs w:val="22"/>
              </w:rPr>
              <w:t>70,000</w:t>
            </w:r>
          </w:p>
        </w:tc>
        <w:tc>
          <w:tcPr>
            <w:tcW w:w="1440" w:type="dxa"/>
          </w:tcPr>
          <w:p w:rsidR="00793EDA" w:rsidRPr="000D6AE9" w:rsidP="000D6AE9" w14:paraId="77D9876F" w14:textId="5073F643">
            <w:pPr>
              <w:jc w:val="right"/>
              <w:rPr>
                <w:sz w:val="22"/>
                <w:szCs w:val="22"/>
              </w:rPr>
            </w:pPr>
            <w:r w:rsidRPr="000D6AE9">
              <w:rPr>
                <w:sz w:val="22"/>
                <w:szCs w:val="22"/>
              </w:rPr>
              <w:t>$37.09</w:t>
            </w:r>
          </w:p>
        </w:tc>
        <w:tc>
          <w:tcPr>
            <w:tcW w:w="1687" w:type="dxa"/>
          </w:tcPr>
          <w:p w:rsidR="00793EDA" w:rsidRPr="000D6AE9" w:rsidP="000D6AE9" w14:paraId="1287110F" w14:textId="764A4DB9">
            <w:pPr>
              <w:jc w:val="right"/>
              <w:rPr>
                <w:sz w:val="22"/>
                <w:szCs w:val="22"/>
              </w:rPr>
            </w:pPr>
            <w:r w:rsidRPr="000D6AE9">
              <w:rPr>
                <w:color w:val="000000"/>
                <w:sz w:val="22"/>
                <w:szCs w:val="22"/>
              </w:rPr>
              <w:t>$2,596,300.00</w:t>
            </w:r>
          </w:p>
        </w:tc>
      </w:tr>
      <w:tr w14:paraId="414EECBD" w14:textId="77777777" w:rsidTr="00860289">
        <w:tblPrEx>
          <w:tblW w:w="8977" w:type="dxa"/>
          <w:tblInd w:w="108" w:type="dxa"/>
          <w:tblLayout w:type="fixed"/>
          <w:tblLook w:val="0000"/>
        </w:tblPrEx>
        <w:tc>
          <w:tcPr>
            <w:tcW w:w="1980" w:type="dxa"/>
            <w:vAlign w:val="bottom"/>
          </w:tcPr>
          <w:p w:rsidR="00E94773" w:rsidRPr="000D6AE9" w:rsidP="000D6AE9" w14:paraId="1C991C73" w14:textId="4087037A">
            <w:pPr>
              <w:jc w:val="center"/>
              <w:rPr>
                <w:b/>
                <w:sz w:val="22"/>
                <w:szCs w:val="22"/>
              </w:rPr>
            </w:pPr>
            <w:r w:rsidRPr="000D6AE9">
              <w:rPr>
                <w:b/>
                <w:color w:val="000000"/>
                <w:sz w:val="22"/>
                <w:szCs w:val="22"/>
              </w:rPr>
              <w:t>TOTAL</w:t>
            </w:r>
          </w:p>
        </w:tc>
        <w:tc>
          <w:tcPr>
            <w:tcW w:w="1530" w:type="dxa"/>
            <w:vAlign w:val="bottom"/>
          </w:tcPr>
          <w:p w:rsidR="00E94773" w:rsidRPr="000D6AE9" w:rsidP="000D6AE9" w14:paraId="38E52D03" w14:textId="0C1B6AF8">
            <w:pPr>
              <w:jc w:val="right"/>
              <w:rPr>
                <w:b/>
                <w:sz w:val="22"/>
                <w:szCs w:val="22"/>
              </w:rPr>
            </w:pPr>
            <w:r w:rsidRPr="000D6AE9">
              <w:rPr>
                <w:b/>
                <w:color w:val="000000"/>
                <w:sz w:val="22"/>
                <w:szCs w:val="22"/>
              </w:rPr>
              <w:t>60,217</w:t>
            </w:r>
          </w:p>
        </w:tc>
        <w:tc>
          <w:tcPr>
            <w:tcW w:w="1170" w:type="dxa"/>
          </w:tcPr>
          <w:p w:rsidR="00E94773" w:rsidRPr="000D6AE9" w:rsidP="000D6AE9" w14:paraId="4AFC9FA2" w14:textId="0E6FAF69">
            <w:pPr>
              <w:jc w:val="right"/>
              <w:rPr>
                <w:b/>
                <w:sz w:val="22"/>
                <w:szCs w:val="22"/>
              </w:rPr>
            </w:pPr>
            <w:r w:rsidRPr="000D6AE9">
              <w:rPr>
                <w:b/>
                <w:color w:val="000000"/>
                <w:sz w:val="22"/>
                <w:szCs w:val="22"/>
              </w:rPr>
              <w:t>12.</w:t>
            </w:r>
            <w:r w:rsidRPr="000D6AE9" w:rsidR="0083028D">
              <w:rPr>
                <w:b/>
                <w:color w:val="000000"/>
                <w:sz w:val="22"/>
                <w:szCs w:val="22"/>
              </w:rPr>
              <w:t>75</w:t>
            </w:r>
            <w:r w:rsidRPr="000D6AE9" w:rsidR="00EA686F">
              <w:rPr>
                <w:b/>
                <w:color w:val="000000"/>
                <w:sz w:val="22"/>
                <w:szCs w:val="22"/>
              </w:rPr>
              <w:t>5</w:t>
            </w:r>
          </w:p>
        </w:tc>
        <w:tc>
          <w:tcPr>
            <w:tcW w:w="1170" w:type="dxa"/>
          </w:tcPr>
          <w:p w:rsidR="00E94773" w:rsidRPr="000D6AE9" w:rsidP="000D6AE9" w14:paraId="5884F7FF" w14:textId="26906BD8">
            <w:pPr>
              <w:jc w:val="right"/>
              <w:rPr>
                <w:b/>
                <w:color w:val="000000"/>
                <w:sz w:val="22"/>
                <w:szCs w:val="22"/>
              </w:rPr>
            </w:pPr>
            <w:r w:rsidRPr="000D6AE9">
              <w:rPr>
                <w:b/>
                <w:color w:val="000000"/>
                <w:sz w:val="22"/>
                <w:szCs w:val="22"/>
              </w:rPr>
              <w:t>768,085</w:t>
            </w:r>
          </w:p>
        </w:tc>
        <w:tc>
          <w:tcPr>
            <w:tcW w:w="1440" w:type="dxa"/>
          </w:tcPr>
          <w:p w:rsidR="00E94773" w:rsidRPr="000D6AE9" w:rsidP="000D6AE9" w14:paraId="002ACBEE" w14:textId="6DA8F521">
            <w:pPr>
              <w:jc w:val="right"/>
              <w:rPr>
                <w:b/>
                <w:sz w:val="22"/>
                <w:szCs w:val="22"/>
              </w:rPr>
            </w:pPr>
            <w:r w:rsidRPr="000D6AE9">
              <w:rPr>
                <w:b/>
                <w:sz w:val="22"/>
                <w:szCs w:val="22"/>
              </w:rPr>
              <w:t>$4</w:t>
            </w:r>
            <w:r w:rsidRPr="000D6AE9" w:rsidR="00B41581">
              <w:rPr>
                <w:b/>
                <w:sz w:val="22"/>
                <w:szCs w:val="22"/>
              </w:rPr>
              <w:t>6.64</w:t>
            </w:r>
          </w:p>
        </w:tc>
        <w:tc>
          <w:tcPr>
            <w:tcW w:w="1687" w:type="dxa"/>
            <w:vAlign w:val="bottom"/>
          </w:tcPr>
          <w:p w:rsidR="00E94773" w:rsidRPr="000D6AE9" w:rsidP="000D6AE9" w14:paraId="47527492" w14:textId="6632D0DE">
            <w:pPr>
              <w:jc w:val="right"/>
              <w:rPr>
                <w:b/>
                <w:sz w:val="22"/>
                <w:szCs w:val="22"/>
              </w:rPr>
            </w:pPr>
            <w:r w:rsidRPr="000D6AE9">
              <w:rPr>
                <w:b/>
                <w:color w:val="000000"/>
                <w:sz w:val="22"/>
                <w:szCs w:val="22"/>
              </w:rPr>
              <w:t>$</w:t>
            </w:r>
            <w:r w:rsidRPr="000D6AE9" w:rsidR="002F0898">
              <w:rPr>
                <w:b/>
                <w:color w:val="000000"/>
                <w:sz w:val="22"/>
                <w:szCs w:val="22"/>
              </w:rPr>
              <w:t>3</w:t>
            </w:r>
            <w:r w:rsidRPr="000D6AE9" w:rsidR="00667C8A">
              <w:rPr>
                <w:b/>
                <w:color w:val="000000"/>
                <w:sz w:val="22"/>
                <w:szCs w:val="22"/>
              </w:rPr>
              <w:t>5</w:t>
            </w:r>
            <w:r w:rsidRPr="000D6AE9">
              <w:rPr>
                <w:b/>
                <w:color w:val="000000"/>
                <w:sz w:val="22"/>
                <w:szCs w:val="22"/>
              </w:rPr>
              <w:t>,</w:t>
            </w:r>
            <w:r w:rsidRPr="000D6AE9" w:rsidR="00667C8A">
              <w:rPr>
                <w:b/>
                <w:color w:val="000000"/>
                <w:sz w:val="22"/>
                <w:szCs w:val="22"/>
              </w:rPr>
              <w:t>8</w:t>
            </w:r>
            <w:r w:rsidRPr="000D6AE9" w:rsidR="004A15D4">
              <w:rPr>
                <w:b/>
                <w:color w:val="000000"/>
                <w:sz w:val="22"/>
                <w:szCs w:val="22"/>
              </w:rPr>
              <w:t>2</w:t>
            </w:r>
            <w:r w:rsidRPr="000D6AE9" w:rsidR="00667C8A">
              <w:rPr>
                <w:b/>
                <w:color w:val="000000"/>
                <w:sz w:val="22"/>
                <w:szCs w:val="22"/>
              </w:rPr>
              <w:t>6</w:t>
            </w:r>
            <w:r w:rsidRPr="000D6AE9">
              <w:rPr>
                <w:b/>
                <w:color w:val="000000"/>
                <w:sz w:val="22"/>
                <w:szCs w:val="22"/>
              </w:rPr>
              <w:t>,652.6</w:t>
            </w:r>
            <w:r w:rsidRPr="000D6AE9" w:rsidR="002F0898">
              <w:rPr>
                <w:b/>
                <w:color w:val="000000"/>
                <w:sz w:val="22"/>
                <w:szCs w:val="22"/>
              </w:rPr>
              <w:t>5</w:t>
            </w:r>
          </w:p>
        </w:tc>
      </w:tr>
    </w:tbl>
    <w:p w:rsidR="006E1110" w:rsidRPr="000D6AE9" w:rsidP="000D6AE9" w14:paraId="5F0E8146" w14:textId="77777777">
      <w:pPr>
        <w:rPr>
          <w:sz w:val="22"/>
          <w:szCs w:val="22"/>
        </w:rPr>
      </w:pPr>
    </w:p>
    <w:p w:rsidR="006E1110" w:rsidRPr="000D6AE9" w:rsidP="000D6AE9" w14:paraId="356F0A5D" w14:textId="259A554A">
      <w:pPr>
        <w:rPr>
          <w:b/>
          <w:sz w:val="22"/>
          <w:szCs w:val="22"/>
        </w:rPr>
      </w:pPr>
      <w:r w:rsidRPr="000D6AE9">
        <w:rPr>
          <w:sz w:val="22"/>
          <w:szCs w:val="22"/>
        </w:rPr>
        <w:t xml:space="preserve">A burdened labor rate </w:t>
      </w:r>
      <w:r w:rsidRPr="000D6AE9" w:rsidR="002169F1">
        <w:rPr>
          <w:sz w:val="22"/>
          <w:szCs w:val="22"/>
        </w:rPr>
        <w:t>varies depending on task</w:t>
      </w:r>
      <w:r w:rsidRPr="000D6AE9" w:rsidR="002D5A68">
        <w:rPr>
          <w:sz w:val="22"/>
          <w:szCs w:val="22"/>
        </w:rPr>
        <w:t>.</w:t>
      </w:r>
      <w:r w:rsidRPr="000D6AE9" w:rsidR="002169F1">
        <w:rPr>
          <w:sz w:val="22"/>
          <w:szCs w:val="22"/>
        </w:rPr>
        <w:t xml:space="preserve">  Labor costs range from</w:t>
      </w:r>
      <w:r w:rsidRPr="000D6AE9" w:rsidR="00F1198E">
        <w:rPr>
          <w:sz w:val="22"/>
          <w:szCs w:val="22"/>
        </w:rPr>
        <w:t xml:space="preserve"> an average of</w:t>
      </w:r>
      <w:r w:rsidRPr="000D6AE9" w:rsidR="002169F1">
        <w:rPr>
          <w:sz w:val="22"/>
          <w:szCs w:val="22"/>
        </w:rPr>
        <w:t xml:space="preserve"> </w:t>
      </w:r>
      <w:r w:rsidRPr="000D6AE9" w:rsidR="00F1198E">
        <w:rPr>
          <w:sz w:val="22"/>
          <w:szCs w:val="22"/>
        </w:rPr>
        <w:t>$</w:t>
      </w:r>
      <w:r w:rsidRPr="000D6AE9" w:rsidR="000659D5">
        <w:rPr>
          <w:sz w:val="22"/>
          <w:szCs w:val="22"/>
        </w:rPr>
        <w:t>61.30</w:t>
      </w:r>
      <w:r w:rsidRPr="000D6AE9" w:rsidR="002169F1">
        <w:rPr>
          <w:sz w:val="22"/>
          <w:szCs w:val="22"/>
        </w:rPr>
        <w:t xml:space="preserve">/hour </w:t>
      </w:r>
      <w:r w:rsidRPr="000D6AE9" w:rsidR="002D5A68">
        <w:rPr>
          <w:sz w:val="22"/>
          <w:szCs w:val="22"/>
        </w:rPr>
        <w:t>to $37.09</w:t>
      </w:r>
      <w:r w:rsidRPr="000D6AE9" w:rsidR="002F27D1">
        <w:rPr>
          <w:sz w:val="22"/>
          <w:szCs w:val="22"/>
        </w:rPr>
        <w:t>, which is</w:t>
      </w:r>
      <w:r w:rsidRPr="000D6AE9" w:rsidR="00F751D8">
        <w:rPr>
          <w:sz w:val="22"/>
          <w:szCs w:val="22"/>
        </w:rPr>
        <w:t xml:space="preserve"> equivalent to a GS</w:t>
      </w:r>
      <w:r w:rsidRPr="000D6AE9" w:rsidR="00872588">
        <w:rPr>
          <w:sz w:val="22"/>
          <w:szCs w:val="22"/>
        </w:rPr>
        <w:t>-</w:t>
      </w:r>
      <w:r w:rsidRPr="000D6AE9" w:rsidR="003E13C2">
        <w:rPr>
          <w:sz w:val="22"/>
          <w:szCs w:val="22"/>
        </w:rPr>
        <w:t>15</w:t>
      </w:r>
      <w:r w:rsidRPr="000D6AE9" w:rsidR="00872588">
        <w:rPr>
          <w:sz w:val="22"/>
          <w:szCs w:val="22"/>
        </w:rPr>
        <w:t>,</w:t>
      </w:r>
      <w:r w:rsidRPr="000D6AE9" w:rsidR="003E13C2">
        <w:rPr>
          <w:sz w:val="22"/>
          <w:szCs w:val="22"/>
        </w:rPr>
        <w:t xml:space="preserve"> Step</w:t>
      </w:r>
      <w:r w:rsidRPr="000D6AE9" w:rsidR="00872588">
        <w:rPr>
          <w:sz w:val="22"/>
          <w:szCs w:val="22"/>
        </w:rPr>
        <w:t xml:space="preserve"> 5</w:t>
      </w:r>
      <w:r w:rsidRPr="000D6AE9" w:rsidR="002F27D1">
        <w:rPr>
          <w:sz w:val="22"/>
          <w:szCs w:val="22"/>
        </w:rPr>
        <w:t>,</w:t>
      </w:r>
      <w:r w:rsidRPr="000D6AE9" w:rsidR="00872588">
        <w:rPr>
          <w:sz w:val="22"/>
          <w:szCs w:val="22"/>
        </w:rPr>
        <w:t xml:space="preserve"> and GS-12, Step</w:t>
      </w:r>
      <w:r w:rsidRPr="000D6AE9" w:rsidR="006029D1">
        <w:rPr>
          <w:sz w:val="22"/>
          <w:szCs w:val="22"/>
        </w:rPr>
        <w:t xml:space="preserve"> </w:t>
      </w:r>
      <w:r w:rsidRPr="000D6AE9" w:rsidR="00872588">
        <w:rPr>
          <w:sz w:val="22"/>
          <w:szCs w:val="22"/>
        </w:rPr>
        <w:t>5 (20</w:t>
      </w:r>
      <w:r w:rsidRPr="000D6AE9" w:rsidR="006029D1">
        <w:rPr>
          <w:sz w:val="22"/>
          <w:szCs w:val="22"/>
        </w:rPr>
        <w:t>22</w:t>
      </w:r>
      <w:r w:rsidRPr="000D6AE9" w:rsidR="00872588">
        <w:rPr>
          <w:sz w:val="22"/>
          <w:szCs w:val="22"/>
        </w:rPr>
        <w:t>)</w:t>
      </w:r>
      <w:r w:rsidRPr="000D6AE9" w:rsidR="002F27D1">
        <w:rPr>
          <w:sz w:val="22"/>
          <w:szCs w:val="22"/>
        </w:rPr>
        <w:t>,</w:t>
      </w:r>
      <w:r w:rsidRPr="000D6AE9" w:rsidR="003E13C2">
        <w:rPr>
          <w:sz w:val="22"/>
          <w:szCs w:val="22"/>
        </w:rPr>
        <w:t xml:space="preserve"> </w:t>
      </w:r>
      <w:r w:rsidRPr="000D6AE9" w:rsidR="002169F1">
        <w:rPr>
          <w:sz w:val="22"/>
          <w:szCs w:val="22"/>
        </w:rPr>
        <w:t>charged to</w:t>
      </w:r>
      <w:r w:rsidRPr="000D6AE9" w:rsidR="002D5A68">
        <w:rPr>
          <w:sz w:val="22"/>
          <w:szCs w:val="22"/>
        </w:rPr>
        <w:t xml:space="preserve"> collecting</w:t>
      </w:r>
      <w:r w:rsidRPr="000D6AE9" w:rsidR="00F1198E">
        <w:rPr>
          <w:sz w:val="22"/>
          <w:szCs w:val="22"/>
        </w:rPr>
        <w:t xml:space="preserve">, </w:t>
      </w:r>
      <w:r w:rsidRPr="000D6AE9" w:rsidR="002D5A68">
        <w:rPr>
          <w:sz w:val="22"/>
          <w:szCs w:val="22"/>
        </w:rPr>
        <w:t>processing</w:t>
      </w:r>
      <w:r w:rsidRPr="000D6AE9" w:rsidR="000659D5">
        <w:rPr>
          <w:sz w:val="22"/>
          <w:szCs w:val="22"/>
        </w:rPr>
        <w:t xml:space="preserve"> </w:t>
      </w:r>
      <w:r w:rsidRPr="000D6AE9" w:rsidR="00F1198E">
        <w:rPr>
          <w:sz w:val="22"/>
          <w:szCs w:val="22"/>
        </w:rPr>
        <w:t>and reviewing proposals</w:t>
      </w:r>
      <w:r w:rsidRPr="000D6AE9" w:rsidR="002F27D1">
        <w:rPr>
          <w:sz w:val="22"/>
          <w:szCs w:val="22"/>
        </w:rPr>
        <w:t>;</w:t>
      </w:r>
      <w:r w:rsidRPr="000D6AE9" w:rsidR="00F1198E">
        <w:rPr>
          <w:sz w:val="22"/>
          <w:szCs w:val="22"/>
        </w:rPr>
        <w:t xml:space="preserve"> </w:t>
      </w:r>
      <w:r w:rsidRPr="000D6AE9" w:rsidR="000659D5">
        <w:rPr>
          <w:sz w:val="22"/>
          <w:szCs w:val="22"/>
        </w:rPr>
        <w:t>r</w:t>
      </w:r>
      <w:r w:rsidRPr="000D6AE9" w:rsidR="004F4696">
        <w:rPr>
          <w:sz w:val="22"/>
          <w:szCs w:val="22"/>
        </w:rPr>
        <w:t>eviewing</w:t>
      </w:r>
      <w:r w:rsidRPr="000D6AE9" w:rsidR="000F61BC">
        <w:rPr>
          <w:sz w:val="22"/>
          <w:szCs w:val="22"/>
        </w:rPr>
        <w:t>/processing financial reports</w:t>
      </w:r>
      <w:r w:rsidRPr="000D6AE9" w:rsidR="002F27D1">
        <w:rPr>
          <w:sz w:val="22"/>
          <w:szCs w:val="22"/>
        </w:rPr>
        <w:t>;</w:t>
      </w:r>
      <w:r w:rsidRPr="000D6AE9" w:rsidR="000F61BC">
        <w:rPr>
          <w:sz w:val="22"/>
          <w:szCs w:val="22"/>
        </w:rPr>
        <w:t xml:space="preserve"> performance reports</w:t>
      </w:r>
      <w:r w:rsidRPr="000D6AE9" w:rsidR="002F27D1">
        <w:rPr>
          <w:sz w:val="22"/>
          <w:szCs w:val="22"/>
        </w:rPr>
        <w:t>;</w:t>
      </w:r>
      <w:r w:rsidRPr="000D6AE9" w:rsidR="000F61BC">
        <w:rPr>
          <w:sz w:val="22"/>
          <w:szCs w:val="22"/>
        </w:rPr>
        <w:t xml:space="preserve"> and recordkeeping.</w:t>
      </w:r>
      <w:r w:rsidRPr="000D6AE9" w:rsidR="002538FF">
        <w:rPr>
          <w:sz w:val="22"/>
          <w:szCs w:val="22"/>
        </w:rPr>
        <w:t xml:space="preserve">  </w:t>
      </w:r>
      <w:r w:rsidRPr="000D6AE9" w:rsidR="002169F1">
        <w:rPr>
          <w:sz w:val="22"/>
          <w:szCs w:val="22"/>
        </w:rPr>
        <w:t>The g</w:t>
      </w:r>
      <w:r w:rsidRPr="000D6AE9">
        <w:rPr>
          <w:sz w:val="22"/>
          <w:szCs w:val="22"/>
        </w:rPr>
        <w:t>overnment employee</w:t>
      </w:r>
      <w:r w:rsidRPr="000D6AE9" w:rsidR="002169F1">
        <w:rPr>
          <w:sz w:val="22"/>
          <w:szCs w:val="22"/>
        </w:rPr>
        <w:t xml:space="preserve"> rate</w:t>
      </w:r>
      <w:r w:rsidRPr="000D6AE9">
        <w:rPr>
          <w:sz w:val="22"/>
          <w:szCs w:val="22"/>
        </w:rPr>
        <w:t xml:space="preserve"> used is considered an appropriate skill level for the tasks to be performed.</w:t>
      </w:r>
      <w:r w:rsidRPr="000D6AE9" w:rsidR="00053563">
        <w:rPr>
          <w:sz w:val="22"/>
          <w:szCs w:val="22"/>
        </w:rPr>
        <w:t xml:space="preserve"> </w:t>
      </w:r>
      <w:r w:rsidRPr="000D6AE9">
        <w:rPr>
          <w:sz w:val="22"/>
          <w:szCs w:val="22"/>
        </w:rPr>
        <w:t>Es</w:t>
      </w:r>
      <w:r w:rsidRPr="000D6AE9" w:rsidR="00FA0FBD">
        <w:rPr>
          <w:sz w:val="22"/>
          <w:szCs w:val="22"/>
        </w:rPr>
        <w:t>timated a</w:t>
      </w:r>
      <w:r w:rsidRPr="000D6AE9" w:rsidR="00D62FD8">
        <w:rPr>
          <w:sz w:val="22"/>
          <w:szCs w:val="22"/>
        </w:rPr>
        <w:t>nnual cost to the Government</w:t>
      </w:r>
      <w:r w:rsidRPr="000D6AE9" w:rsidR="00FA0FBD">
        <w:rPr>
          <w:sz w:val="22"/>
          <w:szCs w:val="22"/>
        </w:rPr>
        <w:t xml:space="preserve"> is </w:t>
      </w:r>
      <w:r w:rsidRPr="000D6AE9" w:rsidR="00546022">
        <w:rPr>
          <w:b/>
          <w:sz w:val="22"/>
          <w:szCs w:val="22"/>
        </w:rPr>
        <w:t>$3</w:t>
      </w:r>
      <w:r w:rsidRPr="000D6AE9" w:rsidR="006029D1">
        <w:rPr>
          <w:b/>
          <w:sz w:val="22"/>
          <w:szCs w:val="22"/>
        </w:rPr>
        <w:t>5</w:t>
      </w:r>
      <w:r w:rsidRPr="000D6AE9" w:rsidR="00546022">
        <w:rPr>
          <w:b/>
          <w:sz w:val="22"/>
          <w:szCs w:val="22"/>
        </w:rPr>
        <w:t>,</w:t>
      </w:r>
      <w:r w:rsidRPr="000D6AE9" w:rsidR="006029D1">
        <w:rPr>
          <w:b/>
          <w:sz w:val="22"/>
          <w:szCs w:val="22"/>
        </w:rPr>
        <w:t>826</w:t>
      </w:r>
      <w:r w:rsidRPr="000D6AE9" w:rsidR="00546022">
        <w:rPr>
          <w:b/>
          <w:sz w:val="22"/>
          <w:szCs w:val="22"/>
        </w:rPr>
        <w:t>,</w:t>
      </w:r>
      <w:r w:rsidRPr="000D6AE9" w:rsidR="006029D1">
        <w:rPr>
          <w:b/>
          <w:sz w:val="22"/>
          <w:szCs w:val="22"/>
        </w:rPr>
        <w:t>652.65</w:t>
      </w:r>
      <w:r w:rsidRPr="000D6AE9" w:rsidR="00D62FD8">
        <w:rPr>
          <w:b/>
          <w:sz w:val="22"/>
          <w:szCs w:val="22"/>
        </w:rPr>
        <w:t>.</w:t>
      </w:r>
    </w:p>
    <w:p w:rsidR="0064241E" w:rsidRPr="000D6AE9" w:rsidP="000D6AE9" w14:paraId="7FED737D" w14:textId="77777777">
      <w:pPr>
        <w:rPr>
          <w:sz w:val="22"/>
          <w:szCs w:val="22"/>
        </w:rPr>
      </w:pPr>
    </w:p>
    <w:p w:rsidR="006E1110" w:rsidRPr="000D6AE9" w:rsidP="000D6AE9" w14:paraId="537488AE" w14:textId="77777777">
      <w:pPr>
        <w:rPr>
          <w:b/>
          <w:sz w:val="22"/>
          <w:szCs w:val="22"/>
        </w:rPr>
      </w:pPr>
      <w:r w:rsidRPr="000D6AE9">
        <w:rPr>
          <w:b/>
          <w:sz w:val="22"/>
          <w:szCs w:val="22"/>
        </w:rPr>
        <w:t>15.</w:t>
      </w:r>
      <w:r w:rsidRPr="000D6AE9" w:rsidR="00335ED6">
        <w:rPr>
          <w:sz w:val="22"/>
          <w:szCs w:val="22"/>
        </w:rPr>
        <w:t xml:space="preserve">  </w:t>
      </w:r>
      <w:r w:rsidRPr="000D6AE9">
        <w:rPr>
          <w:b/>
          <w:sz w:val="22"/>
          <w:szCs w:val="22"/>
        </w:rPr>
        <w:t xml:space="preserve">Explain the reasons for any program changes or adjustments reported </w:t>
      </w:r>
    </w:p>
    <w:p w:rsidR="006E1110" w:rsidRPr="000D6AE9" w:rsidP="000D6AE9" w14:paraId="38AC683B" w14:textId="77777777">
      <w:pPr>
        <w:rPr>
          <w:sz w:val="22"/>
          <w:szCs w:val="22"/>
        </w:rPr>
      </w:pPr>
    </w:p>
    <w:p w:rsidR="006E1110" w:rsidRPr="000D6AE9" w:rsidP="000D6AE9" w14:paraId="49278449" w14:textId="77777777">
      <w:pPr>
        <w:rPr>
          <w:sz w:val="22"/>
          <w:szCs w:val="22"/>
        </w:rPr>
      </w:pPr>
      <w:r w:rsidRPr="000D6AE9">
        <w:rPr>
          <w:color w:val="000000"/>
          <w:sz w:val="22"/>
          <w:szCs w:val="22"/>
        </w:rPr>
        <w:t>There have been no program changes. Reported adjustments correspond to changes in occupational pay scales as reported by the Office of Personnel Management (OPM) and an adjustment to the number of respondents submitting proposals.</w:t>
      </w:r>
      <w:r w:rsidRPr="000D6AE9">
        <w:rPr>
          <w:sz w:val="22"/>
          <w:szCs w:val="22"/>
        </w:rPr>
        <w:t xml:space="preserve"> </w:t>
      </w:r>
      <w:r w:rsidRPr="000D6AE9" w:rsidR="001C0BAE">
        <w:rPr>
          <w:sz w:val="22"/>
          <w:szCs w:val="22"/>
        </w:rPr>
        <w:t xml:space="preserve"> </w:t>
      </w:r>
    </w:p>
    <w:p w:rsidR="001C0BAE" w:rsidRPr="000D6AE9" w:rsidP="000D6AE9" w14:paraId="0C0AD118" w14:textId="77777777">
      <w:pPr>
        <w:rPr>
          <w:sz w:val="22"/>
          <w:szCs w:val="22"/>
        </w:rPr>
      </w:pPr>
    </w:p>
    <w:p w:rsidR="006E1110" w:rsidRPr="000D6AE9" w:rsidP="000D6AE9" w14:paraId="160440C4" w14:textId="77777777">
      <w:pPr>
        <w:rPr>
          <w:b/>
          <w:sz w:val="22"/>
          <w:szCs w:val="22"/>
        </w:rPr>
      </w:pPr>
      <w:r w:rsidRPr="000D6AE9">
        <w:rPr>
          <w:b/>
          <w:sz w:val="22"/>
          <w:szCs w:val="22"/>
        </w:rPr>
        <w:t>16.  For collections of information intended for publication, outline plans for</w:t>
      </w:r>
      <w:r w:rsidRPr="000D6AE9" w:rsidR="00A1553D">
        <w:rPr>
          <w:b/>
          <w:sz w:val="22"/>
          <w:szCs w:val="22"/>
        </w:rPr>
        <w:t xml:space="preserve"> </w:t>
      </w:r>
      <w:r w:rsidRPr="000D6AE9">
        <w:rPr>
          <w:b/>
          <w:sz w:val="22"/>
          <w:szCs w:val="22"/>
        </w:rPr>
        <w:t>tabulation and publication.</w:t>
      </w:r>
    </w:p>
    <w:p w:rsidR="006E1110" w:rsidRPr="000D6AE9" w:rsidP="000D6AE9" w14:paraId="3C3557C6" w14:textId="77777777">
      <w:pPr>
        <w:rPr>
          <w:sz w:val="22"/>
          <w:szCs w:val="22"/>
        </w:rPr>
      </w:pPr>
    </w:p>
    <w:p w:rsidR="006E1110" w:rsidRPr="000D6AE9" w:rsidP="000D6AE9" w14:paraId="65752616" w14:textId="77777777">
      <w:pPr>
        <w:rPr>
          <w:sz w:val="22"/>
          <w:szCs w:val="22"/>
        </w:rPr>
      </w:pPr>
      <w:r w:rsidRPr="000D6AE9">
        <w:rPr>
          <w:sz w:val="22"/>
          <w:szCs w:val="22"/>
        </w:rPr>
        <w:t>There are no collections of information intended for publication to report on for this information collection.</w:t>
      </w:r>
    </w:p>
    <w:p w:rsidR="006E1110" w:rsidRPr="000D6AE9" w:rsidP="000D6AE9" w14:paraId="5A430E0E" w14:textId="77777777">
      <w:pPr>
        <w:rPr>
          <w:sz w:val="22"/>
          <w:szCs w:val="22"/>
        </w:rPr>
      </w:pPr>
    </w:p>
    <w:p w:rsidR="006E1110" w:rsidRPr="000D6AE9" w:rsidP="000D6AE9" w14:paraId="597F16C9" w14:textId="77777777">
      <w:pPr>
        <w:pStyle w:val="BodyText"/>
        <w:rPr>
          <w:sz w:val="22"/>
          <w:szCs w:val="22"/>
        </w:rPr>
      </w:pPr>
      <w:r w:rsidRPr="000D6AE9">
        <w:rPr>
          <w:sz w:val="22"/>
          <w:szCs w:val="22"/>
        </w:rPr>
        <w:t>17.  If seeking approval to not display the expiration date for OMB approval of the information collection, explain the reasons that display may be inappropriate.</w:t>
      </w:r>
    </w:p>
    <w:p w:rsidR="006E1110" w:rsidRPr="000D6AE9" w:rsidP="000D6AE9" w14:paraId="7B9A05D7" w14:textId="77777777">
      <w:pPr>
        <w:rPr>
          <w:sz w:val="22"/>
          <w:szCs w:val="22"/>
        </w:rPr>
      </w:pPr>
    </w:p>
    <w:p w:rsidR="006E1110" w:rsidRPr="000D6AE9" w:rsidP="000D6AE9" w14:paraId="5EDF0DBA" w14:textId="77777777">
      <w:pPr>
        <w:rPr>
          <w:sz w:val="22"/>
          <w:szCs w:val="22"/>
        </w:rPr>
      </w:pPr>
      <w:r w:rsidRPr="000D6AE9">
        <w:rPr>
          <w:sz w:val="22"/>
          <w:szCs w:val="22"/>
        </w:rPr>
        <w:t xml:space="preserve">NASA </w:t>
      </w:r>
      <w:r w:rsidRPr="000D6AE9" w:rsidR="009004C9">
        <w:rPr>
          <w:sz w:val="22"/>
          <w:szCs w:val="22"/>
        </w:rPr>
        <w:t xml:space="preserve">is not seeking approval to not display the </w:t>
      </w:r>
      <w:r w:rsidRPr="000D6AE9">
        <w:rPr>
          <w:sz w:val="22"/>
          <w:szCs w:val="22"/>
        </w:rPr>
        <w:t xml:space="preserve">expiration date </w:t>
      </w:r>
      <w:r w:rsidRPr="000D6AE9" w:rsidR="00DC41DA">
        <w:rPr>
          <w:sz w:val="22"/>
          <w:szCs w:val="22"/>
        </w:rPr>
        <w:t>for OMB approval of the information collection</w:t>
      </w:r>
      <w:r w:rsidRPr="000D6AE9">
        <w:rPr>
          <w:sz w:val="22"/>
          <w:szCs w:val="22"/>
        </w:rPr>
        <w:t>.</w:t>
      </w:r>
    </w:p>
    <w:p w:rsidR="006E1110" w:rsidRPr="000D6AE9" w:rsidP="000D6AE9" w14:paraId="2E1E85E4" w14:textId="77777777">
      <w:pPr>
        <w:rPr>
          <w:sz w:val="22"/>
          <w:szCs w:val="22"/>
        </w:rPr>
      </w:pPr>
    </w:p>
    <w:p w:rsidR="006E1110" w:rsidRPr="000D6AE9" w:rsidP="000D6AE9" w14:paraId="64035631" w14:textId="77777777">
      <w:pPr>
        <w:pStyle w:val="BodyText"/>
        <w:rPr>
          <w:sz w:val="22"/>
          <w:szCs w:val="22"/>
        </w:rPr>
      </w:pPr>
      <w:r w:rsidRPr="000D6AE9">
        <w:rPr>
          <w:sz w:val="22"/>
          <w:szCs w:val="22"/>
        </w:rPr>
        <w:t xml:space="preserve">18.  Explain </w:t>
      </w:r>
      <w:r w:rsidRPr="000D6AE9" w:rsidR="00B12095">
        <w:rPr>
          <w:sz w:val="22"/>
          <w:szCs w:val="22"/>
        </w:rPr>
        <w:t>all</w:t>
      </w:r>
      <w:r w:rsidRPr="000D6AE9">
        <w:rPr>
          <w:sz w:val="22"/>
          <w:szCs w:val="22"/>
        </w:rPr>
        <w:t xml:space="preserve"> exception</w:t>
      </w:r>
      <w:r w:rsidRPr="000D6AE9" w:rsidR="00B12095">
        <w:rPr>
          <w:sz w:val="22"/>
          <w:szCs w:val="22"/>
        </w:rPr>
        <w:t>s</w:t>
      </w:r>
      <w:r w:rsidRPr="000D6AE9">
        <w:rPr>
          <w:sz w:val="22"/>
          <w:szCs w:val="22"/>
        </w:rPr>
        <w:t xml:space="preserve"> to the “Certification for Paper</w:t>
      </w:r>
      <w:r w:rsidRPr="000D6AE9" w:rsidR="00B12095">
        <w:rPr>
          <w:sz w:val="22"/>
          <w:szCs w:val="22"/>
        </w:rPr>
        <w:t>work Redu</w:t>
      </w:r>
      <w:r w:rsidRPr="000D6AE9" w:rsidR="007074D9">
        <w:rPr>
          <w:sz w:val="22"/>
          <w:szCs w:val="22"/>
        </w:rPr>
        <w:t xml:space="preserve">ction Act </w:t>
      </w:r>
      <w:r w:rsidRPr="000D6AE9">
        <w:rPr>
          <w:sz w:val="22"/>
          <w:szCs w:val="22"/>
        </w:rPr>
        <w:t>Submissions.”</w:t>
      </w:r>
    </w:p>
    <w:p w:rsidR="00335ED6" w:rsidRPr="000D6AE9" w:rsidP="000D6AE9" w14:paraId="6F0E71E3" w14:textId="77777777">
      <w:pPr>
        <w:rPr>
          <w:rFonts w:eastAsia="Calibri"/>
          <w:sz w:val="22"/>
          <w:szCs w:val="22"/>
        </w:rPr>
      </w:pPr>
    </w:p>
    <w:p w:rsidR="001226BD" w:rsidRPr="000D6AE9" w:rsidP="000D6AE9" w14:paraId="1833F45F" w14:textId="12107DAB">
      <w:pPr>
        <w:rPr>
          <w:rFonts w:eastAsia="Calibri"/>
          <w:sz w:val="22"/>
          <w:szCs w:val="22"/>
        </w:rPr>
      </w:pPr>
      <w:r w:rsidRPr="000D6AE9">
        <w:rPr>
          <w:rFonts w:eastAsia="Calibri"/>
          <w:sz w:val="22"/>
          <w:szCs w:val="22"/>
        </w:rPr>
        <w:t xml:space="preserve">The NASA </w:t>
      </w:r>
      <w:r w:rsidRPr="000D6AE9" w:rsidR="00635DDD">
        <w:rPr>
          <w:rFonts w:eastAsia="Calibri"/>
          <w:sz w:val="22"/>
          <w:szCs w:val="22"/>
        </w:rPr>
        <w:t xml:space="preserve">Office of Procurement, </w:t>
      </w:r>
      <w:r w:rsidRPr="000D6AE9" w:rsidR="00324CBF">
        <w:rPr>
          <w:rFonts w:eastAsia="Calibri"/>
          <w:sz w:val="22"/>
          <w:szCs w:val="22"/>
        </w:rPr>
        <w:t xml:space="preserve">Procurement </w:t>
      </w:r>
      <w:r w:rsidRPr="000D6AE9" w:rsidR="00635DDD">
        <w:rPr>
          <w:rFonts w:eastAsia="Calibri"/>
          <w:sz w:val="22"/>
          <w:szCs w:val="22"/>
        </w:rPr>
        <w:t xml:space="preserve">Management and </w:t>
      </w:r>
      <w:r w:rsidRPr="000D6AE9" w:rsidR="007074D9">
        <w:rPr>
          <w:rFonts w:eastAsia="Calibri"/>
          <w:sz w:val="22"/>
          <w:szCs w:val="22"/>
        </w:rPr>
        <w:t>Policy Division s</w:t>
      </w:r>
      <w:r w:rsidRPr="000D6AE9">
        <w:rPr>
          <w:rFonts w:eastAsia="Calibri"/>
          <w:sz w:val="22"/>
          <w:szCs w:val="22"/>
        </w:rPr>
        <w:t>ponsors this information collection. NASA does not take exception to the content of 5 CFR1320.9 and the related provisions of 5 CFR 1320.8(b)(3).</w:t>
      </w:r>
    </w:p>
    <w:p w:rsidR="006E1110" w:rsidRPr="000D6AE9" w:rsidP="000D6AE9" w14:paraId="1C32B15D" w14:textId="77777777">
      <w:pPr>
        <w:rPr>
          <w:sz w:val="22"/>
          <w:szCs w:val="22"/>
        </w:rPr>
      </w:pPr>
    </w:p>
    <w:p w:rsidR="006E1110" w:rsidRPr="000D6AE9" w:rsidP="000D6AE9" w14:paraId="5FCAEFE2" w14:textId="7C202655">
      <w:pPr>
        <w:rPr>
          <w:sz w:val="22"/>
          <w:szCs w:val="22"/>
        </w:rPr>
      </w:pPr>
      <w:r w:rsidRPr="000D6AE9">
        <w:rPr>
          <w:sz w:val="22"/>
          <w:szCs w:val="22"/>
        </w:rPr>
        <w:t>Christiane Diallo,</w:t>
      </w:r>
      <w:r w:rsidRPr="000D6AE9" w:rsidR="00506D87">
        <w:rPr>
          <w:sz w:val="22"/>
          <w:szCs w:val="22"/>
        </w:rPr>
        <w:t xml:space="preserve"> </w:t>
      </w:r>
      <w:r w:rsidRPr="000D6AE9" w:rsidR="00506D87">
        <w:rPr>
          <w:color w:val="000000"/>
          <w:sz w:val="22"/>
          <w:szCs w:val="22"/>
        </w:rPr>
        <w:t xml:space="preserve">NASA </w:t>
      </w:r>
      <w:r w:rsidRPr="000D6AE9" w:rsidR="00EF7576">
        <w:rPr>
          <w:color w:val="000000"/>
          <w:sz w:val="22"/>
          <w:szCs w:val="22"/>
        </w:rPr>
        <w:t>HQ</w:t>
      </w:r>
      <w:r w:rsidRPr="000D6AE9">
        <w:rPr>
          <w:color w:val="000000"/>
          <w:sz w:val="22"/>
          <w:szCs w:val="22"/>
        </w:rPr>
        <w:t xml:space="preserve"> - Office of </w:t>
      </w:r>
      <w:r w:rsidRPr="000D6AE9" w:rsidR="00860289">
        <w:rPr>
          <w:color w:val="000000"/>
          <w:sz w:val="22"/>
          <w:szCs w:val="22"/>
        </w:rPr>
        <w:t>Procurement</w:t>
      </w:r>
      <w:r w:rsidRPr="000D6AE9" w:rsidR="00635DDD">
        <w:rPr>
          <w:color w:val="000000"/>
          <w:sz w:val="22"/>
          <w:szCs w:val="22"/>
        </w:rPr>
        <w:t>, Procurement Management &amp;</w:t>
      </w:r>
      <w:r w:rsidRPr="000D6AE9">
        <w:rPr>
          <w:color w:val="000000"/>
          <w:sz w:val="22"/>
          <w:szCs w:val="22"/>
        </w:rPr>
        <w:t xml:space="preserve"> Policy </w:t>
      </w:r>
      <w:r w:rsidRPr="000D6AE9" w:rsidR="00546022">
        <w:rPr>
          <w:color w:val="000000"/>
          <w:sz w:val="22"/>
          <w:szCs w:val="22"/>
        </w:rPr>
        <w:t>Division</w:t>
      </w:r>
    </w:p>
    <w:p w:rsidR="00335ED6" w:rsidRPr="000D6AE9" w:rsidP="000D6AE9" w14:paraId="49299707" w14:textId="77777777">
      <w:pPr>
        <w:outlineLvl w:val="0"/>
        <w:rPr>
          <w:b/>
          <w:sz w:val="22"/>
          <w:szCs w:val="22"/>
        </w:rPr>
      </w:pPr>
    </w:p>
    <w:p w:rsidR="00507C17" w:rsidRPr="000D6AE9" w:rsidP="000D6AE9" w14:paraId="5B93B3E5" w14:textId="77777777">
      <w:pPr>
        <w:outlineLvl w:val="0"/>
        <w:rPr>
          <w:sz w:val="22"/>
          <w:szCs w:val="22"/>
        </w:rPr>
      </w:pPr>
      <w:r w:rsidRPr="000D6AE9">
        <w:rPr>
          <w:b/>
          <w:sz w:val="22"/>
          <w:szCs w:val="22"/>
        </w:rPr>
        <w:t>B.  Collections of Information Employing Statistical Methods</w:t>
      </w:r>
      <w:r w:rsidRPr="000D6AE9">
        <w:rPr>
          <w:sz w:val="22"/>
          <w:szCs w:val="22"/>
        </w:rPr>
        <w:t>.</w:t>
      </w:r>
    </w:p>
    <w:p w:rsidR="00507C17" w:rsidRPr="000D6AE9" w:rsidP="000D6AE9" w14:paraId="7B38487F" w14:textId="290F6B9E">
      <w:pPr>
        <w:rPr>
          <w:sz w:val="22"/>
          <w:szCs w:val="22"/>
        </w:rPr>
      </w:pPr>
      <w:r w:rsidRPr="000D6AE9">
        <w:rPr>
          <w:sz w:val="22"/>
          <w:szCs w:val="22"/>
        </w:rPr>
        <w:t>This information collection does not employ statistical methods.</w:t>
      </w:r>
    </w:p>
    <w:sectPr w:rsidSect="009D401D">
      <w:footerReference w:type="default" r:id="rId8"/>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1B7" w14:paraId="2D73BF68" w14:textId="77777777">
    <w:pPr>
      <w:pStyle w:val="Footer"/>
      <w:jc w:val="right"/>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14CC6">
      <w:rPr>
        <w:rStyle w:val="PageNumber"/>
        <w:sz w:val="24"/>
      </w:rPr>
      <w:t>1</w:t>
    </w:r>
    <w:r>
      <w:rPr>
        <w:rStyle w:val="PageNumber"/>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62C3C"/>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abstractNum w:abstractNumId="1">
    <w:nsid w:val="0C5A0C1B"/>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abstractNum w:abstractNumId="2">
    <w:nsid w:val="0E5C0838"/>
    <w:multiLevelType w:val="hybridMultilevel"/>
    <w:tmpl w:val="CF5472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EF1808"/>
    <w:multiLevelType w:val="hybridMultilevel"/>
    <w:tmpl w:val="6A48E2F0"/>
    <w:lvl w:ilvl="0">
      <w:start w:val="3"/>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4D96CA9"/>
    <w:multiLevelType w:val="hybridMultilevel"/>
    <w:tmpl w:val="A260BA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897F82"/>
    <w:multiLevelType w:val="hybridMultilevel"/>
    <w:tmpl w:val="507617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AAD1851"/>
    <w:multiLevelType w:val="hybridMultilevel"/>
    <w:tmpl w:val="687CB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E5F08A4"/>
    <w:multiLevelType w:val="hybridMultilevel"/>
    <w:tmpl w:val="F424A98E"/>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9">
    <w:nsid w:val="71B16413"/>
    <w:multiLevelType w:val="hybridMultilevel"/>
    <w:tmpl w:val="9912D2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5116F69"/>
    <w:multiLevelType w:val="hybridMultilevel"/>
    <w:tmpl w:val="BE44F1E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7291173">
    <w:abstractNumId w:val="0"/>
  </w:num>
  <w:num w:numId="2" w16cid:durableId="1270090761">
    <w:abstractNumId w:val="1"/>
  </w:num>
  <w:num w:numId="3" w16cid:durableId="809055841">
    <w:abstractNumId w:val="9"/>
  </w:num>
  <w:num w:numId="4" w16cid:durableId="1332831981">
    <w:abstractNumId w:val="2"/>
  </w:num>
  <w:num w:numId="5" w16cid:durableId="1260915905">
    <w:abstractNumId w:val="6"/>
  </w:num>
  <w:num w:numId="6" w16cid:durableId="1283002721">
    <w:abstractNumId w:val="5"/>
  </w:num>
  <w:num w:numId="7" w16cid:durableId="927007410">
    <w:abstractNumId w:val="10"/>
  </w:num>
  <w:num w:numId="8" w16cid:durableId="1103453233">
    <w:abstractNumId w:val="3"/>
  </w:num>
  <w:num w:numId="9" w16cid:durableId="1865560283">
    <w:abstractNumId w:val="7"/>
  </w:num>
  <w:num w:numId="10" w16cid:durableId="1128474361">
    <w:abstractNumId w:val="8"/>
  </w:num>
  <w:num w:numId="11" w16cid:durableId="1853454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5B"/>
    <w:rsid w:val="00005FB3"/>
    <w:rsid w:val="000077D9"/>
    <w:rsid w:val="00007DAC"/>
    <w:rsid w:val="000109A8"/>
    <w:rsid w:val="00023D70"/>
    <w:rsid w:val="00030954"/>
    <w:rsid w:val="000363A4"/>
    <w:rsid w:val="00042CD9"/>
    <w:rsid w:val="000507B8"/>
    <w:rsid w:val="00052027"/>
    <w:rsid w:val="00053563"/>
    <w:rsid w:val="00055AC7"/>
    <w:rsid w:val="000659D5"/>
    <w:rsid w:val="00076EE1"/>
    <w:rsid w:val="00080487"/>
    <w:rsid w:val="0008210F"/>
    <w:rsid w:val="00083FE8"/>
    <w:rsid w:val="00085620"/>
    <w:rsid w:val="000863D2"/>
    <w:rsid w:val="00096288"/>
    <w:rsid w:val="000B2720"/>
    <w:rsid w:val="000B598E"/>
    <w:rsid w:val="000B624E"/>
    <w:rsid w:val="000B6BFB"/>
    <w:rsid w:val="000B7A24"/>
    <w:rsid w:val="000C77E4"/>
    <w:rsid w:val="000D6AE9"/>
    <w:rsid w:val="000E282B"/>
    <w:rsid w:val="000E41D0"/>
    <w:rsid w:val="000F2920"/>
    <w:rsid w:val="000F5ACD"/>
    <w:rsid w:val="000F61BC"/>
    <w:rsid w:val="000F7637"/>
    <w:rsid w:val="000F77BD"/>
    <w:rsid w:val="001012F3"/>
    <w:rsid w:val="001117E9"/>
    <w:rsid w:val="00117F99"/>
    <w:rsid w:val="001226BD"/>
    <w:rsid w:val="001362FD"/>
    <w:rsid w:val="001428C7"/>
    <w:rsid w:val="00143FC8"/>
    <w:rsid w:val="00145682"/>
    <w:rsid w:val="00155ACF"/>
    <w:rsid w:val="00170F05"/>
    <w:rsid w:val="00171249"/>
    <w:rsid w:val="00173406"/>
    <w:rsid w:val="00175CAF"/>
    <w:rsid w:val="00177948"/>
    <w:rsid w:val="00197B56"/>
    <w:rsid w:val="001A1A93"/>
    <w:rsid w:val="001A57A7"/>
    <w:rsid w:val="001A6899"/>
    <w:rsid w:val="001A760A"/>
    <w:rsid w:val="001C0BAE"/>
    <w:rsid w:val="001C1512"/>
    <w:rsid w:val="001C654E"/>
    <w:rsid w:val="001D04E7"/>
    <w:rsid w:val="001D07C3"/>
    <w:rsid w:val="001D30C6"/>
    <w:rsid w:val="001D58B8"/>
    <w:rsid w:val="001D6C3E"/>
    <w:rsid w:val="001E358D"/>
    <w:rsid w:val="001E4E16"/>
    <w:rsid w:val="001E5E1E"/>
    <w:rsid w:val="001E6C27"/>
    <w:rsid w:val="001F0737"/>
    <w:rsid w:val="001F0B07"/>
    <w:rsid w:val="00203F26"/>
    <w:rsid w:val="002169F1"/>
    <w:rsid w:val="002204F7"/>
    <w:rsid w:val="00226C5D"/>
    <w:rsid w:val="00232876"/>
    <w:rsid w:val="002412FB"/>
    <w:rsid w:val="002538FF"/>
    <w:rsid w:val="00264DEC"/>
    <w:rsid w:val="0027563D"/>
    <w:rsid w:val="00275B85"/>
    <w:rsid w:val="00287539"/>
    <w:rsid w:val="00292A7F"/>
    <w:rsid w:val="00295BC6"/>
    <w:rsid w:val="002960D9"/>
    <w:rsid w:val="002B38B5"/>
    <w:rsid w:val="002B743F"/>
    <w:rsid w:val="002C56ED"/>
    <w:rsid w:val="002C58B1"/>
    <w:rsid w:val="002C7472"/>
    <w:rsid w:val="002C7A8B"/>
    <w:rsid w:val="002D37DF"/>
    <w:rsid w:val="002D3CDF"/>
    <w:rsid w:val="002D5A68"/>
    <w:rsid w:val="002D7A64"/>
    <w:rsid w:val="002E5C3F"/>
    <w:rsid w:val="002E5FA7"/>
    <w:rsid w:val="002F0898"/>
    <w:rsid w:val="002F27D1"/>
    <w:rsid w:val="002F4D11"/>
    <w:rsid w:val="0030222E"/>
    <w:rsid w:val="003071A4"/>
    <w:rsid w:val="00315C88"/>
    <w:rsid w:val="00315E8D"/>
    <w:rsid w:val="003209D8"/>
    <w:rsid w:val="00320A28"/>
    <w:rsid w:val="00324CBF"/>
    <w:rsid w:val="003337DB"/>
    <w:rsid w:val="00334089"/>
    <w:rsid w:val="00334298"/>
    <w:rsid w:val="00335ED6"/>
    <w:rsid w:val="00341F60"/>
    <w:rsid w:val="003425E4"/>
    <w:rsid w:val="003600FD"/>
    <w:rsid w:val="00363250"/>
    <w:rsid w:val="00370AE8"/>
    <w:rsid w:val="00372622"/>
    <w:rsid w:val="00372948"/>
    <w:rsid w:val="003761AD"/>
    <w:rsid w:val="00383F43"/>
    <w:rsid w:val="0038556D"/>
    <w:rsid w:val="003A719D"/>
    <w:rsid w:val="003A7A8D"/>
    <w:rsid w:val="003B5152"/>
    <w:rsid w:val="003E10A0"/>
    <w:rsid w:val="003E13C2"/>
    <w:rsid w:val="003E39B0"/>
    <w:rsid w:val="003E59CE"/>
    <w:rsid w:val="003F18CD"/>
    <w:rsid w:val="00401102"/>
    <w:rsid w:val="00422514"/>
    <w:rsid w:val="00437E7C"/>
    <w:rsid w:val="0044067A"/>
    <w:rsid w:val="0044341C"/>
    <w:rsid w:val="00443473"/>
    <w:rsid w:val="0044619F"/>
    <w:rsid w:val="00457178"/>
    <w:rsid w:val="0046099C"/>
    <w:rsid w:val="004619EF"/>
    <w:rsid w:val="00463D42"/>
    <w:rsid w:val="00465D84"/>
    <w:rsid w:val="00467129"/>
    <w:rsid w:val="00471A99"/>
    <w:rsid w:val="00471BDC"/>
    <w:rsid w:val="0047426C"/>
    <w:rsid w:val="00475159"/>
    <w:rsid w:val="004843CC"/>
    <w:rsid w:val="00484E4E"/>
    <w:rsid w:val="0048501F"/>
    <w:rsid w:val="004850B6"/>
    <w:rsid w:val="004A15D4"/>
    <w:rsid w:val="004A2A2B"/>
    <w:rsid w:val="004A2DF2"/>
    <w:rsid w:val="004B0B72"/>
    <w:rsid w:val="004C295B"/>
    <w:rsid w:val="004C42E6"/>
    <w:rsid w:val="004C4E6F"/>
    <w:rsid w:val="004C56BE"/>
    <w:rsid w:val="004D0B2C"/>
    <w:rsid w:val="004D3520"/>
    <w:rsid w:val="004D7C81"/>
    <w:rsid w:val="004E09D6"/>
    <w:rsid w:val="004E1C72"/>
    <w:rsid w:val="004F3C3B"/>
    <w:rsid w:val="004F4696"/>
    <w:rsid w:val="00500A09"/>
    <w:rsid w:val="00502756"/>
    <w:rsid w:val="0050286C"/>
    <w:rsid w:val="00506D87"/>
    <w:rsid w:val="00507C17"/>
    <w:rsid w:val="00513DC8"/>
    <w:rsid w:val="005240B3"/>
    <w:rsid w:val="00526412"/>
    <w:rsid w:val="00541D0C"/>
    <w:rsid w:val="00542CB3"/>
    <w:rsid w:val="00546022"/>
    <w:rsid w:val="00550D61"/>
    <w:rsid w:val="00554A7E"/>
    <w:rsid w:val="0056447D"/>
    <w:rsid w:val="00565392"/>
    <w:rsid w:val="005757B0"/>
    <w:rsid w:val="0057720B"/>
    <w:rsid w:val="005835C8"/>
    <w:rsid w:val="00593562"/>
    <w:rsid w:val="00594845"/>
    <w:rsid w:val="005A7ABB"/>
    <w:rsid w:val="005B2184"/>
    <w:rsid w:val="005C0184"/>
    <w:rsid w:val="005C047F"/>
    <w:rsid w:val="005C20F0"/>
    <w:rsid w:val="005D0115"/>
    <w:rsid w:val="005D111C"/>
    <w:rsid w:val="005E0522"/>
    <w:rsid w:val="005E0CC7"/>
    <w:rsid w:val="005E3ED7"/>
    <w:rsid w:val="005E4E2C"/>
    <w:rsid w:val="006029D1"/>
    <w:rsid w:val="0060440F"/>
    <w:rsid w:val="00621A5F"/>
    <w:rsid w:val="006220A9"/>
    <w:rsid w:val="0062281A"/>
    <w:rsid w:val="0062701B"/>
    <w:rsid w:val="00633AB0"/>
    <w:rsid w:val="00635DDD"/>
    <w:rsid w:val="0064241E"/>
    <w:rsid w:val="006505C5"/>
    <w:rsid w:val="00651E2F"/>
    <w:rsid w:val="00665EFC"/>
    <w:rsid w:val="00666816"/>
    <w:rsid w:val="00667C8A"/>
    <w:rsid w:val="00673E70"/>
    <w:rsid w:val="00686014"/>
    <w:rsid w:val="006A542A"/>
    <w:rsid w:val="006B5D4A"/>
    <w:rsid w:val="006B6906"/>
    <w:rsid w:val="006C1805"/>
    <w:rsid w:val="006C4370"/>
    <w:rsid w:val="006C67CE"/>
    <w:rsid w:val="006C6DE5"/>
    <w:rsid w:val="006C6EE9"/>
    <w:rsid w:val="006C770B"/>
    <w:rsid w:val="006D14FE"/>
    <w:rsid w:val="006D7E7E"/>
    <w:rsid w:val="006E1110"/>
    <w:rsid w:val="006E259B"/>
    <w:rsid w:val="006F22E6"/>
    <w:rsid w:val="006F44AF"/>
    <w:rsid w:val="006F753B"/>
    <w:rsid w:val="007038CA"/>
    <w:rsid w:val="007074D9"/>
    <w:rsid w:val="00707BA7"/>
    <w:rsid w:val="00722DB9"/>
    <w:rsid w:val="00746A24"/>
    <w:rsid w:val="007472A3"/>
    <w:rsid w:val="007735C8"/>
    <w:rsid w:val="00783E2F"/>
    <w:rsid w:val="00783F8A"/>
    <w:rsid w:val="00793A61"/>
    <w:rsid w:val="00793EDA"/>
    <w:rsid w:val="00794E2A"/>
    <w:rsid w:val="007A1023"/>
    <w:rsid w:val="007B0F50"/>
    <w:rsid w:val="007C17EC"/>
    <w:rsid w:val="007C3F5E"/>
    <w:rsid w:val="007D0395"/>
    <w:rsid w:val="007D2240"/>
    <w:rsid w:val="007D78A1"/>
    <w:rsid w:val="007E107E"/>
    <w:rsid w:val="007E5CF3"/>
    <w:rsid w:val="007F5926"/>
    <w:rsid w:val="007F6163"/>
    <w:rsid w:val="0082054D"/>
    <w:rsid w:val="00821827"/>
    <w:rsid w:val="0083028D"/>
    <w:rsid w:val="008332DA"/>
    <w:rsid w:val="008426C8"/>
    <w:rsid w:val="0085670B"/>
    <w:rsid w:val="00860289"/>
    <w:rsid w:val="0086763B"/>
    <w:rsid w:val="00872588"/>
    <w:rsid w:val="00873D6B"/>
    <w:rsid w:val="008826F6"/>
    <w:rsid w:val="00884924"/>
    <w:rsid w:val="00886EEF"/>
    <w:rsid w:val="00892907"/>
    <w:rsid w:val="008A0D35"/>
    <w:rsid w:val="008B574E"/>
    <w:rsid w:val="008B7580"/>
    <w:rsid w:val="008C2915"/>
    <w:rsid w:val="008C7039"/>
    <w:rsid w:val="008E03BA"/>
    <w:rsid w:val="008F1AB0"/>
    <w:rsid w:val="008F4290"/>
    <w:rsid w:val="008F5235"/>
    <w:rsid w:val="008F698A"/>
    <w:rsid w:val="009004C9"/>
    <w:rsid w:val="009113FA"/>
    <w:rsid w:val="00912125"/>
    <w:rsid w:val="00914CC6"/>
    <w:rsid w:val="00915980"/>
    <w:rsid w:val="00922596"/>
    <w:rsid w:val="0093504A"/>
    <w:rsid w:val="0093768C"/>
    <w:rsid w:val="00956C78"/>
    <w:rsid w:val="00957B14"/>
    <w:rsid w:val="009606C1"/>
    <w:rsid w:val="00963140"/>
    <w:rsid w:val="00963AA5"/>
    <w:rsid w:val="00967FCB"/>
    <w:rsid w:val="009733BE"/>
    <w:rsid w:val="009770F6"/>
    <w:rsid w:val="009775F4"/>
    <w:rsid w:val="009778C8"/>
    <w:rsid w:val="00992913"/>
    <w:rsid w:val="00995A8D"/>
    <w:rsid w:val="0099723F"/>
    <w:rsid w:val="009A24A6"/>
    <w:rsid w:val="009B32A9"/>
    <w:rsid w:val="009B6439"/>
    <w:rsid w:val="009B7470"/>
    <w:rsid w:val="009C2E3E"/>
    <w:rsid w:val="009D066A"/>
    <w:rsid w:val="009D2738"/>
    <w:rsid w:val="009D401D"/>
    <w:rsid w:val="009E48BF"/>
    <w:rsid w:val="009E5E05"/>
    <w:rsid w:val="009F7F46"/>
    <w:rsid w:val="00A1553D"/>
    <w:rsid w:val="00A24D96"/>
    <w:rsid w:val="00A33AD4"/>
    <w:rsid w:val="00A418B8"/>
    <w:rsid w:val="00A45D17"/>
    <w:rsid w:val="00A5175C"/>
    <w:rsid w:val="00A55469"/>
    <w:rsid w:val="00A651B7"/>
    <w:rsid w:val="00A65FA6"/>
    <w:rsid w:val="00A73378"/>
    <w:rsid w:val="00A7636D"/>
    <w:rsid w:val="00A81BC7"/>
    <w:rsid w:val="00A873B1"/>
    <w:rsid w:val="00A93729"/>
    <w:rsid w:val="00AA15EA"/>
    <w:rsid w:val="00AA551B"/>
    <w:rsid w:val="00AB0537"/>
    <w:rsid w:val="00AB0C51"/>
    <w:rsid w:val="00AB15E5"/>
    <w:rsid w:val="00AD3B5A"/>
    <w:rsid w:val="00AD5194"/>
    <w:rsid w:val="00AD64D5"/>
    <w:rsid w:val="00AD680D"/>
    <w:rsid w:val="00B048DB"/>
    <w:rsid w:val="00B10EF8"/>
    <w:rsid w:val="00B12095"/>
    <w:rsid w:val="00B205A9"/>
    <w:rsid w:val="00B2385B"/>
    <w:rsid w:val="00B27B16"/>
    <w:rsid w:val="00B31043"/>
    <w:rsid w:val="00B347FF"/>
    <w:rsid w:val="00B40852"/>
    <w:rsid w:val="00B41581"/>
    <w:rsid w:val="00B717B5"/>
    <w:rsid w:val="00B8111D"/>
    <w:rsid w:val="00B86B09"/>
    <w:rsid w:val="00B86D7C"/>
    <w:rsid w:val="00B928AD"/>
    <w:rsid w:val="00B93BC7"/>
    <w:rsid w:val="00B9430D"/>
    <w:rsid w:val="00BA1B72"/>
    <w:rsid w:val="00BB0F70"/>
    <w:rsid w:val="00BB50E4"/>
    <w:rsid w:val="00BB7C8A"/>
    <w:rsid w:val="00BD33E6"/>
    <w:rsid w:val="00BD68FA"/>
    <w:rsid w:val="00BE69E0"/>
    <w:rsid w:val="00C00381"/>
    <w:rsid w:val="00C1445F"/>
    <w:rsid w:val="00C25CD5"/>
    <w:rsid w:val="00C308F1"/>
    <w:rsid w:val="00C4592C"/>
    <w:rsid w:val="00C620F5"/>
    <w:rsid w:val="00C703B4"/>
    <w:rsid w:val="00C838AA"/>
    <w:rsid w:val="00C95724"/>
    <w:rsid w:val="00CA288F"/>
    <w:rsid w:val="00CA2B5E"/>
    <w:rsid w:val="00CC1DE1"/>
    <w:rsid w:val="00CC3E8D"/>
    <w:rsid w:val="00CC5A10"/>
    <w:rsid w:val="00CE0AAD"/>
    <w:rsid w:val="00CF15F5"/>
    <w:rsid w:val="00CF2210"/>
    <w:rsid w:val="00D006B4"/>
    <w:rsid w:val="00D015C2"/>
    <w:rsid w:val="00D061B7"/>
    <w:rsid w:val="00D11DA3"/>
    <w:rsid w:val="00D161AA"/>
    <w:rsid w:val="00D303D2"/>
    <w:rsid w:val="00D3107B"/>
    <w:rsid w:val="00D31A01"/>
    <w:rsid w:val="00D46643"/>
    <w:rsid w:val="00D47D50"/>
    <w:rsid w:val="00D62FD8"/>
    <w:rsid w:val="00D63BD9"/>
    <w:rsid w:val="00D70C0E"/>
    <w:rsid w:val="00D73264"/>
    <w:rsid w:val="00D81D9E"/>
    <w:rsid w:val="00D860B8"/>
    <w:rsid w:val="00D9158C"/>
    <w:rsid w:val="00D94718"/>
    <w:rsid w:val="00DB1444"/>
    <w:rsid w:val="00DB3DA0"/>
    <w:rsid w:val="00DC288D"/>
    <w:rsid w:val="00DC41DA"/>
    <w:rsid w:val="00DD4411"/>
    <w:rsid w:val="00DE181F"/>
    <w:rsid w:val="00DE63B0"/>
    <w:rsid w:val="00DE7601"/>
    <w:rsid w:val="00DF1317"/>
    <w:rsid w:val="00E04574"/>
    <w:rsid w:val="00E12D23"/>
    <w:rsid w:val="00E16E03"/>
    <w:rsid w:val="00E27F88"/>
    <w:rsid w:val="00E34B04"/>
    <w:rsid w:val="00E37880"/>
    <w:rsid w:val="00E43ABD"/>
    <w:rsid w:val="00E52035"/>
    <w:rsid w:val="00E6168C"/>
    <w:rsid w:val="00E657F3"/>
    <w:rsid w:val="00E70075"/>
    <w:rsid w:val="00E71489"/>
    <w:rsid w:val="00E762D0"/>
    <w:rsid w:val="00E76A68"/>
    <w:rsid w:val="00E81B21"/>
    <w:rsid w:val="00E848DE"/>
    <w:rsid w:val="00E906CA"/>
    <w:rsid w:val="00E926AD"/>
    <w:rsid w:val="00E94773"/>
    <w:rsid w:val="00EA04B2"/>
    <w:rsid w:val="00EA686F"/>
    <w:rsid w:val="00EA6A60"/>
    <w:rsid w:val="00EB602F"/>
    <w:rsid w:val="00EC469A"/>
    <w:rsid w:val="00EE1616"/>
    <w:rsid w:val="00EE6270"/>
    <w:rsid w:val="00EE733B"/>
    <w:rsid w:val="00EF0335"/>
    <w:rsid w:val="00EF518D"/>
    <w:rsid w:val="00EF7576"/>
    <w:rsid w:val="00F065BE"/>
    <w:rsid w:val="00F1198E"/>
    <w:rsid w:val="00F17571"/>
    <w:rsid w:val="00F23B6A"/>
    <w:rsid w:val="00F33892"/>
    <w:rsid w:val="00F42643"/>
    <w:rsid w:val="00F46355"/>
    <w:rsid w:val="00F5284D"/>
    <w:rsid w:val="00F52F94"/>
    <w:rsid w:val="00F56292"/>
    <w:rsid w:val="00F57D34"/>
    <w:rsid w:val="00F71042"/>
    <w:rsid w:val="00F72044"/>
    <w:rsid w:val="00F751D8"/>
    <w:rsid w:val="00F75678"/>
    <w:rsid w:val="00F8302E"/>
    <w:rsid w:val="00F86804"/>
    <w:rsid w:val="00F87F02"/>
    <w:rsid w:val="00F9408D"/>
    <w:rsid w:val="00F9583A"/>
    <w:rsid w:val="00FA0FBD"/>
    <w:rsid w:val="00FB7464"/>
    <w:rsid w:val="00FC15F0"/>
    <w:rsid w:val="00FC46B0"/>
    <w:rsid w:val="00FC6B4C"/>
    <w:rsid w:val="00FE3BF1"/>
    <w:rsid w:val="00FE4D8D"/>
    <w:rsid w:val="00FF0FA7"/>
    <w:rsid w:val="00FF1A2C"/>
    <w:rsid w:val="00FF29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7C1592"/>
  <w15:chartTrackingRefBased/>
  <w15:docId w15:val="{C0D71B19-BD7E-4A0C-A2D3-68A5CC75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450"/>
    </w:pPr>
    <w:rPr>
      <w:sz w:val="24"/>
    </w:rPr>
  </w:style>
  <w:style w:type="paragraph" w:styleId="BodyText3">
    <w:name w:val="Body Text 3"/>
    <w:basedOn w:val="Normal"/>
    <w:rPr>
      <w:sz w:val="24"/>
    </w:rPr>
  </w:style>
  <w:style w:type="paragraph" w:customStyle="1" w:styleId="Style2">
    <w:name w:val="Style 2"/>
    <w:rsid w:val="00DF1317"/>
    <w:pPr>
      <w:widowControl w:val="0"/>
      <w:autoSpaceDE w:val="0"/>
      <w:autoSpaceDN w:val="0"/>
      <w:spacing w:before="288"/>
    </w:pPr>
    <w:rPr>
      <w:sz w:val="24"/>
      <w:szCs w:val="24"/>
    </w:rPr>
  </w:style>
  <w:style w:type="paragraph" w:styleId="TableofFigures">
    <w:name w:val="table of figures"/>
    <w:basedOn w:val="Normal"/>
    <w:next w:val="Normal"/>
    <w:semiHidden/>
    <w:pPr>
      <w:ind w:left="400" w:hanging="400"/>
    </w:pPr>
  </w:style>
  <w:style w:type="character" w:customStyle="1" w:styleId="CharacterStyle1">
    <w:name w:val="Character Style 1"/>
    <w:rsid w:val="00DF1317"/>
    <w:rPr>
      <w:sz w:val="24"/>
      <w:szCs w:val="24"/>
    </w:rPr>
  </w:style>
  <w:style w:type="paragraph" w:customStyle="1" w:styleId="Style1">
    <w:name w:val="Style 1"/>
    <w:rsid w:val="00DF1317"/>
    <w:pPr>
      <w:widowControl w:val="0"/>
      <w:autoSpaceDE w:val="0"/>
      <w:autoSpaceDN w:val="0"/>
      <w:adjustRightInd w:val="0"/>
    </w:pPr>
  </w:style>
  <w:style w:type="paragraph" w:styleId="BalloonText">
    <w:name w:val="Balloon Text"/>
    <w:basedOn w:val="Normal"/>
    <w:link w:val="BalloonTextChar"/>
    <w:rsid w:val="00275B85"/>
    <w:rPr>
      <w:rFonts w:ascii="Segoe UI" w:hAnsi="Segoe UI" w:cs="Segoe UI"/>
      <w:sz w:val="18"/>
      <w:szCs w:val="18"/>
    </w:rPr>
  </w:style>
  <w:style w:type="character" w:customStyle="1" w:styleId="BalloonTextChar">
    <w:name w:val="Balloon Text Char"/>
    <w:link w:val="BalloonText"/>
    <w:rsid w:val="00275B85"/>
    <w:rPr>
      <w:rFonts w:ascii="Segoe UI" w:hAnsi="Segoe UI" w:cs="Segoe UI"/>
      <w:noProof/>
      <w:sz w:val="18"/>
      <w:szCs w:val="18"/>
    </w:rPr>
  </w:style>
  <w:style w:type="character" w:styleId="CommentReference">
    <w:name w:val="annotation reference"/>
    <w:rsid w:val="009606C1"/>
    <w:rPr>
      <w:sz w:val="16"/>
      <w:szCs w:val="16"/>
    </w:rPr>
  </w:style>
  <w:style w:type="paragraph" w:styleId="CommentText">
    <w:name w:val="annotation text"/>
    <w:basedOn w:val="Normal"/>
    <w:link w:val="CommentTextChar"/>
    <w:rsid w:val="009606C1"/>
  </w:style>
  <w:style w:type="character" w:customStyle="1" w:styleId="CommentTextChar">
    <w:name w:val="Comment Text Char"/>
    <w:link w:val="CommentText"/>
    <w:rsid w:val="009606C1"/>
    <w:rPr>
      <w:noProof/>
    </w:rPr>
  </w:style>
  <w:style w:type="paragraph" w:styleId="CommentSubject">
    <w:name w:val="annotation subject"/>
    <w:basedOn w:val="CommentText"/>
    <w:next w:val="CommentText"/>
    <w:link w:val="CommentSubjectChar"/>
    <w:rsid w:val="009606C1"/>
    <w:rPr>
      <w:b/>
      <w:bCs/>
    </w:rPr>
  </w:style>
  <w:style w:type="character" w:customStyle="1" w:styleId="CommentSubjectChar">
    <w:name w:val="Comment Subject Char"/>
    <w:link w:val="CommentSubject"/>
    <w:rsid w:val="009606C1"/>
    <w:rPr>
      <w:b/>
      <w:bCs/>
      <w:noProof/>
    </w:rPr>
  </w:style>
  <w:style w:type="table" w:styleId="TableGrid">
    <w:name w:val="Table Grid"/>
    <w:basedOn w:val="TableNormal"/>
    <w:rsid w:val="00977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D04E7"/>
    <w:rPr>
      <w:color w:val="0563C1"/>
      <w:u w:val="single"/>
    </w:rPr>
  </w:style>
  <w:style w:type="paragraph" w:styleId="ListParagraph">
    <w:name w:val="List Paragraph"/>
    <w:basedOn w:val="Normal"/>
    <w:uiPriority w:val="34"/>
    <w:qFormat/>
    <w:rsid w:val="000B2720"/>
    <w:pPr>
      <w:ind w:left="720"/>
      <w:contextualSpacing/>
    </w:pPr>
  </w:style>
  <w:style w:type="paragraph" w:styleId="NormalWeb">
    <w:name w:val="Normal (Web)"/>
    <w:basedOn w:val="Normal"/>
    <w:uiPriority w:val="99"/>
    <w:unhideWhenUsed/>
    <w:rsid w:val="00334298"/>
    <w:pPr>
      <w:spacing w:before="100" w:beforeAutospacing="1" w:after="100" w:afterAutospacing="1"/>
    </w:pPr>
    <w:rPr>
      <w:sz w:val="24"/>
      <w:szCs w:val="24"/>
    </w:rPr>
  </w:style>
  <w:style w:type="paragraph" w:customStyle="1" w:styleId="Default">
    <w:name w:val="Default"/>
    <w:rsid w:val="00957B14"/>
    <w:pPr>
      <w:widowControl w:val="0"/>
      <w:autoSpaceDE w:val="0"/>
      <w:autoSpaceDN w:val="0"/>
      <w:adjustRightInd w:val="0"/>
    </w:pPr>
    <w:rPr>
      <w:rFonts w:ascii="Calibri" w:hAnsi="Calibri" w:eastAsiaTheme="minorEastAsia" w:cs="Calibri"/>
      <w:color w:val="000000"/>
      <w:sz w:val="24"/>
      <w:szCs w:val="24"/>
    </w:rPr>
  </w:style>
  <w:style w:type="character" w:styleId="UnresolvedMention">
    <w:name w:val="Unresolved Mention"/>
    <w:basedOn w:val="DefaultParagraphFont"/>
    <w:uiPriority w:val="99"/>
    <w:semiHidden/>
    <w:unhideWhenUsed/>
    <w:rsid w:val="00A33AD4"/>
    <w:rPr>
      <w:color w:val="605E5C"/>
      <w:shd w:val="clear" w:color="auto" w:fill="E1DFDD"/>
    </w:rPr>
  </w:style>
  <w:style w:type="character" w:styleId="FollowedHyperlink">
    <w:name w:val="FollowedHyperlink"/>
    <w:basedOn w:val="DefaultParagraphFont"/>
    <w:rsid w:val="004E1C72"/>
    <w:rPr>
      <w:color w:val="954F72" w:themeColor="followedHyperlink"/>
      <w:u w:val="single"/>
    </w:rPr>
  </w:style>
  <w:style w:type="paragraph" w:styleId="Revision">
    <w:name w:val="Revision"/>
    <w:hidden/>
    <w:uiPriority w:val="99"/>
    <w:semiHidden/>
    <w:rsid w:val="00042CD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A1AF05-2D98-4A33-842E-4B62157F0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63C63-1F85-48A5-AC15-70F50AD8FF3C}">
  <ds:schemaRefs>
    <ds:schemaRef ds:uri="http://schemas.openxmlformats.org/officeDocument/2006/bibliography"/>
  </ds:schemaRefs>
</ds:datastoreItem>
</file>

<file path=customXml/itemProps3.xml><?xml version="1.0" encoding="utf-8"?>
<ds:datastoreItem xmlns:ds="http://schemas.openxmlformats.org/officeDocument/2006/customXml" ds:itemID="{7A1FE9A6-45E5-420D-A53A-E338ECD2ED7E}">
  <ds:schemaRefs>
    <ds:schemaRef ds:uri="http://schemas.microsoft.com/sharepoint/v3/contenttype/forms"/>
  </ds:schemaRefs>
</ds:datastoreItem>
</file>

<file path=customXml/itemProps4.xml><?xml version="1.0" encoding="utf-8"?>
<ds:datastoreItem xmlns:ds="http://schemas.openxmlformats.org/officeDocument/2006/customXml" ds:itemID="{34BBE1EE-1A8D-4C14-97F4-E7B183D01FC2}">
  <ds:schemaRefs>
    <ds:schemaRef ds:uri="http://schemas.microsoft.com/office/2006/metadata/properties"/>
    <ds:schemaRef ds:uri="http://schemas.microsoft.com/office/infopath/2007/PartnerControls"/>
    <ds:schemaRef ds:uri="a1a0e265-3c98-4989-82f8-db0e13907c63"/>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76</TotalTime>
  <Pages>1</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Paul Brundage</dc:creator>
  <cp:lastModifiedBy>Reiff, Scott (LARC-B713)[LAMPS 2]</cp:lastModifiedBy>
  <cp:revision>21</cp:revision>
  <cp:lastPrinted>2019-06-28T19:44:00Z</cp:lastPrinted>
  <dcterms:created xsi:type="dcterms:W3CDTF">2023-03-09T16:50:00Z</dcterms:created>
  <dcterms:modified xsi:type="dcterms:W3CDTF">2023-07-18T23:04:00Z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