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3425D5" w:rsidRPr="007720AC" w:rsidP="003425D5" w14:paraId="0C6D69AA" w14:textId="77777777">
      <w:pPr>
        <w:suppressAutoHyphens/>
        <w:spacing w:before="120" w:after="120"/>
        <w:jc w:val="center"/>
        <w:rPr>
          <w:rFonts w:ascii="Times New Roman" w:hAnsi="Times New Roman"/>
          <w:b/>
          <w:szCs w:val="24"/>
        </w:rPr>
      </w:pPr>
      <w:r w:rsidRPr="007720AC">
        <w:rPr>
          <w:rFonts w:ascii="Times New Roman" w:hAnsi="Times New Roman"/>
          <w:b/>
          <w:szCs w:val="24"/>
        </w:rPr>
        <w:t xml:space="preserve">eZ-Audit:  Electronic Submission of </w:t>
      </w:r>
      <w:r>
        <w:rPr>
          <w:rFonts w:ascii="Times New Roman" w:hAnsi="Times New Roman"/>
          <w:b/>
          <w:szCs w:val="24"/>
        </w:rPr>
        <w:t>90/10 Revenue Attestations for Proprietary Institutions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E02F8B" w:rsidP="00E02F8B" w14:paraId="30092FC2" w14:textId="77777777">
      <w:pPr>
        <w:widowControl w:val="0"/>
        <w:ind w:left="720"/>
        <w:rPr>
          <w:rFonts w:ascii="Times New Roman" w:hAnsi="Times New Roman"/>
          <w:bCs/>
          <w:snapToGrid w:val="0"/>
        </w:rPr>
      </w:pPr>
      <w:r>
        <w:rPr>
          <w:rFonts w:ascii="Times New Roman" w:hAnsi="Times New Roman"/>
          <w:bCs/>
          <w:snapToGrid w:val="0"/>
        </w:rPr>
        <w:t xml:space="preserve">This is a new information collection request for the eZ-Audit – Electronic Submission of 90/10 Revenue Attestation for Proprietary Institutions. </w:t>
      </w:r>
    </w:p>
    <w:p w:rsidR="00E02F8B" w:rsidP="00E02F8B" w14:paraId="6B7A00F6" w14:textId="77777777">
      <w:pPr>
        <w:widowControl w:val="0"/>
        <w:ind w:left="720"/>
        <w:rPr>
          <w:rFonts w:ascii="Times New Roman" w:hAnsi="Times New Roman"/>
          <w:bCs/>
          <w:snapToGrid w:val="0"/>
        </w:rPr>
      </w:pPr>
    </w:p>
    <w:p w:rsidR="00E02F8B" w:rsidP="00E02F8B" w14:paraId="4283D541" w14:textId="786AC401">
      <w:pPr>
        <w:widowControl w:val="0"/>
        <w:ind w:left="720"/>
        <w:rPr>
          <w:rFonts w:ascii="Times New Roman" w:hAnsi="Times New Roman"/>
          <w:bCs/>
          <w:snapToGrid w:val="0"/>
        </w:rPr>
      </w:pPr>
      <w:r>
        <w:rPr>
          <w:rFonts w:ascii="Times New Roman" w:hAnsi="Times New Roman"/>
          <w:bCs/>
          <w:snapToGrid w:val="0"/>
        </w:rPr>
        <w:t xml:space="preserve">The request includes </w:t>
      </w:r>
      <w:r w:rsidR="005A334F">
        <w:rPr>
          <w:rFonts w:ascii="Times New Roman" w:hAnsi="Times New Roman"/>
          <w:bCs/>
          <w:snapToGrid w:val="0"/>
        </w:rPr>
        <w:t>updates</w:t>
      </w:r>
      <w:r>
        <w:rPr>
          <w:rFonts w:ascii="Times New Roman" w:hAnsi="Times New Roman"/>
          <w:bCs/>
          <w:snapToGrid w:val="0"/>
        </w:rPr>
        <w:t xml:space="preserve"> to the collection for domestic and foreign proprietary/for-profit schools’ 90/10 Revenue Attestation, and updates to the 90/10 Revenue Attestation calculation and reporting requirements per The </w:t>
      </w:r>
      <w:r w:rsidRPr="004C1B30">
        <w:rPr>
          <w:rFonts w:ascii="Times New Roman" w:hAnsi="Times New Roman"/>
          <w:bCs/>
          <w:iCs/>
        </w:rPr>
        <w:t>American Rescue Plan</w:t>
      </w:r>
      <w:r>
        <w:rPr>
          <w:rFonts w:ascii="Times New Roman" w:hAnsi="Times New Roman"/>
          <w:bCs/>
          <w:iCs/>
        </w:rPr>
        <w:t xml:space="preserve"> of 2021</w:t>
      </w:r>
      <w:r w:rsidRPr="004C1B30">
        <w:rPr>
          <w:rFonts w:ascii="Times New Roman" w:hAnsi="Times New Roman"/>
          <w:bCs/>
          <w:iCs/>
        </w:rPr>
        <w:t xml:space="preserve"> (ARP)</w:t>
      </w:r>
      <w:r>
        <w:rPr>
          <w:rFonts w:ascii="Times New Roman" w:hAnsi="Times New Roman"/>
          <w:bCs/>
          <w:iCs/>
        </w:rPr>
        <w:t xml:space="preserve"> which</w:t>
      </w:r>
      <w:r w:rsidRPr="004C1B30">
        <w:rPr>
          <w:rFonts w:ascii="Times New Roman" w:hAnsi="Times New Roman"/>
          <w:bCs/>
          <w:iCs/>
        </w:rPr>
        <w:t xml:space="preserve"> amended the Higher Education Act (HEA) of 1965</w:t>
      </w:r>
      <w:r>
        <w:rPr>
          <w:rFonts w:ascii="Times New Roman" w:hAnsi="Times New Roman"/>
          <w:bCs/>
          <w:iCs/>
        </w:rPr>
        <w:t xml:space="preserve"> and </w:t>
      </w:r>
      <w:r>
        <w:rPr>
          <w:rFonts w:ascii="Times New Roman" w:hAnsi="Times New Roman"/>
          <w:bCs/>
          <w:snapToGrid w:val="0"/>
        </w:rPr>
        <w:t>the update in regulatory requirements made to 34 CFR 668.28.</w:t>
      </w:r>
    </w:p>
    <w:p w:rsidR="00E02F8B" w:rsidP="00E02F8B" w14:paraId="5698EA11" w14:textId="77777777">
      <w:pPr>
        <w:widowControl w:val="0"/>
        <w:ind w:left="720"/>
        <w:rPr>
          <w:rFonts w:ascii="Times New Roman" w:hAnsi="Times New Roman"/>
          <w:bCs/>
          <w:snapToGrid w:val="0"/>
        </w:rPr>
      </w:pPr>
    </w:p>
    <w:p w:rsidR="00E02F8B" w:rsidP="00E02F8B" w14:paraId="435864A5" w14:textId="17F43B58">
      <w:pPr>
        <w:widowControl w:val="0"/>
        <w:ind w:left="720"/>
        <w:rPr>
          <w:rFonts w:ascii="Times New Roman" w:hAnsi="Times New Roman"/>
        </w:rPr>
      </w:pPr>
      <w:r w:rsidRPr="007720AC">
        <w:rPr>
          <w:rFonts w:ascii="Times New Roman" w:hAnsi="Times New Roman"/>
          <w:bCs/>
          <w:snapToGrid w:val="0"/>
        </w:rPr>
        <w:t xml:space="preserve">All proprietary institutions participating in the Title IV, HEA programs are required to </w:t>
      </w:r>
      <w:r>
        <w:rPr>
          <w:rFonts w:ascii="Times New Roman" w:hAnsi="Times New Roman"/>
          <w:bCs/>
          <w:snapToGrid w:val="0"/>
        </w:rPr>
        <w:t xml:space="preserve">perform and submit a 90/10 Revenue Attestation included with their audited </w:t>
      </w:r>
      <w:r w:rsidRPr="007720AC">
        <w:rPr>
          <w:rFonts w:ascii="Times New Roman" w:hAnsi="Times New Roman"/>
          <w:bCs/>
          <w:snapToGrid w:val="0"/>
        </w:rPr>
        <w:t xml:space="preserve">financial statements and compliance audits that are prepared in accordance with </w:t>
      </w:r>
      <w:r w:rsidRPr="007720AC">
        <w:rPr>
          <w:rFonts w:ascii="Times New Roman" w:hAnsi="Times New Roman"/>
        </w:rPr>
        <w:t xml:space="preserve">Generally Accepted Accounting Principles (GAAP), and Generally Accepted Government Auditing Standards (GAGAS).  </w:t>
      </w:r>
    </w:p>
    <w:p w:rsidR="00E02F8B" w:rsidP="00E02F8B" w14:paraId="3119D8F2" w14:textId="77777777">
      <w:pPr>
        <w:widowControl w:val="0"/>
        <w:ind w:left="720"/>
        <w:rPr>
          <w:rFonts w:ascii="Times New Roman" w:hAnsi="Times New Roman"/>
        </w:rPr>
      </w:pPr>
    </w:p>
    <w:p w:rsidR="00E02F8B" w:rsidP="00E02F8B" w14:paraId="47A48EEF" w14:textId="77777777">
      <w:pPr>
        <w:widowControl w:val="0"/>
        <w:ind w:left="720"/>
        <w:rPr>
          <w:rFonts w:ascii="Times New Roman" w:hAnsi="Times New Roman"/>
        </w:rPr>
      </w:pPr>
      <w:r>
        <w:rPr>
          <w:rFonts w:ascii="Times New Roman" w:hAnsi="Times New Roman"/>
        </w:rPr>
        <w:t>(</w:t>
      </w:r>
      <w:hyperlink r:id="rId9" w:history="1">
        <w:r w:rsidRPr="00025533">
          <w:rPr>
            <w:rStyle w:val="Hyperlink"/>
            <w:rFonts w:ascii="Times New Roman" w:hAnsi="Times New Roman"/>
          </w:rPr>
          <w:t>https://www.federalregister.gov/documents/2022/10/28/2022-23078/pell-grants-for-prison-education-programs-determining-the-amount-of-federal-education-assistance</w:t>
        </w:r>
      </w:hyperlink>
      <w:r>
        <w:rPr>
          <w:rFonts w:ascii="Times New Roman" w:hAnsi="Times New Roman"/>
        </w:rPr>
        <w:t>)</w:t>
      </w:r>
    </w:p>
    <w:p w:rsidR="00E02F8B" w:rsidP="00E02F8B" w14:paraId="0F0C4A8F" w14:textId="77777777">
      <w:pPr>
        <w:widowControl w:val="0"/>
        <w:ind w:left="720"/>
        <w:rPr>
          <w:rFonts w:ascii="Times New Roman" w:hAnsi="Times New Roman"/>
        </w:rPr>
      </w:pPr>
    </w:p>
    <w:p w:rsidR="00E02F8B" w:rsidP="00E02F8B" w14:paraId="6594FA5B" w14:textId="7BF3B437">
      <w:pPr>
        <w:widowControl w:val="0"/>
        <w:ind w:left="720"/>
        <w:rPr>
          <w:rFonts w:ascii="Times New Roman" w:hAnsi="Times New Roman"/>
        </w:rPr>
      </w:pPr>
      <w:r>
        <w:rPr>
          <w:rFonts w:ascii="Times New Roman" w:hAnsi="Times New Roman"/>
        </w:rPr>
        <w:t>(</w:t>
      </w:r>
      <w:hyperlink r:id="rId10" w:history="1">
        <w:r w:rsidRPr="00D46E4B" w:rsidR="00D46E4B">
          <w:rPr>
            <w:rStyle w:val="Hyperlink"/>
            <w:rFonts w:ascii="Times New Roman" w:hAnsi="Times New Roman"/>
          </w:rPr>
          <w:t>https://www.federalregister.gov/documents/2022/12/21/2022-27732/list-of-federal-education-assistance-for-proprietary-institutions-of-higher-education-to-include-as</w:t>
        </w:r>
      </w:hyperlink>
      <w:r>
        <w:rPr>
          <w:rFonts w:ascii="Times New Roman" w:hAnsi="Times New Roman"/>
        </w:rPr>
        <w:t>)</w:t>
      </w:r>
    </w:p>
    <w:p w:rsidR="00E02F8B" w:rsidP="00E02F8B" w14:paraId="1F556DEC" w14:textId="77777777">
      <w:pPr>
        <w:widowControl w:val="0"/>
        <w:ind w:left="720"/>
        <w:rPr>
          <w:rFonts w:ascii="Times New Roman" w:hAnsi="Times New Roman"/>
        </w:rPr>
      </w:pPr>
    </w:p>
    <w:p w:rsidR="00E02F8B" w:rsidRPr="007720AC" w:rsidP="00E02F8B" w14:paraId="1C888C32" w14:textId="77777777">
      <w:pPr>
        <w:tabs>
          <w:tab w:val="left" w:pos="0"/>
        </w:tabs>
        <w:suppressAutoHyphens/>
        <w:ind w:left="720"/>
        <w:rPr>
          <w:rFonts w:ascii="Times New Roman" w:hAnsi="Times New Roman"/>
          <w:szCs w:val="24"/>
        </w:rPr>
      </w:pPr>
      <w:r w:rsidRPr="007720AC">
        <w:rPr>
          <w:rFonts w:ascii="Times New Roman" w:hAnsi="Times New Roman"/>
        </w:rPr>
        <w:t>Under eZ-Audit, institutions</w:t>
      </w:r>
      <w:r>
        <w:rPr>
          <w:rFonts w:ascii="Times New Roman" w:hAnsi="Times New Roman"/>
        </w:rPr>
        <w:t>/entities</w:t>
      </w:r>
      <w:r w:rsidRPr="007720AC">
        <w:rPr>
          <w:rFonts w:ascii="Times New Roman" w:hAnsi="Times New Roman"/>
        </w:rPr>
        <w:t xml:space="preserve"> log onto a secure Department website, enter general and specific information about their audits</w:t>
      </w:r>
      <w:r>
        <w:rPr>
          <w:rFonts w:ascii="Times New Roman" w:hAnsi="Times New Roman"/>
        </w:rPr>
        <w:t>, including the 90/10 Revenue Attestation, as required</w:t>
      </w:r>
      <w:r w:rsidRPr="007720AC">
        <w:rPr>
          <w:rFonts w:ascii="Times New Roman" w:hAnsi="Times New Roman"/>
        </w:rPr>
        <w:t>, and attach an electronic file of those audits made using Adobe Acrobat version 5.0 or higher.  The Department needs the information in electronic form to more efficiently review audits and provide more timely and useful information to institutions regarding the Department's review.</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02F8B" w:rsidRPr="007720AC" w:rsidP="00E02F8B" w14:paraId="20AA030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r w:rsidRPr="007720AC">
        <w:rPr>
          <w:rFonts w:ascii="Times New Roman" w:hAnsi="Times New Roman" w:cs="Times New Roman"/>
          <w:sz w:val="24"/>
        </w:rPr>
        <w:t>The Department use</w:t>
      </w:r>
      <w:r>
        <w:rPr>
          <w:rFonts w:ascii="Times New Roman" w:hAnsi="Times New Roman" w:cs="Times New Roman"/>
          <w:sz w:val="24"/>
        </w:rPr>
        <w:t>s</w:t>
      </w:r>
      <w:r w:rsidRPr="007720AC">
        <w:rPr>
          <w:rFonts w:ascii="Times New Roman" w:hAnsi="Times New Roman" w:cs="Times New Roman"/>
          <w:sz w:val="24"/>
        </w:rPr>
        <w:t xml:space="preserve"> the information from eZ-Audit to determine whether an </w:t>
      </w:r>
      <w:r>
        <w:rPr>
          <w:rFonts w:ascii="Times New Roman" w:hAnsi="Times New Roman" w:cs="Times New Roman"/>
          <w:sz w:val="24"/>
        </w:rPr>
        <w:t xml:space="preserve"> </w:t>
      </w:r>
      <w:r w:rsidRPr="007720AC">
        <w:rPr>
          <w:rFonts w:ascii="Times New Roman" w:hAnsi="Times New Roman" w:cs="Times New Roman"/>
          <w:sz w:val="24"/>
        </w:rPr>
        <w:t>institution</w:t>
      </w:r>
      <w:r>
        <w:rPr>
          <w:rFonts w:ascii="Times New Roman" w:hAnsi="Times New Roman" w:cs="Times New Roman"/>
          <w:sz w:val="24"/>
        </w:rPr>
        <w:t>/entity</w:t>
      </w:r>
      <w:r w:rsidRPr="007720AC">
        <w:rPr>
          <w:rFonts w:ascii="Times New Roman" w:hAnsi="Times New Roman" w:cs="Times New Roman"/>
          <w:sz w:val="24"/>
        </w:rPr>
        <w:t xml:space="preserve"> has submitted its audits within the required timeframes, to make a preliminary determination as to whether an institution satisfies the financial responsibility standards in34 CFR part 668, Subpart</w:t>
      </w:r>
      <w:r>
        <w:rPr>
          <w:rFonts w:ascii="Times New Roman" w:hAnsi="Times New Roman" w:cs="Times New Roman"/>
          <w:sz w:val="24"/>
        </w:rPr>
        <w:t xml:space="preserve"> B and Subpart</w:t>
      </w:r>
      <w:r w:rsidRPr="007720AC">
        <w:rPr>
          <w:rFonts w:ascii="Times New Roman" w:hAnsi="Times New Roman" w:cs="Times New Roman"/>
          <w:sz w:val="24"/>
        </w:rPr>
        <w:t xml:space="preserve"> L of the Student Assistance General Provisions regulations (or in the case of a change in ownership resulting in a change in control, whether the institution satisfies the financial ratio requirements under 34 CFR 668.15), and to otherwise monitor an institution</w:t>
      </w:r>
      <w:r>
        <w:rPr>
          <w:rFonts w:ascii="Times New Roman" w:hAnsi="Times New Roman" w:cs="Times New Roman"/>
          <w:sz w:val="24"/>
        </w:rPr>
        <w:t>/entity</w:t>
      </w:r>
      <w:r w:rsidRPr="007720AC">
        <w:rPr>
          <w:rFonts w:ascii="Times New Roman" w:hAnsi="Times New Roman" w:cs="Times New Roman"/>
          <w:sz w:val="24"/>
        </w:rPr>
        <w:t>'s compliance with Title IV program requirements.  The information also is used to assess whether the audits from an institution</w:t>
      </w:r>
      <w:r>
        <w:rPr>
          <w:rFonts w:ascii="Times New Roman" w:hAnsi="Times New Roman" w:cs="Times New Roman"/>
          <w:sz w:val="24"/>
        </w:rPr>
        <w:t>/entity</w:t>
      </w:r>
      <w:r w:rsidRPr="007720AC">
        <w:rPr>
          <w:rFonts w:ascii="Times New Roman" w:hAnsi="Times New Roman" w:cs="Times New Roman"/>
          <w:sz w:val="24"/>
        </w:rPr>
        <w:t xml:space="preserve"> are materially complete and conducted in accordance with applicable standards.   The information collected and analyzed has also been used to report to Congress as required.</w:t>
      </w:r>
    </w:p>
    <w:p w:rsidR="00E02F8B" w:rsidRPr="007720AC" w:rsidP="00E02F8B" w14:paraId="35442C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p>
    <w:p w:rsidR="00E02F8B" w:rsidP="00E02F8B" w14:paraId="13791E82" w14:textId="7A21F92A">
      <w:pPr>
        <w:widowControl w:val="0"/>
        <w:ind w:left="720"/>
        <w:rPr>
          <w:rFonts w:ascii="Times New Roman" w:hAnsi="Times New Roman"/>
          <w:bCs/>
          <w:iCs/>
        </w:rPr>
      </w:pPr>
      <w:r>
        <w:rPr>
          <w:rFonts w:ascii="Times New Roman" w:hAnsi="Times New Roman"/>
          <w:bCs/>
          <w:iCs/>
        </w:rPr>
        <w:t xml:space="preserve">The 90/10 Revenue Attestation question has been modified and will require the proprietary institutions to provide </w:t>
      </w:r>
      <w:r w:rsidR="004C4CED">
        <w:rPr>
          <w:rFonts w:ascii="Times New Roman" w:hAnsi="Times New Roman"/>
          <w:bCs/>
          <w:iCs/>
        </w:rPr>
        <w:t>80 - 100</w:t>
      </w:r>
      <w:r>
        <w:rPr>
          <w:rFonts w:ascii="Times New Roman" w:hAnsi="Times New Roman"/>
          <w:bCs/>
          <w:iCs/>
        </w:rPr>
        <w:t xml:space="preserve"> additional data entries used to calculate the 90/10 percentage.  The additional data allows more detail for analysis to ensure compliance with the</w:t>
      </w:r>
      <w:r w:rsidRPr="004C1B30">
        <w:rPr>
          <w:rFonts w:ascii="Times New Roman" w:hAnsi="Times New Roman"/>
          <w:bCs/>
          <w:iCs/>
        </w:rPr>
        <w:t xml:space="preserve"> American Rescue Plan</w:t>
      </w:r>
      <w:r>
        <w:rPr>
          <w:rFonts w:ascii="Times New Roman" w:hAnsi="Times New Roman"/>
          <w:bCs/>
          <w:iCs/>
        </w:rPr>
        <w:t xml:space="preserve"> Act of 2021</w:t>
      </w:r>
      <w:r w:rsidRPr="004C1B30">
        <w:rPr>
          <w:rFonts w:ascii="Times New Roman" w:hAnsi="Times New Roman"/>
          <w:bCs/>
          <w:iCs/>
        </w:rPr>
        <w:t xml:space="preserve"> (ARP)</w:t>
      </w:r>
      <w:r>
        <w:rPr>
          <w:rFonts w:ascii="Times New Roman" w:hAnsi="Times New Roman"/>
          <w:bCs/>
          <w:iCs/>
        </w:rPr>
        <w:t xml:space="preserve"> which</w:t>
      </w:r>
      <w:r w:rsidRPr="004C1B30">
        <w:rPr>
          <w:rFonts w:ascii="Times New Roman" w:hAnsi="Times New Roman"/>
          <w:bCs/>
          <w:iCs/>
        </w:rPr>
        <w:t xml:space="preserve"> amended the Higher Education Act (HEA) of 1965</w:t>
      </w:r>
      <w:r>
        <w:rPr>
          <w:rFonts w:ascii="Times New Roman" w:hAnsi="Times New Roman"/>
          <w:bCs/>
          <w:iCs/>
        </w:rPr>
        <w:t xml:space="preserve">. The amended HEA now requires that </w:t>
      </w:r>
      <w:r w:rsidRPr="004C1B30">
        <w:rPr>
          <w:rFonts w:ascii="Times New Roman" w:hAnsi="Times New Roman"/>
          <w:bCs/>
          <w:iCs/>
        </w:rPr>
        <w:t xml:space="preserve">proprietary institutions of higher education derive at least 10% </w:t>
      </w:r>
      <w:r w:rsidRPr="004C1B30" w:rsidR="00D55176">
        <w:rPr>
          <w:rFonts w:ascii="Times New Roman" w:hAnsi="Times New Roman"/>
          <w:bCs/>
          <w:iCs/>
        </w:rPr>
        <w:t xml:space="preserve">of </w:t>
      </w:r>
      <w:r w:rsidR="00D55176">
        <w:rPr>
          <w:rFonts w:ascii="Times New Roman" w:hAnsi="Times New Roman"/>
          <w:bCs/>
          <w:iCs/>
        </w:rPr>
        <w:t>their</w:t>
      </w:r>
      <w:r w:rsidRPr="004C1B30">
        <w:rPr>
          <w:rFonts w:ascii="Times New Roman" w:hAnsi="Times New Roman"/>
          <w:bCs/>
          <w:iCs/>
        </w:rPr>
        <w:t xml:space="preserve"> revenue from non-</w:t>
      </w:r>
      <w:r>
        <w:rPr>
          <w:rFonts w:ascii="Times New Roman" w:hAnsi="Times New Roman"/>
          <w:bCs/>
          <w:iCs/>
        </w:rPr>
        <w:t>federal education assistance funds (</w:t>
      </w:r>
      <w:r w:rsidRPr="004C1B30">
        <w:rPr>
          <w:rFonts w:ascii="Times New Roman" w:hAnsi="Times New Roman"/>
          <w:bCs/>
          <w:iCs/>
        </w:rPr>
        <w:t xml:space="preserve">allowing up to 90% of revenue to come from </w:t>
      </w:r>
      <w:r>
        <w:rPr>
          <w:rFonts w:ascii="Times New Roman" w:hAnsi="Times New Roman"/>
          <w:bCs/>
          <w:iCs/>
        </w:rPr>
        <w:t xml:space="preserve">federal education assistance funds including Title IV). New rules released by The Federal Register on October 28, </w:t>
      </w:r>
      <w:r w:rsidR="00D55176">
        <w:rPr>
          <w:rFonts w:ascii="Times New Roman" w:hAnsi="Times New Roman"/>
          <w:bCs/>
          <w:iCs/>
        </w:rPr>
        <w:t>2022,</w:t>
      </w:r>
      <w:r>
        <w:rPr>
          <w:rFonts w:ascii="Times New Roman" w:hAnsi="Times New Roman"/>
          <w:bCs/>
          <w:iCs/>
        </w:rPr>
        <w:t xml:space="preserve"> also updated 34 CR part 668 Subpart B </w:t>
      </w:r>
      <w:r w:rsidRPr="007720AC">
        <w:rPr>
          <w:rFonts w:ascii="Times New Roman" w:hAnsi="Times New Roman"/>
        </w:rPr>
        <w:t>of the Student Assistance General Provisions</w:t>
      </w:r>
      <w:r>
        <w:rPr>
          <w:rFonts w:ascii="Times New Roman" w:hAnsi="Times New Roman"/>
        </w:rPr>
        <w:t xml:space="preserve"> regulations</w:t>
      </w:r>
      <w:r>
        <w:rPr>
          <w:rFonts w:ascii="Times New Roman" w:hAnsi="Times New Roman"/>
          <w:bCs/>
          <w:iCs/>
        </w:rPr>
        <w:t xml:space="preserve">, defining what is considered “federal education assistance funds” and how the 90/10 Revenue Attestation is calculated and reported to the Department.  </w:t>
      </w:r>
    </w:p>
    <w:p w:rsidR="00E02F8B" w:rsidP="00E02F8B" w14:paraId="28941202" w14:textId="77777777">
      <w:pPr>
        <w:widowControl w:val="0"/>
        <w:ind w:left="720"/>
        <w:rPr>
          <w:rFonts w:ascii="Times New Roman" w:hAnsi="Times New Roman"/>
          <w:bCs/>
          <w:iCs/>
        </w:rPr>
      </w:pPr>
    </w:p>
    <w:p w:rsidR="00E02F8B" w:rsidRPr="007720AC" w:rsidP="00E02F8B" w14:paraId="538393B8" w14:textId="77777777">
      <w:pPr>
        <w:widowControl w:val="0"/>
        <w:ind w:left="720"/>
        <w:rPr>
          <w:rFonts w:ascii="Times New Roman" w:hAnsi="Times New Roman"/>
          <w:bCs/>
          <w:iCs/>
        </w:rPr>
      </w:pPr>
      <w:r>
        <w:rPr>
          <w:rFonts w:ascii="Times New Roman" w:hAnsi="Times New Roman"/>
          <w:bCs/>
          <w:iCs/>
        </w:rPr>
        <w:t>The institution/entity will be required to attach in pdf a copy of the compliance audit and financial statements as applicable.</w:t>
      </w:r>
    </w:p>
    <w:p w:rsidR="00E02F8B" w:rsidRPr="007720AC" w:rsidP="00E02F8B" w14:paraId="79C6CE23" w14:textId="77777777">
      <w:pPr>
        <w:widowControl w:val="0"/>
        <w:ind w:left="720"/>
        <w:rPr>
          <w:rFonts w:ascii="Times New Roman" w:hAnsi="Times New Roman"/>
          <w:bCs/>
          <w:iCs/>
        </w:rPr>
      </w:pPr>
    </w:p>
    <w:p w:rsidR="00E02F8B" w:rsidRPr="007720AC" w:rsidP="00E02F8B" w14:paraId="5ADEFBD1" w14:textId="77777777">
      <w:pPr>
        <w:widowControl w:val="0"/>
        <w:ind w:left="720"/>
        <w:rPr>
          <w:rFonts w:ascii="Times New Roman" w:hAnsi="Times New Roman"/>
          <w:bCs/>
          <w:iCs/>
        </w:rPr>
      </w:pPr>
      <w:r w:rsidRPr="007720AC">
        <w:rPr>
          <w:rFonts w:ascii="Times New Roman" w:hAnsi="Times New Roman"/>
        </w:rPr>
        <w:t xml:space="preserve">This collection continues </w:t>
      </w:r>
      <w:r>
        <w:rPr>
          <w:rFonts w:ascii="Times New Roman" w:hAnsi="Times New Roman"/>
        </w:rPr>
        <w:t>to provide an immediate benefit</w:t>
      </w:r>
      <w:r w:rsidRPr="007720AC">
        <w:rPr>
          <w:rFonts w:ascii="Times New Roman" w:hAnsi="Times New Roman"/>
        </w:rPr>
        <w:t xml:space="preserve">, as institutions can meet their requirement to submit timely and materially complete audits, track submission </w:t>
      </w:r>
      <w:r>
        <w:rPr>
          <w:rFonts w:ascii="Times New Roman" w:hAnsi="Times New Roman"/>
        </w:rPr>
        <w:t xml:space="preserve">due dates and </w:t>
      </w:r>
      <w:r w:rsidRPr="007720AC">
        <w:rPr>
          <w:rFonts w:ascii="Times New Roman" w:hAnsi="Times New Roman"/>
        </w:rPr>
        <w:t xml:space="preserve">status and remediate any issues with their audit in a more timely and efficient manner.  </w:t>
      </w:r>
    </w:p>
    <w:p w:rsidR="00043C32" w:rsidRPr="00AD381B" w:rsidP="00BC1A67" w14:paraId="64280E5C" w14:textId="77777777">
      <w:pPr>
        <w:suppressAutoHyphens/>
        <w:spacing w:line="240" w:lineRule="exact"/>
        <w:ind w:left="720"/>
        <w:rPr>
          <w:rFonts w:ascii="Times New Roman" w:hAnsi="Times New Roman"/>
          <w:szCs w:val="24"/>
        </w:rPr>
      </w:pPr>
    </w:p>
    <w:p w:rsidR="00043C32" w:rsidP="00AD381B" w14:paraId="64280E5D" w14:textId="167C56B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D5517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E02F8B" w:rsidRPr="00AD381B" w:rsidP="00E02F8B" w14:paraId="619D9DB1" w14:textId="77777777">
      <w:pPr>
        <w:pStyle w:val="ListParagraph"/>
        <w:tabs>
          <w:tab w:val="left" w:pos="-720"/>
        </w:tabs>
        <w:suppressAutoHyphens/>
        <w:contextualSpacing w:val="0"/>
        <w:rPr>
          <w:rFonts w:ascii="Times New Roman" w:hAnsi="Times New Roman"/>
          <w:b/>
          <w:szCs w:val="24"/>
        </w:rPr>
      </w:pPr>
    </w:p>
    <w:p w:rsidR="005F4E11" w:rsidP="00AD381B" w14:paraId="50B84318" w14:textId="20178CC8">
      <w:pPr>
        <w:pStyle w:val="ListParagraph"/>
        <w:tabs>
          <w:tab w:val="left" w:pos="-720"/>
        </w:tabs>
        <w:suppressAutoHyphens/>
        <w:contextualSpacing w:val="0"/>
        <w:rPr>
          <w:rFonts w:ascii="Times New Roman" w:hAnsi="Times New Roman"/>
        </w:rPr>
      </w:pPr>
      <w:r w:rsidRPr="007720AC">
        <w:rPr>
          <w:rFonts w:ascii="Times New Roman" w:hAnsi="Times New Roman"/>
        </w:rPr>
        <w:t xml:space="preserve">eZ-Audit is a web-based application designed to facilitate the electronic submission of required financial statements and compliance audits and to serve as a data repository for compliance and research purposes.  </w:t>
      </w:r>
      <w:r>
        <w:rPr>
          <w:rFonts w:ascii="Times New Roman" w:hAnsi="Times New Roman"/>
        </w:rPr>
        <w:t xml:space="preserve">The 90/10 Revenue </w:t>
      </w:r>
      <w:r w:rsidR="00D55176">
        <w:rPr>
          <w:rFonts w:ascii="Times New Roman" w:hAnsi="Times New Roman"/>
        </w:rPr>
        <w:t>Attestation</w:t>
      </w:r>
      <w:r>
        <w:rPr>
          <w:rFonts w:ascii="Times New Roman" w:hAnsi="Times New Roman"/>
        </w:rPr>
        <w:t xml:space="preserve"> for foreign and </w:t>
      </w:r>
      <w:r>
        <w:rPr>
          <w:rFonts w:ascii="Times New Roman" w:hAnsi="Times New Roman"/>
        </w:rPr>
        <w:t xml:space="preserve">domestic proprietary institutions is required to be submitted to the Department through eZ-Audit.  </w:t>
      </w:r>
    </w:p>
    <w:p w:rsidR="004C4CED" w:rsidP="00AD381B" w14:paraId="0EBDEB73"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02F8B" w:rsidP="00E02F8B" w14:paraId="508F69B7" w14:textId="092D12F9">
      <w:pPr>
        <w:widowControl w:val="0"/>
        <w:ind w:firstLine="720"/>
        <w:rPr>
          <w:rFonts w:ascii="Times New Roman" w:hAnsi="Times New Roman"/>
          <w:bCs/>
          <w:iCs/>
        </w:rPr>
      </w:pPr>
      <w:r w:rsidRPr="007720AC">
        <w:rPr>
          <w:rFonts w:ascii="Times New Roman" w:hAnsi="Times New Roman"/>
          <w:bCs/>
          <w:iCs/>
        </w:rPr>
        <w:t>The Department does not use any other mechanism to collect this information.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E02F8B" w:rsidP="00E02F8B" w14:paraId="27DEE347" w14:textId="547CB99F">
      <w:pPr>
        <w:autoSpaceDE w:val="0"/>
        <w:autoSpaceDN w:val="0"/>
        <w:adjustRightInd w:val="0"/>
        <w:ind w:left="720"/>
        <w:rPr>
          <w:rFonts w:ascii="Times New Roman" w:hAnsi="Times New Roman"/>
          <w:szCs w:val="24"/>
        </w:rPr>
      </w:pPr>
      <w:r w:rsidRPr="007720AC">
        <w:rPr>
          <w:rFonts w:ascii="Times New Roman" w:hAnsi="Times New Roman"/>
          <w:szCs w:val="24"/>
        </w:rPr>
        <w:t xml:space="preserve">Because eZ-Audit is web-based, an institution does not have to acquire any unique software. To facilitate the electronic submission of </w:t>
      </w:r>
      <w:r w:rsidRPr="007720AC">
        <w:rPr>
          <w:rFonts w:ascii="Times New Roman" w:hAnsi="Times New Roman"/>
        </w:rPr>
        <w:t xml:space="preserve">financial statements and compliance </w:t>
      </w:r>
      <w:r w:rsidRPr="007720AC">
        <w:rPr>
          <w:rFonts w:ascii="Times New Roman" w:hAnsi="Times New Roman"/>
          <w:szCs w:val="24"/>
        </w:rPr>
        <w:t xml:space="preserve">audits, the information collected on the data input screens is from the auditor's report. </w:t>
      </w:r>
      <w:r>
        <w:rPr>
          <w:rFonts w:ascii="Times New Roman" w:hAnsi="Times New Roman"/>
          <w:szCs w:val="24"/>
        </w:rPr>
        <w:t xml:space="preserve">The 90/10 Revenue Attestation is included within the institutions audited financial statements.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02F8B" w:rsidP="00E02F8B" w14:paraId="57EF8678" w14:textId="51D97CBE">
      <w:pPr>
        <w:widowControl w:val="0"/>
        <w:ind w:left="720"/>
        <w:rPr>
          <w:rFonts w:ascii="Times New Roman" w:hAnsi="Times New Roman"/>
        </w:rPr>
      </w:pPr>
      <w:r w:rsidRPr="007720AC">
        <w:rPr>
          <w:rFonts w:ascii="Times New Roman" w:hAnsi="Times New Roman"/>
        </w:rPr>
        <w:t>The Department would not be able to continue to fully implement the eZ-Audit</w:t>
      </w:r>
      <w:r>
        <w:rPr>
          <w:rFonts w:ascii="Times New Roman" w:hAnsi="Times New Roman"/>
        </w:rPr>
        <w:t xml:space="preserve"> reporting</w:t>
      </w:r>
      <w:r w:rsidRPr="007720AC">
        <w:rPr>
          <w:rFonts w:ascii="Times New Roman" w:hAnsi="Times New Roman"/>
        </w:rPr>
        <w:t xml:space="preserve"> process and would need to </w:t>
      </w:r>
      <w:r>
        <w:rPr>
          <w:rFonts w:ascii="Times New Roman" w:hAnsi="Times New Roman"/>
        </w:rPr>
        <w:t xml:space="preserve">revert to </w:t>
      </w:r>
      <w:r w:rsidRPr="007720AC">
        <w:rPr>
          <w:rFonts w:ascii="Times New Roman" w:hAnsi="Times New Roman"/>
        </w:rPr>
        <w:t>the paper submissions process</w:t>
      </w:r>
      <w:r>
        <w:rPr>
          <w:rFonts w:ascii="Times New Roman" w:hAnsi="Times New Roman"/>
        </w:rPr>
        <w:t xml:space="preserve"> of the 90/10 Revenue Attestation</w:t>
      </w:r>
      <w:r w:rsidRPr="007720AC">
        <w:rPr>
          <w:rFonts w:ascii="Times New Roman" w:hAnsi="Times New Roman"/>
        </w:rPr>
        <w:t xml:space="preserve">, forestalling the projected benefits of obtaining </w:t>
      </w:r>
      <w:r>
        <w:rPr>
          <w:rFonts w:ascii="Times New Roman" w:hAnsi="Times New Roman"/>
        </w:rPr>
        <w:t xml:space="preserve">revenue </w:t>
      </w:r>
      <w:r w:rsidR="00D55176">
        <w:rPr>
          <w:rFonts w:ascii="Times New Roman" w:hAnsi="Times New Roman"/>
        </w:rPr>
        <w:t xml:space="preserve">attestation </w:t>
      </w:r>
      <w:r w:rsidRPr="007720AC" w:rsidR="00D55176">
        <w:rPr>
          <w:rFonts w:ascii="Times New Roman" w:hAnsi="Times New Roman"/>
        </w:rPr>
        <w:t>information</w:t>
      </w:r>
      <w:r>
        <w:rPr>
          <w:rFonts w:ascii="Times New Roman" w:hAnsi="Times New Roman"/>
        </w:rPr>
        <w:t xml:space="preserve"> from proprietary institutions</w:t>
      </w:r>
      <w:r w:rsidRPr="007720AC">
        <w:rPr>
          <w:rFonts w:ascii="Times New Roman" w:hAnsi="Times New Roman"/>
        </w:rPr>
        <w:t xml:space="preserve"> in a quicker, more efficient manner, and increasing the Department’s costs by having to manage these processes.</w:t>
      </w:r>
    </w:p>
    <w:p w:rsidR="00E02F8B" w:rsidP="00E02F8B" w14:paraId="1B06921F" w14:textId="77777777">
      <w:pPr>
        <w:widowControl w:val="0"/>
        <w:ind w:left="720"/>
        <w:rPr>
          <w:rFonts w:ascii="Times New Roman" w:hAnsi="Times New Roman"/>
        </w:rPr>
      </w:pPr>
    </w:p>
    <w:p w:rsidR="00EF4C67" w:rsidRPr="00E02F8B" w:rsidP="00E02F8B" w14:paraId="33BB654D" w14:textId="670B9A4C">
      <w:pPr>
        <w:widowControl w:val="0"/>
        <w:ind w:left="720"/>
        <w:rPr>
          <w:rFonts w:ascii="Times New Roman" w:hAnsi="Times New Roman"/>
        </w:rPr>
      </w:pPr>
      <w:r>
        <w:rPr>
          <w:rFonts w:ascii="Times New Roman" w:hAnsi="Times New Roman"/>
        </w:rPr>
        <w:t>The consequence of reverting to the paper submission of the required 90/10 Revenue Attestation would result in longer time lapses between the date of submission and when an occurrence of non-compliance is identified. The inefficiency of longer time lapses for occurrences of non-compliance could harm schools and result in increased institutional liabilities and penalties.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F4C67" w:rsidRPr="00E02F8B" w:rsidP="00E02F8B" w14:paraId="5837EBEF" w14:textId="0A588DF5">
      <w:pPr>
        <w:widowControl w:val="0"/>
        <w:ind w:left="720"/>
        <w:rPr>
          <w:rFonts w:ascii="Times New Roman" w:hAnsi="Times New Roman"/>
          <w:b/>
          <w:iCs/>
        </w:rPr>
      </w:pPr>
      <w:r w:rsidRPr="007720AC">
        <w:rPr>
          <w:rFonts w:ascii="Times New Roman" w:hAnsi="Times New Roman"/>
        </w:rPr>
        <w:t>No special circumstances apply to this information collection.</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487C3B" w:rsidP="00E02F8B" w14:paraId="4A55D2F4" w14:textId="7457E5D5">
      <w:pPr>
        <w:widowControl w:val="0"/>
        <w:ind w:left="720"/>
        <w:rPr>
          <w:rFonts w:ascii="Times New Roman" w:hAnsi="Times New Roman"/>
          <w:bCs/>
          <w:iCs/>
        </w:rPr>
      </w:pPr>
      <w:r>
        <w:rPr>
          <w:rFonts w:ascii="Times New Roman" w:hAnsi="Times New Roman"/>
          <w:bCs/>
          <w:iCs/>
        </w:rPr>
        <w:t xml:space="preserve">On July 14, 2023, a Federal Register Notice was published (Vol. 88, No. 134, page 45191) </w:t>
      </w:r>
      <w:r w:rsidR="00332E4E">
        <w:rPr>
          <w:rFonts w:ascii="Times New Roman" w:hAnsi="Times New Roman"/>
          <w:bCs/>
          <w:iCs/>
        </w:rPr>
        <w:t xml:space="preserve">inviting a 60-day public comment on the burden estimates in this information </w:t>
      </w:r>
      <w:r w:rsidR="00332E4E">
        <w:rPr>
          <w:rFonts w:ascii="Times New Roman" w:hAnsi="Times New Roman"/>
          <w:bCs/>
          <w:iCs/>
        </w:rPr>
        <w:t xml:space="preserve">collection.  The comment period closed on September 12, 2023 and one comment was received.  Based upon the comments received and internal discussion within the Department, </w:t>
      </w:r>
      <w:r w:rsidR="005A334F">
        <w:rPr>
          <w:rFonts w:ascii="Times New Roman" w:hAnsi="Times New Roman"/>
          <w:bCs/>
          <w:iCs/>
        </w:rPr>
        <w:t>updates</w:t>
      </w:r>
      <w:r w:rsidR="00332E4E">
        <w:rPr>
          <w:rFonts w:ascii="Times New Roman" w:hAnsi="Times New Roman"/>
          <w:bCs/>
          <w:iCs/>
        </w:rPr>
        <w:t xml:space="preserve"> will be made to the data collection request.  See the attached document for specific </w:t>
      </w:r>
      <w:r w:rsidR="005A334F">
        <w:rPr>
          <w:rFonts w:ascii="Times New Roman" w:hAnsi="Times New Roman"/>
          <w:bCs/>
          <w:iCs/>
        </w:rPr>
        <w:t>updates</w:t>
      </w:r>
      <w:r w:rsidR="00332E4E">
        <w:rPr>
          <w:rFonts w:ascii="Times New Roman" w:hAnsi="Times New Roman"/>
          <w:bCs/>
          <w:iCs/>
        </w:rPr>
        <w:t>.</w:t>
      </w:r>
    </w:p>
    <w:p w:rsidR="00332E4E" w:rsidP="00E02F8B" w14:paraId="66CE43E7" w14:textId="120FDDF8">
      <w:pPr>
        <w:widowControl w:val="0"/>
        <w:ind w:left="720"/>
        <w:rPr>
          <w:rFonts w:ascii="Times New Roman" w:hAnsi="Times New Roman"/>
          <w:bCs/>
          <w:iCs/>
        </w:rPr>
      </w:pPr>
    </w:p>
    <w:p w:rsidR="00332E4E" w:rsidP="00332E4E" w14:paraId="6636F0FC" w14:textId="16D1E557">
      <w:pPr>
        <w:widowControl w:val="0"/>
        <w:ind w:left="720"/>
        <w:rPr>
          <w:rFonts w:ascii="Times New Roman" w:hAnsi="Times New Roman"/>
          <w:bCs/>
          <w:iCs/>
        </w:rPr>
      </w:pPr>
      <w:r>
        <w:rPr>
          <w:rFonts w:ascii="Times New Roman" w:hAnsi="Times New Roman"/>
        </w:rPr>
        <w:t>There are no changes to respondent/responses/burden hours</w:t>
      </w:r>
      <w:r w:rsidR="005A334F">
        <w:rPr>
          <w:rFonts w:ascii="Times New Roman" w:hAnsi="Times New Roman"/>
        </w:rPr>
        <w:t xml:space="preserve"> from the 60-day public comment period filing.</w:t>
      </w:r>
    </w:p>
    <w:p w:rsidR="00332E4E" w:rsidP="00E02F8B" w14:paraId="05C33FE6" w14:textId="77777777">
      <w:pPr>
        <w:widowControl w:val="0"/>
        <w:ind w:left="720"/>
        <w:rPr>
          <w:rFonts w:ascii="Times New Roman" w:hAnsi="Times New Roman"/>
          <w:bCs/>
          <w:iCs/>
        </w:rPr>
      </w:pPr>
    </w:p>
    <w:p w:rsidR="00E02F8B" w:rsidP="00E02F8B" w14:paraId="00DF4F79" w14:textId="49403343">
      <w:pPr>
        <w:widowControl w:val="0"/>
        <w:ind w:left="720"/>
        <w:rPr>
          <w:rFonts w:ascii="Times New Roman" w:hAnsi="Times New Roman"/>
          <w:bCs/>
          <w:iCs/>
        </w:rPr>
      </w:pPr>
      <w:r>
        <w:rPr>
          <w:rFonts w:ascii="Times New Roman" w:hAnsi="Times New Roman"/>
          <w:bCs/>
          <w:iCs/>
        </w:rPr>
        <w:t xml:space="preserve">The Department </w:t>
      </w:r>
      <w:r w:rsidR="00332E4E">
        <w:rPr>
          <w:rFonts w:ascii="Times New Roman" w:hAnsi="Times New Roman"/>
          <w:bCs/>
          <w:iCs/>
        </w:rPr>
        <w:t>is now</w:t>
      </w:r>
      <w:r>
        <w:rPr>
          <w:rFonts w:ascii="Times New Roman" w:hAnsi="Times New Roman"/>
          <w:bCs/>
          <w:iCs/>
        </w:rPr>
        <w:t xml:space="preserve"> </w:t>
      </w:r>
      <w:r w:rsidR="004D67FC">
        <w:rPr>
          <w:rFonts w:ascii="Times New Roman" w:hAnsi="Times New Roman"/>
          <w:bCs/>
          <w:iCs/>
        </w:rPr>
        <w:t>request</w:t>
      </w:r>
      <w:r w:rsidR="00332E4E">
        <w:rPr>
          <w:rFonts w:ascii="Times New Roman" w:hAnsi="Times New Roman"/>
          <w:bCs/>
          <w:iCs/>
        </w:rPr>
        <w:t>ing</w:t>
      </w:r>
      <w:r w:rsidR="00A25E18">
        <w:rPr>
          <w:rFonts w:ascii="Times New Roman" w:hAnsi="Times New Roman"/>
          <w:bCs/>
          <w:iCs/>
        </w:rPr>
        <w:t xml:space="preserve"> </w:t>
      </w:r>
      <w:r>
        <w:rPr>
          <w:rFonts w:ascii="Times New Roman" w:hAnsi="Times New Roman"/>
          <w:bCs/>
          <w:iCs/>
        </w:rPr>
        <w:t xml:space="preserve">a 30-day public comment period be published in the Federal Register.  </w:t>
      </w:r>
    </w:p>
    <w:p w:rsidR="005F4E11" w:rsidP="00E02F8B" w14:paraId="477C84F0" w14:textId="77777777">
      <w:pPr>
        <w:tabs>
          <w:tab w:val="left" w:pos="-720"/>
        </w:tabs>
        <w:suppressAutoHyphens/>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F4C67" w:rsidRPr="00E02F8B" w:rsidP="00E02F8B" w14:paraId="522C6A88" w14:textId="3FE07F8D">
      <w:pPr>
        <w:widowControl w:val="0"/>
        <w:ind w:left="720"/>
        <w:rPr>
          <w:rFonts w:ascii="Times New Roman" w:hAnsi="Times New Roman"/>
        </w:rPr>
      </w:pPr>
      <w:r w:rsidRPr="007720AC">
        <w:rPr>
          <w:rFonts w:ascii="Times New Roman" w:hAnsi="Times New Roman"/>
        </w:rPr>
        <w:t xml:space="preserve">The Department will not provide payment or gifts to the users of eZ-Audit.  The submission of </w:t>
      </w:r>
      <w:r>
        <w:rPr>
          <w:rFonts w:ascii="Times New Roman" w:hAnsi="Times New Roman"/>
        </w:rPr>
        <w:t>90/10 Revenue Attestation and Calculation</w:t>
      </w:r>
      <w:r w:rsidRPr="007720AC">
        <w:rPr>
          <w:rFonts w:ascii="Times New Roman" w:hAnsi="Times New Roman"/>
        </w:rPr>
        <w:t xml:space="preserve"> is mandatory.</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E02F8B" w:rsidRPr="007720AC" w:rsidP="00E02F8B" w14:paraId="79A48EC4" w14:textId="77777777">
      <w:pPr>
        <w:widowControl w:val="0"/>
        <w:ind w:left="720"/>
        <w:rPr>
          <w:rFonts w:ascii="Times New Roman" w:hAnsi="Times New Roman"/>
        </w:rPr>
      </w:pPr>
      <w:r w:rsidRPr="007720AC">
        <w:rPr>
          <w:rFonts w:ascii="Times New Roman" w:hAnsi="Times New Roman"/>
        </w:rPr>
        <w:t xml:space="preserve">No assurance of confidentiality is provided to respondents.  Audit information that is provided through eZ-Audit or a paper-based process is subject to release to the public under the applicable provisions of the Freedom of Information Act. </w:t>
      </w:r>
    </w:p>
    <w:p w:rsidR="00EF4C67" w:rsidP="005F4E11" w14:paraId="481A5EB4" w14:textId="24E17DD1">
      <w:pPr>
        <w:tabs>
          <w:tab w:val="left" w:pos="-720"/>
        </w:tabs>
        <w:suppressAutoHyphens/>
        <w:ind w:left="720"/>
        <w:rPr>
          <w:rFonts w:asciiTheme="minorHAnsi" w:hAnsiTheme="minorHAnsi" w:cstheme="minorHAnsi"/>
          <w:szCs w:val="24"/>
        </w:rPr>
      </w:pP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t>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E02F8B" w:rsidRPr="007720AC" w:rsidP="00E02F8B" w14:paraId="4C5EE931" w14:textId="77777777">
      <w:pPr>
        <w:widowControl w:val="0"/>
        <w:ind w:firstLine="720"/>
        <w:rPr>
          <w:rFonts w:ascii="Times New Roman" w:hAnsi="Times New Roman"/>
        </w:rPr>
      </w:pPr>
      <w:r w:rsidRPr="007720AC">
        <w:rPr>
          <w:rFonts w:ascii="Times New Roman" w:hAnsi="Times New Roman"/>
        </w:rPr>
        <w:t>No questions of a sensitive nature are requested in eZ-Audit.</w:t>
      </w:r>
    </w:p>
    <w:p w:rsidR="00920F63" w:rsidRPr="005F4E11" w:rsidP="00E02F8B" w14:paraId="64280E8B" w14:textId="77777777">
      <w:pPr>
        <w:tabs>
          <w:tab w:val="left" w:pos="-720"/>
        </w:tabs>
        <w:suppressAutoHyphens/>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874E3F" w:rsidRPr="007720AC" w:rsidP="00874E3F" w14:paraId="18CC5A2E" w14:textId="77777777">
      <w:pPr>
        <w:widowControl w:val="0"/>
        <w:ind w:left="700"/>
        <w:rPr>
          <w:rFonts w:ascii="Times New Roman" w:hAnsi="Times New Roman"/>
          <w:bCs/>
          <w:iCs/>
          <w:szCs w:val="24"/>
        </w:rPr>
      </w:pPr>
      <w:r w:rsidRPr="007720AC">
        <w:rPr>
          <w:rFonts w:ascii="Times New Roman" w:hAnsi="Times New Roman"/>
          <w:bCs/>
          <w:iCs/>
          <w:szCs w:val="24"/>
        </w:rPr>
        <w:t xml:space="preserve">This collection represents a Reporting burden type.  </w:t>
      </w:r>
      <w:r>
        <w:rPr>
          <w:rFonts w:ascii="Times New Roman" w:hAnsi="Times New Roman"/>
          <w:bCs/>
          <w:iCs/>
          <w:szCs w:val="24"/>
        </w:rPr>
        <w:t xml:space="preserve">Domestic and Foreign proprietary institutions/ entities enter within the eZ-Audit 90/10 Revenue Calculation input </w:t>
      </w:r>
      <w:r w:rsidRPr="007720AC">
        <w:rPr>
          <w:rFonts w:ascii="Times New Roman" w:hAnsi="Times New Roman"/>
          <w:bCs/>
          <w:iCs/>
          <w:szCs w:val="24"/>
        </w:rPr>
        <w:t xml:space="preserve">screen </w:t>
      </w:r>
      <w:r>
        <w:rPr>
          <w:rFonts w:ascii="Times New Roman" w:hAnsi="Times New Roman"/>
          <w:bCs/>
          <w:iCs/>
          <w:szCs w:val="24"/>
        </w:rPr>
        <w:t>the requisition revenue data from the audited financial statements</w:t>
      </w:r>
      <w:r w:rsidRPr="007720AC">
        <w:rPr>
          <w:rFonts w:ascii="Times New Roman" w:hAnsi="Times New Roman"/>
          <w:bCs/>
          <w:iCs/>
          <w:szCs w:val="24"/>
        </w:rPr>
        <w:t>.</w:t>
      </w:r>
      <w:r>
        <w:rPr>
          <w:rFonts w:ascii="Times New Roman" w:hAnsi="Times New Roman"/>
          <w:bCs/>
          <w:iCs/>
          <w:szCs w:val="24"/>
        </w:rPr>
        <w:t xml:space="preserve"> The 90/10 Revenue Calculation is performed automatically by eZ-Audit.</w:t>
      </w:r>
      <w:r w:rsidRPr="007720AC">
        <w:rPr>
          <w:rFonts w:ascii="Times New Roman" w:hAnsi="Times New Roman"/>
          <w:bCs/>
          <w:iCs/>
          <w:szCs w:val="24"/>
        </w:rPr>
        <w:t xml:space="preserve">  The burden hour estimates in the table below reflect </w:t>
      </w:r>
      <w:r>
        <w:rPr>
          <w:rFonts w:ascii="Times New Roman" w:hAnsi="Times New Roman"/>
          <w:bCs/>
          <w:iCs/>
          <w:szCs w:val="24"/>
        </w:rPr>
        <w:t>the time requirements for the data entry of the input process</w:t>
      </w:r>
      <w:r w:rsidRPr="007720AC">
        <w:rPr>
          <w:rFonts w:ascii="Times New Roman" w:hAnsi="Times New Roman"/>
          <w:bCs/>
          <w:iCs/>
          <w:szCs w:val="24"/>
        </w:rPr>
        <w:t>.</w:t>
      </w:r>
    </w:p>
    <w:p w:rsidR="00874E3F" w:rsidRPr="007720AC" w:rsidP="00874E3F" w14:paraId="72AC64DC" w14:textId="77777777">
      <w:pPr>
        <w:widowControl w:val="0"/>
        <w:ind w:left="700"/>
        <w:rPr>
          <w:rFonts w:ascii="Times New Roman" w:hAnsi="Times New Roman"/>
          <w:szCs w:val="24"/>
        </w:rPr>
      </w:pPr>
    </w:p>
    <w:p w:rsidR="00874E3F" w:rsidP="00874E3F" w14:paraId="5AA63711" w14:textId="20BC75D2">
      <w:pPr>
        <w:pStyle w:val="BodyText0"/>
        <w:widowControl w:val="0"/>
        <w:spacing w:after="0"/>
        <w:ind w:left="700"/>
        <w:rPr>
          <w:rFonts w:ascii="Times New Roman" w:hAnsi="Times New Roman"/>
          <w:bCs/>
          <w:iCs/>
          <w:szCs w:val="24"/>
        </w:rPr>
      </w:pPr>
      <w:r w:rsidRPr="007720AC">
        <w:rPr>
          <w:rFonts w:ascii="Times New Roman" w:hAnsi="Times New Roman"/>
          <w:bCs/>
          <w:iCs/>
          <w:szCs w:val="24"/>
        </w:rPr>
        <w:t xml:space="preserve">There are approximately </w:t>
      </w:r>
      <w:r>
        <w:rPr>
          <w:rFonts w:ascii="Times New Roman" w:hAnsi="Times New Roman"/>
          <w:bCs/>
          <w:iCs/>
          <w:szCs w:val="24"/>
        </w:rPr>
        <w:t>1</w:t>
      </w:r>
      <w:r w:rsidR="00A16FAF">
        <w:rPr>
          <w:rFonts w:ascii="Times New Roman" w:hAnsi="Times New Roman"/>
          <w:bCs/>
          <w:iCs/>
          <w:szCs w:val="24"/>
        </w:rPr>
        <w:t>,</w:t>
      </w:r>
      <w:r>
        <w:rPr>
          <w:rFonts w:ascii="Times New Roman" w:hAnsi="Times New Roman"/>
          <w:bCs/>
          <w:iCs/>
          <w:szCs w:val="24"/>
        </w:rPr>
        <w:t xml:space="preserve">750 </w:t>
      </w:r>
      <w:r w:rsidRPr="007720AC">
        <w:rPr>
          <w:rFonts w:ascii="Times New Roman" w:hAnsi="Times New Roman"/>
          <w:bCs/>
          <w:iCs/>
          <w:szCs w:val="24"/>
        </w:rPr>
        <w:t xml:space="preserve">proprietary institutions that are required to </w:t>
      </w:r>
      <w:r>
        <w:rPr>
          <w:rFonts w:ascii="Times New Roman" w:hAnsi="Times New Roman"/>
          <w:bCs/>
          <w:iCs/>
          <w:szCs w:val="24"/>
        </w:rPr>
        <w:t>report the 90/10 Revenue Attestation to the Department on an annual basis</w:t>
      </w:r>
      <w:r w:rsidRPr="007720AC">
        <w:rPr>
          <w:rFonts w:ascii="Times New Roman" w:hAnsi="Times New Roman"/>
          <w:bCs/>
          <w:iCs/>
          <w:szCs w:val="24"/>
        </w:rPr>
        <w:t xml:space="preserve">.  The burden hour estimates in the following table assume that </w:t>
      </w:r>
      <w:r>
        <w:rPr>
          <w:rFonts w:ascii="Times New Roman" w:hAnsi="Times New Roman"/>
          <w:bCs/>
          <w:iCs/>
          <w:szCs w:val="24"/>
        </w:rPr>
        <w:t xml:space="preserve">personnel with qualified data entry skills as designated by the institution or </w:t>
      </w:r>
      <w:r w:rsidR="00D55176">
        <w:rPr>
          <w:rFonts w:ascii="Times New Roman" w:hAnsi="Times New Roman"/>
          <w:bCs/>
          <w:iCs/>
          <w:szCs w:val="24"/>
        </w:rPr>
        <w:t>its</w:t>
      </w:r>
      <w:r>
        <w:rPr>
          <w:rFonts w:ascii="Times New Roman" w:hAnsi="Times New Roman"/>
          <w:bCs/>
          <w:iCs/>
          <w:szCs w:val="24"/>
        </w:rPr>
        <w:t xml:space="preserve"> auditor </w:t>
      </w:r>
      <w:r w:rsidRPr="007720AC">
        <w:rPr>
          <w:rFonts w:ascii="Times New Roman" w:hAnsi="Times New Roman"/>
          <w:bCs/>
          <w:iCs/>
          <w:szCs w:val="24"/>
        </w:rPr>
        <w:t xml:space="preserve">is completing the eZ-Audit input screens </w:t>
      </w:r>
      <w:r>
        <w:rPr>
          <w:rFonts w:ascii="Times New Roman" w:hAnsi="Times New Roman"/>
          <w:bCs/>
          <w:iCs/>
          <w:szCs w:val="24"/>
        </w:rPr>
        <w:t>for the 90/10 Revenue Calculation</w:t>
      </w:r>
      <w:r w:rsidRPr="007720AC">
        <w:rPr>
          <w:rFonts w:ascii="Times New Roman" w:hAnsi="Times New Roman"/>
          <w:bCs/>
          <w:iCs/>
          <w:szCs w:val="24"/>
        </w:rPr>
        <w:t>.</w:t>
      </w:r>
      <w:r>
        <w:rPr>
          <w:rFonts w:ascii="Times New Roman" w:hAnsi="Times New Roman"/>
          <w:bCs/>
          <w:iCs/>
          <w:szCs w:val="24"/>
        </w:rPr>
        <w:t xml:space="preserve">  </w:t>
      </w:r>
    </w:p>
    <w:p w:rsidR="00874E3F" w:rsidP="00874E3F" w14:paraId="5344F358" w14:textId="77777777">
      <w:pPr>
        <w:pStyle w:val="BodyText0"/>
        <w:widowControl w:val="0"/>
        <w:spacing w:after="0"/>
        <w:ind w:left="700"/>
        <w:rPr>
          <w:rFonts w:ascii="Times New Roman" w:hAnsi="Times New Roman"/>
          <w:bCs/>
          <w:iCs/>
          <w:szCs w:val="24"/>
        </w:rPr>
      </w:pPr>
    </w:p>
    <w:p w:rsidR="00874E3F" w:rsidP="00874E3F" w14:paraId="2B98F255" w14:textId="2DFDF8C1">
      <w:pPr>
        <w:pStyle w:val="BodyText0"/>
        <w:widowControl w:val="0"/>
        <w:spacing w:after="0"/>
        <w:ind w:left="700"/>
        <w:rPr>
          <w:rFonts w:ascii="Times New Roman" w:hAnsi="Times New Roman"/>
          <w:bCs/>
          <w:iCs/>
          <w:szCs w:val="24"/>
        </w:rPr>
      </w:pPr>
      <w:r w:rsidRPr="007720AC">
        <w:rPr>
          <w:rFonts w:ascii="Times New Roman" w:hAnsi="Times New Roman"/>
          <w:bCs/>
          <w:iCs/>
          <w:szCs w:val="24"/>
        </w:rPr>
        <w:t>In deriving the “</w:t>
      </w:r>
      <w:r>
        <w:rPr>
          <w:rFonts w:ascii="Times New Roman" w:hAnsi="Times New Roman"/>
          <w:bCs/>
          <w:iCs/>
          <w:szCs w:val="24"/>
        </w:rPr>
        <w:t>Number of Responses</w:t>
      </w:r>
      <w:r w:rsidRPr="007720AC">
        <w:rPr>
          <w:rFonts w:ascii="Times New Roman" w:hAnsi="Times New Roman"/>
          <w:bCs/>
          <w:iCs/>
          <w:szCs w:val="24"/>
        </w:rPr>
        <w:t xml:space="preserve">” the total number of fields to be entered by each institution type was taken into consideration. </w:t>
      </w:r>
      <w:r w:rsidRPr="00874E3F">
        <w:rPr>
          <w:rFonts w:ascii="Times New Roman" w:hAnsi="Times New Roman"/>
          <w:bCs/>
          <w:iCs/>
          <w:szCs w:val="24"/>
        </w:rPr>
        <w:t>The “Number of Responses” required to be collected from an institution my vary due to the number, type, and amount of responses as are applicable to the institution. Number of Responses has been provided in average range</w:t>
      </w:r>
    </w:p>
    <w:p w:rsidR="00874E3F" w:rsidP="00874E3F" w14:paraId="42ACC81D" w14:textId="7985E5D6">
      <w:pPr>
        <w:pStyle w:val="BodyText0"/>
        <w:widowControl w:val="0"/>
        <w:spacing w:after="0"/>
        <w:ind w:left="700"/>
        <w:rPr>
          <w:rFonts w:ascii="Times New Roman" w:hAnsi="Times New Roman"/>
          <w:bCs/>
          <w:iCs/>
          <w:szCs w:val="24"/>
        </w:rPr>
      </w:pPr>
    </w:p>
    <w:p w:rsidR="00874E3F" w:rsidP="00874E3F" w14:paraId="4C72A514" w14:textId="77777777">
      <w:pPr>
        <w:widowControl w:val="0"/>
        <w:ind w:left="720"/>
        <w:rPr>
          <w:rFonts w:ascii="Times New Roman" w:hAnsi="Times New Roman"/>
          <w:bCs/>
          <w:iCs/>
          <w:szCs w:val="24"/>
        </w:rPr>
      </w:pPr>
      <w:r w:rsidRPr="007720AC">
        <w:rPr>
          <w:rFonts w:ascii="Times New Roman" w:hAnsi="Times New Roman"/>
          <w:bCs/>
          <w:iCs/>
          <w:szCs w:val="24"/>
        </w:rPr>
        <w:t xml:space="preserve">It was assumed that the </w:t>
      </w:r>
      <w:r>
        <w:rPr>
          <w:rFonts w:ascii="Times New Roman" w:hAnsi="Times New Roman"/>
          <w:bCs/>
          <w:iCs/>
          <w:szCs w:val="24"/>
        </w:rPr>
        <w:t>“Average Burden Hours per Response”</w:t>
      </w:r>
      <w:r w:rsidRPr="007720AC">
        <w:rPr>
          <w:rFonts w:ascii="Times New Roman" w:hAnsi="Times New Roman"/>
          <w:bCs/>
          <w:iCs/>
          <w:szCs w:val="24"/>
        </w:rPr>
        <w:t xml:space="preserve"> for each field is approximately </w:t>
      </w:r>
      <w:r>
        <w:rPr>
          <w:rFonts w:ascii="Times New Roman" w:hAnsi="Times New Roman"/>
          <w:bCs/>
          <w:iCs/>
          <w:szCs w:val="24"/>
        </w:rPr>
        <w:t>1 minute</w:t>
      </w:r>
      <w:r w:rsidRPr="007720AC">
        <w:rPr>
          <w:rFonts w:ascii="Times New Roman" w:hAnsi="Times New Roman"/>
          <w:bCs/>
          <w:iCs/>
          <w:szCs w:val="24"/>
        </w:rPr>
        <w:t xml:space="preserve">, which includes preparation work and the actual time it takes to key the information and upload the documents.  Therefore, multiplying the number of eZ-Audit fields by the amount of time it takes per field resulted in the </w:t>
      </w:r>
      <w:r>
        <w:rPr>
          <w:rFonts w:ascii="Times New Roman" w:hAnsi="Times New Roman"/>
          <w:bCs/>
          <w:iCs/>
          <w:szCs w:val="24"/>
        </w:rPr>
        <w:t>“Total Annual Burden Hours”</w:t>
      </w:r>
      <w:r w:rsidRPr="007720AC">
        <w:rPr>
          <w:rFonts w:ascii="Times New Roman" w:hAnsi="Times New Roman"/>
          <w:bCs/>
          <w:iCs/>
          <w:szCs w:val="24"/>
        </w:rPr>
        <w:t>.</w:t>
      </w:r>
      <w:r>
        <w:rPr>
          <w:rFonts w:ascii="Times New Roman" w:hAnsi="Times New Roman"/>
          <w:bCs/>
          <w:iCs/>
          <w:szCs w:val="24"/>
        </w:rPr>
        <w:t xml:space="preserve"> </w:t>
      </w:r>
    </w:p>
    <w:p w:rsidR="00874E3F" w:rsidP="00874E3F" w14:paraId="119A9FEE" w14:textId="77777777">
      <w:pPr>
        <w:widowControl w:val="0"/>
        <w:ind w:left="720"/>
        <w:rPr>
          <w:rFonts w:ascii="Times New Roman" w:hAnsi="Times New Roman"/>
          <w:bCs/>
          <w:iCs/>
          <w:szCs w:val="24"/>
        </w:rPr>
      </w:pPr>
    </w:p>
    <w:p w:rsidR="00874E3F" w:rsidP="00874E3F" w14:paraId="193E43E4" w14:textId="759E1EB6">
      <w:pPr>
        <w:widowControl w:val="0"/>
        <w:ind w:left="720"/>
        <w:rPr>
          <w:rFonts w:ascii="Times New Roman" w:hAnsi="Times New Roman"/>
          <w:szCs w:val="24"/>
        </w:rPr>
      </w:pPr>
      <w:r w:rsidRPr="007720AC">
        <w:rPr>
          <w:rFonts w:ascii="Times New Roman" w:hAnsi="Times New Roman"/>
          <w:szCs w:val="24"/>
        </w:rPr>
        <w:t xml:space="preserve">The </w:t>
      </w:r>
      <w:r>
        <w:rPr>
          <w:rFonts w:ascii="Times New Roman" w:hAnsi="Times New Roman"/>
          <w:szCs w:val="24"/>
        </w:rPr>
        <w:t>“Estimated Respondent Average Hourly Wage”</w:t>
      </w:r>
      <w:r w:rsidRPr="007720AC">
        <w:rPr>
          <w:rFonts w:ascii="Times New Roman" w:hAnsi="Times New Roman"/>
          <w:szCs w:val="24"/>
        </w:rPr>
        <w:t xml:space="preserve"> assume that an institution will utilize </w:t>
      </w:r>
      <w:r>
        <w:rPr>
          <w:rFonts w:ascii="Times New Roman" w:hAnsi="Times New Roman"/>
          <w:szCs w:val="24"/>
        </w:rPr>
        <w:t>a data entry specialist or employee of equivalent skill level</w:t>
      </w:r>
      <w:r w:rsidRPr="007720AC">
        <w:rPr>
          <w:rFonts w:ascii="Times New Roman" w:hAnsi="Times New Roman"/>
          <w:szCs w:val="24"/>
        </w:rPr>
        <w:t xml:space="preserve"> whose </w:t>
      </w:r>
      <w:r>
        <w:rPr>
          <w:rFonts w:ascii="Times New Roman" w:hAnsi="Times New Roman"/>
          <w:szCs w:val="24"/>
        </w:rPr>
        <w:t>hourly wage</w:t>
      </w:r>
      <w:r w:rsidRPr="007720AC">
        <w:rPr>
          <w:rFonts w:ascii="Times New Roman" w:hAnsi="Times New Roman"/>
          <w:szCs w:val="24"/>
        </w:rPr>
        <w:t xml:space="preserve"> will cost $</w:t>
      </w:r>
      <w:r>
        <w:rPr>
          <w:rFonts w:ascii="Times New Roman" w:hAnsi="Times New Roman"/>
          <w:szCs w:val="24"/>
        </w:rPr>
        <w:t xml:space="preserve">32.50 </w:t>
      </w:r>
      <w:r w:rsidRPr="007720AC">
        <w:rPr>
          <w:rFonts w:ascii="Times New Roman" w:hAnsi="Times New Roman"/>
          <w:szCs w:val="24"/>
        </w:rPr>
        <w:t xml:space="preserve">an hour to input the data.  </w:t>
      </w:r>
    </w:p>
    <w:p w:rsidR="00A16FAF" w:rsidP="00874E3F" w14:paraId="4E0D2E0B" w14:textId="6AAC34A2">
      <w:pPr>
        <w:widowControl w:val="0"/>
        <w:ind w:left="720"/>
        <w:rPr>
          <w:rFonts w:ascii="Times New Roman" w:hAnsi="Times New Roman"/>
          <w:szCs w:val="24"/>
        </w:rPr>
      </w:pPr>
    </w:p>
    <w:p w:rsidR="00A16FAF" w:rsidRPr="00874E3F" w:rsidP="00874E3F" w14:paraId="6B6C267B" w14:textId="0F81F941">
      <w:pPr>
        <w:widowControl w:val="0"/>
        <w:ind w:left="720"/>
        <w:rPr>
          <w:rFonts w:ascii="Times New Roman" w:hAnsi="Times New Roman"/>
          <w:bCs/>
          <w:iCs/>
          <w:szCs w:val="24"/>
        </w:rPr>
      </w:pPr>
      <w:r>
        <w:rPr>
          <w:rFonts w:ascii="Times New Roman" w:hAnsi="Times New Roman"/>
          <w:bCs/>
          <w:iCs/>
          <w:szCs w:val="24"/>
        </w:rPr>
        <w:t xml:space="preserve">Using the framework above, 1,750 institutions </w:t>
      </w:r>
      <w:r w:rsidR="00DB6979">
        <w:rPr>
          <w:rFonts w:ascii="Times New Roman" w:hAnsi="Times New Roman"/>
          <w:bCs/>
          <w:iCs/>
          <w:szCs w:val="24"/>
        </w:rPr>
        <w:t xml:space="preserve">reporting 80-100 fields will create 140,000-175,000 responses needing between </w:t>
      </w:r>
      <w:r w:rsidR="002D7F8F">
        <w:rPr>
          <w:rFonts w:ascii="Times New Roman" w:hAnsi="Times New Roman"/>
          <w:bCs/>
          <w:iCs/>
          <w:szCs w:val="24"/>
        </w:rPr>
        <w:t xml:space="preserve">1,167-2,917 hours to complete the task.  </w:t>
      </w:r>
    </w:p>
    <w:p w:rsidR="00874E3F" w:rsidP="00874E3F" w14:paraId="37FC5108" w14:textId="65BD7BEB"/>
    <w:p w:rsidR="00874E3F" w:rsidRPr="00874E3F" w:rsidP="00874E3F" w14:paraId="3147C24F" w14:textId="77777777"/>
    <w:p w:rsidR="00ED7195" w:rsidP="00874E3F" w14:paraId="64280E96" w14:textId="4B25497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463" w:type="dxa"/>
        <w:tblLayout w:type="fixed"/>
        <w:tblLook w:val="0020"/>
      </w:tblPr>
      <w:tblGrid>
        <w:gridCol w:w="1345"/>
        <w:gridCol w:w="1923"/>
        <w:gridCol w:w="1080"/>
        <w:gridCol w:w="1335"/>
        <w:gridCol w:w="900"/>
        <w:gridCol w:w="1530"/>
        <w:gridCol w:w="1350"/>
      </w:tblGrid>
      <w:tr w14:paraId="30194A75" w14:textId="77777777" w:rsidTr="00874E3F">
        <w:tblPrEx>
          <w:tblW w:w="9463" w:type="dxa"/>
          <w:tblLayout w:type="fixed"/>
          <w:tblLook w:val="0020"/>
        </w:tblPrEx>
        <w:trPr>
          <w:tblHeader/>
        </w:trPr>
        <w:tc>
          <w:tcPr>
            <w:tcW w:w="1345" w:type="dxa"/>
          </w:tcPr>
          <w:p w:rsidR="009C37AF" w:rsidRPr="00874E3F" w:rsidP="005D28E6" w14:paraId="5459AFEC" w14:textId="77777777">
            <w:pPr>
              <w:jc w:val="center"/>
              <w:rPr>
                <w:rFonts w:ascii="Times New Roman" w:hAnsi="Times New Roman"/>
                <w:sz w:val="20"/>
              </w:rPr>
            </w:pPr>
            <w:r w:rsidRPr="00874E3F">
              <w:rPr>
                <w:rFonts w:ascii="Times New Roman" w:hAnsi="Times New Roman"/>
                <w:sz w:val="20"/>
              </w:rPr>
              <w:t>Information Activity or IC (with type of respondent)</w:t>
            </w:r>
          </w:p>
        </w:tc>
        <w:tc>
          <w:tcPr>
            <w:tcW w:w="1923" w:type="dxa"/>
          </w:tcPr>
          <w:p w:rsidR="009C37AF" w:rsidRPr="00874E3F" w:rsidP="005D28E6" w14:paraId="68244276" w14:textId="77777777">
            <w:pPr>
              <w:jc w:val="center"/>
              <w:rPr>
                <w:rFonts w:ascii="Times New Roman" w:hAnsi="Times New Roman"/>
                <w:sz w:val="20"/>
              </w:rPr>
            </w:pPr>
            <w:r w:rsidRPr="00874E3F">
              <w:rPr>
                <w:rFonts w:ascii="Times New Roman" w:hAnsi="Times New Roman"/>
                <w:sz w:val="20"/>
              </w:rPr>
              <w:t>Number of Respondents</w:t>
            </w:r>
          </w:p>
        </w:tc>
        <w:tc>
          <w:tcPr>
            <w:tcW w:w="1080" w:type="dxa"/>
          </w:tcPr>
          <w:p w:rsidR="009C37AF" w:rsidRPr="00874E3F" w:rsidP="005D28E6" w14:paraId="2C56A71F" w14:textId="2F8A0C70">
            <w:pPr>
              <w:jc w:val="center"/>
              <w:rPr>
                <w:rFonts w:ascii="Times New Roman" w:hAnsi="Times New Roman"/>
                <w:sz w:val="20"/>
              </w:rPr>
            </w:pPr>
            <w:r>
              <w:rPr>
                <w:rFonts w:ascii="Times New Roman" w:hAnsi="Times New Roman"/>
                <w:sz w:val="20"/>
              </w:rPr>
              <w:t xml:space="preserve">Average </w:t>
            </w:r>
            <w:r w:rsidRPr="00874E3F">
              <w:rPr>
                <w:rFonts w:ascii="Times New Roman" w:hAnsi="Times New Roman"/>
                <w:sz w:val="20"/>
              </w:rPr>
              <w:t>Number of Responses</w:t>
            </w:r>
          </w:p>
        </w:tc>
        <w:tc>
          <w:tcPr>
            <w:tcW w:w="1335" w:type="dxa"/>
          </w:tcPr>
          <w:p w:rsidR="009C37AF" w:rsidRPr="00874E3F" w:rsidP="005D28E6" w14:paraId="69413425" w14:textId="77777777">
            <w:pPr>
              <w:jc w:val="center"/>
              <w:rPr>
                <w:rFonts w:ascii="Times New Roman" w:hAnsi="Times New Roman"/>
                <w:sz w:val="20"/>
              </w:rPr>
            </w:pPr>
            <w:r w:rsidRPr="00874E3F">
              <w:rPr>
                <w:rFonts w:ascii="Times New Roman" w:hAnsi="Times New Roman"/>
                <w:sz w:val="20"/>
              </w:rPr>
              <w:t>Average Burden Hours per Response</w:t>
            </w:r>
          </w:p>
        </w:tc>
        <w:tc>
          <w:tcPr>
            <w:tcW w:w="900" w:type="dxa"/>
          </w:tcPr>
          <w:p w:rsidR="009C37AF" w:rsidRPr="00874E3F" w:rsidP="005D28E6" w14:paraId="41E0E3BB" w14:textId="72DEB672">
            <w:pPr>
              <w:rPr>
                <w:rFonts w:ascii="Times New Roman" w:hAnsi="Times New Roman"/>
                <w:sz w:val="20"/>
              </w:rPr>
            </w:pPr>
            <w:r>
              <w:rPr>
                <w:rFonts w:ascii="Times New Roman" w:hAnsi="Times New Roman"/>
                <w:sz w:val="20"/>
              </w:rPr>
              <w:t>Average</w:t>
            </w:r>
            <w:r w:rsidRPr="00874E3F">
              <w:rPr>
                <w:rFonts w:ascii="Times New Roman" w:hAnsi="Times New Roman"/>
                <w:sz w:val="20"/>
              </w:rPr>
              <w:t xml:space="preserve"> Total</w:t>
            </w:r>
            <w:r w:rsidRPr="00874E3F">
              <w:rPr>
                <w:rFonts w:ascii="Times New Roman" w:hAnsi="Times New Roman"/>
                <w:sz w:val="20"/>
              </w:rPr>
              <w:t xml:space="preserve"> Annual Burden Hours</w:t>
            </w:r>
          </w:p>
        </w:tc>
        <w:tc>
          <w:tcPr>
            <w:tcW w:w="1530" w:type="dxa"/>
          </w:tcPr>
          <w:p w:rsidR="009C37AF" w:rsidRPr="00874E3F" w:rsidP="005D28E6" w14:paraId="2D036494" w14:textId="77777777">
            <w:pPr>
              <w:jc w:val="center"/>
              <w:rPr>
                <w:rFonts w:ascii="Times New Roman" w:hAnsi="Times New Roman"/>
                <w:sz w:val="20"/>
              </w:rPr>
            </w:pPr>
            <w:r w:rsidRPr="00874E3F">
              <w:rPr>
                <w:rFonts w:ascii="Times New Roman" w:hAnsi="Times New Roman"/>
                <w:sz w:val="20"/>
              </w:rPr>
              <w:t>Estimated Respondent Average Hourly Wage</w:t>
            </w:r>
          </w:p>
        </w:tc>
        <w:tc>
          <w:tcPr>
            <w:tcW w:w="1350" w:type="dxa"/>
          </w:tcPr>
          <w:p w:rsidR="009C37AF" w:rsidRPr="00874E3F" w:rsidP="005D28E6" w14:paraId="31A8B44A" w14:textId="5F398AA3">
            <w:pPr>
              <w:jc w:val="center"/>
              <w:rPr>
                <w:rFonts w:ascii="Times New Roman" w:hAnsi="Times New Roman"/>
                <w:sz w:val="20"/>
              </w:rPr>
            </w:pPr>
            <w:r>
              <w:rPr>
                <w:rFonts w:ascii="Times New Roman" w:hAnsi="Times New Roman"/>
                <w:sz w:val="20"/>
              </w:rPr>
              <w:t>Average</w:t>
            </w:r>
            <w:r w:rsidRPr="00874E3F">
              <w:rPr>
                <w:rFonts w:ascii="Times New Roman" w:hAnsi="Times New Roman"/>
                <w:sz w:val="20"/>
              </w:rPr>
              <w:t xml:space="preserve"> Total</w:t>
            </w:r>
            <w:r w:rsidRPr="00874E3F">
              <w:rPr>
                <w:rFonts w:ascii="Times New Roman" w:hAnsi="Times New Roman"/>
                <w:sz w:val="20"/>
              </w:rPr>
              <w:t xml:space="preserve"> Annual Costs (hourly wage x total burden hours)</w:t>
            </w:r>
          </w:p>
        </w:tc>
      </w:tr>
      <w:tr w14:paraId="0E729D89" w14:textId="77777777" w:rsidTr="00874E3F">
        <w:tblPrEx>
          <w:tblW w:w="9463" w:type="dxa"/>
          <w:tblLayout w:type="fixed"/>
          <w:tblLook w:val="0020"/>
        </w:tblPrEx>
        <w:tc>
          <w:tcPr>
            <w:tcW w:w="1345" w:type="dxa"/>
          </w:tcPr>
          <w:p w:rsidR="009C37AF" w:rsidRPr="00874E3F" w:rsidP="005D28E6" w14:paraId="07BE4C69" w14:textId="02909588">
            <w:pPr>
              <w:rPr>
                <w:rFonts w:ascii="Times New Roman" w:hAnsi="Times New Roman"/>
                <w:szCs w:val="24"/>
              </w:rPr>
            </w:pPr>
            <w:r w:rsidRPr="00874E3F">
              <w:rPr>
                <w:rFonts w:ascii="Times New Roman" w:hAnsi="Times New Roman"/>
                <w:szCs w:val="24"/>
              </w:rPr>
              <w:t xml:space="preserve">All Domestic and Foreign </w:t>
            </w:r>
            <w:r w:rsidRPr="00874E3F" w:rsidR="00D55176">
              <w:rPr>
                <w:rFonts w:ascii="Times New Roman" w:hAnsi="Times New Roman"/>
                <w:szCs w:val="24"/>
              </w:rPr>
              <w:t>Proprietary Institutions</w:t>
            </w:r>
          </w:p>
        </w:tc>
        <w:tc>
          <w:tcPr>
            <w:tcW w:w="1923" w:type="dxa"/>
            <w:vAlign w:val="center"/>
          </w:tcPr>
          <w:p w:rsidR="009C37AF" w:rsidRPr="00874E3F" w:rsidP="00874E3F" w14:paraId="2DD92A89" w14:textId="5E0BE007">
            <w:pPr>
              <w:jc w:val="center"/>
              <w:rPr>
                <w:rFonts w:ascii="Times New Roman" w:hAnsi="Times New Roman"/>
                <w:szCs w:val="24"/>
              </w:rPr>
            </w:pPr>
            <w:r w:rsidRPr="00874E3F">
              <w:rPr>
                <w:rFonts w:ascii="Times New Roman" w:hAnsi="Times New Roman"/>
                <w:szCs w:val="24"/>
              </w:rPr>
              <w:t>1</w:t>
            </w:r>
            <w:r w:rsidR="002D7F8F">
              <w:rPr>
                <w:rFonts w:ascii="Times New Roman" w:hAnsi="Times New Roman"/>
                <w:szCs w:val="24"/>
              </w:rPr>
              <w:t>,</w:t>
            </w:r>
            <w:r w:rsidRPr="00874E3F">
              <w:rPr>
                <w:rFonts w:ascii="Times New Roman" w:hAnsi="Times New Roman"/>
                <w:szCs w:val="24"/>
              </w:rPr>
              <w:t>750</w:t>
            </w:r>
          </w:p>
        </w:tc>
        <w:tc>
          <w:tcPr>
            <w:tcW w:w="1080" w:type="dxa"/>
            <w:vAlign w:val="center"/>
          </w:tcPr>
          <w:p w:rsidR="009C37AF" w:rsidRPr="00874E3F" w:rsidP="00874E3F" w14:paraId="7F418FD3" w14:textId="3ADBD180">
            <w:pPr>
              <w:jc w:val="center"/>
              <w:rPr>
                <w:rFonts w:ascii="Times New Roman" w:hAnsi="Times New Roman"/>
                <w:szCs w:val="24"/>
              </w:rPr>
            </w:pPr>
            <w:r>
              <w:rPr>
                <w:rFonts w:ascii="Times New Roman" w:hAnsi="Times New Roman"/>
                <w:szCs w:val="24"/>
              </w:rPr>
              <w:t>157,500</w:t>
            </w:r>
          </w:p>
        </w:tc>
        <w:tc>
          <w:tcPr>
            <w:tcW w:w="1335" w:type="dxa"/>
            <w:vAlign w:val="center"/>
          </w:tcPr>
          <w:p w:rsidR="009C37AF" w:rsidRPr="00874E3F" w:rsidP="00874E3F" w14:paraId="11378B7D" w14:textId="5C95A152">
            <w:pPr>
              <w:jc w:val="center"/>
              <w:rPr>
                <w:rFonts w:ascii="Times New Roman" w:hAnsi="Times New Roman"/>
                <w:szCs w:val="24"/>
              </w:rPr>
            </w:pPr>
            <w:r>
              <w:rPr>
                <w:rFonts w:ascii="Times New Roman" w:hAnsi="Times New Roman"/>
                <w:szCs w:val="24"/>
              </w:rPr>
              <w:t>30 – 60 seconds</w:t>
            </w:r>
          </w:p>
        </w:tc>
        <w:tc>
          <w:tcPr>
            <w:tcW w:w="900" w:type="dxa"/>
            <w:vAlign w:val="center"/>
          </w:tcPr>
          <w:p w:rsidR="009C37AF" w:rsidRPr="00874E3F" w:rsidP="00874E3F" w14:paraId="1AEEFB60" w14:textId="1D3C825D">
            <w:pPr>
              <w:pStyle w:val="EndnoteText"/>
              <w:tabs>
                <w:tab w:val="clear" w:pos="-720"/>
              </w:tabs>
              <w:suppressAutoHyphens w:val="0"/>
              <w:jc w:val="center"/>
              <w:rPr>
                <w:rFonts w:ascii="Times New Roman" w:hAnsi="Times New Roman"/>
                <w:szCs w:val="24"/>
              </w:rPr>
            </w:pPr>
            <w:r>
              <w:rPr>
                <w:rFonts w:ascii="Times New Roman" w:hAnsi="Times New Roman"/>
                <w:szCs w:val="24"/>
              </w:rPr>
              <w:t xml:space="preserve">2,042 </w:t>
            </w:r>
            <w:r w:rsidRPr="00874E3F" w:rsidR="000C185C">
              <w:rPr>
                <w:rFonts w:ascii="Times New Roman" w:hAnsi="Times New Roman"/>
                <w:szCs w:val="24"/>
              </w:rPr>
              <w:t>hours</w:t>
            </w:r>
          </w:p>
        </w:tc>
        <w:tc>
          <w:tcPr>
            <w:tcW w:w="1530" w:type="dxa"/>
            <w:vAlign w:val="center"/>
          </w:tcPr>
          <w:p w:rsidR="009C37AF" w:rsidRPr="00874E3F" w:rsidP="00874E3F" w14:paraId="5D2E57DB" w14:textId="15D8DB3C">
            <w:pPr>
              <w:jc w:val="center"/>
              <w:rPr>
                <w:rFonts w:ascii="Times New Roman" w:hAnsi="Times New Roman"/>
                <w:szCs w:val="24"/>
              </w:rPr>
            </w:pPr>
            <w:r w:rsidRPr="00874E3F">
              <w:rPr>
                <w:rFonts w:ascii="Times New Roman" w:hAnsi="Times New Roman"/>
                <w:szCs w:val="24"/>
              </w:rPr>
              <w:t>$32.50</w:t>
            </w:r>
          </w:p>
        </w:tc>
        <w:tc>
          <w:tcPr>
            <w:tcW w:w="1350" w:type="dxa"/>
            <w:vAlign w:val="center"/>
          </w:tcPr>
          <w:p w:rsidR="002D7F8F" w:rsidRPr="00874E3F" w:rsidP="002D7F8F" w14:paraId="466CD739" w14:textId="1DDC9751">
            <w:pPr>
              <w:jc w:val="center"/>
              <w:rPr>
                <w:rFonts w:ascii="Times New Roman" w:hAnsi="Times New Roman"/>
                <w:szCs w:val="24"/>
              </w:rPr>
            </w:pPr>
            <w:r w:rsidRPr="00874E3F">
              <w:rPr>
                <w:rFonts w:ascii="Times New Roman" w:hAnsi="Times New Roman"/>
                <w:szCs w:val="24"/>
              </w:rPr>
              <w:t>$</w:t>
            </w:r>
            <w:r>
              <w:rPr>
                <w:rFonts w:ascii="Times New Roman" w:hAnsi="Times New Roman"/>
                <w:szCs w:val="24"/>
              </w:rPr>
              <w:t>66,365.00</w:t>
            </w:r>
          </w:p>
          <w:p w:rsidR="00874E3F" w:rsidRPr="00874E3F" w:rsidP="00874E3F" w14:paraId="55ED5F6C" w14:textId="02FBA430">
            <w:pPr>
              <w:jc w:val="center"/>
              <w:rPr>
                <w:rFonts w:ascii="Times New Roman" w:hAnsi="Times New Roman"/>
                <w:szCs w:val="24"/>
              </w:rPr>
            </w:pPr>
          </w:p>
        </w:tc>
      </w:tr>
    </w:tbl>
    <w:p w:rsidR="009C37AF" w:rsidRPr="009C37AF" w:rsidP="009C37AF" w14:paraId="41C4D4A6" w14:textId="77777777"/>
    <w:p w:rsidR="000C185C" w:rsidP="000446F5" w14:paraId="08E8F392" w14:textId="77777777">
      <w:pPr>
        <w:pStyle w:val="ListParagraph"/>
        <w:tabs>
          <w:tab w:val="left" w:pos="-720"/>
        </w:tabs>
        <w:suppressAutoHyphens/>
        <w:ind w:left="-864" w:right="-864"/>
        <w:rPr>
          <w:rStyle w:val="a"/>
          <w:rFonts w:ascii="Times New Roman" w:hAnsi="Times New Roman"/>
          <w:b/>
          <w:bCs/>
          <w:i/>
          <w:iCs/>
          <w:sz w:val="22"/>
          <w:szCs w:val="22"/>
        </w:rPr>
      </w:pPr>
    </w:p>
    <w:p w:rsidR="00F31BEC" w:rsidRPr="00AF5D1A" w:rsidP="000446F5" w14:paraId="64280EE2" w14:textId="757AF3D4">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w:t>
      </w:r>
      <w:r w:rsidRPr="00ED7195">
        <w:rPr>
          <w:rFonts w:ascii="Times New Roman" w:hAnsi="Times New Roman"/>
          <w:b/>
          <w:szCs w:val="24"/>
        </w:rPr>
        <w:t>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874E3F"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w:t>
      </w:r>
      <w:r w:rsidRPr="00874E3F">
        <w:rPr>
          <w:rFonts w:ascii="Times New Roman" w:hAnsi="Times New Roman"/>
          <w:b/>
          <w:szCs w:val="24"/>
        </w:rPr>
        <w:t>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874E3F">
        <w:rPr>
          <w:rFonts w:ascii="Times New Roman" w:hAnsi="Times New Roman"/>
          <w:b/>
          <w:szCs w:val="24"/>
        </w:rPr>
        <w:t>Generally, estimates should not include purchases of</w:t>
      </w:r>
      <w:r w:rsidRPr="00ED7195">
        <w:rPr>
          <w:rFonts w:ascii="Times New Roman" w:hAnsi="Times New Roman"/>
          <w:b/>
          <w:szCs w:val="24"/>
        </w:rPr>
        <w:t xml:space="preserve">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BB03CE" w:rsidRPr="000C185C" w:rsidP="000C185C" w14:paraId="5A2DA262" w14:textId="24AEAD61">
      <w:pPr>
        <w:pStyle w:val="BodyText0"/>
        <w:widowControl w:val="0"/>
        <w:spacing w:after="0"/>
        <w:ind w:left="720"/>
        <w:rPr>
          <w:rFonts w:ascii="Times New Roman" w:hAnsi="Times New Roman"/>
          <w:bCs/>
          <w:iCs/>
        </w:rPr>
      </w:pPr>
      <w:r w:rsidRPr="00874E3F">
        <w:rPr>
          <w:rFonts w:ascii="Times New Roman" w:hAnsi="Times New Roman"/>
          <w:bCs/>
          <w:iCs/>
        </w:rPr>
        <w:t>There are no start-up costs.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874E3F" w:rsidRPr="007720AC" w:rsidP="00874E3F" w14:paraId="606A8F74" w14:textId="77777777">
      <w:pPr>
        <w:widowControl w:val="0"/>
        <w:ind w:left="720"/>
        <w:rPr>
          <w:rFonts w:ascii="Times New Roman" w:hAnsi="Times New Roman"/>
        </w:rPr>
      </w:pPr>
      <w:r w:rsidRPr="00874E3F">
        <w:rPr>
          <w:rFonts w:ascii="Times New Roman" w:hAnsi="Times New Roman"/>
        </w:rPr>
        <w:t>This electronic information collection represents a cost savings of approximately $2,000,000 over a manual collection method.  Under the paper-based collection method, the cost to the Department is about $3.8 million annually.  Under eZ-Audit, the Department's cost is estimated at $1.7 million.</w:t>
      </w:r>
      <w:r w:rsidRPr="007720AC">
        <w:rPr>
          <w:rFonts w:ascii="Times New Roman" w:hAnsi="Times New Roman"/>
        </w:rPr>
        <w:t xml:space="preserve"> </w:t>
      </w:r>
    </w:p>
    <w:p w:rsidR="00BB03CE" w:rsidRPr="00FB6309" w:rsidP="00BB03CE" w14:paraId="006FA0FD" w14:textId="569655E8">
      <w:pPr>
        <w:ind w:left="720"/>
        <w:rPr>
          <w:rFonts w:asciiTheme="minorHAnsi" w:hAnsiTheme="minorHAnsi" w:cstheme="minorHAnsi"/>
          <w:szCs w:val="24"/>
        </w:rPr>
      </w:pP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t>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417DE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vAlign w:val="center"/>
          </w:tcPr>
          <w:p w:rsidR="0052073E" w:rsidRPr="00417DEE" w:rsidP="00417DEE" w14:paraId="64280EFD" w14:textId="6F0836FD">
            <w:pPr>
              <w:tabs>
                <w:tab w:val="left" w:pos="-720"/>
              </w:tabs>
              <w:suppressAutoHyphens/>
              <w:jc w:val="center"/>
              <w:rPr>
                <w:rFonts w:ascii="Times New Roman" w:hAnsi="Times New Roman"/>
                <w:bCs/>
                <w:szCs w:val="24"/>
              </w:rPr>
            </w:pPr>
            <w:r>
              <w:rPr>
                <w:rFonts w:ascii="Times New Roman" w:hAnsi="Times New Roman"/>
                <w:bCs/>
                <w:szCs w:val="24"/>
              </w:rPr>
              <w:t>2,042 averaged hours</w:t>
            </w:r>
          </w:p>
        </w:tc>
        <w:tc>
          <w:tcPr>
            <w:tcW w:w="2829" w:type="dxa"/>
            <w:vAlign w:val="center"/>
          </w:tcPr>
          <w:p w:rsidR="0052073E" w:rsidRPr="00417DEE" w:rsidP="00417DEE" w14:paraId="64280EFE" w14:textId="29327622">
            <w:pPr>
              <w:tabs>
                <w:tab w:val="left" w:pos="-720"/>
              </w:tabs>
              <w:suppressAutoHyphens/>
              <w:jc w:val="center"/>
              <w:rPr>
                <w:rFonts w:ascii="Times New Roman" w:hAnsi="Times New Roman"/>
                <w:bCs/>
                <w:szCs w:val="24"/>
              </w:rPr>
            </w:pPr>
            <w:r w:rsidRPr="00417DEE">
              <w:rPr>
                <w:rFonts w:ascii="Times New Roman" w:hAnsi="Times New Roman"/>
                <w:bCs/>
                <w:szCs w:val="24"/>
              </w:rPr>
              <w:t xml:space="preserve">0 </w:t>
            </w:r>
          </w:p>
        </w:tc>
        <w:tc>
          <w:tcPr>
            <w:tcW w:w="2520" w:type="dxa"/>
            <w:vAlign w:val="center"/>
          </w:tcPr>
          <w:p w:rsidR="0052073E" w:rsidRPr="00417DEE" w:rsidP="00417DEE" w14:paraId="64280EFF" w14:textId="0FEAB153">
            <w:pPr>
              <w:tabs>
                <w:tab w:val="left" w:pos="-720"/>
              </w:tabs>
              <w:suppressAutoHyphens/>
              <w:jc w:val="center"/>
              <w:rPr>
                <w:rFonts w:ascii="Times New Roman" w:hAnsi="Times New Roman"/>
                <w:bCs/>
                <w:szCs w:val="24"/>
              </w:rPr>
            </w:pPr>
            <w:r>
              <w:rPr>
                <w:rFonts w:ascii="Times New Roman" w:hAnsi="Times New Roman"/>
                <w:bCs/>
                <w:szCs w:val="24"/>
              </w:rPr>
              <w:t xml:space="preserve">0 </w:t>
            </w:r>
          </w:p>
        </w:tc>
      </w:tr>
      <w:tr w14:paraId="64280F05" w14:textId="77777777" w:rsidTr="00417DEE">
        <w:tblPrEx>
          <w:tblW w:w="9445" w:type="dxa"/>
          <w:tblLook w:val="04A0"/>
        </w:tblPrEx>
        <w:trPr>
          <w:trHeight w:val="584"/>
        </w:trPr>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vAlign w:val="center"/>
          </w:tcPr>
          <w:p w:rsidR="0052073E" w:rsidRPr="00417DEE" w:rsidP="00417DEE" w14:paraId="64280F02" w14:textId="0122C566">
            <w:pPr>
              <w:tabs>
                <w:tab w:val="left" w:pos="-720"/>
              </w:tabs>
              <w:suppressAutoHyphens/>
              <w:jc w:val="center"/>
              <w:rPr>
                <w:rFonts w:ascii="Times New Roman" w:hAnsi="Times New Roman"/>
                <w:bCs/>
                <w:szCs w:val="24"/>
              </w:rPr>
            </w:pPr>
            <w:r>
              <w:rPr>
                <w:rFonts w:ascii="Times New Roman" w:hAnsi="Times New Roman"/>
                <w:bCs/>
                <w:szCs w:val="24"/>
              </w:rPr>
              <w:t>157,500 averaged responses</w:t>
            </w:r>
          </w:p>
        </w:tc>
        <w:tc>
          <w:tcPr>
            <w:tcW w:w="2829" w:type="dxa"/>
            <w:vAlign w:val="center"/>
          </w:tcPr>
          <w:p w:rsidR="0052073E" w:rsidRPr="00417DEE" w:rsidP="00417DEE" w14:paraId="64280F03" w14:textId="2629E030">
            <w:pPr>
              <w:tabs>
                <w:tab w:val="left" w:pos="-720"/>
              </w:tabs>
              <w:suppressAutoHyphens/>
              <w:jc w:val="center"/>
              <w:rPr>
                <w:rFonts w:ascii="Times New Roman" w:hAnsi="Times New Roman"/>
                <w:bCs/>
                <w:szCs w:val="24"/>
              </w:rPr>
            </w:pPr>
            <w:r>
              <w:rPr>
                <w:rFonts w:ascii="Times New Roman" w:hAnsi="Times New Roman"/>
                <w:bCs/>
                <w:szCs w:val="24"/>
              </w:rPr>
              <w:t>0</w:t>
            </w:r>
          </w:p>
        </w:tc>
        <w:tc>
          <w:tcPr>
            <w:tcW w:w="2520" w:type="dxa"/>
            <w:vAlign w:val="center"/>
          </w:tcPr>
          <w:p w:rsidR="0052073E" w:rsidRPr="00417DEE" w:rsidP="00417DEE" w14:paraId="64280F04" w14:textId="2F8A4A16">
            <w:pPr>
              <w:tabs>
                <w:tab w:val="left" w:pos="-720"/>
              </w:tabs>
              <w:suppressAutoHyphens/>
              <w:jc w:val="center"/>
              <w:rPr>
                <w:rFonts w:ascii="Times New Roman" w:hAnsi="Times New Roman"/>
                <w:bCs/>
                <w:szCs w:val="24"/>
              </w:rPr>
            </w:pPr>
            <w:r>
              <w:rPr>
                <w:rFonts w:ascii="Times New Roman" w:hAnsi="Times New Roman"/>
                <w:bCs/>
                <w:szCs w:val="24"/>
              </w:rPr>
              <w:t>0</w:t>
            </w:r>
          </w:p>
        </w:tc>
      </w:tr>
    </w:tbl>
    <w:p w:rsidR="00F27AAF" w:rsidRPr="005F4E11" w:rsidP="005F4E11" w14:paraId="64280F0B" w14:textId="77777777">
      <w:pPr>
        <w:tabs>
          <w:tab w:val="left" w:pos="-720"/>
        </w:tabs>
        <w:suppressAutoHyphens/>
        <w:ind w:left="720"/>
        <w:rPr>
          <w:rFonts w:ascii="Times New Roman" w:hAnsi="Times New Roman"/>
          <w:bCs/>
          <w:szCs w:val="24"/>
        </w:rPr>
      </w:pPr>
    </w:p>
    <w:p w:rsidR="00874E3F" w:rsidP="00874E3F" w14:paraId="40B1DAA0" w14:textId="29F8032C">
      <w:pPr>
        <w:widowControl w:val="0"/>
        <w:ind w:left="720"/>
        <w:rPr>
          <w:rFonts w:ascii="Times New Roman" w:hAnsi="Times New Roman"/>
          <w:szCs w:val="24"/>
        </w:rPr>
      </w:pPr>
      <w:r>
        <w:rPr>
          <w:rFonts w:ascii="Times New Roman" w:hAnsi="Times New Roman"/>
        </w:rPr>
        <w:t xml:space="preserve">This is a new collection.  The </w:t>
      </w:r>
      <w:r w:rsidR="005A334F">
        <w:rPr>
          <w:rFonts w:ascii="Times New Roman" w:hAnsi="Times New Roman"/>
        </w:rPr>
        <w:t>update</w:t>
      </w:r>
      <w:r>
        <w:rPr>
          <w:rFonts w:ascii="Times New Roman" w:hAnsi="Times New Roman"/>
        </w:rPr>
        <w:t>s</w:t>
      </w:r>
      <w:r>
        <w:rPr>
          <w:rFonts w:ascii="Times New Roman" w:hAnsi="Times New Roman"/>
        </w:rPr>
        <w:t xml:space="preserve"> to the current eZ-Audit 90/10 Revenue Calculation input screens are to the meet the new 90/10 Revenue Regulations per the 34 CFR 668.28 published in the Federal Register on October 28, 2022</w:t>
      </w:r>
      <w:r>
        <w:rPr>
          <w:rFonts w:ascii="Times New Roman" w:hAnsi="Times New Roman"/>
        </w:rPr>
        <w:t xml:space="preserve"> based on </w:t>
      </w:r>
      <w:r>
        <w:rPr>
          <w:rFonts w:ascii="Times New Roman" w:hAnsi="Times New Roman"/>
          <w:bCs/>
          <w:snapToGrid w:val="0"/>
        </w:rPr>
        <w:t xml:space="preserve">The </w:t>
      </w:r>
      <w:r w:rsidRPr="004C1B30">
        <w:rPr>
          <w:rFonts w:ascii="Times New Roman" w:hAnsi="Times New Roman"/>
          <w:bCs/>
          <w:iCs/>
        </w:rPr>
        <w:t>American Rescue Plan</w:t>
      </w:r>
      <w:r>
        <w:rPr>
          <w:rFonts w:ascii="Times New Roman" w:hAnsi="Times New Roman"/>
          <w:bCs/>
          <w:iCs/>
        </w:rPr>
        <w:t xml:space="preserve"> of 2021</w:t>
      </w:r>
      <w:r w:rsidRPr="004C1B30">
        <w:rPr>
          <w:rFonts w:ascii="Times New Roman" w:hAnsi="Times New Roman"/>
          <w:bCs/>
          <w:iCs/>
        </w:rPr>
        <w:t xml:space="preserve"> (ARP)</w:t>
      </w:r>
      <w:r>
        <w:rPr>
          <w:rFonts w:ascii="Times New Roman" w:hAnsi="Times New Roman"/>
        </w:rPr>
        <w:t xml:space="preserve">.  </w:t>
      </w:r>
      <w:r>
        <w:rPr>
          <w:rFonts w:ascii="Times New Roman" w:hAnsi="Times New Roman"/>
        </w:rPr>
        <w:t xml:space="preserve">The average burden hours of 2,042 for the </w:t>
      </w:r>
      <w:r w:rsidR="00C54C07">
        <w:rPr>
          <w:rFonts w:ascii="Times New Roman" w:hAnsi="Times New Roman"/>
        </w:rPr>
        <w:t>average</w:t>
      </w:r>
      <w:r>
        <w:rPr>
          <w:rFonts w:ascii="Times New Roman" w:hAnsi="Times New Roman"/>
        </w:rPr>
        <w:t xml:space="preserve"> number of responses of 157,500</w:t>
      </w:r>
      <w:r w:rsidR="00DE6C83">
        <w:rPr>
          <w:rFonts w:ascii="Times New Roman" w:hAnsi="Times New Roman"/>
        </w:rPr>
        <w:t xml:space="preserve"> for 1,750 respondents.</w:t>
      </w:r>
    </w:p>
    <w:p w:rsidR="00534B4A" w:rsidRPr="005F4E11" w:rsidP="00417DEE" w14:paraId="64280F0C" w14:textId="77777777">
      <w:pPr>
        <w:tabs>
          <w:tab w:val="left" w:pos="-720"/>
        </w:tabs>
        <w:suppressAutoHyphens/>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B03CE" w:rsidRPr="00920833" w:rsidP="00BB03CE" w14:paraId="02E31F69" w14:textId="588307BA">
      <w:pPr>
        <w:tabs>
          <w:tab w:val="left" w:pos="-720"/>
        </w:tabs>
        <w:suppressAutoHyphens/>
        <w:ind w:left="720"/>
        <w:rPr>
          <w:rFonts w:asciiTheme="minorHAnsi" w:hAnsiTheme="minorHAnsi" w:cstheme="minorHAnsi"/>
          <w:b/>
          <w:bCs/>
          <w:szCs w:val="24"/>
        </w:rPr>
      </w:pPr>
      <w:r w:rsidRPr="007720AC">
        <w:rPr>
          <w:rFonts w:ascii="Times New Roman" w:hAnsi="Times New Roman"/>
          <w:bCs/>
          <w:iCs/>
        </w:rPr>
        <w:t>No tabulation or publication of the results will take place</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03CE" w:rsidRPr="00920833" w:rsidP="00920833" w14:paraId="204081A4" w14:textId="067A9699">
      <w:pPr>
        <w:widowControl w:val="0"/>
        <w:ind w:firstLine="720"/>
        <w:rPr>
          <w:rFonts w:ascii="Times New Roman" w:hAnsi="Times New Roman"/>
        </w:rPr>
      </w:pPr>
      <w:r w:rsidRPr="007720AC">
        <w:rPr>
          <w:rFonts w:ascii="Times New Roman" w:hAnsi="Times New Roman"/>
        </w:rPr>
        <w:t>All data collection instruments will include the OMB expiration date.</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920833" w:rsidP="00920833" w14:paraId="057FD552" w14:textId="77777777">
      <w:pPr>
        <w:pStyle w:val="BodyTextIndent"/>
      </w:pPr>
      <w:r w:rsidRPr="007720AC">
        <w:t>No exceptions are requested.</w:t>
      </w:r>
    </w:p>
    <w:p w:rsidR="00AA5138" w:rsidRPr="00AA5138" w:rsidP="00AA5138" w14:paraId="1D395179" w14:textId="3FC50C90">
      <w:pPr>
        <w:tabs>
          <w:tab w:val="left" w:pos="-720"/>
        </w:tabs>
        <w:suppressAutoHyphens/>
        <w:ind w:left="720"/>
        <w:rPr>
          <w:rFonts w:ascii="Times New Roman" w:hAnsi="Times New Roman"/>
          <w:bCs/>
          <w:szCs w:val="24"/>
        </w:rPr>
      </w:pPr>
    </w:p>
    <w:sectPr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2D5" w14:paraId="196D60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2D5" w14:paraId="071143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633D" w:rsidP="00043C32" w14:paraId="55826C40" w14:textId="77777777">
      <w:r>
        <w:separator/>
      </w:r>
    </w:p>
  </w:footnote>
  <w:footnote w:type="continuationSeparator" w:id="1">
    <w:p w:rsidR="004B633D" w:rsidP="00043C32" w14:paraId="495F2EAC"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2D5" w14:paraId="3ECD00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C83" w:rsidRPr="00AD381B" w:rsidP="00DE6C83" w14:paraId="6CBA8CA8" w14:textId="35302FD1">
    <w:pPr>
      <w:pStyle w:val="Header"/>
      <w:rPr>
        <w:rFonts w:ascii="Times New Roman" w:hAnsi="Times New Roman"/>
        <w:color w:val="FFFFFF" w:themeColor="background1"/>
        <w:szCs w:val="24"/>
      </w:rPr>
    </w:pPr>
    <w:r>
      <w:tab/>
    </w:r>
    <w:r w:rsidRPr="00C875E8">
      <w:rPr>
        <w:rFonts w:ascii="Times New Roman" w:hAnsi="Times New Roman"/>
        <w:szCs w:val="24"/>
      </w:rPr>
      <w:t xml:space="preserve">Tracking and OMB Number: (XX) </w:t>
    </w:r>
    <w:r>
      <w:rPr>
        <w:rFonts w:ascii="Times New Roman" w:hAnsi="Times New Roman"/>
        <w:szCs w:val="24"/>
      </w:rPr>
      <w:t>1845-NEW</w:t>
    </w:r>
    <w:r>
      <w:rPr>
        <w:rFonts w:ascii="Times New Roman" w:hAnsi="Times New Roman"/>
        <w:szCs w:val="24"/>
      </w:rPr>
      <w:tab/>
    </w:r>
    <w:r w:rsidRPr="00C875E8">
      <w:rPr>
        <w:rFonts w:ascii="Times New Roman" w:hAnsi="Times New Roman"/>
        <w:szCs w:val="24"/>
      </w:rPr>
      <w:t xml:space="preserve">Revised: </w:t>
    </w:r>
    <w:r w:rsidR="00B452D5">
      <w:rPr>
        <w:rFonts w:ascii="Times New Roman" w:hAnsi="Times New Roman"/>
        <w:szCs w:val="24"/>
      </w:rPr>
      <w:t>10/2</w:t>
    </w:r>
    <w:r w:rsidR="00487C3B">
      <w:rPr>
        <w:rFonts w:ascii="Times New Roman" w:hAnsi="Times New Roman"/>
        <w:szCs w:val="24"/>
      </w:rPr>
      <w:t>3</w:t>
    </w:r>
    <w:r>
      <w:rPr>
        <w:rFonts w:ascii="Times New Roman" w:hAnsi="Times New Roman"/>
        <w:szCs w:val="24"/>
      </w:rPr>
      <w:t>/2023</w:t>
    </w:r>
  </w:p>
  <w:p w:rsidR="00DE6C83" w:rsidP="00DE6C83" w14:paraId="78BA145F" w14:textId="4BB309E8">
    <w:pPr>
      <w:pStyle w:val="Header"/>
      <w:tabs>
        <w:tab w:val="clear" w:pos="360"/>
        <w:tab w:val="left" w:pos="3680"/>
        <w:tab w:val="clear" w:pos="900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2D5" w14:paraId="44ACDE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0A84BA6"/>
    <w:multiLevelType w:val="hybridMultilevel"/>
    <w:tmpl w:val="C4A81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C3B6D"/>
    <w:multiLevelType w:val="hybridMultilevel"/>
    <w:tmpl w:val="F0EE9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461624"/>
    <w:multiLevelType w:val="hybridMultilevel"/>
    <w:tmpl w:val="64161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CA2AAC"/>
    <w:multiLevelType w:val="hybridMultilevel"/>
    <w:tmpl w:val="12A6D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6"/>
  </w:num>
  <w:num w:numId="3" w16cid:durableId="2137870042">
    <w:abstractNumId w:val="5"/>
  </w:num>
  <w:num w:numId="4" w16cid:durableId="1161192811">
    <w:abstractNumId w:val="7"/>
  </w:num>
  <w:num w:numId="5" w16cid:durableId="1933124869">
    <w:abstractNumId w:val="8"/>
  </w:num>
  <w:num w:numId="6" w16cid:durableId="1460029524">
    <w:abstractNumId w:val="1"/>
  </w:num>
  <w:num w:numId="7" w16cid:durableId="2103069247">
    <w:abstractNumId w:val="2"/>
  </w:num>
  <w:num w:numId="8" w16cid:durableId="126895002">
    <w:abstractNumId w:val="4"/>
  </w:num>
  <w:num w:numId="9" w16cid:durableId="120667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5533"/>
    <w:rsid w:val="00035ED5"/>
    <w:rsid w:val="000364F4"/>
    <w:rsid w:val="00043C32"/>
    <w:rsid w:val="000446F5"/>
    <w:rsid w:val="00081FB0"/>
    <w:rsid w:val="00093017"/>
    <w:rsid w:val="000C185C"/>
    <w:rsid w:val="000F0394"/>
    <w:rsid w:val="000F37EF"/>
    <w:rsid w:val="00105F6F"/>
    <w:rsid w:val="001824F3"/>
    <w:rsid w:val="001A6AE0"/>
    <w:rsid w:val="001B1244"/>
    <w:rsid w:val="001C73C0"/>
    <w:rsid w:val="001E0ADC"/>
    <w:rsid w:val="001E79BD"/>
    <w:rsid w:val="0021520F"/>
    <w:rsid w:val="002225CC"/>
    <w:rsid w:val="00224A3B"/>
    <w:rsid w:val="00240A39"/>
    <w:rsid w:val="00246FE9"/>
    <w:rsid w:val="00250100"/>
    <w:rsid w:val="00262A69"/>
    <w:rsid w:val="00270AF7"/>
    <w:rsid w:val="002A3221"/>
    <w:rsid w:val="002C3520"/>
    <w:rsid w:val="002D7F8F"/>
    <w:rsid w:val="002E14E0"/>
    <w:rsid w:val="002F21EA"/>
    <w:rsid w:val="002F55E5"/>
    <w:rsid w:val="002F63F5"/>
    <w:rsid w:val="0032078A"/>
    <w:rsid w:val="0032539E"/>
    <w:rsid w:val="00332E4E"/>
    <w:rsid w:val="00340E43"/>
    <w:rsid w:val="003425D5"/>
    <w:rsid w:val="003772A6"/>
    <w:rsid w:val="00386054"/>
    <w:rsid w:val="003860E4"/>
    <w:rsid w:val="003A79A6"/>
    <w:rsid w:val="003B1545"/>
    <w:rsid w:val="003C5E3D"/>
    <w:rsid w:val="00412915"/>
    <w:rsid w:val="004146C5"/>
    <w:rsid w:val="00417DEE"/>
    <w:rsid w:val="00442E07"/>
    <w:rsid w:val="0046180B"/>
    <w:rsid w:val="00487C3B"/>
    <w:rsid w:val="004B4AA0"/>
    <w:rsid w:val="004B633D"/>
    <w:rsid w:val="004C1B30"/>
    <w:rsid w:val="004C4CED"/>
    <w:rsid w:val="004D2AE6"/>
    <w:rsid w:val="004D67FC"/>
    <w:rsid w:val="004E7D2F"/>
    <w:rsid w:val="0052073E"/>
    <w:rsid w:val="00521502"/>
    <w:rsid w:val="00534B4A"/>
    <w:rsid w:val="00575DDA"/>
    <w:rsid w:val="00581C11"/>
    <w:rsid w:val="005A01FA"/>
    <w:rsid w:val="005A334F"/>
    <w:rsid w:val="005B6E8E"/>
    <w:rsid w:val="005D28E6"/>
    <w:rsid w:val="005F4E11"/>
    <w:rsid w:val="00616E9C"/>
    <w:rsid w:val="0068567A"/>
    <w:rsid w:val="006A292A"/>
    <w:rsid w:val="006A38F7"/>
    <w:rsid w:val="006A4EBB"/>
    <w:rsid w:val="006B4172"/>
    <w:rsid w:val="00713B69"/>
    <w:rsid w:val="00755D99"/>
    <w:rsid w:val="00756FD3"/>
    <w:rsid w:val="00765392"/>
    <w:rsid w:val="007720AC"/>
    <w:rsid w:val="00777D6B"/>
    <w:rsid w:val="00790E3E"/>
    <w:rsid w:val="00791E3B"/>
    <w:rsid w:val="007A5F49"/>
    <w:rsid w:val="007B3ECE"/>
    <w:rsid w:val="007C0A4C"/>
    <w:rsid w:val="007C33CB"/>
    <w:rsid w:val="007C700A"/>
    <w:rsid w:val="007F6104"/>
    <w:rsid w:val="00800D30"/>
    <w:rsid w:val="00807D1A"/>
    <w:rsid w:val="008179D6"/>
    <w:rsid w:val="0082127E"/>
    <w:rsid w:val="008271B0"/>
    <w:rsid w:val="00834A62"/>
    <w:rsid w:val="00861EBD"/>
    <w:rsid w:val="0086549A"/>
    <w:rsid w:val="00874E3F"/>
    <w:rsid w:val="00874EFE"/>
    <w:rsid w:val="00882126"/>
    <w:rsid w:val="008933F1"/>
    <w:rsid w:val="008D0601"/>
    <w:rsid w:val="008D1F11"/>
    <w:rsid w:val="008E5919"/>
    <w:rsid w:val="00905951"/>
    <w:rsid w:val="00912D2C"/>
    <w:rsid w:val="00916EE4"/>
    <w:rsid w:val="00920833"/>
    <w:rsid w:val="00920F63"/>
    <w:rsid w:val="009243F3"/>
    <w:rsid w:val="0092484C"/>
    <w:rsid w:val="0093366B"/>
    <w:rsid w:val="00934185"/>
    <w:rsid w:val="00946126"/>
    <w:rsid w:val="00947B5A"/>
    <w:rsid w:val="00952DF9"/>
    <w:rsid w:val="0095421D"/>
    <w:rsid w:val="00960C86"/>
    <w:rsid w:val="009767AF"/>
    <w:rsid w:val="00981F58"/>
    <w:rsid w:val="00986D0A"/>
    <w:rsid w:val="009B2C87"/>
    <w:rsid w:val="009C37AF"/>
    <w:rsid w:val="009E3E86"/>
    <w:rsid w:val="00A118A2"/>
    <w:rsid w:val="00A16FAF"/>
    <w:rsid w:val="00A23F26"/>
    <w:rsid w:val="00A25E18"/>
    <w:rsid w:val="00A4001C"/>
    <w:rsid w:val="00A40AAB"/>
    <w:rsid w:val="00A46D01"/>
    <w:rsid w:val="00A66AB7"/>
    <w:rsid w:val="00A70816"/>
    <w:rsid w:val="00A73590"/>
    <w:rsid w:val="00A7636D"/>
    <w:rsid w:val="00A9138E"/>
    <w:rsid w:val="00AA32B4"/>
    <w:rsid w:val="00AA5138"/>
    <w:rsid w:val="00AC1C89"/>
    <w:rsid w:val="00AD1D2B"/>
    <w:rsid w:val="00AD381B"/>
    <w:rsid w:val="00AE413F"/>
    <w:rsid w:val="00AF5B5B"/>
    <w:rsid w:val="00AF5D1A"/>
    <w:rsid w:val="00B017F9"/>
    <w:rsid w:val="00B07213"/>
    <w:rsid w:val="00B10A05"/>
    <w:rsid w:val="00B452D5"/>
    <w:rsid w:val="00B54167"/>
    <w:rsid w:val="00B62E06"/>
    <w:rsid w:val="00B632BF"/>
    <w:rsid w:val="00B64B1D"/>
    <w:rsid w:val="00B65B9E"/>
    <w:rsid w:val="00B6729C"/>
    <w:rsid w:val="00B9671B"/>
    <w:rsid w:val="00BA1D31"/>
    <w:rsid w:val="00BB03CE"/>
    <w:rsid w:val="00BC1A67"/>
    <w:rsid w:val="00BD4576"/>
    <w:rsid w:val="00C13945"/>
    <w:rsid w:val="00C164D3"/>
    <w:rsid w:val="00C20670"/>
    <w:rsid w:val="00C224FD"/>
    <w:rsid w:val="00C54C07"/>
    <w:rsid w:val="00C86713"/>
    <w:rsid w:val="00C875E8"/>
    <w:rsid w:val="00C92035"/>
    <w:rsid w:val="00CC2A72"/>
    <w:rsid w:val="00CC3FB5"/>
    <w:rsid w:val="00CD2067"/>
    <w:rsid w:val="00CD47BC"/>
    <w:rsid w:val="00CD6AA1"/>
    <w:rsid w:val="00CF07AC"/>
    <w:rsid w:val="00D02505"/>
    <w:rsid w:val="00D34984"/>
    <w:rsid w:val="00D36C35"/>
    <w:rsid w:val="00D46E4B"/>
    <w:rsid w:val="00D50EFF"/>
    <w:rsid w:val="00D55176"/>
    <w:rsid w:val="00D75313"/>
    <w:rsid w:val="00DB6979"/>
    <w:rsid w:val="00DC0348"/>
    <w:rsid w:val="00DE1CC9"/>
    <w:rsid w:val="00DE6C83"/>
    <w:rsid w:val="00E02F8B"/>
    <w:rsid w:val="00E14D24"/>
    <w:rsid w:val="00E16ACD"/>
    <w:rsid w:val="00E17134"/>
    <w:rsid w:val="00E22FD3"/>
    <w:rsid w:val="00E25EBC"/>
    <w:rsid w:val="00E66550"/>
    <w:rsid w:val="00E877BF"/>
    <w:rsid w:val="00E914CB"/>
    <w:rsid w:val="00EA1767"/>
    <w:rsid w:val="00EB0929"/>
    <w:rsid w:val="00EB0FA5"/>
    <w:rsid w:val="00EC01DD"/>
    <w:rsid w:val="00EC35E3"/>
    <w:rsid w:val="00ED7195"/>
    <w:rsid w:val="00EF2C33"/>
    <w:rsid w:val="00EF4C67"/>
    <w:rsid w:val="00F0414F"/>
    <w:rsid w:val="00F070F3"/>
    <w:rsid w:val="00F212B8"/>
    <w:rsid w:val="00F27AAF"/>
    <w:rsid w:val="00F31BEC"/>
    <w:rsid w:val="00F40D62"/>
    <w:rsid w:val="00F5782B"/>
    <w:rsid w:val="00F73131"/>
    <w:rsid w:val="00F74288"/>
    <w:rsid w:val="00F82F4B"/>
    <w:rsid w:val="00FB6309"/>
    <w:rsid w:val="00FB71CE"/>
    <w:rsid w:val="00FC669D"/>
    <w:rsid w:val="00FD4F0B"/>
    <w:rsid w:val="00FE02FC"/>
    <w:rsid w:val="00FE1BAE"/>
    <w:rsid w:val="00FE384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HTMLPreformatted">
    <w:name w:val="HTML Preformatted"/>
    <w:basedOn w:val="Normal"/>
    <w:link w:val="HTMLPreformattedChar"/>
    <w:semiHidden/>
    <w:rsid w:val="00E02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E02F8B"/>
    <w:rPr>
      <w:rFonts w:ascii="Arial Unicode MS" w:eastAsia="Arial Unicode MS" w:hAnsi="Arial Unicode MS" w:cs="Arial Unicode MS"/>
    </w:rPr>
  </w:style>
  <w:style w:type="paragraph" w:styleId="BodyText0">
    <w:name w:val="Body Text"/>
    <w:basedOn w:val="Normal"/>
    <w:link w:val="BodyTextChar0"/>
    <w:uiPriority w:val="99"/>
    <w:unhideWhenUsed/>
    <w:rsid w:val="000C185C"/>
    <w:pPr>
      <w:spacing w:after="120"/>
    </w:pPr>
  </w:style>
  <w:style w:type="character" w:customStyle="1" w:styleId="BodyTextChar0">
    <w:name w:val="Body Text Char"/>
    <w:basedOn w:val="DefaultParagraphFont"/>
    <w:link w:val="BodyText0"/>
    <w:uiPriority w:val="99"/>
    <w:rsid w:val="000C185C"/>
    <w:rPr>
      <w:rFonts w:ascii="Courier" w:hAnsi="Courier"/>
      <w:sz w:val="24"/>
    </w:rPr>
  </w:style>
  <w:style w:type="character" w:styleId="FollowedHyperlink">
    <w:name w:val="FollowedHyperlink"/>
    <w:basedOn w:val="DefaultParagraphFont"/>
    <w:uiPriority w:val="99"/>
    <w:semiHidden/>
    <w:unhideWhenUsed/>
    <w:rsid w:val="00D46E4B"/>
    <w:rPr>
      <w:color w:val="800080" w:themeColor="followedHyperlink"/>
      <w:u w:val="single"/>
    </w:rPr>
  </w:style>
  <w:style w:type="paragraph" w:styleId="Revision">
    <w:name w:val="Revision"/>
    <w:hidden/>
    <w:uiPriority w:val="99"/>
    <w:semiHidden/>
    <w:rsid w:val="00A16FA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12/21/2022-27732/list-of-federal-education-assistance-for-proprietary-institutions-of-higher-education-to-include-as"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10/28/2022-23078/pell-grants-for-prison-education-programs-determining-the-amount-of-federal-education-assist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3572</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2023-11-01T19:39:00Z</dcterms:created>
  <dcterms:modified xsi:type="dcterms:W3CDTF">2023-11-01T19:39:00Z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