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D86D8D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3939DF83" w14:textId="585606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75DA">
        <w:t xml:space="preserve">2023 </w:t>
      </w:r>
      <w:r w:rsidR="00E140D9">
        <w:t xml:space="preserve">NIDA International Forum </w:t>
      </w:r>
      <w:r w:rsidR="00D2288B">
        <w:t>Assessment</w:t>
      </w:r>
    </w:p>
    <w:p w:rsidR="005E714A" w14:paraId="7C4086F8" w14:textId="77777777"/>
    <w:p w:rsidR="009F02C3" w:rsidP="009F02C3" w14:paraId="02ABB593" w14:textId="1F232A3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EB0B1B" w:rsidR="002D3BE4">
        <w:rPr>
          <w:bCs/>
        </w:rPr>
        <w:t xml:space="preserve">On June </w:t>
      </w:r>
      <w:r w:rsidR="002D3BE4">
        <w:rPr>
          <w:bCs/>
        </w:rPr>
        <w:t>8-9,</w:t>
      </w:r>
      <w:r w:rsidRPr="00EB0B1B" w:rsidR="002D3BE4">
        <w:rPr>
          <w:bCs/>
        </w:rPr>
        <w:t xml:space="preserve"> 2023</w:t>
      </w:r>
      <w:r w:rsidR="002D3BE4">
        <w:rPr>
          <w:bCs/>
        </w:rPr>
        <w:t>,</w:t>
      </w:r>
      <w:r w:rsidRPr="00EB0B1B" w:rsidR="002D3BE4">
        <w:rPr>
          <w:bCs/>
        </w:rPr>
        <w:t xml:space="preserve"> the </w:t>
      </w:r>
      <w:r w:rsidRPr="00D33956" w:rsidR="002D3BE4">
        <w:t>International Program of the National Institute on Drug Abuse will host the NIDA International Forum</w:t>
      </w:r>
      <w:r w:rsidR="002D3BE4">
        <w:t xml:space="preserve"> which</w:t>
      </w:r>
      <w:r w:rsidR="0084545D">
        <w:t xml:space="preserve"> brings together substance use and addiction researchers </w:t>
      </w:r>
      <w:r w:rsidR="001B2185">
        <w:t>from around the world.</w:t>
      </w:r>
      <w:r w:rsidR="002D3BE4">
        <w:t xml:space="preserve"> </w:t>
      </w:r>
      <w:r w:rsidR="00D2288B">
        <w:t xml:space="preserve">This </w:t>
      </w:r>
      <w:r w:rsidRPr="00D33956" w:rsidR="00BC4B27">
        <w:rPr>
          <w:bCs/>
        </w:rPr>
        <w:t xml:space="preserve">unique scientific meeting allows participants to network with talented colleagues, learn about substance use </w:t>
      </w:r>
      <w:r w:rsidR="00BC4B27">
        <w:rPr>
          <w:bCs/>
        </w:rPr>
        <w:t xml:space="preserve">and addiction </w:t>
      </w:r>
      <w:r w:rsidRPr="00D33956" w:rsidR="00BC4B27">
        <w:rPr>
          <w:bCs/>
        </w:rPr>
        <w:t xml:space="preserve">research and policy in other countries, and discuss NIDA-supported fellowships and other programs that can support international collaborations. </w:t>
      </w:r>
      <w:r w:rsidR="00FD7330">
        <w:rPr>
          <w:bCs/>
        </w:rPr>
        <w:t>T</w:t>
      </w:r>
      <w:r>
        <w:t>he purpose of this</w:t>
      </w:r>
      <w:r>
        <w:rPr>
          <w:b/>
        </w:rPr>
        <w:t xml:space="preserve"> </w:t>
      </w:r>
      <w:r>
        <w:t xml:space="preserve">information collection is to collect general feedback about this meeting in the areas of content/topics covered, format, and logistics, as well as feedback about future meetings. Information will </w:t>
      </w:r>
      <w:r w:rsidR="00D1725F">
        <w:t xml:space="preserve">assist </w:t>
      </w:r>
      <w:r w:rsidR="00B57F87">
        <w:t>the NIDA International Program’s</w:t>
      </w:r>
      <w:r>
        <w:t xml:space="preserve"> assessment of this year’s </w:t>
      </w:r>
      <w:r w:rsidR="00B2669C">
        <w:t>meeting and</w:t>
      </w:r>
      <w:r>
        <w:t xml:space="preserve"> </w:t>
      </w:r>
      <w:r w:rsidR="001E35F6">
        <w:t xml:space="preserve">inform </w:t>
      </w:r>
      <w:r>
        <w:t xml:space="preserve">programmatic and planning for next year’s meeting.  </w:t>
      </w:r>
    </w:p>
    <w:p w:rsidR="00557E46" w:rsidP="009F02C3" w14:paraId="3E1A3F2E" w14:textId="77777777"/>
    <w:p w:rsidR="00434E33" w:rsidRPr="00434E33" w:rsidP="00434E33" w14:paraId="4883D992" w14:textId="45DB072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115BE">
        <w:t xml:space="preserve">Respondents are meeting </w:t>
      </w:r>
      <w:r w:rsidR="00C86C3B">
        <w:t>attendees</w:t>
      </w:r>
      <w:r w:rsidR="009115BE">
        <w:t xml:space="preserve">, primarily </w:t>
      </w:r>
      <w:r w:rsidR="00943DE4">
        <w:t xml:space="preserve">international and domestic </w:t>
      </w:r>
      <w:r w:rsidR="00FB59F1">
        <w:t xml:space="preserve">substance use and addiction </w:t>
      </w:r>
      <w:r w:rsidR="00943DE4">
        <w:t>researchers</w:t>
      </w:r>
      <w:r w:rsidR="005F529E">
        <w:t>, p</w:t>
      </w:r>
      <w:r w:rsidR="00943DE4">
        <w:t>olicy</w:t>
      </w:r>
      <w:r w:rsidR="005F529E">
        <w:t>makers,</w:t>
      </w:r>
      <w:r w:rsidR="00943DE4">
        <w:t xml:space="preserve"> and</w:t>
      </w:r>
      <w:r w:rsidR="00547396">
        <w:t xml:space="preserve"> </w:t>
      </w:r>
      <w:r w:rsidR="00943DE4">
        <w:t>practitioners</w:t>
      </w:r>
      <w:r w:rsidR="005F529E">
        <w:t xml:space="preserve">. </w:t>
      </w:r>
      <w:r w:rsidR="009115BE">
        <w:t>Respondents also include NIH and other federal staff</w:t>
      </w:r>
      <w:r w:rsidR="00AB15DE">
        <w:t>.</w:t>
      </w:r>
      <w:r w:rsidR="009115BE">
        <w:t xml:space="preserve"> The </w:t>
      </w:r>
      <w:r w:rsidR="00AB15DE">
        <w:t>NIDA International Forum</w:t>
      </w:r>
      <w:r w:rsidR="009115BE">
        <w:t xml:space="preserve"> will </w:t>
      </w:r>
      <w:r w:rsidR="00BA659C">
        <w:t>be a virtual meeting</w:t>
      </w:r>
      <w:r w:rsidR="00547396">
        <w:t xml:space="preserve"> this year</w:t>
      </w:r>
      <w:r w:rsidR="00A15E41">
        <w:t>.</w:t>
      </w:r>
      <w:r w:rsidR="00547396">
        <w:t xml:space="preserve"> </w:t>
      </w:r>
      <w:r w:rsidR="00A15E41">
        <w:t>T</w:t>
      </w:r>
      <w:r w:rsidR="00547396">
        <w:t xml:space="preserve">he </w:t>
      </w:r>
      <w:r w:rsidR="00BA659C">
        <w:t xml:space="preserve">assessment </w:t>
      </w:r>
      <w:r w:rsidRPr="00C354E5" w:rsidR="009115BE">
        <w:t>form consists of 1</w:t>
      </w:r>
      <w:r w:rsidRPr="00C354E5" w:rsidR="00AC79B7">
        <w:t xml:space="preserve">0 </w:t>
      </w:r>
      <w:r w:rsidRPr="00C354E5" w:rsidR="009115BE">
        <w:t>question</w:t>
      </w:r>
      <w:r w:rsidRPr="00C354E5" w:rsidR="00AC79B7">
        <w:t>s</w:t>
      </w:r>
      <w:r w:rsidRPr="00C354E5" w:rsidR="00547396">
        <w:t xml:space="preserve"> for </w:t>
      </w:r>
      <w:r w:rsidRPr="00C354E5" w:rsidR="00736DA4">
        <w:t xml:space="preserve">respondents who </w:t>
      </w:r>
      <w:r w:rsidRPr="00C354E5" w:rsidR="00501372">
        <w:t xml:space="preserve">did not </w:t>
      </w:r>
      <w:r w:rsidRPr="00C354E5" w:rsidR="00736DA4">
        <w:t>attend</w:t>
      </w:r>
      <w:r w:rsidRPr="00C354E5" w:rsidR="00501372">
        <w:t xml:space="preserve"> </w:t>
      </w:r>
      <w:r w:rsidRPr="00C354E5" w:rsidR="00736DA4">
        <w:t xml:space="preserve">an optional pre-conference workshop. </w:t>
      </w:r>
      <w:r w:rsidRPr="00C354E5" w:rsidR="002B4D0D">
        <w:t>R</w:t>
      </w:r>
      <w:r w:rsidRPr="00C354E5" w:rsidR="00547396">
        <w:t>espondents</w:t>
      </w:r>
      <w:r w:rsidRPr="00C354E5" w:rsidR="002B4D0D">
        <w:t xml:space="preserve"> who </w:t>
      </w:r>
      <w:r w:rsidRPr="00C354E5" w:rsidR="0079391A">
        <w:t xml:space="preserve">did </w:t>
      </w:r>
      <w:r w:rsidRPr="00C354E5" w:rsidR="00501372">
        <w:t>attend</w:t>
      </w:r>
      <w:r w:rsidRPr="00C354E5" w:rsidR="002B4D0D">
        <w:t xml:space="preserve"> </w:t>
      </w:r>
      <w:r w:rsidRPr="00C354E5" w:rsidR="00501372">
        <w:t>the</w:t>
      </w:r>
      <w:r w:rsidRPr="00C354E5" w:rsidR="002B4D0D">
        <w:t xml:space="preserve"> optional workshop will be presented with </w:t>
      </w:r>
      <w:r w:rsidRPr="00C354E5" w:rsidR="00501372">
        <w:t xml:space="preserve">the </w:t>
      </w:r>
      <w:r w:rsidRPr="00C354E5" w:rsidR="0079391A">
        <w:t>same 10</w:t>
      </w:r>
      <w:r w:rsidRPr="00C354E5" w:rsidR="002B4D0D">
        <w:t xml:space="preserve"> questions</w:t>
      </w:r>
      <w:r w:rsidRPr="00C354E5" w:rsidR="00C354E5">
        <w:t xml:space="preserve"> plus one additional question asking for feedback </w:t>
      </w:r>
      <w:r w:rsidR="00464FD4">
        <w:t xml:space="preserve">on </w:t>
      </w:r>
      <w:r w:rsidRPr="00C354E5" w:rsidR="00C354E5">
        <w:t>the workshop for a total of 11 questions</w:t>
      </w:r>
      <w:r w:rsidRPr="00C354E5" w:rsidR="002B4D0D">
        <w:t>. T</w:t>
      </w:r>
      <w:r w:rsidRPr="00C354E5" w:rsidR="00A06911">
        <w:t>he</w:t>
      </w:r>
      <w:r w:rsidR="003E042F">
        <w:t xml:space="preserve"> pathway with </w:t>
      </w:r>
      <w:r w:rsidRPr="00C354E5" w:rsidR="00A06911">
        <w:t>1</w:t>
      </w:r>
      <w:r w:rsidRPr="00C354E5" w:rsidR="002B4D0D">
        <w:t>1</w:t>
      </w:r>
      <w:r w:rsidRPr="00C354E5" w:rsidR="00A06911">
        <w:t xml:space="preserve"> questions w</w:t>
      </w:r>
      <w:r w:rsidR="003E042F">
        <w:t>as</w:t>
      </w:r>
      <w:r w:rsidRPr="00C354E5" w:rsidR="00A06911">
        <w:t xml:space="preserve"> </w:t>
      </w:r>
      <w:r w:rsidRPr="00C354E5" w:rsidR="009115BE">
        <w:t>used to estimate the time required for this form. Finally, the assessment form does not collect any personal information</w:t>
      </w:r>
      <w:r w:rsidRPr="00C354E5" w:rsidR="003A4CEC">
        <w:t>.</w:t>
      </w:r>
    </w:p>
    <w:p w:rsidR="00F15956" w14:paraId="053EA22A" w14:textId="77777777"/>
    <w:p w:rsidR="00E26329" w14:paraId="1756297B" w14:textId="77777777">
      <w:pPr>
        <w:rPr>
          <w:b/>
        </w:rPr>
      </w:pPr>
    </w:p>
    <w:p w:rsidR="00F06866" w:rsidRPr="00F06866" w14:paraId="5F820AE7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AE93B1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08D1F9A" w14:textId="32625A9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0211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3C27F6" w:rsidP="008D0E2D" w14:paraId="30D5CEC0" w14:textId="13434B73">
      <w:pPr>
        <w:pStyle w:val="BodyTextIndent"/>
        <w:tabs>
          <w:tab w:val="left" w:pos="360"/>
        </w:tabs>
        <w:ind w:left="0"/>
        <w:rPr>
          <w:b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823D59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bookmarkEnd w:id="0"/>
      <w:r w:rsidR="00F06866">
        <w:rPr>
          <w:bCs/>
          <w:sz w:val="24"/>
        </w:rPr>
        <w:t>:</w:t>
      </w:r>
      <w:r w:rsidRPr="00F06866" w:rsidR="00F06866">
        <w:rPr>
          <w:bCs/>
          <w:sz w:val="24"/>
          <w:u w:val="single"/>
        </w:rPr>
        <w:t xml:space="preserve"> </w:t>
      </w:r>
      <w:r w:rsidR="008D0E2D">
        <w:rPr>
          <w:bCs/>
          <w:sz w:val="24"/>
          <w:u w:val="single"/>
        </w:rPr>
        <w:t>Online feedback form</w:t>
      </w:r>
    </w:p>
    <w:p w:rsidR="003C27F6" w:rsidP="003C27F6" w14:paraId="15695F30" w14:textId="77777777">
      <w:pPr>
        <w:rPr>
          <w:b/>
        </w:rPr>
      </w:pPr>
    </w:p>
    <w:p w:rsidR="003C27F6" w:rsidRPr="00F06866" w:rsidP="003C27F6" w14:paraId="06757A33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3DDAE1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4A6DD2EC" w14:textId="200ABB8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713A7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724184A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568A90C5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1CE0C5E3" w14:textId="77777777">
      <w:pPr>
        <w:pStyle w:val="Header"/>
        <w:tabs>
          <w:tab w:val="clear" w:pos="4320"/>
          <w:tab w:val="clear" w:pos="8640"/>
        </w:tabs>
      </w:pPr>
    </w:p>
    <w:p w:rsidR="003C27F6" w14:paraId="761453A7" w14:textId="77777777">
      <w:pPr>
        <w:pStyle w:val="Header"/>
        <w:tabs>
          <w:tab w:val="clear" w:pos="4320"/>
          <w:tab w:val="clear" w:pos="8640"/>
        </w:tabs>
      </w:pPr>
    </w:p>
    <w:p w:rsidR="003C27F6" w14:paraId="04DA24BC" w14:textId="77777777">
      <w:pPr>
        <w:pStyle w:val="Header"/>
        <w:tabs>
          <w:tab w:val="clear" w:pos="4320"/>
          <w:tab w:val="clear" w:pos="8640"/>
        </w:tabs>
      </w:pPr>
    </w:p>
    <w:p w:rsidR="00CA2650" w14:paraId="3FBFE58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D59D2C" w14:textId="77777777">
      <w:pPr>
        <w:rPr>
          <w:sz w:val="16"/>
          <w:szCs w:val="16"/>
        </w:rPr>
      </w:pPr>
    </w:p>
    <w:p w:rsidR="008101A5" w:rsidRPr="009C13B9" w:rsidP="008101A5" w14:paraId="00FB8A1D" w14:textId="77777777">
      <w:r>
        <w:t xml:space="preserve">I certify the following to be true: </w:t>
      </w:r>
    </w:p>
    <w:p w:rsidR="008101A5" w:rsidP="008101A5" w14:paraId="4CEE27F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77F25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3C46E8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D1E5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C5C38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8F1857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499C15C" w14:textId="77777777"/>
    <w:p w:rsidR="009C13B9" w:rsidP="00A313DC" w14:paraId="0001AE87" w14:textId="06C33439">
      <w:r>
        <w:t>Name:_</w:t>
      </w:r>
      <w:r>
        <w:t>__</w:t>
      </w:r>
      <w:r w:rsidRPr="00A313DC" w:rsidR="00A313DC">
        <w:t xml:space="preserve"> </w:t>
      </w:r>
      <w:r w:rsidRPr="00D26DC3" w:rsidR="00E94AB6">
        <w:t>Thomas Clarke, Ph.D., M.P.H., Deputy Director, Office of Science Policy and Communication</w:t>
      </w:r>
      <w:r w:rsidR="00DD4387">
        <w:t>s</w:t>
      </w:r>
      <w:r w:rsidRPr="00D26DC3" w:rsidR="00E94AB6">
        <w:t xml:space="preserve"> and Co-Coordinator, NIDA International Program</w:t>
      </w:r>
    </w:p>
    <w:p w:rsidR="00A313DC" w:rsidP="00A313DC" w14:paraId="037D47B7" w14:textId="77777777"/>
    <w:p w:rsidR="00A313DC" w:rsidP="00A313DC" w14:paraId="20911167" w14:textId="77777777"/>
    <w:p w:rsidR="009C13B9" w:rsidP="009C13B9" w14:paraId="5B91123C" w14:textId="77777777">
      <w:r>
        <w:t>To assist review, please provide answers to the following question:</w:t>
      </w:r>
    </w:p>
    <w:p w:rsidR="009C13B9" w:rsidP="009C13B9" w14:paraId="6775738B" w14:textId="77777777">
      <w:pPr>
        <w:pStyle w:val="ListParagraph"/>
        <w:ind w:left="360"/>
      </w:pPr>
    </w:p>
    <w:p w:rsidR="009C13B9" w:rsidRPr="00C86E91" w:rsidP="00C86E91" w14:paraId="1FDE8AD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78130CC" w14:textId="3764F34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D404B">
        <w:t>X</w:t>
      </w:r>
      <w:r w:rsidR="009239AA">
        <w:t xml:space="preserve"> ]  No </w:t>
      </w:r>
    </w:p>
    <w:p w:rsidR="00C86E91" w:rsidP="00C86E91" w14:paraId="7239E20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1A0A07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7A3926E2" w14:textId="77777777">
      <w:pPr>
        <w:pStyle w:val="ListParagraph"/>
        <w:ind w:left="360"/>
      </w:pPr>
    </w:p>
    <w:p w:rsidR="00C86E91" w:rsidRPr="00C86E91" w:rsidP="00C86E91" w14:paraId="7D959FA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01A3403" w14:textId="36D62CC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ED404B">
        <w:t>X</w:t>
      </w:r>
      <w:r>
        <w:t xml:space="preserve"> ] No  </w:t>
      </w:r>
    </w:p>
    <w:p w:rsidR="004D6E14" w14:paraId="384A4469" w14:textId="77777777">
      <w:pPr>
        <w:rPr>
          <w:b/>
        </w:rPr>
      </w:pPr>
    </w:p>
    <w:p w:rsidR="00F24CFC" w14:paraId="142F4A96" w14:textId="77777777">
      <w:pPr>
        <w:rPr>
          <w:b/>
        </w:rPr>
      </w:pPr>
    </w:p>
    <w:p w:rsidR="005E714A" w:rsidRPr="00BC676D" w:rsidP="00C86E91" w14:paraId="754D192E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9CBFED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0AFE942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1FD0F3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43DB44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E39047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2C6C534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2C441D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E1E5D32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7DEA38A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D8D4C2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B536659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7946870" w14:textId="0BBE0768">
            <w:r>
              <w:t>Individual</w:t>
            </w:r>
          </w:p>
        </w:tc>
        <w:tc>
          <w:tcPr>
            <w:tcW w:w="1980" w:type="dxa"/>
          </w:tcPr>
          <w:p w:rsidR="003668D6" w:rsidP="00843796" w14:paraId="637753E5" w14:textId="60B22439">
            <w:r>
              <w:t>900</w:t>
            </w:r>
          </w:p>
        </w:tc>
        <w:tc>
          <w:tcPr>
            <w:tcW w:w="2070" w:type="dxa"/>
          </w:tcPr>
          <w:p w:rsidR="003668D6" w:rsidP="00843796" w14:paraId="73DA75C5" w14:textId="2D248E0D">
            <w:r>
              <w:t>1</w:t>
            </w:r>
          </w:p>
        </w:tc>
        <w:tc>
          <w:tcPr>
            <w:tcW w:w="1620" w:type="dxa"/>
          </w:tcPr>
          <w:p w:rsidR="003668D6" w:rsidP="00843796" w14:paraId="1EE4F0E4" w14:textId="7BAA96A1">
            <w:r>
              <w:t>1</w:t>
            </w:r>
            <w:r w:rsidR="005E3693">
              <w:t>0</w:t>
            </w:r>
            <w:r w:rsidR="005D2504">
              <w:t>/60</w:t>
            </w:r>
          </w:p>
        </w:tc>
        <w:tc>
          <w:tcPr>
            <w:tcW w:w="1530" w:type="dxa"/>
          </w:tcPr>
          <w:p w:rsidR="003668D6" w:rsidP="00843796" w14:paraId="4FFA2B13" w14:textId="47D3E40C">
            <w:r>
              <w:t>150</w:t>
            </w:r>
          </w:p>
        </w:tc>
      </w:tr>
      <w:tr w14:paraId="5060CE46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598A3421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25FEC0FD" w14:textId="77777777"/>
        </w:tc>
        <w:tc>
          <w:tcPr>
            <w:tcW w:w="2070" w:type="dxa"/>
          </w:tcPr>
          <w:p w:rsidR="003668D6" w:rsidP="00843796" w14:paraId="393E6C13" w14:textId="77777777"/>
        </w:tc>
        <w:tc>
          <w:tcPr>
            <w:tcW w:w="1620" w:type="dxa"/>
          </w:tcPr>
          <w:p w:rsidR="003668D6" w:rsidP="00843796" w14:paraId="2AC4D74A" w14:textId="77777777"/>
        </w:tc>
        <w:tc>
          <w:tcPr>
            <w:tcW w:w="1530" w:type="dxa"/>
          </w:tcPr>
          <w:p w:rsidR="003668D6" w:rsidP="00843796" w14:paraId="5C84092C" w14:textId="77777777"/>
        </w:tc>
      </w:tr>
      <w:tr w14:paraId="35CE4332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CD645D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33425752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131CB531" w14:textId="2610466A">
            <w:r>
              <w:t>900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4F5FC874" w14:textId="77777777"/>
        </w:tc>
        <w:tc>
          <w:tcPr>
            <w:tcW w:w="1530" w:type="dxa"/>
          </w:tcPr>
          <w:p w:rsidR="003668D6" w:rsidRPr="002D26E2" w:rsidP="00843796" w14:paraId="2899F810" w14:textId="1C89BEBA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</w:tbl>
    <w:p w:rsidR="00F3170F" w:rsidP="00F3170F" w14:paraId="44F4B6A5" w14:textId="77777777"/>
    <w:p w:rsidR="009A036B" w:rsidRPr="009A036B" w:rsidP="009A036B" w14:paraId="7B0FBDD7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83788C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5F2E28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1E8636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B39450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5F19C76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048F1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8F348A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BF7685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5875791" w14:textId="14BF92D6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643739A1" w14:textId="128BBE27">
            <w:r>
              <w:t>150</w:t>
            </w:r>
          </w:p>
        </w:tc>
        <w:tc>
          <w:tcPr>
            <w:tcW w:w="2520" w:type="dxa"/>
          </w:tcPr>
          <w:p w:rsidR="00CA2010" w:rsidRPr="009A036B" w:rsidP="009A036B" w14:paraId="35AABB51" w14:textId="2BEFDD99">
            <w:r>
              <w:t>$4</w:t>
            </w:r>
            <w:r w:rsidR="004C5F03">
              <w:t>6.11</w:t>
            </w:r>
          </w:p>
        </w:tc>
        <w:tc>
          <w:tcPr>
            <w:tcW w:w="1620" w:type="dxa"/>
          </w:tcPr>
          <w:p w:rsidR="00CA2010" w:rsidRPr="009A036B" w:rsidP="009A036B" w14:paraId="71E0E67E" w14:textId="2C150A47">
            <w:r>
              <w:t>$</w:t>
            </w:r>
            <w:r w:rsidR="00716358">
              <w:t>6,917</w:t>
            </w:r>
          </w:p>
        </w:tc>
      </w:tr>
      <w:tr w14:paraId="7B78665C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D6A68C2" w14:textId="77777777"/>
        </w:tc>
        <w:tc>
          <w:tcPr>
            <w:tcW w:w="2250" w:type="dxa"/>
          </w:tcPr>
          <w:p w:rsidR="00CA2010" w:rsidRPr="009A036B" w:rsidP="009A036B" w14:paraId="3641B930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126A30B2" w14:textId="77777777"/>
        </w:tc>
        <w:tc>
          <w:tcPr>
            <w:tcW w:w="1620" w:type="dxa"/>
          </w:tcPr>
          <w:p w:rsidR="00CA2010" w:rsidRPr="009A036B" w:rsidP="009A036B" w14:paraId="0EDAD05E" w14:textId="77777777"/>
        </w:tc>
      </w:tr>
      <w:tr w14:paraId="2C40DC3A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FBCAC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AA05CE9" w14:textId="3B6BFAFE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55193E32" w14:textId="77777777"/>
        </w:tc>
        <w:tc>
          <w:tcPr>
            <w:tcW w:w="1620" w:type="dxa"/>
          </w:tcPr>
          <w:p w:rsidR="00CA2010" w:rsidRPr="009A036B" w:rsidP="009A036B" w14:paraId="4473DF0D" w14:textId="3E381B83">
            <w:r>
              <w:t>$</w:t>
            </w:r>
            <w:r w:rsidR="00716358">
              <w:t>6,917</w:t>
            </w:r>
          </w:p>
        </w:tc>
      </w:tr>
    </w:tbl>
    <w:p w:rsidR="00301C83" w:rsidRPr="006644BB" w:rsidP="00301C83" w14:paraId="5A154E2D" w14:textId="77777777">
      <w:pPr>
        <w:rPr>
          <w:sz w:val="20"/>
          <w:szCs w:val="20"/>
        </w:rPr>
      </w:pPr>
      <w:r w:rsidRPr="006644BB">
        <w:rPr>
          <w:sz w:val="20"/>
          <w:szCs w:val="20"/>
        </w:rPr>
        <w:t xml:space="preserve">*Hourly wage rates are based on </w:t>
      </w:r>
      <w:hyperlink r:id="rId8" w:history="1">
        <w:r w:rsidRPr="006644BB">
          <w:rPr>
            <w:rStyle w:val="Hyperlink"/>
            <w:sz w:val="20"/>
            <w:szCs w:val="20"/>
          </w:rPr>
          <w:t>http://www.bls.gov/oes/current/oes191029.htm</w:t>
        </w:r>
      </w:hyperlink>
      <w:r w:rsidRPr="006644BB">
        <w:rPr>
          <w:sz w:val="20"/>
          <w:szCs w:val="20"/>
        </w:rPr>
        <w:t>: on the mean hourly wage percentile for biological scientists</w:t>
      </w:r>
    </w:p>
    <w:p w:rsidR="009A036B" w:rsidRPr="009A036B" w:rsidP="009A036B" w14:paraId="4F4D6321" w14:textId="005A3944">
      <w:r>
        <w:tab/>
      </w:r>
    </w:p>
    <w:p w:rsidR="00441434" w:rsidP="00F3170F" w14:paraId="6EEEE09E" w14:textId="77777777"/>
    <w:p w:rsidR="005E714A" w14:paraId="5D2C0881" w14:textId="5B1D2E9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0A2DEA">
        <w:t>$</w:t>
      </w:r>
      <w:r w:rsidR="00C62FAA">
        <w:t>4,972</w:t>
      </w:r>
      <w:r w:rsidR="00C86E91">
        <w:t>___</w:t>
      </w:r>
    </w:p>
    <w:p w:rsidR="009A036B" w:rsidRPr="009A036B" w:rsidP="009A036B" w14:paraId="7D4F277C" w14:textId="77777777">
      <w:r>
        <w:rPr>
          <w:b/>
        </w:rPr>
        <w:t xml:space="preserve">                         </w:t>
      </w:r>
    </w:p>
    <w:p w:rsidR="009A036B" w:rsidRPr="009A036B" w:rsidP="009A036B" w14:paraId="60AAAC1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CABF8F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98EBD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B9D3A48" w14:textId="77777777">
            <w:pPr>
              <w:rPr>
                <w:b/>
                <w:bCs/>
              </w:rPr>
            </w:pPr>
          </w:p>
          <w:p w:rsidR="009A036B" w:rsidRPr="009A036B" w:rsidP="009A036B" w14:paraId="79D18A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AB55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EC512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5F26AD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F95E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2FD12B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7A33A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1C8267" w14:textId="5C7872C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BC3A9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4F0A8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F52FD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DD72D98" w14:textId="77777777"/>
        </w:tc>
      </w:tr>
      <w:tr w14:paraId="11D9B78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71C39892" w14:textId="662369D3">
            <w:r w:rsidRPr="009935ED">
              <w:t>Deputy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RPr="009A036B" w:rsidP="00A621C9" w14:paraId="77C10BC0" w14:textId="45A28BD2">
            <w: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43ECC88D" w14:textId="6E4B4B0A">
            <w:r>
              <w:t>$172,075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DD6902D" w14:textId="1A8B47E3">
            <w:r>
              <w:t>1.</w:t>
            </w:r>
            <w:r w:rsidR="00F4559F">
              <w:t>0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621C9" w:rsidRPr="009A036B" w:rsidP="00A621C9" w14:paraId="5B660F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RPr="009A036B" w:rsidP="00A621C9" w14:paraId="755D2823" w14:textId="7DB7FA9B">
            <w:r>
              <w:t>$</w:t>
            </w:r>
            <w:r w:rsidR="00A42579">
              <w:t>1</w:t>
            </w:r>
            <w:r>
              <w:t>,</w:t>
            </w:r>
            <w:r w:rsidR="00A42579">
              <w:t>720</w:t>
            </w:r>
          </w:p>
        </w:tc>
      </w:tr>
      <w:tr w14:paraId="7BBE830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863B1B4" w14:textId="3A382FF5">
            <w:r w:rsidRPr="009935ED">
              <w:t>Research Training 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P="00A621C9" w14:paraId="16BAE589" w14:textId="77777777"/>
          <w:p w:rsidR="00A621C9" w:rsidRPr="009A036B" w:rsidP="00A621C9" w14:paraId="53A52E8A" w14:textId="1B04752A">
            <w:r>
              <w:t>13/3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02F75069" w14:textId="10F44655">
            <w:r>
              <w:t>$119,482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4D46B50" w14:textId="0D6CB0FC">
            <w:r>
              <w:t>1.</w:t>
            </w:r>
            <w:r w:rsidR="00F4559F">
              <w:t>0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621C9" w:rsidRPr="009A036B" w:rsidP="00A621C9" w14:paraId="4425CB7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D81" w:rsidP="00A621C9" w14:paraId="040E2EB1" w14:textId="77777777"/>
          <w:p w:rsidR="00A621C9" w:rsidRPr="009A036B" w:rsidP="00A621C9" w14:paraId="78FC2258" w14:textId="7C90A005">
            <w:r>
              <w:t>$1,</w:t>
            </w:r>
            <w:r w:rsidR="00A42579">
              <w:t>195</w:t>
            </w:r>
          </w:p>
        </w:tc>
      </w:tr>
      <w:tr w14:paraId="6E67D2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05FF74D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6A17" w:rsidRPr="009A036B" w:rsidP="009A036B" w14:paraId="34322D6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0404A55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41476A5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6A17" w:rsidRPr="009A036B" w:rsidP="009A036B" w14:paraId="6BC7A2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6A17" w:rsidRPr="009A036B" w:rsidP="009A036B" w14:paraId="64A6CF33" w14:textId="77777777"/>
        </w:tc>
      </w:tr>
      <w:tr w14:paraId="5CCA2E3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B677F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2439E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CD6B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914E7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7BAB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BCF3D" w14:textId="77777777"/>
        </w:tc>
      </w:tr>
      <w:tr w14:paraId="0261344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35C437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94B7E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6099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DE2F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BFA6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620B88" w14:textId="77777777"/>
        </w:tc>
      </w:tr>
      <w:tr w14:paraId="416281E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661E5EE7" w14:textId="7741F220">
            <w:r>
              <w:t>Meeting Planner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62BB4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45A89D9D" w14:textId="59DD5C22">
            <w:r>
              <w:t>$</w:t>
            </w:r>
            <w:r w:rsidR="005D1757">
              <w:t>65</w:t>
            </w:r>
            <w:r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0B35FE8" w14:textId="55A3283C">
            <w:r>
              <w:t>1</w:t>
            </w:r>
            <w:r w:rsidR="009D1D33">
              <w:t>.</w:t>
            </w:r>
            <w:r w:rsidR="009F01DB">
              <w:t>3</w:t>
            </w:r>
            <w:r w:rsidR="009D1D33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C7339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5B680A5D" w14:textId="09920AAA">
            <w:r w:rsidRPr="00FC0C40">
              <w:t>$</w:t>
            </w:r>
            <w:r>
              <w:t>8</w:t>
            </w:r>
            <w:r w:rsidR="00907065">
              <w:t>45</w:t>
            </w:r>
          </w:p>
        </w:tc>
      </w:tr>
      <w:tr w14:paraId="429B48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0625351" w14:textId="3B789829">
            <w:r>
              <w:t>Editor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07233B3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6DA2AEE0" w14:textId="38B919FC">
            <w:r>
              <w:t>$</w:t>
            </w:r>
            <w:r w:rsidR="000B6782">
              <w:t>46,000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51BACAE" w14:textId="0A07D07E">
            <w:r>
              <w:t>1</w:t>
            </w:r>
            <w:r w:rsidR="000B6782">
              <w:t>.</w:t>
            </w:r>
            <w:r w:rsidR="009F01DB">
              <w:t>2</w:t>
            </w:r>
            <w:r w:rsidR="000B6782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61BC5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11AA0555" w14:textId="42AFD621">
            <w:r w:rsidRPr="00FC0C40">
              <w:t>$</w:t>
            </w:r>
            <w:r>
              <w:t>5</w:t>
            </w:r>
            <w:r w:rsidR="00907065">
              <w:t>5</w:t>
            </w:r>
            <w:r>
              <w:t>2</w:t>
            </w:r>
          </w:p>
        </w:tc>
      </w:tr>
      <w:tr w14:paraId="013672E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779F0E3" w14:textId="6690661C">
            <w:r>
              <w:t>Data Team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C1B02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33D4C4F" w14:textId="6EEFFB46">
            <w:r>
              <w:t>$</w:t>
            </w:r>
            <w:r w:rsidR="000B6782">
              <w:t>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1A56D49" w14:textId="56D2F76B">
            <w:r>
              <w:t>1</w:t>
            </w:r>
            <w:r w:rsidR="00003956">
              <w:t>.</w:t>
            </w:r>
            <w:r w:rsidR="000A5326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125E43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45484972" w14:textId="6EB67691">
            <w:r>
              <w:t>$6</w:t>
            </w:r>
            <w:r w:rsidR="00907065">
              <w:t>60</w:t>
            </w:r>
          </w:p>
        </w:tc>
      </w:tr>
      <w:tr w14:paraId="28AAAE6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B1D646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31A107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099762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0F9B28A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4E738B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41AD1926" w14:textId="77777777"/>
        </w:tc>
      </w:tr>
      <w:tr w14:paraId="788CF9D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36F293D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131D9B4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1DBEC2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CFEA44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6FF1F0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FA8C4A7" w14:textId="77777777"/>
        </w:tc>
      </w:tr>
      <w:tr w14:paraId="08D7074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53593EF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21D0600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520069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4E3AF3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5DC6FF1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63420B1" w14:textId="77777777">
            <w:pPr>
              <w:rPr>
                <w:b/>
              </w:rPr>
            </w:pPr>
          </w:p>
        </w:tc>
      </w:tr>
      <w:tr w14:paraId="1F274445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4B1EB8" w:rsidP="00BD1FCA" w14:paraId="3C3E4A7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D1FCA" w:rsidRPr="009A036B" w:rsidP="00BD1FCA" w14:paraId="3CBB88C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017A1F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4519D4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D1FCA" w:rsidRPr="009A036B" w:rsidP="00BD1FCA" w14:paraId="0AEC5A7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856A5E7" w14:textId="558DE880">
            <w:r>
              <w:t>$</w:t>
            </w:r>
            <w:r w:rsidR="00C62FAA">
              <w:t>4,972</w:t>
            </w:r>
          </w:p>
        </w:tc>
      </w:tr>
    </w:tbl>
    <w:p w:rsidR="009A036B" w:rsidRPr="009A036B" w:rsidP="009A036B" w14:paraId="4072CB21" w14:textId="54748AD8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9" w:history="1">
        <w:r w:rsidRPr="00DD4387" w:rsidR="00DD4387">
          <w:rPr>
            <w:rStyle w:val="Hyperlink"/>
            <w:sz w:val="18"/>
            <w:szCs w:val="18"/>
          </w:rPr>
          <w:t>https://www.opm.gov/policy-data-oversight/pay-leave/salaries-wages/salary-tables/pdf/2023/DCB.pdf</w:t>
        </w:r>
      </w:hyperlink>
      <w:r w:rsidR="0070785D">
        <w:rPr>
          <w:rStyle w:val="Hyperlink"/>
        </w:rPr>
        <w:t>.</w:t>
      </w:r>
    </w:p>
    <w:p w:rsidR="009A036B" w14:paraId="0EE79672" w14:textId="77777777">
      <w:pPr>
        <w:rPr>
          <w:b/>
        </w:rPr>
      </w:pPr>
    </w:p>
    <w:p w:rsidR="00ED6492" w14:paraId="658344A4" w14:textId="77777777">
      <w:pPr>
        <w:rPr>
          <w:b/>
          <w:bCs/>
          <w:u w:val="single"/>
        </w:rPr>
      </w:pPr>
    </w:p>
    <w:p w:rsidR="0069403B" w:rsidP="00F06866" w14:paraId="77ED2E6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119212B" w14:textId="77777777">
      <w:pPr>
        <w:rPr>
          <w:b/>
        </w:rPr>
      </w:pPr>
    </w:p>
    <w:p w:rsidR="00F06866" w:rsidP="00F06866" w14:paraId="1C1A580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9B08DA4" w14:textId="4F15F63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8707A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453698C8" w14:textId="77777777">
      <w:pPr>
        <w:pStyle w:val="ListParagraph"/>
      </w:pPr>
    </w:p>
    <w:p w:rsidR="00636621" w:rsidP="001B0AAA" w14:paraId="5A90001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D38A7" w:rsidP="001B0AAA" w14:paraId="0E5803C7" w14:textId="77777777"/>
    <w:p w:rsidR="00ED38A7" w:rsidP="001B0AAA" w14:paraId="41F15728" w14:textId="60154092">
      <w:r>
        <w:t>The potential group of respondents will be</w:t>
      </w:r>
      <w:r w:rsidR="00A81B52">
        <w:t xml:space="preserve"> limited to</w:t>
      </w:r>
      <w:r>
        <w:t xml:space="preserve"> the </w:t>
      </w:r>
      <w:r w:rsidR="0019054B">
        <w:t>regist</w:t>
      </w:r>
      <w:r w:rsidR="00F4559F">
        <w:t>ered attendees</w:t>
      </w:r>
      <w:r>
        <w:t xml:space="preserve"> of this meeting.</w:t>
      </w:r>
      <w:r w:rsidR="00B11912">
        <w:t xml:space="preserve"> The survey will be sent to all </w:t>
      </w:r>
      <w:r w:rsidR="00F4559F">
        <w:t xml:space="preserve">registered </w:t>
      </w:r>
      <w:r w:rsidR="0031499F">
        <w:t>attendee</w:t>
      </w:r>
      <w:r w:rsidR="003A4CEC">
        <w:t xml:space="preserve">s </w:t>
      </w:r>
      <w:r w:rsidR="00C73CDB">
        <w:t>after the meeting.</w:t>
      </w:r>
      <w:r w:rsidR="005014A2">
        <w:t xml:space="preserve">  Based on attendance last year, it is anticipated that there will be approximately 900 registrants and that the</w:t>
      </w:r>
      <w:r w:rsidR="007A3F8C">
        <w:t>re will be a near 100% response rate.</w:t>
      </w:r>
    </w:p>
    <w:p w:rsidR="00A403BB" w:rsidP="00A403BB" w14:paraId="615FEDC8" w14:textId="77777777">
      <w:pPr>
        <w:pStyle w:val="ListParagraph"/>
      </w:pPr>
    </w:p>
    <w:p w:rsidR="00A403BB" w:rsidP="00A403BB" w14:paraId="38320ECA" w14:textId="77777777"/>
    <w:p w:rsidR="00A403BB" w:rsidP="00A403BB" w14:paraId="736E1B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231091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E369C96" w14:textId="690F9D8E">
      <w:pPr>
        <w:ind w:left="720"/>
      </w:pPr>
      <w:r>
        <w:t xml:space="preserve">[ </w:t>
      </w:r>
      <w:r w:rsidR="0011356E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021E92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FFB568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832C06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E0BD69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734D212" w14:textId="180C870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567CEE">
        <w:t>X</w:t>
      </w:r>
      <w:r>
        <w:t xml:space="preserve"> ] No</w:t>
      </w:r>
    </w:p>
    <w:p w:rsidR="00F24CFC" w:rsidP="00F24CFC" w14:paraId="406BED9B" w14:textId="77777777">
      <w:pPr>
        <w:pStyle w:val="ListParagraph"/>
        <w:ind w:left="360"/>
      </w:pPr>
      <w:r>
        <w:t xml:space="preserve"> </w:t>
      </w:r>
    </w:p>
    <w:p w:rsidR="0024521E" w:rsidP="0024521E" w14:paraId="078730E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686B9602" w14:textId="77777777">
      <w:pPr>
        <w:rPr>
          <w:b/>
        </w:rPr>
      </w:pPr>
    </w:p>
    <w:p w:rsidR="005E714A" w:rsidP="00F24CFC" w14:paraId="2F147A5D" w14:textId="77777777">
      <w:pPr>
        <w:tabs>
          <w:tab w:val="left" w:pos="5670"/>
        </w:tabs>
        <w:suppressAutoHyphens/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1A8AD10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778302">
    <w:abstractNumId w:val="10"/>
  </w:num>
  <w:num w:numId="2" w16cid:durableId="385422346">
    <w:abstractNumId w:val="16"/>
  </w:num>
  <w:num w:numId="3" w16cid:durableId="888034304">
    <w:abstractNumId w:val="15"/>
  </w:num>
  <w:num w:numId="4" w16cid:durableId="1501771391">
    <w:abstractNumId w:val="17"/>
  </w:num>
  <w:num w:numId="5" w16cid:durableId="1363827993">
    <w:abstractNumId w:val="3"/>
  </w:num>
  <w:num w:numId="6" w16cid:durableId="244651056">
    <w:abstractNumId w:val="1"/>
  </w:num>
  <w:num w:numId="7" w16cid:durableId="1857571695">
    <w:abstractNumId w:val="8"/>
  </w:num>
  <w:num w:numId="8" w16cid:durableId="138040060">
    <w:abstractNumId w:val="13"/>
  </w:num>
  <w:num w:numId="9" w16cid:durableId="654341161">
    <w:abstractNumId w:val="9"/>
  </w:num>
  <w:num w:numId="10" w16cid:durableId="477768733">
    <w:abstractNumId w:val="2"/>
  </w:num>
  <w:num w:numId="11" w16cid:durableId="1542209709">
    <w:abstractNumId w:val="6"/>
  </w:num>
  <w:num w:numId="12" w16cid:durableId="2031687280">
    <w:abstractNumId w:val="7"/>
  </w:num>
  <w:num w:numId="13" w16cid:durableId="231351488">
    <w:abstractNumId w:val="0"/>
  </w:num>
  <w:num w:numId="14" w16cid:durableId="599334534">
    <w:abstractNumId w:val="14"/>
  </w:num>
  <w:num w:numId="15" w16cid:durableId="956718895">
    <w:abstractNumId w:val="12"/>
  </w:num>
  <w:num w:numId="16" w16cid:durableId="2062827789">
    <w:abstractNumId w:val="11"/>
  </w:num>
  <w:num w:numId="17" w16cid:durableId="1687754397">
    <w:abstractNumId w:val="4"/>
  </w:num>
  <w:num w:numId="18" w16cid:durableId="702634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1EB"/>
    <w:rsid w:val="00003956"/>
    <w:rsid w:val="00012CAB"/>
    <w:rsid w:val="00015C93"/>
    <w:rsid w:val="00023A57"/>
    <w:rsid w:val="00024EEE"/>
    <w:rsid w:val="00047A64"/>
    <w:rsid w:val="00067329"/>
    <w:rsid w:val="000717C1"/>
    <w:rsid w:val="000722CE"/>
    <w:rsid w:val="000913EC"/>
    <w:rsid w:val="000A2DEA"/>
    <w:rsid w:val="000A5326"/>
    <w:rsid w:val="000B2838"/>
    <w:rsid w:val="000B6782"/>
    <w:rsid w:val="000D44CA"/>
    <w:rsid w:val="000E200B"/>
    <w:rsid w:val="000F68BE"/>
    <w:rsid w:val="0011356E"/>
    <w:rsid w:val="00113A81"/>
    <w:rsid w:val="001564BC"/>
    <w:rsid w:val="00162F83"/>
    <w:rsid w:val="001713A7"/>
    <w:rsid w:val="00177AEA"/>
    <w:rsid w:val="00184D60"/>
    <w:rsid w:val="001855D1"/>
    <w:rsid w:val="0019054B"/>
    <w:rsid w:val="001927A4"/>
    <w:rsid w:val="00194AC6"/>
    <w:rsid w:val="001A23B0"/>
    <w:rsid w:val="001A25CC"/>
    <w:rsid w:val="001B0AAA"/>
    <w:rsid w:val="001B2185"/>
    <w:rsid w:val="001C06B7"/>
    <w:rsid w:val="001C39F7"/>
    <w:rsid w:val="001C4501"/>
    <w:rsid w:val="001E35F6"/>
    <w:rsid w:val="00210234"/>
    <w:rsid w:val="002229A7"/>
    <w:rsid w:val="00237B48"/>
    <w:rsid w:val="0024521E"/>
    <w:rsid w:val="00255F27"/>
    <w:rsid w:val="00263C3D"/>
    <w:rsid w:val="00274D0B"/>
    <w:rsid w:val="00284110"/>
    <w:rsid w:val="002B3C95"/>
    <w:rsid w:val="002B4D0D"/>
    <w:rsid w:val="002D0B92"/>
    <w:rsid w:val="002D26E2"/>
    <w:rsid w:val="002D3BE4"/>
    <w:rsid w:val="002D74B4"/>
    <w:rsid w:val="002E48F5"/>
    <w:rsid w:val="003002B6"/>
    <w:rsid w:val="00301C83"/>
    <w:rsid w:val="00302562"/>
    <w:rsid w:val="0030640C"/>
    <w:rsid w:val="0031499F"/>
    <w:rsid w:val="00315175"/>
    <w:rsid w:val="00346AE4"/>
    <w:rsid w:val="003668D6"/>
    <w:rsid w:val="003932D1"/>
    <w:rsid w:val="00393A4C"/>
    <w:rsid w:val="003A4CEC"/>
    <w:rsid w:val="003A7074"/>
    <w:rsid w:val="003C27F6"/>
    <w:rsid w:val="003C50BC"/>
    <w:rsid w:val="003D5BBE"/>
    <w:rsid w:val="003D6316"/>
    <w:rsid w:val="003E042F"/>
    <w:rsid w:val="003E3C61"/>
    <w:rsid w:val="003F1C5B"/>
    <w:rsid w:val="003F53B8"/>
    <w:rsid w:val="00420E91"/>
    <w:rsid w:val="00431EB1"/>
    <w:rsid w:val="004324E3"/>
    <w:rsid w:val="00433ED3"/>
    <w:rsid w:val="00434E33"/>
    <w:rsid w:val="00441434"/>
    <w:rsid w:val="0044727D"/>
    <w:rsid w:val="0045264C"/>
    <w:rsid w:val="00464FD4"/>
    <w:rsid w:val="004876EC"/>
    <w:rsid w:val="00492DCE"/>
    <w:rsid w:val="004A44F3"/>
    <w:rsid w:val="004B13DF"/>
    <w:rsid w:val="004B1EB8"/>
    <w:rsid w:val="004C5F03"/>
    <w:rsid w:val="004D6CC9"/>
    <w:rsid w:val="004D6E14"/>
    <w:rsid w:val="005009B0"/>
    <w:rsid w:val="00501372"/>
    <w:rsid w:val="005014A2"/>
    <w:rsid w:val="00546D74"/>
    <w:rsid w:val="00547396"/>
    <w:rsid w:val="00553034"/>
    <w:rsid w:val="00557E46"/>
    <w:rsid w:val="00567CEE"/>
    <w:rsid w:val="00571872"/>
    <w:rsid w:val="0058423C"/>
    <w:rsid w:val="0058763A"/>
    <w:rsid w:val="00593580"/>
    <w:rsid w:val="005A1006"/>
    <w:rsid w:val="005A3543"/>
    <w:rsid w:val="005A772A"/>
    <w:rsid w:val="005C480C"/>
    <w:rsid w:val="005C534D"/>
    <w:rsid w:val="005D1757"/>
    <w:rsid w:val="005D2504"/>
    <w:rsid w:val="005D7398"/>
    <w:rsid w:val="005E3693"/>
    <w:rsid w:val="005E714A"/>
    <w:rsid w:val="005F529E"/>
    <w:rsid w:val="006027A5"/>
    <w:rsid w:val="00610A6E"/>
    <w:rsid w:val="006140A0"/>
    <w:rsid w:val="00633F74"/>
    <w:rsid w:val="00634E99"/>
    <w:rsid w:val="00636329"/>
    <w:rsid w:val="00636621"/>
    <w:rsid w:val="00642B49"/>
    <w:rsid w:val="0065005D"/>
    <w:rsid w:val="006644BB"/>
    <w:rsid w:val="00673DB6"/>
    <w:rsid w:val="006832D9"/>
    <w:rsid w:val="00686301"/>
    <w:rsid w:val="0069403B"/>
    <w:rsid w:val="006B7B34"/>
    <w:rsid w:val="006D42E9"/>
    <w:rsid w:val="006D5F47"/>
    <w:rsid w:val="006D5F50"/>
    <w:rsid w:val="006E1FBC"/>
    <w:rsid w:val="006F3DDE"/>
    <w:rsid w:val="00704678"/>
    <w:rsid w:val="007059C0"/>
    <w:rsid w:val="0070785D"/>
    <w:rsid w:val="00716358"/>
    <w:rsid w:val="00736DA4"/>
    <w:rsid w:val="007425E7"/>
    <w:rsid w:val="00766D95"/>
    <w:rsid w:val="007702D2"/>
    <w:rsid w:val="0077703F"/>
    <w:rsid w:val="0079391A"/>
    <w:rsid w:val="007A0994"/>
    <w:rsid w:val="007A3F8C"/>
    <w:rsid w:val="007C6D71"/>
    <w:rsid w:val="007F46F9"/>
    <w:rsid w:val="007F636B"/>
    <w:rsid w:val="00802607"/>
    <w:rsid w:val="008101A5"/>
    <w:rsid w:val="00811789"/>
    <w:rsid w:val="00822664"/>
    <w:rsid w:val="00823D59"/>
    <w:rsid w:val="008271C8"/>
    <w:rsid w:val="00843796"/>
    <w:rsid w:val="0084404A"/>
    <w:rsid w:val="0084545D"/>
    <w:rsid w:val="0085116A"/>
    <w:rsid w:val="00887320"/>
    <w:rsid w:val="00895229"/>
    <w:rsid w:val="008A4E7D"/>
    <w:rsid w:val="008A6AA5"/>
    <w:rsid w:val="008B14EB"/>
    <w:rsid w:val="008D0E2D"/>
    <w:rsid w:val="008F0203"/>
    <w:rsid w:val="008F50D4"/>
    <w:rsid w:val="00907065"/>
    <w:rsid w:val="009115BE"/>
    <w:rsid w:val="00922176"/>
    <w:rsid w:val="009239AA"/>
    <w:rsid w:val="00935ADA"/>
    <w:rsid w:val="00943DE4"/>
    <w:rsid w:val="00946B6C"/>
    <w:rsid w:val="00947DAD"/>
    <w:rsid w:val="00955A71"/>
    <w:rsid w:val="0096108F"/>
    <w:rsid w:val="009747F4"/>
    <w:rsid w:val="00974D45"/>
    <w:rsid w:val="0098707A"/>
    <w:rsid w:val="009935ED"/>
    <w:rsid w:val="009A036B"/>
    <w:rsid w:val="009A4D8B"/>
    <w:rsid w:val="009C13B9"/>
    <w:rsid w:val="009C79C7"/>
    <w:rsid w:val="009D01A2"/>
    <w:rsid w:val="009D1CAD"/>
    <w:rsid w:val="009D1D33"/>
    <w:rsid w:val="009F01DB"/>
    <w:rsid w:val="009F02C3"/>
    <w:rsid w:val="009F2D85"/>
    <w:rsid w:val="009F5923"/>
    <w:rsid w:val="00A06911"/>
    <w:rsid w:val="00A15E41"/>
    <w:rsid w:val="00A229F1"/>
    <w:rsid w:val="00A241F3"/>
    <w:rsid w:val="00A313DC"/>
    <w:rsid w:val="00A403BB"/>
    <w:rsid w:val="00A40967"/>
    <w:rsid w:val="00A42579"/>
    <w:rsid w:val="00A460AC"/>
    <w:rsid w:val="00A50F89"/>
    <w:rsid w:val="00A621C9"/>
    <w:rsid w:val="00A674DF"/>
    <w:rsid w:val="00A81B52"/>
    <w:rsid w:val="00A83AA6"/>
    <w:rsid w:val="00AB15DE"/>
    <w:rsid w:val="00AC0AF7"/>
    <w:rsid w:val="00AC60E8"/>
    <w:rsid w:val="00AC79B7"/>
    <w:rsid w:val="00AD27E3"/>
    <w:rsid w:val="00AE14B1"/>
    <w:rsid w:val="00AE1809"/>
    <w:rsid w:val="00AE3FA7"/>
    <w:rsid w:val="00B11912"/>
    <w:rsid w:val="00B2669C"/>
    <w:rsid w:val="00B57F87"/>
    <w:rsid w:val="00B80D76"/>
    <w:rsid w:val="00B90A9D"/>
    <w:rsid w:val="00B96A17"/>
    <w:rsid w:val="00B97F1F"/>
    <w:rsid w:val="00BA2105"/>
    <w:rsid w:val="00BA659C"/>
    <w:rsid w:val="00BA7E06"/>
    <w:rsid w:val="00BB43B5"/>
    <w:rsid w:val="00BB6219"/>
    <w:rsid w:val="00BC4B27"/>
    <w:rsid w:val="00BC676D"/>
    <w:rsid w:val="00BD006E"/>
    <w:rsid w:val="00BD1FCA"/>
    <w:rsid w:val="00BD290F"/>
    <w:rsid w:val="00BF6223"/>
    <w:rsid w:val="00C07114"/>
    <w:rsid w:val="00C07F1C"/>
    <w:rsid w:val="00C14CC4"/>
    <w:rsid w:val="00C204D8"/>
    <w:rsid w:val="00C25567"/>
    <w:rsid w:val="00C257A0"/>
    <w:rsid w:val="00C33C52"/>
    <w:rsid w:val="00C354E5"/>
    <w:rsid w:val="00C40D8B"/>
    <w:rsid w:val="00C41A05"/>
    <w:rsid w:val="00C614F7"/>
    <w:rsid w:val="00C62FAA"/>
    <w:rsid w:val="00C73CDB"/>
    <w:rsid w:val="00C74E61"/>
    <w:rsid w:val="00C828FD"/>
    <w:rsid w:val="00C8407A"/>
    <w:rsid w:val="00C8488C"/>
    <w:rsid w:val="00C86C3B"/>
    <w:rsid w:val="00C86E91"/>
    <w:rsid w:val="00C91BD6"/>
    <w:rsid w:val="00C92123"/>
    <w:rsid w:val="00C9542F"/>
    <w:rsid w:val="00CA19A3"/>
    <w:rsid w:val="00CA2010"/>
    <w:rsid w:val="00CA2650"/>
    <w:rsid w:val="00CB1078"/>
    <w:rsid w:val="00CC6FAF"/>
    <w:rsid w:val="00CD10DC"/>
    <w:rsid w:val="00CD3F0A"/>
    <w:rsid w:val="00CF4A46"/>
    <w:rsid w:val="00D1725F"/>
    <w:rsid w:val="00D2288B"/>
    <w:rsid w:val="00D24698"/>
    <w:rsid w:val="00D26DC3"/>
    <w:rsid w:val="00D33956"/>
    <w:rsid w:val="00D3706F"/>
    <w:rsid w:val="00D504C2"/>
    <w:rsid w:val="00D5652C"/>
    <w:rsid w:val="00D60C57"/>
    <w:rsid w:val="00D6383F"/>
    <w:rsid w:val="00D662C8"/>
    <w:rsid w:val="00D92F52"/>
    <w:rsid w:val="00DB4A58"/>
    <w:rsid w:val="00DB59D0"/>
    <w:rsid w:val="00DB6F59"/>
    <w:rsid w:val="00DC12CD"/>
    <w:rsid w:val="00DC2F2F"/>
    <w:rsid w:val="00DC33D3"/>
    <w:rsid w:val="00DC64D3"/>
    <w:rsid w:val="00DD4387"/>
    <w:rsid w:val="00E122F4"/>
    <w:rsid w:val="00E140D9"/>
    <w:rsid w:val="00E26329"/>
    <w:rsid w:val="00E40B50"/>
    <w:rsid w:val="00E50293"/>
    <w:rsid w:val="00E65FFC"/>
    <w:rsid w:val="00E670E2"/>
    <w:rsid w:val="00E80951"/>
    <w:rsid w:val="00E83537"/>
    <w:rsid w:val="00E854FE"/>
    <w:rsid w:val="00E86CC6"/>
    <w:rsid w:val="00E94AB6"/>
    <w:rsid w:val="00EA1270"/>
    <w:rsid w:val="00EB0B1B"/>
    <w:rsid w:val="00EB56B3"/>
    <w:rsid w:val="00EC4904"/>
    <w:rsid w:val="00ED38A7"/>
    <w:rsid w:val="00ED404B"/>
    <w:rsid w:val="00ED6492"/>
    <w:rsid w:val="00EE5586"/>
    <w:rsid w:val="00EF2095"/>
    <w:rsid w:val="00F06866"/>
    <w:rsid w:val="00F15956"/>
    <w:rsid w:val="00F24CFC"/>
    <w:rsid w:val="00F3170F"/>
    <w:rsid w:val="00F4559F"/>
    <w:rsid w:val="00F54F49"/>
    <w:rsid w:val="00F62491"/>
    <w:rsid w:val="00F67CB1"/>
    <w:rsid w:val="00F94D8C"/>
    <w:rsid w:val="00F976B0"/>
    <w:rsid w:val="00FA6DE7"/>
    <w:rsid w:val="00FB59F1"/>
    <w:rsid w:val="00FC0A8E"/>
    <w:rsid w:val="00FC0C40"/>
    <w:rsid w:val="00FC2F30"/>
    <w:rsid w:val="00FC75DA"/>
    <w:rsid w:val="00FC7897"/>
    <w:rsid w:val="00FD02F3"/>
    <w:rsid w:val="00FD7330"/>
    <w:rsid w:val="00FE2FA6"/>
    <w:rsid w:val="00FE3DF2"/>
    <w:rsid w:val="00FE4D81"/>
    <w:rsid w:val="00FF46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F88D62"/>
  <w15:chartTrackingRefBased/>
  <w15:docId w15:val="{12101AC7-1D0F-4118-BE81-D7FA33A4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styleId="Revision">
    <w:name w:val="Revision"/>
    <w:hidden/>
    <w:uiPriority w:val="99"/>
    <w:semiHidden/>
    <w:rsid w:val="00DD4387"/>
    <w:rPr>
      <w:sz w:val="24"/>
      <w:szCs w:val="24"/>
    </w:rPr>
  </w:style>
  <w:style w:type="character" w:styleId="FollowedHyperlink">
    <w:name w:val="FollowedHyperlink"/>
    <w:basedOn w:val="DefaultParagraphFont"/>
    <w:rsid w:val="00DD43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oes/current/oes191029.htm" TargetMode="External" /><Relationship Id="rId9" Type="http://schemas.openxmlformats.org/officeDocument/2006/relationships/hyperlink" Target="https://www.opm.gov/policy-data-oversight/pay-leave/salaries-wages/salary-tables/pdf/2023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FD518EF4D64794943A5BCC375262" ma:contentTypeVersion="16" ma:contentTypeDescription="Create a new document." ma:contentTypeScope="" ma:versionID="5916d2a7319eff5dde6b0779fcbdc475">
  <xsd:schema xmlns:xsd="http://www.w3.org/2001/XMLSchema" xmlns:xs="http://www.w3.org/2001/XMLSchema" xmlns:p="http://schemas.microsoft.com/office/2006/metadata/properties" xmlns:ns2="40787dd1-1eb2-41c7-bfa5-438bd48bcb72" xmlns:ns3="f93731e0-053d-4693-9341-1a0f84ac74bb" targetNamespace="http://schemas.microsoft.com/office/2006/metadata/properties" ma:root="true" ma:fieldsID="c79416d8c6eea4f52324ac8d4f62b548" ns2:_="" ns3:_="">
    <xsd:import namespace="40787dd1-1eb2-41c7-bfa5-438bd48bcb72"/>
    <xsd:import namespace="f93731e0-053d-4693-9341-1a0f84ac7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7dd1-1eb2-41c7-bfa5-438bd48bc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31e0-053d-4693-9341-1a0f84ac7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255fe-ea8e-4a1c-bbd9-6cdf592c9807}" ma:internalName="TaxCatchAll" ma:showField="CatchAllData" ma:web="f93731e0-053d-4693-9341-1a0f84ac7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87dd1-1eb2-41c7-bfa5-438bd48bcb72">
      <Terms xmlns="http://schemas.microsoft.com/office/infopath/2007/PartnerControls"/>
    </lcf76f155ced4ddcb4097134ff3c332f>
    <TaxCatchAll xmlns="f93731e0-053d-4693-9341-1a0f84ac7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E980-E485-41DE-8791-60B6BA8F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7dd1-1eb2-41c7-bfa5-438bd48bcb72"/>
    <ds:schemaRef ds:uri="f93731e0-053d-4693-9341-1a0f84ac7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CD8A8-2FCE-47B0-B2A0-5E22BAEA17EF}">
  <ds:schemaRefs>
    <ds:schemaRef ds:uri="http://schemas.microsoft.com/office/2006/metadata/properties"/>
    <ds:schemaRef ds:uri="http://schemas.microsoft.com/office/infopath/2007/PartnerControls"/>
    <ds:schemaRef ds:uri="40787dd1-1eb2-41c7-bfa5-438bd48bcb72"/>
    <ds:schemaRef ds:uri="f93731e0-053d-4693-9341-1a0f84ac74bb"/>
  </ds:schemaRefs>
</ds:datastoreItem>
</file>

<file path=customXml/itemProps3.xml><?xml version="1.0" encoding="utf-8"?>
<ds:datastoreItem xmlns:ds="http://schemas.openxmlformats.org/officeDocument/2006/customXml" ds:itemID="{8E5D2D71-00A5-4E21-9861-F11C368C7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2023-05-23T15:02:00Z</dcterms:created>
  <dcterms:modified xsi:type="dcterms:W3CDTF">2023-05-23T15:02:00Z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0x0101007F3DFD518EF4D64794943A5BCC375262</vt:lpwstr>
  </property>
  <property fmtid="{D5CDD505-2E9C-101B-9397-08002B2CF9AE}" pid="3" name="MediaServiceImageTags">
    <vt:lpwstr/>
  </property>
</Properties>
</file>