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7B35" w:rsidR="0027636F" w:rsidP="0027636F" w:rsidRDefault="0027636F" w14:paraId="6F04440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Pr="006D1C97">
        <w:rPr>
          <w:sz w:val="28"/>
          <w:szCs w:val="28"/>
        </w:rPr>
        <w:t xml:space="preserve"> (OMB#: 0925-0648 Exp Date: 06/30/2024)</w:t>
      </w:r>
    </w:p>
    <w:p w:rsidR="0027636F" w:rsidP="0027636F" w:rsidRDefault="0027636F" w14:paraId="11B2E131" w14:textId="77777777">
      <w:pPr>
        <w:rPr>
          <w:b/>
        </w:rPr>
      </w:pPr>
    </w:p>
    <w:p w:rsidRPr="009239AA" w:rsidR="0027636F" w:rsidP="0027636F" w:rsidRDefault="0027636F" w14:paraId="1675D910" w14:textId="045DF9B4">
      <w:pPr>
        <w:rPr>
          <w:b/>
        </w:rPr>
      </w:pPr>
      <w:r>
        <w:rPr>
          <w:b/>
          <w:noProof/>
        </w:rPr>
        <mc:AlternateContent>
          <mc:Choice Requires="wps">
            <w:drawing>
              <wp:anchor distT="0" distB="0" distL="114300" distR="114300" simplePos="0" relativeHeight="251659264" behindDoc="0" locked="0" layoutInCell="0" allowOverlap="1" wp14:editId="285C9698" wp14:anchorId="1D5207DC">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2DEA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Pb+GjTJAQAAeAMAAA4AAAAAAAAAAAAAAAAA&#10;LgIAAGRycy9lMm9Eb2MueG1sUEsBAi0AFAAGAAgAAAAhAHTyXbTWAAAAAgEAAA8AAAAAAAAAAAAA&#10;AAAAIwQAAGRycy9kb3ducmV2LnhtbFBLBQYAAAAABAAEAPMAAAAmBQAAAAA=&#10;"/>
            </w:pict>
          </mc:Fallback>
        </mc:AlternateContent>
      </w:r>
      <w:r w:rsidRPr="00434E33">
        <w:rPr>
          <w:b/>
        </w:rPr>
        <w:t>TITLE OF INFORMATION COLLECTION:</w:t>
      </w:r>
      <w:r>
        <w:t xml:space="preserve">  </w:t>
      </w:r>
      <w:r w:rsidR="001F4358">
        <w:t>Mind Your Risks Webinar Feedback</w:t>
      </w:r>
      <w:r w:rsidR="00012C60">
        <w:t xml:space="preserve"> (NINDS)</w:t>
      </w:r>
    </w:p>
    <w:p w:rsidR="0027636F" w:rsidP="0027636F" w:rsidRDefault="0027636F" w14:paraId="4215007F" w14:textId="77777777"/>
    <w:p w:rsidRPr="0045000D" w:rsidR="0027636F" w:rsidP="0027636F" w:rsidRDefault="0027636F" w14:paraId="3AC0DF21" w14:textId="647FFE19">
      <w:r>
        <w:rPr>
          <w:b/>
        </w:rPr>
        <w:t>PURPOSE</w:t>
      </w:r>
      <w:r w:rsidRPr="009239AA">
        <w:rPr>
          <w:b/>
        </w:rPr>
        <w:t xml:space="preserve">:  </w:t>
      </w:r>
      <w:r w:rsidRPr="0025393F">
        <w:rPr>
          <w:bCs/>
        </w:rPr>
        <w:t>T</w:t>
      </w:r>
      <w:r>
        <w:rPr>
          <w:bCs/>
        </w:rPr>
        <w:t>his information collection will gather</w:t>
      </w:r>
      <w:r w:rsidRPr="0025393F">
        <w:rPr>
          <w:bCs/>
        </w:rPr>
        <w:t xml:space="preserve"> feedback from individuals who attend </w:t>
      </w:r>
      <w:r>
        <w:rPr>
          <w:bCs/>
        </w:rPr>
        <w:t xml:space="preserve">one </w:t>
      </w:r>
      <w:r w:rsidRPr="0027636F">
        <w:rPr>
          <w:bCs/>
        </w:rPr>
        <w:t>of a series of webinars based on the Mind Your Risks</w:t>
      </w:r>
      <w:r w:rsidR="00241C3F">
        <w:rPr>
          <w:bCs/>
          <w:vertAlign w:val="superscript"/>
        </w:rPr>
        <w:t>®</w:t>
      </w:r>
      <w:r w:rsidRPr="0027636F">
        <w:rPr>
          <w:bCs/>
        </w:rPr>
        <w:t xml:space="preserve"> public health campaign, supported by the National Institute of Neurological Disorders and Stroke (NINDS) to increase knowledge about</w:t>
      </w:r>
      <w:r>
        <w:rPr>
          <w:bCs/>
        </w:rPr>
        <w:t xml:space="preserve"> preventable risk factors for stroke and dementia</w:t>
      </w:r>
      <w:r w:rsidRPr="0025393F">
        <w:rPr>
          <w:bCs/>
        </w:rPr>
        <w:t>.</w:t>
      </w:r>
      <w:r>
        <w:rPr>
          <w:bCs/>
        </w:rPr>
        <w:t xml:space="preserve"> These webinars will be held by NINDS and </w:t>
      </w:r>
      <w:r>
        <w:t>h</w:t>
      </w:r>
      <w:r w:rsidRPr="0026161F">
        <w:t xml:space="preserve">istorically </w:t>
      </w:r>
      <w:r>
        <w:t>Bl</w:t>
      </w:r>
      <w:r w:rsidRPr="0026161F">
        <w:t>ack colleges and universities (HBCUs)</w:t>
      </w:r>
      <w:r>
        <w:t xml:space="preserve">, </w:t>
      </w:r>
      <w:r>
        <w:rPr>
          <w:bCs/>
        </w:rPr>
        <w:t xml:space="preserve">and their purpose will be to raise awareness of the connection between high blood pressure, stroke, and dementia. After each webinar, participants will be asked questions about their satisfaction with various aspects of the webinar. The responses will be used internally by NINDS Staff and NINDS public health campaign contractors to improve the effectiveness of future webinars. NINDS anticipates holding up to 4 </w:t>
      </w:r>
      <w:r w:rsidRPr="0027636F">
        <w:rPr>
          <w:bCs/>
        </w:rPr>
        <w:t>webinars over 2 years.</w:t>
      </w:r>
    </w:p>
    <w:p w:rsidR="0027636F" w:rsidP="0027636F" w:rsidRDefault="0027636F" w14:paraId="143CCA69" w14:textId="77777777">
      <w:pPr>
        <w:pStyle w:val="Header"/>
        <w:tabs>
          <w:tab w:val="clear" w:pos="4320"/>
          <w:tab w:val="clear" w:pos="8640"/>
        </w:tabs>
        <w:rPr>
          <w:b/>
        </w:rPr>
      </w:pPr>
    </w:p>
    <w:p w:rsidRPr="0045000D" w:rsidR="0027636F" w:rsidP="0027636F" w:rsidRDefault="0027636F" w14:paraId="7B2DD450" w14:textId="1835D6D9">
      <w:pPr>
        <w:pStyle w:val="Header"/>
        <w:tabs>
          <w:tab w:val="clear" w:pos="4320"/>
          <w:tab w:val="clear" w:pos="8640"/>
        </w:tabs>
        <w:rPr>
          <w:i/>
          <w:snapToGrid/>
        </w:rPr>
      </w:pPr>
      <w:r w:rsidRPr="00434E33">
        <w:rPr>
          <w:b/>
        </w:rPr>
        <w:t>DESCRIPTION OF RESPONDENTS</w:t>
      </w:r>
      <w:r>
        <w:t xml:space="preserve">: Respondents will be alumni, staff, and older adults associated with </w:t>
      </w:r>
      <w:r w:rsidRPr="0026161F">
        <w:t>HBCUs</w:t>
      </w:r>
      <w:r w:rsidR="00241C3F">
        <w:t xml:space="preserve"> </w:t>
      </w:r>
      <w:r>
        <w:t xml:space="preserve">and HBCU Medical Schools who participate in one of a series of webinars </w:t>
      </w:r>
      <w:r w:rsidRPr="0025393F">
        <w:rPr>
          <w:bCs/>
        </w:rPr>
        <w:t>based on the Mind Your Risks public health campaign</w:t>
      </w:r>
      <w:r>
        <w:rPr>
          <w:bCs/>
        </w:rPr>
        <w:t>.</w:t>
      </w:r>
    </w:p>
    <w:p w:rsidR="0027636F" w:rsidP="0027636F" w:rsidRDefault="0027636F" w14:paraId="28370DC8" w14:textId="77777777"/>
    <w:p w:rsidR="0027636F" w:rsidP="0027636F" w:rsidRDefault="0027636F" w14:paraId="631869ED" w14:textId="77777777">
      <w:pPr>
        <w:rPr>
          <w:b/>
        </w:rPr>
      </w:pPr>
    </w:p>
    <w:p w:rsidRPr="00F06866" w:rsidR="0027636F" w:rsidP="0027636F" w:rsidRDefault="0027636F" w14:paraId="3AA492BF" w14:textId="77777777">
      <w:pPr>
        <w:rPr>
          <w:b/>
        </w:rPr>
      </w:pPr>
      <w:r>
        <w:rPr>
          <w:b/>
        </w:rPr>
        <w:t>TYPE OF COLLECTION:</w:t>
      </w:r>
      <w:r w:rsidRPr="00F06866">
        <w:t xml:space="preserve"> (Check one)</w:t>
      </w:r>
    </w:p>
    <w:p w:rsidRPr="00434E33" w:rsidR="0027636F" w:rsidP="0027636F" w:rsidRDefault="0027636F" w14:paraId="569E8792" w14:textId="77777777">
      <w:pPr>
        <w:pStyle w:val="BodyTextIndent"/>
        <w:tabs>
          <w:tab w:val="left" w:pos="360"/>
        </w:tabs>
        <w:ind w:left="0"/>
        <w:rPr>
          <w:bCs/>
          <w:sz w:val="16"/>
          <w:szCs w:val="16"/>
        </w:rPr>
      </w:pPr>
    </w:p>
    <w:p w:rsidRPr="00F06866" w:rsidR="0027636F" w:rsidP="0027636F" w:rsidRDefault="0027636F" w14:paraId="1AC3D23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Pr>
          <w:bCs/>
          <w:sz w:val="24"/>
        </w:rPr>
        <w:t xml:space="preserve">X </w:t>
      </w:r>
      <w:r w:rsidRPr="00F06866">
        <w:rPr>
          <w:bCs/>
          <w:sz w:val="24"/>
        </w:rPr>
        <w:t xml:space="preserve">] Customer Satisfaction Survey    </w:t>
      </w:r>
    </w:p>
    <w:p w:rsidR="0027636F" w:rsidP="0027636F" w:rsidRDefault="0027636F" w14:paraId="6565651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27636F" w:rsidP="0027636F" w:rsidRDefault="0027636F" w14:paraId="7DE3477D" w14:textId="77777777">
      <w:pPr>
        <w:pStyle w:val="BodyTextIndent"/>
        <w:tabs>
          <w:tab w:val="left" w:pos="360"/>
        </w:tabs>
        <w:ind w:left="0"/>
        <w:rPr>
          <w:bCs/>
          <w:sz w:val="24"/>
        </w:rPr>
      </w:pPr>
      <w:proofErr w:type="gramStart"/>
      <w:r>
        <w:rPr>
          <w:bCs/>
          <w:sz w:val="24"/>
        </w:rPr>
        <w:t>[ ]</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27636F" w:rsidP="0027636F" w:rsidRDefault="0027636F" w14:paraId="133A9274" w14:textId="77777777">
      <w:pPr>
        <w:pStyle w:val="Header"/>
        <w:tabs>
          <w:tab w:val="clear" w:pos="4320"/>
          <w:tab w:val="clear" w:pos="8640"/>
        </w:tabs>
      </w:pPr>
    </w:p>
    <w:p w:rsidR="0027636F" w:rsidP="0027636F" w:rsidRDefault="0027636F" w14:paraId="49113259" w14:textId="77777777">
      <w:pPr>
        <w:rPr>
          <w:b/>
        </w:rPr>
      </w:pPr>
      <w:r>
        <w:rPr>
          <w:b/>
        </w:rPr>
        <w:t>CERTIFICATION:</w:t>
      </w:r>
    </w:p>
    <w:p w:rsidR="0027636F" w:rsidP="0027636F" w:rsidRDefault="0027636F" w14:paraId="33C561BD" w14:textId="77777777">
      <w:pPr>
        <w:rPr>
          <w:sz w:val="16"/>
          <w:szCs w:val="16"/>
        </w:rPr>
      </w:pPr>
    </w:p>
    <w:p w:rsidRPr="009C13B9" w:rsidR="0027636F" w:rsidP="0027636F" w:rsidRDefault="0027636F" w14:paraId="36436E98" w14:textId="77777777">
      <w:r>
        <w:t xml:space="preserve">I certify the following to be true: </w:t>
      </w:r>
    </w:p>
    <w:p w:rsidR="0027636F" w:rsidP="0027636F" w:rsidRDefault="0027636F" w14:paraId="53F69C60" w14:textId="77777777">
      <w:pPr>
        <w:pStyle w:val="ListParagraph"/>
        <w:numPr>
          <w:ilvl w:val="0"/>
          <w:numId w:val="1"/>
        </w:numPr>
      </w:pPr>
      <w:r>
        <w:t>The collection is voluntary.</w:t>
      </w:r>
      <w:r w:rsidRPr="00C14CC4">
        <w:t xml:space="preserve"> </w:t>
      </w:r>
    </w:p>
    <w:p w:rsidR="0027636F" w:rsidP="0027636F" w:rsidRDefault="0027636F" w14:paraId="36DA02F1"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27636F" w:rsidP="0027636F" w:rsidRDefault="0027636F" w14:paraId="64AF98E3"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27636F" w:rsidP="0027636F" w:rsidRDefault="0027636F" w14:paraId="3F89254A"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27636F" w:rsidP="0027636F" w:rsidRDefault="0027636F" w14:paraId="0B686625"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27636F" w:rsidP="0027636F" w:rsidRDefault="0027636F" w14:paraId="3F236040"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27636F" w:rsidP="0027636F" w:rsidRDefault="0027636F" w14:paraId="4B3043AD" w14:textId="77777777"/>
    <w:p w:rsidR="0027636F" w:rsidP="0027636F" w:rsidRDefault="0027636F" w14:paraId="15A1282E" w14:textId="77777777">
      <w:r>
        <w:t>Name:</w:t>
      </w:r>
      <w:r w:rsidRPr="003A66B6">
        <w:rPr>
          <w:u w:val="single"/>
        </w:rPr>
        <w:t xml:space="preserve"> </w:t>
      </w:r>
      <w:r>
        <w:rPr>
          <w:u w:val="single"/>
        </w:rPr>
        <w:t xml:space="preserve">Barbara I. McMakin, Media Relations Branch Chief, NINDS Office of Neuroscience Communications and Engagement. </w:t>
      </w:r>
    </w:p>
    <w:p w:rsidR="0027636F" w:rsidP="0027636F" w:rsidRDefault="0027636F" w14:paraId="628F2880" w14:textId="77777777">
      <w:pPr>
        <w:pStyle w:val="ListParagraph"/>
        <w:ind w:left="360"/>
      </w:pPr>
    </w:p>
    <w:p w:rsidR="0027636F" w:rsidP="0027636F" w:rsidRDefault="0027636F" w14:paraId="2911B4C2" w14:textId="77777777">
      <w:r>
        <w:t>To assist review, please provide answers to the following question:</w:t>
      </w:r>
    </w:p>
    <w:p w:rsidR="0027636F" w:rsidP="0027636F" w:rsidRDefault="0027636F" w14:paraId="27502C6D" w14:textId="77777777">
      <w:pPr>
        <w:pStyle w:val="ListParagraph"/>
        <w:ind w:left="360"/>
      </w:pPr>
    </w:p>
    <w:p w:rsidRPr="00C86E91" w:rsidR="0027636F" w:rsidP="0027636F" w:rsidRDefault="0027636F" w14:paraId="49C5230B" w14:textId="77777777">
      <w:pPr>
        <w:rPr>
          <w:b/>
        </w:rPr>
      </w:pPr>
      <w:r w:rsidRPr="00C86E91">
        <w:rPr>
          <w:b/>
        </w:rPr>
        <w:t>Personally Identifiable Information:</w:t>
      </w:r>
    </w:p>
    <w:p w:rsidR="0027636F" w:rsidP="0027636F" w:rsidRDefault="0027636F" w14:paraId="2ADE47D8" w14:textId="77777777">
      <w:pPr>
        <w:pStyle w:val="ListParagraph"/>
        <w:numPr>
          <w:ilvl w:val="0"/>
          <w:numId w:val="4"/>
        </w:numPr>
      </w:pPr>
      <w:r>
        <w:t xml:space="preserve">Is personally identifiable information (PII) collected?  </w:t>
      </w:r>
      <w:proofErr w:type="gramStart"/>
      <w:r>
        <w:t>[  ]</w:t>
      </w:r>
      <w:proofErr w:type="gramEnd"/>
      <w:r>
        <w:t xml:space="preserve"> Yes  [X  ]  No </w:t>
      </w:r>
    </w:p>
    <w:p w:rsidR="0027636F" w:rsidP="0027636F" w:rsidRDefault="0027636F" w14:paraId="2C77040F" w14:textId="77777777">
      <w:pPr>
        <w:pStyle w:val="ListParagraph"/>
        <w:numPr>
          <w:ilvl w:val="0"/>
          <w:numId w:val="4"/>
        </w:numPr>
      </w:pPr>
      <w:r>
        <w:lastRenderedPageBreak/>
        <w:t xml:space="preserve">If Yes, is the information that will be collected included in records that are subject to the Privacy Act of 1974?   </w:t>
      </w:r>
      <w:proofErr w:type="gramStart"/>
      <w:r>
        <w:t>[  ]</w:t>
      </w:r>
      <w:proofErr w:type="gramEnd"/>
      <w:r>
        <w:t xml:space="preserve"> Yes [  ] No   </w:t>
      </w:r>
    </w:p>
    <w:p w:rsidR="0027636F" w:rsidP="0027636F" w:rsidRDefault="0027636F" w14:paraId="6CE37E13" w14:textId="77777777">
      <w:pPr>
        <w:pStyle w:val="ListParagraph"/>
        <w:numPr>
          <w:ilvl w:val="0"/>
          <w:numId w:val="4"/>
        </w:numPr>
      </w:pPr>
      <w:r>
        <w:t xml:space="preserve">If Applicable, has a System or Records Notice been published?  </w:t>
      </w:r>
      <w:proofErr w:type="gramStart"/>
      <w:r>
        <w:t>[  ]</w:t>
      </w:r>
      <w:proofErr w:type="gramEnd"/>
      <w:r>
        <w:t xml:space="preserve"> Yes  [  ] No</w:t>
      </w:r>
    </w:p>
    <w:p w:rsidR="0027636F" w:rsidP="0027636F" w:rsidRDefault="0027636F" w14:paraId="6E689BCE" w14:textId="77777777">
      <w:pPr>
        <w:pStyle w:val="ListParagraph"/>
        <w:ind w:left="360"/>
      </w:pPr>
    </w:p>
    <w:p w:rsidRPr="00C86E91" w:rsidR="0027636F" w:rsidP="0027636F" w:rsidRDefault="0027636F" w14:paraId="3E2E263F" w14:textId="77777777">
      <w:pPr>
        <w:pStyle w:val="ListParagraph"/>
        <w:ind w:left="0"/>
        <w:rPr>
          <w:b/>
        </w:rPr>
      </w:pPr>
      <w:r>
        <w:rPr>
          <w:b/>
        </w:rPr>
        <w:t>Gifts or Payments:</w:t>
      </w:r>
    </w:p>
    <w:p w:rsidR="0027636F" w:rsidP="0027636F" w:rsidRDefault="0027636F" w14:paraId="0B7E14D5" w14:textId="77777777">
      <w:r>
        <w:t xml:space="preserve">Is an incentive (e.g., money or reimbursement of expenses, token of appreciation) provided to participants?  </w:t>
      </w:r>
      <w:proofErr w:type="gramStart"/>
      <w:r>
        <w:t>[  ]</w:t>
      </w:r>
      <w:proofErr w:type="gramEnd"/>
      <w:r>
        <w:t xml:space="preserve"> Yes [X] No  </w:t>
      </w:r>
    </w:p>
    <w:p w:rsidR="0027636F" w:rsidP="0027636F" w:rsidRDefault="0027636F" w14:paraId="7EF1EFF7" w14:textId="77777777">
      <w:pPr>
        <w:rPr>
          <w:b/>
        </w:rPr>
      </w:pPr>
    </w:p>
    <w:p w:rsidR="0027636F" w:rsidP="0027636F" w:rsidRDefault="0027636F" w14:paraId="228FC69A" w14:textId="77777777">
      <w:pPr>
        <w:rPr>
          <w:b/>
        </w:rPr>
      </w:pPr>
    </w:p>
    <w:p w:rsidRPr="00BC676D" w:rsidR="0027636F" w:rsidP="0027636F" w:rsidRDefault="0027636F" w14:paraId="00C2BCC5" w14:textId="77777777">
      <w:pPr>
        <w:rPr>
          <w:b/>
          <w:i/>
        </w:rPr>
      </w:pPr>
      <w:r>
        <w:rPr>
          <w:b/>
        </w:rPr>
        <w:t xml:space="preserve">ESTIMATED BURDEN </w:t>
      </w:r>
      <w:r w:rsidRPr="00BC676D">
        <w:rPr>
          <w:b/>
        </w:rPr>
        <w:t>HOURS and COSTS</w:t>
      </w:r>
    </w:p>
    <w:p w:rsidRPr="006832D9" w:rsidR="0027636F" w:rsidP="0027636F" w:rsidRDefault="0027636F" w14:paraId="49D0753B" w14:textId="77777777">
      <w:pPr>
        <w:keepNext/>
        <w:keepLines/>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1710"/>
        <w:gridCol w:w="1260"/>
        <w:gridCol w:w="1890"/>
      </w:tblGrid>
      <w:tr w:rsidR="0027636F" w:rsidTr="000F1C52" w14:paraId="48DBA40B" w14:textId="77777777">
        <w:trPr>
          <w:trHeight w:val="274"/>
        </w:trPr>
        <w:tc>
          <w:tcPr>
            <w:tcW w:w="2790" w:type="dxa"/>
          </w:tcPr>
          <w:p w:rsidRPr="002D26E2" w:rsidR="0027636F" w:rsidP="000F1C52" w:rsidRDefault="0027636F" w14:paraId="5D2E43F5" w14:textId="77777777">
            <w:pPr>
              <w:rPr>
                <w:b/>
              </w:rPr>
            </w:pPr>
            <w:r w:rsidRPr="002D26E2">
              <w:rPr>
                <w:b/>
              </w:rPr>
              <w:t xml:space="preserve">Category of Respondent </w:t>
            </w:r>
          </w:p>
        </w:tc>
        <w:tc>
          <w:tcPr>
            <w:tcW w:w="1530" w:type="dxa"/>
          </w:tcPr>
          <w:p w:rsidRPr="002D26E2" w:rsidR="0027636F" w:rsidP="000F1C52" w:rsidRDefault="0027636F" w14:paraId="52F1E60B" w14:textId="77777777">
            <w:pPr>
              <w:rPr>
                <w:b/>
              </w:rPr>
            </w:pPr>
            <w:r w:rsidRPr="002D26E2">
              <w:rPr>
                <w:b/>
              </w:rPr>
              <w:t>No. of Respondents</w:t>
            </w:r>
          </w:p>
        </w:tc>
        <w:tc>
          <w:tcPr>
            <w:tcW w:w="1710" w:type="dxa"/>
          </w:tcPr>
          <w:p w:rsidRPr="002D26E2" w:rsidR="0027636F" w:rsidP="000F1C52" w:rsidRDefault="0027636F" w14:paraId="25131E3F" w14:textId="77777777">
            <w:pPr>
              <w:rPr>
                <w:b/>
              </w:rPr>
            </w:pPr>
            <w:r>
              <w:rPr>
                <w:b/>
              </w:rPr>
              <w:t xml:space="preserve">No. of Responses per Respondent </w:t>
            </w:r>
          </w:p>
        </w:tc>
        <w:tc>
          <w:tcPr>
            <w:tcW w:w="1260" w:type="dxa"/>
          </w:tcPr>
          <w:p w:rsidR="0027636F" w:rsidP="000F1C52" w:rsidRDefault="0027636F" w14:paraId="697C2017" w14:textId="77777777">
            <w:pPr>
              <w:rPr>
                <w:b/>
              </w:rPr>
            </w:pPr>
            <w:r>
              <w:rPr>
                <w:b/>
              </w:rPr>
              <w:t xml:space="preserve">Time per </w:t>
            </w:r>
          </w:p>
          <w:p w:rsidR="0027636F" w:rsidP="000F1C52" w:rsidRDefault="0027636F" w14:paraId="59E7FDF4" w14:textId="77777777">
            <w:pPr>
              <w:rPr>
                <w:b/>
              </w:rPr>
            </w:pPr>
            <w:r>
              <w:rPr>
                <w:b/>
              </w:rPr>
              <w:t xml:space="preserve">Response </w:t>
            </w:r>
          </w:p>
          <w:p w:rsidRPr="002D26E2" w:rsidR="0027636F" w:rsidP="000F1C52" w:rsidRDefault="0027636F" w14:paraId="34064D30" w14:textId="77777777">
            <w:pPr>
              <w:rPr>
                <w:b/>
              </w:rPr>
            </w:pPr>
            <w:r>
              <w:rPr>
                <w:b/>
              </w:rPr>
              <w:t xml:space="preserve">(in hours) </w:t>
            </w:r>
          </w:p>
        </w:tc>
        <w:tc>
          <w:tcPr>
            <w:tcW w:w="1890" w:type="dxa"/>
          </w:tcPr>
          <w:p w:rsidR="0027636F" w:rsidP="000F1C52" w:rsidRDefault="0027636F" w14:paraId="70CBF237" w14:textId="77777777">
            <w:pPr>
              <w:rPr>
                <w:b/>
              </w:rPr>
            </w:pPr>
            <w:r>
              <w:rPr>
                <w:b/>
              </w:rPr>
              <w:t xml:space="preserve">Total </w:t>
            </w:r>
            <w:r w:rsidRPr="002D26E2">
              <w:rPr>
                <w:b/>
              </w:rPr>
              <w:t>Burden</w:t>
            </w:r>
          </w:p>
          <w:p w:rsidRPr="002D26E2" w:rsidR="0027636F" w:rsidP="000F1C52" w:rsidRDefault="0027636F" w14:paraId="5B1828A2" w14:textId="77777777">
            <w:pPr>
              <w:rPr>
                <w:b/>
              </w:rPr>
            </w:pPr>
            <w:r>
              <w:rPr>
                <w:b/>
              </w:rPr>
              <w:t xml:space="preserve">Hours </w:t>
            </w:r>
          </w:p>
        </w:tc>
      </w:tr>
      <w:tr w:rsidR="0027636F" w:rsidTr="000F1C52" w14:paraId="2344C7F5" w14:textId="77777777">
        <w:trPr>
          <w:trHeight w:val="260"/>
        </w:trPr>
        <w:tc>
          <w:tcPr>
            <w:tcW w:w="2790" w:type="dxa"/>
          </w:tcPr>
          <w:p w:rsidR="0027636F" w:rsidDel="005B58D7" w:rsidP="000F1C52" w:rsidRDefault="0027636F" w14:paraId="2D3127FE" w14:textId="77777777">
            <w:r>
              <w:t>Individual</w:t>
            </w:r>
          </w:p>
        </w:tc>
        <w:tc>
          <w:tcPr>
            <w:tcW w:w="1530" w:type="dxa"/>
          </w:tcPr>
          <w:p w:rsidR="0027636F" w:rsidP="000F1C52" w:rsidRDefault="0027636F" w14:paraId="51D807A0" w14:textId="77777777">
            <w:r>
              <w:t>400</w:t>
            </w:r>
          </w:p>
        </w:tc>
        <w:tc>
          <w:tcPr>
            <w:tcW w:w="1710" w:type="dxa"/>
          </w:tcPr>
          <w:p w:rsidR="0027636F" w:rsidP="000F1C52" w:rsidRDefault="0027636F" w14:paraId="67A9627C" w14:textId="77777777">
            <w:r>
              <w:t>1</w:t>
            </w:r>
          </w:p>
        </w:tc>
        <w:tc>
          <w:tcPr>
            <w:tcW w:w="1260" w:type="dxa"/>
          </w:tcPr>
          <w:p w:rsidR="0027636F" w:rsidP="000F1C52" w:rsidRDefault="001F4358" w14:paraId="68341552" w14:textId="617772D7">
            <w:r>
              <w:t>10/60</w:t>
            </w:r>
          </w:p>
        </w:tc>
        <w:tc>
          <w:tcPr>
            <w:tcW w:w="1890" w:type="dxa"/>
          </w:tcPr>
          <w:p w:rsidR="0027636F" w:rsidP="000F1C52" w:rsidRDefault="001F4358" w14:paraId="3122E8AB" w14:textId="3E7D9AF7">
            <w:r>
              <w:t>67</w:t>
            </w:r>
          </w:p>
        </w:tc>
      </w:tr>
      <w:tr w:rsidR="0027636F" w:rsidTr="000F1C52" w14:paraId="3E6BE5C7" w14:textId="77777777">
        <w:trPr>
          <w:trHeight w:val="260"/>
        </w:trPr>
        <w:tc>
          <w:tcPr>
            <w:tcW w:w="2790" w:type="dxa"/>
          </w:tcPr>
          <w:p w:rsidR="0027636F" w:rsidP="000F1C52" w:rsidRDefault="0027636F" w14:paraId="20B7C1B2" w14:textId="77777777"/>
        </w:tc>
        <w:tc>
          <w:tcPr>
            <w:tcW w:w="1530" w:type="dxa"/>
          </w:tcPr>
          <w:p w:rsidR="0027636F" w:rsidP="000F1C52" w:rsidRDefault="0027636F" w14:paraId="448E8C46" w14:textId="77777777"/>
        </w:tc>
        <w:tc>
          <w:tcPr>
            <w:tcW w:w="1710" w:type="dxa"/>
          </w:tcPr>
          <w:p w:rsidR="0027636F" w:rsidP="000F1C52" w:rsidRDefault="0027636F" w14:paraId="2BA845A1" w14:textId="77777777"/>
        </w:tc>
        <w:tc>
          <w:tcPr>
            <w:tcW w:w="1260" w:type="dxa"/>
          </w:tcPr>
          <w:p w:rsidR="0027636F" w:rsidP="000F1C52" w:rsidRDefault="0027636F" w14:paraId="7183F00D" w14:textId="77777777"/>
        </w:tc>
        <w:tc>
          <w:tcPr>
            <w:tcW w:w="1890" w:type="dxa"/>
          </w:tcPr>
          <w:p w:rsidR="0027636F" w:rsidP="000F1C52" w:rsidRDefault="0027636F" w14:paraId="6D9D1642" w14:textId="77777777"/>
        </w:tc>
      </w:tr>
      <w:tr w:rsidR="0027636F" w:rsidTr="000F1C52" w14:paraId="7251C921" w14:textId="77777777">
        <w:trPr>
          <w:trHeight w:val="332"/>
        </w:trPr>
        <w:tc>
          <w:tcPr>
            <w:tcW w:w="2790" w:type="dxa"/>
          </w:tcPr>
          <w:p w:rsidR="0027636F" w:rsidP="000F1C52" w:rsidRDefault="0027636F" w14:paraId="4C5ACA40" w14:textId="77777777"/>
        </w:tc>
        <w:tc>
          <w:tcPr>
            <w:tcW w:w="1530" w:type="dxa"/>
          </w:tcPr>
          <w:p w:rsidR="0027636F" w:rsidP="000F1C52" w:rsidRDefault="0027636F" w14:paraId="520DD39D" w14:textId="77777777"/>
        </w:tc>
        <w:tc>
          <w:tcPr>
            <w:tcW w:w="1710" w:type="dxa"/>
          </w:tcPr>
          <w:p w:rsidR="0027636F" w:rsidP="000F1C52" w:rsidRDefault="0027636F" w14:paraId="777C0A1E" w14:textId="77777777"/>
        </w:tc>
        <w:tc>
          <w:tcPr>
            <w:tcW w:w="1260" w:type="dxa"/>
          </w:tcPr>
          <w:p w:rsidR="0027636F" w:rsidP="000F1C52" w:rsidRDefault="0027636F" w14:paraId="6C9D2A2A" w14:textId="77777777"/>
        </w:tc>
        <w:tc>
          <w:tcPr>
            <w:tcW w:w="1890" w:type="dxa"/>
          </w:tcPr>
          <w:p w:rsidR="0027636F" w:rsidP="000F1C52" w:rsidRDefault="0027636F" w14:paraId="64678478" w14:textId="77777777"/>
        </w:tc>
      </w:tr>
      <w:tr w:rsidR="0027636F" w:rsidTr="000F1C52" w14:paraId="05139236" w14:textId="77777777">
        <w:trPr>
          <w:trHeight w:val="289"/>
        </w:trPr>
        <w:tc>
          <w:tcPr>
            <w:tcW w:w="2790" w:type="dxa"/>
          </w:tcPr>
          <w:p w:rsidRPr="002D26E2" w:rsidR="0027636F" w:rsidP="000F1C52" w:rsidRDefault="0027636F" w14:paraId="469DF983" w14:textId="77777777">
            <w:pPr>
              <w:rPr>
                <w:b/>
              </w:rPr>
            </w:pPr>
            <w:r w:rsidRPr="002D26E2">
              <w:rPr>
                <w:b/>
              </w:rPr>
              <w:t>Totals</w:t>
            </w:r>
          </w:p>
        </w:tc>
        <w:tc>
          <w:tcPr>
            <w:tcW w:w="1530" w:type="dxa"/>
          </w:tcPr>
          <w:p w:rsidRPr="002D26E2" w:rsidR="0027636F" w:rsidP="000F1C52" w:rsidRDefault="0027636F" w14:paraId="357A009D" w14:textId="377C4A64">
            <w:pPr>
              <w:rPr>
                <w:b/>
              </w:rPr>
            </w:pPr>
          </w:p>
        </w:tc>
        <w:tc>
          <w:tcPr>
            <w:tcW w:w="1710" w:type="dxa"/>
          </w:tcPr>
          <w:p w:rsidR="0027636F" w:rsidP="000F1C52" w:rsidRDefault="00967F9E" w14:paraId="247661B3" w14:textId="363EA549">
            <w:r>
              <w:t>400</w:t>
            </w:r>
          </w:p>
        </w:tc>
        <w:tc>
          <w:tcPr>
            <w:tcW w:w="1260" w:type="dxa"/>
          </w:tcPr>
          <w:p w:rsidR="0027636F" w:rsidP="000F1C52" w:rsidRDefault="0027636F" w14:paraId="6C8EE19F" w14:textId="244111D5"/>
        </w:tc>
        <w:tc>
          <w:tcPr>
            <w:tcW w:w="1890" w:type="dxa"/>
          </w:tcPr>
          <w:p w:rsidRPr="002D26E2" w:rsidR="0027636F" w:rsidP="000F1C52" w:rsidRDefault="001F4358" w14:paraId="4072898C" w14:textId="1449C69F">
            <w:pPr>
              <w:rPr>
                <w:b/>
              </w:rPr>
            </w:pPr>
            <w:r>
              <w:rPr>
                <w:b/>
              </w:rPr>
              <w:t>67</w:t>
            </w:r>
          </w:p>
        </w:tc>
      </w:tr>
    </w:tbl>
    <w:p w:rsidR="0027636F" w:rsidP="0027636F" w:rsidRDefault="0027636F" w14:paraId="5ADCC6A1" w14:textId="77777777"/>
    <w:p w:rsidRPr="009A036B" w:rsidR="0027636F" w:rsidP="0027636F" w:rsidRDefault="0027636F" w14:paraId="62BD0459"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27636F" w:rsidTr="000F1C52" w14:paraId="0607D50A" w14:textId="77777777">
        <w:trPr>
          <w:trHeight w:val="274"/>
        </w:trPr>
        <w:tc>
          <w:tcPr>
            <w:tcW w:w="2790" w:type="dxa"/>
          </w:tcPr>
          <w:p w:rsidRPr="009A036B" w:rsidR="0027636F" w:rsidP="000F1C52" w:rsidRDefault="0027636F" w14:paraId="085CBFD3" w14:textId="77777777">
            <w:pPr>
              <w:rPr>
                <w:b/>
              </w:rPr>
            </w:pPr>
            <w:r w:rsidRPr="009A036B">
              <w:rPr>
                <w:b/>
              </w:rPr>
              <w:t xml:space="preserve"> </w:t>
            </w:r>
            <w:r w:rsidRPr="00CA2010">
              <w:rPr>
                <w:b/>
              </w:rPr>
              <w:t>Category of Respondent</w:t>
            </w:r>
          </w:p>
          <w:p w:rsidRPr="009A036B" w:rsidR="0027636F" w:rsidP="000F1C52" w:rsidRDefault="0027636F" w14:paraId="6937ADEF" w14:textId="77777777">
            <w:pPr>
              <w:rPr>
                <w:b/>
              </w:rPr>
            </w:pPr>
          </w:p>
        </w:tc>
        <w:tc>
          <w:tcPr>
            <w:tcW w:w="2250" w:type="dxa"/>
          </w:tcPr>
          <w:p w:rsidRPr="00CA2010" w:rsidR="0027636F" w:rsidP="000F1C52" w:rsidRDefault="0027636F" w14:paraId="18189114" w14:textId="77777777">
            <w:pPr>
              <w:rPr>
                <w:b/>
              </w:rPr>
            </w:pPr>
            <w:r w:rsidRPr="00CA2010">
              <w:rPr>
                <w:b/>
              </w:rPr>
              <w:t>Total Burden</w:t>
            </w:r>
          </w:p>
          <w:p w:rsidRPr="009A036B" w:rsidR="0027636F" w:rsidP="000F1C52" w:rsidRDefault="0027636F" w14:paraId="01826B49" w14:textId="77777777">
            <w:pPr>
              <w:rPr>
                <w:b/>
              </w:rPr>
            </w:pPr>
            <w:r w:rsidRPr="00CA2010">
              <w:rPr>
                <w:b/>
              </w:rPr>
              <w:t>Hours</w:t>
            </w:r>
          </w:p>
        </w:tc>
        <w:tc>
          <w:tcPr>
            <w:tcW w:w="2520" w:type="dxa"/>
          </w:tcPr>
          <w:p w:rsidRPr="009A036B" w:rsidR="0027636F" w:rsidP="000F1C52" w:rsidRDefault="00967F9E" w14:paraId="035A79C8" w14:textId="4BC4C4EF">
            <w:pPr>
              <w:rPr>
                <w:b/>
              </w:rPr>
            </w:pPr>
            <w:r>
              <w:rPr>
                <w:b/>
              </w:rPr>
              <w:t xml:space="preserve">Hourly </w:t>
            </w:r>
            <w:r w:rsidR="0027636F">
              <w:rPr>
                <w:b/>
              </w:rPr>
              <w:t>Wage Rate*</w:t>
            </w:r>
          </w:p>
        </w:tc>
        <w:tc>
          <w:tcPr>
            <w:tcW w:w="1620" w:type="dxa"/>
          </w:tcPr>
          <w:p w:rsidRPr="009A036B" w:rsidR="0027636F" w:rsidP="000F1C52" w:rsidRDefault="0027636F" w14:paraId="40FEB238" w14:textId="77777777">
            <w:pPr>
              <w:rPr>
                <w:b/>
              </w:rPr>
            </w:pPr>
            <w:r>
              <w:rPr>
                <w:b/>
              </w:rPr>
              <w:t>Total Burden Cost</w:t>
            </w:r>
            <w:r w:rsidRPr="009A036B">
              <w:rPr>
                <w:b/>
              </w:rPr>
              <w:t xml:space="preserve"> </w:t>
            </w:r>
          </w:p>
        </w:tc>
      </w:tr>
      <w:tr w:rsidRPr="009A036B" w:rsidR="0027636F" w:rsidTr="000F1C52" w14:paraId="382E38B2" w14:textId="77777777">
        <w:trPr>
          <w:trHeight w:val="260"/>
        </w:trPr>
        <w:tc>
          <w:tcPr>
            <w:tcW w:w="2790" w:type="dxa"/>
          </w:tcPr>
          <w:p w:rsidRPr="009A036B" w:rsidR="0027636F" w:rsidP="000F1C52" w:rsidRDefault="0027636F" w14:paraId="758487D1" w14:textId="77777777">
            <w:r>
              <w:t>General Occupation</w:t>
            </w:r>
          </w:p>
        </w:tc>
        <w:tc>
          <w:tcPr>
            <w:tcW w:w="2250" w:type="dxa"/>
          </w:tcPr>
          <w:p w:rsidRPr="009A036B" w:rsidR="0027636F" w:rsidP="000F1C52" w:rsidRDefault="001F4358" w14:paraId="785B5D0D" w14:textId="294EB264">
            <w:r>
              <w:t>67</w:t>
            </w:r>
          </w:p>
        </w:tc>
        <w:tc>
          <w:tcPr>
            <w:tcW w:w="2520" w:type="dxa"/>
          </w:tcPr>
          <w:p w:rsidRPr="009A036B" w:rsidR="0027636F" w:rsidP="000F1C52" w:rsidRDefault="0027636F" w14:paraId="640DACF0" w14:textId="56B934A5">
            <w:r>
              <w:t>$22.00</w:t>
            </w:r>
          </w:p>
        </w:tc>
        <w:tc>
          <w:tcPr>
            <w:tcW w:w="1620" w:type="dxa"/>
          </w:tcPr>
          <w:p w:rsidRPr="009A036B" w:rsidR="0027636F" w:rsidP="000F1C52" w:rsidRDefault="001F4358" w14:paraId="7BB05EB5" w14:textId="4B1E79F3">
            <w:r>
              <w:t>$1,474</w:t>
            </w:r>
          </w:p>
        </w:tc>
      </w:tr>
      <w:tr w:rsidRPr="009A036B" w:rsidR="0027636F" w:rsidTr="000F1C52" w14:paraId="1BA6111F" w14:textId="77777777">
        <w:trPr>
          <w:trHeight w:val="289"/>
        </w:trPr>
        <w:tc>
          <w:tcPr>
            <w:tcW w:w="2790" w:type="dxa"/>
          </w:tcPr>
          <w:p w:rsidRPr="009A036B" w:rsidR="0027636F" w:rsidP="000F1C52" w:rsidRDefault="0027636F" w14:paraId="6041D0B7" w14:textId="77777777">
            <w:pPr>
              <w:rPr>
                <w:b/>
              </w:rPr>
            </w:pPr>
            <w:r w:rsidRPr="009A036B">
              <w:rPr>
                <w:b/>
              </w:rPr>
              <w:t>Totals</w:t>
            </w:r>
          </w:p>
        </w:tc>
        <w:tc>
          <w:tcPr>
            <w:tcW w:w="2250" w:type="dxa"/>
          </w:tcPr>
          <w:p w:rsidRPr="009A036B" w:rsidR="0027636F" w:rsidP="000F1C52" w:rsidRDefault="0027636F" w14:paraId="57F0E454" w14:textId="77777777">
            <w:pPr>
              <w:rPr>
                <w:b/>
              </w:rPr>
            </w:pPr>
          </w:p>
        </w:tc>
        <w:tc>
          <w:tcPr>
            <w:tcW w:w="2520" w:type="dxa"/>
          </w:tcPr>
          <w:p w:rsidRPr="009A036B" w:rsidR="0027636F" w:rsidP="000F1C52" w:rsidRDefault="0027636F" w14:paraId="4F746147" w14:textId="77777777"/>
        </w:tc>
        <w:tc>
          <w:tcPr>
            <w:tcW w:w="1620" w:type="dxa"/>
          </w:tcPr>
          <w:p w:rsidRPr="009A036B" w:rsidR="0027636F" w:rsidP="000F1C52" w:rsidRDefault="0027636F" w14:paraId="3EC4B6D0" w14:textId="77777777"/>
        </w:tc>
      </w:tr>
    </w:tbl>
    <w:p w:rsidR="0027636F" w:rsidP="0027636F" w:rsidRDefault="0027636F" w14:paraId="4CEB97A5" w14:textId="77777777">
      <w:r w:rsidRPr="004C0A1F">
        <w:t xml:space="preserve">*Hourly wage rates for </w:t>
      </w:r>
      <w:r>
        <w:t xml:space="preserve">00-0000 All Occupations is $22.00 </w:t>
      </w:r>
      <w:r w:rsidRPr="004C0A1F">
        <w:t xml:space="preserve">(based on </w:t>
      </w:r>
      <w:r w:rsidRPr="00280BDE">
        <w:t>https://www.bls.gov/oes/current/oes_nat.htm</w:t>
      </w:r>
      <w:r w:rsidRPr="004C0A1F">
        <w:t xml:space="preserve">).   </w:t>
      </w:r>
    </w:p>
    <w:p w:rsidR="0027636F" w:rsidP="0027636F" w:rsidRDefault="0027636F" w14:paraId="0525766D" w14:textId="77777777"/>
    <w:p w:rsidR="0027636F" w:rsidP="0027636F" w:rsidRDefault="0027636F" w14:paraId="093CF324" w14:textId="77777777"/>
    <w:p w:rsidR="0027636F" w:rsidP="0027636F" w:rsidRDefault="0027636F" w14:paraId="024860C2" w14:textId="3A766F09">
      <w:r>
        <w:rPr>
          <w:b/>
        </w:rPr>
        <w:t xml:space="preserve">FEDERAL COST:  </w:t>
      </w:r>
      <w:r>
        <w:t>The estimated annual cost to the Federal government is $</w:t>
      </w:r>
      <w:r w:rsidRPr="004518CC">
        <w:rPr>
          <w:u w:val="single"/>
        </w:rPr>
        <w:t>__</w:t>
      </w:r>
      <w:r w:rsidRPr="00E873CE" w:rsidR="00E873CE">
        <w:rPr>
          <w:u w:val="single"/>
        </w:rPr>
        <w:t>$2793.15</w:t>
      </w:r>
      <w:r w:rsidRPr="004518CC">
        <w:rPr>
          <w:u w:val="single"/>
        </w:rPr>
        <w:t>__</w:t>
      </w:r>
      <w:r>
        <w:t>.</w:t>
      </w:r>
    </w:p>
    <w:p w:rsidRPr="009A036B" w:rsidR="0027636F" w:rsidP="0027636F" w:rsidRDefault="0027636F" w14:paraId="2DB49A31"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29"/>
        <w:gridCol w:w="1296"/>
        <w:gridCol w:w="1363"/>
        <w:gridCol w:w="1354"/>
        <w:gridCol w:w="1347"/>
      </w:tblGrid>
      <w:tr w:rsidRPr="009A036B" w:rsidR="0027636F" w:rsidTr="000F1C52" w14:paraId="7F6A8408" w14:textId="77777777">
        <w:trPr>
          <w:trHeight w:val="493"/>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27636F" w:rsidP="000F1C52" w:rsidRDefault="0027636F" w14:paraId="048C079F"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27636F" w:rsidP="000F1C52" w:rsidRDefault="0027636F" w14:paraId="0B0D23A0" w14:textId="77777777">
            <w:pPr>
              <w:rPr>
                <w:b/>
                <w:bCs/>
              </w:rPr>
            </w:pPr>
          </w:p>
          <w:p w:rsidRPr="009A036B" w:rsidR="0027636F" w:rsidP="000F1C52" w:rsidRDefault="0027636F" w14:paraId="121C61D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27636F" w:rsidP="000F1C52" w:rsidRDefault="0027636F" w14:paraId="65E1DE66"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27636F" w:rsidP="000F1C52" w:rsidRDefault="0027636F" w14:paraId="251DEDD6"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27636F" w:rsidP="000F1C52" w:rsidRDefault="0027636F" w14:paraId="0839EB1C"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27636F" w:rsidP="000F1C52" w:rsidRDefault="0027636F" w14:paraId="30FD45C6" w14:textId="77777777">
            <w:pPr>
              <w:rPr>
                <w:b/>
                <w:bCs/>
              </w:rPr>
            </w:pPr>
            <w:r w:rsidRPr="009A036B">
              <w:rPr>
                <w:b/>
                <w:bCs/>
              </w:rPr>
              <w:t>Total Cost to Gov’t</w:t>
            </w:r>
          </w:p>
        </w:tc>
      </w:tr>
      <w:tr w:rsidRPr="009A036B" w:rsidR="0027636F" w:rsidTr="000F1C52" w14:paraId="546677C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27636F" w:rsidP="000F1C52" w:rsidRDefault="0027636F" w14:paraId="34583592" w14:textId="77777777">
            <w:r w:rsidRPr="009A036B">
              <w:rPr>
                <w:b/>
              </w:rPr>
              <w:t>Federal Oversight</w:t>
            </w:r>
            <w:r>
              <w:t xml:space="preserve">: </w:t>
            </w:r>
          </w:p>
        </w:tc>
        <w:tc>
          <w:tcPr>
            <w:tcW w:w="1440" w:type="dxa"/>
            <w:tcBorders>
              <w:top w:val="nil"/>
              <w:left w:val="nil"/>
              <w:bottom w:val="single" w:color="auto" w:sz="8" w:space="0"/>
              <w:right w:val="single" w:color="auto" w:sz="8" w:space="0"/>
            </w:tcBorders>
          </w:tcPr>
          <w:p w:rsidRPr="00292530" w:rsidR="0027636F" w:rsidP="000F1C52" w:rsidRDefault="0027636F" w14:paraId="370BF5E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27636F" w:rsidP="000F1C52" w:rsidRDefault="0027636F" w14:paraId="60E4C2C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27636F" w:rsidP="000F1C52" w:rsidRDefault="0027636F" w14:paraId="43105648" w14:textId="77777777"/>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64CADEC5" w14:textId="77777777">
            <w:pPr>
              <w:rPr>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55D12ADE" w14:textId="77777777"/>
        </w:tc>
      </w:tr>
      <w:tr w:rsidRPr="009A036B" w:rsidR="0027636F" w:rsidTr="000F1C52" w14:paraId="51A7BDB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27636F" w:rsidP="000F1C52" w:rsidRDefault="0027636F" w14:paraId="7A0E64DC" w14:textId="77777777"/>
        </w:tc>
        <w:tc>
          <w:tcPr>
            <w:tcW w:w="1440" w:type="dxa"/>
            <w:tcBorders>
              <w:top w:val="nil"/>
              <w:left w:val="nil"/>
              <w:bottom w:val="single" w:color="auto" w:sz="8" w:space="0"/>
              <w:right w:val="single" w:color="auto" w:sz="8" w:space="0"/>
            </w:tcBorders>
            <w:shd w:val="clear" w:color="auto" w:fill="FFFFFF"/>
          </w:tcPr>
          <w:p w:rsidRPr="00292530" w:rsidR="0027636F" w:rsidP="000F1C52" w:rsidRDefault="0027636F" w14:paraId="15403C04"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5C4B351A"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4C410381" w14:textId="77777777"/>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75305CA1" w14:textId="77777777">
            <w:pPr>
              <w:rPr>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5B5E747D" w14:textId="77777777">
            <w:pPr>
              <w:jc w:val="right"/>
            </w:pPr>
          </w:p>
        </w:tc>
      </w:tr>
      <w:tr w:rsidRPr="009A036B" w:rsidR="0027636F" w:rsidTr="000F1C52" w14:paraId="34D010E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0E62" w:rsidR="0027636F" w:rsidP="000F1C52" w:rsidRDefault="008453A8" w14:paraId="2B27162A" w14:textId="77E7E333">
            <w:r>
              <w:t>Public Health Analyst</w:t>
            </w:r>
          </w:p>
        </w:tc>
        <w:tc>
          <w:tcPr>
            <w:tcW w:w="1440" w:type="dxa"/>
            <w:tcBorders>
              <w:top w:val="nil"/>
              <w:left w:val="nil"/>
              <w:bottom w:val="single" w:color="auto" w:sz="8" w:space="0"/>
              <w:right w:val="single" w:color="auto" w:sz="8" w:space="0"/>
            </w:tcBorders>
            <w:shd w:val="clear" w:color="auto" w:fill="FFFFFF"/>
          </w:tcPr>
          <w:p w:rsidRPr="00292530" w:rsidR="0027636F" w:rsidP="000F1C52" w:rsidRDefault="0027636F" w14:paraId="158A1191" w14:textId="77777777">
            <w:r>
              <w:t>GS-13/2</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6CD0A604" w14:textId="77777777">
            <w:r>
              <w:t>110,384</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1B7DC617" w14:textId="77777777">
            <w:r>
              <w:t>.4%</w:t>
            </w:r>
          </w:p>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432523B7" w14:textId="77777777">
            <w:pPr>
              <w:rPr>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02D808A3" w14:textId="77777777">
            <w:pPr>
              <w:jc w:val="right"/>
            </w:pPr>
            <w:r>
              <w:t>$441.54</w:t>
            </w:r>
          </w:p>
        </w:tc>
      </w:tr>
      <w:tr w:rsidRPr="009A036B" w:rsidR="0027636F" w:rsidTr="000F1C52" w14:paraId="268E0CE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7636F" w:rsidP="000F1C52" w:rsidRDefault="00EB018B" w14:paraId="2D2671C0" w14:textId="1F329188">
            <w:r>
              <w:t>Supervisory Technical Writer-Editor</w:t>
            </w:r>
          </w:p>
        </w:tc>
        <w:tc>
          <w:tcPr>
            <w:tcW w:w="1440" w:type="dxa"/>
            <w:tcBorders>
              <w:top w:val="nil"/>
              <w:left w:val="nil"/>
              <w:bottom w:val="single" w:color="auto" w:sz="8" w:space="0"/>
              <w:right w:val="single" w:color="auto" w:sz="8" w:space="0"/>
            </w:tcBorders>
            <w:shd w:val="clear" w:color="auto" w:fill="FFFFFF"/>
          </w:tcPr>
          <w:p w:rsidRPr="00292530" w:rsidR="0027636F" w:rsidP="000F1C52" w:rsidRDefault="0027636F" w14:paraId="36E6A3D3" w14:textId="77777777">
            <w:r>
              <w:t>GS-14/5</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49279DA8" w14:textId="77777777">
            <w:r>
              <w:t>143,064.00</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0FD8253A" w14:textId="77777777">
            <w:r>
              <w:t>.4%</w:t>
            </w:r>
          </w:p>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7218EAD3" w14:textId="77777777">
            <w:pPr>
              <w:rPr>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40F588CE" w14:textId="77777777">
            <w:pPr>
              <w:jc w:val="right"/>
            </w:pPr>
            <w:r>
              <w:t>$687.81</w:t>
            </w:r>
          </w:p>
        </w:tc>
      </w:tr>
      <w:tr w:rsidRPr="009A036B" w:rsidR="0027636F" w:rsidTr="000F1C52" w14:paraId="0303EAE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27636F" w:rsidP="000F1C52" w:rsidRDefault="0027636F" w14:paraId="329180AA" w14:textId="379A53C3">
            <w:r w:rsidRPr="009A036B">
              <w:rPr>
                <w:b/>
              </w:rPr>
              <w:t>Contractor Cost</w:t>
            </w:r>
            <w:r>
              <w:rPr>
                <w:b/>
              </w:rPr>
              <w:t xml:space="preserve"> </w:t>
            </w:r>
          </w:p>
        </w:tc>
        <w:tc>
          <w:tcPr>
            <w:tcW w:w="1440" w:type="dxa"/>
            <w:tcBorders>
              <w:top w:val="nil"/>
              <w:left w:val="nil"/>
              <w:bottom w:val="single" w:color="auto" w:sz="8" w:space="0"/>
              <w:right w:val="single" w:color="auto" w:sz="8" w:space="0"/>
            </w:tcBorders>
            <w:shd w:val="clear" w:color="auto" w:fill="FFFFFF"/>
          </w:tcPr>
          <w:p w:rsidRPr="00292530" w:rsidR="0027636F" w:rsidP="000F1C52" w:rsidRDefault="0027636F" w14:paraId="1301BA93"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445F5173"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17C47D86" w14:textId="77777777"/>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681041DD" w14:textId="77777777">
            <w:pPr>
              <w:rPr>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52BBA05D" w14:textId="77777777">
            <w:pPr>
              <w:jc w:val="right"/>
            </w:pPr>
            <w:r>
              <w:t>$1,663.80</w:t>
            </w:r>
          </w:p>
        </w:tc>
      </w:tr>
      <w:tr w:rsidRPr="009A036B" w:rsidR="0027636F" w:rsidTr="000F1C52" w14:paraId="2D4779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27636F" w:rsidP="000F1C52" w:rsidRDefault="0027636F" w14:paraId="48574E99" w14:textId="77777777"/>
        </w:tc>
        <w:tc>
          <w:tcPr>
            <w:tcW w:w="1440" w:type="dxa"/>
            <w:tcBorders>
              <w:top w:val="nil"/>
              <w:left w:val="nil"/>
              <w:bottom w:val="single" w:color="auto" w:sz="8" w:space="0"/>
              <w:right w:val="single" w:color="auto" w:sz="8" w:space="0"/>
            </w:tcBorders>
            <w:shd w:val="clear" w:color="auto" w:fill="FFFFFF"/>
          </w:tcPr>
          <w:p w:rsidRPr="00292530" w:rsidR="0027636F" w:rsidP="000F1C52" w:rsidRDefault="0027636F" w14:paraId="586F23A4"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3AB7362D"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21A62FE5" w14:textId="77777777"/>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7F882BF8" w14:textId="77777777">
            <w:pPr>
              <w:rPr>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260BC9BF" w14:textId="77777777">
            <w:pPr>
              <w:jc w:val="right"/>
            </w:pPr>
          </w:p>
        </w:tc>
      </w:tr>
      <w:tr w:rsidRPr="009A036B" w:rsidR="0027636F" w:rsidTr="000F1C52" w14:paraId="59F58CE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7636F" w:rsidP="000F1C52" w:rsidRDefault="0027636F" w14:paraId="2A1010C3" w14:textId="77777777"/>
        </w:tc>
        <w:tc>
          <w:tcPr>
            <w:tcW w:w="1440" w:type="dxa"/>
            <w:tcBorders>
              <w:top w:val="nil"/>
              <w:left w:val="nil"/>
              <w:bottom w:val="single" w:color="auto" w:sz="8" w:space="0"/>
              <w:right w:val="single" w:color="auto" w:sz="8" w:space="0"/>
            </w:tcBorders>
            <w:shd w:val="clear" w:color="auto" w:fill="FFFFFF"/>
          </w:tcPr>
          <w:p w:rsidRPr="00292530" w:rsidR="0027636F" w:rsidP="000F1C52" w:rsidRDefault="0027636F" w14:paraId="455FD531"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0882962A"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27636F" w:rsidP="000F1C52" w:rsidRDefault="0027636F" w14:paraId="14C7892D" w14:textId="77777777"/>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45E63480" w14:textId="77777777">
            <w:pPr>
              <w:rPr>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2B78F256" w14:textId="77777777">
            <w:pPr>
              <w:jc w:val="right"/>
            </w:pPr>
          </w:p>
        </w:tc>
      </w:tr>
      <w:tr w:rsidRPr="009A036B" w:rsidR="0027636F" w:rsidTr="000F1C52" w14:paraId="1CC79EF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7636F" w:rsidP="000F1C52" w:rsidRDefault="0027636F" w14:paraId="3C2C6F70" w14:textId="77777777">
            <w:r w:rsidRPr="009A036B">
              <w:t>Travel</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27636F" w:rsidP="000F1C52" w:rsidRDefault="0027636F" w14:paraId="0FBBE186"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27636F" w:rsidP="000F1C52" w:rsidRDefault="0027636F" w14:paraId="35C7903F"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27636F" w:rsidP="000F1C52" w:rsidRDefault="0027636F" w14:paraId="43F58E10" w14:textId="77777777">
            <w:pPr>
              <w:rPr>
                <w:color w:val="FF0000"/>
              </w:rPr>
            </w:pPr>
          </w:p>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3E57D919" w14:textId="77777777">
            <w:pPr>
              <w:rPr>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4B307364" w14:textId="77777777">
            <w:pPr>
              <w:jc w:val="right"/>
            </w:pPr>
            <w:r>
              <w:t>0</w:t>
            </w:r>
          </w:p>
        </w:tc>
      </w:tr>
      <w:tr w:rsidRPr="009A036B" w:rsidR="0027636F" w:rsidTr="000F1C52" w14:paraId="51C88D1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27636F" w:rsidP="000F1C52" w:rsidRDefault="0027636F" w14:paraId="312A4931" w14:textId="77777777">
            <w:r w:rsidRPr="009A036B">
              <w:t>Other Cost</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27636F" w:rsidP="000F1C52" w:rsidRDefault="0027636F" w14:paraId="3E46A003"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9471A6" w:rsidR="0027636F" w:rsidP="000F1C52" w:rsidRDefault="0027636F" w14:paraId="36756A4F"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27636F" w:rsidP="000F1C52" w:rsidRDefault="0027636F" w14:paraId="517C1CA9" w14:textId="77777777">
            <w:pPr>
              <w:rPr>
                <w:b/>
                <w:color w:val="FF0000"/>
              </w:rPr>
            </w:pPr>
          </w:p>
        </w:tc>
        <w:tc>
          <w:tcPr>
            <w:tcW w:w="1363" w:type="dxa"/>
            <w:tcBorders>
              <w:top w:val="nil"/>
              <w:left w:val="nil"/>
              <w:bottom w:val="single" w:color="auto" w:sz="8" w:space="0"/>
              <w:right w:val="single" w:color="auto" w:sz="8" w:space="0"/>
            </w:tcBorders>
            <w:shd w:val="clear" w:color="auto" w:fill="FFFFFF"/>
          </w:tcPr>
          <w:p w:rsidRPr="009471A6" w:rsidR="0027636F" w:rsidP="000F1C52" w:rsidRDefault="0027636F" w14:paraId="21644F92" w14:textId="77777777">
            <w:pPr>
              <w:rPr>
                <w:b/>
                <w:color w:val="FF0000"/>
              </w:rPr>
            </w:pPr>
          </w:p>
        </w:tc>
        <w:tc>
          <w:tcPr>
            <w:tcW w:w="1363" w:type="dxa"/>
            <w:tcBorders>
              <w:top w:val="nil"/>
              <w:left w:val="nil"/>
              <w:bottom w:val="single" w:color="auto" w:sz="8" w:space="0"/>
              <w:right w:val="single" w:color="auto" w:sz="8" w:space="0"/>
            </w:tcBorders>
          </w:tcPr>
          <w:p w:rsidRPr="009A036B" w:rsidR="0027636F" w:rsidP="000F1C52" w:rsidRDefault="0027636F" w14:paraId="204D5527" w14:textId="77777777">
            <w:pPr>
              <w:jc w:val="right"/>
              <w:rPr>
                <w:b/>
              </w:rPr>
            </w:pPr>
            <w:r>
              <w:rPr>
                <w:b/>
              </w:rPr>
              <w:t>0</w:t>
            </w:r>
          </w:p>
        </w:tc>
      </w:tr>
      <w:tr w:rsidRPr="009A036B" w:rsidR="0027636F" w:rsidTr="000F1C52" w14:paraId="1DEB7DCC" w14:textId="77777777">
        <w:trPr>
          <w:trHeight w:val="277"/>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7ED4" w:rsidR="0027636F" w:rsidP="000F1C52" w:rsidRDefault="0027636F" w14:paraId="15D96F9E" w14:textId="77777777">
            <w:pPr>
              <w:rPr>
                <w:b/>
              </w:rPr>
            </w:pPr>
            <w:r>
              <w:rPr>
                <w:b/>
              </w:rPr>
              <w:t>Total</w:t>
            </w:r>
          </w:p>
        </w:tc>
        <w:tc>
          <w:tcPr>
            <w:tcW w:w="1440" w:type="dxa"/>
            <w:tcBorders>
              <w:top w:val="nil"/>
              <w:left w:val="nil"/>
              <w:bottom w:val="single" w:color="auto" w:sz="8" w:space="0"/>
              <w:right w:val="single" w:color="auto" w:sz="8" w:space="0"/>
            </w:tcBorders>
          </w:tcPr>
          <w:p w:rsidRPr="009A036B" w:rsidR="0027636F" w:rsidP="000F1C52" w:rsidRDefault="0027636F" w14:paraId="519BC61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27636F" w:rsidP="000F1C52" w:rsidRDefault="0027636F" w14:paraId="600AEA9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27636F" w:rsidP="000F1C52" w:rsidRDefault="0027636F" w14:paraId="1DD7AB2F" w14:textId="77777777"/>
        </w:tc>
        <w:tc>
          <w:tcPr>
            <w:tcW w:w="1363" w:type="dxa"/>
            <w:tcBorders>
              <w:top w:val="nil"/>
              <w:left w:val="nil"/>
              <w:bottom w:val="single" w:color="auto" w:sz="8" w:space="0"/>
              <w:right w:val="single" w:color="auto" w:sz="8" w:space="0"/>
            </w:tcBorders>
          </w:tcPr>
          <w:p w:rsidRPr="009A036B" w:rsidR="0027636F" w:rsidP="000F1C52" w:rsidRDefault="0027636F" w14:paraId="75CEE03F" w14:textId="77777777"/>
        </w:tc>
        <w:tc>
          <w:tcPr>
            <w:tcW w:w="1363" w:type="dxa"/>
            <w:tcBorders>
              <w:top w:val="nil"/>
              <w:left w:val="nil"/>
              <w:bottom w:val="single" w:color="auto" w:sz="8" w:space="0"/>
              <w:right w:val="single" w:color="auto" w:sz="8" w:space="0"/>
            </w:tcBorders>
          </w:tcPr>
          <w:p w:rsidRPr="009A036B" w:rsidR="0027636F" w:rsidP="000F1C52" w:rsidRDefault="0027636F" w14:paraId="1C7DB73E" w14:textId="77777777">
            <w:pPr>
              <w:jc w:val="right"/>
            </w:pPr>
            <w:r>
              <w:t>$2793.15</w:t>
            </w:r>
          </w:p>
        </w:tc>
      </w:tr>
    </w:tbl>
    <w:p w:rsidR="0027636F" w:rsidP="0027636F" w:rsidRDefault="0027636F" w14:paraId="6E45BE64" w14:textId="77777777">
      <w:pPr>
        <w:rPr>
          <w:b/>
        </w:rPr>
      </w:pPr>
    </w:p>
    <w:p w:rsidR="0027636F" w:rsidP="0027636F" w:rsidRDefault="0027636F" w14:paraId="04A606E1" w14:textId="77777777">
      <w:pPr>
        <w:rPr>
          <w:b/>
        </w:rPr>
      </w:pPr>
      <w:r>
        <w:rPr>
          <w:b/>
        </w:rPr>
        <w:lastRenderedPageBreak/>
        <w:t>The selection of targeted respondents</w:t>
      </w:r>
    </w:p>
    <w:p w:rsidRPr="00DA7B4C" w:rsidR="0027636F" w:rsidP="0027636F" w:rsidRDefault="0027636F" w14:paraId="7062A5A6" w14:textId="77777777">
      <w:pPr>
        <w:numPr>
          <w:ilvl w:val="0"/>
          <w:numId w:val="2"/>
        </w:numPr>
        <w:contextualSpacing/>
      </w:pPr>
      <w:r w:rsidRPr="00DA7B4C">
        <w:t>Do you have a customer list or something similar that defines the universe of potential respondents and do you have a sampling plan for selecting from this universe?</w:t>
      </w:r>
      <w:r w:rsidRPr="00DA7B4C">
        <w:tab/>
      </w:r>
      <w:r w:rsidRPr="00DA7B4C">
        <w:tab/>
      </w:r>
      <w:r w:rsidRPr="00DA7B4C">
        <w:tab/>
      </w:r>
      <w:r w:rsidRPr="00DA7B4C">
        <w:tab/>
      </w:r>
      <w:r w:rsidRPr="00DA7B4C">
        <w:tab/>
      </w:r>
      <w:r w:rsidRPr="00DA7B4C">
        <w:tab/>
      </w:r>
      <w:r w:rsidRPr="00DA7B4C">
        <w:tab/>
      </w:r>
      <w:r w:rsidRPr="00DA7B4C">
        <w:tab/>
      </w:r>
      <w:r w:rsidRPr="00DA7B4C">
        <w:tab/>
      </w:r>
      <w:r w:rsidRPr="00DA7B4C">
        <w:tab/>
      </w:r>
      <w:r w:rsidRPr="00DA7B4C">
        <w:tab/>
      </w:r>
      <w:r>
        <w:t>[ X</w:t>
      </w:r>
      <w:r w:rsidRPr="00DA7B4C">
        <w:t>] Yes</w:t>
      </w:r>
      <w:r w:rsidRPr="00DA7B4C">
        <w:tab/>
      </w:r>
      <w:proofErr w:type="gramStart"/>
      <w:r w:rsidRPr="00DA7B4C">
        <w:t>[ ]</w:t>
      </w:r>
      <w:proofErr w:type="gramEnd"/>
      <w:r w:rsidRPr="00DA7B4C">
        <w:t xml:space="preserve"> No</w:t>
      </w:r>
    </w:p>
    <w:p w:rsidR="0027636F" w:rsidP="0027636F" w:rsidRDefault="0027636F" w14:paraId="1379CF30" w14:textId="77777777"/>
    <w:p w:rsidR="0027636F" w:rsidP="0027636F" w:rsidRDefault="0027636F" w14:paraId="430E1DE8"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27636F" w:rsidP="0027636F" w:rsidRDefault="0027636F" w14:paraId="0F9E3356" w14:textId="77777777"/>
    <w:p w:rsidR="0027636F" w:rsidP="0027636F" w:rsidRDefault="0027636F" w14:paraId="43242CDB" w14:textId="153C1DD7">
      <w:r>
        <w:t xml:space="preserve">We will have a complete list of registrations to each webinar, each of which is anticipated to reach up to 100 participants.  We will send a link to the online survey by email to all who register for the webinar. </w:t>
      </w:r>
    </w:p>
    <w:p w:rsidR="0027636F" w:rsidP="0027636F" w:rsidRDefault="0027636F" w14:paraId="5DD99364" w14:textId="77777777"/>
    <w:p w:rsidRPr="00DA7B4C" w:rsidR="0027636F" w:rsidP="0027636F" w:rsidRDefault="0027636F" w14:paraId="7EF84841" w14:textId="77777777">
      <w:pPr>
        <w:rPr>
          <w:b/>
        </w:rPr>
      </w:pPr>
      <w:r w:rsidRPr="00DA7B4C">
        <w:rPr>
          <w:b/>
        </w:rPr>
        <w:t>Administration of the Instrument</w:t>
      </w:r>
    </w:p>
    <w:p w:rsidRPr="00DA7B4C" w:rsidR="0027636F" w:rsidP="0027636F" w:rsidRDefault="0027636F" w14:paraId="15F8D928" w14:textId="77777777">
      <w:pPr>
        <w:numPr>
          <w:ilvl w:val="0"/>
          <w:numId w:val="3"/>
        </w:numPr>
        <w:contextualSpacing/>
      </w:pPr>
      <w:r w:rsidRPr="00DA7B4C">
        <w:t>How will you collect the information? (Check all that apply)</w:t>
      </w:r>
    </w:p>
    <w:p w:rsidRPr="00DA7B4C" w:rsidR="0027636F" w:rsidP="0027636F" w:rsidRDefault="0027636F" w14:paraId="06AF8A9B" w14:textId="77777777">
      <w:pPr>
        <w:ind w:left="720"/>
      </w:pPr>
      <w:r>
        <w:t>[x</w:t>
      </w:r>
      <w:r w:rsidRPr="00DA7B4C">
        <w:t xml:space="preserve">] Web-based or other forms of Social Media </w:t>
      </w:r>
    </w:p>
    <w:p w:rsidRPr="00DA7B4C" w:rsidR="0027636F" w:rsidP="0027636F" w:rsidRDefault="0027636F" w14:paraId="17652332" w14:textId="77777777">
      <w:pPr>
        <w:ind w:left="720"/>
      </w:pPr>
      <w:proofErr w:type="gramStart"/>
      <w:r w:rsidRPr="00DA7B4C">
        <w:t>[  ]</w:t>
      </w:r>
      <w:proofErr w:type="gramEnd"/>
      <w:r w:rsidRPr="00DA7B4C">
        <w:t xml:space="preserve"> Telephone</w:t>
      </w:r>
      <w:r w:rsidRPr="00DA7B4C">
        <w:tab/>
      </w:r>
    </w:p>
    <w:p w:rsidRPr="00DA7B4C" w:rsidR="0027636F" w:rsidP="0027636F" w:rsidRDefault="0027636F" w14:paraId="1E03E233" w14:textId="77777777">
      <w:pPr>
        <w:ind w:left="720"/>
      </w:pPr>
      <w:proofErr w:type="gramStart"/>
      <w:r w:rsidRPr="00DA7B4C">
        <w:t>[  ]</w:t>
      </w:r>
      <w:proofErr w:type="gramEnd"/>
      <w:r w:rsidRPr="00DA7B4C">
        <w:t xml:space="preserve"> In-person</w:t>
      </w:r>
      <w:r w:rsidRPr="00DA7B4C">
        <w:tab/>
      </w:r>
    </w:p>
    <w:p w:rsidRPr="00DA7B4C" w:rsidR="0027636F" w:rsidP="0027636F" w:rsidRDefault="0027636F" w14:paraId="16097860" w14:textId="77777777">
      <w:pPr>
        <w:ind w:left="720"/>
      </w:pPr>
      <w:proofErr w:type="gramStart"/>
      <w:r w:rsidRPr="00DA7B4C">
        <w:t>[  ]</w:t>
      </w:r>
      <w:proofErr w:type="gramEnd"/>
      <w:r w:rsidRPr="00DA7B4C">
        <w:t xml:space="preserve"> Mail </w:t>
      </w:r>
    </w:p>
    <w:p w:rsidRPr="00DA7B4C" w:rsidR="0027636F" w:rsidP="0027636F" w:rsidRDefault="0027636F" w14:paraId="045BB70C" w14:textId="77777777">
      <w:pPr>
        <w:ind w:left="720"/>
      </w:pPr>
      <w:proofErr w:type="gramStart"/>
      <w:r w:rsidRPr="00DA7B4C">
        <w:t>[  ]</w:t>
      </w:r>
      <w:proofErr w:type="gramEnd"/>
      <w:r w:rsidRPr="00DA7B4C">
        <w:t xml:space="preserve"> Survey form</w:t>
      </w:r>
    </w:p>
    <w:p w:rsidRPr="00DA7B4C" w:rsidR="0027636F" w:rsidP="0027636F" w:rsidRDefault="0027636F" w14:paraId="4D89F55D" w14:textId="77777777">
      <w:pPr>
        <w:ind w:left="720"/>
      </w:pPr>
      <w:proofErr w:type="gramStart"/>
      <w:r w:rsidRPr="00DA7B4C">
        <w:t>[  ]</w:t>
      </w:r>
      <w:proofErr w:type="gramEnd"/>
      <w:r w:rsidRPr="00DA7B4C">
        <w:t xml:space="preserve"> Chart Abstraction</w:t>
      </w:r>
    </w:p>
    <w:p w:rsidRPr="00DA7B4C" w:rsidR="0027636F" w:rsidP="0027636F" w:rsidRDefault="0027636F" w14:paraId="4096DEDB" w14:textId="77777777">
      <w:pPr>
        <w:ind w:left="720"/>
      </w:pPr>
      <w:proofErr w:type="gramStart"/>
      <w:r w:rsidRPr="00DA7B4C">
        <w:t>[  ]</w:t>
      </w:r>
      <w:proofErr w:type="gramEnd"/>
      <w:r w:rsidRPr="00DA7B4C">
        <w:t xml:space="preserve"> Other, Explain</w:t>
      </w:r>
    </w:p>
    <w:p w:rsidRPr="00DA7B4C" w:rsidR="0027636F" w:rsidP="0027636F" w:rsidRDefault="0027636F" w14:paraId="76F04AE0" w14:textId="77777777">
      <w:pPr>
        <w:ind w:left="720"/>
      </w:pPr>
    </w:p>
    <w:p w:rsidRPr="00DA7B4C" w:rsidR="0027636F" w:rsidP="0027636F" w:rsidRDefault="0027636F" w14:paraId="7B7572F9" w14:textId="77777777">
      <w:pPr>
        <w:numPr>
          <w:ilvl w:val="0"/>
          <w:numId w:val="3"/>
        </w:numPr>
        <w:contextualSpacing/>
      </w:pPr>
      <w:r w:rsidRPr="00DA7B4C">
        <w:t>Will interviewers, facilitators, or research coordinators</w:t>
      </w:r>
      <w:r>
        <w:t xml:space="preserve"> be used?  </w:t>
      </w:r>
      <w:proofErr w:type="gramStart"/>
      <w:r>
        <w:t>[  ]</w:t>
      </w:r>
      <w:proofErr w:type="gramEnd"/>
      <w:r>
        <w:t xml:space="preserve"> Yes [x</w:t>
      </w:r>
      <w:r w:rsidRPr="00DA7B4C">
        <w:t>] No</w:t>
      </w:r>
    </w:p>
    <w:p w:rsidRPr="00DA7B4C" w:rsidR="0027636F" w:rsidP="0027636F" w:rsidRDefault="0027636F" w14:paraId="63C8C78C" w14:textId="77777777">
      <w:pPr>
        <w:ind w:left="360"/>
      </w:pPr>
      <w:r w:rsidRPr="00DA7B4C">
        <w:t xml:space="preserve"> </w:t>
      </w:r>
    </w:p>
    <w:p w:rsidR="0027636F" w:rsidP="0027636F" w:rsidRDefault="0027636F" w14:paraId="289C20E6" w14:textId="77777777">
      <w:pPr>
        <w:rPr>
          <w:b/>
        </w:rPr>
      </w:pPr>
      <w:r w:rsidRPr="00F55E23">
        <w:rPr>
          <w:b/>
        </w:rPr>
        <w:t>Please make sure that all instruments, instructions, and scripts are submitted with the request.</w:t>
      </w:r>
    </w:p>
    <w:p w:rsidR="0027636F" w:rsidP="0027636F" w:rsidRDefault="0027636F" w14:paraId="08A6E5A2" w14:textId="77777777"/>
    <w:p w:rsidR="0027636F" w:rsidP="0027636F" w:rsidRDefault="0027636F" w14:paraId="05C435AC" w14:textId="77777777">
      <w:pPr>
        <w:rPr>
          <w:b/>
          <w:bCs/>
          <w:u w:val="single"/>
        </w:rPr>
      </w:pPr>
    </w:p>
    <w:p w:rsidR="007522BB" w:rsidRDefault="00012C60" w14:paraId="4DC23116" w14:textId="77777777"/>
    <w:sectPr w:rsidR="00752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6F"/>
    <w:rsid w:val="00012C60"/>
    <w:rsid w:val="00135CC7"/>
    <w:rsid w:val="001F4358"/>
    <w:rsid w:val="00241C3F"/>
    <w:rsid w:val="0027636F"/>
    <w:rsid w:val="00302866"/>
    <w:rsid w:val="007770EF"/>
    <w:rsid w:val="008453A8"/>
    <w:rsid w:val="00967F9E"/>
    <w:rsid w:val="00A625B5"/>
    <w:rsid w:val="00E873CE"/>
    <w:rsid w:val="00EB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F9EF"/>
  <w15:chartTrackingRefBased/>
  <w15:docId w15:val="{1F19D380-55F1-43FB-B418-6A2BDC3D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6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7636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636F"/>
    <w:rPr>
      <w:rFonts w:ascii="Times New Roman" w:eastAsia="Times New Roman" w:hAnsi="Times New Roman" w:cs="Times New Roman"/>
      <w:b/>
      <w:bCs/>
      <w:sz w:val="24"/>
      <w:szCs w:val="24"/>
    </w:rPr>
  </w:style>
  <w:style w:type="paragraph" w:styleId="Header">
    <w:name w:val="header"/>
    <w:basedOn w:val="Normal"/>
    <w:link w:val="HeaderChar"/>
    <w:rsid w:val="0027636F"/>
    <w:pPr>
      <w:widowControl w:val="0"/>
      <w:tabs>
        <w:tab w:val="center" w:pos="4320"/>
        <w:tab w:val="right" w:pos="8640"/>
      </w:tabs>
    </w:pPr>
    <w:rPr>
      <w:snapToGrid w:val="0"/>
    </w:rPr>
  </w:style>
  <w:style w:type="character" w:customStyle="1" w:styleId="HeaderChar">
    <w:name w:val="Header Char"/>
    <w:basedOn w:val="DefaultParagraphFont"/>
    <w:link w:val="Header"/>
    <w:rsid w:val="0027636F"/>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27636F"/>
    <w:pPr>
      <w:ind w:left="288"/>
    </w:pPr>
    <w:rPr>
      <w:sz w:val="20"/>
      <w:szCs w:val="20"/>
      <w:lang w:eastAsia="zh-CN"/>
    </w:rPr>
  </w:style>
  <w:style w:type="character" w:customStyle="1" w:styleId="BodyTextIndentChar">
    <w:name w:val="Body Text Indent Char"/>
    <w:basedOn w:val="DefaultParagraphFont"/>
    <w:link w:val="BodyTextIndent"/>
    <w:rsid w:val="0027636F"/>
    <w:rPr>
      <w:rFonts w:ascii="Times New Roman" w:eastAsia="Times New Roman" w:hAnsi="Times New Roman" w:cs="Times New Roman"/>
      <w:sz w:val="20"/>
      <w:szCs w:val="20"/>
      <w:lang w:eastAsia="zh-CN"/>
    </w:rPr>
  </w:style>
  <w:style w:type="character" w:styleId="CommentReference">
    <w:name w:val="annotation reference"/>
    <w:rsid w:val="0027636F"/>
    <w:rPr>
      <w:sz w:val="16"/>
      <w:szCs w:val="16"/>
    </w:rPr>
  </w:style>
  <w:style w:type="paragraph" w:styleId="CommentText">
    <w:name w:val="annotation text"/>
    <w:basedOn w:val="Normal"/>
    <w:link w:val="CommentTextChar"/>
    <w:rsid w:val="0027636F"/>
    <w:rPr>
      <w:sz w:val="20"/>
      <w:szCs w:val="20"/>
    </w:rPr>
  </w:style>
  <w:style w:type="character" w:customStyle="1" w:styleId="CommentTextChar">
    <w:name w:val="Comment Text Char"/>
    <w:basedOn w:val="DefaultParagraphFont"/>
    <w:link w:val="CommentText"/>
    <w:rsid w:val="0027636F"/>
    <w:rPr>
      <w:rFonts w:ascii="Times New Roman" w:eastAsia="Times New Roman" w:hAnsi="Times New Roman" w:cs="Times New Roman"/>
      <w:sz w:val="20"/>
      <w:szCs w:val="20"/>
    </w:rPr>
  </w:style>
  <w:style w:type="paragraph" w:styleId="ListParagraph">
    <w:name w:val="List Paragraph"/>
    <w:basedOn w:val="Normal"/>
    <w:uiPriority w:val="34"/>
    <w:qFormat/>
    <w:rsid w:val="0027636F"/>
    <w:pPr>
      <w:ind w:left="720"/>
      <w:contextualSpacing/>
    </w:pPr>
  </w:style>
  <w:style w:type="paragraph" w:styleId="CommentSubject">
    <w:name w:val="annotation subject"/>
    <w:basedOn w:val="CommentText"/>
    <w:next w:val="CommentText"/>
    <w:link w:val="CommentSubjectChar"/>
    <w:uiPriority w:val="99"/>
    <w:semiHidden/>
    <w:unhideWhenUsed/>
    <w:rsid w:val="00967F9E"/>
    <w:rPr>
      <w:b/>
      <w:bCs/>
    </w:rPr>
  </w:style>
  <w:style w:type="character" w:customStyle="1" w:styleId="CommentSubjectChar">
    <w:name w:val="Comment Subject Char"/>
    <w:basedOn w:val="CommentTextChar"/>
    <w:link w:val="CommentSubject"/>
    <w:uiPriority w:val="99"/>
    <w:semiHidden/>
    <w:rsid w:val="00967F9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Calabrese, Ryan (NIH/NINDS) [E]</dc:creator>
  <cp:keywords/>
  <dc:description/>
  <cp:lastModifiedBy>Abdelmouti, Tawanda (NIH/OD) [E]</cp:lastModifiedBy>
  <cp:revision>2</cp:revision>
  <dcterms:created xsi:type="dcterms:W3CDTF">2022-06-08T19:44:00Z</dcterms:created>
  <dcterms:modified xsi:type="dcterms:W3CDTF">2022-06-08T19:44:00Z</dcterms:modified>
</cp:coreProperties>
</file>