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857194B" w14:textId="29C31686">
      <w:pPr>
        <w:pStyle w:val="Heading2"/>
        <w:tabs>
          <w:tab w:val="left" w:pos="900"/>
        </w:tabs>
        <w:ind w:right="-180"/>
        <w:rPr>
          <w:sz w:val="28"/>
        </w:rPr>
      </w:pPr>
      <w:r>
        <w:rPr>
          <w:sz w:val="28"/>
        </w:rPr>
        <w:t xml:space="preserve">Request for Approval under the </w:t>
      </w:r>
      <w:r w:rsidRPr="00F06866">
        <w:rPr>
          <w:sz w:val="28"/>
        </w:rPr>
        <w:t>“</w:t>
      </w:r>
      <w:r w:rsidRPr="006221D2" w:rsidR="006221D2">
        <w:rPr>
          <w:sz w:val="28"/>
        </w:rPr>
        <w:t>Generic Clearance for the Collection of Routine Customer Feedback</w:t>
      </w:r>
      <w:r w:rsidRPr="00F06866">
        <w:rPr>
          <w:sz w:val="28"/>
        </w:rPr>
        <w:t>”</w:t>
      </w:r>
      <w:r>
        <w:rPr>
          <w:sz w:val="28"/>
        </w:rPr>
        <w:t xml:space="preserve"> </w:t>
      </w:r>
    </w:p>
    <w:p w:rsidRPr="0094269D" w:rsidR="005E714A" w:rsidP="0094269D" w:rsidRDefault="00F06866" w14:paraId="6071FE61" w14:textId="380C52D5">
      <w:pPr>
        <w:pStyle w:val="Heading2"/>
        <w:tabs>
          <w:tab w:val="left" w:pos="900"/>
        </w:tabs>
        <w:ind w:right="-180"/>
        <w:rPr>
          <w:sz w:val="28"/>
        </w:rPr>
      </w:pPr>
      <w:r>
        <w:rPr>
          <w:sz w:val="28"/>
        </w:rPr>
        <w:t>(</w:t>
      </w:r>
      <w:r w:rsidR="00686301">
        <w:t>OMB#</w:t>
      </w:r>
      <w:r w:rsidRPr="00686301">
        <w:t xml:space="preserve">: </w:t>
      </w:r>
      <w:r w:rsidR="006E7380">
        <w:rPr>
          <w:sz w:val="28"/>
        </w:rPr>
        <w:t>0925-</w:t>
      </w:r>
      <w:r w:rsidRPr="00D12872" w:rsidR="00D12872">
        <w:rPr>
          <w:sz w:val="28"/>
        </w:rPr>
        <w:t>0648 Expiration Date: 05/2021</w:t>
      </w:r>
      <w:r>
        <w:rPr>
          <w:sz w:val="28"/>
        </w:rPr>
        <w:t>)</w:t>
      </w:r>
    </w:p>
    <w:p w:rsidR="00315E91" w:rsidRDefault="00422E40" w14:paraId="6CFB2D6D" w14:textId="4EC4BB89">
      <w:pPr>
        <w:rPr>
          <w:rFonts w:eastAsia="Calibri"/>
          <w:color w:val="000000"/>
        </w:rPr>
      </w:pPr>
      <w:r>
        <w:rPr>
          <w:b/>
          <w:noProof/>
        </w:rPr>
        <mc:AlternateContent>
          <mc:Choice Requires="wps">
            <w:drawing>
              <wp:anchor distT="0" distB="0" distL="114300" distR="114300" simplePos="0" relativeHeight="251657728" behindDoc="0" locked="0" layoutInCell="0" allowOverlap="1" wp14:editId="447548C0"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25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9318FB" w:rsidR="009318FB">
        <w:rPr>
          <w:rFonts w:eastAsia="Calibri"/>
          <w:color w:val="000000"/>
        </w:rPr>
        <w:t>NIMH Information Resource Center (IRC) Customer Satisfaction Surveys for Email Information Services and Online Publications Ordering Services</w:t>
      </w:r>
    </w:p>
    <w:p w:rsidR="009318FB" w:rsidRDefault="009318FB" w14:paraId="1A872F09" w14:textId="77777777"/>
    <w:p w:rsidR="001B0AAA" w:rsidRDefault="00F15956" w14:paraId="1FC5F793" w14:textId="77777777">
      <w:r>
        <w:rPr>
          <w:b/>
        </w:rPr>
        <w:t>PURPOSE</w:t>
      </w:r>
      <w:r w:rsidRPr="009239AA">
        <w:rPr>
          <w:b/>
        </w:rPr>
        <w:t>:</w:t>
      </w:r>
      <w:r w:rsidRPr="009239AA" w:rsidR="00C14CC4">
        <w:rPr>
          <w:b/>
        </w:rPr>
        <w:t xml:space="preserve">  </w:t>
      </w:r>
    </w:p>
    <w:p w:rsidR="00886B9B" w:rsidP="00886B9B" w:rsidRDefault="00886B9B" w14:paraId="4EC9EC9E" w14:textId="20CEC3B1">
      <w:pPr>
        <w:rPr>
          <w:snapToGrid w:val="0"/>
        </w:rPr>
      </w:pPr>
      <w:r w:rsidRPr="00886B9B">
        <w:rPr>
          <w:snapToGrid w:val="0"/>
        </w:rPr>
        <w:t>The National Institute of Mental Health (NIMH) Information Resource Center (IRC) wishes to gauge customer satisfaction with its email information and referral service and online publication ordering service. NIMH also hopes to receive feedback about the educational materials and resources it provides through its online publications catalog. Respondents have the option to participate in a survey by clicking on a survey link located at the end of an IRC email response or clicking on a link provided on its online publications catalog at the end of their online ordering session. The information gathered will help NIMH identify the strengths and weaknesses of its current services and guide improvements in service delivery based on customer feedback.</w:t>
      </w:r>
    </w:p>
    <w:p w:rsidRPr="00886B9B" w:rsidR="00886B9B" w:rsidP="00886B9B" w:rsidRDefault="00886B9B" w14:paraId="37361AAB" w14:textId="77777777">
      <w:pPr>
        <w:rPr>
          <w:snapToGrid w:val="0"/>
        </w:rPr>
      </w:pPr>
    </w:p>
    <w:p w:rsidR="00886B9B" w:rsidP="00886B9B" w:rsidRDefault="00886B9B" w14:paraId="33873FDE" w14:textId="31A9E2E5">
      <w:pPr>
        <w:rPr>
          <w:snapToGrid w:val="0"/>
        </w:rPr>
      </w:pPr>
      <w:r w:rsidRPr="00886B9B">
        <w:rPr>
          <w:snapToGrid w:val="0"/>
        </w:rPr>
        <w:t>The email and online publication ordering service surveys ask customers to complete up to six open- and closed-ended questions, using a Likert scale or categorical response options, to gain feedback on the helpfulness and overall satisfaction with the information services and educational resources. Several close-ended questions include additional open text fields for respondents to explain their answers. NIMH also asks customers to provide suggestions for improving the services.</w:t>
      </w:r>
    </w:p>
    <w:p w:rsidRPr="00886B9B" w:rsidR="00886B9B" w:rsidP="00886B9B" w:rsidRDefault="00886B9B" w14:paraId="5D723DB0" w14:textId="77777777">
      <w:pPr>
        <w:rPr>
          <w:snapToGrid w:val="0"/>
        </w:rPr>
      </w:pPr>
    </w:p>
    <w:p w:rsidR="00C8488C" w:rsidP="00886B9B" w:rsidRDefault="00886B9B" w14:paraId="5EA1CDCA" w14:textId="66A9F2A6">
      <w:r w:rsidRPr="00886B9B">
        <w:rPr>
          <w:snapToGrid w:val="0"/>
        </w:rPr>
        <w:t>Every six months, NIMH’s contractor will analyze and summarize survey findings and provide NIMH with actionable recommendations. Survey findings will inform updates and enhancements to NIMH’s IRC and educational resources, and ultimately ensure NIMH serves its audiences' information needs.</w:t>
      </w:r>
    </w:p>
    <w:p w:rsidR="00C8488C" w:rsidRDefault="00C8488C" w14:paraId="00609FCB" w14:textId="77777777"/>
    <w:p w:rsidRPr="00434E33" w:rsidR="00434E33" w:rsidP="00434E33" w:rsidRDefault="00434E33" w14:paraId="15DEE752" w14:textId="04595CDE">
      <w:pPr>
        <w:pStyle w:val="Header"/>
        <w:tabs>
          <w:tab w:val="clear" w:pos="4320"/>
          <w:tab w:val="clear" w:pos="8640"/>
        </w:tabs>
        <w:rPr>
          <w:i/>
          <w:snapToGrid/>
        </w:rPr>
      </w:pPr>
      <w:r w:rsidRPr="00434E33">
        <w:rPr>
          <w:b/>
        </w:rPr>
        <w:t>DESCRIPTION OF RESPONDENTS</w:t>
      </w:r>
      <w:r>
        <w:t>:</w:t>
      </w:r>
    </w:p>
    <w:p w:rsidR="00B73FD2" w:rsidP="00B73FD2" w:rsidRDefault="00B73FD2" w14:paraId="1708D424" w14:textId="60CA7C2B">
      <w:r>
        <w:t xml:space="preserve">Respondents comprise individuals who send email inquiries to </w:t>
      </w:r>
      <w:hyperlink w:history="1" r:id="rId11">
        <w:r w:rsidRPr="001D45AE">
          <w:rPr>
            <w:rStyle w:val="Hyperlink"/>
          </w:rPr>
          <w:t>nimhinfo@nih.gov</w:t>
        </w:r>
      </w:hyperlink>
      <w:r>
        <w:t xml:space="preserve"> and voluntarily click on the survey link in their email response and individuals who visit the NIMH IRC to order publications via the online catalog and voluntarily click on the provided survey link.</w:t>
      </w:r>
    </w:p>
    <w:p w:rsidR="00B73FD2" w:rsidP="00B73FD2" w:rsidRDefault="00B73FD2" w14:paraId="0BEAFCE0" w14:textId="77777777"/>
    <w:p w:rsidR="00C8488C" w:rsidP="00B73FD2" w:rsidRDefault="00B73FD2" w14:paraId="3F136F90" w14:textId="48BF288B">
      <w:r>
        <w:t>NIMH assumes a 2% response rate for the email services web survey based on historical trends in responses. NIMH assumes a 14% response rate for the online publication services survey based on historical trends in responses.</w:t>
      </w:r>
    </w:p>
    <w:p w:rsidR="00E26329" w:rsidRDefault="00E26329" w14:paraId="3FE7ABD4"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69A26A88">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EF3E59" w:rsidR="003D5345">
        <w:rPr>
          <w:sz w:val="24"/>
          <w:szCs w:val="24"/>
        </w:rPr>
        <w:t>Customer Comment Card/Complaint Form</w:t>
      </w:r>
      <w:r w:rsidR="005451A5">
        <w:rPr>
          <w:bCs/>
          <w:sz w:val="24"/>
        </w:rPr>
        <w:tab/>
      </w:r>
      <w:r w:rsidRPr="00DA7B4C">
        <w:rPr>
          <w:bCs/>
          <w:sz w:val="24"/>
        </w:rPr>
        <w:t>[</w:t>
      </w:r>
      <w:r w:rsidR="00073743">
        <w:rPr>
          <w:bCs/>
          <w:sz w:val="24"/>
        </w:rPr>
        <w:t xml:space="preserve"> X</w:t>
      </w:r>
      <w:r w:rsidRPr="00DA7B4C">
        <w:rPr>
          <w:bCs/>
          <w:sz w:val="24"/>
        </w:rPr>
        <w:t xml:space="preserve"> ] </w:t>
      </w:r>
      <w:r w:rsidRPr="00EF3E59" w:rsidR="003964FB">
        <w:rPr>
          <w:sz w:val="24"/>
          <w:szCs w:val="24"/>
        </w:rPr>
        <w:t>Customer Satisfaction Survey</w:t>
      </w:r>
      <w:r w:rsidR="00F52EDC">
        <w:rPr>
          <w:bCs/>
          <w:sz w:val="24"/>
        </w:rPr>
        <w:t xml:space="preserve"> </w:t>
      </w:r>
    </w:p>
    <w:p w:rsidRPr="00DA7B4C" w:rsidR="00317C43" w:rsidP="00317C43" w:rsidRDefault="00317C43" w14:paraId="003AA0A4" w14:textId="08380EED">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9C6AD2" w:rsidR="009C6AD2">
        <w:rPr>
          <w:sz w:val="24"/>
          <w:szCs w:val="24"/>
        </w:rPr>
        <w:t>Usability Testing (e.g. Website or Software)</w:t>
      </w:r>
      <w:r>
        <w:rPr>
          <w:bCs/>
          <w:sz w:val="24"/>
        </w:rPr>
        <w:tab/>
      </w:r>
      <w:r w:rsidRPr="00DA7B4C">
        <w:rPr>
          <w:bCs/>
          <w:sz w:val="24"/>
        </w:rPr>
        <w:t xml:space="preserve">[ ] </w:t>
      </w:r>
      <w:r w:rsidRPr="00943973" w:rsidR="00943973">
        <w:rPr>
          <w:sz w:val="24"/>
          <w:szCs w:val="24"/>
        </w:rPr>
        <w:t>Small Discussion Group</w:t>
      </w:r>
    </w:p>
    <w:p w:rsidRPr="00F06866" w:rsidR="00F06866" w:rsidP="0096108F" w:rsidRDefault="0096108F" w14:paraId="4679AADE" w14:textId="6708F122">
      <w:pPr>
        <w:pStyle w:val="BodyTextIndent"/>
        <w:tabs>
          <w:tab w:val="left" w:pos="360"/>
        </w:tabs>
        <w:ind w:left="0"/>
        <w:rPr>
          <w:bCs/>
          <w:sz w:val="24"/>
        </w:rPr>
      </w:pPr>
      <w:proofErr w:type="gramStart"/>
      <w:r w:rsidRPr="00DA7B4C">
        <w:rPr>
          <w:bCs/>
          <w:sz w:val="24"/>
        </w:rPr>
        <w:t>[</w:t>
      </w:r>
      <w:r w:rsidR="00073743">
        <w:rPr>
          <w:bCs/>
          <w:sz w:val="24"/>
        </w:rPr>
        <w:t xml:space="preserve"> </w:t>
      </w:r>
      <w:r w:rsidRPr="00DA7B4C">
        <w:rPr>
          <w:bCs/>
          <w:sz w:val="24"/>
        </w:rPr>
        <w:t>]</w:t>
      </w:r>
      <w:proofErr w:type="gramEnd"/>
      <w:r w:rsidRPr="00DA7B4C">
        <w:rPr>
          <w:bCs/>
          <w:sz w:val="24"/>
        </w:rPr>
        <w:t xml:space="preserve"> </w:t>
      </w:r>
      <w:r w:rsidR="00073743">
        <w:rPr>
          <w:bCs/>
          <w:sz w:val="24"/>
        </w:rPr>
        <w:t>Focus Group</w:t>
      </w:r>
      <w:r w:rsidR="00073743">
        <w:rPr>
          <w:bCs/>
          <w:sz w:val="24"/>
        </w:rPr>
        <w:tab/>
      </w:r>
      <w:r w:rsidRPr="00DA7B4C" w:rsidR="006A0D31">
        <w:rPr>
          <w:bCs/>
          <w:sz w:val="24"/>
        </w:rPr>
        <w:t xml:space="preserve"> </w:t>
      </w:r>
      <w:r w:rsidRPr="00DA7B4C" w:rsidR="006A0D31">
        <w:rPr>
          <w:bCs/>
          <w:sz w:val="24"/>
        </w:rPr>
        <w:tab/>
      </w:r>
      <w:r w:rsidR="0094269D">
        <w:rPr>
          <w:bCs/>
          <w:sz w:val="24"/>
        </w:rPr>
        <w:tab/>
      </w:r>
      <w:r w:rsidR="0094269D">
        <w:rPr>
          <w:bCs/>
          <w:sz w:val="24"/>
        </w:rPr>
        <w:tab/>
      </w:r>
      <w:r w:rsidR="00943973">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00620DA3" w:rsidP="008101A5" w:rsidRDefault="00620DA3" w14:paraId="2B6097AD" w14:textId="77777777"/>
    <w:p w:rsidRPr="009C13B9" w:rsidR="008101A5" w:rsidP="008101A5" w:rsidRDefault="008101A5" w14:paraId="11095CC1" w14:textId="4F27226D">
      <w:r>
        <w:lastRenderedPageBreak/>
        <w:t>I certify the following to be true:</w:t>
      </w:r>
    </w:p>
    <w:p w:rsidR="00844372" w:rsidP="00844372" w:rsidRDefault="00844372" w14:paraId="5504B492" w14:textId="77777777">
      <w:pPr>
        <w:pStyle w:val="ColorfulList-Accent11"/>
        <w:numPr>
          <w:ilvl w:val="0"/>
          <w:numId w:val="14"/>
        </w:numPr>
      </w:pPr>
      <w:r>
        <w:t>The collection is voluntary.</w:t>
      </w:r>
    </w:p>
    <w:p w:rsidR="00844372" w:rsidP="00844372" w:rsidRDefault="00844372" w14:paraId="309033DC" w14:textId="77777777">
      <w:pPr>
        <w:pStyle w:val="ColorfulList-Accent11"/>
        <w:numPr>
          <w:ilvl w:val="0"/>
          <w:numId w:val="14"/>
        </w:numPr>
      </w:pPr>
      <w:r>
        <w:t xml:space="preserve">The collection is </w:t>
      </w:r>
      <w:proofErr w:type="gramStart"/>
      <w:r>
        <w:t>low-burden</w:t>
      </w:r>
      <w:proofErr w:type="gramEnd"/>
      <w:r>
        <w:t xml:space="preserve"> for respondents and low-cost for the Federal Government.</w:t>
      </w:r>
    </w:p>
    <w:p w:rsidR="00844372" w:rsidP="00844372" w:rsidRDefault="00844372" w14:paraId="27224B33" w14:textId="77777777">
      <w:pPr>
        <w:pStyle w:val="ColorfulList-Accent11"/>
        <w:numPr>
          <w:ilvl w:val="0"/>
          <w:numId w:val="14"/>
        </w:numPr>
      </w:pPr>
      <w:r>
        <w:t>The collection is non-controversial and does not raise issues of concern to other federal agencies.</w:t>
      </w:r>
    </w:p>
    <w:p w:rsidR="00844372" w:rsidP="00844372" w:rsidRDefault="00844372" w14:paraId="69ABB9EB" w14:textId="77777777">
      <w:pPr>
        <w:pStyle w:val="ColorfulList-Accent11"/>
        <w:numPr>
          <w:ilvl w:val="0"/>
          <w:numId w:val="14"/>
        </w:numPr>
      </w:pPr>
      <w:r>
        <w:t>The results are not intended to be disseminated to the public.</w:t>
      </w:r>
    </w:p>
    <w:p w:rsidR="00844372" w:rsidP="00844372" w:rsidRDefault="00844372" w14:paraId="7C0856C4" w14:textId="77777777">
      <w:pPr>
        <w:pStyle w:val="ColorfulList-Accent11"/>
        <w:numPr>
          <w:ilvl w:val="0"/>
          <w:numId w:val="14"/>
        </w:numPr>
      </w:pPr>
      <w:r>
        <w:t>Information gathered will not be used for the purpose of substantially informing influential policy decisions.</w:t>
      </w:r>
    </w:p>
    <w:p w:rsidR="008101A5" w:rsidP="00844372" w:rsidRDefault="00844372" w14:paraId="7E70D20B" w14:textId="48EC9DF9">
      <w:pPr>
        <w:pStyle w:val="ColorfulList-Accent11"/>
        <w:numPr>
          <w:ilvl w:val="0"/>
          <w:numId w:val="14"/>
        </w:numPr>
      </w:pPr>
      <w:r>
        <w:t>The collection is targeted to the solicitation of opinions from respondents who have experience with the program or may have experience with the program in the future.</w:t>
      </w:r>
      <w:r w:rsidR="008101A5">
        <w:tab/>
      </w:r>
    </w:p>
    <w:p w:rsidR="009C13B9" w:rsidP="009C13B9" w:rsidRDefault="009C13B9" w14:paraId="4936F465" w14:textId="6A0CB99A"/>
    <w:p w:rsidR="009D56F3" w:rsidP="009C13B9" w:rsidRDefault="009D56F3" w14:paraId="05392BC8" w14:textId="0110BF17"/>
    <w:p w:rsidR="009C13B9" w:rsidP="009C13B9" w:rsidRDefault="009C13B9" w14:paraId="5C4A9F08" w14:textId="63DBABE7">
      <w:r w:rsidRPr="00833B07">
        <w:t>Name:</w:t>
      </w:r>
      <w:r w:rsidRPr="00833B07" w:rsidR="00B07575">
        <w:tab/>
      </w:r>
      <w:r w:rsidRPr="00833B07" w:rsidR="007D48F4">
        <w:rPr>
          <w:u w:val="single"/>
        </w:rPr>
        <w:t xml:space="preserve">Samantha </w:t>
      </w:r>
      <w:proofErr w:type="spellStart"/>
      <w:r w:rsidRPr="00833B07" w:rsidR="007D48F4">
        <w:rPr>
          <w:u w:val="single"/>
        </w:rPr>
        <w:t>Helfert</w:t>
      </w:r>
      <w:proofErr w:type="spellEnd"/>
      <w:r w:rsidRPr="00833B07" w:rsidR="007D48F4">
        <w:rPr>
          <w:u w:val="single"/>
        </w:rPr>
        <w:t>, Science Writing, Press, and Dissemination Branch</w:t>
      </w:r>
      <w:r w:rsidRPr="00833B07" w:rsidR="00DB37D5">
        <w:rPr>
          <w:u w:val="single"/>
        </w:rPr>
        <w:t>, NIMH</w:t>
      </w:r>
    </w:p>
    <w:p w:rsidR="002815A3" w:rsidP="002815A3" w:rsidRDefault="002815A3" w14:paraId="7C25534B" w14:textId="77777777">
      <w:pPr>
        <w:pStyle w:val="ColorfulList-Accent11"/>
        <w:ind w:left="0"/>
      </w:pPr>
    </w:p>
    <w:p w:rsidR="009D56F3" w:rsidP="009C13B9" w:rsidRDefault="009D56F3" w14:paraId="3941F92A" w14:textId="267CFD77">
      <w:pPr>
        <w:pStyle w:val="ColorfulList-Accent11"/>
        <w:ind w:left="360"/>
      </w:pPr>
    </w:p>
    <w:p w:rsidR="00AF1D9F" w:rsidP="009C13B9" w:rsidRDefault="00AF1D9F" w14:paraId="57194FA1" w14:textId="77777777">
      <w:pPr>
        <w:pStyle w:val="ColorfulList-Accent11"/>
        <w:ind w:left="360"/>
      </w:pPr>
    </w:p>
    <w:p w:rsidR="009C13B9" w:rsidP="009C13B9" w:rsidRDefault="009C13B9" w14:paraId="18C938C9" w14:textId="7DA36BA0">
      <w:r>
        <w:t>To assist review, please provide answers to the following question</w:t>
      </w:r>
      <w:r w:rsidR="00DA7AA9">
        <w:t>s</w:t>
      </w:r>
      <w:r>
        <w:t>:</w:t>
      </w:r>
    </w:p>
    <w:p w:rsidR="00B07575" w:rsidP="00FE4AD1" w:rsidRDefault="00B07575" w14:paraId="225FCE1A" w14:textId="0370571C">
      <w:pPr>
        <w:pStyle w:val="ColorfulList-Accent11"/>
        <w:ind w:left="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7D22598A">
      <w:pPr>
        <w:pStyle w:val="ColorfulList-Accent11"/>
        <w:numPr>
          <w:ilvl w:val="0"/>
          <w:numId w:val="18"/>
        </w:numPr>
      </w:pPr>
      <w:r>
        <w:t>Is</w:t>
      </w:r>
      <w:r w:rsidR="00237B48">
        <w:t xml:space="preserve"> personally identifiable information (PII) collected</w:t>
      </w:r>
      <w:r>
        <w:t xml:space="preserve">?  </w:t>
      </w:r>
      <w:proofErr w:type="gramStart"/>
      <w:r w:rsidR="009239AA">
        <w:t>[</w:t>
      </w:r>
      <w:r w:rsidR="00D43C75">
        <w:t xml:space="preserve"> </w:t>
      </w:r>
      <w:r w:rsidR="009239AA">
        <w:t>]</w:t>
      </w:r>
      <w:proofErr w:type="gramEnd"/>
      <w:r w:rsidR="009239AA">
        <w:t xml:space="preserve"> Yes  [</w:t>
      </w:r>
      <w:r w:rsidR="00FB3218">
        <w:t xml:space="preserve"> X</w:t>
      </w:r>
      <w:r w:rsidR="009239AA">
        <w:t xml:space="preserve"> ]  No</w:t>
      </w:r>
    </w:p>
    <w:p w:rsidR="00C86E91" w:rsidP="00C86E91" w:rsidRDefault="009C13B9" w14:paraId="065D4680" w14:textId="79DF4016">
      <w:pPr>
        <w:pStyle w:val="ColorfulList-Accent11"/>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w:t>
      </w:r>
      <w:r w:rsidR="00D35EBD">
        <w:t xml:space="preserve"> </w:t>
      </w:r>
      <w:r w:rsidR="009239AA">
        <w:t>]</w:t>
      </w:r>
      <w:proofErr w:type="gramEnd"/>
      <w:r w:rsidR="009239AA">
        <w:t xml:space="preserve"> Yes [ ] No</w:t>
      </w:r>
    </w:p>
    <w:p w:rsidR="00573FE2" w:rsidP="00573FE2" w:rsidRDefault="00D35EBD" w14:paraId="25F844BC" w14:textId="48BE1559">
      <w:pPr>
        <w:pStyle w:val="ColorfulList-Accent11"/>
        <w:numPr>
          <w:ilvl w:val="0"/>
          <w:numId w:val="18"/>
        </w:numPr>
      </w:pPr>
      <w:r w:rsidRPr="00D35EBD">
        <w:t>If applicable, has a System or Records Notice been published?</w:t>
      </w:r>
      <w:r w:rsidR="00573FE2">
        <w:t xml:space="preserve">   </w:t>
      </w:r>
      <w:proofErr w:type="gramStart"/>
      <w:r w:rsidR="00573FE2">
        <w:t>[</w:t>
      </w:r>
      <w:r>
        <w:t xml:space="preserve"> </w:t>
      </w:r>
      <w:r w:rsidR="00573FE2">
        <w:t>]</w:t>
      </w:r>
      <w:proofErr w:type="gramEnd"/>
      <w:r w:rsidR="00573FE2">
        <w:t xml:space="preserve"> Yes [ ] No</w:t>
      </w:r>
    </w:p>
    <w:p w:rsidR="009D56F3" w:rsidP="00FE4AD1" w:rsidRDefault="009D56F3" w14:paraId="0E1E209E" w14:textId="34D5F509">
      <w:pPr>
        <w:pStyle w:val="ColorfulList-Accent11"/>
        <w:ind w:left="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03FAB169">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8C4183">
        <w:t xml:space="preserve"> </w:t>
      </w:r>
      <w:r w:rsidR="00B07575">
        <w:t>X</w:t>
      </w:r>
      <w:r w:rsidR="008C4183">
        <w:t xml:space="preserve"> </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9D56F3" w:rsidRDefault="009D56F3" w14:paraId="7B198EEF" w14:textId="349ED33C">
      <w:pPr>
        <w:rPr>
          <w:b/>
        </w:rPr>
      </w:pPr>
    </w:p>
    <w:p w:rsidR="00647C0E" w:rsidRDefault="00647C0E" w14:paraId="4C1A817C" w14:textId="77777777">
      <w:pPr>
        <w:rPr>
          <w:b/>
        </w:rPr>
      </w:pPr>
    </w:p>
    <w:p w:rsidRPr="00BC676D" w:rsidR="005E714A" w:rsidP="00C86E91" w:rsidRDefault="003668D6" w14:paraId="34C3E38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8"/>
        <w:gridCol w:w="1887"/>
        <w:gridCol w:w="2060"/>
        <w:gridCol w:w="1887"/>
        <w:gridCol w:w="1538"/>
      </w:tblGrid>
      <w:tr w:rsidRPr="00FD7FD7" w:rsidR="003668D6" w:rsidTr="002153DC" w14:paraId="61D81E41" w14:textId="77777777">
        <w:trPr>
          <w:trHeight w:val="274"/>
        </w:trPr>
        <w:tc>
          <w:tcPr>
            <w:tcW w:w="1242"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5"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2153DC" w14:paraId="0EE52E99" w14:textId="77777777">
        <w:trPr>
          <w:trHeight w:val="260"/>
        </w:trPr>
        <w:tc>
          <w:tcPr>
            <w:tcW w:w="1242" w:type="pct"/>
          </w:tcPr>
          <w:p w:rsidRPr="00FD7FD7" w:rsidR="003668D6" w:rsidP="00F70DC4" w:rsidRDefault="00E520D9" w14:paraId="3B0D8EE9" w14:textId="557C2512">
            <w:pPr>
              <w:rPr>
                <w:sz w:val="22"/>
                <w:szCs w:val="22"/>
              </w:rPr>
            </w:pPr>
            <w:r>
              <w:rPr>
                <w:sz w:val="22"/>
                <w:szCs w:val="22"/>
              </w:rPr>
              <w:t>Individuals/Households</w:t>
            </w:r>
          </w:p>
        </w:tc>
        <w:tc>
          <w:tcPr>
            <w:tcW w:w="962" w:type="pct"/>
            <w:vAlign w:val="center"/>
          </w:tcPr>
          <w:p w:rsidRPr="00FD7FD7" w:rsidR="003668D6" w:rsidP="0097631D" w:rsidRDefault="002153DC" w14:paraId="12305EAF" w14:textId="52FC8BBA">
            <w:pPr>
              <w:jc w:val="center"/>
              <w:rPr>
                <w:sz w:val="22"/>
                <w:szCs w:val="22"/>
              </w:rPr>
            </w:pPr>
            <w:r>
              <w:rPr>
                <w:sz w:val="22"/>
                <w:szCs w:val="22"/>
              </w:rPr>
              <w:t>513</w:t>
            </w:r>
          </w:p>
        </w:tc>
        <w:tc>
          <w:tcPr>
            <w:tcW w:w="1050" w:type="pct"/>
            <w:vAlign w:val="center"/>
          </w:tcPr>
          <w:p w:rsidRPr="00FD7FD7" w:rsidR="003668D6" w:rsidP="0097631D" w:rsidRDefault="00B07575" w14:paraId="64AD1179" w14:textId="77777777">
            <w:pPr>
              <w:jc w:val="center"/>
              <w:rPr>
                <w:sz w:val="22"/>
                <w:szCs w:val="22"/>
              </w:rPr>
            </w:pPr>
            <w:r w:rsidRPr="00FD7FD7">
              <w:rPr>
                <w:sz w:val="22"/>
                <w:szCs w:val="22"/>
              </w:rPr>
              <w:t>1</w:t>
            </w:r>
          </w:p>
        </w:tc>
        <w:tc>
          <w:tcPr>
            <w:tcW w:w="962" w:type="pct"/>
            <w:vAlign w:val="center"/>
          </w:tcPr>
          <w:p w:rsidRPr="00FD7FD7" w:rsidR="003668D6" w:rsidP="0097631D" w:rsidRDefault="002569F8" w14:paraId="5E844E1C" w14:textId="04543464">
            <w:pPr>
              <w:jc w:val="center"/>
              <w:rPr>
                <w:sz w:val="22"/>
                <w:szCs w:val="22"/>
              </w:rPr>
            </w:pPr>
            <w:r>
              <w:rPr>
                <w:sz w:val="22"/>
                <w:szCs w:val="22"/>
              </w:rPr>
              <w:t>3</w:t>
            </w:r>
            <w:r w:rsidRPr="00FD7FD7" w:rsidR="00B07575">
              <w:rPr>
                <w:sz w:val="22"/>
                <w:szCs w:val="22"/>
              </w:rPr>
              <w:t>/60</w:t>
            </w:r>
          </w:p>
        </w:tc>
        <w:tc>
          <w:tcPr>
            <w:tcW w:w="785" w:type="pct"/>
            <w:vAlign w:val="center"/>
          </w:tcPr>
          <w:p w:rsidRPr="00FD7FD7" w:rsidR="003668D6" w:rsidP="0097631D" w:rsidRDefault="002569F8" w14:paraId="14B56B61" w14:textId="16D9B7F0">
            <w:pPr>
              <w:jc w:val="center"/>
              <w:rPr>
                <w:sz w:val="22"/>
                <w:szCs w:val="22"/>
              </w:rPr>
            </w:pPr>
            <w:r>
              <w:rPr>
                <w:sz w:val="22"/>
                <w:szCs w:val="22"/>
              </w:rPr>
              <w:t>2</w:t>
            </w:r>
            <w:r w:rsidR="00D060E9">
              <w:rPr>
                <w:sz w:val="22"/>
                <w:szCs w:val="22"/>
              </w:rPr>
              <w:t>6</w:t>
            </w:r>
          </w:p>
        </w:tc>
      </w:tr>
      <w:tr w:rsidRPr="00FD7FD7" w:rsidR="003668D6" w:rsidTr="002153DC" w14:paraId="339A8307" w14:textId="77777777">
        <w:trPr>
          <w:trHeight w:val="289"/>
        </w:trPr>
        <w:tc>
          <w:tcPr>
            <w:tcW w:w="1242"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777742DB">
            <w:pPr>
              <w:jc w:val="center"/>
              <w:rPr>
                <w:b/>
                <w:sz w:val="22"/>
                <w:szCs w:val="22"/>
              </w:rPr>
            </w:pPr>
          </w:p>
        </w:tc>
        <w:tc>
          <w:tcPr>
            <w:tcW w:w="1050" w:type="pct"/>
            <w:vAlign w:val="center"/>
          </w:tcPr>
          <w:p w:rsidRPr="00422E40" w:rsidR="003668D6" w:rsidP="0097631D" w:rsidRDefault="002569F8" w14:paraId="485E8DDA" w14:textId="3A3ABE52">
            <w:pPr>
              <w:jc w:val="center"/>
              <w:rPr>
                <w:b/>
                <w:bCs/>
                <w:sz w:val="22"/>
                <w:szCs w:val="22"/>
              </w:rPr>
            </w:pPr>
            <w:r>
              <w:rPr>
                <w:b/>
                <w:bCs/>
                <w:sz w:val="22"/>
                <w:szCs w:val="22"/>
              </w:rPr>
              <w:t>513</w:t>
            </w:r>
          </w:p>
        </w:tc>
        <w:tc>
          <w:tcPr>
            <w:tcW w:w="962" w:type="pct"/>
            <w:vAlign w:val="center"/>
          </w:tcPr>
          <w:p w:rsidRPr="00FD7FD7" w:rsidR="003668D6" w:rsidP="0097631D" w:rsidRDefault="003668D6" w14:paraId="6E74BB56" w14:textId="63DA73B7">
            <w:pPr>
              <w:jc w:val="center"/>
              <w:rPr>
                <w:sz w:val="22"/>
                <w:szCs w:val="22"/>
              </w:rPr>
            </w:pPr>
          </w:p>
        </w:tc>
        <w:tc>
          <w:tcPr>
            <w:tcW w:w="785" w:type="pct"/>
            <w:vAlign w:val="center"/>
          </w:tcPr>
          <w:p w:rsidRPr="00FD7FD7" w:rsidR="003668D6" w:rsidP="0097631D" w:rsidRDefault="002569F8" w14:paraId="0F43B59A" w14:textId="6D9F9F75">
            <w:pPr>
              <w:jc w:val="center"/>
              <w:rPr>
                <w:b/>
                <w:sz w:val="22"/>
                <w:szCs w:val="22"/>
              </w:rPr>
            </w:pPr>
            <w:r>
              <w:rPr>
                <w:b/>
                <w:sz w:val="22"/>
                <w:szCs w:val="22"/>
              </w:rPr>
              <w:t>2</w:t>
            </w:r>
            <w:r w:rsidR="00D060E9">
              <w:rPr>
                <w:b/>
                <w:sz w:val="22"/>
                <w:szCs w:val="22"/>
              </w:rPr>
              <w:t>6</w:t>
            </w:r>
          </w:p>
        </w:tc>
      </w:tr>
    </w:tbl>
    <w:p w:rsidR="00F3170F" w:rsidP="00F3170F" w:rsidRDefault="00F3170F" w14:paraId="49A17238" w14:textId="77777777"/>
    <w:p w:rsidR="009A036B" w:rsidP="009A036B" w:rsidRDefault="00422E40" w14:paraId="51A79D8B" w14:textId="7E8FD010">
      <w:pPr>
        <w:rPr>
          <w:b/>
        </w:rPr>
      </w:pPr>
      <w:r>
        <w:rPr>
          <w:b/>
        </w:rPr>
        <w:t>COST TO RESPONDENTS</w:t>
      </w:r>
    </w:p>
    <w:p w:rsidRPr="00422E40" w:rsidR="00422E40" w:rsidP="009A036B" w:rsidRDefault="00422E40" w14:paraId="6E2DE946" w14:textId="77777777">
      <w:pPr>
        <w:rPr>
          <w:bCs/>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5D11AD" w14:paraId="4BFE2F96" w14:textId="77777777">
        <w:trPr>
          <w:trHeight w:val="404"/>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B07575" w:rsidTr="00FD7FD7" w14:paraId="39344035" w14:textId="77777777">
        <w:trPr>
          <w:trHeight w:val="260"/>
        </w:trPr>
        <w:tc>
          <w:tcPr>
            <w:tcW w:w="1454" w:type="pct"/>
          </w:tcPr>
          <w:p w:rsidRPr="00FD7FD7" w:rsidR="00B07575" w:rsidP="00F70DC4" w:rsidRDefault="00E520D9" w14:paraId="7174696D" w14:textId="68BB1708">
            <w:pPr>
              <w:rPr>
                <w:sz w:val="22"/>
                <w:szCs w:val="22"/>
              </w:rPr>
            </w:pPr>
            <w:r>
              <w:rPr>
                <w:sz w:val="22"/>
                <w:szCs w:val="22"/>
              </w:rPr>
              <w:t>Individuals/Households</w:t>
            </w:r>
          </w:p>
        </w:tc>
        <w:tc>
          <w:tcPr>
            <w:tcW w:w="1172" w:type="pct"/>
            <w:vAlign w:val="center"/>
          </w:tcPr>
          <w:p w:rsidRPr="00FD7FD7" w:rsidR="00B07575" w:rsidP="0097631D" w:rsidRDefault="003E2BE6" w14:paraId="19FD75EF" w14:textId="08B8F56B">
            <w:pPr>
              <w:jc w:val="center"/>
              <w:rPr>
                <w:sz w:val="22"/>
                <w:szCs w:val="22"/>
              </w:rPr>
            </w:pPr>
            <w:r>
              <w:rPr>
                <w:sz w:val="22"/>
                <w:szCs w:val="22"/>
              </w:rPr>
              <w:t>2</w:t>
            </w:r>
            <w:r w:rsidR="00D060E9">
              <w:rPr>
                <w:sz w:val="22"/>
                <w:szCs w:val="22"/>
              </w:rPr>
              <w:t>6</w:t>
            </w:r>
          </w:p>
        </w:tc>
        <w:tc>
          <w:tcPr>
            <w:tcW w:w="1314" w:type="pct"/>
            <w:vAlign w:val="center"/>
          </w:tcPr>
          <w:p w:rsidRPr="00FD7FD7" w:rsidR="00B07575" w:rsidP="0097631D" w:rsidRDefault="005D11AD" w14:paraId="2BA204B4" w14:textId="12BF0AD1">
            <w:pPr>
              <w:jc w:val="center"/>
              <w:rPr>
                <w:sz w:val="22"/>
                <w:szCs w:val="22"/>
              </w:rPr>
            </w:pPr>
            <w:r w:rsidRPr="00FD7FD7">
              <w:rPr>
                <w:sz w:val="22"/>
                <w:szCs w:val="22"/>
              </w:rPr>
              <w:t>$</w:t>
            </w:r>
            <w:r w:rsidR="005F6D7E">
              <w:rPr>
                <w:sz w:val="22"/>
                <w:szCs w:val="22"/>
              </w:rPr>
              <w:t>25</w:t>
            </w:r>
            <w:r w:rsidRPr="00FD7FD7">
              <w:rPr>
                <w:sz w:val="22"/>
                <w:szCs w:val="22"/>
              </w:rPr>
              <w:t>.</w:t>
            </w:r>
            <w:r w:rsidR="005F6D7E">
              <w:rPr>
                <w:sz w:val="22"/>
                <w:szCs w:val="22"/>
              </w:rPr>
              <w:t>72</w:t>
            </w:r>
            <w:r w:rsidRPr="00FD7FD7">
              <w:rPr>
                <w:sz w:val="22"/>
                <w:szCs w:val="22"/>
              </w:rPr>
              <w:t>/</w:t>
            </w:r>
            <w:proofErr w:type="spellStart"/>
            <w:r w:rsidRPr="00FD7FD7">
              <w:rPr>
                <w:sz w:val="22"/>
                <w:szCs w:val="22"/>
              </w:rPr>
              <w:t>hr</w:t>
            </w:r>
            <w:proofErr w:type="spellEnd"/>
          </w:p>
        </w:tc>
        <w:tc>
          <w:tcPr>
            <w:tcW w:w="1060" w:type="pct"/>
            <w:vAlign w:val="center"/>
          </w:tcPr>
          <w:p w:rsidRPr="00FD7FD7" w:rsidR="00B07575" w:rsidP="0097631D" w:rsidRDefault="005D11AD" w14:paraId="019B2DAF" w14:textId="3F847989">
            <w:pPr>
              <w:jc w:val="center"/>
              <w:rPr>
                <w:sz w:val="22"/>
                <w:szCs w:val="22"/>
              </w:rPr>
            </w:pPr>
            <w:r>
              <w:rPr>
                <w:sz w:val="22"/>
                <w:szCs w:val="22"/>
              </w:rPr>
              <w:t>$</w:t>
            </w:r>
            <w:r w:rsidR="00C3044D">
              <w:rPr>
                <w:sz w:val="22"/>
                <w:szCs w:val="22"/>
              </w:rPr>
              <w:t>669</w:t>
            </w:r>
          </w:p>
        </w:tc>
      </w:tr>
      <w:tr w:rsidRPr="00FD7FD7" w:rsidR="00CA2010"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3E388689">
            <w:pPr>
              <w:jc w:val="center"/>
              <w:rPr>
                <w:b/>
                <w:sz w:val="22"/>
                <w:szCs w:val="22"/>
              </w:rPr>
            </w:pPr>
          </w:p>
        </w:tc>
        <w:tc>
          <w:tcPr>
            <w:tcW w:w="1314" w:type="pct"/>
            <w:vAlign w:val="center"/>
          </w:tcPr>
          <w:p w:rsidRPr="00FD7FD7" w:rsidR="00CA2010" w:rsidP="0097631D" w:rsidRDefault="00CA2010" w14:paraId="4E94F0D0" w14:textId="198E1083">
            <w:pPr>
              <w:jc w:val="center"/>
              <w:rPr>
                <w:sz w:val="22"/>
                <w:szCs w:val="22"/>
              </w:rPr>
            </w:pPr>
          </w:p>
        </w:tc>
        <w:tc>
          <w:tcPr>
            <w:tcW w:w="1060" w:type="pct"/>
            <w:vAlign w:val="center"/>
          </w:tcPr>
          <w:p w:rsidRPr="00222483" w:rsidR="00CA2010" w:rsidP="0097631D" w:rsidRDefault="005D11AD" w14:paraId="42E738B3" w14:textId="0558DCDF">
            <w:pPr>
              <w:jc w:val="center"/>
              <w:rPr>
                <w:b/>
                <w:bCs/>
                <w:sz w:val="22"/>
                <w:szCs w:val="22"/>
              </w:rPr>
            </w:pPr>
            <w:r w:rsidRPr="00222483">
              <w:rPr>
                <w:b/>
                <w:bCs/>
                <w:sz w:val="22"/>
                <w:szCs w:val="22"/>
              </w:rPr>
              <w:t>$</w:t>
            </w:r>
            <w:r w:rsidR="00C3044D">
              <w:rPr>
                <w:b/>
                <w:bCs/>
                <w:sz w:val="22"/>
                <w:szCs w:val="22"/>
              </w:rPr>
              <w:t>669</w:t>
            </w:r>
          </w:p>
        </w:tc>
      </w:tr>
    </w:tbl>
    <w:p w:rsidRPr="00476DE5" w:rsidR="009A036B" w:rsidP="009A036B" w:rsidRDefault="00CA2010" w14:paraId="2F6C8789" w14:textId="39DDC519">
      <w:pPr>
        <w:rPr>
          <w:i/>
          <w:iCs/>
          <w:sz w:val="18"/>
          <w:szCs w:val="18"/>
        </w:rPr>
      </w:pPr>
      <w:r w:rsidRPr="00B07575">
        <w:rPr>
          <w:i/>
          <w:iCs/>
          <w:sz w:val="18"/>
          <w:szCs w:val="18"/>
        </w:rPr>
        <w:t>*</w:t>
      </w:r>
      <w:r w:rsidRPr="00B07575" w:rsidR="00B07575">
        <w:rPr>
          <w:i/>
          <w:iCs/>
          <w:sz w:val="18"/>
          <w:szCs w:val="18"/>
        </w:rPr>
        <w:t xml:space="preserve"> </w:t>
      </w:r>
      <w:r w:rsidR="00B43437">
        <w:rPr>
          <w:i/>
          <w:iCs/>
          <w:sz w:val="18"/>
          <w:szCs w:val="18"/>
        </w:rPr>
        <w:t>R</w:t>
      </w:r>
      <w:r w:rsidRPr="000F44E8" w:rsidR="000F44E8">
        <w:rPr>
          <w:i/>
          <w:iCs/>
          <w:sz w:val="18"/>
          <w:szCs w:val="18"/>
        </w:rPr>
        <w:t xml:space="preserve">espondent </w:t>
      </w:r>
      <w:r w:rsidRPr="00476DE5" w:rsidR="00B07575">
        <w:rPr>
          <w:i/>
          <w:iCs/>
          <w:sz w:val="18"/>
          <w:szCs w:val="18"/>
        </w:rPr>
        <w:t xml:space="preserve">wage rate data </w:t>
      </w:r>
      <w:r w:rsidR="000F44E8">
        <w:rPr>
          <w:i/>
          <w:iCs/>
          <w:sz w:val="18"/>
          <w:szCs w:val="18"/>
        </w:rPr>
        <w:t>are</w:t>
      </w:r>
      <w:r w:rsidRPr="00476DE5" w:rsidR="00B07575">
        <w:rPr>
          <w:i/>
          <w:iCs/>
          <w:sz w:val="18"/>
          <w:szCs w:val="18"/>
        </w:rPr>
        <w:t xml:space="preserve"> from the </w:t>
      </w:r>
      <w:r w:rsidR="005F6D7E">
        <w:rPr>
          <w:i/>
          <w:iCs/>
          <w:sz w:val="18"/>
          <w:szCs w:val="18"/>
        </w:rPr>
        <w:t>All Occupations</w:t>
      </w:r>
      <w:r w:rsidRPr="00476DE5" w:rsidR="00B07575">
        <w:rPr>
          <w:i/>
          <w:iCs/>
          <w:sz w:val="18"/>
          <w:szCs w:val="18"/>
        </w:rPr>
        <w:t xml:space="preserve"> (</w:t>
      </w:r>
      <w:r w:rsidR="005F6D7E">
        <w:rPr>
          <w:i/>
          <w:iCs/>
          <w:sz w:val="18"/>
          <w:szCs w:val="18"/>
        </w:rPr>
        <w:t>00</w:t>
      </w:r>
      <w:r w:rsidRPr="00476DE5" w:rsidR="00B07575">
        <w:rPr>
          <w:i/>
          <w:iCs/>
          <w:sz w:val="18"/>
          <w:szCs w:val="18"/>
        </w:rPr>
        <w:t>-</w:t>
      </w:r>
      <w:r w:rsidR="005F6D7E">
        <w:rPr>
          <w:i/>
          <w:iCs/>
          <w:sz w:val="18"/>
          <w:szCs w:val="18"/>
        </w:rPr>
        <w:t>0000</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2">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27D51550"/>
    <w:p w:rsidR="00AF1D9F" w:rsidP="00F3170F" w:rsidRDefault="00AF1D9F" w14:paraId="349F72CF" w14:textId="77777777"/>
    <w:p w:rsidR="005E714A" w:rsidRDefault="001C39F7" w14:paraId="7059F3F6" w14:textId="6E80C241">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FD7FD7">
        <w:t xml:space="preserve"> </w:t>
      </w:r>
      <w:r w:rsidR="000A0EC2">
        <w:rPr>
          <w:u w:val="single"/>
        </w:rPr>
        <w:t>8,144</w:t>
      </w:r>
    </w:p>
    <w:p w:rsidRPr="009A036B" w:rsidR="009A036B" w:rsidP="009A036B" w:rsidRDefault="009A036B" w14:paraId="4C4EC6A7" w14:textId="2D9A84F2">
      <w:r>
        <w:rPr>
          <w:b/>
        </w:rPr>
        <w:lastRenderedPageBreak/>
        <w:t xml:space="preserve">                         </w:t>
      </w:r>
    </w:p>
    <w:tbl>
      <w:tblPr>
        <w:tblW w:w="5000" w:type="pct"/>
        <w:tblCellMar>
          <w:left w:w="0" w:type="dxa"/>
          <w:right w:w="0" w:type="dxa"/>
        </w:tblCellMar>
        <w:tblLook w:val="04A0" w:firstRow="1" w:lastRow="0" w:firstColumn="1" w:lastColumn="0" w:noHBand="0" w:noVBand="1"/>
      </w:tblPr>
      <w:tblGrid>
        <w:gridCol w:w="2160"/>
        <w:gridCol w:w="1096"/>
        <w:gridCol w:w="1396"/>
        <w:gridCol w:w="1054"/>
        <w:gridCol w:w="1900"/>
        <w:gridCol w:w="1734"/>
      </w:tblGrid>
      <w:tr w:rsidRPr="00476DE5" w:rsidR="009A036B" w:rsidTr="00960AF5" w14:paraId="6B479689" w14:textId="77777777">
        <w:trPr>
          <w:trHeight w:val="367"/>
        </w:trPr>
        <w:tc>
          <w:tcPr>
            <w:tcW w:w="1156"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55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65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1065"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976"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9A036B" w:rsidTr="00960AF5" w14:paraId="174147F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87"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55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65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9A036B" w:rsidTr="009F3902" w14:paraId="175E3AFE"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018E5" w:rsidR="009A036B" w:rsidP="009A036B" w:rsidRDefault="00D35B96" w14:paraId="3E728DBF" w14:textId="56A3E701">
            <w:pPr>
              <w:rPr>
                <w:sz w:val="22"/>
                <w:szCs w:val="22"/>
              </w:rPr>
            </w:pPr>
            <w:r w:rsidRPr="00D35B96">
              <w:rPr>
                <w:sz w:val="22"/>
                <w:szCs w:val="22"/>
              </w:rPr>
              <w:t>Program Analyst</w:t>
            </w:r>
          </w:p>
        </w:tc>
        <w:tc>
          <w:tcPr>
            <w:tcW w:w="587" w:type="pct"/>
            <w:tcBorders>
              <w:top w:val="nil"/>
              <w:left w:val="nil"/>
              <w:bottom w:val="single" w:color="auto" w:sz="8" w:space="0"/>
              <w:right w:val="single" w:color="auto" w:sz="8" w:space="0"/>
            </w:tcBorders>
            <w:shd w:val="clear" w:color="auto" w:fill="auto"/>
            <w:vAlign w:val="center"/>
          </w:tcPr>
          <w:p w:rsidRPr="009F3902" w:rsidR="009A036B" w:rsidP="0056217B" w:rsidRDefault="00F55676" w14:paraId="4BB4A902" w14:textId="5262506C">
            <w:pPr>
              <w:jc w:val="center"/>
              <w:rPr>
                <w:sz w:val="22"/>
                <w:szCs w:val="22"/>
              </w:rPr>
            </w:pPr>
            <w:r w:rsidRPr="009F3902">
              <w:rPr>
                <w:sz w:val="22"/>
                <w:szCs w:val="22"/>
              </w:rPr>
              <w:t>1</w:t>
            </w:r>
            <w:r w:rsidRPr="009F3902" w:rsidR="00DA0189">
              <w:rPr>
                <w:sz w:val="22"/>
                <w:szCs w:val="22"/>
              </w:rPr>
              <w:t>3</w:t>
            </w:r>
            <w:r w:rsidRPr="009F3902" w:rsidR="000F7731">
              <w:rPr>
                <w:sz w:val="22"/>
                <w:szCs w:val="22"/>
              </w:rPr>
              <w:t>/</w:t>
            </w:r>
            <w:r w:rsidRPr="009F3902" w:rsidR="00DA0189">
              <w:rPr>
                <w:sz w:val="22"/>
                <w:szCs w:val="22"/>
              </w:rPr>
              <w:t>10</w:t>
            </w: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F3902" w:rsidR="009A036B" w:rsidP="00240714" w:rsidRDefault="000F7731" w14:paraId="6CC49CA6" w14:textId="64397998">
            <w:pPr>
              <w:jc w:val="center"/>
              <w:rPr>
                <w:sz w:val="22"/>
                <w:szCs w:val="22"/>
              </w:rPr>
            </w:pPr>
            <w:r w:rsidRPr="009F3902">
              <w:rPr>
                <w:sz w:val="22"/>
                <w:szCs w:val="22"/>
              </w:rPr>
              <w:t>$</w:t>
            </w:r>
            <w:r w:rsidRPr="009F3902" w:rsidR="00F60BA9">
              <w:rPr>
                <w:sz w:val="22"/>
                <w:szCs w:val="22"/>
              </w:rPr>
              <w:t>133,465</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F3902" w:rsidR="009A036B" w:rsidP="00240714" w:rsidRDefault="00090096" w14:paraId="4DBA6DDC" w14:textId="2FD0E42C">
            <w:pPr>
              <w:jc w:val="center"/>
              <w:rPr>
                <w:sz w:val="22"/>
                <w:szCs w:val="22"/>
              </w:rPr>
            </w:pPr>
            <w:r w:rsidRPr="009F3902">
              <w:rPr>
                <w:sz w:val="22"/>
                <w:szCs w:val="22"/>
              </w:rPr>
              <w:t>1</w:t>
            </w:r>
          </w:p>
        </w:tc>
        <w:tc>
          <w:tcPr>
            <w:tcW w:w="1065" w:type="pct"/>
            <w:tcBorders>
              <w:top w:val="nil"/>
              <w:left w:val="nil"/>
              <w:bottom w:val="single" w:color="auto" w:sz="8" w:space="0"/>
              <w:right w:val="single" w:color="auto" w:sz="8" w:space="0"/>
            </w:tcBorders>
            <w:shd w:val="clear" w:color="auto" w:fill="BFBFBF"/>
            <w:vAlign w:val="center"/>
          </w:tcPr>
          <w:p w:rsidRPr="00476DE5" w:rsidR="009A036B" w:rsidP="00476DE5" w:rsidRDefault="009A036B" w14:paraId="04157DF2" w14:textId="77777777">
            <w:pPr>
              <w:jc w:val="center"/>
              <w:rPr>
                <w:sz w:val="22"/>
                <w:szCs w:val="22"/>
              </w:rPr>
            </w:pPr>
          </w:p>
        </w:tc>
        <w:tc>
          <w:tcPr>
            <w:tcW w:w="976" w:type="pct"/>
            <w:tcBorders>
              <w:top w:val="nil"/>
              <w:left w:val="nil"/>
              <w:bottom w:val="single" w:color="auto" w:sz="8" w:space="0"/>
              <w:right w:val="single" w:color="auto" w:sz="8" w:space="0"/>
            </w:tcBorders>
            <w:shd w:val="clear" w:color="auto" w:fill="auto"/>
            <w:vAlign w:val="center"/>
          </w:tcPr>
          <w:p w:rsidRPr="00476DE5" w:rsidR="009A036B" w:rsidP="00476DE5" w:rsidRDefault="00FD7FD7" w14:paraId="478D6B67" w14:textId="0D933A59">
            <w:pPr>
              <w:jc w:val="center"/>
              <w:rPr>
                <w:sz w:val="22"/>
                <w:szCs w:val="22"/>
              </w:rPr>
            </w:pPr>
            <w:r w:rsidRPr="00476DE5">
              <w:rPr>
                <w:sz w:val="22"/>
                <w:szCs w:val="22"/>
              </w:rPr>
              <w:t>$</w:t>
            </w:r>
            <w:r w:rsidR="000B006E">
              <w:rPr>
                <w:sz w:val="22"/>
                <w:szCs w:val="22"/>
              </w:rPr>
              <w:t>1,335</w:t>
            </w:r>
          </w:p>
        </w:tc>
      </w:tr>
      <w:tr w:rsidRPr="00476DE5" w:rsidR="009A036B" w:rsidTr="009F3902" w14:paraId="27B00A3A"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D35B96" w14:paraId="59E70F42" w14:textId="5203D36F">
            <w:pPr>
              <w:rPr>
                <w:sz w:val="22"/>
                <w:szCs w:val="22"/>
              </w:rPr>
            </w:pPr>
            <w:r w:rsidRPr="00D35B96">
              <w:rPr>
                <w:sz w:val="22"/>
                <w:szCs w:val="22"/>
              </w:rPr>
              <w:t>Public Health Analyst</w:t>
            </w:r>
          </w:p>
        </w:tc>
        <w:tc>
          <w:tcPr>
            <w:tcW w:w="587" w:type="pct"/>
            <w:tcBorders>
              <w:top w:val="nil"/>
              <w:left w:val="nil"/>
              <w:bottom w:val="single" w:color="auto" w:sz="8" w:space="0"/>
              <w:right w:val="single" w:color="auto" w:sz="8" w:space="0"/>
            </w:tcBorders>
            <w:shd w:val="clear" w:color="auto" w:fill="auto"/>
          </w:tcPr>
          <w:p w:rsidRPr="009F3902" w:rsidR="009A036B" w:rsidP="0056217B" w:rsidRDefault="00467572" w14:paraId="104145A6" w14:textId="1F069823">
            <w:pPr>
              <w:jc w:val="center"/>
              <w:rPr>
                <w:sz w:val="22"/>
                <w:szCs w:val="22"/>
              </w:rPr>
            </w:pPr>
            <w:r w:rsidRPr="009F3902">
              <w:rPr>
                <w:sz w:val="22"/>
                <w:szCs w:val="22"/>
              </w:rPr>
              <w:t>1</w:t>
            </w:r>
            <w:r w:rsidRPr="009F3902" w:rsidR="00454287">
              <w:rPr>
                <w:sz w:val="22"/>
                <w:szCs w:val="22"/>
              </w:rPr>
              <w:t>4</w:t>
            </w:r>
            <w:r w:rsidRPr="009F3902">
              <w:rPr>
                <w:sz w:val="22"/>
                <w:szCs w:val="22"/>
              </w:rPr>
              <w:t>/</w:t>
            </w:r>
            <w:r w:rsidRPr="009F3902" w:rsidR="00454287">
              <w:rPr>
                <w:sz w:val="22"/>
                <w:szCs w:val="22"/>
              </w:rPr>
              <w:t>8</w:t>
            </w: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F3902" w:rsidR="009A036B" w:rsidP="00240714" w:rsidRDefault="00392386" w14:paraId="3319AFA5" w14:textId="247E34A3">
            <w:pPr>
              <w:jc w:val="center"/>
              <w:rPr>
                <w:sz w:val="22"/>
                <w:szCs w:val="22"/>
              </w:rPr>
            </w:pPr>
            <w:r w:rsidRPr="009F3902">
              <w:rPr>
                <w:sz w:val="22"/>
                <w:szCs w:val="22"/>
              </w:rPr>
              <w:t>$</w:t>
            </w:r>
            <w:r w:rsidRPr="009F3902" w:rsidR="006D778A">
              <w:rPr>
                <w:sz w:val="22"/>
                <w:szCs w:val="22"/>
              </w:rPr>
              <w:t>149,621</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F3902" w:rsidR="009A036B" w:rsidP="00240714" w:rsidRDefault="000B006E" w14:paraId="7B742B93" w14:textId="266A4AA0">
            <w:pPr>
              <w:jc w:val="center"/>
              <w:rPr>
                <w:sz w:val="22"/>
                <w:szCs w:val="22"/>
              </w:rPr>
            </w:pPr>
            <w:r w:rsidRPr="009F3902">
              <w:rPr>
                <w:sz w:val="22"/>
                <w:szCs w:val="22"/>
              </w:rPr>
              <w:t>1.4</w:t>
            </w: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32B8900D"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9A036B" w:rsidP="00E9466C" w:rsidRDefault="00E9466C" w14:paraId="6D7B210E" w14:textId="624BE59F">
            <w:pPr>
              <w:jc w:val="center"/>
              <w:rPr>
                <w:sz w:val="22"/>
                <w:szCs w:val="22"/>
              </w:rPr>
            </w:pPr>
            <w:r>
              <w:rPr>
                <w:sz w:val="22"/>
                <w:szCs w:val="22"/>
              </w:rPr>
              <w:t>$</w:t>
            </w:r>
            <w:r w:rsidR="00FE2543">
              <w:rPr>
                <w:sz w:val="22"/>
                <w:szCs w:val="22"/>
              </w:rPr>
              <w:t>2,095</w:t>
            </w:r>
          </w:p>
        </w:tc>
      </w:tr>
      <w:tr w:rsidRPr="00476DE5" w:rsidR="009A036B" w:rsidTr="00960AF5" w14:paraId="3290972B"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7851B87" w14:textId="77777777">
            <w:pPr>
              <w:rPr>
                <w:b/>
                <w:sz w:val="22"/>
                <w:szCs w:val="22"/>
              </w:rPr>
            </w:pPr>
            <w:r w:rsidRPr="00476DE5">
              <w:rPr>
                <w:b/>
                <w:sz w:val="22"/>
                <w:szCs w:val="22"/>
              </w:rPr>
              <w:t>Contractor Cost</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387DD652" w14:textId="77777777">
            <w:pPr>
              <w:rPr>
                <w:sz w:val="22"/>
                <w:szCs w:val="22"/>
              </w:rPr>
            </w:pPr>
          </w:p>
        </w:tc>
        <w:tc>
          <w:tcPr>
            <w:tcW w:w="55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240714" w:rsidRDefault="009A036B" w14:paraId="4E93DE2E" w14:textId="77777777">
            <w:pPr>
              <w:jc w:val="center"/>
              <w:rPr>
                <w:sz w:val="22"/>
                <w:szCs w:val="22"/>
              </w:rPr>
            </w:pPr>
          </w:p>
        </w:tc>
        <w:tc>
          <w:tcPr>
            <w:tcW w:w="65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240714" w:rsidRDefault="009A036B" w14:paraId="19BF751D" w14:textId="77777777">
            <w:pPr>
              <w:jc w:val="center"/>
              <w:rPr>
                <w:sz w:val="22"/>
                <w:szCs w:val="22"/>
              </w:rPr>
            </w:pPr>
          </w:p>
        </w:tc>
        <w:tc>
          <w:tcPr>
            <w:tcW w:w="1065" w:type="pct"/>
            <w:tcBorders>
              <w:top w:val="nil"/>
              <w:left w:val="nil"/>
              <w:bottom w:val="single" w:color="auto" w:sz="8" w:space="0"/>
              <w:right w:val="single" w:color="auto" w:sz="8" w:space="0"/>
            </w:tcBorders>
          </w:tcPr>
          <w:p w:rsidRPr="00476DE5" w:rsidR="009A036B" w:rsidP="009A036B" w:rsidRDefault="009A036B" w14:paraId="60FC8A50"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5353026B" w14:textId="77777777">
            <w:pPr>
              <w:rPr>
                <w:sz w:val="22"/>
                <w:szCs w:val="22"/>
              </w:rPr>
            </w:pPr>
          </w:p>
        </w:tc>
      </w:tr>
      <w:tr w:rsidRPr="00476DE5" w:rsidR="009A036B" w:rsidTr="0081459A" w14:paraId="75420D64"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60AF5" w14:paraId="70040D5B" w14:textId="3205901F">
            <w:pPr>
              <w:rPr>
                <w:sz w:val="22"/>
                <w:szCs w:val="22"/>
              </w:rPr>
            </w:pPr>
            <w:r>
              <w:rPr>
                <w:sz w:val="22"/>
                <w:szCs w:val="22"/>
              </w:rPr>
              <w:t>Evaluation Specialist</w:t>
            </w:r>
          </w:p>
        </w:tc>
        <w:tc>
          <w:tcPr>
            <w:tcW w:w="587" w:type="pct"/>
            <w:tcBorders>
              <w:top w:val="nil"/>
              <w:left w:val="nil"/>
              <w:bottom w:val="single" w:color="auto" w:sz="8" w:space="0"/>
              <w:right w:val="single" w:color="auto" w:sz="8" w:space="0"/>
            </w:tcBorders>
            <w:shd w:val="clear" w:color="auto" w:fill="auto"/>
          </w:tcPr>
          <w:p w:rsidRPr="000650C7" w:rsidR="009A036B" w:rsidP="009A036B" w:rsidRDefault="009A036B" w14:paraId="668159DC"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9A036B" w:rsidP="00240714" w:rsidRDefault="00147807" w14:paraId="0B614C3B" w14:textId="7A36BF76">
            <w:pPr>
              <w:jc w:val="center"/>
              <w:rPr>
                <w:sz w:val="22"/>
                <w:szCs w:val="22"/>
              </w:rPr>
            </w:pPr>
            <w:r w:rsidRPr="0081459A">
              <w:rPr>
                <w:sz w:val="22"/>
                <w:szCs w:val="22"/>
              </w:rPr>
              <w:t>$</w:t>
            </w:r>
            <w:r w:rsidRPr="0081459A" w:rsidR="0076073F">
              <w:rPr>
                <w:sz w:val="22"/>
                <w:szCs w:val="22"/>
              </w:rPr>
              <w:t>120.54/h</w:t>
            </w:r>
            <w:r w:rsidRPr="0081459A" w:rsidR="005661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9A036B" w:rsidP="00240714" w:rsidRDefault="0076073F" w14:paraId="2EB617DA" w14:textId="6F3D646B">
            <w:pPr>
              <w:jc w:val="center"/>
              <w:rPr>
                <w:sz w:val="22"/>
                <w:szCs w:val="22"/>
              </w:rPr>
            </w:pPr>
            <w:r w:rsidRPr="0081459A">
              <w:rPr>
                <w:sz w:val="22"/>
                <w:szCs w:val="22"/>
              </w:rPr>
              <w:t>10</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9A036B" w:rsidP="009A036B" w:rsidRDefault="009A036B" w14:paraId="1ABDC450"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9A036B" w:rsidP="00FC5575" w:rsidRDefault="00C27337" w14:paraId="7D20FACA" w14:textId="044888C3">
            <w:pPr>
              <w:jc w:val="center"/>
              <w:rPr>
                <w:sz w:val="22"/>
                <w:szCs w:val="22"/>
              </w:rPr>
            </w:pPr>
            <w:r>
              <w:rPr>
                <w:sz w:val="22"/>
                <w:szCs w:val="22"/>
              </w:rPr>
              <w:t>$1,20</w:t>
            </w:r>
            <w:r w:rsidR="001F25A4">
              <w:rPr>
                <w:sz w:val="22"/>
                <w:szCs w:val="22"/>
              </w:rPr>
              <w:t>5</w:t>
            </w:r>
          </w:p>
        </w:tc>
      </w:tr>
      <w:tr w:rsidRPr="00476DE5" w:rsidR="00D814D1" w:rsidTr="0081459A" w14:paraId="6D5DBFB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3511AC7E" w14:textId="0629E1C1">
            <w:pPr>
              <w:rPr>
                <w:sz w:val="22"/>
                <w:szCs w:val="22"/>
              </w:rPr>
            </w:pPr>
            <w:r>
              <w:rPr>
                <w:sz w:val="22"/>
                <w:szCs w:val="22"/>
              </w:rPr>
              <w:t>Writer/Editor</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02133478"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35D09924" w14:textId="60541A91">
            <w:pPr>
              <w:jc w:val="center"/>
              <w:rPr>
                <w:sz w:val="22"/>
                <w:szCs w:val="22"/>
              </w:rPr>
            </w:pPr>
            <w:r w:rsidRPr="0081459A">
              <w:rPr>
                <w:sz w:val="22"/>
                <w:szCs w:val="22"/>
              </w:rPr>
              <w:t>$</w:t>
            </w:r>
            <w:r w:rsidRPr="0081459A" w:rsidR="0076073F">
              <w:rPr>
                <w:sz w:val="22"/>
                <w:szCs w:val="22"/>
              </w:rPr>
              <w:t>125.33/h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1E8FC0BD" w14:textId="43F21D38">
            <w:pPr>
              <w:jc w:val="center"/>
              <w:rPr>
                <w:sz w:val="22"/>
                <w:szCs w:val="22"/>
              </w:rPr>
            </w:pPr>
            <w:r w:rsidRPr="0081459A">
              <w:rPr>
                <w:sz w:val="22"/>
                <w:szCs w:val="22"/>
              </w:rPr>
              <w:t>3</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0BE1E828"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749403AB" w14:textId="4C6492BE">
            <w:pPr>
              <w:jc w:val="center"/>
              <w:rPr>
                <w:sz w:val="22"/>
                <w:szCs w:val="22"/>
              </w:rPr>
            </w:pPr>
            <w:r>
              <w:rPr>
                <w:sz w:val="22"/>
                <w:szCs w:val="22"/>
              </w:rPr>
              <w:t>$376</w:t>
            </w:r>
          </w:p>
        </w:tc>
      </w:tr>
      <w:tr w:rsidRPr="00476DE5" w:rsidR="00D814D1" w:rsidTr="0081459A" w14:paraId="344E86D2"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642AA3EC" w14:textId="345943AC">
            <w:pPr>
              <w:rPr>
                <w:sz w:val="22"/>
                <w:szCs w:val="22"/>
              </w:rPr>
            </w:pPr>
            <w:r>
              <w:rPr>
                <w:sz w:val="22"/>
                <w:szCs w:val="22"/>
              </w:rPr>
              <w:t>Project Manager</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52DF72B2"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613FE7F6" w14:textId="3CAE3067">
            <w:pPr>
              <w:jc w:val="center"/>
              <w:rPr>
                <w:sz w:val="22"/>
                <w:szCs w:val="22"/>
              </w:rPr>
            </w:pPr>
            <w:r w:rsidRPr="0081459A">
              <w:rPr>
                <w:sz w:val="22"/>
                <w:szCs w:val="22"/>
              </w:rPr>
              <w:t>$</w:t>
            </w:r>
            <w:r w:rsidRPr="0081459A" w:rsidR="0076073F">
              <w:rPr>
                <w:sz w:val="22"/>
                <w:szCs w:val="22"/>
              </w:rPr>
              <w:t>189/h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6BB2A547" w14:textId="32FAFA35">
            <w:pPr>
              <w:jc w:val="center"/>
              <w:rPr>
                <w:sz w:val="22"/>
                <w:szCs w:val="22"/>
              </w:rPr>
            </w:pPr>
            <w:r w:rsidRPr="0081459A">
              <w:rPr>
                <w:sz w:val="22"/>
                <w:szCs w:val="22"/>
              </w:rPr>
              <w:t>5</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3F7B77A0"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7EA8FF13" w14:textId="14B84435">
            <w:pPr>
              <w:jc w:val="center"/>
              <w:rPr>
                <w:sz w:val="22"/>
                <w:szCs w:val="22"/>
              </w:rPr>
            </w:pPr>
            <w:r>
              <w:rPr>
                <w:sz w:val="22"/>
                <w:szCs w:val="22"/>
              </w:rPr>
              <w:t>$9</w:t>
            </w:r>
            <w:r w:rsidR="001F25A4">
              <w:rPr>
                <w:sz w:val="22"/>
                <w:szCs w:val="22"/>
              </w:rPr>
              <w:t>45</w:t>
            </w:r>
          </w:p>
        </w:tc>
      </w:tr>
      <w:tr w:rsidRPr="00476DE5" w:rsidR="00D814D1" w:rsidTr="0081459A" w14:paraId="29D22F11"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4D097EAA" w14:textId="15FE176F">
            <w:pPr>
              <w:rPr>
                <w:sz w:val="22"/>
                <w:szCs w:val="22"/>
              </w:rPr>
            </w:pPr>
            <w:r>
              <w:rPr>
                <w:sz w:val="22"/>
                <w:szCs w:val="22"/>
              </w:rPr>
              <w:t>Web/IT</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004D0E10"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2721282C" w14:textId="361642C3">
            <w:pPr>
              <w:jc w:val="center"/>
              <w:rPr>
                <w:sz w:val="22"/>
                <w:szCs w:val="22"/>
              </w:rPr>
            </w:pPr>
            <w:r w:rsidRPr="0081459A">
              <w:rPr>
                <w:sz w:val="22"/>
                <w:szCs w:val="22"/>
              </w:rPr>
              <w:t>$</w:t>
            </w:r>
            <w:r w:rsidRPr="0081459A" w:rsidR="0076073F">
              <w:rPr>
                <w:sz w:val="22"/>
                <w:szCs w:val="22"/>
              </w:rPr>
              <w:t>78.14/h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3E0EE7D8" w14:textId="54473A8A">
            <w:pPr>
              <w:jc w:val="center"/>
              <w:rPr>
                <w:sz w:val="22"/>
                <w:szCs w:val="22"/>
              </w:rPr>
            </w:pPr>
            <w:r w:rsidRPr="0081459A">
              <w:rPr>
                <w:sz w:val="22"/>
                <w:szCs w:val="22"/>
              </w:rPr>
              <w:t>28</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5CE112BF" w14:textId="11ACBB84">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41991BF4" w14:textId="23DAD3B4">
            <w:pPr>
              <w:jc w:val="center"/>
              <w:rPr>
                <w:sz w:val="22"/>
                <w:szCs w:val="22"/>
              </w:rPr>
            </w:pPr>
            <w:r>
              <w:rPr>
                <w:sz w:val="22"/>
                <w:szCs w:val="22"/>
              </w:rPr>
              <w:t>$2,</w:t>
            </w:r>
            <w:r w:rsidR="001F25A4">
              <w:rPr>
                <w:sz w:val="22"/>
                <w:szCs w:val="22"/>
              </w:rPr>
              <w:t>188</w:t>
            </w:r>
          </w:p>
        </w:tc>
      </w:tr>
      <w:tr w:rsidRPr="00476DE5" w:rsidR="009A036B" w:rsidTr="00960AF5" w14:paraId="064EBA7C"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208B8D5" w14:textId="77777777">
            <w:pPr>
              <w:rPr>
                <w:sz w:val="22"/>
                <w:szCs w:val="22"/>
              </w:rPr>
            </w:pPr>
            <w:r w:rsidRPr="00476DE5">
              <w:rPr>
                <w:sz w:val="22"/>
                <w:szCs w:val="22"/>
              </w:rPr>
              <w:t>Travel</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23A76E77"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9458FB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2CA75113"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29DE0777"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45D13799" w14:textId="77777777">
            <w:pPr>
              <w:rPr>
                <w:sz w:val="22"/>
                <w:szCs w:val="22"/>
              </w:rPr>
            </w:pPr>
          </w:p>
        </w:tc>
      </w:tr>
      <w:tr w:rsidRPr="00476DE5" w:rsidR="00422E40" w:rsidTr="00960AF5" w14:paraId="7FF600D3"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422E40" w:rsidP="009A036B" w:rsidRDefault="00422E40" w14:paraId="09B7AC48" w14:textId="5ECC444F">
            <w:pPr>
              <w:rPr>
                <w:sz w:val="22"/>
                <w:szCs w:val="22"/>
              </w:rPr>
            </w:pPr>
            <w:r w:rsidRPr="00476DE5">
              <w:rPr>
                <w:sz w:val="22"/>
                <w:szCs w:val="22"/>
              </w:rPr>
              <w:t>Other Cost</w:t>
            </w:r>
          </w:p>
        </w:tc>
        <w:tc>
          <w:tcPr>
            <w:tcW w:w="587" w:type="pct"/>
            <w:tcBorders>
              <w:top w:val="nil"/>
              <w:left w:val="nil"/>
              <w:bottom w:val="single" w:color="auto" w:sz="8" w:space="0"/>
              <w:right w:val="single" w:color="auto" w:sz="8" w:space="0"/>
            </w:tcBorders>
            <w:shd w:val="clear" w:color="auto" w:fill="BFBFBF"/>
          </w:tcPr>
          <w:p w:rsidRPr="00476DE5" w:rsidR="00422E40" w:rsidP="009A036B" w:rsidRDefault="00422E40" w14:paraId="6658EA58"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7C2327E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6BBEC55F"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422E40" w:rsidP="009A036B" w:rsidRDefault="00422E40" w14:paraId="10A6C27A" w14:textId="77777777">
            <w:pPr>
              <w:rPr>
                <w:sz w:val="22"/>
                <w:szCs w:val="22"/>
              </w:rPr>
            </w:pPr>
          </w:p>
        </w:tc>
        <w:tc>
          <w:tcPr>
            <w:tcW w:w="976" w:type="pct"/>
            <w:tcBorders>
              <w:top w:val="nil"/>
              <w:left w:val="nil"/>
              <w:bottom w:val="single" w:color="auto" w:sz="8" w:space="0"/>
              <w:right w:val="single" w:color="auto" w:sz="8" w:space="0"/>
            </w:tcBorders>
          </w:tcPr>
          <w:p w:rsidRPr="00476DE5" w:rsidR="00422E40" w:rsidP="009A036B" w:rsidRDefault="00422E40" w14:paraId="687F8AA0" w14:textId="77777777">
            <w:pPr>
              <w:rPr>
                <w:sz w:val="22"/>
                <w:szCs w:val="22"/>
              </w:rPr>
            </w:pPr>
          </w:p>
        </w:tc>
      </w:tr>
      <w:tr w:rsidRPr="00476DE5" w:rsidR="009A036B" w:rsidTr="00960AF5" w14:paraId="0EC6E4B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2E40" w:rsidR="009A036B" w:rsidP="009A036B" w:rsidRDefault="00422E40" w14:paraId="1554C89E" w14:textId="3918F1D6">
            <w:pPr>
              <w:rPr>
                <w:sz w:val="22"/>
                <w:szCs w:val="22"/>
              </w:rPr>
            </w:pPr>
            <w:r>
              <w:rPr>
                <w:sz w:val="22"/>
                <w:szCs w:val="22"/>
              </w:rPr>
              <w:t>Total</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70A11742"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F06323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5BC14FE8"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22234EBA"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422E40" w:rsidRDefault="00422E40" w14:paraId="3F8FE813" w14:textId="50140CEC">
            <w:pPr>
              <w:jc w:val="center"/>
              <w:rPr>
                <w:sz w:val="22"/>
                <w:szCs w:val="22"/>
              </w:rPr>
            </w:pPr>
            <w:r>
              <w:rPr>
                <w:sz w:val="22"/>
                <w:szCs w:val="22"/>
              </w:rPr>
              <w:t>$</w:t>
            </w:r>
            <w:r w:rsidR="000A0EC2">
              <w:rPr>
                <w:sz w:val="22"/>
                <w:szCs w:val="22"/>
              </w:rPr>
              <w:t>8,144</w:t>
            </w:r>
          </w:p>
        </w:tc>
      </w:tr>
    </w:tbl>
    <w:p w:rsidRPr="00E23E7E" w:rsidR="009A036B" w:rsidP="009A036B" w:rsidRDefault="00155CB5" w14:paraId="1226591A" w14:textId="77777777">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3">
        <w:r w:rsidRPr="00E23E7E" w:rsidR="00E23E7E">
          <w:rPr>
            <w:rStyle w:val="Hyperlink"/>
            <w:i/>
            <w:iCs/>
            <w:sz w:val="18"/>
            <w:szCs w:val="18"/>
          </w:rPr>
          <w:t>https://www.opm.gov/policy-data-oversight/pay-leave/salaries-wages/salary-tables/pdf/2020/DCB.pdf</w:t>
        </w:r>
      </w:hyperlink>
      <w:r w:rsidRPr="00E23E7E" w:rsidR="00E23E7E">
        <w:rPr>
          <w:i/>
          <w:iCs/>
          <w:sz w:val="18"/>
          <w:szCs w:val="18"/>
        </w:rPr>
        <w:t xml:space="preserve">. </w:t>
      </w:r>
    </w:p>
    <w:p w:rsidR="0069403B" w:rsidP="00F06866" w:rsidRDefault="0069403B" w14:paraId="6434E288" w14:textId="10BEA916">
      <w:pPr>
        <w:rPr>
          <w:b/>
        </w:rPr>
      </w:pPr>
    </w:p>
    <w:p w:rsidR="00647C0E" w:rsidP="00F06866" w:rsidRDefault="00647C0E" w14:paraId="1EDA37E3" w14:textId="77777777">
      <w:pPr>
        <w:rPr>
          <w:b/>
        </w:rPr>
      </w:pPr>
    </w:p>
    <w:p w:rsidR="00F06866" w:rsidP="00F06866" w:rsidRDefault="00636621" w14:paraId="5BE35C10" w14:textId="77777777">
      <w:pPr>
        <w:rPr>
          <w:b/>
        </w:rPr>
      </w:pPr>
      <w:r>
        <w:rPr>
          <w:b/>
        </w:rPr>
        <w:t>The</w:t>
      </w:r>
      <w:r w:rsidR="0069403B">
        <w:rPr>
          <w:b/>
        </w:rPr>
        <w:t xml:space="preserve"> select</w:t>
      </w:r>
      <w:r>
        <w:rPr>
          <w:b/>
        </w:rPr>
        <w:t>ion of targeted respondents</w:t>
      </w:r>
    </w:p>
    <w:p w:rsidRPr="00DA7B4C" w:rsidR="0069403B" w:rsidP="0069403B" w:rsidRDefault="0069403B" w14:paraId="3C4FB7CA" w14:textId="0CEA80F2">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proofErr w:type="gramStart"/>
      <w:r w:rsidRPr="00DA7B4C">
        <w:t>[</w:t>
      </w:r>
      <w:r w:rsidR="0072053B">
        <w:t xml:space="preserve"> </w:t>
      </w:r>
      <w:r w:rsidRPr="00DA7B4C">
        <w:t>]</w:t>
      </w:r>
      <w:proofErr w:type="gramEnd"/>
      <w:r w:rsidRPr="00DA7B4C">
        <w:t xml:space="preserve"> Yes</w:t>
      </w:r>
      <w:r w:rsidRPr="00DA7B4C">
        <w:tab/>
        <w:t>[</w:t>
      </w:r>
      <w:r w:rsidR="0075387E">
        <w:t xml:space="preserve"> X</w:t>
      </w:r>
      <w:r w:rsidR="00AF38D5">
        <w:t xml:space="preserve"> </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B07575" w:rsidP="00A403BB" w:rsidRDefault="00856133" w14:paraId="0D97ECD2" w14:textId="5D9AD15A">
      <w:pPr>
        <w:pStyle w:val="ColorfulList-Accent11"/>
      </w:pPr>
      <w:r w:rsidRPr="00856133">
        <w:t>Respondents who contact the NIMH IRC and wish to complete the survey(s) will voluntarily do so.</w:t>
      </w:r>
    </w:p>
    <w:p w:rsidR="00AF38D5" w:rsidP="00A403BB" w:rsidRDefault="00AF38D5" w14:paraId="223EACA3" w14:textId="77777777"/>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4701BB1A">
      <w:pPr>
        <w:ind w:left="720"/>
      </w:pPr>
      <w:proofErr w:type="gramStart"/>
      <w:r w:rsidRPr="00DA7B4C">
        <w:t>[</w:t>
      </w:r>
      <w:r w:rsidR="00F775F6">
        <w:t xml:space="preserve"> </w:t>
      </w:r>
      <w:r w:rsidRPr="00DA7B4C">
        <w:t>]</w:t>
      </w:r>
      <w:proofErr w:type="gramEnd"/>
      <w:r w:rsidRPr="00DA7B4C">
        <w:t xml:space="preserve"> Web-based</w:t>
      </w:r>
      <w:r w:rsidRPr="00DA7B4C" w:rsidR="001B0AAA">
        <w:t xml:space="preserve"> or other forms of Social Media </w:t>
      </w:r>
    </w:p>
    <w:p w:rsidRPr="00DA7B4C" w:rsidR="001B0AAA" w:rsidP="001B0AAA" w:rsidRDefault="00A403BB" w14:paraId="6C7A720D" w14:textId="1FA2ACBA">
      <w:pPr>
        <w:ind w:left="720"/>
      </w:pPr>
      <w:proofErr w:type="gramStart"/>
      <w:r w:rsidRPr="00DA7B4C">
        <w:t>[</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0763DFB" w14:textId="193EF751">
      <w:pPr>
        <w:ind w:left="720"/>
      </w:pPr>
      <w:proofErr w:type="gramStart"/>
      <w:r w:rsidRPr="00DA7B4C">
        <w:t>[ ]</w:t>
      </w:r>
      <w:proofErr w:type="gramEnd"/>
      <w:r w:rsidRPr="00DA7B4C">
        <w:t xml:space="preserve"> In-person</w:t>
      </w:r>
      <w:r w:rsidRPr="00DA7B4C">
        <w:tab/>
      </w:r>
    </w:p>
    <w:p w:rsidRPr="00DA7B4C" w:rsidR="001B0AAA" w:rsidP="001B0AAA" w:rsidRDefault="00A403BB" w14:paraId="43349755" w14:textId="51432DC0">
      <w:pPr>
        <w:ind w:left="720"/>
      </w:pPr>
      <w:proofErr w:type="gramStart"/>
      <w:r w:rsidRPr="00DA7B4C">
        <w:t>[</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1FADF7A9">
      <w:pPr>
        <w:ind w:left="720"/>
      </w:pPr>
      <w:r w:rsidRPr="00DA7B4C">
        <w:t>[</w:t>
      </w:r>
      <w:r w:rsidR="00F775F6">
        <w:t xml:space="preserve"> </w:t>
      </w:r>
      <w:proofErr w:type="gramStart"/>
      <w:r w:rsidR="00F775F6">
        <w:t>X</w:t>
      </w:r>
      <w:r w:rsidR="00E23E7E">
        <w:t xml:space="preserve"> </w:t>
      </w:r>
      <w:r w:rsidRPr="00DA7B4C">
        <w:t>]</w:t>
      </w:r>
      <w:proofErr w:type="gramEnd"/>
      <w:r w:rsidRPr="00DA7B4C">
        <w:t xml:space="preserve"> Survey form</w:t>
      </w:r>
    </w:p>
    <w:p w:rsidRPr="00DA7B4C" w:rsidR="006A0D31" w:rsidP="001B0AAA" w:rsidRDefault="006A0D31" w14:paraId="7EDCA444" w14:textId="7002CB9C">
      <w:pPr>
        <w:ind w:left="720"/>
      </w:pPr>
      <w:proofErr w:type="gramStart"/>
      <w:r w:rsidRPr="00DA7B4C">
        <w:t>[ ]</w:t>
      </w:r>
      <w:proofErr w:type="gramEnd"/>
      <w:r w:rsidRPr="00DA7B4C">
        <w:t xml:space="preserve"> Chart Abstraction</w:t>
      </w:r>
    </w:p>
    <w:p w:rsidRPr="00DA7B4C" w:rsidR="001B0AAA" w:rsidP="001B0AAA" w:rsidRDefault="00A403BB" w14:paraId="7196B432" w14:textId="364A08DF">
      <w:pPr>
        <w:ind w:left="720"/>
      </w:pPr>
      <w:proofErr w:type="gramStart"/>
      <w:r w:rsidRPr="00DA7B4C">
        <w:t>[</w:t>
      </w:r>
      <w:r w:rsidRPr="00DA7B4C" w:rsidR="001B0AAA">
        <w:t xml:space="preserve"> </w:t>
      </w:r>
      <w:r w:rsidRPr="00DA7B4C">
        <w:t>]</w:t>
      </w:r>
      <w:proofErr w:type="gramEnd"/>
      <w:r w:rsidRPr="00DA7B4C">
        <w:t xml:space="preserve"> Other, Explain</w:t>
      </w:r>
    </w:p>
    <w:p w:rsidRPr="00DA7B4C" w:rsidR="006A0D31" w:rsidP="001B0AAA" w:rsidRDefault="006A0D31" w14:paraId="3D8BC6CB" w14:textId="77777777">
      <w:pPr>
        <w:ind w:left="720"/>
      </w:pPr>
    </w:p>
    <w:p w:rsidRPr="00DA7B4C" w:rsidR="00F24CFC" w:rsidP="00F24CFC" w:rsidRDefault="00F24CFC" w14:paraId="3656317D" w14:textId="773A5A31">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AF38D5">
        <w:t xml:space="preserve"> </w:t>
      </w:r>
      <w:r w:rsidR="00B07575">
        <w:t>X</w:t>
      </w:r>
      <w:r w:rsidR="00AF38D5">
        <w:t xml:space="preserve"> </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1B404" w14:textId="77777777" w:rsidR="002F3AF3" w:rsidRDefault="002F3AF3">
      <w:r>
        <w:separator/>
      </w:r>
    </w:p>
  </w:endnote>
  <w:endnote w:type="continuationSeparator" w:id="0">
    <w:p w14:paraId="5FB41422" w14:textId="77777777" w:rsidR="002F3AF3" w:rsidRDefault="002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7B550" w14:textId="77777777" w:rsidR="002F3AF3" w:rsidRDefault="002F3AF3">
      <w:r>
        <w:separator/>
      </w:r>
    </w:p>
  </w:footnote>
  <w:footnote w:type="continuationSeparator" w:id="0">
    <w:p w14:paraId="14F2AF1F" w14:textId="77777777" w:rsidR="002F3AF3" w:rsidRDefault="002F3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D03"/>
    <w:rsid w:val="0002148F"/>
    <w:rsid w:val="00023A57"/>
    <w:rsid w:val="000340EB"/>
    <w:rsid w:val="00035FB8"/>
    <w:rsid w:val="00041648"/>
    <w:rsid w:val="000458F3"/>
    <w:rsid w:val="00047A64"/>
    <w:rsid w:val="000650C7"/>
    <w:rsid w:val="00067329"/>
    <w:rsid w:val="000722CE"/>
    <w:rsid w:val="00072687"/>
    <w:rsid w:val="00073743"/>
    <w:rsid w:val="000752F7"/>
    <w:rsid w:val="0008613B"/>
    <w:rsid w:val="00090096"/>
    <w:rsid w:val="000913EC"/>
    <w:rsid w:val="000A0EC2"/>
    <w:rsid w:val="000B006E"/>
    <w:rsid w:val="000B0BCC"/>
    <w:rsid w:val="000B2838"/>
    <w:rsid w:val="000D2771"/>
    <w:rsid w:val="000D44CA"/>
    <w:rsid w:val="000E200B"/>
    <w:rsid w:val="000F44E8"/>
    <w:rsid w:val="000F68BE"/>
    <w:rsid w:val="000F7731"/>
    <w:rsid w:val="0010211E"/>
    <w:rsid w:val="0013139D"/>
    <w:rsid w:val="00147807"/>
    <w:rsid w:val="00155CB5"/>
    <w:rsid w:val="00162F83"/>
    <w:rsid w:val="0018208D"/>
    <w:rsid w:val="001855D1"/>
    <w:rsid w:val="00186850"/>
    <w:rsid w:val="001927A4"/>
    <w:rsid w:val="00194AC6"/>
    <w:rsid w:val="001A23B0"/>
    <w:rsid w:val="001A25CC"/>
    <w:rsid w:val="001A420C"/>
    <w:rsid w:val="001B0AAA"/>
    <w:rsid w:val="001C39F7"/>
    <w:rsid w:val="001C516E"/>
    <w:rsid w:val="001F25A4"/>
    <w:rsid w:val="00206722"/>
    <w:rsid w:val="002153DC"/>
    <w:rsid w:val="00217F3F"/>
    <w:rsid w:val="00222483"/>
    <w:rsid w:val="00237B48"/>
    <w:rsid w:val="00240714"/>
    <w:rsid w:val="0024521E"/>
    <w:rsid w:val="00253C26"/>
    <w:rsid w:val="002569F8"/>
    <w:rsid w:val="00263C3D"/>
    <w:rsid w:val="00265C67"/>
    <w:rsid w:val="00274D0B"/>
    <w:rsid w:val="002815A3"/>
    <w:rsid w:val="00284110"/>
    <w:rsid w:val="002B3C95"/>
    <w:rsid w:val="002C2D8E"/>
    <w:rsid w:val="002D0B92"/>
    <w:rsid w:val="002D26E2"/>
    <w:rsid w:val="002E66E0"/>
    <w:rsid w:val="002E6D94"/>
    <w:rsid w:val="002F3AF3"/>
    <w:rsid w:val="00302906"/>
    <w:rsid w:val="00315A96"/>
    <w:rsid w:val="00315E91"/>
    <w:rsid w:val="00317C43"/>
    <w:rsid w:val="00325914"/>
    <w:rsid w:val="00335E28"/>
    <w:rsid w:val="003668D6"/>
    <w:rsid w:val="00370629"/>
    <w:rsid w:val="00382FD8"/>
    <w:rsid w:val="00392386"/>
    <w:rsid w:val="003964FB"/>
    <w:rsid w:val="003A7074"/>
    <w:rsid w:val="003A7E3F"/>
    <w:rsid w:val="003B22FE"/>
    <w:rsid w:val="003D0243"/>
    <w:rsid w:val="003D1BBE"/>
    <w:rsid w:val="003D5345"/>
    <w:rsid w:val="003D5BBE"/>
    <w:rsid w:val="003E2BE6"/>
    <w:rsid w:val="003E3C61"/>
    <w:rsid w:val="003F0BA2"/>
    <w:rsid w:val="003F1C5B"/>
    <w:rsid w:val="004114A0"/>
    <w:rsid w:val="00417046"/>
    <w:rsid w:val="00421291"/>
    <w:rsid w:val="00422E40"/>
    <w:rsid w:val="00431EB1"/>
    <w:rsid w:val="00432CC8"/>
    <w:rsid w:val="00434E33"/>
    <w:rsid w:val="00441434"/>
    <w:rsid w:val="0045264C"/>
    <w:rsid w:val="00454287"/>
    <w:rsid w:val="00467572"/>
    <w:rsid w:val="00472DF1"/>
    <w:rsid w:val="00476DE5"/>
    <w:rsid w:val="004876EC"/>
    <w:rsid w:val="004B2C8B"/>
    <w:rsid w:val="004D6E14"/>
    <w:rsid w:val="004E0B52"/>
    <w:rsid w:val="004E46C8"/>
    <w:rsid w:val="004E48BF"/>
    <w:rsid w:val="004E56D6"/>
    <w:rsid w:val="004F0C9C"/>
    <w:rsid w:val="005009B0"/>
    <w:rsid w:val="00504B01"/>
    <w:rsid w:val="00510997"/>
    <w:rsid w:val="005451A5"/>
    <w:rsid w:val="00545EDE"/>
    <w:rsid w:val="005516E6"/>
    <w:rsid w:val="00554C90"/>
    <w:rsid w:val="005609E2"/>
    <w:rsid w:val="0056217B"/>
    <w:rsid w:val="0056619A"/>
    <w:rsid w:val="00573FE2"/>
    <w:rsid w:val="005A1006"/>
    <w:rsid w:val="005A2D2B"/>
    <w:rsid w:val="005A740D"/>
    <w:rsid w:val="005A772A"/>
    <w:rsid w:val="005D11AD"/>
    <w:rsid w:val="005E0E15"/>
    <w:rsid w:val="005E714A"/>
    <w:rsid w:val="005F6D7E"/>
    <w:rsid w:val="006112DD"/>
    <w:rsid w:val="0061146C"/>
    <w:rsid w:val="0061398D"/>
    <w:rsid w:val="006140A0"/>
    <w:rsid w:val="006154B8"/>
    <w:rsid w:val="00620DA3"/>
    <w:rsid w:val="006221D2"/>
    <w:rsid w:val="00633F74"/>
    <w:rsid w:val="00636621"/>
    <w:rsid w:val="00642B49"/>
    <w:rsid w:val="00647C0E"/>
    <w:rsid w:val="006733CF"/>
    <w:rsid w:val="006832D9"/>
    <w:rsid w:val="00686301"/>
    <w:rsid w:val="00691C11"/>
    <w:rsid w:val="0069403B"/>
    <w:rsid w:val="006A0D31"/>
    <w:rsid w:val="006C4CBA"/>
    <w:rsid w:val="006C534F"/>
    <w:rsid w:val="006D3368"/>
    <w:rsid w:val="006D5F47"/>
    <w:rsid w:val="006D61A1"/>
    <w:rsid w:val="006D778A"/>
    <w:rsid w:val="006E4B8E"/>
    <w:rsid w:val="006E7380"/>
    <w:rsid w:val="006F3DDE"/>
    <w:rsid w:val="006F46AA"/>
    <w:rsid w:val="007026EE"/>
    <w:rsid w:val="00704678"/>
    <w:rsid w:val="0072053B"/>
    <w:rsid w:val="007210EF"/>
    <w:rsid w:val="007425E7"/>
    <w:rsid w:val="007441B7"/>
    <w:rsid w:val="00747F4E"/>
    <w:rsid w:val="0075387E"/>
    <w:rsid w:val="00753CA4"/>
    <w:rsid w:val="0076073F"/>
    <w:rsid w:val="00762CAC"/>
    <w:rsid w:val="00766D95"/>
    <w:rsid w:val="00771136"/>
    <w:rsid w:val="0077703F"/>
    <w:rsid w:val="00777CCE"/>
    <w:rsid w:val="00790FAA"/>
    <w:rsid w:val="00791B2F"/>
    <w:rsid w:val="007B19D3"/>
    <w:rsid w:val="007C157A"/>
    <w:rsid w:val="007D48F4"/>
    <w:rsid w:val="00802607"/>
    <w:rsid w:val="008101A5"/>
    <w:rsid w:val="0081459A"/>
    <w:rsid w:val="0082060B"/>
    <w:rsid w:val="00821488"/>
    <w:rsid w:val="008224B2"/>
    <w:rsid w:val="00822664"/>
    <w:rsid w:val="008242DD"/>
    <w:rsid w:val="00833B07"/>
    <w:rsid w:val="00843796"/>
    <w:rsid w:val="00844372"/>
    <w:rsid w:val="00856133"/>
    <w:rsid w:val="00882F94"/>
    <w:rsid w:val="00886B9B"/>
    <w:rsid w:val="00890408"/>
    <w:rsid w:val="00895229"/>
    <w:rsid w:val="008956A8"/>
    <w:rsid w:val="00895956"/>
    <w:rsid w:val="008B6568"/>
    <w:rsid w:val="008C4183"/>
    <w:rsid w:val="008E0AA9"/>
    <w:rsid w:val="008E1AEB"/>
    <w:rsid w:val="008F0203"/>
    <w:rsid w:val="008F50D4"/>
    <w:rsid w:val="009239AA"/>
    <w:rsid w:val="00927437"/>
    <w:rsid w:val="009318FB"/>
    <w:rsid w:val="00935ADA"/>
    <w:rsid w:val="0094269D"/>
    <w:rsid w:val="00943973"/>
    <w:rsid w:val="00943EDA"/>
    <w:rsid w:val="00946B6C"/>
    <w:rsid w:val="00952DFB"/>
    <w:rsid w:val="00955A71"/>
    <w:rsid w:val="009569C0"/>
    <w:rsid w:val="00960AF5"/>
    <w:rsid w:val="0096108F"/>
    <w:rsid w:val="0097631D"/>
    <w:rsid w:val="009903CA"/>
    <w:rsid w:val="009A036B"/>
    <w:rsid w:val="009A7806"/>
    <w:rsid w:val="009C13B9"/>
    <w:rsid w:val="009C6AD2"/>
    <w:rsid w:val="009D01A2"/>
    <w:rsid w:val="009D56F3"/>
    <w:rsid w:val="009E4D2F"/>
    <w:rsid w:val="009F3902"/>
    <w:rsid w:val="009F5923"/>
    <w:rsid w:val="00A229F1"/>
    <w:rsid w:val="00A403BB"/>
    <w:rsid w:val="00A4403C"/>
    <w:rsid w:val="00A612A1"/>
    <w:rsid w:val="00A6629B"/>
    <w:rsid w:val="00A674DF"/>
    <w:rsid w:val="00A730A3"/>
    <w:rsid w:val="00A805E3"/>
    <w:rsid w:val="00A83AA6"/>
    <w:rsid w:val="00A9799D"/>
    <w:rsid w:val="00AB07E7"/>
    <w:rsid w:val="00AC60E8"/>
    <w:rsid w:val="00AC63E4"/>
    <w:rsid w:val="00AE0537"/>
    <w:rsid w:val="00AE14B1"/>
    <w:rsid w:val="00AE1809"/>
    <w:rsid w:val="00AF1D9F"/>
    <w:rsid w:val="00AF38D5"/>
    <w:rsid w:val="00B00369"/>
    <w:rsid w:val="00B01CEC"/>
    <w:rsid w:val="00B07575"/>
    <w:rsid w:val="00B11017"/>
    <w:rsid w:val="00B335A1"/>
    <w:rsid w:val="00B43437"/>
    <w:rsid w:val="00B5596D"/>
    <w:rsid w:val="00B713C1"/>
    <w:rsid w:val="00B73D35"/>
    <w:rsid w:val="00B73FD2"/>
    <w:rsid w:val="00B80D76"/>
    <w:rsid w:val="00B846E0"/>
    <w:rsid w:val="00B870A0"/>
    <w:rsid w:val="00B90AD9"/>
    <w:rsid w:val="00B9460E"/>
    <w:rsid w:val="00BA2105"/>
    <w:rsid w:val="00BA63EA"/>
    <w:rsid w:val="00BA7E06"/>
    <w:rsid w:val="00BB43B5"/>
    <w:rsid w:val="00BB6219"/>
    <w:rsid w:val="00BC676D"/>
    <w:rsid w:val="00BD290F"/>
    <w:rsid w:val="00BD453F"/>
    <w:rsid w:val="00BD4927"/>
    <w:rsid w:val="00BE02F4"/>
    <w:rsid w:val="00BF0779"/>
    <w:rsid w:val="00C02AD0"/>
    <w:rsid w:val="00C07E81"/>
    <w:rsid w:val="00C14CC4"/>
    <w:rsid w:val="00C238A2"/>
    <w:rsid w:val="00C27337"/>
    <w:rsid w:val="00C3044D"/>
    <w:rsid w:val="00C33C52"/>
    <w:rsid w:val="00C40D8B"/>
    <w:rsid w:val="00C8407A"/>
    <w:rsid w:val="00C84793"/>
    <w:rsid w:val="00C8488C"/>
    <w:rsid w:val="00C86E91"/>
    <w:rsid w:val="00CA19A3"/>
    <w:rsid w:val="00CA2010"/>
    <w:rsid w:val="00CA2650"/>
    <w:rsid w:val="00CB1078"/>
    <w:rsid w:val="00CC6FAF"/>
    <w:rsid w:val="00CD5612"/>
    <w:rsid w:val="00CF72B8"/>
    <w:rsid w:val="00D060E9"/>
    <w:rsid w:val="00D067F3"/>
    <w:rsid w:val="00D12872"/>
    <w:rsid w:val="00D24698"/>
    <w:rsid w:val="00D30646"/>
    <w:rsid w:val="00D35B96"/>
    <w:rsid w:val="00D35EBD"/>
    <w:rsid w:val="00D43C75"/>
    <w:rsid w:val="00D6383F"/>
    <w:rsid w:val="00D814D1"/>
    <w:rsid w:val="00D8766B"/>
    <w:rsid w:val="00DA0189"/>
    <w:rsid w:val="00DA7AA9"/>
    <w:rsid w:val="00DA7B4C"/>
    <w:rsid w:val="00DB37D5"/>
    <w:rsid w:val="00DB44AC"/>
    <w:rsid w:val="00DB4A58"/>
    <w:rsid w:val="00DB4BA3"/>
    <w:rsid w:val="00DB59D0"/>
    <w:rsid w:val="00DC2A7E"/>
    <w:rsid w:val="00DC33D3"/>
    <w:rsid w:val="00DF20F4"/>
    <w:rsid w:val="00DF3A4F"/>
    <w:rsid w:val="00E018E5"/>
    <w:rsid w:val="00E11F58"/>
    <w:rsid w:val="00E23E7E"/>
    <w:rsid w:val="00E26329"/>
    <w:rsid w:val="00E40B50"/>
    <w:rsid w:val="00E4221A"/>
    <w:rsid w:val="00E50293"/>
    <w:rsid w:val="00E520D9"/>
    <w:rsid w:val="00E65FFC"/>
    <w:rsid w:val="00E80951"/>
    <w:rsid w:val="00E86CC6"/>
    <w:rsid w:val="00E87061"/>
    <w:rsid w:val="00E9207E"/>
    <w:rsid w:val="00E9466C"/>
    <w:rsid w:val="00EA0B0F"/>
    <w:rsid w:val="00EA2B9A"/>
    <w:rsid w:val="00EB4B97"/>
    <w:rsid w:val="00EB56B3"/>
    <w:rsid w:val="00EC03CA"/>
    <w:rsid w:val="00EC2F23"/>
    <w:rsid w:val="00ED6492"/>
    <w:rsid w:val="00EF2095"/>
    <w:rsid w:val="00EF228B"/>
    <w:rsid w:val="00EF3C2A"/>
    <w:rsid w:val="00EF53BF"/>
    <w:rsid w:val="00F06866"/>
    <w:rsid w:val="00F11F87"/>
    <w:rsid w:val="00F15956"/>
    <w:rsid w:val="00F24CFC"/>
    <w:rsid w:val="00F3170F"/>
    <w:rsid w:val="00F35D95"/>
    <w:rsid w:val="00F44AE4"/>
    <w:rsid w:val="00F52EDC"/>
    <w:rsid w:val="00F54960"/>
    <w:rsid w:val="00F55676"/>
    <w:rsid w:val="00F55E23"/>
    <w:rsid w:val="00F5791D"/>
    <w:rsid w:val="00F60BA9"/>
    <w:rsid w:val="00F70DC4"/>
    <w:rsid w:val="00F753EB"/>
    <w:rsid w:val="00F775F6"/>
    <w:rsid w:val="00F96B09"/>
    <w:rsid w:val="00F976B0"/>
    <w:rsid w:val="00FA6DE7"/>
    <w:rsid w:val="00FB3218"/>
    <w:rsid w:val="00FB7807"/>
    <w:rsid w:val="00FC0A8E"/>
    <w:rsid w:val="00FC5575"/>
    <w:rsid w:val="00FC5CFA"/>
    <w:rsid w:val="00FD7FD7"/>
    <w:rsid w:val="00FE2543"/>
    <w:rsid w:val="00FE2FA6"/>
    <w:rsid w:val="00FE3C1D"/>
    <w:rsid w:val="00FE3DF2"/>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mhinfo@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118FE-6CD6-4583-882F-5E676021B299}">
  <ds:schemaRefs>
    <ds:schemaRef ds:uri="http://schemas.openxmlformats.org/officeDocument/2006/bibliography"/>
  </ds:schemaRefs>
</ds:datastoreItem>
</file>

<file path=customXml/itemProps2.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4BAB1-1F91-443E-997C-5ADD06C2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91F3F-6F3E-4A82-9438-E78E38DB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6368</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2</cp:revision>
  <cp:lastPrinted>2016-05-26T17:45:00Z</cp:lastPrinted>
  <dcterms:created xsi:type="dcterms:W3CDTF">2021-03-23T22:19:00Z</dcterms:created>
  <dcterms:modified xsi:type="dcterms:W3CDTF">2021-03-23T22:19:00Z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