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3B7798" w14:paraId="671144FA" w14:textId="77777777">
      <w:pPr>
        <w:spacing w:after="0" w:line="240" w:lineRule="auto"/>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3B7798" w14:paraId="1C900676" w14:textId="47D6D07D">
      <w:pPr>
        <w:spacing w:after="0" w:line="240" w:lineRule="auto"/>
        <w:jc w:val="center"/>
        <w:rPr>
          <w:rFonts w:asciiTheme="majorHAnsi" w:hAnsiTheme="majorHAnsi"/>
          <w:sz w:val="24"/>
        </w:rPr>
      </w:pPr>
      <w:r w:rsidRPr="003E0F33">
        <w:rPr>
          <w:sz w:val="24"/>
          <w:szCs w:val="24"/>
        </w:rPr>
        <w:t>Income and Asset Statement in Supp</w:t>
      </w:r>
      <w:r w:rsidRPr="00976C2B">
        <w:rPr>
          <w:sz w:val="24"/>
          <w:szCs w:val="24"/>
        </w:rPr>
        <w:t xml:space="preserve">ort of Claim for Pension or Parent's Dependency and Indemnity Compensation (D.I.C.) </w:t>
      </w:r>
      <w:r w:rsidRPr="00976C2B">
        <w:rPr>
          <w:rFonts w:asciiTheme="majorHAnsi" w:hAnsiTheme="majorHAnsi"/>
          <w:sz w:val="24"/>
        </w:rPr>
        <w:t>– 2900-</w:t>
      </w:r>
      <w:r w:rsidRPr="00976C2B" w:rsidR="00976C2B">
        <w:rPr>
          <w:rFonts w:asciiTheme="majorHAnsi" w:hAnsiTheme="majorHAnsi"/>
          <w:sz w:val="24"/>
        </w:rPr>
        <w:t>0829</w:t>
      </w:r>
    </w:p>
    <w:p w:rsidR="00340D9B" w:rsidP="003B7798"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3B7798" w:rsidP="003B7798" w14:paraId="3409E7F1" w14:textId="77777777">
            <w:pPr>
              <w:rPr>
                <w:rFonts w:asciiTheme="majorHAnsi" w:hAnsiTheme="majorHAnsi"/>
                <w:sz w:val="24"/>
              </w:rPr>
            </w:pPr>
            <w:r w:rsidRPr="003B7798">
              <w:rPr>
                <w:rFonts w:asciiTheme="majorHAnsi" w:hAnsiTheme="majorHAnsi"/>
                <w:sz w:val="24"/>
              </w:rPr>
              <w:t xml:space="preserve">Summary of Changes from Previously Approved Collection </w:t>
            </w:r>
          </w:p>
          <w:p w:rsidR="00594B6B" w:rsidRPr="00E2489B" w:rsidP="003B7798" w14:paraId="447C4C87" w14:textId="77777777">
            <w:pPr>
              <w:rPr>
                <w:rFonts w:asciiTheme="majorHAnsi" w:hAnsiTheme="majorHAnsi"/>
                <w:i/>
                <w:sz w:val="24"/>
                <w:highlight w:val="yellow"/>
              </w:rPr>
            </w:pPr>
          </w:p>
          <w:p w:rsidR="00B14389" w:rsidRPr="00B14389" w:rsidP="003B7798" w14:paraId="125BF40E" w14:textId="77777777">
            <w:pPr>
              <w:pStyle w:val="ListParagraph"/>
              <w:numPr>
                <w:ilvl w:val="0"/>
                <w:numId w:val="23"/>
              </w:numPr>
              <w:rPr>
                <w:rFonts w:asciiTheme="majorHAnsi" w:hAnsiTheme="majorHAnsi"/>
                <w:iCs/>
                <w:sz w:val="24"/>
              </w:rPr>
            </w:pPr>
            <w:r w:rsidRPr="00B14389">
              <w:rPr>
                <w:rFonts w:asciiTheme="majorHAnsi" w:hAnsiTheme="majorHAnsi"/>
                <w:iCs/>
                <w:sz w:val="24"/>
              </w:rPr>
              <w:t>Reorganized the layout to group instructions first, then questions.</w:t>
            </w:r>
          </w:p>
          <w:p w:rsidR="00B14389" w:rsidRPr="00B14389" w:rsidP="003B7798" w14:paraId="6CAE798D" w14:textId="39856150">
            <w:pPr>
              <w:pStyle w:val="ListParagraph"/>
              <w:numPr>
                <w:ilvl w:val="0"/>
                <w:numId w:val="23"/>
              </w:numPr>
              <w:rPr>
                <w:rFonts w:asciiTheme="majorHAnsi" w:hAnsiTheme="majorHAnsi"/>
                <w:iCs/>
                <w:sz w:val="24"/>
              </w:rPr>
            </w:pPr>
            <w:r w:rsidRPr="00B14389">
              <w:rPr>
                <w:rFonts w:asciiTheme="majorHAnsi" w:hAnsiTheme="majorHAnsi"/>
                <w:iCs/>
                <w:sz w:val="24"/>
              </w:rPr>
              <w:t>Income and asset types reorganized for easier completion by claimants and faster processing</w:t>
            </w:r>
            <w:r>
              <w:rPr>
                <w:rFonts w:asciiTheme="majorHAnsi" w:hAnsiTheme="majorHAnsi"/>
                <w:iCs/>
                <w:sz w:val="24"/>
              </w:rPr>
              <w:t>.</w:t>
            </w:r>
          </w:p>
          <w:p w:rsidR="00B14389" w:rsidRPr="00B14389" w:rsidP="003B7798" w14:paraId="7C7A0676" w14:textId="4B34A6EE">
            <w:pPr>
              <w:pStyle w:val="ListParagraph"/>
              <w:numPr>
                <w:ilvl w:val="0"/>
                <w:numId w:val="23"/>
              </w:numPr>
              <w:rPr>
                <w:rFonts w:asciiTheme="majorHAnsi" w:hAnsiTheme="majorHAnsi"/>
                <w:iCs/>
                <w:sz w:val="24"/>
              </w:rPr>
            </w:pPr>
            <w:r w:rsidRPr="00B14389">
              <w:rPr>
                <w:rFonts w:asciiTheme="majorHAnsi" w:hAnsiTheme="majorHAnsi"/>
                <w:iCs/>
                <w:sz w:val="24"/>
              </w:rPr>
              <w:t xml:space="preserve">Income and Asset information has been </w:t>
            </w:r>
            <w:r w:rsidRPr="00B14389">
              <w:rPr>
                <w:rFonts w:asciiTheme="majorHAnsi" w:hAnsiTheme="majorHAnsi"/>
                <w:iCs/>
                <w:sz w:val="24"/>
              </w:rPr>
              <w:t>expanded</w:t>
            </w:r>
            <w:r>
              <w:rPr>
                <w:rFonts w:asciiTheme="majorHAnsi" w:hAnsiTheme="majorHAnsi"/>
                <w:iCs/>
                <w:sz w:val="24"/>
              </w:rPr>
              <w:t>.</w:t>
            </w:r>
          </w:p>
          <w:p w:rsidR="00B14389" w:rsidRPr="00B14389" w:rsidP="003B7798" w14:paraId="7056E0F7" w14:textId="77777777">
            <w:pPr>
              <w:pStyle w:val="ListParagraph"/>
              <w:numPr>
                <w:ilvl w:val="0"/>
                <w:numId w:val="23"/>
              </w:numPr>
              <w:rPr>
                <w:rFonts w:asciiTheme="majorHAnsi" w:hAnsiTheme="majorHAnsi"/>
                <w:iCs/>
                <w:sz w:val="24"/>
              </w:rPr>
            </w:pPr>
            <w:r w:rsidRPr="00B14389">
              <w:rPr>
                <w:rFonts w:asciiTheme="majorHAnsi" w:hAnsiTheme="majorHAnsi"/>
                <w:iCs/>
                <w:sz w:val="24"/>
              </w:rPr>
              <w:t xml:space="preserve">Updated instructions.  </w:t>
            </w:r>
          </w:p>
          <w:p w:rsidR="00B14389" w:rsidRPr="00B14389" w:rsidP="003B7798" w14:paraId="5001468F" w14:textId="77777777">
            <w:pPr>
              <w:pStyle w:val="ListParagraph"/>
              <w:numPr>
                <w:ilvl w:val="0"/>
                <w:numId w:val="23"/>
              </w:numPr>
              <w:rPr>
                <w:rFonts w:asciiTheme="majorHAnsi" w:hAnsiTheme="majorHAnsi"/>
                <w:iCs/>
                <w:sz w:val="24"/>
              </w:rPr>
            </w:pPr>
            <w:r w:rsidRPr="00B14389">
              <w:rPr>
                <w:rFonts w:asciiTheme="majorHAnsi" w:hAnsiTheme="majorHAnsi"/>
                <w:iCs/>
                <w:sz w:val="24"/>
              </w:rPr>
              <w:t>New standardization data points; to include optical character recognition boxes.  This is a non-substantive change.</w:t>
            </w:r>
          </w:p>
          <w:p w:rsidR="00B14389" w:rsidRPr="00B14389" w:rsidP="003B7798" w14:paraId="5BFCCC44" w14:textId="3DF4E688">
            <w:pPr>
              <w:pStyle w:val="ListParagraph"/>
              <w:numPr>
                <w:ilvl w:val="0"/>
                <w:numId w:val="23"/>
              </w:numPr>
              <w:rPr>
                <w:rFonts w:asciiTheme="majorHAnsi" w:hAnsiTheme="majorHAnsi"/>
                <w:iCs/>
                <w:sz w:val="24"/>
              </w:rPr>
            </w:pPr>
            <w:r w:rsidRPr="00B14389">
              <w:rPr>
                <w:rFonts w:asciiTheme="majorHAnsi" w:hAnsiTheme="majorHAnsi"/>
                <w:iCs/>
                <w:sz w:val="24"/>
              </w:rPr>
              <w:t>Date range added to better aid in processing and allows for claimants to report historical information</w:t>
            </w:r>
            <w:r>
              <w:rPr>
                <w:rFonts w:asciiTheme="majorHAnsi" w:hAnsiTheme="majorHAnsi"/>
                <w:iCs/>
                <w:sz w:val="24"/>
              </w:rPr>
              <w:t>.</w:t>
            </w:r>
          </w:p>
          <w:p w:rsidR="00B14389" w:rsidRPr="006A0FD4" w:rsidP="003B7798" w14:paraId="0C353143" w14:textId="773CC2B9">
            <w:pPr>
              <w:pStyle w:val="ListParagraph"/>
              <w:numPr>
                <w:ilvl w:val="0"/>
                <w:numId w:val="23"/>
              </w:numPr>
              <w:rPr>
                <w:rFonts w:asciiTheme="majorHAnsi" w:hAnsiTheme="majorHAnsi"/>
                <w:iCs/>
                <w:sz w:val="24"/>
              </w:rPr>
            </w:pPr>
            <w:r w:rsidRPr="00B14389">
              <w:rPr>
                <w:rFonts w:asciiTheme="majorHAnsi" w:hAnsiTheme="majorHAnsi"/>
                <w:iCs/>
                <w:sz w:val="24"/>
              </w:rPr>
              <w:t>Specific options provided for specific questio</w:t>
            </w:r>
            <w:r w:rsidRPr="006A0FD4">
              <w:rPr>
                <w:rFonts w:asciiTheme="majorHAnsi" w:hAnsiTheme="majorHAnsi"/>
                <w:iCs/>
                <w:sz w:val="24"/>
              </w:rPr>
              <w:t>ns to reduce ambiguity.</w:t>
            </w:r>
          </w:p>
          <w:p w:rsidR="00B14389" w:rsidRPr="006A0FD4" w:rsidP="003B7798" w14:paraId="6FAF81AC" w14:textId="710732CF">
            <w:pPr>
              <w:pStyle w:val="ListParagraph"/>
              <w:numPr>
                <w:ilvl w:val="0"/>
                <w:numId w:val="23"/>
              </w:numPr>
              <w:rPr>
                <w:rFonts w:asciiTheme="majorHAnsi" w:hAnsiTheme="majorHAnsi"/>
                <w:iCs/>
                <w:sz w:val="24"/>
              </w:rPr>
            </w:pPr>
            <w:r w:rsidRPr="006A0FD4">
              <w:rPr>
                <w:rFonts w:asciiTheme="majorHAnsi" w:hAnsiTheme="majorHAnsi"/>
                <w:iCs/>
                <w:sz w:val="24"/>
              </w:rPr>
              <w:t>Questions regarding trusts and annuities expanded to reduce development.</w:t>
            </w:r>
          </w:p>
          <w:p w:rsidR="00B14389" w:rsidRPr="006A0FD4" w:rsidP="003B7798" w14:paraId="3B0E9560" w14:textId="3C3515ED">
            <w:pPr>
              <w:pStyle w:val="ListParagraph"/>
              <w:numPr>
                <w:ilvl w:val="0"/>
                <w:numId w:val="23"/>
              </w:numPr>
              <w:rPr>
                <w:rFonts w:asciiTheme="majorHAnsi" w:hAnsiTheme="majorHAnsi"/>
                <w:iCs/>
                <w:sz w:val="24"/>
              </w:rPr>
            </w:pPr>
            <w:r w:rsidRPr="006A0FD4">
              <w:rPr>
                <w:rFonts w:asciiTheme="majorHAnsi" w:hAnsiTheme="majorHAnsi"/>
                <w:iCs/>
                <w:sz w:val="24"/>
              </w:rPr>
              <w:t>Signature blocks added to allow for standalone submissions.</w:t>
            </w:r>
          </w:p>
          <w:p w:rsidR="00594B6B" w:rsidRPr="006A0FD4" w:rsidP="003B7798" w14:paraId="006F5678" w14:textId="55802C46">
            <w:pPr>
              <w:pStyle w:val="ListParagraph"/>
              <w:numPr>
                <w:ilvl w:val="0"/>
                <w:numId w:val="23"/>
              </w:numPr>
              <w:rPr>
                <w:rFonts w:asciiTheme="majorHAnsi" w:hAnsiTheme="majorHAnsi"/>
                <w:sz w:val="24"/>
              </w:rPr>
            </w:pPr>
            <w:r w:rsidRPr="006A0FD4">
              <w:rPr>
                <w:rFonts w:asciiTheme="majorHAnsi" w:hAnsiTheme="majorHAnsi"/>
                <w:sz w:val="24"/>
              </w:rPr>
              <w:t>Burden has decreased due to actual receipts</w:t>
            </w:r>
            <w:r w:rsidRPr="006A0FD4" w:rsidR="00DD74B0">
              <w:rPr>
                <w:rFonts w:asciiTheme="majorHAnsi" w:hAnsiTheme="majorHAnsi"/>
                <w:sz w:val="24"/>
              </w:rPr>
              <w:t>.</w:t>
            </w:r>
          </w:p>
          <w:p w:rsidR="00E2489B" w:rsidRPr="006A0FD4" w:rsidP="003B7798" w14:paraId="27CD1CC9" w14:textId="641DD7B4">
            <w:pPr>
              <w:pStyle w:val="ListParagraph"/>
              <w:numPr>
                <w:ilvl w:val="0"/>
                <w:numId w:val="23"/>
              </w:numPr>
              <w:rPr>
                <w:rFonts w:asciiTheme="majorHAnsi" w:hAnsiTheme="majorHAnsi"/>
                <w:sz w:val="24"/>
              </w:rPr>
            </w:pPr>
            <w:r w:rsidRPr="006A0FD4">
              <w:rPr>
                <w:rFonts w:asciiTheme="majorHAnsi" w:hAnsiTheme="majorHAnsi"/>
                <w:sz w:val="24"/>
              </w:rPr>
              <w:t>One publ</w:t>
            </w:r>
            <w:r w:rsidRPr="006A0FD4">
              <w:rPr>
                <w:rFonts w:asciiTheme="majorHAnsi" w:hAnsiTheme="majorHAnsi"/>
                <w:sz w:val="24"/>
              </w:rPr>
              <w:t>ic comment was received</w:t>
            </w:r>
            <w:r w:rsidRPr="006A0FD4" w:rsidR="004F4FB9">
              <w:rPr>
                <w:rFonts w:asciiTheme="majorHAnsi" w:hAnsiTheme="majorHAnsi"/>
                <w:sz w:val="24"/>
              </w:rPr>
              <w:t xml:space="preserve"> asking to review a draft document. A document was provided</w:t>
            </w:r>
            <w:r w:rsidR="006A0FD4">
              <w:rPr>
                <w:rFonts w:asciiTheme="majorHAnsi" w:hAnsiTheme="majorHAnsi"/>
                <w:sz w:val="24"/>
              </w:rPr>
              <w:t>.</w:t>
            </w:r>
          </w:p>
          <w:p w:rsidR="00594B6B" w:rsidP="003B7798" w14:paraId="4A54E5CD" w14:textId="77777777">
            <w:pPr>
              <w:pStyle w:val="ListParagraph"/>
              <w:ind w:left="0"/>
              <w:rPr>
                <w:rFonts w:asciiTheme="majorHAnsi" w:hAnsiTheme="majorHAnsi"/>
                <w:sz w:val="24"/>
              </w:rPr>
            </w:pPr>
          </w:p>
        </w:tc>
      </w:tr>
    </w:tbl>
    <w:p w:rsidR="00340D9B" w:rsidRPr="00340D9B" w:rsidP="003B7798" w14:paraId="5748E613" w14:textId="77777777">
      <w:pPr>
        <w:pStyle w:val="ListParagraph"/>
        <w:spacing w:after="0" w:line="240" w:lineRule="auto"/>
        <w:rPr>
          <w:rFonts w:asciiTheme="majorHAnsi" w:hAnsiTheme="majorHAnsi"/>
          <w:sz w:val="24"/>
        </w:rPr>
      </w:pPr>
    </w:p>
    <w:p w:rsidR="00340D9B" w:rsidP="003B7798" w14:paraId="22AF5580" w14:textId="77777777">
      <w:pPr>
        <w:spacing w:after="0" w:line="240" w:lineRule="auto"/>
        <w:rPr>
          <w:rFonts w:asciiTheme="majorHAnsi" w:hAnsiTheme="majorHAnsi"/>
          <w:sz w:val="24"/>
        </w:rPr>
      </w:pPr>
    </w:p>
    <w:p w:rsidR="005C7428" w:rsidRPr="0085688C" w:rsidP="003B7798" w14:paraId="3B6FC6DF" w14:textId="0216102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5704A9" w:rsidP="003B7798" w14:paraId="1C4E612E" w14:textId="77777777">
      <w:pPr>
        <w:spacing w:after="0" w:line="240" w:lineRule="auto"/>
        <w:rPr>
          <w:rFonts w:asciiTheme="majorHAnsi" w:hAnsiTheme="majorHAnsi"/>
          <w:sz w:val="24"/>
        </w:rPr>
      </w:pPr>
    </w:p>
    <w:p w:rsidR="005704A9" w:rsidRPr="005704A9" w:rsidP="003B7798" w14:paraId="734C3F04" w14:textId="3CBF91EF">
      <w:pPr>
        <w:spacing w:after="0" w:line="240" w:lineRule="auto"/>
        <w:rPr>
          <w:rFonts w:asciiTheme="majorHAnsi" w:hAnsiTheme="majorHAnsi"/>
          <w:sz w:val="24"/>
        </w:rPr>
      </w:pPr>
      <w:r w:rsidRPr="005704A9">
        <w:rPr>
          <w:rFonts w:asciiTheme="majorHAnsi" w:hAnsiTheme="majorHAnsi"/>
          <w:sz w:val="24"/>
        </w:rPr>
        <w:t xml:space="preserve">The Department of Veterans Affairs (VA) through its Veterans Benefits Administration (VBA) administers an integrated </w:t>
      </w:r>
      <w:r w:rsidRPr="005704A9">
        <w:rPr>
          <w:rFonts w:asciiTheme="majorHAnsi" w:hAnsiTheme="majorHAnsi"/>
          <w:sz w:val="24"/>
        </w:rPr>
        <w:t>program of benefits and services, established by law, for Veterans, service personnel, and their dependents and/or beneficiaries. Title 38 U.S.C. 5101(a) provides that a specific claim in the form provided by the Secretary must be filed in order for benefi</w:t>
      </w:r>
      <w:r w:rsidRPr="005704A9">
        <w:rPr>
          <w:rFonts w:asciiTheme="majorHAnsi" w:hAnsiTheme="majorHAnsi"/>
          <w:sz w:val="24"/>
        </w:rPr>
        <w:t>ts to be paid to any individual under the laws administered by the Secretary.  Information requested by this form is authorized under the authority of 38 U.S.C. 1503, Determinations with respect to annual income, 38 U.S.C. 1315, Dependency and indemnity co</w:t>
      </w:r>
      <w:r w:rsidRPr="005704A9">
        <w:rPr>
          <w:rFonts w:asciiTheme="majorHAnsi" w:hAnsiTheme="majorHAnsi"/>
          <w:sz w:val="24"/>
        </w:rPr>
        <w:t>mpensation to parents, and 38 U.S.C. 1543, Net worth limitation.</w:t>
      </w:r>
    </w:p>
    <w:p w:rsidR="006E563D" w:rsidP="003B7798" w14:paraId="673DA506" w14:textId="4F1A6E7E">
      <w:pPr>
        <w:spacing w:after="0" w:line="240" w:lineRule="auto"/>
        <w:rPr>
          <w:rFonts w:asciiTheme="majorHAnsi" w:hAnsiTheme="majorHAnsi"/>
          <w:i/>
          <w:sz w:val="24"/>
        </w:rPr>
      </w:pPr>
    </w:p>
    <w:p w:rsidR="00510F0C" w:rsidP="003B7798" w14:paraId="42F0D1FD" w14:textId="77777777">
      <w:pPr>
        <w:spacing w:after="0" w:line="240" w:lineRule="auto"/>
        <w:rPr>
          <w:rFonts w:asciiTheme="majorHAnsi" w:hAnsiTheme="majorHAnsi"/>
          <w:sz w:val="24"/>
        </w:rPr>
      </w:pPr>
    </w:p>
    <w:p w:rsidR="00AF787A" w:rsidP="003B7798" w14:paraId="497731DE" w14:textId="009EEFC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Pr>
          <w:rFonts w:asciiTheme="majorHAnsi" w:hAnsiTheme="majorHAnsi"/>
          <w:sz w:val="24"/>
        </w:rPr>
        <w:t xml:space="preserve"> </w:t>
      </w:r>
    </w:p>
    <w:p w:rsidR="00AF787A" w:rsidP="003B7798" w14:paraId="5F24D68A" w14:textId="77777777">
      <w:pPr>
        <w:spacing w:after="0" w:line="240" w:lineRule="auto"/>
        <w:rPr>
          <w:rFonts w:asciiTheme="majorHAnsi" w:hAnsiTheme="majorHAnsi"/>
          <w:bCs/>
          <w:sz w:val="24"/>
        </w:rPr>
      </w:pPr>
    </w:p>
    <w:p w:rsidR="00AF787A" w:rsidRPr="00AF787A" w:rsidP="003B7798" w14:paraId="10F95C77" w14:textId="0D8C6C56">
      <w:pPr>
        <w:spacing w:after="0" w:line="240" w:lineRule="auto"/>
        <w:rPr>
          <w:rFonts w:asciiTheme="majorHAnsi" w:hAnsiTheme="majorHAnsi"/>
          <w:sz w:val="24"/>
        </w:rPr>
      </w:pPr>
      <w:r w:rsidRPr="00AF787A">
        <w:rPr>
          <w:rFonts w:asciiTheme="majorHAnsi" w:hAnsiTheme="majorHAnsi"/>
          <w:bCs/>
          <w:sz w:val="24"/>
        </w:rPr>
        <w:t>VA Form 21P-0969 will be used by claimants for VA Pension or Parents' Dependency and Indemnity Compensation (DIC) to provide information pertaining to income and</w:t>
      </w:r>
      <w:r w:rsidRPr="00AF787A">
        <w:rPr>
          <w:rFonts w:asciiTheme="majorHAnsi" w:hAnsiTheme="majorHAnsi"/>
          <w:bCs/>
          <w:sz w:val="24"/>
        </w:rPr>
        <w:t xml:space="preserve"> assets to establish entitlement to Pension or Parents' DIC.  This form will be completed only by those claimants who had income other than Social Security benefits during the calendar year before claiming benefits or who disposed of assets or have signifi</w:t>
      </w:r>
      <w:r w:rsidRPr="00AF787A">
        <w:rPr>
          <w:rFonts w:asciiTheme="majorHAnsi" w:hAnsiTheme="majorHAnsi"/>
          <w:bCs/>
          <w:sz w:val="24"/>
        </w:rPr>
        <w:t>cant assets which may affect their entitlement to needs-based benefits.</w:t>
      </w:r>
    </w:p>
    <w:p w:rsidR="005C7428" w:rsidRPr="0085688C" w:rsidP="003B7798" w14:paraId="2BB4A596" w14:textId="495D0531">
      <w:pPr>
        <w:spacing w:after="0" w:line="240" w:lineRule="auto"/>
        <w:rPr>
          <w:rFonts w:asciiTheme="majorHAnsi" w:hAnsiTheme="majorHAnsi"/>
          <w:sz w:val="24"/>
        </w:rPr>
      </w:pPr>
    </w:p>
    <w:p w:rsidR="005C7428" w:rsidRPr="0085688C" w:rsidP="003B7798" w14:paraId="4DD6F62A"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r w:rsidR="0085688C">
        <w:rPr>
          <w:rFonts w:asciiTheme="majorHAnsi" w:hAnsiTheme="majorHAnsi"/>
          <w:sz w:val="24"/>
        </w:rPr>
        <w:t>(1-4 sentences)</w:t>
      </w:r>
    </w:p>
    <w:p w:rsidR="00E44557" w:rsidP="003B7798" w14:paraId="37FCEB6D" w14:textId="77777777">
      <w:pPr>
        <w:spacing w:after="0" w:line="240" w:lineRule="auto"/>
        <w:rPr>
          <w:rFonts w:asciiTheme="majorHAnsi" w:hAnsiTheme="majorHAnsi"/>
          <w:iCs/>
          <w:sz w:val="24"/>
        </w:rPr>
      </w:pPr>
    </w:p>
    <w:p w:rsidR="00E44557" w:rsidRPr="00E44557" w:rsidP="003B7798" w14:paraId="4BA124DD" w14:textId="682D96BE">
      <w:pPr>
        <w:spacing w:after="0" w:line="240" w:lineRule="auto"/>
        <w:rPr>
          <w:rFonts w:asciiTheme="majorHAnsi" w:hAnsiTheme="majorHAnsi"/>
          <w:iCs/>
          <w:sz w:val="24"/>
        </w:rPr>
      </w:pPr>
      <w:r w:rsidRPr="00E44557">
        <w:rPr>
          <w:rFonts w:asciiTheme="majorHAnsi" w:hAnsiTheme="majorHAnsi"/>
          <w:iCs/>
          <w:sz w:val="24"/>
        </w:rPr>
        <w:t xml:space="preserve">For the information collected on VA Form 21P-0969, VA does not currently use automated, electronic, mechanical, or other </w:t>
      </w:r>
      <w:r w:rsidRPr="00E44557">
        <w:rPr>
          <w:rFonts w:asciiTheme="majorHAnsi" w:hAnsiTheme="majorHAnsi"/>
          <w:iCs/>
          <w:sz w:val="24"/>
        </w:rPr>
        <w:t>technological collection techniques. The form modifications are designed to be inclusive of these types of changes in the future.</w:t>
      </w:r>
    </w:p>
    <w:p w:rsidR="00E44557" w:rsidRPr="00E44557" w:rsidP="003B7798" w14:paraId="00100C21" w14:textId="77777777">
      <w:pPr>
        <w:spacing w:after="0" w:line="240" w:lineRule="auto"/>
        <w:rPr>
          <w:rFonts w:asciiTheme="majorHAnsi" w:hAnsiTheme="majorHAnsi"/>
          <w:iCs/>
          <w:sz w:val="24"/>
        </w:rPr>
      </w:pPr>
    </w:p>
    <w:p w:rsidR="00E44557" w:rsidRPr="00E44557" w:rsidP="003B7798" w14:paraId="02ADF94D" w14:textId="77777777">
      <w:pPr>
        <w:spacing w:after="0" w:line="240" w:lineRule="auto"/>
        <w:rPr>
          <w:rFonts w:asciiTheme="majorHAnsi" w:hAnsiTheme="majorHAnsi"/>
          <w:iCs/>
          <w:sz w:val="24"/>
        </w:rPr>
      </w:pPr>
      <w:r w:rsidRPr="00E44557">
        <w:rPr>
          <w:rFonts w:asciiTheme="majorHAnsi" w:hAnsiTheme="majorHAnsi"/>
          <w:iCs/>
          <w:sz w:val="24"/>
        </w:rPr>
        <w:t xml:space="preserve">VA Form 21P-0969 is available on the </w:t>
      </w:r>
      <w:r w:rsidRPr="00E44557">
        <w:rPr>
          <w:rFonts w:asciiTheme="majorHAnsi" w:hAnsiTheme="majorHAnsi"/>
          <w:iCs/>
          <w:sz w:val="24"/>
        </w:rPr>
        <w:t>benefits.va.gov</w:t>
      </w:r>
      <w:r w:rsidRPr="00E44557">
        <w:rPr>
          <w:rFonts w:asciiTheme="majorHAnsi" w:hAnsiTheme="majorHAnsi"/>
          <w:iCs/>
          <w:sz w:val="24"/>
        </w:rPr>
        <w:t xml:space="preserve"> website in a fillable electronic format. </w:t>
      </w:r>
    </w:p>
    <w:p w:rsidR="00E44557" w:rsidRPr="00E44557" w:rsidP="003B7798" w14:paraId="6741B200" w14:textId="77777777">
      <w:pPr>
        <w:spacing w:after="0" w:line="240" w:lineRule="auto"/>
        <w:rPr>
          <w:rFonts w:asciiTheme="majorHAnsi" w:hAnsiTheme="majorHAnsi"/>
          <w:iCs/>
          <w:sz w:val="24"/>
        </w:rPr>
      </w:pPr>
    </w:p>
    <w:p w:rsidR="008635C4" w:rsidRPr="00E44557" w:rsidP="003B7798" w14:paraId="47452CA7" w14:textId="5E5685E1">
      <w:pPr>
        <w:spacing w:after="0" w:line="240" w:lineRule="auto"/>
        <w:rPr>
          <w:rFonts w:asciiTheme="majorHAnsi" w:hAnsiTheme="majorHAnsi"/>
          <w:iCs/>
          <w:sz w:val="24"/>
        </w:rPr>
      </w:pPr>
      <w:r w:rsidRPr="00E44557">
        <w:rPr>
          <w:rFonts w:asciiTheme="majorHAnsi" w:hAnsiTheme="majorHAnsi"/>
          <w:iCs/>
          <w:sz w:val="24"/>
        </w:rPr>
        <w:t>VBA is currently working on p</w:t>
      </w:r>
      <w:r w:rsidRPr="00E44557">
        <w:rPr>
          <w:rFonts w:asciiTheme="majorHAnsi" w:hAnsiTheme="majorHAnsi"/>
          <w:iCs/>
          <w:sz w:val="24"/>
        </w:rPr>
        <w:t>utting the technology in place to allow for the electronic submission and processing of the form.  To ease the burden on respondents, VBA plans to develop and deploy functionality enabling electronic submission of this information.  VBA cannot estimate the</w:t>
      </w:r>
      <w:r w:rsidRPr="00E44557">
        <w:rPr>
          <w:rFonts w:asciiTheme="majorHAnsi" w:hAnsiTheme="majorHAnsi"/>
          <w:iCs/>
          <w:sz w:val="24"/>
        </w:rPr>
        <w:t xml:space="preserve"> date this functionality will be deployed.</w:t>
      </w:r>
      <w:r w:rsidRPr="00E44557" w:rsidR="005C7428">
        <w:rPr>
          <w:rFonts w:asciiTheme="majorHAnsi" w:hAnsiTheme="majorHAnsi"/>
          <w:iCs/>
          <w:sz w:val="24"/>
        </w:rPr>
        <w:t xml:space="preserve"> </w:t>
      </w:r>
    </w:p>
    <w:p w:rsidR="00E44557" w:rsidP="003B7798" w14:paraId="29DEECC2" w14:textId="77777777">
      <w:pPr>
        <w:spacing w:after="0" w:line="240" w:lineRule="auto"/>
        <w:rPr>
          <w:rFonts w:asciiTheme="majorHAnsi" w:hAnsiTheme="majorHAnsi"/>
          <w:sz w:val="24"/>
        </w:rPr>
      </w:pPr>
    </w:p>
    <w:p w:rsidR="008635C4" w:rsidRPr="0085688C" w:rsidP="003B7798" w14:paraId="43CECDBF" w14:textId="0836657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r w:rsidR="0085688C">
        <w:rPr>
          <w:rFonts w:asciiTheme="majorHAnsi" w:hAnsiTheme="majorHAnsi"/>
          <w:sz w:val="24"/>
        </w:rPr>
        <w:t>(1-2 sentences)</w:t>
      </w:r>
    </w:p>
    <w:p w:rsidR="00E44557" w:rsidP="003B7798" w14:paraId="4B9A5C3F" w14:textId="77777777">
      <w:pPr>
        <w:spacing w:after="0" w:line="240" w:lineRule="auto"/>
        <w:rPr>
          <w:rFonts w:asciiTheme="majorHAnsi" w:hAnsiTheme="majorHAnsi"/>
          <w:sz w:val="24"/>
          <w:highlight w:val="cyan"/>
        </w:rPr>
      </w:pPr>
    </w:p>
    <w:p w:rsidR="00CA15B1" w:rsidP="003B7798" w14:paraId="1E68E737" w14:textId="739C3B43">
      <w:pPr>
        <w:spacing w:after="0" w:line="240" w:lineRule="auto"/>
        <w:rPr>
          <w:rFonts w:asciiTheme="majorHAnsi" w:hAnsiTheme="majorHAnsi"/>
          <w:i/>
          <w:sz w:val="24"/>
        </w:rPr>
      </w:pPr>
      <w:r w:rsidRPr="00B65850">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3B7798" w14:paraId="397AF4A9" w14:textId="77777777">
      <w:pPr>
        <w:spacing w:after="0" w:line="240" w:lineRule="auto"/>
        <w:rPr>
          <w:rFonts w:asciiTheme="majorHAnsi" w:hAnsiTheme="majorHAnsi"/>
          <w:i/>
          <w:sz w:val="24"/>
        </w:rPr>
      </w:pPr>
    </w:p>
    <w:p w:rsidR="00CA15B1" w:rsidP="003B7798" w14:paraId="3D08BC67"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Pr>
          <w:rFonts w:asciiTheme="majorHAnsi" w:hAnsiTheme="majorHAnsi"/>
          <w:sz w:val="24"/>
          <w:u w:val="single"/>
        </w:rPr>
        <w:t>Businesses</w:t>
      </w:r>
      <w:r w:rsidR="0085688C">
        <w:rPr>
          <w:rFonts w:asciiTheme="majorHAnsi" w:hAnsiTheme="majorHAnsi"/>
          <w:sz w:val="24"/>
        </w:rPr>
        <w:t>(</w:t>
      </w:r>
      <w:r w:rsidR="0085688C">
        <w:rPr>
          <w:rFonts w:asciiTheme="majorHAnsi" w:hAnsiTheme="majorHAnsi"/>
          <w:sz w:val="24"/>
        </w:rPr>
        <w:t>1-2 sentences)</w:t>
      </w:r>
    </w:p>
    <w:p w:rsidR="00523182" w:rsidP="003B7798" w14:paraId="5903A2BD" w14:textId="77777777">
      <w:pPr>
        <w:spacing w:after="0" w:line="240" w:lineRule="auto"/>
        <w:rPr>
          <w:rFonts w:asciiTheme="majorHAnsi" w:hAnsiTheme="majorHAnsi"/>
          <w:i/>
          <w:sz w:val="24"/>
        </w:rPr>
      </w:pPr>
    </w:p>
    <w:p w:rsidR="002567F9" w:rsidP="003B7798" w14:paraId="1A651968" w14:textId="486B575F">
      <w:pPr>
        <w:spacing w:after="0" w:line="240" w:lineRule="auto"/>
        <w:rPr>
          <w:rFonts w:asciiTheme="majorHAnsi" w:hAnsiTheme="majorHAnsi"/>
          <w:i/>
          <w:sz w:val="24"/>
        </w:rPr>
      </w:pPr>
      <w:r w:rsidRPr="0052318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3B7798" w14:paraId="338C641A" w14:textId="77777777">
      <w:pPr>
        <w:spacing w:after="0" w:line="240" w:lineRule="auto"/>
        <w:rPr>
          <w:rFonts w:asciiTheme="majorHAnsi" w:hAnsiTheme="majorHAnsi"/>
          <w:i/>
          <w:sz w:val="24"/>
        </w:rPr>
      </w:pPr>
    </w:p>
    <w:p w:rsidR="002567F9" w:rsidRPr="0085688C" w:rsidP="003B7798" w14:paraId="2BE91190"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r w:rsidRPr="0085688C" w:rsidR="0085688C">
        <w:rPr>
          <w:rFonts w:asciiTheme="majorHAnsi" w:hAnsiTheme="majorHAnsi"/>
          <w:sz w:val="24"/>
        </w:rPr>
        <w:t>(</w:t>
      </w:r>
      <w:r w:rsidR="0085688C">
        <w:rPr>
          <w:rFonts w:asciiTheme="majorHAnsi" w:hAnsiTheme="majorHAnsi"/>
          <w:sz w:val="24"/>
        </w:rPr>
        <w:t>1-3 sentences)</w:t>
      </w:r>
    </w:p>
    <w:p w:rsidR="003B7798" w:rsidP="003B7798" w14:paraId="43A1242D" w14:textId="77777777">
      <w:pPr>
        <w:spacing w:after="0" w:line="240" w:lineRule="auto"/>
        <w:rPr>
          <w:rFonts w:asciiTheme="majorHAnsi" w:hAnsiTheme="majorHAnsi"/>
          <w:sz w:val="24"/>
        </w:rPr>
      </w:pPr>
    </w:p>
    <w:p w:rsidR="00F86C35" w:rsidP="003B7798" w14:paraId="4B3512B4" w14:textId="537B7E17">
      <w:pPr>
        <w:spacing w:after="0" w:line="240" w:lineRule="auto"/>
        <w:rPr>
          <w:rFonts w:asciiTheme="majorHAnsi" w:hAnsiTheme="majorHAnsi"/>
          <w:sz w:val="24"/>
        </w:rPr>
      </w:pPr>
      <w:r w:rsidRPr="00483C75">
        <w:rPr>
          <w:rFonts w:asciiTheme="majorHAnsi" w:hAnsiTheme="majorHAnsi"/>
          <w:sz w:val="24"/>
        </w:rPr>
        <w:t xml:space="preserve">VBA would be unable to properly </w:t>
      </w:r>
      <w:r w:rsidRPr="00483C75">
        <w:rPr>
          <w:rFonts w:asciiTheme="majorHAnsi" w:hAnsiTheme="majorHAnsi"/>
          <w:sz w:val="24"/>
        </w:rPr>
        <w:t>administer needs-based benefits without this collection of information.  The information is collected on an ad hoc basis, and, therefore, cannot be collected less frequently.  The form is designed to collect the minimum amount of information which will all</w:t>
      </w:r>
      <w:r w:rsidRPr="00483C75">
        <w:rPr>
          <w:rFonts w:asciiTheme="majorHAnsi" w:hAnsiTheme="majorHAnsi"/>
          <w:sz w:val="24"/>
        </w:rPr>
        <w:t>ow VBA to properly administer the program.</w:t>
      </w:r>
    </w:p>
    <w:p w:rsidR="003B7798" w:rsidP="003B7798" w14:paraId="6EF1F61C" w14:textId="77777777">
      <w:pPr>
        <w:spacing w:after="0" w:line="240" w:lineRule="auto"/>
        <w:rPr>
          <w:rFonts w:asciiTheme="majorHAnsi" w:hAnsiTheme="majorHAnsi"/>
          <w:i/>
          <w:sz w:val="24"/>
        </w:rPr>
      </w:pPr>
    </w:p>
    <w:p w:rsidR="00F86C35" w:rsidP="003B7798" w14:paraId="4E1B6F5D" w14:textId="5F803A5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3B7798" w:rsidRPr="003B7798" w:rsidP="003B7798" w14:paraId="5B1BB670" w14:textId="77777777">
      <w:pPr>
        <w:pStyle w:val="NormalWeb"/>
        <w:spacing w:before="0" w:beforeAutospacing="0" w:after="0" w:afterAutospacing="0"/>
        <w:rPr>
          <w:rFonts w:asciiTheme="majorHAnsi" w:eastAsiaTheme="minorHAnsi" w:hAnsiTheme="majorHAnsi" w:cstheme="minorBidi"/>
          <w:szCs w:val="22"/>
        </w:rPr>
      </w:pPr>
    </w:p>
    <w:p w:rsidR="00200261" w:rsidP="003B7798" w14:paraId="7256108C" w14:textId="3A57F340">
      <w:pPr>
        <w:pStyle w:val="NormalWeb"/>
        <w:spacing w:before="0" w:beforeAutospacing="0" w:after="0" w:afterAutospacing="0"/>
        <w:rPr>
          <w:rFonts w:asciiTheme="majorHAnsi" w:eastAsiaTheme="minorHAnsi" w:hAnsiTheme="majorHAnsi" w:cstheme="minorBidi"/>
          <w:i/>
          <w:szCs w:val="22"/>
        </w:rPr>
      </w:pPr>
      <w:r w:rsidRPr="003B779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3B7798" w:rsidP="003B7798" w14:paraId="279CF857" w14:textId="77777777">
      <w:pPr>
        <w:pStyle w:val="NormalWeb"/>
        <w:spacing w:before="0" w:beforeAutospacing="0" w:after="0" w:afterAutospacing="0"/>
        <w:rPr>
          <w:rFonts w:asciiTheme="majorHAnsi" w:eastAsiaTheme="minorHAnsi" w:hAnsiTheme="majorHAnsi" w:cstheme="minorBidi"/>
          <w:szCs w:val="22"/>
        </w:rPr>
      </w:pPr>
    </w:p>
    <w:p w:rsidR="00200261" w:rsidP="003B7798" w14:paraId="6AC5CBA9" w14:textId="5132DEDF">
      <w:pPr>
        <w:pStyle w:val="NormalWeb"/>
        <w:spacing w:before="0" w:beforeAutospacing="0" w:after="0" w:afterAutospacing="0"/>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3B7798" w:rsidP="003B7798" w14:paraId="4D94585B" w14:textId="77777777">
      <w:pPr>
        <w:pStyle w:val="NormalWeb"/>
        <w:spacing w:before="0" w:beforeAutospacing="0" w:after="0" w:afterAutospacing="0"/>
        <w:rPr>
          <w:rFonts w:asciiTheme="majorHAnsi" w:eastAsiaTheme="minorHAnsi" w:hAnsiTheme="majorHAnsi" w:cstheme="minorBidi"/>
          <w:szCs w:val="22"/>
        </w:rPr>
      </w:pPr>
    </w:p>
    <w:p w:rsidR="00200261" w:rsidP="003B7798" w14:paraId="4122F586" w14:textId="4BEFE797">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3B7798" w14:paraId="7531FB81" w14:textId="01AEB2BA">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sidRPr="003B7798">
        <w:rPr>
          <w:rFonts w:asciiTheme="majorHAnsi" w:eastAsiaTheme="minorHAnsi" w:hAnsiTheme="majorHAnsi" w:cstheme="minorBidi"/>
          <w:szCs w:val="22"/>
        </w:rPr>
        <w:t xml:space="preserve">published on </w:t>
      </w:r>
      <w:r w:rsidRPr="003B7798" w:rsidR="003B7798">
        <w:rPr>
          <w:rFonts w:asciiTheme="majorHAnsi" w:eastAsiaTheme="minorHAnsi" w:hAnsiTheme="majorHAnsi" w:cstheme="minorBidi"/>
          <w:szCs w:val="22"/>
        </w:rPr>
        <w:t>Thursday, July 6, 2023</w:t>
      </w:r>
      <w:r w:rsidRPr="003B7798">
        <w:rPr>
          <w:rFonts w:asciiTheme="majorHAnsi" w:eastAsiaTheme="minorHAnsi" w:hAnsiTheme="majorHAnsi" w:cstheme="minorBidi"/>
          <w:szCs w:val="22"/>
        </w:rPr>
        <w:t>.  The 60-Day FRN citation is</w:t>
      </w:r>
      <w:r w:rsidRPr="003B7798" w:rsidR="003B7798">
        <w:rPr>
          <w:rFonts w:asciiTheme="majorHAnsi" w:eastAsiaTheme="minorHAnsi" w:hAnsiTheme="majorHAnsi" w:cstheme="minorBidi"/>
          <w:szCs w:val="22"/>
        </w:rPr>
        <w:t xml:space="preserve"> Volume 88</w:t>
      </w:r>
      <w:r w:rsidRPr="003B7798">
        <w:rPr>
          <w:rFonts w:asciiTheme="majorHAnsi" w:eastAsiaTheme="minorHAnsi" w:hAnsiTheme="majorHAnsi" w:cstheme="minorBidi"/>
          <w:szCs w:val="22"/>
        </w:rPr>
        <w:t xml:space="preserve"> FRN </w:t>
      </w:r>
      <w:r w:rsidRPr="003B7798" w:rsidR="003B7798">
        <w:rPr>
          <w:rFonts w:asciiTheme="majorHAnsi" w:eastAsiaTheme="minorHAnsi" w:hAnsiTheme="majorHAnsi" w:cstheme="minorBidi"/>
          <w:szCs w:val="22"/>
        </w:rPr>
        <w:t>43171</w:t>
      </w:r>
      <w:r w:rsidRPr="003B7798">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3B7798" w:rsidP="003B7798" w14:paraId="4ED0337C" w14:textId="77777777">
      <w:pPr>
        <w:pStyle w:val="NormalWeb"/>
        <w:spacing w:before="0" w:beforeAutospacing="0" w:after="0" w:afterAutospacing="0"/>
        <w:rPr>
          <w:rFonts w:asciiTheme="majorHAnsi" w:eastAsiaTheme="minorHAnsi" w:hAnsiTheme="majorHAnsi" w:cstheme="minorBidi"/>
          <w:i/>
          <w:szCs w:val="22"/>
        </w:rPr>
      </w:pPr>
    </w:p>
    <w:p w:rsidR="00200261" w:rsidP="003B7798" w14:paraId="711BFBF4" w14:textId="2A1AEA01">
      <w:pPr>
        <w:pStyle w:val="NormalWeb"/>
        <w:spacing w:before="0" w:beforeAutospacing="0" w:after="0" w:afterAutospacing="0"/>
        <w:rPr>
          <w:rFonts w:asciiTheme="majorHAnsi" w:eastAsiaTheme="minorHAnsi" w:hAnsiTheme="majorHAnsi" w:cstheme="minorBidi"/>
          <w:szCs w:val="22"/>
        </w:rPr>
      </w:pPr>
      <w:r w:rsidRPr="003B7798">
        <w:rPr>
          <w:rFonts w:asciiTheme="majorHAnsi" w:eastAsiaTheme="minorHAnsi" w:hAnsiTheme="majorHAnsi" w:cstheme="minorBidi"/>
          <w:szCs w:val="22"/>
        </w:rPr>
        <w:t>1 comment was received during the 60-Day Comment Perio</w:t>
      </w:r>
      <w:r w:rsidRPr="003B7798">
        <w:rPr>
          <w:rFonts w:asciiTheme="majorHAnsi" w:eastAsiaTheme="minorHAnsi" w:hAnsiTheme="majorHAnsi" w:cstheme="minorBidi"/>
          <w:szCs w:val="22"/>
        </w:rPr>
        <w:t>d. They are included below in the order they were received, as well as our Agency’s response to the comment.</w:t>
      </w:r>
      <w:r>
        <w:rPr>
          <w:rFonts w:asciiTheme="majorHAnsi" w:eastAsiaTheme="minorHAnsi" w:hAnsiTheme="majorHAnsi" w:cstheme="minorBidi"/>
          <w:szCs w:val="22"/>
        </w:rPr>
        <w:t xml:space="preserve"> </w:t>
      </w:r>
    </w:p>
    <w:p w:rsidR="003B7798" w:rsidP="003B7798" w14:paraId="5C0E2BF9" w14:textId="77777777">
      <w:pPr>
        <w:pStyle w:val="NormalWeb"/>
        <w:spacing w:before="0" w:beforeAutospacing="0" w:after="0" w:afterAutospacing="0"/>
        <w:rPr>
          <w:rFonts w:asciiTheme="majorHAnsi" w:eastAsiaTheme="minorHAnsi" w:hAnsiTheme="majorHAnsi" w:cstheme="minorBidi"/>
          <w:szCs w:val="22"/>
        </w:rPr>
      </w:pPr>
    </w:p>
    <w:tbl>
      <w:tblPr>
        <w:tblStyle w:val="TableGrid"/>
        <w:tblW w:w="0" w:type="auto"/>
        <w:tblLook w:val="04A0"/>
      </w:tblPr>
      <w:tblGrid>
        <w:gridCol w:w="9350"/>
      </w:tblGrid>
      <w:tr w14:paraId="33CAFE76" w14:textId="77777777" w:rsidTr="003B7798">
        <w:tblPrEx>
          <w:tblW w:w="0" w:type="auto"/>
          <w:tblLook w:val="04A0"/>
        </w:tblPrEx>
        <w:tc>
          <w:tcPr>
            <w:tcW w:w="9350" w:type="dxa"/>
          </w:tcPr>
          <w:p w:rsidR="003B7798" w:rsidP="003B7798" w14:paraId="78496C41" w14:textId="3F3BC5EC">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COMMENT 1:</w:t>
            </w:r>
          </w:p>
        </w:tc>
      </w:tr>
      <w:tr w14:paraId="07A18411" w14:textId="77777777" w:rsidTr="003B7798">
        <w:tblPrEx>
          <w:tblW w:w="0" w:type="auto"/>
          <w:tblLook w:val="04A0"/>
        </w:tblPrEx>
        <w:tc>
          <w:tcPr>
            <w:tcW w:w="9350" w:type="dxa"/>
          </w:tcPr>
          <w:p w:rsidR="003B7798" w:rsidRPr="003B7798" w:rsidP="003B7798" w14:paraId="0D90D0A8" w14:textId="4B7FD964">
            <w:pPr>
              <w:pStyle w:val="NormalWeb"/>
              <w:ind w:left="720"/>
              <w:rPr>
                <w:rFonts w:asciiTheme="majorHAnsi" w:hAnsiTheme="majorHAnsi"/>
              </w:rPr>
            </w:pPr>
            <w:r w:rsidRPr="003B7798">
              <w:rPr>
                <w:rFonts w:asciiTheme="majorHAnsi" w:hAnsiTheme="majorHAnsi"/>
              </w:rPr>
              <w:t xml:space="preserve">Can I get a copy of the proposed form?  Is there a list I could be on to always receive a copy of the forms related to proposed Pension changes? </w:t>
            </w:r>
          </w:p>
        </w:tc>
      </w:tr>
      <w:tr w14:paraId="6C6DD268" w14:textId="77777777" w:rsidTr="003B7798">
        <w:tblPrEx>
          <w:tblW w:w="0" w:type="auto"/>
          <w:tblLook w:val="04A0"/>
        </w:tblPrEx>
        <w:tc>
          <w:tcPr>
            <w:tcW w:w="9350" w:type="dxa"/>
          </w:tcPr>
          <w:p w:rsidR="003B7798" w:rsidP="003B7798" w14:paraId="5A543B25" w14:textId="5F368235">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RESPONSE 1:</w:t>
            </w:r>
          </w:p>
        </w:tc>
      </w:tr>
      <w:tr w14:paraId="12A10A37" w14:textId="77777777" w:rsidTr="003B7798">
        <w:tblPrEx>
          <w:tblW w:w="0" w:type="auto"/>
          <w:tblLook w:val="04A0"/>
        </w:tblPrEx>
        <w:tc>
          <w:tcPr>
            <w:tcW w:w="9350" w:type="dxa"/>
          </w:tcPr>
          <w:p w:rsidR="003B7798" w:rsidP="003B7798" w14:paraId="3FC257A8" w14:textId="2CDF6506">
            <w:pPr>
              <w:ind w:left="720"/>
              <w:rPr>
                <w:rFonts w:ascii="Arial" w:hAnsi="Arial" w:cs="Arial"/>
              </w:rPr>
            </w:pPr>
            <w:r>
              <w:rPr>
                <w:rFonts w:ascii="Arial" w:hAnsi="Arial" w:cs="Arial"/>
              </w:rPr>
              <w:t>Thank you for your inquiry as it pertains to these form changes.</w:t>
            </w:r>
          </w:p>
          <w:p w:rsidR="003B7798" w:rsidP="003B7798" w14:paraId="1DA99B34" w14:textId="77777777">
            <w:pPr>
              <w:ind w:left="720"/>
              <w:rPr>
                <w:rFonts w:ascii="Arial" w:hAnsi="Arial" w:cs="Arial"/>
              </w:rPr>
            </w:pPr>
          </w:p>
          <w:p w:rsidR="003B7798" w:rsidP="003B7798" w14:paraId="0EB3E532" w14:textId="77777777">
            <w:pPr>
              <w:ind w:left="720"/>
              <w:rPr>
                <w:rFonts w:ascii="Arial" w:hAnsi="Arial" w:cs="Arial"/>
              </w:rPr>
            </w:pPr>
            <w:r>
              <w:rPr>
                <w:rFonts w:ascii="Arial" w:hAnsi="Arial" w:cs="Arial"/>
              </w:rPr>
              <w:t xml:space="preserve">The draft forms currently under public comment from Pension and Fiduciary Service (P&amp;FS) are attached for your review:  1) VA Form 21P-0969 and 2) VA Form 21P-8416.  </w:t>
            </w:r>
          </w:p>
          <w:p w:rsidR="003B7798" w:rsidP="003B7798" w14:paraId="266C77B2" w14:textId="77777777">
            <w:pPr>
              <w:ind w:left="720"/>
              <w:rPr>
                <w:rFonts w:ascii="Arial" w:hAnsi="Arial" w:cs="Arial"/>
              </w:rPr>
            </w:pPr>
          </w:p>
          <w:p w:rsidR="003B7798" w:rsidRPr="003B7798" w:rsidP="003B7798" w14:paraId="4C2DC310" w14:textId="695E8286">
            <w:pPr>
              <w:ind w:left="720"/>
              <w:rPr>
                <w:rFonts w:ascii="Arial" w:hAnsi="Arial" w:cs="Arial"/>
              </w:rPr>
            </w:pPr>
            <w:r>
              <w:rPr>
                <w:rFonts w:ascii="Arial" w:hAnsi="Arial" w:cs="Arial"/>
              </w:rPr>
              <w:t xml:space="preserve">The drafts should be reviewed only for the purpose of making public comments.  There is </w:t>
            </w:r>
            <w:r>
              <w:rPr>
                <w:rFonts w:ascii="Arial" w:hAnsi="Arial" w:cs="Arial"/>
              </w:rPr>
              <w:t>no centralized means to receive draft copies of forms prior to their approval by OMB. Forms may change at any time in response to public comments, and there is no guarantee that the draft copies provided will be the final version of the form. P&amp;FS will res</w:t>
            </w:r>
            <w:r>
              <w:rPr>
                <w:rFonts w:ascii="Arial" w:hAnsi="Arial" w:cs="Arial"/>
              </w:rPr>
              <w:t>pond to requests to review draft forms on a case-by-case basis.</w:t>
            </w:r>
          </w:p>
        </w:tc>
      </w:tr>
    </w:tbl>
    <w:p w:rsidR="003B7798" w:rsidP="003B7798" w14:paraId="427482E0" w14:textId="77777777">
      <w:pPr>
        <w:pStyle w:val="NormalWeb"/>
        <w:spacing w:before="0" w:beforeAutospacing="0" w:after="0" w:afterAutospacing="0"/>
        <w:rPr>
          <w:rFonts w:asciiTheme="majorHAnsi" w:eastAsiaTheme="minorHAnsi" w:hAnsiTheme="majorHAnsi" w:cstheme="minorBidi"/>
          <w:szCs w:val="22"/>
        </w:rPr>
      </w:pPr>
    </w:p>
    <w:p w:rsidR="003B7798" w:rsidP="003B7798" w14:paraId="0BAA3ECA" w14:textId="77777777">
      <w:pPr>
        <w:pStyle w:val="NormalWeb"/>
        <w:spacing w:before="0" w:beforeAutospacing="0" w:after="0" w:afterAutospacing="0"/>
        <w:rPr>
          <w:rFonts w:asciiTheme="majorHAnsi" w:eastAsiaTheme="minorHAnsi" w:hAnsiTheme="majorHAnsi" w:cstheme="minorBidi"/>
          <w:szCs w:val="22"/>
        </w:rPr>
      </w:pPr>
    </w:p>
    <w:p w:rsidR="00502FF3" w:rsidP="003B7798" w14:paraId="599DB161" w14:textId="49819AF4">
      <w:pPr>
        <w:pStyle w:val="NormalWeb"/>
        <w:spacing w:before="0" w:beforeAutospacing="0" w:after="0" w:afterAutospacing="0"/>
        <w:rPr>
          <w:rFonts w:asciiTheme="majorHAnsi" w:eastAsiaTheme="minorHAnsi" w:hAnsiTheme="majorHAnsi" w:cstheme="minorBidi"/>
          <w:szCs w:val="22"/>
        </w:rPr>
      </w:pPr>
      <w:r w:rsidRPr="003B7798">
        <w:rPr>
          <w:rFonts w:asciiTheme="majorHAnsi" w:eastAsiaTheme="minorHAnsi" w:hAnsiTheme="majorHAnsi" w:cstheme="minorBidi"/>
          <w:szCs w:val="22"/>
        </w:rPr>
        <w:t xml:space="preserve">A 30-Day Federal Register Notice for the collection published on </w:t>
      </w:r>
      <w:r>
        <w:rPr>
          <w:rFonts w:asciiTheme="majorHAnsi" w:eastAsiaTheme="minorHAnsi" w:hAnsiTheme="majorHAnsi" w:cstheme="minorBidi"/>
          <w:szCs w:val="22"/>
        </w:rPr>
        <w:t>Friday, September 15, 2023</w:t>
      </w:r>
      <w:r w:rsidRPr="003B7798">
        <w:rPr>
          <w:rFonts w:asciiTheme="majorHAnsi" w:eastAsiaTheme="minorHAnsi" w:hAnsiTheme="majorHAnsi" w:cstheme="minorBidi"/>
          <w:szCs w:val="22"/>
        </w:rPr>
        <w:t xml:space="preserve">.  The 30-Day FRN citation is </w:t>
      </w:r>
      <w:r>
        <w:rPr>
          <w:rFonts w:asciiTheme="majorHAnsi" w:eastAsiaTheme="minorHAnsi" w:hAnsiTheme="majorHAnsi" w:cstheme="minorBidi"/>
          <w:szCs w:val="22"/>
        </w:rPr>
        <w:t>88</w:t>
      </w:r>
      <w:r w:rsidRPr="003B7798">
        <w:rPr>
          <w:rFonts w:asciiTheme="majorHAnsi" w:eastAsiaTheme="minorHAnsi" w:hAnsiTheme="majorHAnsi" w:cstheme="minorBidi"/>
          <w:szCs w:val="22"/>
        </w:rPr>
        <w:t xml:space="preserve"> FRN </w:t>
      </w:r>
      <w:r>
        <w:rPr>
          <w:rFonts w:asciiTheme="majorHAnsi" w:eastAsiaTheme="minorHAnsi" w:hAnsiTheme="majorHAnsi" w:cstheme="minorBidi"/>
          <w:szCs w:val="22"/>
        </w:rPr>
        <w:t>63677-63678</w:t>
      </w:r>
      <w:r w:rsidRPr="003B7798">
        <w:rPr>
          <w:rFonts w:asciiTheme="majorHAnsi" w:eastAsiaTheme="minorHAnsi" w:hAnsiTheme="majorHAnsi" w:cstheme="minorBidi"/>
          <w:szCs w:val="22"/>
        </w:rPr>
        <w:t>.</w:t>
      </w:r>
    </w:p>
    <w:p w:rsidR="003B7798" w:rsidP="003B7798" w14:paraId="7B452F17" w14:textId="77777777">
      <w:pPr>
        <w:pStyle w:val="NormalWeb"/>
        <w:spacing w:before="0" w:beforeAutospacing="0" w:after="0" w:afterAutospacing="0"/>
        <w:rPr>
          <w:rFonts w:asciiTheme="majorHAnsi" w:eastAsiaTheme="minorHAnsi" w:hAnsiTheme="majorHAnsi" w:cstheme="minorBidi"/>
          <w:szCs w:val="22"/>
        </w:rPr>
      </w:pPr>
    </w:p>
    <w:p w:rsidR="00200261" w:rsidP="003B7798" w14:paraId="11AACC41" w14:textId="23164535">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3B7798" w:rsidP="003B7798" w14:paraId="590EBB91" w14:textId="77777777">
      <w:pPr>
        <w:pStyle w:val="NormalWeb"/>
        <w:spacing w:before="0" w:beforeAutospacing="0" w:after="0" w:afterAutospacing="0"/>
        <w:rPr>
          <w:rFonts w:asciiTheme="majorHAnsi" w:eastAsiaTheme="minorHAnsi" w:hAnsiTheme="majorHAnsi" w:cstheme="minorBidi"/>
          <w:szCs w:val="22"/>
          <w:highlight w:val="cyan"/>
        </w:rPr>
      </w:pPr>
    </w:p>
    <w:p w:rsidR="00571698" w:rsidP="003B7798" w14:paraId="70A4183A" w14:textId="789A7887">
      <w:pPr>
        <w:pStyle w:val="NormalWeb"/>
        <w:spacing w:before="0" w:beforeAutospacing="0" w:after="0" w:afterAutospacing="0"/>
        <w:rPr>
          <w:rFonts w:asciiTheme="majorHAnsi" w:hAnsiTheme="majorHAnsi"/>
          <w:i/>
        </w:rPr>
      </w:pPr>
      <w:r w:rsidRPr="003B7798">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3B7798" w:rsidP="003B7798" w14:paraId="73B8D017" w14:textId="77777777">
      <w:pPr>
        <w:spacing w:after="0" w:line="240" w:lineRule="auto"/>
        <w:rPr>
          <w:rFonts w:asciiTheme="majorHAnsi" w:hAnsiTheme="majorHAnsi"/>
          <w:sz w:val="24"/>
        </w:rPr>
      </w:pPr>
    </w:p>
    <w:p w:rsidR="00571698" w:rsidRPr="0085688C" w:rsidP="003B7798" w14:paraId="62426DC4" w14:textId="7E7B49E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3B7798" w:rsidP="003B7798" w14:paraId="472EB206" w14:textId="77777777">
      <w:pPr>
        <w:spacing w:after="0" w:line="240" w:lineRule="auto"/>
        <w:rPr>
          <w:rFonts w:asciiTheme="majorHAnsi" w:hAnsiTheme="majorHAnsi"/>
          <w:sz w:val="24"/>
          <w:highlight w:val="cyan"/>
        </w:rPr>
      </w:pPr>
    </w:p>
    <w:p w:rsidR="006A13FA" w:rsidRPr="003B7798" w:rsidP="003B7798" w14:paraId="53A391A2" w14:textId="59BD1DD7">
      <w:pPr>
        <w:spacing w:after="0" w:line="240" w:lineRule="auto"/>
        <w:rPr>
          <w:rFonts w:asciiTheme="majorHAnsi" w:hAnsiTheme="majorHAnsi"/>
          <w:i/>
          <w:sz w:val="24"/>
        </w:rPr>
      </w:pPr>
      <w:r w:rsidRPr="003B7798">
        <w:rPr>
          <w:rFonts w:asciiTheme="majorHAnsi" w:hAnsiTheme="majorHAnsi"/>
          <w:sz w:val="24"/>
        </w:rPr>
        <w:t xml:space="preserve">No payments or gifts are being offered to respondents as an incentive to participate in the </w:t>
      </w:r>
      <w:r w:rsidRPr="003B7798">
        <w:rPr>
          <w:rFonts w:asciiTheme="majorHAnsi" w:hAnsiTheme="majorHAnsi"/>
          <w:sz w:val="24"/>
        </w:rPr>
        <w:t>collection.</w:t>
      </w:r>
      <w:r w:rsidRPr="003B7798">
        <w:rPr>
          <w:rFonts w:asciiTheme="majorHAnsi" w:hAnsiTheme="majorHAnsi"/>
          <w:i/>
          <w:sz w:val="24"/>
        </w:rPr>
        <w:t xml:space="preserve"> </w:t>
      </w:r>
    </w:p>
    <w:p w:rsidR="006A13FA" w:rsidRPr="003B7798" w:rsidP="003B7798" w14:paraId="4516DC00" w14:textId="77777777">
      <w:pPr>
        <w:spacing w:after="0" w:line="240" w:lineRule="auto"/>
        <w:rPr>
          <w:rFonts w:asciiTheme="majorHAnsi" w:hAnsiTheme="majorHAnsi"/>
          <w:i/>
          <w:sz w:val="24"/>
        </w:rPr>
      </w:pPr>
    </w:p>
    <w:p w:rsidR="00F97482" w:rsidP="003B7798" w14:paraId="1902D846" w14:textId="5C8A3A98">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B7798" w:rsidP="003B7798" w14:paraId="3DF6BDEC" w14:textId="6F78E04B">
      <w:pPr>
        <w:spacing w:after="0" w:line="240" w:lineRule="auto"/>
        <w:rPr>
          <w:rFonts w:asciiTheme="majorHAnsi" w:hAnsiTheme="majorHAnsi"/>
          <w:sz w:val="24"/>
          <w:u w:val="single"/>
        </w:rPr>
      </w:pPr>
    </w:p>
    <w:p w:rsidR="003B7798" w:rsidRPr="003B7798" w:rsidP="003B7798" w14:paraId="44939E46" w14:textId="77777777">
      <w:pPr>
        <w:spacing w:after="0" w:line="240" w:lineRule="auto"/>
        <w:rPr>
          <w:rFonts w:asciiTheme="majorHAnsi" w:hAnsiTheme="majorHAnsi"/>
          <w:sz w:val="24"/>
        </w:rPr>
      </w:pPr>
      <w:r w:rsidRPr="003B7798">
        <w:rPr>
          <w:rFonts w:asciiTheme="majorHAnsi" w:hAnsiTheme="majorHAnsi"/>
          <w:sz w:val="24"/>
        </w:rPr>
        <w:t>The records are maintained in the appropriate Privacy Act System of Records identified as “Compensation, Pension, Education, and Vocational Rehabilitation and Employment Records-VA (58VA21/22/28),” published at 74 FR 29</w:t>
      </w:r>
      <w:r w:rsidRPr="003B7798">
        <w:rPr>
          <w:rFonts w:asciiTheme="majorHAnsi" w:hAnsiTheme="majorHAnsi"/>
          <w:sz w:val="24"/>
        </w:rPr>
        <w:t>275 on June 19, 2009, and last amended at 84 FR 4138 (February 14, 2019).</w:t>
      </w:r>
    </w:p>
    <w:p w:rsidR="00996894" w:rsidP="003B7798" w14:paraId="399AE8B8" w14:textId="77777777">
      <w:pPr>
        <w:spacing w:after="0" w:line="240" w:lineRule="auto"/>
        <w:rPr>
          <w:rFonts w:asciiTheme="majorHAnsi" w:hAnsiTheme="majorHAnsi"/>
          <w:i/>
          <w:sz w:val="24"/>
        </w:rPr>
      </w:pPr>
    </w:p>
    <w:p w:rsidR="00996894" w:rsidP="003B7798" w14:paraId="06DEAD58" w14:textId="0150482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B7798" w:rsidP="003B7798" w14:paraId="3798D92B" w14:textId="77777777">
      <w:pPr>
        <w:spacing w:after="0" w:line="240" w:lineRule="auto"/>
        <w:rPr>
          <w:rFonts w:asciiTheme="majorHAnsi" w:hAnsiTheme="majorHAnsi"/>
          <w:sz w:val="24"/>
          <w:highlight w:val="cyan"/>
        </w:rPr>
      </w:pPr>
    </w:p>
    <w:p w:rsidR="009A6246" w:rsidP="003B7798" w14:paraId="406F4486" w14:textId="4A0186B0">
      <w:pPr>
        <w:spacing w:after="0" w:line="240" w:lineRule="auto"/>
        <w:rPr>
          <w:rFonts w:asciiTheme="majorHAnsi" w:hAnsiTheme="majorHAnsi"/>
          <w:sz w:val="24"/>
        </w:rPr>
      </w:pPr>
      <w:r w:rsidRPr="003B7798">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B7798" w14:paraId="07A4B1CF" w14:textId="77777777">
      <w:pPr>
        <w:spacing w:after="0" w:line="240" w:lineRule="auto"/>
        <w:rPr>
          <w:rFonts w:asciiTheme="majorHAnsi" w:hAnsiTheme="majorHAnsi"/>
          <w:sz w:val="24"/>
        </w:rPr>
      </w:pPr>
    </w:p>
    <w:p w:rsidR="00D21AA6" w:rsidP="003B7798" w14:paraId="5445FF9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3B7798" w:rsidP="003B7798" w14:paraId="29E563D2" w14:textId="77777777">
      <w:pPr>
        <w:pStyle w:val="NormalWeb"/>
        <w:spacing w:before="0" w:beforeAutospacing="0" w:after="0" w:afterAutospacing="0"/>
        <w:rPr>
          <w:rFonts w:asciiTheme="majorHAnsi" w:eastAsiaTheme="minorHAnsi" w:hAnsiTheme="majorHAnsi" w:cstheme="minorBidi"/>
          <w:szCs w:val="22"/>
        </w:rPr>
      </w:pPr>
    </w:p>
    <w:p w:rsidR="00B55E9F" w:rsidP="003B7798" w14:paraId="1C6BB9FF" w14:textId="483EBCFF">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Part A: ESTIMATION OF </w:t>
      </w:r>
      <w:r>
        <w:rPr>
          <w:rFonts w:asciiTheme="majorHAnsi" w:eastAsiaTheme="minorHAnsi" w:hAnsiTheme="majorHAnsi" w:cstheme="minorBidi"/>
          <w:szCs w:val="22"/>
        </w:rPr>
        <w:t>RESPONDENT BURDEN</w:t>
      </w:r>
    </w:p>
    <w:p w:rsidR="00B55E9F" w:rsidRPr="00235D71" w:rsidP="003B7798" w14:paraId="4503671F" w14:textId="77777777">
      <w:pPr>
        <w:spacing w:after="0" w:line="240" w:lineRule="auto"/>
        <w:rPr>
          <w:rFonts w:asciiTheme="majorHAnsi" w:hAnsiTheme="majorHAnsi"/>
          <w:i/>
          <w:sz w:val="24"/>
        </w:rPr>
      </w:pPr>
    </w:p>
    <w:p w:rsidR="00235D71" w:rsidP="003B7798"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3B7798" w14:paraId="16DFA365" w14:textId="0FA6546A">
      <w:pPr>
        <w:pStyle w:val="ListParagraph"/>
        <w:spacing w:after="0" w:line="240" w:lineRule="auto"/>
        <w:rPr>
          <w:rFonts w:asciiTheme="majorHAnsi" w:hAnsiTheme="majorHAnsi"/>
          <w:sz w:val="24"/>
        </w:rPr>
      </w:pPr>
      <w:r w:rsidRPr="003E0F33">
        <w:rPr>
          <w:sz w:val="24"/>
          <w:szCs w:val="24"/>
        </w:rPr>
        <w:t>Income and Asset Statement in Supp</w:t>
      </w:r>
      <w:r w:rsidRPr="00976C2B">
        <w:rPr>
          <w:sz w:val="24"/>
          <w:szCs w:val="24"/>
        </w:rPr>
        <w:t>ort of Claim for Pension or Parent's Dependency and Indemnity Compensation (D.I.C.)</w:t>
      </w:r>
      <w:r w:rsidRPr="00235D71" w:rsidR="00A76F7E">
        <w:rPr>
          <w:rFonts w:asciiTheme="majorHAnsi" w:hAnsiTheme="majorHAnsi"/>
          <w:sz w:val="24"/>
        </w:rPr>
        <w:t xml:space="preserve"> </w:t>
      </w:r>
    </w:p>
    <w:p w:rsidR="00235D71" w:rsidP="003B7798" w14:paraId="1C8C0AEC" w14:textId="144A9BE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3B7798">
        <w:rPr>
          <w:rFonts w:asciiTheme="majorHAnsi" w:hAnsiTheme="majorHAnsi"/>
          <w:sz w:val="24"/>
        </w:rPr>
        <w:t>55,000</w:t>
      </w:r>
    </w:p>
    <w:p w:rsidR="00235D71" w:rsidP="003B7798" w14:paraId="438BC02C" w14:textId="53CD7D3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3B7798">
        <w:rPr>
          <w:rFonts w:asciiTheme="majorHAnsi" w:hAnsiTheme="majorHAnsi"/>
          <w:sz w:val="24"/>
        </w:rPr>
        <w:t>One time</w:t>
      </w:r>
    </w:p>
    <w:p w:rsidR="00235D71" w:rsidP="003B7798" w14:paraId="635839EA" w14:textId="5CD3F89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3B7798">
        <w:rPr>
          <w:rFonts w:asciiTheme="majorHAnsi" w:hAnsiTheme="majorHAnsi"/>
          <w:sz w:val="24"/>
        </w:rPr>
        <w:t>55,000</w:t>
      </w:r>
    </w:p>
    <w:p w:rsidR="00502FF3" w:rsidP="003B7798" w14:paraId="4AB2AF5B" w14:textId="2046015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3B7798">
        <w:rPr>
          <w:rFonts w:asciiTheme="majorHAnsi" w:hAnsiTheme="majorHAnsi"/>
          <w:sz w:val="24"/>
        </w:rPr>
        <w:t>25 minutes</w:t>
      </w:r>
    </w:p>
    <w:p w:rsidR="00A76F7E" w:rsidP="003B7798" w14:paraId="43FE1EBC" w14:textId="0D15ADFF">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Pr="00A77157">
        <w:rPr>
          <w:rFonts w:asciiTheme="majorHAnsi" w:hAnsiTheme="majorHAnsi"/>
          <w:i/>
          <w:sz w:val="24"/>
        </w:rPr>
        <w:t xml:space="preserve">C </w:t>
      </w:r>
      <w:r w:rsidRPr="00A77157" w:rsidR="00A77157">
        <w:rPr>
          <w:rFonts w:asciiTheme="majorHAnsi" w:hAnsiTheme="majorHAnsi"/>
          <w:i/>
          <w:sz w:val="24"/>
        </w:rPr>
        <w:t>multiplied by D, computed into hours</w:t>
      </w:r>
      <w:r w:rsidR="00520B36">
        <w:rPr>
          <w:rFonts w:asciiTheme="majorHAnsi" w:hAnsiTheme="majorHAnsi"/>
          <w:sz w:val="24"/>
        </w:rPr>
        <w:t xml:space="preserve">): </w:t>
      </w:r>
      <w:r w:rsidR="003B7798">
        <w:rPr>
          <w:rFonts w:asciiTheme="majorHAnsi" w:hAnsiTheme="majorHAnsi"/>
          <w:sz w:val="24"/>
        </w:rPr>
        <w:t>22,917</w:t>
      </w:r>
      <w:r w:rsidR="00A77157">
        <w:rPr>
          <w:rFonts w:asciiTheme="majorHAnsi" w:hAnsiTheme="majorHAnsi"/>
          <w:sz w:val="24"/>
        </w:rPr>
        <w:t xml:space="preserve"> hours </w:t>
      </w:r>
    </w:p>
    <w:p w:rsidR="00B55E9F" w:rsidP="003B7798" w14:paraId="06EDE2A0" w14:textId="77777777">
      <w:pPr>
        <w:pStyle w:val="ListParagraph"/>
        <w:spacing w:after="0" w:line="240" w:lineRule="auto"/>
        <w:ind w:left="1440"/>
        <w:rPr>
          <w:rFonts w:asciiTheme="majorHAnsi" w:hAnsiTheme="majorHAnsi"/>
          <w:sz w:val="24"/>
        </w:rPr>
      </w:pPr>
    </w:p>
    <w:p w:rsidR="00235D71" w:rsidP="003B7798"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3B7798" w14:paraId="1627433E" w14:textId="015E935A">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B7798">
        <w:rPr>
          <w:rFonts w:asciiTheme="majorHAnsi" w:hAnsiTheme="majorHAnsi"/>
          <w:sz w:val="24"/>
        </w:rPr>
        <w:t>55,000</w:t>
      </w:r>
    </w:p>
    <w:p w:rsidR="00235D71" w:rsidP="003B7798" w14:paraId="7B4B66AE" w14:textId="08E43002">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3B7798">
        <w:rPr>
          <w:rFonts w:asciiTheme="majorHAnsi" w:hAnsiTheme="majorHAnsi"/>
          <w:sz w:val="24"/>
        </w:rPr>
        <w:t>55,000</w:t>
      </w:r>
    </w:p>
    <w:p w:rsidR="00A77157" w:rsidRPr="00235D71" w:rsidP="003B7798" w14:paraId="16AF1427" w14:textId="13CF4DC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722FDB">
        <w:rPr>
          <w:rFonts w:asciiTheme="majorHAnsi" w:hAnsiTheme="majorHAnsi"/>
          <w:i/>
          <w:sz w:val="24"/>
        </w:rPr>
        <w:t>(P: add all “e’s” in this section)</w:t>
      </w:r>
      <w:r>
        <w:rPr>
          <w:rFonts w:asciiTheme="majorHAnsi" w:hAnsiTheme="majorHAnsi"/>
          <w:sz w:val="24"/>
        </w:rPr>
        <w:t xml:space="preserve">: </w:t>
      </w:r>
      <w:r w:rsidR="003B7798">
        <w:rPr>
          <w:rFonts w:asciiTheme="majorHAnsi" w:hAnsiTheme="majorHAnsi"/>
          <w:sz w:val="24"/>
        </w:rPr>
        <w:t>22,917 hours</w:t>
      </w:r>
    </w:p>
    <w:p w:rsidR="00520B36" w:rsidP="003B7798" w14:paraId="55A4E838" w14:textId="77777777">
      <w:pPr>
        <w:spacing w:after="0" w:line="240" w:lineRule="auto"/>
        <w:rPr>
          <w:rFonts w:asciiTheme="majorHAnsi" w:hAnsiTheme="majorHAnsi"/>
          <w:sz w:val="24"/>
        </w:rPr>
      </w:pPr>
    </w:p>
    <w:p w:rsidR="00105F45" w:rsidP="003B7798"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520B36" w:rsidP="003B7798" w14:paraId="30DB1290" w14:textId="77777777">
      <w:pPr>
        <w:spacing w:after="0" w:line="240" w:lineRule="auto"/>
        <w:rPr>
          <w:i/>
        </w:rPr>
      </w:pPr>
      <w:r w:rsidRPr="0019309D">
        <w:rPr>
          <w:rFonts w:asciiTheme="majorHAnsi" w:hAnsiTheme="majorHAnsi"/>
          <w:i/>
          <w:sz w:val="24"/>
        </w:rPr>
        <w:t xml:space="preserve">(P): OMB believes that everyone’s time is worth money. In this section, we’re determining </w:t>
      </w:r>
      <w:r w:rsidR="0077261C">
        <w:rPr>
          <w:rFonts w:asciiTheme="majorHAnsi" w:hAnsiTheme="majorHAnsi"/>
          <w:i/>
          <w:sz w:val="24"/>
        </w:rPr>
        <w:t xml:space="preserve">that </w:t>
      </w:r>
      <w:r w:rsidRPr="0019309D">
        <w:rPr>
          <w:rFonts w:asciiTheme="majorHAnsi" w:hAnsiTheme="majorHAnsi"/>
          <w:i/>
          <w:sz w:val="24"/>
        </w:rPr>
        <w:t>if the respondent was working at their job, how much would they make in the time it takes them to respond to the collection instrument?</w:t>
      </w:r>
      <w:r w:rsidRPr="0019309D">
        <w:rPr>
          <w:i/>
        </w:rPr>
        <w:t xml:space="preserve"> </w:t>
      </w:r>
    </w:p>
    <w:p w:rsidR="00B55E9F" w:rsidRPr="0019309D" w:rsidP="003B7798" w14:paraId="5F63F454" w14:textId="77777777">
      <w:pPr>
        <w:spacing w:after="0" w:line="240" w:lineRule="auto"/>
        <w:rPr>
          <w:rFonts w:asciiTheme="majorHAnsi" w:hAnsiTheme="majorHAnsi"/>
          <w:i/>
          <w:sz w:val="24"/>
        </w:rPr>
      </w:pPr>
    </w:p>
    <w:p w:rsidR="00520B36" w:rsidP="003B7798" w14:paraId="18A12870" w14:textId="77777777">
      <w:pPr>
        <w:spacing w:after="0" w:line="240" w:lineRule="auto"/>
        <w:rPr>
          <w:rFonts w:asciiTheme="majorHAnsi" w:hAnsiTheme="majorHAnsi"/>
          <w:i/>
          <w:sz w:val="24"/>
        </w:rPr>
      </w:pPr>
      <w:r w:rsidRPr="0019309D">
        <w:rPr>
          <w:rFonts w:asciiTheme="majorHAnsi" w:hAnsiTheme="majorHAnsi"/>
          <w:i/>
          <w:sz w:val="24"/>
        </w:rPr>
        <w:t xml:space="preserve">If respondents are salaried, and not hourly wage-earners, approximate the hourly wage as best as possible. For a good </w:t>
      </w:r>
      <w:r w:rsidRPr="0019309D">
        <w:rPr>
          <w:rFonts w:asciiTheme="majorHAnsi" w:hAnsiTheme="majorHAnsi"/>
          <w:i/>
          <w:sz w:val="24"/>
        </w:rPr>
        <w:t>estimate, divide respondent salary by 52 weeks, then divide again by 40 hours to come up with a respondent hourly wage.</w:t>
      </w:r>
    </w:p>
    <w:p w:rsidR="00235D71" w:rsidP="003B7798" w14:paraId="79991611" w14:textId="77777777">
      <w:pPr>
        <w:pStyle w:val="ListParagraph"/>
        <w:spacing w:after="0" w:line="240" w:lineRule="auto"/>
        <w:rPr>
          <w:rFonts w:asciiTheme="majorHAnsi" w:hAnsiTheme="majorHAnsi"/>
          <w:sz w:val="24"/>
        </w:rPr>
      </w:pPr>
    </w:p>
    <w:p w:rsidR="00235D71" w:rsidP="003B7798" w14:paraId="00F09206" w14:textId="1FBDAD3D">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C226D6" w:rsidP="00C226D6" w14:paraId="4AABD0B4" w14:textId="77777777">
      <w:pPr>
        <w:pStyle w:val="ListParagraph"/>
        <w:spacing w:after="0" w:line="240" w:lineRule="auto"/>
        <w:rPr>
          <w:rFonts w:asciiTheme="majorHAnsi" w:hAnsiTheme="majorHAnsi"/>
          <w:sz w:val="24"/>
        </w:rPr>
      </w:pPr>
    </w:p>
    <w:p w:rsidR="00235D71" w:rsidRPr="00C226D6" w:rsidP="00C226D6" w14:paraId="281EAFCC" w14:textId="7177E5F4">
      <w:pPr>
        <w:spacing w:after="0" w:line="240" w:lineRule="auto"/>
        <w:ind w:left="360"/>
        <w:rPr>
          <w:rFonts w:asciiTheme="majorHAnsi" w:hAnsiTheme="majorHAnsi"/>
          <w:sz w:val="24"/>
        </w:rPr>
      </w:pPr>
      <w:r w:rsidRPr="003E0F33">
        <w:rPr>
          <w:sz w:val="24"/>
          <w:szCs w:val="24"/>
        </w:rPr>
        <w:t>Income and Asset Statement in Supp</w:t>
      </w:r>
      <w:r w:rsidRPr="00976C2B">
        <w:rPr>
          <w:sz w:val="24"/>
          <w:szCs w:val="24"/>
        </w:rPr>
        <w:t xml:space="preserve">ort of Claim for Pension or Parent's Dependency and Indemnity </w:t>
      </w:r>
      <w:r w:rsidRPr="00976C2B">
        <w:rPr>
          <w:sz w:val="24"/>
          <w:szCs w:val="24"/>
        </w:rPr>
        <w:t>Compensation (D.I.C.)</w:t>
      </w:r>
      <w:r w:rsidRPr="00C226D6">
        <w:rPr>
          <w:rFonts w:asciiTheme="majorHAnsi" w:hAnsiTheme="majorHAnsi"/>
          <w:sz w:val="24"/>
        </w:rPr>
        <w:t xml:space="preserve"> </w:t>
      </w:r>
    </w:p>
    <w:p w:rsidR="00C226D6" w:rsidRPr="002C4472" w:rsidP="00C226D6" w14:paraId="6D5007B1" w14:textId="26A934F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2C4472">
        <w:rPr>
          <w:rFonts w:asciiTheme="majorHAnsi" w:hAnsiTheme="majorHAnsi"/>
          <w:sz w:val="24"/>
        </w:rPr>
        <w:t xml:space="preserve">Annual Responses: </w:t>
      </w:r>
      <w:r>
        <w:rPr>
          <w:rFonts w:asciiTheme="majorHAnsi" w:hAnsiTheme="majorHAnsi"/>
          <w:sz w:val="24"/>
        </w:rPr>
        <w:t>550</w:t>
      </w:r>
      <w:r w:rsidRPr="002C4472">
        <w:rPr>
          <w:rFonts w:asciiTheme="majorHAnsi" w:hAnsiTheme="majorHAnsi"/>
          <w:sz w:val="24"/>
        </w:rPr>
        <w:t>,000</w:t>
      </w:r>
    </w:p>
    <w:p w:rsidR="00C226D6" w:rsidRPr="002C4472" w:rsidP="00C226D6" w14:paraId="32440B83" w14:textId="62CA98B9">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 xml:space="preserve">Response Time: </w:t>
      </w:r>
      <w:r>
        <w:rPr>
          <w:rFonts w:asciiTheme="majorHAnsi" w:hAnsiTheme="majorHAnsi"/>
          <w:sz w:val="24"/>
        </w:rPr>
        <w:t>25</w:t>
      </w:r>
      <w:r w:rsidRPr="002C4472">
        <w:rPr>
          <w:rFonts w:asciiTheme="majorHAnsi" w:hAnsiTheme="majorHAnsi"/>
          <w:sz w:val="24"/>
        </w:rPr>
        <w:t xml:space="preserve"> minutes</w:t>
      </w:r>
    </w:p>
    <w:p w:rsidR="00C226D6" w:rsidRPr="002C4472" w:rsidP="00C226D6" w14:paraId="777A74E2" w14:textId="77777777">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Respondent Hourly Wage: $29.76</w:t>
      </w:r>
    </w:p>
    <w:p w:rsidR="00C226D6" w:rsidRPr="002C4472" w:rsidP="00C226D6" w14:paraId="2FE2E934" w14:textId="28B2523D">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Labor Burden per Response: $</w:t>
      </w:r>
      <w:r>
        <w:rPr>
          <w:rFonts w:asciiTheme="majorHAnsi" w:hAnsiTheme="majorHAnsi"/>
          <w:sz w:val="24"/>
        </w:rPr>
        <w:t>12.40</w:t>
      </w:r>
    </w:p>
    <w:p w:rsidR="00C226D6" w:rsidRPr="002C4472" w:rsidP="00C226D6" w14:paraId="2F194755" w14:textId="2C1A75BD">
      <w:pPr>
        <w:pStyle w:val="ListParagraph"/>
        <w:numPr>
          <w:ilvl w:val="0"/>
          <w:numId w:val="17"/>
        </w:numPr>
        <w:spacing w:after="0" w:line="240" w:lineRule="auto"/>
        <w:rPr>
          <w:rFonts w:asciiTheme="majorHAnsi" w:hAnsiTheme="majorHAnsi"/>
          <w:sz w:val="24"/>
        </w:rPr>
      </w:pPr>
      <w:r w:rsidRPr="002C4472">
        <w:rPr>
          <w:rFonts w:asciiTheme="majorHAnsi" w:hAnsiTheme="majorHAnsi"/>
          <w:sz w:val="24"/>
        </w:rPr>
        <w:t>Total Labor Burden: $</w:t>
      </w:r>
      <w:r>
        <w:rPr>
          <w:rFonts w:asciiTheme="majorHAnsi" w:hAnsiTheme="majorHAnsi"/>
          <w:sz w:val="24"/>
        </w:rPr>
        <w:t>682,000.00</w:t>
      </w:r>
    </w:p>
    <w:p w:rsidR="003B7798" w:rsidP="003B7798" w14:paraId="58B0BE38" w14:textId="77777777">
      <w:pPr>
        <w:pStyle w:val="ListParagraph"/>
        <w:spacing w:after="0" w:line="240" w:lineRule="auto"/>
        <w:rPr>
          <w:rFonts w:asciiTheme="majorHAnsi" w:hAnsiTheme="majorHAnsi"/>
          <w:sz w:val="24"/>
        </w:rPr>
      </w:pPr>
    </w:p>
    <w:p w:rsidR="00235D71" w:rsidP="003B7798" w14:paraId="41816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RPr="00C226D6" w:rsidP="003B7798" w14:paraId="1CBB357F" w14:textId="7380938B">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C226D6">
        <w:rPr>
          <w:rFonts w:asciiTheme="majorHAnsi" w:hAnsiTheme="majorHAnsi"/>
          <w:sz w:val="24"/>
        </w:rPr>
        <w:t xml:space="preserve">: </w:t>
      </w:r>
      <w:r w:rsidRPr="00C226D6" w:rsidR="00C226D6">
        <w:rPr>
          <w:rFonts w:asciiTheme="majorHAnsi" w:hAnsiTheme="majorHAnsi"/>
          <w:sz w:val="24"/>
        </w:rPr>
        <w:t>5</w:t>
      </w:r>
      <w:r w:rsidR="00C226D6">
        <w:rPr>
          <w:rFonts w:asciiTheme="majorHAnsi" w:hAnsiTheme="majorHAnsi"/>
          <w:sz w:val="24"/>
        </w:rPr>
        <w:t>5</w:t>
      </w:r>
      <w:r w:rsidRPr="00C226D6" w:rsidR="00C226D6">
        <w:rPr>
          <w:rFonts w:asciiTheme="majorHAnsi" w:hAnsiTheme="majorHAnsi"/>
          <w:sz w:val="24"/>
        </w:rPr>
        <w:t>,000</w:t>
      </w:r>
    </w:p>
    <w:p w:rsidR="00235D71" w:rsidRPr="00C226D6" w:rsidP="003B7798" w14:paraId="550000E2" w14:textId="1DF501BC">
      <w:pPr>
        <w:pStyle w:val="ListParagraph"/>
        <w:numPr>
          <w:ilvl w:val="1"/>
          <w:numId w:val="16"/>
        </w:numPr>
        <w:spacing w:after="0" w:line="240" w:lineRule="auto"/>
        <w:rPr>
          <w:rFonts w:asciiTheme="majorHAnsi" w:hAnsiTheme="majorHAnsi"/>
          <w:sz w:val="24"/>
        </w:rPr>
      </w:pPr>
      <w:r w:rsidRPr="00C226D6">
        <w:rPr>
          <w:rFonts w:asciiTheme="majorHAnsi" w:hAnsiTheme="majorHAnsi"/>
          <w:sz w:val="24"/>
        </w:rPr>
        <w:t>Tota</w:t>
      </w:r>
      <w:r w:rsidRPr="00C226D6">
        <w:rPr>
          <w:rFonts w:asciiTheme="majorHAnsi" w:hAnsiTheme="majorHAnsi"/>
          <w:sz w:val="24"/>
        </w:rPr>
        <w:t>l Labor Burden: $</w:t>
      </w:r>
      <w:r w:rsidR="00C226D6">
        <w:rPr>
          <w:rFonts w:asciiTheme="majorHAnsi" w:hAnsiTheme="majorHAnsi"/>
          <w:sz w:val="24"/>
        </w:rPr>
        <w:t>682,000.00.</w:t>
      </w:r>
    </w:p>
    <w:p w:rsidR="00520B36" w:rsidP="003B7798" w14:paraId="7C2EBD55" w14:textId="77777777">
      <w:pPr>
        <w:spacing w:after="0" w:line="240" w:lineRule="auto"/>
        <w:rPr>
          <w:rFonts w:asciiTheme="majorHAnsi" w:hAnsiTheme="majorHAnsi"/>
          <w:sz w:val="24"/>
        </w:rPr>
      </w:pPr>
    </w:p>
    <w:p w:rsidR="00520B36" w:rsidRPr="0019309D" w:rsidP="003B7798" w14:paraId="282260EA" w14:textId="5647671E">
      <w:pPr>
        <w:spacing w:after="0" w:line="240" w:lineRule="auto"/>
        <w:rPr>
          <w:rFonts w:asciiTheme="majorHAnsi" w:hAnsiTheme="majorHAnsi"/>
          <w:sz w:val="24"/>
        </w:rPr>
      </w:pPr>
      <w:r w:rsidRPr="00C226D6">
        <w:rPr>
          <w:rFonts w:asciiTheme="majorHAnsi" w:hAnsiTheme="majorHAnsi"/>
          <w:sz w:val="24"/>
        </w:rPr>
        <w:t>The Respondent hourly wage was determined by using the Department of Labor Wage Website (</w:t>
      </w:r>
      <w:r w:rsidRPr="00C226D6" w:rsidR="008A06EF">
        <w:rPr>
          <w:rFonts w:asciiTheme="majorHAnsi" w:hAnsiTheme="majorHAnsi"/>
          <w:sz w:val="24"/>
        </w:rPr>
        <w:t>[</w:t>
      </w:r>
      <w:hyperlink r:id="rId4" w:history="1">
        <w:r w:rsidRPr="00C226D6">
          <w:rPr>
            <w:rStyle w:val="Hyperlink"/>
            <w:rFonts w:asciiTheme="majorHAnsi" w:hAnsiTheme="majorHAnsi"/>
            <w:sz w:val="24"/>
          </w:rPr>
          <w:t>http://</w:t>
        </w:r>
        <w:r w:rsidRPr="00C226D6">
          <w:rPr>
            <w:rStyle w:val="Hyperlink"/>
            <w:rFonts w:asciiTheme="majorHAnsi" w:hAnsiTheme="majorHAnsi"/>
            <w:sz w:val="24"/>
          </w:rPr>
          <w:t>www.dol.gov</w:t>
        </w:r>
        <w:r w:rsidRPr="00C226D6">
          <w:rPr>
            <w:rStyle w:val="Hyperlink"/>
            <w:rFonts w:asciiTheme="majorHAnsi" w:hAnsiTheme="majorHAnsi"/>
            <w:sz w:val="24"/>
          </w:rPr>
          <w:t>/dol/topic/wages/</w:t>
        </w:r>
        <w:r w:rsidRPr="00C226D6">
          <w:rPr>
            <w:rStyle w:val="Hyperlink"/>
            <w:rFonts w:asciiTheme="majorHAnsi" w:hAnsiTheme="majorHAnsi"/>
            <w:sz w:val="24"/>
          </w:rPr>
          <w:t>index.htm</w:t>
        </w:r>
      </w:hyperlink>
      <w:r w:rsidRPr="00C226D6" w:rsidR="008A06EF">
        <w:rPr>
          <w:rFonts w:asciiTheme="majorHAnsi" w:hAnsiTheme="majorHAnsi"/>
          <w:sz w:val="24"/>
        </w:rPr>
        <w:t>])</w:t>
      </w:r>
    </w:p>
    <w:p w:rsidR="006F2DF8" w:rsidP="003B7798" w14:paraId="49ECAE60" w14:textId="77777777">
      <w:pPr>
        <w:spacing w:after="0" w:line="240" w:lineRule="auto"/>
        <w:rPr>
          <w:rFonts w:asciiTheme="majorHAnsi" w:hAnsiTheme="majorHAnsi"/>
          <w:sz w:val="24"/>
        </w:rPr>
      </w:pPr>
    </w:p>
    <w:p w:rsidR="0019309D" w:rsidP="003B7798" w14:paraId="17EA69A7" w14:textId="19F0612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226D6" w:rsidP="003B7798" w14:paraId="40431ABC" w14:textId="77777777">
      <w:pPr>
        <w:spacing w:after="0" w:line="240" w:lineRule="auto"/>
        <w:rPr>
          <w:rFonts w:asciiTheme="majorHAnsi" w:hAnsiTheme="majorHAnsi"/>
          <w:sz w:val="24"/>
          <w:highlight w:val="cyan"/>
        </w:rPr>
      </w:pPr>
    </w:p>
    <w:p w:rsidR="0019309D" w:rsidP="003B7798" w14:paraId="64B2ECBE" w14:textId="5F8D069A">
      <w:pPr>
        <w:spacing w:after="0" w:line="240" w:lineRule="auto"/>
        <w:rPr>
          <w:rFonts w:asciiTheme="majorHAnsi" w:hAnsiTheme="majorHAnsi"/>
          <w:sz w:val="24"/>
        </w:rPr>
      </w:pPr>
      <w:r w:rsidRPr="00C226D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3B7798" w14:paraId="3F31196D" w14:textId="77777777">
      <w:pPr>
        <w:spacing w:after="0" w:line="240" w:lineRule="auto"/>
        <w:rPr>
          <w:rFonts w:asciiTheme="majorHAnsi" w:hAnsiTheme="majorHAnsi"/>
          <w:sz w:val="24"/>
        </w:rPr>
      </w:pPr>
    </w:p>
    <w:p w:rsidR="00F25499" w:rsidP="003B7798" w14:paraId="59A953B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w:t>
      </w:r>
      <w:r w:rsidRPr="00722FDB">
        <w:rPr>
          <w:rFonts w:asciiTheme="majorHAnsi" w:hAnsiTheme="majorHAnsi"/>
          <w:sz w:val="24"/>
          <w:u w:val="single"/>
        </w:rPr>
        <w:t>he Federal Government</w:t>
      </w:r>
    </w:p>
    <w:p w:rsidR="00235D71" w:rsidP="003B7798" w14:paraId="4FFDB3FA" w14:textId="77777777">
      <w:pPr>
        <w:spacing w:after="0" w:line="240" w:lineRule="auto"/>
        <w:rPr>
          <w:rFonts w:asciiTheme="majorHAnsi" w:hAnsiTheme="majorHAnsi"/>
          <w:sz w:val="24"/>
        </w:rPr>
      </w:pPr>
    </w:p>
    <w:p w:rsidR="00235D71" w:rsidP="003B7798"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3B7798" w14:paraId="7C39DD68" w14:textId="77777777">
      <w:pPr>
        <w:pStyle w:val="ListParagraph"/>
        <w:spacing w:after="0" w:line="240" w:lineRule="auto"/>
        <w:rPr>
          <w:rFonts w:asciiTheme="majorHAnsi" w:hAnsiTheme="majorHAnsi"/>
          <w:sz w:val="24"/>
        </w:rPr>
      </w:pPr>
    </w:p>
    <w:p w:rsidR="00235D71" w:rsidP="003B7798"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C226D6" w:rsidRPr="00C226D6" w:rsidP="00C226D6" w14:paraId="5134D4CB" w14:textId="77777777">
      <w:pPr>
        <w:spacing w:after="0" w:line="240" w:lineRule="auto"/>
        <w:ind w:left="360"/>
        <w:rPr>
          <w:rFonts w:asciiTheme="majorHAnsi" w:hAnsiTheme="majorHAnsi"/>
          <w:sz w:val="24"/>
        </w:rPr>
      </w:pPr>
      <w:r w:rsidRPr="003E0F33">
        <w:rPr>
          <w:sz w:val="24"/>
          <w:szCs w:val="24"/>
        </w:rPr>
        <w:t>Income and Asset Statement in Supp</w:t>
      </w:r>
      <w:r w:rsidRPr="00976C2B">
        <w:rPr>
          <w:sz w:val="24"/>
          <w:szCs w:val="24"/>
        </w:rPr>
        <w:t>ort of Claim for Pension or Parent's Dependency and Indemnity Compensation (D.I.C.)</w:t>
      </w:r>
      <w:r w:rsidRPr="00C226D6">
        <w:rPr>
          <w:rFonts w:asciiTheme="majorHAnsi" w:hAnsiTheme="majorHAnsi"/>
          <w:sz w:val="24"/>
        </w:rPr>
        <w:t xml:space="preserve"> </w:t>
      </w:r>
    </w:p>
    <w:p w:rsidR="00C226D6" w:rsidP="00C226D6" w14:paraId="72D4574B" w14:textId="77777777">
      <w:pPr>
        <w:pStyle w:val="ListParagraph"/>
        <w:spacing w:after="0" w:line="240" w:lineRule="auto"/>
        <w:rPr>
          <w:rFonts w:asciiTheme="majorHAnsi" w:hAnsiTheme="majorHAnsi"/>
          <w:sz w:val="24"/>
        </w:rPr>
      </w:pPr>
    </w:p>
    <w:tbl>
      <w:tblPr>
        <w:tblW w:w="8730" w:type="dxa"/>
        <w:tblInd w:w="558" w:type="dxa"/>
        <w:tblLayout w:type="fixed"/>
        <w:tblLook w:val="04A0"/>
      </w:tblPr>
      <w:tblGrid>
        <w:gridCol w:w="771"/>
        <w:gridCol w:w="625"/>
        <w:gridCol w:w="777"/>
        <w:gridCol w:w="853"/>
        <w:gridCol w:w="981"/>
        <w:gridCol w:w="1130"/>
        <w:gridCol w:w="989"/>
        <w:gridCol w:w="1136"/>
        <w:gridCol w:w="1468"/>
      </w:tblGrid>
      <w:tr w14:paraId="2BF06889" w14:textId="77777777" w:rsidTr="00CF71C8">
        <w:tblPrEx>
          <w:tblW w:w="8730" w:type="dxa"/>
          <w:tblInd w:w="558" w:type="dxa"/>
          <w:tblLayout w:type="fixed"/>
          <w:tblLook w:val="04A0"/>
        </w:tblPrEx>
        <w:trPr>
          <w:trHeight w:val="585"/>
        </w:trPr>
        <w:tc>
          <w:tcPr>
            <w:tcW w:w="771"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rsidR="00C226D6" w:rsidRPr="003E0F33" w:rsidP="00CF71C8" w14:paraId="5725D97F" w14:textId="77777777">
            <w:pPr>
              <w:spacing w:after="0" w:line="240" w:lineRule="auto"/>
              <w:jc w:val="center"/>
              <w:rPr>
                <w:sz w:val="18"/>
                <w:szCs w:val="18"/>
              </w:rPr>
            </w:pPr>
            <w:r w:rsidRPr="003E0F33">
              <w:rPr>
                <w:sz w:val="18"/>
                <w:szCs w:val="18"/>
              </w:rPr>
              <w:t>Grade</w:t>
            </w:r>
          </w:p>
        </w:tc>
        <w:tc>
          <w:tcPr>
            <w:tcW w:w="625"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6215C3B6" w14:textId="77777777">
            <w:pPr>
              <w:spacing w:after="0" w:line="240" w:lineRule="auto"/>
              <w:jc w:val="center"/>
              <w:rPr>
                <w:sz w:val="18"/>
                <w:szCs w:val="18"/>
              </w:rPr>
            </w:pPr>
            <w:r w:rsidRPr="003E0F33">
              <w:rPr>
                <w:sz w:val="18"/>
                <w:szCs w:val="18"/>
              </w:rPr>
              <w:t>Step</w:t>
            </w:r>
          </w:p>
        </w:tc>
        <w:tc>
          <w:tcPr>
            <w:tcW w:w="77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78021081" w14:textId="77777777">
            <w:pPr>
              <w:spacing w:after="0" w:line="240" w:lineRule="auto"/>
              <w:jc w:val="center"/>
              <w:rPr>
                <w:sz w:val="18"/>
                <w:szCs w:val="18"/>
              </w:rPr>
            </w:pPr>
            <w:r w:rsidRPr="003E0F33">
              <w:rPr>
                <w:sz w:val="18"/>
                <w:szCs w:val="18"/>
              </w:rPr>
              <w:t>Burden Time</w:t>
            </w:r>
          </w:p>
        </w:tc>
        <w:tc>
          <w:tcPr>
            <w:tcW w:w="85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02401A94" w14:textId="77777777">
            <w:pPr>
              <w:spacing w:after="0" w:line="240" w:lineRule="auto"/>
              <w:jc w:val="center"/>
              <w:rPr>
                <w:sz w:val="18"/>
                <w:szCs w:val="18"/>
              </w:rPr>
            </w:pPr>
            <w:r w:rsidRPr="003E0F33">
              <w:rPr>
                <w:sz w:val="18"/>
                <w:szCs w:val="18"/>
              </w:rPr>
              <w:t xml:space="preserve">Fraction of </w:t>
            </w:r>
            <w:r w:rsidRPr="003E0F33">
              <w:rPr>
                <w:sz w:val="18"/>
                <w:szCs w:val="18"/>
              </w:rPr>
              <w:t>Hour</w:t>
            </w:r>
          </w:p>
        </w:tc>
        <w:tc>
          <w:tcPr>
            <w:tcW w:w="98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70486107" w14:textId="77777777">
            <w:pPr>
              <w:spacing w:after="0" w:line="240" w:lineRule="auto"/>
              <w:jc w:val="center"/>
              <w:rPr>
                <w:sz w:val="18"/>
                <w:szCs w:val="18"/>
              </w:rPr>
            </w:pPr>
            <w:r w:rsidRPr="003E0F33">
              <w:rPr>
                <w:sz w:val="18"/>
                <w:szCs w:val="18"/>
              </w:rPr>
              <w:t>Hourly Rate</w:t>
            </w:r>
          </w:p>
        </w:tc>
        <w:tc>
          <w:tcPr>
            <w:tcW w:w="113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23BF2B67" w14:textId="77777777">
            <w:pPr>
              <w:spacing w:after="0" w:line="240" w:lineRule="auto"/>
              <w:jc w:val="center"/>
              <w:rPr>
                <w:sz w:val="18"/>
                <w:szCs w:val="18"/>
              </w:rPr>
            </w:pPr>
            <w:r w:rsidRPr="003E0F33">
              <w:rPr>
                <w:sz w:val="18"/>
                <w:szCs w:val="18"/>
              </w:rPr>
              <w:t>Cost Per Response</w:t>
            </w:r>
          </w:p>
        </w:tc>
        <w:tc>
          <w:tcPr>
            <w:tcW w:w="98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77F0E183" w14:textId="77777777">
            <w:pPr>
              <w:spacing w:after="0" w:line="240" w:lineRule="auto"/>
              <w:jc w:val="center"/>
              <w:rPr>
                <w:sz w:val="18"/>
                <w:szCs w:val="18"/>
              </w:rPr>
            </w:pPr>
            <w:r w:rsidRPr="003E0F33">
              <w:rPr>
                <w:sz w:val="18"/>
                <w:szCs w:val="18"/>
              </w:rPr>
              <w:t>Total Responses</w:t>
            </w:r>
          </w:p>
        </w:tc>
        <w:tc>
          <w:tcPr>
            <w:tcW w:w="2604" w:type="dxa"/>
            <w:gridSpan w:val="2"/>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C226D6" w:rsidRPr="003E0F33" w:rsidP="00CF71C8" w14:paraId="6F084949" w14:textId="77777777">
            <w:pPr>
              <w:spacing w:after="0" w:line="240" w:lineRule="auto"/>
              <w:jc w:val="center"/>
              <w:rPr>
                <w:sz w:val="18"/>
                <w:szCs w:val="18"/>
              </w:rPr>
            </w:pPr>
            <w:r w:rsidRPr="003E0F33">
              <w:rPr>
                <w:sz w:val="18"/>
                <w:szCs w:val="18"/>
              </w:rPr>
              <w:t>Total</w:t>
            </w:r>
          </w:p>
        </w:tc>
      </w:tr>
      <w:tr w14:paraId="3AE98CEA" w14:textId="77777777" w:rsidTr="00CF71C8">
        <w:tblPrEx>
          <w:tblW w:w="8730" w:type="dxa"/>
          <w:tblInd w:w="558" w:type="dxa"/>
          <w:tblLayout w:type="fixed"/>
          <w:tblLook w:val="04A0"/>
        </w:tblPrEx>
        <w:trPr>
          <w:trHeight w:val="300"/>
        </w:trPr>
        <w:tc>
          <w:tcPr>
            <w:tcW w:w="771" w:type="dxa"/>
            <w:tcBorders>
              <w:top w:val="nil"/>
              <w:left w:val="single" w:sz="8" w:space="0" w:color="auto"/>
              <w:bottom w:val="single" w:sz="4" w:space="0" w:color="auto"/>
              <w:right w:val="single" w:sz="4" w:space="0" w:color="auto"/>
            </w:tcBorders>
            <w:shd w:val="clear" w:color="auto" w:fill="auto"/>
            <w:vAlign w:val="bottom"/>
            <w:hideMark/>
          </w:tcPr>
          <w:p w:rsidR="00C226D6" w:rsidRPr="003E0F33" w:rsidP="00CF71C8" w14:paraId="40E722B7" w14:textId="77777777">
            <w:pPr>
              <w:spacing w:after="0" w:line="240" w:lineRule="auto"/>
              <w:jc w:val="center"/>
            </w:pPr>
            <w:r w:rsidRPr="003E0F33">
              <w:t>7</w:t>
            </w:r>
          </w:p>
        </w:tc>
        <w:tc>
          <w:tcPr>
            <w:tcW w:w="625" w:type="dxa"/>
            <w:tcBorders>
              <w:top w:val="nil"/>
              <w:left w:val="nil"/>
              <w:bottom w:val="single" w:sz="4" w:space="0" w:color="auto"/>
              <w:right w:val="single" w:sz="4" w:space="0" w:color="auto"/>
            </w:tcBorders>
            <w:shd w:val="clear" w:color="auto" w:fill="auto"/>
            <w:vAlign w:val="bottom"/>
            <w:hideMark/>
          </w:tcPr>
          <w:p w:rsidR="00C226D6" w:rsidRPr="003E0F33" w:rsidP="00CF71C8" w14:paraId="7E2BA33D" w14:textId="77777777">
            <w:pPr>
              <w:spacing w:after="0" w:line="240" w:lineRule="auto"/>
              <w:jc w:val="center"/>
            </w:pPr>
            <w:r w:rsidRPr="003E0F33">
              <w:t>3</w:t>
            </w:r>
          </w:p>
        </w:tc>
        <w:tc>
          <w:tcPr>
            <w:tcW w:w="777" w:type="dxa"/>
            <w:tcBorders>
              <w:top w:val="nil"/>
              <w:left w:val="nil"/>
              <w:bottom w:val="single" w:sz="4" w:space="0" w:color="auto"/>
              <w:right w:val="single" w:sz="4" w:space="0" w:color="auto"/>
            </w:tcBorders>
            <w:shd w:val="clear" w:color="auto" w:fill="auto"/>
            <w:vAlign w:val="bottom"/>
            <w:hideMark/>
          </w:tcPr>
          <w:p w:rsidR="00C226D6" w:rsidRPr="003E0F33" w:rsidP="00CF71C8" w14:paraId="6B22566A" w14:textId="77777777">
            <w:pPr>
              <w:spacing w:after="0" w:line="240" w:lineRule="auto"/>
              <w:jc w:val="center"/>
            </w:pPr>
            <w:r w:rsidRPr="003E0F33">
              <w:t>25</w:t>
            </w:r>
          </w:p>
        </w:tc>
        <w:tc>
          <w:tcPr>
            <w:tcW w:w="853" w:type="dxa"/>
            <w:tcBorders>
              <w:top w:val="nil"/>
              <w:left w:val="nil"/>
              <w:bottom w:val="single" w:sz="4" w:space="0" w:color="auto"/>
              <w:right w:val="single" w:sz="4" w:space="0" w:color="auto"/>
            </w:tcBorders>
            <w:shd w:val="clear" w:color="auto" w:fill="auto"/>
            <w:vAlign w:val="bottom"/>
            <w:hideMark/>
          </w:tcPr>
          <w:p w:rsidR="00C226D6" w:rsidRPr="003E0F33" w:rsidP="00CF71C8" w14:paraId="1F5A1912" w14:textId="77777777">
            <w:pPr>
              <w:spacing w:after="0" w:line="240" w:lineRule="auto"/>
              <w:jc w:val="center"/>
            </w:pPr>
            <w:r w:rsidRPr="003E0F33">
              <w:t>0.42</w:t>
            </w:r>
          </w:p>
        </w:tc>
        <w:tc>
          <w:tcPr>
            <w:tcW w:w="981" w:type="dxa"/>
            <w:tcBorders>
              <w:top w:val="nil"/>
              <w:left w:val="nil"/>
              <w:bottom w:val="single" w:sz="4" w:space="0" w:color="auto"/>
              <w:right w:val="single" w:sz="4" w:space="0" w:color="auto"/>
            </w:tcBorders>
            <w:shd w:val="clear" w:color="auto" w:fill="auto"/>
            <w:vAlign w:val="bottom"/>
            <w:hideMark/>
          </w:tcPr>
          <w:p w:rsidR="00C226D6" w:rsidRPr="003E0F33" w:rsidP="00CF71C8" w14:paraId="5E80850E" w14:textId="77777777">
            <w:pPr>
              <w:spacing w:after="0" w:line="240" w:lineRule="auto"/>
              <w:jc w:val="center"/>
            </w:pPr>
            <w:r w:rsidRPr="003E0F33">
              <w:t>$20.49</w:t>
            </w:r>
          </w:p>
        </w:tc>
        <w:tc>
          <w:tcPr>
            <w:tcW w:w="1130" w:type="dxa"/>
            <w:tcBorders>
              <w:top w:val="nil"/>
              <w:left w:val="nil"/>
              <w:bottom w:val="single" w:sz="4" w:space="0" w:color="auto"/>
              <w:right w:val="single" w:sz="4" w:space="0" w:color="auto"/>
            </w:tcBorders>
            <w:shd w:val="clear" w:color="auto" w:fill="auto"/>
            <w:vAlign w:val="bottom"/>
            <w:hideMark/>
          </w:tcPr>
          <w:p w:rsidR="00C226D6" w:rsidRPr="003E0F33" w:rsidP="00CF71C8" w14:paraId="037D48CD" w14:textId="77777777">
            <w:pPr>
              <w:spacing w:after="0" w:line="240" w:lineRule="auto"/>
              <w:jc w:val="center"/>
            </w:pPr>
            <w:r>
              <w:t>$</w:t>
            </w:r>
            <w:r w:rsidRPr="003E0F33">
              <w:t>8.60</w:t>
            </w:r>
          </w:p>
        </w:tc>
        <w:tc>
          <w:tcPr>
            <w:tcW w:w="989" w:type="dxa"/>
            <w:tcBorders>
              <w:top w:val="nil"/>
              <w:left w:val="nil"/>
              <w:bottom w:val="single" w:sz="4" w:space="0" w:color="auto"/>
              <w:right w:val="single" w:sz="4" w:space="0" w:color="auto"/>
            </w:tcBorders>
            <w:shd w:val="clear" w:color="auto" w:fill="auto"/>
            <w:vAlign w:val="bottom"/>
            <w:hideMark/>
          </w:tcPr>
          <w:p w:rsidR="00C226D6" w:rsidRPr="003E0F33" w:rsidP="00CF71C8" w14:paraId="785E845C" w14:textId="77777777">
            <w:pPr>
              <w:spacing w:after="0" w:line="240" w:lineRule="auto"/>
              <w:jc w:val="center"/>
            </w:pPr>
            <w:r w:rsidRPr="003E0F33">
              <w:t>55,000</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5D08BDD9"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3368148F" w14:textId="77777777">
            <w:pPr>
              <w:spacing w:after="0" w:line="240" w:lineRule="auto"/>
              <w:jc w:val="right"/>
            </w:pPr>
            <w:r w:rsidRPr="003E0F33">
              <w:t xml:space="preserve">   473,000.00  </w:t>
            </w:r>
          </w:p>
        </w:tc>
      </w:tr>
      <w:tr w14:paraId="5656FFAB" w14:textId="77777777" w:rsidTr="00CF71C8">
        <w:tblPrEx>
          <w:tblW w:w="8730" w:type="dxa"/>
          <w:tblInd w:w="558" w:type="dxa"/>
          <w:tblLayout w:type="fixed"/>
          <w:tblLook w:val="04A0"/>
        </w:tblPrEx>
        <w:trPr>
          <w:trHeight w:val="300"/>
        </w:trPr>
        <w:tc>
          <w:tcPr>
            <w:tcW w:w="771" w:type="dxa"/>
            <w:tcBorders>
              <w:top w:val="nil"/>
              <w:left w:val="single" w:sz="8" w:space="0" w:color="auto"/>
              <w:bottom w:val="single" w:sz="4" w:space="0" w:color="auto"/>
              <w:right w:val="single" w:sz="4" w:space="0" w:color="auto"/>
            </w:tcBorders>
            <w:shd w:val="clear" w:color="auto" w:fill="auto"/>
            <w:vAlign w:val="bottom"/>
            <w:hideMark/>
          </w:tcPr>
          <w:p w:rsidR="00C226D6" w:rsidRPr="003E0F33" w:rsidP="00CF71C8" w14:paraId="2CCFB41E" w14:textId="77777777">
            <w:pPr>
              <w:spacing w:after="0" w:line="240" w:lineRule="auto"/>
              <w:jc w:val="center"/>
            </w:pPr>
            <w:r w:rsidRPr="003E0F33">
              <w:t>9</w:t>
            </w:r>
          </w:p>
        </w:tc>
        <w:tc>
          <w:tcPr>
            <w:tcW w:w="625" w:type="dxa"/>
            <w:tcBorders>
              <w:top w:val="nil"/>
              <w:left w:val="nil"/>
              <w:bottom w:val="single" w:sz="4" w:space="0" w:color="auto"/>
              <w:right w:val="single" w:sz="4" w:space="0" w:color="auto"/>
            </w:tcBorders>
            <w:shd w:val="clear" w:color="auto" w:fill="auto"/>
            <w:vAlign w:val="bottom"/>
            <w:hideMark/>
          </w:tcPr>
          <w:p w:rsidR="00C226D6" w:rsidRPr="003E0F33" w:rsidP="00CF71C8" w14:paraId="373DA4D6" w14:textId="77777777">
            <w:pPr>
              <w:spacing w:after="0" w:line="240" w:lineRule="auto"/>
              <w:jc w:val="center"/>
            </w:pPr>
            <w:r w:rsidRPr="003E0F33">
              <w:t>3</w:t>
            </w:r>
          </w:p>
        </w:tc>
        <w:tc>
          <w:tcPr>
            <w:tcW w:w="777" w:type="dxa"/>
            <w:tcBorders>
              <w:top w:val="nil"/>
              <w:left w:val="nil"/>
              <w:bottom w:val="single" w:sz="4" w:space="0" w:color="auto"/>
              <w:right w:val="single" w:sz="4" w:space="0" w:color="auto"/>
            </w:tcBorders>
            <w:shd w:val="clear" w:color="auto" w:fill="auto"/>
            <w:vAlign w:val="bottom"/>
            <w:hideMark/>
          </w:tcPr>
          <w:p w:rsidR="00C226D6" w:rsidRPr="003E0F33" w:rsidP="00CF71C8" w14:paraId="52E97996" w14:textId="77777777">
            <w:pPr>
              <w:spacing w:after="0" w:line="240" w:lineRule="auto"/>
              <w:jc w:val="center"/>
            </w:pPr>
            <w:r w:rsidRPr="003E0F33">
              <w:t>20</w:t>
            </w:r>
          </w:p>
        </w:tc>
        <w:tc>
          <w:tcPr>
            <w:tcW w:w="853" w:type="dxa"/>
            <w:tcBorders>
              <w:top w:val="nil"/>
              <w:left w:val="nil"/>
              <w:bottom w:val="single" w:sz="4" w:space="0" w:color="auto"/>
              <w:right w:val="single" w:sz="4" w:space="0" w:color="auto"/>
            </w:tcBorders>
            <w:shd w:val="clear" w:color="auto" w:fill="auto"/>
            <w:vAlign w:val="bottom"/>
            <w:hideMark/>
          </w:tcPr>
          <w:p w:rsidR="00C226D6" w:rsidRPr="003E0F33" w:rsidP="00CF71C8" w14:paraId="61EA5325" w14:textId="77777777">
            <w:pPr>
              <w:spacing w:after="0" w:line="240" w:lineRule="auto"/>
              <w:jc w:val="center"/>
            </w:pPr>
            <w:r w:rsidRPr="003E0F33">
              <w:t>0.33</w:t>
            </w:r>
          </w:p>
        </w:tc>
        <w:tc>
          <w:tcPr>
            <w:tcW w:w="981" w:type="dxa"/>
            <w:tcBorders>
              <w:top w:val="nil"/>
              <w:left w:val="nil"/>
              <w:bottom w:val="single" w:sz="4" w:space="0" w:color="auto"/>
              <w:right w:val="single" w:sz="4" w:space="0" w:color="auto"/>
            </w:tcBorders>
            <w:shd w:val="clear" w:color="auto" w:fill="auto"/>
            <w:vAlign w:val="bottom"/>
            <w:hideMark/>
          </w:tcPr>
          <w:p w:rsidR="00C226D6" w:rsidRPr="003E0F33" w:rsidP="00CF71C8" w14:paraId="7584A29B" w14:textId="77777777">
            <w:pPr>
              <w:spacing w:after="0" w:line="240" w:lineRule="auto"/>
              <w:jc w:val="center"/>
            </w:pPr>
            <w:r w:rsidRPr="003E0F33">
              <w:t xml:space="preserve"> $25.06 </w:t>
            </w:r>
          </w:p>
        </w:tc>
        <w:tc>
          <w:tcPr>
            <w:tcW w:w="1130" w:type="dxa"/>
            <w:tcBorders>
              <w:top w:val="nil"/>
              <w:left w:val="nil"/>
              <w:bottom w:val="single" w:sz="4" w:space="0" w:color="auto"/>
              <w:right w:val="single" w:sz="4" w:space="0" w:color="auto"/>
            </w:tcBorders>
            <w:shd w:val="clear" w:color="auto" w:fill="auto"/>
            <w:vAlign w:val="bottom"/>
            <w:hideMark/>
          </w:tcPr>
          <w:p w:rsidR="00C226D6" w:rsidRPr="003E0F33" w:rsidP="00CF71C8" w14:paraId="7C5F1149" w14:textId="77777777">
            <w:pPr>
              <w:spacing w:after="0" w:line="240" w:lineRule="auto"/>
              <w:jc w:val="center"/>
            </w:pPr>
            <w:r>
              <w:t>$</w:t>
            </w:r>
            <w:r w:rsidRPr="003E0F33">
              <w:t>8.27</w:t>
            </w:r>
          </w:p>
        </w:tc>
        <w:tc>
          <w:tcPr>
            <w:tcW w:w="989" w:type="dxa"/>
            <w:tcBorders>
              <w:top w:val="nil"/>
              <w:left w:val="nil"/>
              <w:bottom w:val="single" w:sz="4" w:space="0" w:color="auto"/>
              <w:right w:val="single" w:sz="4" w:space="0" w:color="auto"/>
            </w:tcBorders>
            <w:shd w:val="clear" w:color="auto" w:fill="auto"/>
            <w:vAlign w:val="bottom"/>
            <w:hideMark/>
          </w:tcPr>
          <w:p w:rsidR="00C226D6" w:rsidRPr="003E0F33" w:rsidP="00CF71C8" w14:paraId="66271CD2" w14:textId="77777777">
            <w:pPr>
              <w:spacing w:after="0" w:line="240" w:lineRule="auto"/>
              <w:jc w:val="center"/>
            </w:pPr>
            <w:r w:rsidRPr="003E0F33">
              <w:t>55,000</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05899582"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0A396150" w14:textId="77777777">
            <w:pPr>
              <w:spacing w:after="0" w:line="240" w:lineRule="auto"/>
              <w:jc w:val="right"/>
            </w:pPr>
            <w:r w:rsidRPr="003E0F33">
              <w:t>454,850.00</w:t>
            </w:r>
          </w:p>
        </w:tc>
      </w:tr>
      <w:tr w14:paraId="7E685A61" w14:textId="77777777" w:rsidTr="00CF71C8">
        <w:tblPrEx>
          <w:tblW w:w="8730" w:type="dxa"/>
          <w:tblInd w:w="558" w:type="dxa"/>
          <w:tblLayout w:type="fixed"/>
          <w:tblLook w:val="04A0"/>
        </w:tblPrEx>
        <w:trPr>
          <w:trHeight w:val="300"/>
        </w:trPr>
        <w:tc>
          <w:tcPr>
            <w:tcW w:w="771" w:type="dxa"/>
            <w:tcBorders>
              <w:top w:val="nil"/>
              <w:left w:val="single" w:sz="8" w:space="0" w:color="auto"/>
              <w:bottom w:val="single" w:sz="4" w:space="0" w:color="auto"/>
              <w:right w:val="single" w:sz="4" w:space="0" w:color="auto"/>
            </w:tcBorders>
            <w:shd w:val="clear" w:color="auto" w:fill="auto"/>
            <w:vAlign w:val="bottom"/>
            <w:hideMark/>
          </w:tcPr>
          <w:p w:rsidR="00C226D6" w:rsidRPr="003E0F33" w:rsidP="00CF71C8" w14:paraId="629B3982" w14:textId="77777777">
            <w:pPr>
              <w:spacing w:after="0" w:line="240" w:lineRule="auto"/>
              <w:jc w:val="center"/>
            </w:pPr>
            <w:r w:rsidRPr="003E0F33">
              <w:t>11</w:t>
            </w:r>
          </w:p>
        </w:tc>
        <w:tc>
          <w:tcPr>
            <w:tcW w:w="625" w:type="dxa"/>
            <w:tcBorders>
              <w:top w:val="nil"/>
              <w:left w:val="nil"/>
              <w:bottom w:val="single" w:sz="4" w:space="0" w:color="auto"/>
              <w:right w:val="single" w:sz="4" w:space="0" w:color="auto"/>
            </w:tcBorders>
            <w:shd w:val="clear" w:color="auto" w:fill="auto"/>
            <w:vAlign w:val="bottom"/>
            <w:hideMark/>
          </w:tcPr>
          <w:p w:rsidR="00C226D6" w:rsidRPr="003E0F33" w:rsidP="00CF71C8" w14:paraId="77FA09C3" w14:textId="77777777">
            <w:pPr>
              <w:spacing w:after="0" w:line="240" w:lineRule="auto"/>
              <w:jc w:val="center"/>
            </w:pPr>
            <w:r w:rsidRPr="003E0F33">
              <w:t>3</w:t>
            </w:r>
          </w:p>
        </w:tc>
        <w:tc>
          <w:tcPr>
            <w:tcW w:w="777" w:type="dxa"/>
            <w:tcBorders>
              <w:top w:val="nil"/>
              <w:left w:val="nil"/>
              <w:bottom w:val="single" w:sz="4" w:space="0" w:color="auto"/>
              <w:right w:val="single" w:sz="4" w:space="0" w:color="auto"/>
            </w:tcBorders>
            <w:shd w:val="clear" w:color="auto" w:fill="auto"/>
            <w:vAlign w:val="bottom"/>
            <w:hideMark/>
          </w:tcPr>
          <w:p w:rsidR="00C226D6" w:rsidRPr="003E0F33" w:rsidP="00CF71C8" w14:paraId="4E55805D" w14:textId="77777777">
            <w:pPr>
              <w:spacing w:after="0" w:line="240" w:lineRule="auto"/>
              <w:jc w:val="center"/>
            </w:pPr>
            <w:r w:rsidRPr="003E0F33">
              <w:t>20</w:t>
            </w:r>
          </w:p>
        </w:tc>
        <w:tc>
          <w:tcPr>
            <w:tcW w:w="853" w:type="dxa"/>
            <w:tcBorders>
              <w:top w:val="nil"/>
              <w:left w:val="nil"/>
              <w:bottom w:val="single" w:sz="4" w:space="0" w:color="auto"/>
              <w:right w:val="single" w:sz="4" w:space="0" w:color="auto"/>
            </w:tcBorders>
            <w:shd w:val="clear" w:color="auto" w:fill="auto"/>
            <w:vAlign w:val="bottom"/>
            <w:hideMark/>
          </w:tcPr>
          <w:p w:rsidR="00C226D6" w:rsidRPr="003E0F33" w:rsidP="00CF71C8" w14:paraId="412A59CF" w14:textId="77777777">
            <w:pPr>
              <w:spacing w:after="0" w:line="240" w:lineRule="auto"/>
              <w:jc w:val="center"/>
            </w:pPr>
            <w:r w:rsidRPr="003E0F33">
              <w:t>0.33</w:t>
            </w:r>
          </w:p>
        </w:tc>
        <w:tc>
          <w:tcPr>
            <w:tcW w:w="981" w:type="dxa"/>
            <w:tcBorders>
              <w:top w:val="nil"/>
              <w:left w:val="nil"/>
              <w:bottom w:val="single" w:sz="4" w:space="0" w:color="auto"/>
              <w:right w:val="single" w:sz="4" w:space="0" w:color="auto"/>
            </w:tcBorders>
            <w:shd w:val="clear" w:color="auto" w:fill="auto"/>
            <w:vAlign w:val="bottom"/>
            <w:hideMark/>
          </w:tcPr>
          <w:p w:rsidR="00C226D6" w:rsidRPr="003E0F33" w:rsidP="00CF71C8" w14:paraId="10C434DE" w14:textId="77777777">
            <w:pPr>
              <w:spacing w:after="0" w:line="240" w:lineRule="auto"/>
              <w:jc w:val="center"/>
            </w:pPr>
            <w:r w:rsidRPr="003E0F33">
              <w:t xml:space="preserve"> $30.32 </w:t>
            </w:r>
          </w:p>
        </w:tc>
        <w:tc>
          <w:tcPr>
            <w:tcW w:w="1130" w:type="dxa"/>
            <w:tcBorders>
              <w:top w:val="nil"/>
              <w:left w:val="nil"/>
              <w:bottom w:val="single" w:sz="4" w:space="0" w:color="auto"/>
              <w:right w:val="single" w:sz="4" w:space="0" w:color="auto"/>
            </w:tcBorders>
            <w:shd w:val="clear" w:color="auto" w:fill="auto"/>
            <w:vAlign w:val="bottom"/>
            <w:hideMark/>
          </w:tcPr>
          <w:p w:rsidR="00C226D6" w:rsidRPr="003E0F33" w:rsidP="00CF71C8" w14:paraId="522CD3E2" w14:textId="77777777">
            <w:pPr>
              <w:spacing w:after="0" w:line="240" w:lineRule="auto"/>
              <w:jc w:val="center"/>
            </w:pPr>
            <w:r>
              <w:t>$</w:t>
            </w:r>
            <w:r w:rsidRPr="003E0F33">
              <w:t>10.01</w:t>
            </w:r>
          </w:p>
        </w:tc>
        <w:tc>
          <w:tcPr>
            <w:tcW w:w="989" w:type="dxa"/>
            <w:tcBorders>
              <w:top w:val="nil"/>
              <w:left w:val="nil"/>
              <w:bottom w:val="single" w:sz="4" w:space="0" w:color="auto"/>
              <w:right w:val="single" w:sz="4" w:space="0" w:color="auto"/>
            </w:tcBorders>
            <w:shd w:val="clear" w:color="auto" w:fill="auto"/>
            <w:vAlign w:val="bottom"/>
            <w:hideMark/>
          </w:tcPr>
          <w:p w:rsidR="00C226D6" w:rsidRPr="003E0F33" w:rsidP="00CF71C8" w14:paraId="1CC95786" w14:textId="77777777">
            <w:pPr>
              <w:spacing w:after="0" w:line="240" w:lineRule="auto"/>
              <w:jc w:val="center"/>
            </w:pPr>
            <w:r w:rsidRPr="003E0F33">
              <w:t>55,000</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732F8206"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009C11ED" w14:textId="77777777">
            <w:pPr>
              <w:spacing w:after="0" w:line="240" w:lineRule="auto"/>
              <w:jc w:val="right"/>
            </w:pPr>
            <w:r w:rsidRPr="003E0F33">
              <w:t xml:space="preserve">550,550.00 </w:t>
            </w:r>
          </w:p>
        </w:tc>
      </w:tr>
      <w:tr w14:paraId="30639834" w14:textId="77777777" w:rsidTr="00CF71C8">
        <w:tblPrEx>
          <w:tblW w:w="8730" w:type="dxa"/>
          <w:tblInd w:w="558" w:type="dxa"/>
          <w:tblLayout w:type="fixed"/>
          <w:tblLook w:val="04A0"/>
        </w:tblPrEx>
        <w:trPr>
          <w:trHeight w:val="289"/>
        </w:trPr>
        <w:tc>
          <w:tcPr>
            <w:tcW w:w="4007" w:type="dxa"/>
            <w:gridSpan w:val="5"/>
            <w:tcBorders>
              <w:top w:val="single" w:sz="4" w:space="0" w:color="auto"/>
              <w:left w:val="single" w:sz="8" w:space="0" w:color="auto"/>
              <w:bottom w:val="single" w:sz="4" w:space="0" w:color="auto"/>
              <w:right w:val="single" w:sz="4" w:space="0" w:color="000000"/>
            </w:tcBorders>
            <w:shd w:val="clear" w:color="auto" w:fill="auto"/>
            <w:vAlign w:val="bottom"/>
            <w:hideMark/>
          </w:tcPr>
          <w:p w:rsidR="00C226D6" w:rsidRPr="003E0F33" w:rsidP="00CF71C8" w14:paraId="04603EAB" w14:textId="77777777">
            <w:pPr>
              <w:spacing w:after="0" w:line="240" w:lineRule="auto"/>
            </w:pPr>
            <w:r w:rsidRPr="003E0F33">
              <w:t>Processing / Analyzing Costs</w:t>
            </w:r>
            <w:r>
              <w:t xml:space="preserve"> per response</w:t>
            </w:r>
          </w:p>
        </w:tc>
        <w:tc>
          <w:tcPr>
            <w:tcW w:w="1130" w:type="dxa"/>
            <w:tcBorders>
              <w:top w:val="single" w:sz="4" w:space="0" w:color="auto"/>
              <w:left w:val="single" w:sz="8" w:space="0" w:color="auto"/>
              <w:bottom w:val="single" w:sz="4" w:space="0" w:color="auto"/>
              <w:right w:val="single" w:sz="4" w:space="0" w:color="000000"/>
            </w:tcBorders>
            <w:shd w:val="clear" w:color="auto" w:fill="auto"/>
            <w:vAlign w:val="bottom"/>
          </w:tcPr>
          <w:p w:rsidR="00C226D6" w:rsidRPr="003E0F33" w:rsidP="00CF71C8" w14:paraId="7B50D5B3" w14:textId="77777777">
            <w:pPr>
              <w:spacing w:after="0" w:line="240" w:lineRule="auto"/>
              <w:jc w:val="center"/>
            </w:pPr>
            <w:r>
              <w:t>$26.88</w:t>
            </w:r>
          </w:p>
        </w:tc>
        <w:tc>
          <w:tcPr>
            <w:tcW w:w="989" w:type="dxa"/>
            <w:tcBorders>
              <w:top w:val="single" w:sz="4" w:space="0" w:color="auto"/>
              <w:left w:val="single" w:sz="8" w:space="0" w:color="auto"/>
              <w:bottom w:val="single" w:sz="4" w:space="0" w:color="auto"/>
            </w:tcBorders>
            <w:shd w:val="clear" w:color="auto" w:fill="auto"/>
            <w:vAlign w:val="bottom"/>
          </w:tcPr>
          <w:p w:rsidR="00C226D6" w:rsidRPr="003E0F33" w:rsidP="00CF71C8" w14:paraId="67231AFA" w14:textId="77777777">
            <w:pPr>
              <w:spacing w:after="0" w:line="240" w:lineRule="auto"/>
            </w:pPr>
          </w:p>
        </w:tc>
        <w:tc>
          <w:tcPr>
            <w:tcW w:w="1136" w:type="dxa"/>
            <w:tcBorders>
              <w:top w:val="single" w:sz="8" w:space="0" w:color="auto"/>
              <w:bottom w:val="single" w:sz="8" w:space="0" w:color="auto"/>
            </w:tcBorders>
            <w:shd w:val="clear" w:color="auto" w:fill="auto"/>
            <w:vAlign w:val="bottom"/>
          </w:tcPr>
          <w:p w:rsidR="00C226D6" w:rsidRPr="003E0F33" w:rsidP="00CF71C8" w14:paraId="48CED8D7" w14:textId="77777777">
            <w:pPr>
              <w:spacing w:after="0" w:line="240" w:lineRule="auto"/>
              <w:jc w:val="right"/>
            </w:pP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426178C9" w14:textId="77777777">
            <w:pPr>
              <w:spacing w:after="0" w:line="240" w:lineRule="auto"/>
              <w:jc w:val="right"/>
            </w:pPr>
          </w:p>
        </w:tc>
      </w:tr>
      <w:tr w14:paraId="63FB686A" w14:textId="77777777" w:rsidTr="00CF71C8">
        <w:tblPrEx>
          <w:tblW w:w="8730" w:type="dxa"/>
          <w:tblInd w:w="558" w:type="dxa"/>
          <w:tblLayout w:type="fixed"/>
          <w:tblLook w:val="04A0"/>
        </w:tblPrEx>
        <w:trPr>
          <w:trHeight w:val="300"/>
        </w:trPr>
        <w:tc>
          <w:tcPr>
            <w:tcW w:w="6126"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226D6" w:rsidRPr="003E0F33" w:rsidP="00CF71C8" w14:paraId="77D2CCEB" w14:textId="77777777">
            <w:pPr>
              <w:spacing w:after="0" w:line="240" w:lineRule="auto"/>
            </w:pPr>
            <w:r w:rsidRPr="003E0F33">
              <w:t>Total Cost to Government</w:t>
            </w:r>
          </w:p>
        </w:tc>
        <w:tc>
          <w:tcPr>
            <w:tcW w:w="1136" w:type="dxa"/>
            <w:tcBorders>
              <w:top w:val="single" w:sz="8" w:space="0" w:color="auto"/>
              <w:left w:val="nil"/>
              <w:bottom w:val="single" w:sz="8" w:space="0" w:color="auto"/>
            </w:tcBorders>
            <w:shd w:val="clear" w:color="auto" w:fill="auto"/>
            <w:vAlign w:val="bottom"/>
            <w:hideMark/>
          </w:tcPr>
          <w:p w:rsidR="00C226D6" w:rsidRPr="003E0F33" w:rsidP="00CF71C8" w14:paraId="6D0C3EE4" w14:textId="77777777">
            <w:pPr>
              <w:spacing w:after="0" w:line="240" w:lineRule="auto"/>
              <w:jc w:val="right"/>
            </w:pPr>
            <w:r>
              <w:t>$</w:t>
            </w:r>
          </w:p>
        </w:tc>
        <w:tc>
          <w:tcPr>
            <w:tcW w:w="1468" w:type="dxa"/>
            <w:tcBorders>
              <w:top w:val="single" w:sz="8" w:space="0" w:color="auto"/>
              <w:bottom w:val="single" w:sz="8" w:space="0" w:color="auto"/>
              <w:right w:val="single" w:sz="8" w:space="0" w:color="auto"/>
            </w:tcBorders>
            <w:shd w:val="clear" w:color="auto" w:fill="auto"/>
            <w:vAlign w:val="bottom"/>
          </w:tcPr>
          <w:p w:rsidR="00C226D6" w:rsidRPr="003E0F33" w:rsidP="00CF71C8" w14:paraId="09D5A3D9" w14:textId="77777777">
            <w:pPr>
              <w:spacing w:after="0" w:line="240" w:lineRule="auto"/>
              <w:jc w:val="right"/>
            </w:pPr>
            <w:r>
              <w:t>1,478,400.00</w:t>
            </w:r>
          </w:p>
        </w:tc>
      </w:tr>
    </w:tbl>
    <w:p w:rsidR="00C226D6" w:rsidP="00C226D6" w14:paraId="3EE18745" w14:textId="77777777">
      <w:pPr>
        <w:pStyle w:val="ListParagraph"/>
        <w:spacing w:after="0" w:line="240" w:lineRule="auto"/>
        <w:rPr>
          <w:rFonts w:asciiTheme="majorHAnsi" w:hAnsiTheme="majorHAnsi"/>
          <w:sz w:val="24"/>
        </w:rPr>
      </w:pPr>
    </w:p>
    <w:p w:rsidR="00C226D6" w:rsidP="00C226D6" w14:paraId="6D0F36F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C226D6" w:rsidRPr="00C226D6" w:rsidP="00C226D6" w14:paraId="7BBC4D7C" w14:textId="64F6DA1F">
      <w:pPr>
        <w:pStyle w:val="ListParagraph"/>
        <w:numPr>
          <w:ilvl w:val="1"/>
          <w:numId w:val="25"/>
        </w:numPr>
        <w:spacing w:after="0" w:line="240" w:lineRule="auto"/>
        <w:rPr>
          <w:rFonts w:asciiTheme="majorHAnsi" w:hAnsiTheme="majorHAnsi"/>
          <w:sz w:val="24"/>
        </w:rPr>
      </w:pPr>
      <w:r>
        <w:rPr>
          <w:rFonts w:asciiTheme="majorHAnsi" w:hAnsiTheme="majorHAnsi"/>
          <w:sz w:val="24"/>
        </w:rPr>
        <w:t>Total Number of Annual Responses</w:t>
      </w:r>
      <w:r w:rsidRPr="00C226D6">
        <w:rPr>
          <w:rFonts w:asciiTheme="majorHAnsi" w:hAnsiTheme="majorHAnsi"/>
          <w:sz w:val="24"/>
        </w:rPr>
        <w:t>: 55,000</w:t>
      </w:r>
    </w:p>
    <w:p w:rsidR="00C226D6" w:rsidRPr="00C226D6" w:rsidP="00C226D6" w14:paraId="01F59140" w14:textId="35BB1097">
      <w:pPr>
        <w:pStyle w:val="ListParagraph"/>
        <w:numPr>
          <w:ilvl w:val="1"/>
          <w:numId w:val="25"/>
        </w:numPr>
        <w:spacing w:after="0" w:line="240" w:lineRule="auto"/>
        <w:rPr>
          <w:rFonts w:asciiTheme="majorHAnsi" w:hAnsiTheme="majorHAnsi"/>
          <w:sz w:val="24"/>
        </w:rPr>
      </w:pPr>
      <w:r w:rsidRPr="00C226D6">
        <w:rPr>
          <w:rFonts w:asciiTheme="majorHAnsi" w:hAnsiTheme="majorHAnsi"/>
          <w:sz w:val="24"/>
        </w:rPr>
        <w:t>Total Labor Burden: $1,478,400.00</w:t>
      </w:r>
      <w:r>
        <w:rPr>
          <w:rFonts w:asciiTheme="majorHAnsi" w:hAnsiTheme="majorHAnsi"/>
          <w:sz w:val="24"/>
        </w:rPr>
        <w:t>.</w:t>
      </w:r>
    </w:p>
    <w:p w:rsidR="00B55E9F" w:rsidP="003B7798" w14:paraId="3FAF71C3" w14:textId="77777777">
      <w:pPr>
        <w:spacing w:after="0" w:line="240" w:lineRule="auto"/>
        <w:rPr>
          <w:rFonts w:asciiTheme="majorHAnsi" w:hAnsiTheme="majorHAnsi"/>
          <w:sz w:val="24"/>
        </w:rPr>
      </w:pPr>
    </w:p>
    <w:p w:rsidR="00722FDB" w:rsidRPr="00B55E9F" w:rsidP="003B7798"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22FDB" w:rsidP="003B7798" w14:paraId="0B9C06AA" w14:textId="77777777">
      <w:pPr>
        <w:spacing w:after="0" w:line="240" w:lineRule="auto"/>
        <w:rPr>
          <w:rFonts w:asciiTheme="majorHAnsi" w:hAnsiTheme="majorHAnsi"/>
          <w:i/>
          <w:sz w:val="24"/>
        </w:rPr>
      </w:pPr>
      <w:r w:rsidRPr="00722FDB">
        <w:rPr>
          <w:rFonts w:asciiTheme="majorHAnsi" w:hAnsiTheme="majorHAnsi"/>
          <w:i/>
          <w:sz w:val="24"/>
        </w:rPr>
        <w:t xml:space="preserve"> (P): </w:t>
      </w:r>
      <w:r w:rsidRPr="00486235">
        <w:rPr>
          <w:rFonts w:asciiTheme="majorHAnsi" w:hAnsiTheme="majorHAnsi"/>
          <w:i/>
          <w:sz w:val="24"/>
        </w:rPr>
        <w:t xml:space="preserve">To determine Operational and </w:t>
      </w:r>
      <w:r w:rsidRPr="00486235">
        <w:rPr>
          <w:rFonts w:asciiTheme="majorHAnsi" w:hAnsiTheme="majorHAnsi"/>
          <w:i/>
          <w:sz w:val="24"/>
        </w:rPr>
        <w:t xml:space="preserve">Maintenance Costs, think of the incidental or miscellaneous costs to owning this collection. How much does equipment, printing, or postage for this collection cost? Are there any overhead costs for purchasing or licensing software? If a database or system </w:t>
      </w:r>
      <w:r w:rsidRPr="00486235">
        <w:rPr>
          <w:rFonts w:asciiTheme="majorHAnsi" w:hAnsiTheme="majorHAnsi"/>
          <w:i/>
          <w:sz w:val="24"/>
        </w:rPr>
        <w:t>is involved, how much money does it take to maintain the system?</w:t>
      </w:r>
      <w:r w:rsidR="00486235">
        <w:rPr>
          <w:rFonts w:asciiTheme="majorHAnsi" w:hAnsiTheme="majorHAnsi"/>
          <w:i/>
          <w:sz w:val="24"/>
        </w:rPr>
        <w:t xml:space="preserve"> </w:t>
      </w:r>
    </w:p>
    <w:p w:rsidR="00486235" w:rsidP="003B7798" w14:paraId="7BB87083" w14:textId="77777777">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w:t>
      </w:r>
      <w:r w:rsidR="00994F2B">
        <w:rPr>
          <w:rFonts w:asciiTheme="majorHAnsi" w:hAnsiTheme="majorHAnsi"/>
          <w:i/>
          <w:sz w:val="24"/>
        </w:rPr>
        <w:t>this collection</w:t>
      </w:r>
      <w:r>
        <w:rPr>
          <w:rFonts w:asciiTheme="majorHAnsi" w:hAnsiTheme="majorHAnsi"/>
          <w:i/>
          <w:sz w:val="24"/>
        </w:rPr>
        <w:t xml:space="preserve">, please put “$0” next to each category. </w:t>
      </w:r>
    </w:p>
    <w:p w:rsidR="00235D71" w:rsidRPr="00235D71" w:rsidP="003B7798" w14:paraId="6DC139BD" w14:textId="77777777">
      <w:pPr>
        <w:spacing w:after="0" w:line="240" w:lineRule="auto"/>
        <w:rPr>
          <w:rFonts w:asciiTheme="majorHAnsi" w:hAnsiTheme="majorHAnsi"/>
          <w:sz w:val="24"/>
        </w:rPr>
      </w:pPr>
    </w:p>
    <w:p w:rsidR="00235D71" w:rsidRPr="00235D71" w:rsidP="003B7798"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3B7798" w14:paraId="73309D2C" w14:textId="647841D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226D6">
        <w:rPr>
          <w:rFonts w:asciiTheme="majorHAnsi" w:hAnsiTheme="majorHAnsi"/>
          <w:sz w:val="24"/>
        </w:rPr>
        <w:t>0</w:t>
      </w:r>
    </w:p>
    <w:p w:rsidR="00235D71" w:rsidRPr="00235D71" w:rsidP="003B7798" w14:paraId="2B0A8F21" w14:textId="63DEE21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C226D6">
        <w:rPr>
          <w:rFonts w:asciiTheme="majorHAnsi" w:hAnsiTheme="majorHAnsi"/>
          <w:sz w:val="24"/>
        </w:rPr>
        <w:t>32,853.33</w:t>
      </w:r>
    </w:p>
    <w:p w:rsidR="00235D71" w:rsidRPr="00235D71" w:rsidP="003B7798" w14:paraId="4F21BF6D" w14:textId="74832F9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C226D6">
        <w:rPr>
          <w:rFonts w:asciiTheme="majorHAnsi" w:hAnsiTheme="majorHAnsi"/>
          <w:sz w:val="24"/>
        </w:rPr>
        <w:t>0</w:t>
      </w:r>
    </w:p>
    <w:p w:rsidR="00235D71" w:rsidRPr="00235D71" w:rsidP="003B7798" w14:paraId="5CB99BA7" w14:textId="67C5CD88">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C226D6">
        <w:rPr>
          <w:rFonts w:asciiTheme="majorHAnsi" w:hAnsiTheme="majorHAnsi"/>
          <w:sz w:val="24"/>
        </w:rPr>
        <w:t>0</w:t>
      </w:r>
    </w:p>
    <w:p w:rsidR="00235D71" w:rsidRPr="00235D71" w:rsidP="003B7798" w14:paraId="57953473" w14:textId="2A6AC93A">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C226D6">
        <w:rPr>
          <w:rFonts w:asciiTheme="majorHAnsi" w:hAnsiTheme="majorHAnsi"/>
          <w:sz w:val="24"/>
        </w:rPr>
        <w:t>0</w:t>
      </w:r>
    </w:p>
    <w:p w:rsidR="00235D71" w:rsidRPr="00B55E9F" w:rsidP="003B7798" w14:paraId="120A175E" w14:textId="5DB68259">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C226D6">
        <w:rPr>
          <w:rFonts w:asciiTheme="majorHAnsi" w:hAnsiTheme="majorHAnsi"/>
          <w:sz w:val="24"/>
        </w:rPr>
        <w:t>0</w:t>
      </w:r>
    </w:p>
    <w:p w:rsidR="00B55E9F" w:rsidRPr="00235D71" w:rsidP="003B7798" w14:paraId="282F20BB" w14:textId="77777777">
      <w:pPr>
        <w:pStyle w:val="ListParagraph"/>
        <w:spacing w:after="0" w:line="240" w:lineRule="auto"/>
        <w:ind w:left="1440"/>
        <w:rPr>
          <w:rFonts w:asciiTheme="majorHAnsi" w:hAnsiTheme="majorHAnsi"/>
          <w:i/>
          <w:sz w:val="24"/>
        </w:rPr>
      </w:pPr>
    </w:p>
    <w:p w:rsidR="00235D71" w:rsidRPr="00B55E9F" w:rsidP="003B7798" w14:paraId="33076686" w14:textId="4B3A7D38">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C226D6">
        <w:rPr>
          <w:rFonts w:asciiTheme="majorHAnsi" w:hAnsiTheme="majorHAnsi"/>
          <w:sz w:val="24"/>
        </w:rPr>
        <w:t>$32,853.33</w:t>
      </w:r>
    </w:p>
    <w:p w:rsidR="00B55E9F" w:rsidP="003B7798" w14:paraId="3DF4EC2F" w14:textId="77777777">
      <w:pPr>
        <w:spacing w:after="0" w:line="240" w:lineRule="auto"/>
        <w:rPr>
          <w:rFonts w:asciiTheme="majorHAnsi" w:hAnsiTheme="majorHAnsi"/>
          <w:i/>
          <w:sz w:val="24"/>
        </w:rPr>
      </w:pPr>
    </w:p>
    <w:p w:rsidR="00B55E9F" w:rsidP="003B7798"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3B7798" w14:paraId="71E1D622" w14:textId="77777777">
      <w:pPr>
        <w:spacing w:after="0" w:line="240" w:lineRule="auto"/>
        <w:rPr>
          <w:rFonts w:asciiTheme="majorHAnsi" w:hAnsiTheme="majorHAnsi"/>
          <w:sz w:val="24"/>
        </w:rPr>
      </w:pPr>
    </w:p>
    <w:p w:rsidR="00486235" w:rsidP="003B7798" w14:paraId="7FE0C611" w14:textId="3BCA0F8B">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226D6">
        <w:t>1,478,400.00</w:t>
      </w:r>
    </w:p>
    <w:p w:rsidR="00B55E9F" w:rsidP="003B7798" w14:paraId="6D1B73C8" w14:textId="77777777">
      <w:pPr>
        <w:pStyle w:val="ListParagraph"/>
        <w:spacing w:after="0" w:line="240" w:lineRule="auto"/>
        <w:rPr>
          <w:rFonts w:asciiTheme="majorHAnsi" w:hAnsiTheme="majorHAnsi"/>
          <w:sz w:val="24"/>
        </w:rPr>
      </w:pPr>
    </w:p>
    <w:p w:rsidR="00B55E9F" w:rsidP="003B7798" w14:paraId="5135B85D" w14:textId="1E4B042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w:t>
      </w:r>
      <w:r>
        <w:rPr>
          <w:rFonts w:asciiTheme="majorHAnsi" w:hAnsiTheme="majorHAnsi"/>
          <w:sz w:val="24"/>
        </w:rPr>
        <w:t xml:space="preserve"> Costs: </w:t>
      </w:r>
      <w:r w:rsidR="00C226D6">
        <w:rPr>
          <w:rFonts w:asciiTheme="majorHAnsi" w:hAnsiTheme="majorHAnsi"/>
          <w:sz w:val="24"/>
        </w:rPr>
        <w:t>$32,853.33</w:t>
      </w:r>
    </w:p>
    <w:p w:rsidR="00B55E9F" w:rsidRPr="00B55E9F" w:rsidP="003B7798" w14:paraId="14EEB99B" w14:textId="77777777">
      <w:pPr>
        <w:spacing w:after="0" w:line="240" w:lineRule="auto"/>
        <w:rPr>
          <w:rFonts w:asciiTheme="majorHAnsi" w:hAnsiTheme="majorHAnsi"/>
          <w:sz w:val="24"/>
        </w:rPr>
      </w:pPr>
    </w:p>
    <w:p w:rsidR="00B55E9F" w:rsidRPr="00B55E9F" w:rsidP="003B7798" w14:paraId="25531F6A" w14:textId="33D4B3C5">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226D6">
        <w:rPr>
          <w:rFonts w:asciiTheme="majorHAnsi" w:hAnsiTheme="majorHAnsi"/>
          <w:sz w:val="24"/>
        </w:rPr>
        <w:t>1,511,253.33.</w:t>
      </w:r>
    </w:p>
    <w:p w:rsidR="00486235" w:rsidP="003B7798" w14:paraId="00E8F084" w14:textId="77777777">
      <w:pPr>
        <w:spacing w:after="0" w:line="240" w:lineRule="auto"/>
        <w:rPr>
          <w:rFonts w:asciiTheme="majorHAnsi" w:hAnsiTheme="majorHAnsi"/>
          <w:sz w:val="24"/>
        </w:rPr>
      </w:pPr>
    </w:p>
    <w:p w:rsidR="00DA2B37" w:rsidP="003B7798" w14:paraId="035FA49D" w14:textId="3658132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C226D6" w:rsidP="003B7798" w14:paraId="5A110CA3" w14:textId="77777777">
      <w:pPr>
        <w:spacing w:after="0" w:line="240" w:lineRule="auto"/>
        <w:ind w:firstLine="720"/>
        <w:rPr>
          <w:rFonts w:asciiTheme="majorHAnsi" w:hAnsiTheme="majorHAnsi"/>
          <w:sz w:val="24"/>
          <w:highlight w:val="cyan"/>
        </w:rPr>
      </w:pPr>
    </w:p>
    <w:p w:rsidR="00DA2B37" w:rsidP="00C226D6" w14:paraId="3BD4022F" w14:textId="7A3924CD">
      <w:pPr>
        <w:spacing w:after="0" w:line="240" w:lineRule="auto"/>
        <w:rPr>
          <w:rFonts w:asciiTheme="majorHAnsi" w:hAnsiTheme="majorHAnsi"/>
          <w:sz w:val="24"/>
        </w:rPr>
      </w:pPr>
      <w:r w:rsidRPr="00C226D6">
        <w:rPr>
          <w:rFonts w:asciiTheme="majorHAnsi" w:hAnsiTheme="majorHAnsi"/>
          <w:sz w:val="24"/>
        </w:rPr>
        <w:t>The burden has decreased since the previous approval due to</w:t>
      </w:r>
      <w:r w:rsidRPr="00C226D6" w:rsidR="00C226D6">
        <w:rPr>
          <w:rFonts w:asciiTheme="majorHAnsi" w:hAnsiTheme="majorHAnsi"/>
          <w:sz w:val="24"/>
        </w:rPr>
        <w:t xml:space="preserve"> actual receipts of the form</w:t>
      </w:r>
      <w:r w:rsidRPr="00C226D6">
        <w:rPr>
          <w:rFonts w:asciiTheme="majorHAnsi" w:hAnsiTheme="majorHAnsi"/>
          <w:sz w:val="24"/>
        </w:rPr>
        <w:t>.</w:t>
      </w:r>
      <w:r>
        <w:rPr>
          <w:rFonts w:asciiTheme="majorHAnsi" w:hAnsiTheme="majorHAnsi"/>
          <w:sz w:val="24"/>
        </w:rPr>
        <w:t xml:space="preserve"> </w:t>
      </w:r>
    </w:p>
    <w:p w:rsidR="00DA2B37" w:rsidP="003B7798" w14:paraId="4F64A43C" w14:textId="77777777">
      <w:pPr>
        <w:spacing w:after="0" w:line="240" w:lineRule="auto"/>
        <w:rPr>
          <w:rFonts w:asciiTheme="majorHAnsi" w:hAnsiTheme="majorHAnsi"/>
          <w:sz w:val="24"/>
        </w:rPr>
      </w:pPr>
    </w:p>
    <w:p w:rsidR="00DA2B37" w:rsidP="003B7798" w14:paraId="62FD7680" w14:textId="5094DDD6">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C226D6" w:rsidP="003B7798" w14:paraId="13AA2B2C" w14:textId="77777777">
      <w:pPr>
        <w:spacing w:after="0" w:line="240" w:lineRule="auto"/>
        <w:rPr>
          <w:rFonts w:asciiTheme="majorHAnsi" w:hAnsiTheme="majorHAnsi"/>
          <w:i/>
          <w:sz w:val="24"/>
        </w:rPr>
      </w:pPr>
    </w:p>
    <w:p w:rsidR="00DA2B37" w:rsidP="003B7798" w14:paraId="1D5240A1" w14:textId="023DB089">
      <w:pPr>
        <w:spacing w:after="0" w:line="240" w:lineRule="auto"/>
        <w:rPr>
          <w:rFonts w:asciiTheme="majorHAnsi" w:hAnsiTheme="majorHAnsi"/>
          <w:sz w:val="24"/>
        </w:rPr>
      </w:pPr>
      <w:r w:rsidRPr="00C226D6">
        <w:rPr>
          <w:rFonts w:asciiTheme="majorHAnsi" w:hAnsiTheme="majorHAnsi"/>
          <w:sz w:val="24"/>
        </w:rPr>
        <w:t xml:space="preserve">The results of this </w:t>
      </w:r>
      <w:r w:rsidRPr="00C226D6">
        <w:rPr>
          <w:rFonts w:asciiTheme="majorHAnsi" w:hAnsiTheme="majorHAnsi"/>
          <w:sz w:val="24"/>
        </w:rPr>
        <w:t>information collection will not be published.</w:t>
      </w:r>
      <w:r>
        <w:rPr>
          <w:rFonts w:asciiTheme="majorHAnsi" w:hAnsiTheme="majorHAnsi"/>
          <w:sz w:val="24"/>
        </w:rPr>
        <w:t xml:space="preserve"> </w:t>
      </w:r>
    </w:p>
    <w:p w:rsidR="005C3A95" w:rsidP="003B7798" w14:paraId="7786269E" w14:textId="77777777">
      <w:pPr>
        <w:spacing w:after="0" w:line="240" w:lineRule="auto"/>
        <w:rPr>
          <w:rFonts w:asciiTheme="majorHAnsi" w:hAnsiTheme="majorHAnsi"/>
          <w:sz w:val="24"/>
        </w:rPr>
      </w:pPr>
    </w:p>
    <w:p w:rsidR="005C3A95" w:rsidRPr="0085688C" w:rsidP="003B7798" w14:paraId="70847C33" w14:textId="2F177B13">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226D6" w:rsidRPr="00C226D6" w:rsidP="003B7798" w14:paraId="11548DB5" w14:textId="77777777">
      <w:pPr>
        <w:spacing w:after="0" w:line="240" w:lineRule="auto"/>
        <w:rPr>
          <w:rFonts w:asciiTheme="majorHAnsi" w:hAnsiTheme="majorHAnsi"/>
          <w:sz w:val="24"/>
        </w:rPr>
      </w:pPr>
    </w:p>
    <w:p w:rsidR="00C62D17" w:rsidP="003B7798" w14:paraId="2111A279" w14:textId="19D4BC9D">
      <w:pPr>
        <w:spacing w:after="0" w:line="240" w:lineRule="auto"/>
        <w:rPr>
          <w:rFonts w:asciiTheme="majorHAnsi" w:hAnsiTheme="majorHAnsi"/>
          <w:sz w:val="24"/>
        </w:rPr>
      </w:pPr>
      <w:r w:rsidRPr="00C226D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3B7798" w14:paraId="3C92B966" w14:textId="77777777">
      <w:pPr>
        <w:spacing w:after="0" w:line="240" w:lineRule="auto"/>
        <w:rPr>
          <w:rFonts w:asciiTheme="majorHAnsi" w:hAnsiTheme="majorHAnsi"/>
          <w:sz w:val="24"/>
        </w:rPr>
      </w:pPr>
    </w:p>
    <w:p w:rsidR="00C62D17" w:rsidRPr="00C226D6" w:rsidP="003B7798" w14:paraId="63DF55CB" w14:textId="182B1887">
      <w:pPr>
        <w:spacing w:after="0" w:line="240" w:lineRule="auto"/>
        <w:rPr>
          <w:rFonts w:asciiTheme="majorHAnsi" w:hAnsiTheme="majorHAnsi"/>
          <w:sz w:val="24"/>
        </w:rPr>
      </w:pPr>
      <w:r w:rsidRPr="00C226D6">
        <w:rPr>
          <w:rFonts w:asciiTheme="majorHAnsi" w:hAnsiTheme="majorHAnsi"/>
          <w:sz w:val="24"/>
        </w:rPr>
        <w:t xml:space="preserve">18. </w:t>
      </w:r>
      <w:r w:rsidRPr="00C226D6">
        <w:rPr>
          <w:rFonts w:asciiTheme="majorHAnsi" w:hAnsiTheme="majorHAnsi"/>
          <w:sz w:val="24"/>
        </w:rPr>
        <w:tab/>
      </w:r>
      <w:r w:rsidRPr="00C226D6">
        <w:rPr>
          <w:rFonts w:asciiTheme="majorHAnsi" w:hAnsiTheme="majorHAnsi"/>
          <w:sz w:val="24"/>
          <w:u w:val="single"/>
        </w:rPr>
        <w:t>Exceptions to “Certification for Paperw</w:t>
      </w:r>
      <w:r w:rsidRPr="00C226D6">
        <w:rPr>
          <w:rFonts w:asciiTheme="majorHAnsi" w:hAnsiTheme="majorHAnsi"/>
          <w:sz w:val="24"/>
          <w:u w:val="single"/>
        </w:rPr>
        <w:t>ork Reduction Submissions”</w:t>
      </w:r>
    </w:p>
    <w:p w:rsidR="00C226D6" w:rsidRPr="00C226D6" w:rsidP="003B7798" w14:paraId="261B81BF" w14:textId="77777777">
      <w:pPr>
        <w:spacing w:after="0" w:line="240" w:lineRule="auto"/>
        <w:rPr>
          <w:rFonts w:asciiTheme="majorHAnsi" w:hAnsiTheme="majorHAnsi"/>
          <w:sz w:val="24"/>
        </w:rPr>
      </w:pPr>
    </w:p>
    <w:p w:rsidR="00A50A0F" w:rsidRPr="00C62D17" w:rsidP="003B7798" w14:paraId="4F232EA1" w14:textId="235C46F9">
      <w:pPr>
        <w:spacing w:after="0" w:line="240" w:lineRule="auto"/>
        <w:rPr>
          <w:rFonts w:asciiTheme="majorHAnsi" w:hAnsiTheme="majorHAnsi"/>
          <w:i/>
          <w:sz w:val="24"/>
        </w:rPr>
      </w:pPr>
      <w:r w:rsidRPr="00C226D6">
        <w:rPr>
          <w:rFonts w:asciiTheme="majorHAnsi" w:hAnsiTheme="majorHAnsi"/>
          <w:sz w:val="24"/>
        </w:rPr>
        <w:t>We are not requesting an</w:t>
      </w:r>
      <w:r w:rsidRPr="00C226D6" w:rsidR="00420AE9">
        <w:rPr>
          <w:rFonts w:asciiTheme="majorHAnsi" w:hAnsiTheme="majorHAnsi"/>
          <w:sz w:val="24"/>
        </w:rPr>
        <w:t>y</w:t>
      </w:r>
      <w:r w:rsidRPr="00C226D6">
        <w:rPr>
          <w:rFonts w:asciiTheme="majorHAnsi" w:hAnsiTheme="majorHAnsi"/>
          <w:sz w:val="24"/>
        </w:rPr>
        <w:t xml:space="preserve"> exemption</w:t>
      </w:r>
      <w:r w:rsidRPr="00C226D6" w:rsidR="00420AE9">
        <w:rPr>
          <w:rFonts w:asciiTheme="majorHAnsi" w:hAnsiTheme="majorHAnsi"/>
          <w:sz w:val="24"/>
        </w:rPr>
        <w:t>s</w:t>
      </w:r>
      <w:r w:rsidRPr="00C226D6">
        <w:rPr>
          <w:rFonts w:asciiTheme="majorHAnsi" w:hAnsiTheme="majorHAnsi"/>
          <w:sz w:val="24"/>
        </w:rPr>
        <w:t xml:space="preserve"> to the provisions </w:t>
      </w:r>
      <w:r w:rsidRPr="00C226D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71694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B957695"/>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2"/>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3"/>
  </w:num>
  <w:num w:numId="18" w16cid:durableId="2037191835">
    <w:abstractNumId w:val="7"/>
  </w:num>
  <w:num w:numId="19" w16cid:durableId="700475658">
    <w:abstractNumId w:val="6"/>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2"/>
  </w:num>
  <w:num w:numId="25" w16cid:durableId="2703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C4472"/>
    <w:rsid w:val="002D7713"/>
    <w:rsid w:val="003132E7"/>
    <w:rsid w:val="00331D7E"/>
    <w:rsid w:val="00337EF1"/>
    <w:rsid w:val="00340D9B"/>
    <w:rsid w:val="00394A8A"/>
    <w:rsid w:val="003B7798"/>
    <w:rsid w:val="003C0540"/>
    <w:rsid w:val="003E0F33"/>
    <w:rsid w:val="00414BBA"/>
    <w:rsid w:val="00420AE9"/>
    <w:rsid w:val="00480AFF"/>
    <w:rsid w:val="00483C75"/>
    <w:rsid w:val="00486235"/>
    <w:rsid w:val="00490797"/>
    <w:rsid w:val="004C74D6"/>
    <w:rsid w:val="004F4F5D"/>
    <w:rsid w:val="004F4FB9"/>
    <w:rsid w:val="00502FF3"/>
    <w:rsid w:val="00510F0C"/>
    <w:rsid w:val="00520B36"/>
    <w:rsid w:val="00523182"/>
    <w:rsid w:val="005704A9"/>
    <w:rsid w:val="00571698"/>
    <w:rsid w:val="00576EDB"/>
    <w:rsid w:val="00594B6B"/>
    <w:rsid w:val="00596BBA"/>
    <w:rsid w:val="005C3A95"/>
    <w:rsid w:val="005C7428"/>
    <w:rsid w:val="005D5C81"/>
    <w:rsid w:val="00642741"/>
    <w:rsid w:val="0065530D"/>
    <w:rsid w:val="006A0FD4"/>
    <w:rsid w:val="006A13FA"/>
    <w:rsid w:val="006E563D"/>
    <w:rsid w:val="006F2DF8"/>
    <w:rsid w:val="00722FDB"/>
    <w:rsid w:val="00730FC8"/>
    <w:rsid w:val="0077261C"/>
    <w:rsid w:val="0085688C"/>
    <w:rsid w:val="008635C4"/>
    <w:rsid w:val="008A06EF"/>
    <w:rsid w:val="008D1294"/>
    <w:rsid w:val="008E3029"/>
    <w:rsid w:val="00976C2B"/>
    <w:rsid w:val="0098628F"/>
    <w:rsid w:val="00994F2B"/>
    <w:rsid w:val="00996894"/>
    <w:rsid w:val="009A197A"/>
    <w:rsid w:val="009A6246"/>
    <w:rsid w:val="009F2544"/>
    <w:rsid w:val="00A50A0F"/>
    <w:rsid w:val="00A76F7E"/>
    <w:rsid w:val="00A77157"/>
    <w:rsid w:val="00AF787A"/>
    <w:rsid w:val="00B14389"/>
    <w:rsid w:val="00B52F4E"/>
    <w:rsid w:val="00B55E9F"/>
    <w:rsid w:val="00B65850"/>
    <w:rsid w:val="00B933B0"/>
    <w:rsid w:val="00BC7E62"/>
    <w:rsid w:val="00BD7755"/>
    <w:rsid w:val="00BE535D"/>
    <w:rsid w:val="00C226D6"/>
    <w:rsid w:val="00C33684"/>
    <w:rsid w:val="00C45D18"/>
    <w:rsid w:val="00C62D17"/>
    <w:rsid w:val="00C808F4"/>
    <w:rsid w:val="00CA15B1"/>
    <w:rsid w:val="00CC24D5"/>
    <w:rsid w:val="00CC2835"/>
    <w:rsid w:val="00CF71C8"/>
    <w:rsid w:val="00D031A4"/>
    <w:rsid w:val="00D21AA6"/>
    <w:rsid w:val="00D462F7"/>
    <w:rsid w:val="00D734A2"/>
    <w:rsid w:val="00DA2B37"/>
    <w:rsid w:val="00DD74B0"/>
    <w:rsid w:val="00E2489B"/>
    <w:rsid w:val="00E44557"/>
    <w:rsid w:val="00E5409A"/>
    <w:rsid w:val="00E65D41"/>
    <w:rsid w:val="00E95FFB"/>
    <w:rsid w:val="00EA6C04"/>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Allmond, Yvette M., VBAVACO</cp:lastModifiedBy>
  <cp:revision>2</cp:revision>
  <cp:lastPrinted>2016-09-20T19:55:00Z</cp:lastPrinted>
  <dcterms:created xsi:type="dcterms:W3CDTF">2023-09-15T11:30:00Z</dcterms:created>
  <dcterms:modified xsi:type="dcterms:W3CDTF">2023-09-15T11:30:00Z</dcterms:modified>
</cp:coreProperties>
</file>