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0B38" w:rsidR="00434E02" w:rsidP="00434E02" w:rsidRDefault="00434E02" w14:paraId="4704C2DF" w14:textId="77777777">
      <w:pPr>
        <w:jc w:val="center"/>
      </w:pPr>
      <w:r>
        <w:rPr>
          <w:b/>
        </w:rPr>
        <w:fldChar w:fldCharType="begin"/>
      </w:r>
      <w:r>
        <w:rPr>
          <w:b/>
        </w:rPr>
        <w:instrText xml:space="preserve"> MACROBUTTON  AcceptAllChangesInDoc </w:instrText>
      </w:r>
      <w:r>
        <w:rPr>
          <w:b/>
        </w:rPr>
        <w:fldChar w:fldCharType="end"/>
      </w:r>
      <w:r w:rsidRPr="00CD0B38">
        <w:t>UNITED STATES OF AMERICA</w:t>
      </w:r>
    </w:p>
    <w:p w:rsidRPr="00CD0B38" w:rsidR="00434E02" w:rsidP="003D3CD1" w:rsidRDefault="00434E02" w14:paraId="1CB4C8F8" w14:textId="77777777">
      <w:pPr>
        <w:jc w:val="center"/>
      </w:pPr>
      <w:r w:rsidRPr="00CD0B38">
        <w:t>FEDERAL ENERGY REGULATORY COMMISSION</w:t>
      </w:r>
    </w:p>
    <w:p w:rsidR="00434E02" w:rsidP="003D3CD1" w:rsidRDefault="00434E02" w14:paraId="5E8E9168" w14:textId="77777777"/>
    <w:p w:rsidRPr="00CD0B38" w:rsidR="00434E02" w:rsidP="003D3CD1" w:rsidRDefault="00434E02" w14:paraId="1E6D2F48" w14:textId="77777777"/>
    <w:tbl>
      <w:tblPr>
        <w:tblStyle w:val="TableGrid"/>
        <w:tblW w:w="9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0"/>
        <w:gridCol w:w="1530"/>
        <w:gridCol w:w="1710"/>
      </w:tblGrid>
      <w:tr w:rsidRPr="00CD0B38" w:rsidR="00434E02" w:rsidTr="00F8727E" w14:paraId="1BBE2077" w14:textId="77777777">
        <w:tc>
          <w:tcPr>
            <w:tcW w:w="6390" w:type="dxa"/>
            <w:shd w:val="clear" w:color="auto" w:fill="auto"/>
          </w:tcPr>
          <w:p w:rsidRPr="00CD0B38" w:rsidR="00434E02" w:rsidP="003D3CD1" w:rsidRDefault="003B342B" w14:paraId="5DBB913B" w14:textId="4005358F">
            <w:pPr>
              <w:widowControl/>
              <w:autoSpaceDE/>
              <w:autoSpaceDN/>
              <w:adjustRightInd/>
              <w:rPr>
                <w:rFonts w:eastAsiaTheme="minorHAnsi" w:cstheme="minorBidi"/>
                <w:szCs w:val="22"/>
              </w:rPr>
            </w:pPr>
            <w:r w:rsidRPr="003B342B">
              <w:rPr>
                <w:rFonts w:eastAsiaTheme="minorHAnsi" w:cstheme="minorBidi"/>
                <w:szCs w:val="22"/>
              </w:rPr>
              <w:t>Climate Change, Extreme Weather, and Electric System Reliability</w:t>
            </w:r>
          </w:p>
        </w:tc>
        <w:tc>
          <w:tcPr>
            <w:tcW w:w="1530" w:type="dxa"/>
            <w:shd w:val="clear" w:color="auto" w:fill="auto"/>
          </w:tcPr>
          <w:p w:rsidRPr="00CD0B38" w:rsidR="00434E02" w:rsidP="003D3CD1" w:rsidRDefault="00F8727E" w14:paraId="7FBF677C" w14:textId="7A2E96D0">
            <w:pPr>
              <w:widowControl/>
              <w:autoSpaceDE/>
              <w:autoSpaceDN/>
              <w:adjustRightInd/>
              <w:rPr>
                <w:rFonts w:eastAsiaTheme="minorHAnsi" w:cstheme="minorBidi"/>
                <w:szCs w:val="22"/>
              </w:rPr>
            </w:pPr>
            <w:r>
              <w:rPr>
                <w:rFonts w:eastAsiaTheme="minorHAnsi" w:cstheme="minorBidi"/>
                <w:szCs w:val="22"/>
              </w:rPr>
              <w:t xml:space="preserve">     </w:t>
            </w:r>
            <w:r w:rsidR="00434E02">
              <w:rPr>
                <w:rFonts w:eastAsiaTheme="minorHAnsi" w:cstheme="minorBidi"/>
                <w:szCs w:val="22"/>
              </w:rPr>
              <w:t>Docket No.</w:t>
            </w:r>
          </w:p>
        </w:tc>
        <w:tc>
          <w:tcPr>
            <w:tcW w:w="1710" w:type="dxa"/>
            <w:shd w:val="clear" w:color="auto" w:fill="auto"/>
            <w:tcMar>
              <w:left w:w="144" w:type="dxa"/>
            </w:tcMar>
          </w:tcPr>
          <w:p w:rsidRPr="00CD0B38" w:rsidR="00434E02" w:rsidP="003D3CD1" w:rsidRDefault="00434E02" w14:paraId="6CF20531" w14:textId="3169A133">
            <w:pPr>
              <w:widowControl/>
              <w:autoSpaceDE/>
              <w:autoSpaceDN/>
              <w:adjustRightInd/>
              <w:rPr>
                <w:rFonts w:eastAsiaTheme="minorHAnsi" w:cstheme="minorBidi"/>
                <w:szCs w:val="22"/>
              </w:rPr>
            </w:pPr>
            <w:r>
              <w:rPr>
                <w:rFonts w:eastAsiaTheme="minorHAnsi" w:cstheme="minorBidi"/>
                <w:szCs w:val="22"/>
              </w:rPr>
              <w:t>AD21-1</w:t>
            </w:r>
            <w:r w:rsidR="003B342B">
              <w:rPr>
                <w:rFonts w:eastAsiaTheme="minorHAnsi" w:cstheme="minorBidi"/>
                <w:szCs w:val="22"/>
              </w:rPr>
              <w:t>3</w:t>
            </w:r>
            <w:r>
              <w:rPr>
                <w:rFonts w:eastAsiaTheme="minorHAnsi" w:cstheme="minorBidi"/>
                <w:szCs w:val="22"/>
              </w:rPr>
              <w:t>-000</w:t>
            </w:r>
          </w:p>
        </w:tc>
      </w:tr>
    </w:tbl>
    <w:p w:rsidRPr="00CD0B38" w:rsidR="00434E02" w:rsidP="003D3CD1" w:rsidRDefault="00434E02" w14:paraId="67F02BDA" w14:textId="77777777">
      <w:pPr>
        <w:jc w:val="center"/>
      </w:pPr>
    </w:p>
    <w:p w:rsidRPr="00CD0B38" w:rsidR="00434E02" w:rsidP="003D3CD1" w:rsidRDefault="00434E02" w14:paraId="03CF3400" w14:textId="77777777">
      <w:pPr>
        <w:jc w:val="center"/>
      </w:pPr>
    </w:p>
    <w:p w:rsidRPr="00CD0B38" w:rsidR="00434E02" w:rsidP="003D3CD1" w:rsidRDefault="00434E02" w14:paraId="3F0A8365" w14:textId="77777777">
      <w:pPr>
        <w:jc w:val="center"/>
      </w:pPr>
      <w:r w:rsidRPr="00434E02">
        <w:t>NOTICE INVITING POST-TECHNICAL CONFERENCE COMMENTS</w:t>
      </w:r>
    </w:p>
    <w:p w:rsidRPr="00CD0B38" w:rsidR="00434E02" w:rsidP="003D3CD1" w:rsidRDefault="00434E02" w14:paraId="115F97A8" w14:textId="77777777">
      <w:pPr>
        <w:jc w:val="center"/>
      </w:pPr>
    </w:p>
    <w:p w:rsidRPr="00F8727E" w:rsidR="00F8727E" w:rsidP="00F8727E" w:rsidRDefault="00F8727E" w14:paraId="043DC88C" w14:textId="663C9758">
      <w:pPr>
        <w:widowControl/>
        <w:jc w:val="center"/>
      </w:pPr>
      <w:r w:rsidRPr="00F8727E">
        <w:t>(</w:t>
      </w:r>
      <w:r w:rsidR="00337816">
        <w:t>August</w:t>
      </w:r>
      <w:r w:rsidR="005160B9">
        <w:t xml:space="preserve"> </w:t>
      </w:r>
      <w:r w:rsidR="00B02B19">
        <w:t>11</w:t>
      </w:r>
      <w:r w:rsidRPr="00F8727E">
        <w:t>, 2021)</w:t>
      </w:r>
    </w:p>
    <w:p w:rsidRPr="00C26B1C" w:rsidR="00434E02" w:rsidP="003D3CD1" w:rsidRDefault="00434E02" w14:paraId="75638AA3" w14:textId="77777777">
      <w:pPr>
        <w:rPr>
          <w:bCs/>
        </w:rPr>
      </w:pPr>
    </w:p>
    <w:p w:rsidR="00434E02" w:rsidP="00B6699E" w:rsidRDefault="00434E02" w14:paraId="2545BE1A" w14:textId="42330DBE">
      <w:pPr>
        <w:ind w:firstLine="720"/>
      </w:pPr>
      <w:r>
        <w:t xml:space="preserve">On </w:t>
      </w:r>
      <w:r w:rsidR="003B342B">
        <w:t>June</w:t>
      </w:r>
      <w:r>
        <w:t xml:space="preserve"> </w:t>
      </w:r>
      <w:r w:rsidR="003B342B">
        <w:t>1, 2021 and June 2</w:t>
      </w:r>
      <w:r>
        <w:t>, 202</w:t>
      </w:r>
      <w:r w:rsidR="00C013E7">
        <w:t>1</w:t>
      </w:r>
      <w:r>
        <w:t>, the Federal Energy Regulatory Commission (Commission)</w:t>
      </w:r>
      <w:r w:rsidR="001C5BB4">
        <w:t xml:space="preserve"> </w:t>
      </w:r>
      <w:r w:rsidR="003B342B">
        <w:t xml:space="preserve">staff </w:t>
      </w:r>
      <w:r>
        <w:t xml:space="preserve">convened a technical conference to discuss </w:t>
      </w:r>
      <w:r w:rsidRPr="003B342B" w:rsidR="003B342B">
        <w:t>issues surrounding the threat to electric system reliability posed by climate change and extreme weather events</w:t>
      </w:r>
      <w:r>
        <w:t>.</w:t>
      </w:r>
    </w:p>
    <w:p w:rsidR="00434E02" w:rsidP="00434E02" w:rsidRDefault="00434E02" w14:paraId="7F9AA9A2" w14:textId="77777777"/>
    <w:p w:rsidR="00434E02" w:rsidP="00B6699E" w:rsidRDefault="00434E02" w14:paraId="726FF5E0" w14:textId="0328B1D2">
      <w:pPr>
        <w:ind w:firstLine="720"/>
      </w:pPr>
      <w:r>
        <w:t>All interested persons are invited to file post-technical conference comments to</w:t>
      </w:r>
      <w:r w:rsidR="001C5BB4">
        <w:t xml:space="preserve"> </w:t>
      </w:r>
      <w:r>
        <w:t xml:space="preserve">address </w:t>
      </w:r>
      <w:r w:rsidR="00565130">
        <w:t xml:space="preserve">the questions raised below and, if they wish, any other </w:t>
      </w:r>
      <w:r>
        <w:t xml:space="preserve">issues raised during the technical conference </w:t>
      </w:r>
      <w:r w:rsidR="00565130">
        <w:t>or</w:t>
      </w:r>
      <w:r>
        <w:t xml:space="preserve"> identified in the Supplemental</w:t>
      </w:r>
      <w:r w:rsidR="001C5BB4">
        <w:t xml:space="preserve"> </w:t>
      </w:r>
      <w:r>
        <w:t>Notice</w:t>
      </w:r>
      <w:r w:rsidR="004F38A7">
        <w:t>s</w:t>
      </w:r>
      <w:r>
        <w:t xml:space="preserve"> of Technical Conference issued </w:t>
      </w:r>
      <w:r w:rsidR="004F38A7">
        <w:t>Ma</w:t>
      </w:r>
      <w:r w:rsidR="009F6980">
        <w:t>rch</w:t>
      </w:r>
      <w:r w:rsidR="004F38A7">
        <w:t xml:space="preserve"> 15 and </w:t>
      </w:r>
      <w:r w:rsidR="007C2D53">
        <w:t>May 2</w:t>
      </w:r>
      <w:r w:rsidR="00B545B2">
        <w:t>1</w:t>
      </w:r>
      <w:r>
        <w:t xml:space="preserve">, 2021. </w:t>
      </w:r>
      <w:r w:rsidR="008D4912">
        <w:t xml:space="preserve"> </w:t>
      </w:r>
      <w:r>
        <w:t>Commenters need not answer</w:t>
      </w:r>
      <w:r w:rsidR="001C5BB4">
        <w:t xml:space="preserve"> </w:t>
      </w:r>
      <w:proofErr w:type="gramStart"/>
      <w:r>
        <w:t>all of</w:t>
      </w:r>
      <w:proofErr w:type="gramEnd"/>
      <w:r>
        <w:t xml:space="preserve"> the questions, but commenters are encouraged to organize responses using the</w:t>
      </w:r>
      <w:r w:rsidR="001C5BB4">
        <w:t xml:space="preserve"> </w:t>
      </w:r>
      <w:r>
        <w:t xml:space="preserve">numbering and order in the below questions. </w:t>
      </w:r>
      <w:r w:rsidR="008D4912">
        <w:t xml:space="preserve"> </w:t>
      </w:r>
      <w:r>
        <w:t>Commenters are also invited to reference</w:t>
      </w:r>
      <w:r w:rsidR="001C5BB4">
        <w:t xml:space="preserve"> </w:t>
      </w:r>
      <w:r>
        <w:t>material previously filed in this docket but are encouraged to avoid repetition or</w:t>
      </w:r>
      <w:r w:rsidR="001C5BB4">
        <w:t xml:space="preserve"> </w:t>
      </w:r>
      <w:r>
        <w:t xml:space="preserve">replication of </w:t>
      </w:r>
      <w:r w:rsidR="00BE5DB9">
        <w:t xml:space="preserve">their </w:t>
      </w:r>
      <w:r>
        <w:t xml:space="preserve">previous </w:t>
      </w:r>
      <w:r w:rsidR="00BE5DB9">
        <w:t>comments</w:t>
      </w:r>
      <w:r>
        <w:t xml:space="preserve">. </w:t>
      </w:r>
      <w:r w:rsidR="008D4912">
        <w:t xml:space="preserve"> </w:t>
      </w:r>
      <w:r>
        <w:t>Comments must be submitted on or before 45 days from</w:t>
      </w:r>
      <w:r w:rsidR="001C5BB4">
        <w:t xml:space="preserve"> </w:t>
      </w:r>
      <w:r>
        <w:t>the date of this Notice.</w:t>
      </w:r>
    </w:p>
    <w:p w:rsidR="00434E02" w:rsidP="00434E02" w:rsidRDefault="00434E02" w14:paraId="4C388863" w14:textId="77777777"/>
    <w:p w:rsidR="00434E02" w:rsidP="00434E02" w:rsidRDefault="00434E02" w14:paraId="2FD51B1A" w14:textId="77777777">
      <w:pPr>
        <w:ind w:firstLine="720"/>
      </w:pPr>
      <w:r w:rsidRPr="00434E02">
        <w:t>Comments may be filed electronically via the Internet.</w:t>
      </w:r>
      <w:r w:rsidRPr="00434E02">
        <w:rPr>
          <w:b/>
          <w:vertAlign w:val="superscript"/>
        </w:rPr>
        <w:footnoteReference w:id="2"/>
      </w:r>
      <w:r w:rsidRPr="00434E02">
        <w:t xml:space="preserve">  Instructions are available on the Commission’s website </w:t>
      </w:r>
      <w:hyperlink w:history="1" r:id="rId12">
        <w:r w:rsidRPr="00434E02">
          <w:rPr>
            <w:rStyle w:val="Hyperlink"/>
          </w:rPr>
          <w:t>http://www.ferc.gov/docs-filing/efiling.asp</w:t>
        </w:r>
      </w:hyperlink>
      <w:r w:rsidRPr="00434E02">
        <w:t xml:space="preserve">.  For assistance, please contact FERC Online Support at </w:t>
      </w:r>
      <w:hyperlink w:history="1" r:id="rId13">
        <w:r w:rsidRPr="00434E02">
          <w:rPr>
            <w:rStyle w:val="Hyperlink"/>
          </w:rPr>
          <w:t>FERCOnlineSupport@ferc.gov</w:t>
        </w:r>
      </w:hyperlink>
      <w:r w:rsidRPr="00434E02">
        <w:t xml:space="preserve"> or toll free at 1-866-208-3676, or for TTY, (202) 502-8659.  Although the Commission strongly encourages electronic filing, documents may also be </w:t>
      </w:r>
      <w:proofErr w:type="gramStart"/>
      <w:r w:rsidRPr="00434E02">
        <w:t>paper-filed</w:t>
      </w:r>
      <w:proofErr w:type="gramEnd"/>
      <w:r w:rsidRPr="00434E02">
        <w:t>.  To paper-file, submissions sent via the U.S. Postal Service must be addressed to:  Federal Energy Regulatory Commission, Office of the Secretary, 888 First Street NE, Washington, DC 20426.  Submissions sent via any other carrier must be addressed to:  Federal Energy Regulatory Commission, Office of the Secretary, 12225 Wilkins Avenue, Rockville, Maryland 20852.</w:t>
      </w:r>
    </w:p>
    <w:p w:rsidR="00434E02" w:rsidP="00434E02" w:rsidRDefault="00434E02" w14:paraId="17D76B8C" w14:textId="6AA63E69">
      <w:pPr>
        <w:ind w:firstLine="720"/>
      </w:pPr>
    </w:p>
    <w:p w:rsidR="00BD7800" w:rsidP="00434E02" w:rsidRDefault="00BD7800" w14:paraId="06B539F5" w14:textId="2B15785E">
      <w:pPr>
        <w:ind w:firstLine="720"/>
      </w:pPr>
    </w:p>
    <w:p w:rsidR="00BD7800" w:rsidP="00434E02" w:rsidRDefault="00BD7800" w14:paraId="71B76BE3" w14:textId="0DC0EF61">
      <w:pPr>
        <w:ind w:firstLine="720"/>
      </w:pPr>
    </w:p>
    <w:p w:rsidR="00BD7800" w:rsidP="00434E02" w:rsidRDefault="00BD7800" w14:paraId="3DAC0DEB" w14:textId="2CFC9FAB">
      <w:pPr>
        <w:ind w:firstLine="720"/>
      </w:pPr>
    </w:p>
    <w:p w:rsidR="00BD7800" w:rsidP="00434E02" w:rsidRDefault="00BD7800" w14:paraId="72863D68" w14:textId="10009E30">
      <w:pPr>
        <w:ind w:firstLine="720"/>
      </w:pPr>
    </w:p>
    <w:p w:rsidR="00BD7800" w:rsidP="00434E02" w:rsidRDefault="00BD7800" w14:paraId="02C15D33" w14:textId="77777777">
      <w:pPr>
        <w:ind w:firstLine="720"/>
      </w:pPr>
    </w:p>
    <w:p w:rsidRPr="00434E02" w:rsidR="00434E02" w:rsidP="00434E02" w:rsidRDefault="00434E02" w14:paraId="3E45A41D" w14:textId="77777777">
      <w:pPr>
        <w:ind w:firstLine="720"/>
      </w:pPr>
      <w:r w:rsidRPr="00434E02">
        <w:t>For more information about this Notice, please contact:</w:t>
      </w:r>
    </w:p>
    <w:p w:rsidRPr="00434E02" w:rsidR="00434E02" w:rsidP="00434E02" w:rsidRDefault="00434E02" w14:paraId="10B5C69A" w14:textId="77777777">
      <w:pPr>
        <w:ind w:firstLine="720"/>
      </w:pPr>
    </w:p>
    <w:p w:rsidRPr="00434E02" w:rsidR="00434E02" w:rsidP="00434E02" w:rsidRDefault="00434E02" w14:paraId="2890C229" w14:textId="148CA1DD">
      <w:pPr>
        <w:ind w:firstLine="720"/>
      </w:pPr>
      <w:r w:rsidRPr="00434E02">
        <w:tab/>
      </w:r>
      <w:r w:rsidRPr="00434E02">
        <w:tab/>
      </w:r>
      <w:r w:rsidR="003B342B">
        <w:t>Rahim Amerkhail</w:t>
      </w:r>
      <w:r w:rsidRPr="00434E02">
        <w:t xml:space="preserve"> (Technical Information)</w:t>
      </w:r>
    </w:p>
    <w:p w:rsidRPr="00434E02" w:rsidR="00434E02" w:rsidP="00434E02" w:rsidRDefault="00434E02" w14:paraId="54756BEB" w14:textId="77777777">
      <w:pPr>
        <w:ind w:firstLine="720"/>
      </w:pPr>
      <w:r w:rsidRPr="00434E02">
        <w:tab/>
      </w:r>
      <w:r w:rsidRPr="00434E02">
        <w:tab/>
        <w:t>Office of Energy Policy and Innovation</w:t>
      </w:r>
    </w:p>
    <w:p w:rsidRPr="00434E02" w:rsidR="00434E02" w:rsidP="00434E02" w:rsidRDefault="00434E02" w14:paraId="37BA0C16" w14:textId="1D83A762">
      <w:pPr>
        <w:ind w:firstLine="720"/>
      </w:pPr>
      <w:r w:rsidRPr="00434E02">
        <w:tab/>
      </w:r>
      <w:r w:rsidRPr="00434E02">
        <w:tab/>
        <w:t>(202) 502-8</w:t>
      </w:r>
      <w:r w:rsidR="003B342B">
        <w:t>266</w:t>
      </w:r>
    </w:p>
    <w:p w:rsidRPr="00434E02" w:rsidR="00434E02" w:rsidP="00434E02" w:rsidRDefault="00434E02" w14:paraId="776E692D" w14:textId="391CFC39">
      <w:pPr>
        <w:ind w:firstLine="720"/>
      </w:pPr>
      <w:r w:rsidRPr="00434E02">
        <w:tab/>
      </w:r>
      <w:r w:rsidRPr="00434E02">
        <w:tab/>
      </w:r>
      <w:hyperlink w:history="1" r:id="rId14">
        <w:r w:rsidRPr="00E66659" w:rsidR="003B342B">
          <w:rPr>
            <w:rStyle w:val="Hyperlink"/>
          </w:rPr>
          <w:t>Rahim.Amerkhail@ferc.gov</w:t>
        </w:r>
      </w:hyperlink>
    </w:p>
    <w:p w:rsidRPr="00434E02" w:rsidR="00434E02" w:rsidP="00434E02" w:rsidRDefault="00434E02" w14:paraId="61C5E499" w14:textId="77777777">
      <w:pPr>
        <w:ind w:firstLine="720"/>
      </w:pPr>
    </w:p>
    <w:p w:rsidRPr="00434E02" w:rsidR="00434E02" w:rsidP="00434E02" w:rsidRDefault="00434E02" w14:paraId="7FDFA828" w14:textId="284D1D31">
      <w:pPr>
        <w:ind w:firstLine="720"/>
      </w:pPr>
      <w:r w:rsidRPr="00434E02">
        <w:tab/>
      </w:r>
      <w:r w:rsidRPr="00434E02">
        <w:tab/>
      </w:r>
      <w:r w:rsidR="003B342B">
        <w:t>Michael Haddad</w:t>
      </w:r>
      <w:r w:rsidRPr="00434E02">
        <w:t xml:space="preserve"> (Legal Information)</w:t>
      </w:r>
    </w:p>
    <w:p w:rsidRPr="00434E02" w:rsidR="00434E02" w:rsidP="00434E02" w:rsidRDefault="00434E02" w14:paraId="4242F9EC" w14:textId="77777777">
      <w:pPr>
        <w:ind w:firstLine="720"/>
      </w:pPr>
      <w:r w:rsidRPr="00434E02">
        <w:tab/>
      </w:r>
      <w:r w:rsidRPr="00434E02">
        <w:tab/>
        <w:t>Office of the General Counsel</w:t>
      </w:r>
    </w:p>
    <w:p w:rsidRPr="00434E02" w:rsidR="00434E02" w:rsidP="00434E02" w:rsidRDefault="00434E02" w14:paraId="1E7AA216" w14:textId="2808AF5D">
      <w:pPr>
        <w:ind w:firstLine="720"/>
      </w:pPr>
      <w:r w:rsidRPr="00434E02">
        <w:tab/>
      </w:r>
      <w:r w:rsidRPr="00434E02">
        <w:tab/>
        <w:t>(202) 502-</w:t>
      </w:r>
      <w:r w:rsidR="00AB4B28">
        <w:t>8088</w:t>
      </w:r>
    </w:p>
    <w:p w:rsidRPr="00434E02" w:rsidR="00434E02" w:rsidP="00434E02" w:rsidRDefault="00434E02" w14:paraId="61A8E72E" w14:textId="042A8750">
      <w:pPr>
        <w:ind w:firstLine="720"/>
      </w:pPr>
      <w:r w:rsidRPr="00434E02">
        <w:tab/>
      </w:r>
      <w:r w:rsidRPr="00434E02">
        <w:tab/>
      </w:r>
      <w:hyperlink w:history="1" r:id="rId15">
        <w:r w:rsidRPr="00E66659" w:rsidR="00AB4B28">
          <w:rPr>
            <w:rStyle w:val="Hyperlink"/>
          </w:rPr>
          <w:t>Michael.Haddad@ferc.gov</w:t>
        </w:r>
      </w:hyperlink>
    </w:p>
    <w:p w:rsidR="00434E02" w:rsidP="00434E02" w:rsidRDefault="00434E02" w14:paraId="27B9AA9A" w14:textId="77777777">
      <w:pPr>
        <w:ind w:firstLine="720"/>
      </w:pPr>
    </w:p>
    <w:p w:rsidR="00434E02" w:rsidP="00401A63" w:rsidRDefault="00434E02" w14:paraId="141AA92E" w14:textId="7B970261"/>
    <w:p w:rsidR="00BD7800" w:rsidP="00401A63" w:rsidRDefault="00BD7800" w14:paraId="6B433248" w14:textId="469CCA07"/>
    <w:p w:rsidR="00BD7800" w:rsidP="00401A63" w:rsidRDefault="00BD7800" w14:paraId="07FF37C0" w14:textId="534EA880"/>
    <w:p w:rsidR="00BD7800" w:rsidP="00401A63" w:rsidRDefault="00BD7800" w14:paraId="0BA310CB" w14:textId="47D98AFC"/>
    <w:p w:rsidRPr="00BD7800" w:rsidR="00BD7800" w:rsidP="00BD7800" w:rsidRDefault="00BD7800" w14:paraId="7FB5D1AA" w14:textId="4990DF66">
      <w:pPr>
        <w:widowControl/>
        <w:ind w:firstLine="2174"/>
        <w:jc w:val="center"/>
      </w:pPr>
      <w:r w:rsidRPr="00BD7800">
        <w:t>Kimberly D. Bose,</w:t>
      </w:r>
    </w:p>
    <w:p w:rsidRPr="00BD7800" w:rsidR="00BD7800" w:rsidP="00BD7800" w:rsidRDefault="00BD7800" w14:paraId="02D74D8C" w14:textId="55D717E2">
      <w:pPr>
        <w:widowControl/>
        <w:ind w:firstLine="2174"/>
        <w:jc w:val="center"/>
      </w:pPr>
      <w:r w:rsidRPr="00BD7800">
        <w:t>Secretary.</w:t>
      </w:r>
    </w:p>
    <w:p w:rsidRPr="00401A63" w:rsidR="00BD7800" w:rsidP="00401A63" w:rsidRDefault="00BD7800" w14:paraId="3A688798" w14:textId="77777777"/>
    <w:p w:rsidRPr="00D50899" w:rsidR="00434E02" w:rsidP="00D50899" w:rsidRDefault="00434E02" w14:paraId="5DD90DF8" w14:textId="77777777"/>
    <w:p w:rsidR="00FF32A1" w:rsidP="0003382F" w:rsidRDefault="00FF32A1" w14:paraId="6AF9CF23" w14:textId="77777777"/>
    <w:p w:rsidR="00DE78DC" w:rsidRDefault="00DE78DC" w14:paraId="0C8C6F13" w14:textId="77777777">
      <w:pPr>
        <w:widowControl/>
        <w:spacing w:after="160" w:line="259" w:lineRule="auto"/>
      </w:pPr>
      <w:r>
        <w:br w:type="page"/>
      </w:r>
    </w:p>
    <w:p w:rsidRPr="00DE78DC" w:rsidR="00DE78DC" w:rsidP="00DE78DC" w:rsidRDefault="00DE78DC" w14:paraId="028DDB09" w14:textId="77777777">
      <w:pPr>
        <w:jc w:val="center"/>
        <w:rPr>
          <w:b/>
          <w:bCs/>
          <w:u w:val="single"/>
        </w:rPr>
      </w:pPr>
      <w:r w:rsidRPr="00DE78DC">
        <w:rPr>
          <w:b/>
          <w:bCs/>
          <w:u w:val="single"/>
        </w:rPr>
        <w:lastRenderedPageBreak/>
        <w:t>Post-Technical Conference Questions for Comment</w:t>
      </w:r>
    </w:p>
    <w:p w:rsidR="00DE78DC" w:rsidP="0003382F" w:rsidRDefault="00DE78DC" w14:paraId="1718A56A" w14:textId="77777777"/>
    <w:p w:rsidR="00DE78DC" w:rsidP="0003382F" w:rsidRDefault="00DE78DC" w14:paraId="278E8F61" w14:textId="77777777">
      <w:pPr>
        <w:rPr>
          <w:b/>
          <w:bCs/>
        </w:rPr>
      </w:pPr>
    </w:p>
    <w:p w:rsidR="00DE78DC" w:rsidP="007F7633" w:rsidRDefault="007555D3" w14:paraId="36F2D1AB" w14:textId="5F86C10B">
      <w:pPr>
        <w:pStyle w:val="Default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 xml:space="preserve">Multiple panelists at the </w:t>
      </w:r>
      <w:r w:rsidR="00C05FAE">
        <w:rPr>
          <w:sz w:val="26"/>
          <w:szCs w:val="26"/>
        </w:rPr>
        <w:t xml:space="preserve">technical </w:t>
      </w:r>
      <w:r>
        <w:rPr>
          <w:sz w:val="26"/>
          <w:szCs w:val="26"/>
        </w:rPr>
        <w:t>conference suggested that utilities</w:t>
      </w:r>
      <w:r w:rsidR="005D7AB0">
        <w:rPr>
          <w:sz w:val="26"/>
          <w:szCs w:val="26"/>
        </w:rPr>
        <w:t xml:space="preserve"> and other industry participants</w:t>
      </w:r>
      <w:r>
        <w:rPr>
          <w:sz w:val="26"/>
          <w:szCs w:val="26"/>
        </w:rPr>
        <w:t xml:space="preserve"> should engage in</w:t>
      </w:r>
      <w:r w:rsidR="003508A7">
        <w:rPr>
          <w:sz w:val="26"/>
          <w:szCs w:val="26"/>
        </w:rPr>
        <w:t xml:space="preserve"> an assessment of climate change risks to their systems.</w:t>
      </w:r>
      <w:r w:rsidR="003508A7">
        <w:rPr>
          <w:rStyle w:val="FootnoteReference"/>
          <w:szCs w:val="26"/>
        </w:rPr>
        <w:footnoteReference w:id="3"/>
      </w:r>
      <w:r>
        <w:rPr>
          <w:sz w:val="26"/>
          <w:szCs w:val="26"/>
        </w:rPr>
        <w:t xml:space="preserve">  </w:t>
      </w:r>
      <w:r w:rsidR="00D8711E">
        <w:rPr>
          <w:sz w:val="26"/>
          <w:szCs w:val="26"/>
        </w:rPr>
        <w:t xml:space="preserve">Should </w:t>
      </w:r>
      <w:r w:rsidRPr="00565130" w:rsidR="00565130">
        <w:rPr>
          <w:sz w:val="26"/>
          <w:szCs w:val="26"/>
        </w:rPr>
        <w:t xml:space="preserve">public utilities </w:t>
      </w:r>
      <w:r w:rsidR="00D8711E">
        <w:rPr>
          <w:sz w:val="26"/>
          <w:szCs w:val="26"/>
        </w:rPr>
        <w:t xml:space="preserve">be required </w:t>
      </w:r>
      <w:r w:rsidRPr="00565130" w:rsidR="00565130">
        <w:rPr>
          <w:sz w:val="26"/>
          <w:szCs w:val="26"/>
        </w:rPr>
        <w:t xml:space="preserve">to engage in either a one-time </w:t>
      </w:r>
      <w:r w:rsidR="00D8711E">
        <w:rPr>
          <w:sz w:val="26"/>
          <w:szCs w:val="26"/>
        </w:rPr>
        <w:t xml:space="preserve">assessment </w:t>
      </w:r>
      <w:r w:rsidRPr="00565130" w:rsidR="00565130">
        <w:rPr>
          <w:sz w:val="26"/>
          <w:szCs w:val="26"/>
        </w:rPr>
        <w:t>or periodic assessment</w:t>
      </w:r>
      <w:r w:rsidR="00D8711E">
        <w:rPr>
          <w:sz w:val="26"/>
          <w:szCs w:val="26"/>
        </w:rPr>
        <w:t>s</w:t>
      </w:r>
      <w:r w:rsidRPr="00565130" w:rsidR="00565130">
        <w:rPr>
          <w:sz w:val="26"/>
          <w:szCs w:val="26"/>
        </w:rPr>
        <w:t xml:space="preserve"> of climate change risks to their</w:t>
      </w:r>
      <w:r w:rsidRPr="008067DA" w:rsidR="008067DA">
        <w:rPr>
          <w:sz w:val="26"/>
          <w:szCs w:val="26"/>
        </w:rPr>
        <w:t xml:space="preserve"> assets and/or on how the</w:t>
      </w:r>
      <w:r w:rsidR="008067DA">
        <w:rPr>
          <w:sz w:val="26"/>
          <w:szCs w:val="26"/>
        </w:rPr>
        <w:t>ir</w:t>
      </w:r>
      <w:r w:rsidRPr="008067DA" w:rsidR="008067DA">
        <w:rPr>
          <w:sz w:val="26"/>
          <w:szCs w:val="26"/>
        </w:rPr>
        <w:t xml:space="preserve"> system is expected to perform under expected climate change driven scenarios</w:t>
      </w:r>
      <w:r w:rsidR="00D8711E">
        <w:rPr>
          <w:sz w:val="26"/>
          <w:szCs w:val="26"/>
        </w:rPr>
        <w:t>?</w:t>
      </w:r>
      <w:r w:rsidRPr="00565130" w:rsidR="00565130">
        <w:rPr>
          <w:sz w:val="26"/>
          <w:szCs w:val="26"/>
        </w:rPr>
        <w:t xml:space="preserve"> </w:t>
      </w:r>
      <w:r w:rsidR="00D8711E">
        <w:rPr>
          <w:sz w:val="26"/>
          <w:szCs w:val="26"/>
        </w:rPr>
        <w:t xml:space="preserve"> If so, </w:t>
      </w:r>
      <w:bookmarkStart w:name="_Hlk77056651" w:id="0"/>
      <w:r w:rsidR="00D8711E">
        <w:rPr>
          <w:sz w:val="26"/>
          <w:szCs w:val="26"/>
        </w:rPr>
        <w:t xml:space="preserve">should such requirements be incorporated into jurisdictional </w:t>
      </w:r>
      <w:bookmarkEnd w:id="0"/>
      <w:r w:rsidR="00133A60">
        <w:rPr>
          <w:sz w:val="26"/>
          <w:szCs w:val="26"/>
        </w:rPr>
        <w:t xml:space="preserve">local </w:t>
      </w:r>
      <w:r w:rsidR="009A388B">
        <w:rPr>
          <w:sz w:val="26"/>
          <w:szCs w:val="26"/>
        </w:rPr>
        <w:t>transmission planning and/</w:t>
      </w:r>
      <w:r w:rsidR="00133A60">
        <w:rPr>
          <w:sz w:val="26"/>
          <w:szCs w:val="26"/>
        </w:rPr>
        <w:t xml:space="preserve">or regional </w:t>
      </w:r>
      <w:r w:rsidR="00D8711E">
        <w:rPr>
          <w:sz w:val="26"/>
          <w:szCs w:val="26"/>
        </w:rPr>
        <w:t>transmission planning</w:t>
      </w:r>
      <w:r w:rsidR="009A388B">
        <w:rPr>
          <w:sz w:val="26"/>
          <w:szCs w:val="26"/>
        </w:rPr>
        <w:t>/</w:t>
      </w:r>
      <w:r w:rsidR="00133A60">
        <w:rPr>
          <w:sz w:val="26"/>
          <w:szCs w:val="26"/>
        </w:rPr>
        <w:t xml:space="preserve">cost allocation </w:t>
      </w:r>
      <w:r w:rsidR="00D8711E">
        <w:rPr>
          <w:sz w:val="26"/>
          <w:szCs w:val="26"/>
        </w:rPr>
        <w:t xml:space="preserve">process tariff provisions?  Similarly, </w:t>
      </w:r>
      <w:r w:rsidRPr="00D8711E" w:rsidR="00D8711E">
        <w:rPr>
          <w:sz w:val="26"/>
          <w:szCs w:val="26"/>
        </w:rPr>
        <w:t xml:space="preserve">should such requirements be incorporated into </w:t>
      </w:r>
      <w:r w:rsidR="00360AC7">
        <w:rPr>
          <w:sz w:val="26"/>
          <w:szCs w:val="26"/>
        </w:rPr>
        <w:t>FERC-</w:t>
      </w:r>
      <w:r w:rsidRPr="00D8711E" w:rsidR="00D8711E">
        <w:rPr>
          <w:sz w:val="26"/>
          <w:szCs w:val="26"/>
        </w:rPr>
        <w:t xml:space="preserve">jurisdictional </w:t>
      </w:r>
      <w:r w:rsidR="00D8711E">
        <w:rPr>
          <w:sz w:val="26"/>
          <w:szCs w:val="26"/>
        </w:rPr>
        <w:t>resource adequacy tariff provisions</w:t>
      </w:r>
      <w:r w:rsidR="00DE78DC">
        <w:rPr>
          <w:sz w:val="26"/>
          <w:szCs w:val="26"/>
        </w:rPr>
        <w:t xml:space="preserve">? </w:t>
      </w:r>
    </w:p>
    <w:p w:rsidR="007F7633" w:rsidP="007F7633" w:rsidRDefault="007F7633" w14:paraId="30826FEB" w14:textId="77777777">
      <w:pPr>
        <w:pStyle w:val="Default"/>
        <w:ind w:left="720"/>
        <w:rPr>
          <w:sz w:val="26"/>
          <w:szCs w:val="26"/>
        </w:rPr>
      </w:pPr>
    </w:p>
    <w:p w:rsidRPr="00C05FAE" w:rsidR="00DE78DC" w:rsidP="00C05FAE" w:rsidRDefault="00C05FAE" w14:paraId="1C624E04" w14:textId="62ABB61C">
      <w:pPr>
        <w:pStyle w:val="Default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>Several panelists at the technical conferenc</w:t>
      </w:r>
      <w:r w:rsidR="00DE7BB6">
        <w:rPr>
          <w:sz w:val="26"/>
          <w:szCs w:val="26"/>
        </w:rPr>
        <w:t>e suggested that greater use of probabilistic approaches could provide a more robust approach to accounting for extreme weather.</w:t>
      </w:r>
      <w:r w:rsidR="00B74190">
        <w:rPr>
          <w:rStyle w:val="FootnoteReference"/>
          <w:szCs w:val="26"/>
        </w:rPr>
        <w:footnoteReference w:id="4"/>
      </w:r>
      <w:r w:rsidR="00DE7BB6">
        <w:rPr>
          <w:sz w:val="26"/>
          <w:szCs w:val="26"/>
        </w:rPr>
        <w:t xml:space="preserve">  </w:t>
      </w:r>
      <w:r w:rsidR="00D8711E">
        <w:rPr>
          <w:sz w:val="26"/>
          <w:szCs w:val="26"/>
        </w:rPr>
        <w:t xml:space="preserve">Would incorporating </w:t>
      </w:r>
      <w:r w:rsidRPr="00565130" w:rsidR="00565130">
        <w:rPr>
          <w:sz w:val="26"/>
          <w:szCs w:val="26"/>
        </w:rPr>
        <w:t xml:space="preserve">probabilistic methods </w:t>
      </w:r>
      <w:r w:rsidR="00D8711E">
        <w:rPr>
          <w:sz w:val="26"/>
          <w:szCs w:val="26"/>
        </w:rPr>
        <w:t>into local transmission planning and</w:t>
      </w:r>
      <w:r w:rsidR="007F007B">
        <w:rPr>
          <w:sz w:val="26"/>
          <w:szCs w:val="26"/>
        </w:rPr>
        <w:t>/or</w:t>
      </w:r>
      <w:r w:rsidR="00D8711E">
        <w:rPr>
          <w:sz w:val="26"/>
          <w:szCs w:val="26"/>
        </w:rPr>
        <w:t xml:space="preserve"> regional transmission planning</w:t>
      </w:r>
      <w:r w:rsidR="007F007B">
        <w:rPr>
          <w:sz w:val="26"/>
          <w:szCs w:val="26"/>
        </w:rPr>
        <w:t>/</w:t>
      </w:r>
      <w:r w:rsidRPr="001A77C6" w:rsidR="001A77C6">
        <w:rPr>
          <w:sz w:val="26"/>
          <w:szCs w:val="26"/>
        </w:rPr>
        <w:t>cost allocation process</w:t>
      </w:r>
      <w:r w:rsidR="001A77C6">
        <w:rPr>
          <w:sz w:val="26"/>
          <w:szCs w:val="26"/>
        </w:rPr>
        <w:t>es</w:t>
      </w:r>
      <w:r w:rsidRPr="001A77C6" w:rsidR="001A77C6">
        <w:rPr>
          <w:sz w:val="26"/>
          <w:szCs w:val="26"/>
        </w:rPr>
        <w:t xml:space="preserve"> </w:t>
      </w:r>
      <w:r w:rsidRPr="00565130" w:rsidR="00565130">
        <w:rPr>
          <w:sz w:val="26"/>
          <w:szCs w:val="26"/>
        </w:rPr>
        <w:t xml:space="preserve">allow public utility transmission </w:t>
      </w:r>
      <w:r w:rsidR="001A77C6">
        <w:rPr>
          <w:sz w:val="26"/>
          <w:szCs w:val="26"/>
        </w:rPr>
        <w:t>providers</w:t>
      </w:r>
      <w:r w:rsidRPr="00565130" w:rsidR="00565130">
        <w:rPr>
          <w:sz w:val="26"/>
          <w:szCs w:val="26"/>
        </w:rPr>
        <w:t xml:space="preserve"> to more effectively assess low probability/high impact events </w:t>
      </w:r>
      <w:r w:rsidR="00825701">
        <w:rPr>
          <w:sz w:val="26"/>
          <w:szCs w:val="26"/>
        </w:rPr>
        <w:t>and</w:t>
      </w:r>
      <w:r w:rsidRPr="00565130" w:rsidR="00565130">
        <w:rPr>
          <w:sz w:val="26"/>
          <w:szCs w:val="26"/>
        </w:rPr>
        <w:t xml:space="preserve"> common mode </w:t>
      </w:r>
      <w:r w:rsidR="0019360F">
        <w:rPr>
          <w:sz w:val="26"/>
          <w:szCs w:val="26"/>
        </w:rPr>
        <w:t>failures</w:t>
      </w:r>
      <w:r w:rsidR="00D8711E">
        <w:rPr>
          <w:sz w:val="26"/>
          <w:szCs w:val="26"/>
        </w:rPr>
        <w:t>?</w:t>
      </w:r>
      <w:r w:rsidR="0019360F">
        <w:rPr>
          <w:rStyle w:val="FootnoteReference"/>
          <w:szCs w:val="26"/>
        </w:rPr>
        <w:footnoteReference w:id="5"/>
      </w:r>
      <w:r w:rsidR="00D8711E">
        <w:rPr>
          <w:sz w:val="26"/>
          <w:szCs w:val="26"/>
        </w:rPr>
        <w:t xml:space="preserve">  If so</w:t>
      </w:r>
      <w:r w:rsidRPr="00565130" w:rsidR="00565130">
        <w:rPr>
          <w:sz w:val="26"/>
          <w:szCs w:val="26"/>
        </w:rPr>
        <w:t xml:space="preserve">, </w:t>
      </w:r>
      <w:r w:rsidR="00D8711E">
        <w:rPr>
          <w:sz w:val="26"/>
          <w:szCs w:val="26"/>
        </w:rPr>
        <w:t xml:space="preserve">should </w:t>
      </w:r>
      <w:r w:rsidRPr="00565130" w:rsidR="00565130">
        <w:rPr>
          <w:sz w:val="26"/>
          <w:szCs w:val="26"/>
        </w:rPr>
        <w:t xml:space="preserve">such practices be incorporated into public utility transmission providers’ local </w:t>
      </w:r>
      <w:r w:rsidR="009279A4">
        <w:rPr>
          <w:sz w:val="26"/>
          <w:szCs w:val="26"/>
        </w:rPr>
        <w:t>transmission planning and/</w:t>
      </w:r>
      <w:r w:rsidRPr="00565130" w:rsidR="00565130">
        <w:rPr>
          <w:sz w:val="26"/>
          <w:szCs w:val="26"/>
        </w:rPr>
        <w:t>or regional transmission planning</w:t>
      </w:r>
      <w:r w:rsidR="009279A4">
        <w:rPr>
          <w:sz w:val="26"/>
          <w:szCs w:val="26"/>
        </w:rPr>
        <w:t>/</w:t>
      </w:r>
      <w:r w:rsidRPr="00565130" w:rsidR="00565130">
        <w:rPr>
          <w:sz w:val="26"/>
          <w:szCs w:val="26"/>
        </w:rPr>
        <w:t>cost allocation processes</w:t>
      </w:r>
      <w:r w:rsidR="00D8711E">
        <w:rPr>
          <w:sz w:val="26"/>
          <w:szCs w:val="26"/>
        </w:rPr>
        <w:t>?</w:t>
      </w:r>
      <w:r w:rsidRPr="00565130" w:rsidR="00565130">
        <w:rPr>
          <w:sz w:val="26"/>
          <w:szCs w:val="26"/>
        </w:rPr>
        <w:t xml:space="preserve"> </w:t>
      </w:r>
      <w:r w:rsidR="00D8711E">
        <w:rPr>
          <w:sz w:val="26"/>
          <w:szCs w:val="26"/>
        </w:rPr>
        <w:t xml:space="preserve"> </w:t>
      </w:r>
      <w:r>
        <w:rPr>
          <w:sz w:val="26"/>
          <w:szCs w:val="26"/>
        </w:rPr>
        <w:t>What</w:t>
      </w:r>
      <w:r w:rsidR="0027745F">
        <w:rPr>
          <w:sz w:val="26"/>
          <w:szCs w:val="26"/>
        </w:rPr>
        <w:t>, if any,</w:t>
      </w:r>
      <w:r>
        <w:rPr>
          <w:sz w:val="26"/>
          <w:szCs w:val="26"/>
        </w:rPr>
        <w:t xml:space="preserve"> </w:t>
      </w:r>
      <w:r w:rsidR="0027745F">
        <w:rPr>
          <w:sz w:val="26"/>
          <w:szCs w:val="26"/>
        </w:rPr>
        <w:t>jurisdictional tariff</w:t>
      </w:r>
      <w:r>
        <w:rPr>
          <w:sz w:val="26"/>
          <w:szCs w:val="26"/>
        </w:rPr>
        <w:t xml:space="preserve"> changes would be necessary to incorporate these practices into existing </w:t>
      </w:r>
      <w:r w:rsidR="0027745F">
        <w:rPr>
          <w:sz w:val="26"/>
          <w:szCs w:val="26"/>
        </w:rPr>
        <w:t xml:space="preserve">transmission planning and cost allocation </w:t>
      </w:r>
      <w:r>
        <w:rPr>
          <w:sz w:val="26"/>
          <w:szCs w:val="26"/>
        </w:rPr>
        <w:t xml:space="preserve">processes?  </w:t>
      </w:r>
      <w:r w:rsidRPr="00C05FAE" w:rsidR="00E45135">
        <w:rPr>
          <w:sz w:val="26"/>
          <w:szCs w:val="26"/>
        </w:rPr>
        <w:t xml:space="preserve">Similarly, should </w:t>
      </w:r>
      <w:r w:rsidRPr="00C05FAE" w:rsidR="00026657">
        <w:rPr>
          <w:sz w:val="26"/>
          <w:szCs w:val="26"/>
        </w:rPr>
        <w:t xml:space="preserve">such practices be incorporated into </w:t>
      </w:r>
      <w:r w:rsidRPr="00C05FAE" w:rsidR="00565130">
        <w:rPr>
          <w:sz w:val="26"/>
          <w:szCs w:val="26"/>
        </w:rPr>
        <w:t>any resource adequacy assessments carried out under FERC-jurisdictional tariff provisions</w:t>
      </w:r>
      <w:r w:rsidRPr="00C05FAE" w:rsidR="00DE78DC">
        <w:rPr>
          <w:sz w:val="26"/>
          <w:szCs w:val="26"/>
        </w:rPr>
        <w:t xml:space="preserve">? </w:t>
      </w:r>
    </w:p>
    <w:p w:rsidR="007F7633" w:rsidP="007F7633" w:rsidRDefault="007F7633" w14:paraId="51871C20" w14:textId="77777777">
      <w:pPr>
        <w:pStyle w:val="Default"/>
        <w:rPr>
          <w:sz w:val="26"/>
          <w:szCs w:val="26"/>
        </w:rPr>
      </w:pPr>
    </w:p>
    <w:p w:rsidRPr="00565130" w:rsidR="00DE78DC" w:rsidP="00565130" w:rsidRDefault="00C05FAE" w14:paraId="02579F1D" w14:textId="6426E7EA">
      <w:pPr>
        <w:pStyle w:val="ListParagraph"/>
        <w:numPr>
          <w:ilvl w:val="0"/>
          <w:numId w:val="23"/>
        </w:numPr>
        <w:rPr>
          <w:color w:val="000000"/>
          <w:szCs w:val="26"/>
        </w:rPr>
      </w:pPr>
      <w:r>
        <w:rPr>
          <w:color w:val="000000"/>
          <w:szCs w:val="26"/>
        </w:rPr>
        <w:t xml:space="preserve">At the technical conference, </w:t>
      </w:r>
      <w:r w:rsidR="00C4138C">
        <w:rPr>
          <w:color w:val="000000"/>
          <w:szCs w:val="26"/>
        </w:rPr>
        <w:t>panelists</w:t>
      </w:r>
      <w:r>
        <w:rPr>
          <w:color w:val="000000"/>
          <w:szCs w:val="26"/>
        </w:rPr>
        <w:t xml:space="preserve"> noted the importance of coordinating transfers across the seam</w:t>
      </w:r>
      <w:r w:rsidR="00BD2591">
        <w:rPr>
          <w:color w:val="000000"/>
          <w:szCs w:val="26"/>
        </w:rPr>
        <w:t>s</w:t>
      </w:r>
      <w:r>
        <w:rPr>
          <w:color w:val="000000"/>
          <w:szCs w:val="26"/>
        </w:rPr>
        <w:t xml:space="preserve"> between </w:t>
      </w:r>
      <w:r w:rsidR="00DC75E9">
        <w:rPr>
          <w:color w:val="000000"/>
          <w:szCs w:val="26"/>
        </w:rPr>
        <w:t>Regional Transmission Organizations/Independent System Operators (</w:t>
      </w:r>
      <w:r>
        <w:rPr>
          <w:color w:val="000000"/>
          <w:szCs w:val="26"/>
        </w:rPr>
        <w:t>RTOs/ISOs</w:t>
      </w:r>
      <w:r w:rsidR="00DC75E9">
        <w:rPr>
          <w:color w:val="000000"/>
          <w:szCs w:val="26"/>
        </w:rPr>
        <w:t>)</w:t>
      </w:r>
      <w:r>
        <w:rPr>
          <w:color w:val="000000"/>
          <w:szCs w:val="26"/>
        </w:rPr>
        <w:t xml:space="preserve"> and non-RTO/ISO </w:t>
      </w:r>
      <w:r>
        <w:rPr>
          <w:color w:val="000000"/>
          <w:szCs w:val="26"/>
        </w:rPr>
        <w:lastRenderedPageBreak/>
        <w:t xml:space="preserve">areas to </w:t>
      </w:r>
      <w:r w:rsidRPr="00565130">
        <w:rPr>
          <w:color w:val="000000"/>
          <w:szCs w:val="26"/>
        </w:rPr>
        <w:t>both reduce costs and improve the resilience of the transmission grid</w:t>
      </w:r>
      <w:r>
        <w:rPr>
          <w:color w:val="000000"/>
          <w:szCs w:val="26"/>
        </w:rPr>
        <w:t xml:space="preserve"> during extreme weather events.</w:t>
      </w:r>
      <w:r w:rsidR="00393A9F">
        <w:rPr>
          <w:rStyle w:val="FootnoteReference"/>
          <w:color w:val="000000"/>
          <w:szCs w:val="26"/>
        </w:rPr>
        <w:footnoteReference w:id="6"/>
      </w:r>
      <w:r>
        <w:rPr>
          <w:color w:val="000000"/>
          <w:szCs w:val="26"/>
        </w:rPr>
        <w:t xml:space="preserve"> </w:t>
      </w:r>
      <w:r w:rsidR="00DC75E9">
        <w:rPr>
          <w:color w:val="000000"/>
          <w:szCs w:val="26"/>
        </w:rPr>
        <w:t xml:space="preserve"> </w:t>
      </w:r>
      <w:r w:rsidR="00C5474E">
        <w:rPr>
          <w:color w:val="000000"/>
          <w:szCs w:val="26"/>
        </w:rPr>
        <w:t xml:space="preserve">How do RTO/ISO and non-RTO/ISO transmission providers </w:t>
      </w:r>
      <w:r w:rsidR="00641C98">
        <w:rPr>
          <w:color w:val="000000"/>
          <w:szCs w:val="26"/>
        </w:rPr>
        <w:t xml:space="preserve">manage </w:t>
      </w:r>
      <w:r w:rsidR="00C5474E">
        <w:rPr>
          <w:color w:val="000000"/>
          <w:szCs w:val="26"/>
        </w:rPr>
        <w:t xml:space="preserve">congestion at system seams? </w:t>
      </w:r>
      <w:r w:rsidR="005C3817">
        <w:rPr>
          <w:color w:val="000000"/>
          <w:szCs w:val="26"/>
        </w:rPr>
        <w:t xml:space="preserve"> What </w:t>
      </w:r>
      <w:r w:rsidR="000E4CC6">
        <w:rPr>
          <w:color w:val="000000"/>
          <w:szCs w:val="26"/>
        </w:rPr>
        <w:t>are the</w:t>
      </w:r>
      <w:r w:rsidR="005C3817">
        <w:rPr>
          <w:color w:val="000000"/>
          <w:szCs w:val="26"/>
        </w:rPr>
        <w:t xml:space="preserve"> benefits and drawbacks of the current management regime, from the perspectives of cost</w:t>
      </w:r>
      <w:r w:rsidR="000E4CC6">
        <w:rPr>
          <w:color w:val="000000"/>
          <w:szCs w:val="26"/>
        </w:rPr>
        <w:t>,</w:t>
      </w:r>
      <w:r w:rsidR="005C3817">
        <w:rPr>
          <w:color w:val="000000"/>
          <w:szCs w:val="26"/>
        </w:rPr>
        <w:t xml:space="preserve"> resource participation</w:t>
      </w:r>
      <w:r w:rsidR="000E4CC6">
        <w:rPr>
          <w:color w:val="000000"/>
          <w:szCs w:val="26"/>
        </w:rPr>
        <w:t>, and ability to maximize reliability and other benefits of transmission service</w:t>
      </w:r>
      <w:r w:rsidR="00485091">
        <w:rPr>
          <w:color w:val="000000"/>
          <w:szCs w:val="26"/>
        </w:rPr>
        <w:t xml:space="preserve">? </w:t>
      </w:r>
      <w:r w:rsidR="00641C98">
        <w:rPr>
          <w:color w:val="000000"/>
          <w:szCs w:val="26"/>
        </w:rPr>
        <w:t xml:space="preserve"> </w:t>
      </w:r>
      <w:r w:rsidR="00E45135">
        <w:rPr>
          <w:color w:val="000000"/>
          <w:szCs w:val="26"/>
        </w:rPr>
        <w:t xml:space="preserve">Can more </w:t>
      </w:r>
      <w:r w:rsidRPr="00565130" w:rsidR="00565130">
        <w:rPr>
          <w:color w:val="000000"/>
          <w:szCs w:val="26"/>
        </w:rPr>
        <w:t>cost-effective congestion management at the border between RTOs/ISOs and neighboring non-RTO/ISO transmission providers</w:t>
      </w:r>
      <w:r w:rsidRPr="00E45135" w:rsidR="00E45135">
        <w:rPr>
          <w:color w:val="000000"/>
          <w:szCs w:val="26"/>
        </w:rPr>
        <w:t xml:space="preserve"> </w:t>
      </w:r>
      <w:r w:rsidR="00E45135">
        <w:rPr>
          <w:color w:val="000000"/>
          <w:szCs w:val="26"/>
        </w:rPr>
        <w:t xml:space="preserve">be facilitated through </w:t>
      </w:r>
      <w:r w:rsidRPr="00565130" w:rsidR="00E45135">
        <w:rPr>
          <w:color w:val="000000"/>
          <w:szCs w:val="26"/>
        </w:rPr>
        <w:t xml:space="preserve">new </w:t>
      </w:r>
      <w:r w:rsidRPr="00E45135" w:rsidR="00E45135">
        <w:rPr>
          <w:i/>
          <w:iCs/>
          <w:color w:val="000000"/>
          <w:szCs w:val="26"/>
        </w:rPr>
        <w:t>pro forma</w:t>
      </w:r>
      <w:r w:rsidRPr="00565130" w:rsidR="00E45135">
        <w:rPr>
          <w:color w:val="000000"/>
          <w:szCs w:val="26"/>
        </w:rPr>
        <w:t xml:space="preserve"> </w:t>
      </w:r>
      <w:r w:rsidR="00562465">
        <w:rPr>
          <w:color w:val="000000"/>
          <w:szCs w:val="26"/>
        </w:rPr>
        <w:t>Open Access Transmission Tariff (</w:t>
      </w:r>
      <w:r w:rsidRPr="00565130" w:rsidR="00E45135">
        <w:rPr>
          <w:color w:val="000000"/>
          <w:szCs w:val="26"/>
        </w:rPr>
        <w:t>OATT</w:t>
      </w:r>
      <w:r w:rsidR="00562465">
        <w:rPr>
          <w:color w:val="000000"/>
          <w:szCs w:val="26"/>
        </w:rPr>
        <w:t>)</w:t>
      </w:r>
      <w:r w:rsidRPr="00565130" w:rsidR="00E45135">
        <w:rPr>
          <w:color w:val="000000"/>
          <w:szCs w:val="26"/>
        </w:rPr>
        <w:t xml:space="preserve"> provisions</w:t>
      </w:r>
      <w:r w:rsidR="00E45135">
        <w:rPr>
          <w:color w:val="000000"/>
          <w:szCs w:val="26"/>
        </w:rPr>
        <w:t>?</w:t>
      </w:r>
      <w:r w:rsidRPr="00565130" w:rsidR="00565130">
        <w:rPr>
          <w:color w:val="000000"/>
          <w:szCs w:val="26"/>
        </w:rPr>
        <w:t xml:space="preserve">  </w:t>
      </w:r>
      <w:r w:rsidR="00DC75E9">
        <w:rPr>
          <w:color w:val="000000"/>
          <w:szCs w:val="26"/>
        </w:rPr>
        <w:t xml:space="preserve">If so, how could the </w:t>
      </w:r>
      <w:r w:rsidR="00DC75E9">
        <w:rPr>
          <w:i/>
          <w:iCs/>
          <w:color w:val="000000"/>
          <w:szCs w:val="26"/>
        </w:rPr>
        <w:t xml:space="preserve">pro forma </w:t>
      </w:r>
      <w:r w:rsidRPr="008F4666" w:rsidR="00DC75E9">
        <w:rPr>
          <w:color w:val="000000"/>
          <w:szCs w:val="26"/>
        </w:rPr>
        <w:t>OATT</w:t>
      </w:r>
      <w:r w:rsidR="00DC75E9">
        <w:rPr>
          <w:i/>
          <w:iCs/>
          <w:color w:val="000000"/>
          <w:szCs w:val="26"/>
        </w:rPr>
        <w:t xml:space="preserve"> </w:t>
      </w:r>
      <w:r w:rsidR="00DC75E9">
        <w:rPr>
          <w:color w:val="000000"/>
          <w:szCs w:val="26"/>
        </w:rPr>
        <w:t xml:space="preserve">be modified to achieve this enhanced coordination?  </w:t>
      </w:r>
      <w:r w:rsidR="00E45135">
        <w:rPr>
          <w:color w:val="000000"/>
          <w:szCs w:val="26"/>
        </w:rPr>
        <w:t xml:space="preserve">For example, </w:t>
      </w:r>
      <w:r w:rsidR="00562465">
        <w:rPr>
          <w:color w:val="000000"/>
          <w:szCs w:val="26"/>
        </w:rPr>
        <w:t xml:space="preserve">could existing </w:t>
      </w:r>
      <w:r w:rsidR="00562465">
        <w:rPr>
          <w:i/>
          <w:iCs/>
          <w:color w:val="000000"/>
          <w:szCs w:val="26"/>
        </w:rPr>
        <w:t xml:space="preserve">pro forma </w:t>
      </w:r>
      <w:r w:rsidR="00562465">
        <w:rPr>
          <w:color w:val="000000"/>
          <w:szCs w:val="26"/>
        </w:rPr>
        <w:t xml:space="preserve">OATT section 33.2 (Transmission Constraints), which permits a transmission provider to use redispatch to maintain reliability during transmission constraints, be modified to enhance coordination with a neighboring RTO/ISO during such redispatch?  </w:t>
      </w:r>
      <w:r w:rsidR="004F6013">
        <w:rPr>
          <w:color w:val="000000"/>
          <w:szCs w:val="26"/>
        </w:rPr>
        <w:t xml:space="preserve">Are there any other potential modifications to the </w:t>
      </w:r>
      <w:r w:rsidR="004F6013">
        <w:rPr>
          <w:i/>
          <w:iCs/>
          <w:color w:val="000000"/>
          <w:szCs w:val="26"/>
        </w:rPr>
        <w:t xml:space="preserve">pro forma </w:t>
      </w:r>
      <w:r w:rsidR="004F6013">
        <w:rPr>
          <w:color w:val="000000"/>
          <w:szCs w:val="26"/>
        </w:rPr>
        <w:t xml:space="preserve">OATT that might facilitate cost-effective congestion management at the </w:t>
      </w:r>
      <w:r w:rsidRPr="004F6013" w:rsidR="004F6013">
        <w:rPr>
          <w:color w:val="000000"/>
          <w:szCs w:val="26"/>
        </w:rPr>
        <w:t>border between RTOs/ISOs and neighboring non-RTO/ISO transmission providers</w:t>
      </w:r>
      <w:r w:rsidR="004F6013">
        <w:rPr>
          <w:color w:val="000000"/>
          <w:szCs w:val="26"/>
        </w:rPr>
        <w:t>?</w:t>
      </w:r>
      <w:r w:rsidRPr="004F6013" w:rsidR="004F6013">
        <w:rPr>
          <w:color w:val="000000"/>
          <w:szCs w:val="26"/>
        </w:rPr>
        <w:t xml:space="preserve"> </w:t>
      </w:r>
      <w:r w:rsidR="004F6013">
        <w:rPr>
          <w:color w:val="000000"/>
          <w:szCs w:val="26"/>
        </w:rPr>
        <w:t xml:space="preserve"> </w:t>
      </w:r>
      <w:r w:rsidR="000E092E">
        <w:rPr>
          <w:color w:val="000000"/>
          <w:szCs w:val="26"/>
        </w:rPr>
        <w:t xml:space="preserve">If so, please </w:t>
      </w:r>
      <w:r w:rsidR="00DC75E9">
        <w:rPr>
          <w:color w:val="000000"/>
          <w:szCs w:val="26"/>
        </w:rPr>
        <w:t>describe them in as much detail as possible</w:t>
      </w:r>
      <w:r w:rsidR="000E092E">
        <w:rPr>
          <w:color w:val="000000"/>
          <w:szCs w:val="26"/>
        </w:rPr>
        <w:t xml:space="preserve">.  </w:t>
      </w:r>
      <w:r w:rsidR="00562465">
        <w:rPr>
          <w:color w:val="000000"/>
          <w:szCs w:val="26"/>
        </w:rPr>
        <w:t>If such modifications were made</w:t>
      </w:r>
      <w:r w:rsidRPr="00562465" w:rsidR="00562465">
        <w:rPr>
          <w:color w:val="000000"/>
          <w:szCs w:val="26"/>
        </w:rPr>
        <w:t xml:space="preserve"> </w:t>
      </w:r>
      <w:r w:rsidR="00562465">
        <w:rPr>
          <w:color w:val="000000"/>
          <w:szCs w:val="26"/>
        </w:rPr>
        <w:t xml:space="preserve">to the </w:t>
      </w:r>
      <w:r w:rsidR="00562465">
        <w:rPr>
          <w:i/>
          <w:iCs/>
          <w:color w:val="000000"/>
          <w:szCs w:val="26"/>
        </w:rPr>
        <w:t xml:space="preserve">pro forma </w:t>
      </w:r>
      <w:r w:rsidR="00562465">
        <w:rPr>
          <w:color w:val="000000"/>
          <w:szCs w:val="26"/>
        </w:rPr>
        <w:t>OATT</w:t>
      </w:r>
      <w:r w:rsidRPr="00565130" w:rsidR="00565130">
        <w:rPr>
          <w:color w:val="000000"/>
          <w:szCs w:val="26"/>
        </w:rPr>
        <w:t xml:space="preserve">, </w:t>
      </w:r>
      <w:r w:rsidR="004F6013">
        <w:rPr>
          <w:color w:val="000000"/>
          <w:szCs w:val="26"/>
        </w:rPr>
        <w:t>c</w:t>
      </w:r>
      <w:r w:rsidRPr="00565130" w:rsidR="00565130">
        <w:rPr>
          <w:color w:val="000000"/>
          <w:szCs w:val="26"/>
        </w:rPr>
        <w:t xml:space="preserve">ould </w:t>
      </w:r>
      <w:r w:rsidR="004F6013">
        <w:rPr>
          <w:color w:val="000000"/>
          <w:szCs w:val="26"/>
        </w:rPr>
        <w:t xml:space="preserve">they also help improve </w:t>
      </w:r>
      <w:r w:rsidRPr="00565130" w:rsidR="00565130">
        <w:rPr>
          <w:color w:val="000000"/>
          <w:szCs w:val="26"/>
        </w:rPr>
        <w:t xml:space="preserve">coordination </w:t>
      </w:r>
      <w:r w:rsidR="004F6013">
        <w:rPr>
          <w:color w:val="000000"/>
          <w:szCs w:val="26"/>
        </w:rPr>
        <w:t>between RTOs/ISOs and</w:t>
      </w:r>
      <w:r w:rsidRPr="00565130" w:rsidR="00565130">
        <w:rPr>
          <w:color w:val="000000"/>
          <w:szCs w:val="26"/>
        </w:rPr>
        <w:t xml:space="preserve"> non-jurisdictional entities </w:t>
      </w:r>
      <w:r w:rsidR="004F6013">
        <w:rPr>
          <w:color w:val="000000"/>
          <w:szCs w:val="26"/>
        </w:rPr>
        <w:t>through their inclusion in the reciprocity tariffs that are voluntarily filed by some non-jurisdictional entities</w:t>
      </w:r>
      <w:r w:rsidRPr="00565130" w:rsidR="00DE78DC">
        <w:rPr>
          <w:szCs w:val="26"/>
        </w:rPr>
        <w:t xml:space="preserve">? </w:t>
      </w:r>
      <w:r w:rsidR="000E092E">
        <w:rPr>
          <w:szCs w:val="26"/>
        </w:rPr>
        <w:t xml:space="preserve"> What challenges would any such modifications need to address?</w:t>
      </w:r>
    </w:p>
    <w:p w:rsidR="007F7633" w:rsidP="007F7633" w:rsidRDefault="007F7633" w14:paraId="693D72E8" w14:textId="77777777">
      <w:pPr>
        <w:pStyle w:val="Default"/>
        <w:rPr>
          <w:sz w:val="26"/>
          <w:szCs w:val="26"/>
        </w:rPr>
      </w:pPr>
    </w:p>
    <w:p w:rsidR="00DE78DC" w:rsidP="007F7633" w:rsidRDefault="007274EF" w14:paraId="767FBCBA" w14:textId="56904FB3">
      <w:pPr>
        <w:pStyle w:val="Default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>RTOs/ISOs currentl</w:t>
      </w:r>
      <w:r w:rsidR="00A55751">
        <w:rPr>
          <w:sz w:val="26"/>
          <w:szCs w:val="26"/>
        </w:rPr>
        <w:t xml:space="preserve">y </w:t>
      </w:r>
      <w:r>
        <w:rPr>
          <w:sz w:val="26"/>
          <w:szCs w:val="26"/>
        </w:rPr>
        <w:t>have differ</w:t>
      </w:r>
      <w:r w:rsidR="00A55751">
        <w:rPr>
          <w:sz w:val="26"/>
          <w:szCs w:val="26"/>
        </w:rPr>
        <w:t>ing levels of</w:t>
      </w:r>
      <w:r>
        <w:rPr>
          <w:sz w:val="26"/>
          <w:szCs w:val="26"/>
        </w:rPr>
        <w:t xml:space="preserve"> authority to approve</w:t>
      </w:r>
      <w:r w:rsidR="00A55751">
        <w:rPr>
          <w:sz w:val="26"/>
          <w:szCs w:val="26"/>
        </w:rPr>
        <w:t xml:space="preserve"> or recall</w:t>
      </w:r>
      <w:r>
        <w:rPr>
          <w:sz w:val="26"/>
          <w:szCs w:val="26"/>
        </w:rPr>
        <w:t xml:space="preserve"> </w:t>
      </w:r>
      <w:r w:rsidR="00A55751">
        <w:rPr>
          <w:sz w:val="26"/>
          <w:szCs w:val="26"/>
        </w:rPr>
        <w:t>outages.</w:t>
      </w:r>
      <w:r w:rsidR="00A55751">
        <w:rPr>
          <w:rStyle w:val="FootnoteReference"/>
          <w:szCs w:val="26"/>
        </w:rPr>
        <w:footnoteReference w:id="7"/>
      </w:r>
      <w:r w:rsidR="00A55751">
        <w:rPr>
          <w:sz w:val="26"/>
          <w:szCs w:val="26"/>
        </w:rPr>
        <w:t xml:space="preserve">  </w:t>
      </w:r>
      <w:r w:rsidR="008967BB">
        <w:rPr>
          <w:sz w:val="26"/>
          <w:szCs w:val="26"/>
        </w:rPr>
        <w:t xml:space="preserve">Can </w:t>
      </w:r>
      <w:r w:rsidRPr="00565130" w:rsidR="00565130">
        <w:rPr>
          <w:sz w:val="26"/>
          <w:szCs w:val="26"/>
        </w:rPr>
        <w:t>generation and transmission outage scheduling practices be improved</w:t>
      </w:r>
      <w:r w:rsidR="002B01E1">
        <w:rPr>
          <w:sz w:val="26"/>
          <w:szCs w:val="26"/>
        </w:rPr>
        <w:t xml:space="preserve">?  </w:t>
      </w:r>
      <w:r w:rsidRPr="00565130" w:rsidR="00565130">
        <w:rPr>
          <w:sz w:val="26"/>
          <w:szCs w:val="26"/>
        </w:rPr>
        <w:t xml:space="preserve"> </w:t>
      </w:r>
      <w:r w:rsidR="00D36594">
        <w:rPr>
          <w:sz w:val="26"/>
          <w:szCs w:val="26"/>
        </w:rPr>
        <w:t>For example, should</w:t>
      </w:r>
      <w:r w:rsidRPr="00565130" w:rsidR="00565130">
        <w:rPr>
          <w:sz w:val="26"/>
          <w:szCs w:val="26"/>
        </w:rPr>
        <w:t xml:space="preserve"> </w:t>
      </w:r>
      <w:r w:rsidR="00D36594">
        <w:rPr>
          <w:sz w:val="26"/>
          <w:szCs w:val="26"/>
        </w:rPr>
        <w:t xml:space="preserve">RTOs/ISOs </w:t>
      </w:r>
      <w:r w:rsidR="002B01E1">
        <w:rPr>
          <w:sz w:val="26"/>
          <w:szCs w:val="26"/>
        </w:rPr>
        <w:t xml:space="preserve">have </w:t>
      </w:r>
      <w:r w:rsidRPr="00565130" w:rsidR="002B01E1">
        <w:rPr>
          <w:sz w:val="26"/>
          <w:szCs w:val="26"/>
        </w:rPr>
        <w:t xml:space="preserve">greater authority to deny </w:t>
      </w:r>
      <w:r w:rsidR="00241722">
        <w:rPr>
          <w:sz w:val="26"/>
          <w:szCs w:val="26"/>
        </w:rPr>
        <w:t xml:space="preserve">generation and transmission </w:t>
      </w:r>
      <w:r w:rsidRPr="00565130" w:rsidR="002B01E1">
        <w:rPr>
          <w:sz w:val="26"/>
          <w:szCs w:val="26"/>
        </w:rPr>
        <w:t>outage requests</w:t>
      </w:r>
      <w:r w:rsidR="002B01E1">
        <w:rPr>
          <w:sz w:val="26"/>
          <w:szCs w:val="26"/>
        </w:rPr>
        <w:t xml:space="preserve">, such as </w:t>
      </w:r>
      <w:r w:rsidR="00FB2995">
        <w:rPr>
          <w:sz w:val="26"/>
          <w:szCs w:val="26"/>
        </w:rPr>
        <w:t xml:space="preserve">having the ability </w:t>
      </w:r>
      <w:r w:rsidR="00D36594">
        <w:rPr>
          <w:sz w:val="26"/>
          <w:szCs w:val="26"/>
        </w:rPr>
        <w:t xml:space="preserve">to deny </w:t>
      </w:r>
      <w:r w:rsidR="00241722">
        <w:rPr>
          <w:sz w:val="26"/>
          <w:szCs w:val="26"/>
        </w:rPr>
        <w:t>such a request</w:t>
      </w:r>
      <w:r w:rsidR="00D36594">
        <w:rPr>
          <w:sz w:val="26"/>
          <w:szCs w:val="26"/>
        </w:rPr>
        <w:t xml:space="preserve"> </w:t>
      </w:r>
      <w:r w:rsidRPr="00565130" w:rsidR="00565130">
        <w:rPr>
          <w:sz w:val="26"/>
          <w:szCs w:val="26"/>
        </w:rPr>
        <w:t>based on estimated economic impact, as ISO</w:t>
      </w:r>
      <w:r w:rsidR="00D82AEC">
        <w:rPr>
          <w:sz w:val="26"/>
          <w:szCs w:val="26"/>
        </w:rPr>
        <w:t xml:space="preserve"> </w:t>
      </w:r>
      <w:r w:rsidR="0066435D">
        <w:rPr>
          <w:sz w:val="26"/>
          <w:szCs w:val="26"/>
        </w:rPr>
        <w:t>New England</w:t>
      </w:r>
      <w:r w:rsidRPr="00565130" w:rsidR="0066435D">
        <w:rPr>
          <w:sz w:val="26"/>
          <w:szCs w:val="26"/>
        </w:rPr>
        <w:t xml:space="preserve"> </w:t>
      </w:r>
      <w:r w:rsidR="0066435D">
        <w:rPr>
          <w:sz w:val="26"/>
          <w:szCs w:val="26"/>
        </w:rPr>
        <w:t xml:space="preserve">currently </w:t>
      </w:r>
      <w:r w:rsidR="00963628">
        <w:rPr>
          <w:sz w:val="26"/>
          <w:szCs w:val="26"/>
        </w:rPr>
        <w:t>ha</w:t>
      </w:r>
      <w:r w:rsidRPr="00565130" w:rsidR="00963628">
        <w:rPr>
          <w:sz w:val="26"/>
          <w:szCs w:val="26"/>
        </w:rPr>
        <w:t>s</w:t>
      </w:r>
      <w:r w:rsidR="00FB2995">
        <w:rPr>
          <w:sz w:val="26"/>
          <w:szCs w:val="26"/>
        </w:rPr>
        <w:t xml:space="preserve">?  </w:t>
      </w:r>
      <w:r w:rsidR="00241722">
        <w:rPr>
          <w:sz w:val="26"/>
          <w:szCs w:val="26"/>
        </w:rPr>
        <w:t>Similarly,</w:t>
      </w:r>
      <w:r w:rsidR="00FB2995">
        <w:rPr>
          <w:sz w:val="26"/>
          <w:szCs w:val="26"/>
        </w:rPr>
        <w:t xml:space="preserve"> should </w:t>
      </w:r>
      <w:r w:rsidRPr="00565130" w:rsidR="00565130">
        <w:rPr>
          <w:sz w:val="26"/>
          <w:szCs w:val="26"/>
        </w:rPr>
        <w:t xml:space="preserve">transmission owners </w:t>
      </w:r>
      <w:r w:rsidR="00FB2995">
        <w:rPr>
          <w:sz w:val="26"/>
          <w:szCs w:val="26"/>
        </w:rPr>
        <w:t xml:space="preserve">be given </w:t>
      </w:r>
      <w:r w:rsidRPr="00565130" w:rsidR="00565130">
        <w:rPr>
          <w:sz w:val="26"/>
          <w:szCs w:val="26"/>
        </w:rPr>
        <w:t xml:space="preserve">an incentive to schedule </w:t>
      </w:r>
      <w:r w:rsidR="008967BB">
        <w:rPr>
          <w:sz w:val="26"/>
          <w:szCs w:val="26"/>
        </w:rPr>
        <w:t xml:space="preserve">transmission </w:t>
      </w:r>
      <w:r w:rsidRPr="00565130" w:rsidR="00565130">
        <w:rPr>
          <w:sz w:val="26"/>
          <w:szCs w:val="26"/>
        </w:rPr>
        <w:t xml:space="preserve">outages more efficiently by making transmission owners responsible for uplift they cause from outages, as </w:t>
      </w:r>
      <w:r w:rsidR="0066435D">
        <w:rPr>
          <w:sz w:val="26"/>
          <w:szCs w:val="26"/>
        </w:rPr>
        <w:t>the New York Independent System Operator</w:t>
      </w:r>
      <w:r w:rsidRPr="00565130" w:rsidR="0066435D">
        <w:rPr>
          <w:sz w:val="26"/>
          <w:szCs w:val="26"/>
        </w:rPr>
        <w:t xml:space="preserve"> </w:t>
      </w:r>
      <w:r w:rsidR="0066435D">
        <w:rPr>
          <w:sz w:val="26"/>
          <w:szCs w:val="26"/>
        </w:rPr>
        <w:t xml:space="preserve">currently </w:t>
      </w:r>
      <w:r w:rsidRPr="00565130" w:rsidR="00565130">
        <w:rPr>
          <w:sz w:val="26"/>
          <w:szCs w:val="26"/>
        </w:rPr>
        <w:t>does</w:t>
      </w:r>
      <w:r w:rsidR="00DE78DC">
        <w:rPr>
          <w:sz w:val="26"/>
          <w:szCs w:val="26"/>
        </w:rPr>
        <w:t xml:space="preserve">? </w:t>
      </w:r>
      <w:r w:rsidR="002748BD">
        <w:rPr>
          <w:sz w:val="26"/>
          <w:szCs w:val="26"/>
        </w:rPr>
        <w:t xml:space="preserve"> </w:t>
      </w:r>
      <w:r w:rsidR="00A55751">
        <w:rPr>
          <w:sz w:val="26"/>
          <w:szCs w:val="26"/>
        </w:rPr>
        <w:t>Would such changes help system operators better prepare for or respond to extreme weather events?</w:t>
      </w:r>
    </w:p>
    <w:p w:rsidR="007F7633" w:rsidP="007F7633" w:rsidRDefault="007F7633" w14:paraId="6EC80D02" w14:textId="77777777">
      <w:pPr>
        <w:pStyle w:val="Default"/>
        <w:rPr>
          <w:sz w:val="26"/>
          <w:szCs w:val="26"/>
        </w:rPr>
      </w:pPr>
    </w:p>
    <w:p w:rsidR="00DE78DC" w:rsidP="007F7633" w:rsidRDefault="007274EF" w14:paraId="1D781752" w14:textId="1BED66F4">
      <w:pPr>
        <w:pStyle w:val="Default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>T</w:t>
      </w:r>
      <w:r w:rsidRPr="007274EF">
        <w:rPr>
          <w:sz w:val="26"/>
          <w:szCs w:val="26"/>
        </w:rPr>
        <w:t>ransmission topology optimization</w:t>
      </w:r>
      <w:r w:rsidR="00391E9D">
        <w:rPr>
          <w:sz w:val="26"/>
          <w:szCs w:val="26"/>
        </w:rPr>
        <w:t xml:space="preserve"> (also sometimes known as transmission switching)</w:t>
      </w:r>
      <w:r w:rsidRPr="007274EF">
        <w:rPr>
          <w:sz w:val="26"/>
          <w:szCs w:val="26"/>
        </w:rPr>
        <w:t xml:space="preserve"> involves dynamically modifying transmission topology as a component </w:t>
      </w:r>
      <w:r w:rsidRPr="007274EF">
        <w:rPr>
          <w:sz w:val="26"/>
          <w:szCs w:val="26"/>
        </w:rPr>
        <w:lastRenderedPageBreak/>
        <w:t>of determining optimal day-ahead and real-time energy market solutions.</w:t>
      </w:r>
      <w:r>
        <w:rPr>
          <w:rStyle w:val="FootnoteReference"/>
          <w:szCs w:val="26"/>
        </w:rPr>
        <w:footnoteReference w:id="8"/>
      </w:r>
      <w:r>
        <w:rPr>
          <w:sz w:val="26"/>
          <w:szCs w:val="26"/>
        </w:rPr>
        <w:t xml:space="preserve">  </w:t>
      </w:r>
      <w:r w:rsidR="008967BB">
        <w:rPr>
          <w:sz w:val="26"/>
          <w:szCs w:val="26"/>
        </w:rPr>
        <w:t xml:space="preserve">Should </w:t>
      </w:r>
      <w:r w:rsidRPr="00565130" w:rsidR="00565130">
        <w:rPr>
          <w:sz w:val="26"/>
          <w:szCs w:val="26"/>
        </w:rPr>
        <w:t xml:space="preserve">RTOs/ISOs be required to incorporate </w:t>
      </w:r>
      <w:r w:rsidR="008F03A9">
        <w:rPr>
          <w:sz w:val="26"/>
          <w:szCs w:val="26"/>
        </w:rPr>
        <w:t xml:space="preserve">transmission switching or </w:t>
      </w:r>
      <w:r w:rsidRPr="00565130" w:rsidR="00565130">
        <w:rPr>
          <w:sz w:val="26"/>
          <w:szCs w:val="26"/>
        </w:rPr>
        <w:t>transmission topology optimization in their day-ahead and real-time energy markets</w:t>
      </w:r>
      <w:r w:rsidR="00D36594">
        <w:rPr>
          <w:sz w:val="26"/>
          <w:szCs w:val="26"/>
        </w:rPr>
        <w:t>?</w:t>
      </w:r>
      <w:r w:rsidRPr="00565130" w:rsidR="00565130">
        <w:rPr>
          <w:sz w:val="26"/>
          <w:szCs w:val="26"/>
        </w:rPr>
        <w:t xml:space="preserve"> </w:t>
      </w:r>
      <w:r w:rsidR="00D36594">
        <w:rPr>
          <w:sz w:val="26"/>
          <w:szCs w:val="26"/>
        </w:rPr>
        <w:t>C</w:t>
      </w:r>
      <w:r w:rsidRPr="00565130" w:rsidR="00565130">
        <w:rPr>
          <w:sz w:val="26"/>
          <w:szCs w:val="26"/>
        </w:rPr>
        <w:t xml:space="preserve">ould </w:t>
      </w:r>
      <w:r w:rsidR="00D36594">
        <w:rPr>
          <w:sz w:val="26"/>
          <w:szCs w:val="26"/>
        </w:rPr>
        <w:t xml:space="preserve">the adoption of such optimization approaches </w:t>
      </w:r>
      <w:r w:rsidRPr="00565130" w:rsidR="00565130">
        <w:rPr>
          <w:sz w:val="26"/>
          <w:szCs w:val="26"/>
        </w:rPr>
        <w:t>both reduce costs and improve the resilience of the transmission grid</w:t>
      </w:r>
      <w:r w:rsidR="00DE78DC">
        <w:rPr>
          <w:sz w:val="26"/>
          <w:szCs w:val="26"/>
        </w:rPr>
        <w:t xml:space="preserve">? </w:t>
      </w:r>
    </w:p>
    <w:p w:rsidR="00DE78DC" w:rsidP="0003382F" w:rsidRDefault="00DE78DC" w14:paraId="232376FD" w14:textId="77777777">
      <w:pPr>
        <w:rPr>
          <w:b/>
          <w:bCs/>
        </w:rPr>
      </w:pPr>
    </w:p>
    <w:p w:rsidRPr="00D36594" w:rsidR="00DE78DC" w:rsidP="00D36594" w:rsidRDefault="00A55751" w14:paraId="30CBA781" w14:textId="08E117AE">
      <w:pPr>
        <w:pStyle w:val="Default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 xml:space="preserve">Panelists at the technical conference suggested that </w:t>
      </w:r>
      <w:r w:rsidR="00DE7BB6">
        <w:rPr>
          <w:sz w:val="26"/>
          <w:szCs w:val="26"/>
        </w:rPr>
        <w:t>current requirements for system performance under extreme weather scenarios may need to evolve</w:t>
      </w:r>
      <w:r>
        <w:rPr>
          <w:sz w:val="26"/>
          <w:szCs w:val="26"/>
        </w:rPr>
        <w:t>.</w:t>
      </w:r>
      <w:r w:rsidR="00DE7BB6">
        <w:rPr>
          <w:rStyle w:val="FootnoteReference"/>
          <w:szCs w:val="26"/>
        </w:rPr>
        <w:footnoteReference w:id="9"/>
      </w:r>
      <w:r>
        <w:rPr>
          <w:sz w:val="26"/>
          <w:szCs w:val="26"/>
        </w:rPr>
        <w:t xml:space="preserve"> </w:t>
      </w:r>
      <w:r w:rsidR="00CC60EF">
        <w:rPr>
          <w:sz w:val="26"/>
          <w:szCs w:val="26"/>
        </w:rPr>
        <w:t xml:space="preserve"> </w:t>
      </w:r>
      <w:r w:rsidR="008967BB">
        <w:rPr>
          <w:sz w:val="26"/>
          <w:szCs w:val="26"/>
        </w:rPr>
        <w:t xml:space="preserve">Should </w:t>
      </w:r>
      <w:r w:rsidRPr="00565130" w:rsidR="00565130">
        <w:rPr>
          <w:sz w:val="26"/>
          <w:szCs w:val="26"/>
        </w:rPr>
        <w:t xml:space="preserve">the transmission planning requirements established under </w:t>
      </w:r>
      <w:r w:rsidR="006A53C6">
        <w:rPr>
          <w:sz w:val="26"/>
          <w:szCs w:val="26"/>
        </w:rPr>
        <w:t>North American Electric Reliability Corporation (</w:t>
      </w:r>
      <w:r w:rsidRPr="00565130" w:rsidR="00565130">
        <w:rPr>
          <w:sz w:val="26"/>
          <w:szCs w:val="26"/>
        </w:rPr>
        <w:t>NERC</w:t>
      </w:r>
      <w:r w:rsidR="006A53C6">
        <w:rPr>
          <w:sz w:val="26"/>
          <w:szCs w:val="26"/>
        </w:rPr>
        <w:t>)</w:t>
      </w:r>
      <w:r w:rsidRPr="00565130" w:rsidR="00565130">
        <w:rPr>
          <w:sz w:val="26"/>
          <w:szCs w:val="26"/>
        </w:rPr>
        <w:t xml:space="preserve"> reliability standard TPL-001-4/5 be modified to better assess </w:t>
      </w:r>
      <w:r>
        <w:rPr>
          <w:sz w:val="26"/>
          <w:szCs w:val="26"/>
        </w:rPr>
        <w:t xml:space="preserve">and mitigate </w:t>
      </w:r>
      <w:r w:rsidRPr="00565130" w:rsidR="00565130">
        <w:rPr>
          <w:sz w:val="26"/>
          <w:szCs w:val="26"/>
        </w:rPr>
        <w:t>the risk of extreme weather events and associated common mode failures</w:t>
      </w:r>
      <w:r w:rsidR="00DE78DC">
        <w:rPr>
          <w:sz w:val="26"/>
          <w:szCs w:val="26"/>
        </w:rPr>
        <w:t xml:space="preserve">? </w:t>
      </w:r>
      <w:r w:rsidRPr="00D36594" w:rsidR="00D36594">
        <w:rPr>
          <w:sz w:val="26"/>
          <w:szCs w:val="26"/>
        </w:rPr>
        <w:t xml:space="preserve">Should any additional changes be considered to the NERC </w:t>
      </w:r>
      <w:r w:rsidR="008425BE">
        <w:rPr>
          <w:sz w:val="26"/>
          <w:szCs w:val="26"/>
        </w:rPr>
        <w:t>R</w:t>
      </w:r>
      <w:r w:rsidRPr="00D36594" w:rsidR="00D36594">
        <w:rPr>
          <w:sz w:val="26"/>
          <w:szCs w:val="26"/>
        </w:rPr>
        <w:t xml:space="preserve">eliability </w:t>
      </w:r>
      <w:r w:rsidR="008425BE">
        <w:rPr>
          <w:sz w:val="26"/>
          <w:szCs w:val="26"/>
        </w:rPr>
        <w:t>S</w:t>
      </w:r>
      <w:r w:rsidRPr="00D36594" w:rsidR="00D36594">
        <w:rPr>
          <w:sz w:val="26"/>
          <w:szCs w:val="26"/>
        </w:rPr>
        <w:t xml:space="preserve">tandards to address </w:t>
      </w:r>
      <w:r w:rsidR="00D36594">
        <w:rPr>
          <w:sz w:val="26"/>
          <w:szCs w:val="26"/>
        </w:rPr>
        <w:t xml:space="preserve">the risk of </w:t>
      </w:r>
      <w:r w:rsidRPr="00D36594" w:rsidR="00D36594">
        <w:rPr>
          <w:sz w:val="26"/>
          <w:szCs w:val="26"/>
        </w:rPr>
        <w:t>extreme weather</w:t>
      </w:r>
      <w:r w:rsidR="00D36594">
        <w:rPr>
          <w:sz w:val="26"/>
          <w:szCs w:val="26"/>
        </w:rPr>
        <w:t xml:space="preserve"> events</w:t>
      </w:r>
      <w:r w:rsidRPr="00D36594" w:rsidR="00D36594">
        <w:rPr>
          <w:sz w:val="26"/>
          <w:szCs w:val="26"/>
        </w:rPr>
        <w:t>?</w:t>
      </w:r>
    </w:p>
    <w:p w:rsidR="007F7633" w:rsidP="007F7633" w:rsidRDefault="007F7633" w14:paraId="47631602" w14:textId="77777777">
      <w:pPr>
        <w:pStyle w:val="Default"/>
        <w:ind w:left="720"/>
        <w:rPr>
          <w:sz w:val="26"/>
          <w:szCs w:val="26"/>
        </w:rPr>
      </w:pPr>
    </w:p>
    <w:p w:rsidRPr="00C05FAE" w:rsidR="00C05FAE" w:rsidP="00C05FAE" w:rsidRDefault="00C05FAE" w14:paraId="41E4A52D" w14:textId="7651170B">
      <w:pPr>
        <w:pStyle w:val="ListParagraph"/>
        <w:numPr>
          <w:ilvl w:val="0"/>
          <w:numId w:val="23"/>
        </w:numPr>
      </w:pPr>
      <w:r>
        <w:rPr>
          <w:szCs w:val="26"/>
        </w:rPr>
        <w:t>Multiple panelists at the conference emphasize</w:t>
      </w:r>
      <w:r w:rsidR="007274EF">
        <w:rPr>
          <w:szCs w:val="26"/>
        </w:rPr>
        <w:t>d</w:t>
      </w:r>
      <w:r>
        <w:rPr>
          <w:szCs w:val="26"/>
        </w:rPr>
        <w:t xml:space="preserve"> th</w:t>
      </w:r>
      <w:r w:rsidR="007274EF">
        <w:rPr>
          <w:szCs w:val="26"/>
        </w:rPr>
        <w:t xml:space="preserve">e need </w:t>
      </w:r>
      <w:r w:rsidR="00AA17F7">
        <w:rPr>
          <w:szCs w:val="26"/>
        </w:rPr>
        <w:t xml:space="preserve">to establish a requirement </w:t>
      </w:r>
      <w:r w:rsidR="007274EF">
        <w:rPr>
          <w:szCs w:val="26"/>
        </w:rPr>
        <w:t xml:space="preserve">for </w:t>
      </w:r>
      <w:r>
        <w:rPr>
          <w:szCs w:val="26"/>
        </w:rPr>
        <w:t xml:space="preserve">interregional transmission planning and </w:t>
      </w:r>
      <w:r w:rsidR="00E205CA">
        <w:rPr>
          <w:szCs w:val="26"/>
        </w:rPr>
        <w:t>improve existing interregi</w:t>
      </w:r>
      <w:r w:rsidR="004F27C8">
        <w:rPr>
          <w:szCs w:val="26"/>
        </w:rPr>
        <w:t>o</w:t>
      </w:r>
      <w:r w:rsidR="00E205CA">
        <w:rPr>
          <w:szCs w:val="26"/>
        </w:rPr>
        <w:t xml:space="preserve">nal </w:t>
      </w:r>
      <w:r>
        <w:rPr>
          <w:szCs w:val="26"/>
        </w:rPr>
        <w:t xml:space="preserve">cost allocation </w:t>
      </w:r>
      <w:r w:rsidR="00E205CA">
        <w:rPr>
          <w:szCs w:val="26"/>
        </w:rPr>
        <w:t xml:space="preserve">methods </w:t>
      </w:r>
      <w:r w:rsidR="007274EF">
        <w:rPr>
          <w:szCs w:val="26"/>
        </w:rPr>
        <w:t>to prepare</w:t>
      </w:r>
      <w:r>
        <w:rPr>
          <w:szCs w:val="26"/>
        </w:rPr>
        <w:t xml:space="preserve"> </w:t>
      </w:r>
      <w:r w:rsidR="00777055">
        <w:rPr>
          <w:szCs w:val="26"/>
        </w:rPr>
        <w:t xml:space="preserve">for </w:t>
      </w:r>
      <w:r>
        <w:rPr>
          <w:szCs w:val="26"/>
        </w:rPr>
        <w:t>extreme weather events.</w:t>
      </w:r>
      <w:r>
        <w:rPr>
          <w:rStyle w:val="FootnoteReference"/>
          <w:szCs w:val="26"/>
        </w:rPr>
        <w:footnoteReference w:id="10"/>
      </w:r>
      <w:r>
        <w:rPr>
          <w:szCs w:val="26"/>
        </w:rPr>
        <w:t xml:space="preserve">  </w:t>
      </w:r>
      <w:r w:rsidR="00A55751">
        <w:rPr>
          <w:szCs w:val="26"/>
        </w:rPr>
        <w:t xml:space="preserve">How can </w:t>
      </w:r>
      <w:r w:rsidR="00B56F80">
        <w:rPr>
          <w:szCs w:val="26"/>
        </w:rPr>
        <w:t xml:space="preserve">the </w:t>
      </w:r>
      <w:r w:rsidR="00A55751">
        <w:rPr>
          <w:szCs w:val="26"/>
        </w:rPr>
        <w:t xml:space="preserve">existing requirement </w:t>
      </w:r>
      <w:r w:rsidR="00B56F80">
        <w:rPr>
          <w:szCs w:val="26"/>
        </w:rPr>
        <w:t>to have an interregional transmission coordination (not planning) and cost allocation process</w:t>
      </w:r>
      <w:r w:rsidR="00A55751">
        <w:rPr>
          <w:szCs w:val="26"/>
        </w:rPr>
        <w:t xml:space="preserve"> be modified to better account for the benefits </w:t>
      </w:r>
      <w:r w:rsidR="00DE7BB6">
        <w:rPr>
          <w:szCs w:val="26"/>
        </w:rPr>
        <w:t>that interregional transmission facilities provide during extreme weather events?</w:t>
      </w:r>
      <w:r w:rsidR="00A55751">
        <w:rPr>
          <w:szCs w:val="26"/>
        </w:rPr>
        <w:t xml:space="preserve"> </w:t>
      </w:r>
      <w:r w:rsidR="00BA1A93">
        <w:rPr>
          <w:szCs w:val="26"/>
        </w:rPr>
        <w:t xml:space="preserve"> </w:t>
      </w:r>
      <w:r w:rsidR="00DE7BB6">
        <w:rPr>
          <w:szCs w:val="26"/>
        </w:rPr>
        <w:t>Would defining</w:t>
      </w:r>
      <w:r w:rsidR="008967BB">
        <w:rPr>
          <w:szCs w:val="26"/>
        </w:rPr>
        <w:t xml:space="preserve"> </w:t>
      </w:r>
      <w:r w:rsidRPr="00565130" w:rsidR="00565130">
        <w:rPr>
          <w:szCs w:val="26"/>
        </w:rPr>
        <w:t>a set of uniform transmission benefit metrics</w:t>
      </w:r>
      <w:r w:rsidR="00DE7BB6">
        <w:rPr>
          <w:szCs w:val="26"/>
        </w:rPr>
        <w:t xml:space="preserve"> </w:t>
      </w:r>
      <w:r w:rsidRPr="00565130" w:rsidR="00565130">
        <w:rPr>
          <w:szCs w:val="26"/>
        </w:rPr>
        <w:t xml:space="preserve">that can be used across regions in </w:t>
      </w:r>
      <w:r w:rsidR="00946308">
        <w:rPr>
          <w:szCs w:val="26"/>
        </w:rPr>
        <w:t xml:space="preserve">the interregional transmission coordination </w:t>
      </w:r>
      <w:r w:rsidRPr="00565130" w:rsidR="00565130">
        <w:rPr>
          <w:szCs w:val="26"/>
        </w:rPr>
        <w:t>and cost allocation</w:t>
      </w:r>
      <w:r w:rsidR="0066435D">
        <w:rPr>
          <w:szCs w:val="26"/>
        </w:rPr>
        <w:t xml:space="preserve"> </w:t>
      </w:r>
      <w:r w:rsidR="00946308">
        <w:rPr>
          <w:szCs w:val="26"/>
        </w:rPr>
        <w:t>processes</w:t>
      </w:r>
      <w:r w:rsidRPr="00565130" w:rsidR="00565130">
        <w:rPr>
          <w:szCs w:val="26"/>
        </w:rPr>
        <w:t xml:space="preserve"> help interregional transmission projects come to fruition</w:t>
      </w:r>
      <w:r w:rsidRPr="00565130" w:rsidR="00DE78DC">
        <w:rPr>
          <w:szCs w:val="26"/>
        </w:rPr>
        <w:t xml:space="preserve">? </w:t>
      </w:r>
      <w:r w:rsidR="008967BB">
        <w:rPr>
          <w:szCs w:val="26"/>
        </w:rPr>
        <w:t xml:space="preserve"> </w:t>
      </w:r>
      <w:r w:rsidR="00DE7BB6">
        <w:rPr>
          <w:szCs w:val="26"/>
        </w:rPr>
        <w:t>If so, p</w:t>
      </w:r>
      <w:r w:rsidR="008967BB">
        <w:rPr>
          <w:szCs w:val="26"/>
        </w:rPr>
        <w:t xml:space="preserve">lease propose such metrics in as much detail as possible.  </w:t>
      </w:r>
    </w:p>
    <w:p w:rsidR="00C05FAE" w:rsidP="00F31D1C" w:rsidRDefault="00C05FAE" w14:paraId="7BA185E3" w14:textId="77777777">
      <w:pPr>
        <w:pStyle w:val="ListParagraph"/>
      </w:pPr>
    </w:p>
    <w:p w:rsidRPr="00714AE6" w:rsidR="00DE78DC" w:rsidP="00C05FAE" w:rsidRDefault="00777055" w14:paraId="0FE5C39A" w14:textId="0DBBBDC8">
      <w:pPr>
        <w:pStyle w:val="ListParagraph"/>
        <w:numPr>
          <w:ilvl w:val="0"/>
          <w:numId w:val="23"/>
        </w:numPr>
      </w:pPr>
      <w:r>
        <w:t>Would having a target level of interregional transfer capacity help facilitate</w:t>
      </w:r>
      <w:r w:rsidR="00F05708">
        <w:t xml:space="preserve"> more effective</w:t>
      </w:r>
      <w:r>
        <w:t xml:space="preserve"> </w:t>
      </w:r>
      <w:r w:rsidR="00C939C3">
        <w:t xml:space="preserve">development of </w:t>
      </w:r>
      <w:r>
        <w:t xml:space="preserve">interregional transmission </w:t>
      </w:r>
      <w:r w:rsidR="00C939C3">
        <w:t>projects</w:t>
      </w:r>
      <w:r>
        <w:t xml:space="preserve">? </w:t>
      </w:r>
      <w:r w:rsidRPr="00714AE6" w:rsidR="008967BB">
        <w:t>Should</w:t>
      </w:r>
      <w:r w:rsidRPr="00714AE6" w:rsidR="00565130">
        <w:t xml:space="preserve"> minimum </w:t>
      </w:r>
      <w:r w:rsidRPr="00714AE6" w:rsidR="008967BB">
        <w:t>amounts</w:t>
      </w:r>
      <w:r w:rsidRPr="00714AE6" w:rsidR="00565130">
        <w:t xml:space="preserve"> </w:t>
      </w:r>
      <w:r w:rsidRPr="00714AE6" w:rsidR="003D2695">
        <w:t xml:space="preserve">of </w:t>
      </w:r>
      <w:r w:rsidRPr="00714AE6" w:rsidR="00565130">
        <w:t xml:space="preserve">interregional transmission transfer capability </w:t>
      </w:r>
      <w:r w:rsidRPr="00714AE6" w:rsidR="008967BB">
        <w:t>be required or encouraged as a way to improve the resilience of the power system?</w:t>
      </w:r>
      <w:r w:rsidR="00D36594">
        <w:rPr>
          <w:rStyle w:val="FootnoteReference"/>
          <w:color w:val="000000"/>
          <w:szCs w:val="26"/>
        </w:rPr>
        <w:footnoteReference w:id="11"/>
      </w:r>
      <w:r w:rsidRPr="00714AE6" w:rsidR="00D36594">
        <w:t xml:space="preserve"> </w:t>
      </w:r>
      <w:r w:rsidR="00B545B2">
        <w:t xml:space="preserve"> </w:t>
      </w:r>
      <w:r w:rsidRPr="00714AE6" w:rsidR="008967BB">
        <w:t xml:space="preserve">If so, how should such minimums be determined (e.g., a stated MW or percentage of load basis), and </w:t>
      </w:r>
      <w:r w:rsidRPr="00714AE6" w:rsidR="006A53C6">
        <w:t xml:space="preserve">how </w:t>
      </w:r>
      <w:r w:rsidRPr="00714AE6" w:rsidR="007B2A82">
        <w:t xml:space="preserve">specifically </w:t>
      </w:r>
      <w:r w:rsidRPr="00714AE6" w:rsidR="006A53C6">
        <w:t xml:space="preserve">should such minimum requirements be implemented </w:t>
      </w:r>
      <w:r w:rsidRPr="00714AE6" w:rsidR="006A53C6">
        <w:lastRenderedPageBreak/>
        <w:t>(e.g., NERC reliability standards or new tariff requirements)?</w:t>
      </w:r>
    </w:p>
    <w:p w:rsidR="007F7633" w:rsidP="007F7633" w:rsidRDefault="007F7633" w14:paraId="7E501A99" w14:textId="77777777">
      <w:pPr>
        <w:pStyle w:val="Default"/>
        <w:rPr>
          <w:sz w:val="26"/>
          <w:szCs w:val="26"/>
        </w:rPr>
      </w:pPr>
    </w:p>
    <w:p w:rsidR="00DE78DC" w:rsidP="007F7633" w:rsidRDefault="00A55751" w14:paraId="7C8DA636" w14:textId="5EB42832">
      <w:pPr>
        <w:pStyle w:val="Default"/>
        <w:numPr>
          <w:ilvl w:val="0"/>
          <w:numId w:val="23"/>
        </w:numPr>
        <w:rPr>
          <w:sz w:val="26"/>
          <w:szCs w:val="26"/>
        </w:rPr>
      </w:pPr>
      <w:r>
        <w:rPr>
          <w:sz w:val="26"/>
          <w:szCs w:val="26"/>
        </w:rPr>
        <w:t xml:space="preserve">Multiple panelists at the conference suggested that the current reliance on the </w:t>
      </w:r>
      <w:r w:rsidRPr="00565130">
        <w:rPr>
          <w:sz w:val="26"/>
          <w:szCs w:val="26"/>
        </w:rPr>
        <w:t>1 day in 10</w:t>
      </w:r>
      <w:r>
        <w:rPr>
          <w:sz w:val="26"/>
          <w:szCs w:val="26"/>
        </w:rPr>
        <w:t>-</w:t>
      </w:r>
      <w:r w:rsidRPr="00565130">
        <w:rPr>
          <w:sz w:val="26"/>
          <w:szCs w:val="26"/>
        </w:rPr>
        <w:t xml:space="preserve">year Loss of Load Expectation </w:t>
      </w:r>
      <w:r>
        <w:rPr>
          <w:sz w:val="26"/>
          <w:szCs w:val="26"/>
        </w:rPr>
        <w:t>is outmoded.</w:t>
      </w:r>
      <w:r>
        <w:rPr>
          <w:rStyle w:val="FootnoteReference"/>
          <w:szCs w:val="26"/>
        </w:rPr>
        <w:footnoteReference w:id="12"/>
      </w:r>
      <w:r>
        <w:rPr>
          <w:sz w:val="26"/>
          <w:szCs w:val="26"/>
        </w:rPr>
        <w:t xml:space="preserve">  </w:t>
      </w:r>
      <w:r w:rsidR="00AD2899">
        <w:rPr>
          <w:sz w:val="26"/>
          <w:szCs w:val="26"/>
        </w:rPr>
        <w:t>A</w:t>
      </w:r>
      <w:r w:rsidR="006A53C6">
        <w:rPr>
          <w:sz w:val="26"/>
          <w:szCs w:val="26"/>
        </w:rPr>
        <w:t xml:space="preserve">re there </w:t>
      </w:r>
      <w:r w:rsidRPr="00565130" w:rsidR="00565130">
        <w:rPr>
          <w:sz w:val="26"/>
          <w:szCs w:val="26"/>
        </w:rPr>
        <w:t xml:space="preserve">alternative resource adequacy planning approaches </w:t>
      </w:r>
      <w:r w:rsidR="006A53C6">
        <w:rPr>
          <w:sz w:val="26"/>
          <w:szCs w:val="26"/>
        </w:rPr>
        <w:t>that c</w:t>
      </w:r>
      <w:r w:rsidRPr="00565130" w:rsidR="00565130">
        <w:rPr>
          <w:sz w:val="26"/>
          <w:szCs w:val="26"/>
        </w:rPr>
        <w:t>ould be more robust alternative</w:t>
      </w:r>
      <w:r w:rsidR="006A53C6">
        <w:rPr>
          <w:sz w:val="26"/>
          <w:szCs w:val="26"/>
        </w:rPr>
        <w:t>s</w:t>
      </w:r>
      <w:r w:rsidRPr="00565130" w:rsidR="00565130">
        <w:rPr>
          <w:sz w:val="26"/>
          <w:szCs w:val="26"/>
        </w:rPr>
        <w:t xml:space="preserve"> to the use of the 1 day in 10</w:t>
      </w:r>
      <w:r w:rsidR="00604DDD">
        <w:rPr>
          <w:sz w:val="26"/>
          <w:szCs w:val="26"/>
        </w:rPr>
        <w:t>-</w:t>
      </w:r>
      <w:r w:rsidRPr="00565130" w:rsidR="00565130">
        <w:rPr>
          <w:sz w:val="26"/>
          <w:szCs w:val="26"/>
        </w:rPr>
        <w:t>year Loss of Load Expectation standard</w:t>
      </w:r>
      <w:r w:rsidR="006A53C6">
        <w:rPr>
          <w:sz w:val="26"/>
          <w:szCs w:val="26"/>
        </w:rPr>
        <w:t>?  Please describe such alternatives, including describing whether such alternatives have been used either in th</w:t>
      </w:r>
      <w:r w:rsidR="00777055">
        <w:rPr>
          <w:sz w:val="26"/>
          <w:szCs w:val="26"/>
        </w:rPr>
        <w:t>e United States</w:t>
      </w:r>
      <w:r w:rsidR="006A53C6">
        <w:rPr>
          <w:sz w:val="26"/>
          <w:szCs w:val="26"/>
        </w:rPr>
        <w:t xml:space="preserve"> or elsewhere.</w:t>
      </w:r>
    </w:p>
    <w:p w:rsidR="00DE78DC" w:rsidP="00DE78DC" w:rsidRDefault="00DE78DC" w14:paraId="612E5974" w14:textId="77777777">
      <w:pPr>
        <w:pStyle w:val="Default"/>
        <w:rPr>
          <w:sz w:val="26"/>
          <w:szCs w:val="26"/>
        </w:rPr>
      </w:pPr>
    </w:p>
    <w:sectPr w:rsidR="00DE78DC" w:rsidSect="00434E0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B594" w14:textId="77777777" w:rsidR="005C6F02" w:rsidRDefault="005C6F02" w:rsidP="0048020B">
      <w:r>
        <w:separator/>
      </w:r>
    </w:p>
  </w:endnote>
  <w:endnote w:type="continuationSeparator" w:id="0">
    <w:p w14:paraId="5777CCCF" w14:textId="77777777" w:rsidR="005C6F02" w:rsidRDefault="005C6F02" w:rsidP="0048020B">
      <w:r>
        <w:continuationSeparator/>
      </w:r>
    </w:p>
  </w:endnote>
  <w:endnote w:type="continuationNotice" w:id="1">
    <w:p w14:paraId="534A17B2" w14:textId="77777777" w:rsidR="005C6F02" w:rsidRDefault="005C6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9FC4" w14:textId="77777777" w:rsidR="008333EB" w:rsidRDefault="00833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BC3A" w14:textId="77777777" w:rsidR="008333EB" w:rsidRDefault="00833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2D88" w14:textId="77777777" w:rsidR="008333EB" w:rsidRDefault="00833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7D17" w14:textId="77777777" w:rsidR="005C6F02" w:rsidRDefault="005C6F02" w:rsidP="0048020B">
      <w:r>
        <w:separator/>
      </w:r>
    </w:p>
  </w:footnote>
  <w:footnote w:type="continuationSeparator" w:id="0">
    <w:p w14:paraId="4A9D5675" w14:textId="77777777" w:rsidR="005C6F02" w:rsidRDefault="005C6F02" w:rsidP="0048020B">
      <w:r>
        <w:continuationSeparator/>
      </w:r>
    </w:p>
  </w:footnote>
  <w:footnote w:type="continuationNotice" w:id="1">
    <w:p w14:paraId="5D82BAFD" w14:textId="77777777" w:rsidR="005C6F02" w:rsidRPr="00F8727E" w:rsidRDefault="005C6F02" w:rsidP="00F8727E">
      <w:pPr>
        <w:spacing w:line="14" w:lineRule="exact"/>
        <w:rPr>
          <w:sz w:val="2"/>
        </w:rPr>
      </w:pPr>
    </w:p>
  </w:footnote>
  <w:footnote w:id="2">
    <w:p w14:paraId="2DC8076B" w14:textId="2E27E48E" w:rsidR="008333EB" w:rsidRDefault="008333EB" w:rsidP="00434E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D74B8">
        <w:rPr>
          <w:rFonts w:eastAsia="Calibri"/>
          <w:i/>
          <w:iCs/>
        </w:rPr>
        <w:t>See</w:t>
      </w:r>
      <w:r w:rsidRPr="007D49EE">
        <w:rPr>
          <w:rFonts w:eastAsia="Calibri"/>
        </w:rPr>
        <w:t xml:space="preserve"> 18 CFR</w:t>
      </w:r>
      <w:r>
        <w:rPr>
          <w:rFonts w:eastAsia="Calibri"/>
        </w:rPr>
        <w:t xml:space="preserve"> </w:t>
      </w:r>
      <w:r w:rsidRPr="007D49EE">
        <w:rPr>
          <w:rFonts w:eastAsia="Calibri"/>
        </w:rPr>
        <w:t>385.2001(a)(1)(iii)</w:t>
      </w:r>
      <w:r>
        <w:rPr>
          <w:rFonts w:eastAsia="Calibri"/>
        </w:rPr>
        <w:t xml:space="preserve"> (2020).</w:t>
      </w:r>
    </w:p>
  </w:footnote>
  <w:footnote w:id="3">
    <w:p w14:paraId="592899A8" w14:textId="3407928E" w:rsidR="008333EB" w:rsidRDefault="008333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>
        <w:t xml:space="preserve">June 1 Tr. at 14 (Adam Smith); 17 (Jessica </w:t>
      </w:r>
      <w:proofErr w:type="spellStart"/>
      <w:r>
        <w:t>Hogle</w:t>
      </w:r>
      <w:proofErr w:type="spellEnd"/>
      <w:r>
        <w:t xml:space="preserve">); 55, 83 (Romany Webb); 79 (Derek </w:t>
      </w:r>
      <w:proofErr w:type="spellStart"/>
      <w:r>
        <w:t>Stenclik</w:t>
      </w:r>
      <w:proofErr w:type="spellEnd"/>
      <w:r>
        <w:t xml:space="preserve">). </w:t>
      </w:r>
    </w:p>
  </w:footnote>
  <w:footnote w:id="4">
    <w:p w14:paraId="5D6E43EB" w14:textId="218E28BB" w:rsidR="008333EB" w:rsidRDefault="008333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>
        <w:t xml:space="preserve">June 1 Tr. at 36-37, 81 (Lisa Barton); 53, 69-70 (Judy Chang); 79, 92 (Derek </w:t>
      </w:r>
      <w:proofErr w:type="spellStart"/>
      <w:r>
        <w:t>Stenclik</w:t>
      </w:r>
      <w:proofErr w:type="spellEnd"/>
      <w:r>
        <w:t xml:space="preserve">); 83 (Romany Webb); 119 (Richard Tabors); 129 (Neil Millar).  </w:t>
      </w:r>
    </w:p>
  </w:footnote>
  <w:footnote w:id="5">
    <w:p w14:paraId="4DD09463" w14:textId="0E30C3A4" w:rsidR="008333EB" w:rsidRDefault="008333EB">
      <w:pPr>
        <w:pStyle w:val="FootnoteText"/>
      </w:pPr>
      <w:r>
        <w:rPr>
          <w:rStyle w:val="FootnoteReference"/>
        </w:rPr>
        <w:footnoteRef/>
      </w:r>
      <w:r>
        <w:t xml:space="preserve"> As described in the March 15, 2021 Supplemental Notice of Technical Conference Inviting Comments in this proceeding, common mode failures occur </w:t>
      </w:r>
      <w:r w:rsidRPr="0019360F">
        <w:t xml:space="preserve">where, due to climate change or </w:t>
      </w:r>
      <w:r>
        <w:t xml:space="preserve">an </w:t>
      </w:r>
      <w:r w:rsidRPr="0019360F">
        <w:t>extreme weather event, a large number of facilities critical to electric reliability (e.g., generation resources, transmission lines, substations, and natural gas pipelines) experience outages or significant operational limitations, either simultaneously or in close succession</w:t>
      </w:r>
      <w:r>
        <w:t>.</w:t>
      </w:r>
    </w:p>
  </w:footnote>
  <w:footnote w:id="6">
    <w:p w14:paraId="75010B05" w14:textId="65BD4AEC" w:rsidR="008333EB" w:rsidRPr="00393A9F" w:rsidRDefault="008333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>
        <w:t>June 2 Tr. at 64, 66-67 (Renuka Chatterjee); 68 (Amanda Frazier); 153 (Dan Scripps); 66 (David Patton).</w:t>
      </w:r>
    </w:p>
  </w:footnote>
  <w:footnote w:id="7">
    <w:p w14:paraId="6BAA17C6" w14:textId="29F03A65" w:rsidR="008333EB" w:rsidRDefault="008333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>
        <w:t>June 2 Tr. at 21-23, 32 (Wesley Yeomans); 23-24 (Renuka Chatterjee); 30-31, 74-75 (David Patton).</w:t>
      </w:r>
    </w:p>
  </w:footnote>
  <w:footnote w:id="8">
    <w:p w14:paraId="4116D5F9" w14:textId="7FFCF56D" w:rsidR="008333EB" w:rsidRPr="00D96B98" w:rsidRDefault="008333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>
        <w:t xml:space="preserve">June 2 Tr. at 7(Amanda Frazier), 55 (Renuka Chatterjee), 55-57 (Mads </w:t>
      </w:r>
      <w:proofErr w:type="spellStart"/>
      <w:r>
        <w:t>Almassalkhi</w:t>
      </w:r>
      <w:proofErr w:type="spellEnd"/>
      <w:r>
        <w:t>), 58-59 (David Patton), 60-61 (Robin Broder-Hytowitz), 61-62 (Anne Hoskins), 94-96 (Charles Long), 97-98 (Daniel Brooks), 136 (Letha Tawney).</w:t>
      </w:r>
    </w:p>
  </w:footnote>
  <w:footnote w:id="9">
    <w:p w14:paraId="74E1F136" w14:textId="282DA039" w:rsidR="008333EB" w:rsidRDefault="008333EB">
      <w:pPr>
        <w:pStyle w:val="FootnoteText"/>
      </w:pPr>
      <w:r>
        <w:rPr>
          <w:rStyle w:val="FootnoteReference"/>
        </w:rPr>
        <w:footnoteRef/>
      </w:r>
      <w:r>
        <w:t xml:space="preserve"> June 1 Tr. at 138-40 (Mark </w:t>
      </w:r>
      <w:proofErr w:type="spellStart"/>
      <w:r>
        <w:t>Lauby</w:t>
      </w:r>
      <w:proofErr w:type="spellEnd"/>
      <w:r>
        <w:t xml:space="preserve">). </w:t>
      </w:r>
    </w:p>
  </w:footnote>
  <w:footnote w:id="10">
    <w:p w14:paraId="7803F441" w14:textId="12B6B034" w:rsidR="008333EB" w:rsidRDefault="008333EB">
      <w:pPr>
        <w:pStyle w:val="FootnoteText"/>
      </w:pPr>
      <w:r>
        <w:rPr>
          <w:rStyle w:val="FootnoteReference"/>
        </w:rPr>
        <w:footnoteRef/>
      </w:r>
      <w:r>
        <w:t xml:space="preserve"> June 2 Tr. at 64-66 (Renuka Chatterjee), 147 (Patricia Hoffman), 153 (Dan Scripps). </w:t>
      </w:r>
    </w:p>
  </w:footnote>
  <w:footnote w:id="11">
    <w:p w14:paraId="274B89E2" w14:textId="5F390B74" w:rsidR="008333EB" w:rsidRDefault="008333EB">
      <w:pPr>
        <w:pStyle w:val="FootnoteText"/>
      </w:pPr>
      <w:r>
        <w:rPr>
          <w:rStyle w:val="FootnoteReference"/>
        </w:rPr>
        <w:footnoteRef/>
      </w:r>
      <w:r>
        <w:t xml:space="preserve"> June 2 Tr. at 6</w:t>
      </w:r>
      <w:r w:rsidR="00C915B1">
        <w:t>4-66</w:t>
      </w:r>
      <w:r>
        <w:t xml:space="preserve"> (Renuka Chatterjee). </w:t>
      </w:r>
    </w:p>
  </w:footnote>
  <w:footnote w:id="12">
    <w:p w14:paraId="59AB0C28" w14:textId="199646BF" w:rsidR="008333EB" w:rsidRDefault="008333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>
        <w:t>June 1 Tr. at 85 (Judy Chang), 119 (Richard Tabors), 122-123 (Alison Si</w:t>
      </w:r>
      <w:r w:rsidR="00116DC7">
        <w:t>l</w:t>
      </w:r>
      <w:r>
        <w:t xml:space="preserve">verstein), 125 (Devin Hartman), 127 (Mark </w:t>
      </w:r>
      <w:proofErr w:type="spellStart"/>
      <w:r>
        <w:t>Lauby</w:t>
      </w:r>
      <w:proofErr w:type="spellEnd"/>
      <w:r>
        <w:t>).</w:t>
      </w:r>
      <w:r w:rsidDel="002F316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2B56" w14:textId="77777777" w:rsidR="008333EB" w:rsidRDefault="008333EB" w:rsidP="00407E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5445E53" w14:textId="77777777" w:rsidR="008333EB" w:rsidRDefault="008333EB" w:rsidP="00407EE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C314" w14:textId="52A10700" w:rsidR="008333EB" w:rsidRDefault="008333EB" w:rsidP="00434E02">
    <w:pPr>
      <w:pStyle w:val="Header"/>
      <w:tabs>
        <w:tab w:val="clear" w:pos="4680"/>
      </w:tabs>
      <w:spacing w:after="240"/>
    </w:pPr>
    <w:r>
      <w:t xml:space="preserve">Docket No. AD21-13-000 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- 1 -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5391" w14:textId="77777777" w:rsidR="008333EB" w:rsidRDefault="008333EB" w:rsidP="00EC3F5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926A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9AAD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D240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2AD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CEEC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24AF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D0A8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72DF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1D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3861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F6CD3"/>
    <w:multiLevelType w:val="hybridMultilevel"/>
    <w:tmpl w:val="64A0B718"/>
    <w:lvl w:ilvl="0" w:tplc="87ECED62">
      <w:start w:val="7"/>
      <w:numFmt w:val="bullet"/>
      <w:lvlText w:val="-"/>
      <w:lvlJc w:val="left"/>
      <w:pPr>
        <w:ind w:left="93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</w:abstractNum>
  <w:abstractNum w:abstractNumId="11" w15:restartNumberingAfterBreak="0">
    <w:nsid w:val="04E03F3A"/>
    <w:multiLevelType w:val="hybridMultilevel"/>
    <w:tmpl w:val="A544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240F1"/>
    <w:multiLevelType w:val="hybridMultilevel"/>
    <w:tmpl w:val="CFBE3900"/>
    <w:lvl w:ilvl="0" w:tplc="1FFE9ADE">
      <w:start w:val="7"/>
      <w:numFmt w:val="bullet"/>
      <w:lvlText w:val="-"/>
      <w:lvlJc w:val="left"/>
      <w:pPr>
        <w:ind w:left="9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240" w:hanging="360"/>
      </w:pPr>
      <w:rPr>
        <w:rFonts w:ascii="Wingdings" w:hAnsi="Wingdings" w:hint="default"/>
      </w:rPr>
    </w:lvl>
  </w:abstractNum>
  <w:abstractNum w:abstractNumId="13" w15:restartNumberingAfterBreak="0">
    <w:nsid w:val="13B11278"/>
    <w:multiLevelType w:val="hybridMultilevel"/>
    <w:tmpl w:val="8158AD8E"/>
    <w:lvl w:ilvl="0" w:tplc="B478E46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C7743"/>
    <w:multiLevelType w:val="hybridMultilevel"/>
    <w:tmpl w:val="98B49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64882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16194"/>
    <w:multiLevelType w:val="multilevel"/>
    <w:tmpl w:val="5F3ACA38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72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Roman"/>
      <w:lvlText w:val="(%8)"/>
      <w:lvlJc w:val="left"/>
      <w:pPr>
        <w:tabs>
          <w:tab w:val="num" w:pos="3240"/>
        </w:tabs>
        <w:ind w:left="3240" w:hanging="720"/>
      </w:pPr>
    </w:lvl>
    <w:lvl w:ilvl="8">
      <w:start w:val="1"/>
      <w:numFmt w:val="decimalZero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16" w15:restartNumberingAfterBreak="0">
    <w:nsid w:val="1E5A2883"/>
    <w:multiLevelType w:val="hybridMultilevel"/>
    <w:tmpl w:val="543635AE"/>
    <w:lvl w:ilvl="0" w:tplc="54246274">
      <w:start w:val="7"/>
      <w:numFmt w:val="bullet"/>
      <w:lvlText w:val="-"/>
      <w:lvlJc w:val="left"/>
      <w:pPr>
        <w:ind w:left="93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</w:abstractNum>
  <w:abstractNum w:abstractNumId="17" w15:restartNumberingAfterBreak="0">
    <w:nsid w:val="1F582E93"/>
    <w:multiLevelType w:val="hybridMultilevel"/>
    <w:tmpl w:val="A38CD86E"/>
    <w:lvl w:ilvl="0" w:tplc="AF1EB2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07DB6"/>
    <w:multiLevelType w:val="hybridMultilevel"/>
    <w:tmpl w:val="E264B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35A2"/>
    <w:multiLevelType w:val="hybridMultilevel"/>
    <w:tmpl w:val="9032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502FF"/>
    <w:multiLevelType w:val="multilevel"/>
    <w:tmpl w:val="B5FC19C8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6646187"/>
    <w:multiLevelType w:val="hybridMultilevel"/>
    <w:tmpl w:val="9DCC217A"/>
    <w:lvl w:ilvl="0" w:tplc="D43ED73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E760E5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06E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C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8DF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04AD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821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A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02B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A6248"/>
    <w:multiLevelType w:val="hybridMultilevel"/>
    <w:tmpl w:val="39F84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A48D3"/>
    <w:multiLevelType w:val="multilevel"/>
    <w:tmpl w:val="D4FA253C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D3B09D3"/>
    <w:multiLevelType w:val="hybridMultilevel"/>
    <w:tmpl w:val="CBA4F348"/>
    <w:lvl w:ilvl="0" w:tplc="A886A3F8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E4DD3"/>
    <w:multiLevelType w:val="hybridMultilevel"/>
    <w:tmpl w:val="ED2073C2"/>
    <w:lvl w:ilvl="0" w:tplc="D4323D40">
      <w:start w:val="1"/>
      <w:numFmt w:val="decimal"/>
      <w:pStyle w:val="Non-TOCStyl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1"/>
  </w:num>
  <w:num w:numId="13">
    <w:abstractNumId w:val="15"/>
  </w:num>
  <w:num w:numId="14">
    <w:abstractNumId w:val="23"/>
  </w:num>
  <w:num w:numId="15">
    <w:abstractNumId w:val="20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</w:num>
  <w:num w:numId="19">
    <w:abstractNumId w:val="16"/>
  </w:num>
  <w:num w:numId="20">
    <w:abstractNumId w:val="13"/>
  </w:num>
  <w:num w:numId="21">
    <w:abstractNumId w:val="25"/>
  </w:num>
  <w:num w:numId="22">
    <w:abstractNumId w:val="19"/>
  </w:num>
  <w:num w:numId="23">
    <w:abstractNumId w:val="14"/>
  </w:num>
  <w:num w:numId="24">
    <w:abstractNumId w:val="17"/>
  </w:num>
  <w:num w:numId="25">
    <w:abstractNumId w:val="11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02"/>
    <w:rsid w:val="00003340"/>
    <w:rsid w:val="000040F9"/>
    <w:rsid w:val="0000731D"/>
    <w:rsid w:val="00007E1F"/>
    <w:rsid w:val="00010D07"/>
    <w:rsid w:val="00010FA6"/>
    <w:rsid w:val="000118C8"/>
    <w:rsid w:val="000143AA"/>
    <w:rsid w:val="00017B62"/>
    <w:rsid w:val="0002042F"/>
    <w:rsid w:val="00022177"/>
    <w:rsid w:val="00022A33"/>
    <w:rsid w:val="0002355F"/>
    <w:rsid w:val="00026657"/>
    <w:rsid w:val="00026815"/>
    <w:rsid w:val="0003382F"/>
    <w:rsid w:val="000428C4"/>
    <w:rsid w:val="0004624A"/>
    <w:rsid w:val="000550DC"/>
    <w:rsid w:val="00055F5F"/>
    <w:rsid w:val="0006117F"/>
    <w:rsid w:val="00062BD8"/>
    <w:rsid w:val="0006486B"/>
    <w:rsid w:val="00070857"/>
    <w:rsid w:val="0007377C"/>
    <w:rsid w:val="0007636C"/>
    <w:rsid w:val="00081B84"/>
    <w:rsid w:val="0008478C"/>
    <w:rsid w:val="00084A31"/>
    <w:rsid w:val="0008543C"/>
    <w:rsid w:val="00086D98"/>
    <w:rsid w:val="0008778D"/>
    <w:rsid w:val="00092634"/>
    <w:rsid w:val="00094526"/>
    <w:rsid w:val="00097C05"/>
    <w:rsid w:val="000A3D2F"/>
    <w:rsid w:val="000A6835"/>
    <w:rsid w:val="000B2C2A"/>
    <w:rsid w:val="000B4124"/>
    <w:rsid w:val="000B59FF"/>
    <w:rsid w:val="000B7E62"/>
    <w:rsid w:val="000C0253"/>
    <w:rsid w:val="000C1FCA"/>
    <w:rsid w:val="000C4A0B"/>
    <w:rsid w:val="000C6869"/>
    <w:rsid w:val="000D0EE6"/>
    <w:rsid w:val="000D1D4B"/>
    <w:rsid w:val="000D1FB6"/>
    <w:rsid w:val="000D68EF"/>
    <w:rsid w:val="000D739B"/>
    <w:rsid w:val="000D7DD4"/>
    <w:rsid w:val="000D7E96"/>
    <w:rsid w:val="000E05ED"/>
    <w:rsid w:val="000E065C"/>
    <w:rsid w:val="000E0857"/>
    <w:rsid w:val="000E092E"/>
    <w:rsid w:val="000E167E"/>
    <w:rsid w:val="000E2BFA"/>
    <w:rsid w:val="000E4CC6"/>
    <w:rsid w:val="000F2DC1"/>
    <w:rsid w:val="000F372C"/>
    <w:rsid w:val="000F603B"/>
    <w:rsid w:val="000F6403"/>
    <w:rsid w:val="000F6C7F"/>
    <w:rsid w:val="00100E1B"/>
    <w:rsid w:val="00101107"/>
    <w:rsid w:val="00102736"/>
    <w:rsid w:val="0010290F"/>
    <w:rsid w:val="00104F76"/>
    <w:rsid w:val="00107A99"/>
    <w:rsid w:val="00116124"/>
    <w:rsid w:val="00116B55"/>
    <w:rsid w:val="00116DC7"/>
    <w:rsid w:val="00120603"/>
    <w:rsid w:val="001209EF"/>
    <w:rsid w:val="001236E4"/>
    <w:rsid w:val="00124C66"/>
    <w:rsid w:val="0012713F"/>
    <w:rsid w:val="00127478"/>
    <w:rsid w:val="001279B9"/>
    <w:rsid w:val="00130CCE"/>
    <w:rsid w:val="00132D57"/>
    <w:rsid w:val="00133A60"/>
    <w:rsid w:val="00137CF3"/>
    <w:rsid w:val="00140C2A"/>
    <w:rsid w:val="001421AA"/>
    <w:rsid w:val="00146A50"/>
    <w:rsid w:val="001520D4"/>
    <w:rsid w:val="001549DE"/>
    <w:rsid w:val="00154C7A"/>
    <w:rsid w:val="00161B77"/>
    <w:rsid w:val="0016531B"/>
    <w:rsid w:val="00166E5A"/>
    <w:rsid w:val="0017696A"/>
    <w:rsid w:val="0017701D"/>
    <w:rsid w:val="0018758C"/>
    <w:rsid w:val="00191617"/>
    <w:rsid w:val="0019292E"/>
    <w:rsid w:val="001931DA"/>
    <w:rsid w:val="0019360F"/>
    <w:rsid w:val="001960DD"/>
    <w:rsid w:val="001A2AF1"/>
    <w:rsid w:val="001A33D6"/>
    <w:rsid w:val="001A4185"/>
    <w:rsid w:val="001A563A"/>
    <w:rsid w:val="001A6AEF"/>
    <w:rsid w:val="001A77C6"/>
    <w:rsid w:val="001A7910"/>
    <w:rsid w:val="001B042B"/>
    <w:rsid w:val="001B1FE9"/>
    <w:rsid w:val="001B2311"/>
    <w:rsid w:val="001B2C6D"/>
    <w:rsid w:val="001B2DF9"/>
    <w:rsid w:val="001B362D"/>
    <w:rsid w:val="001B4FB2"/>
    <w:rsid w:val="001C0643"/>
    <w:rsid w:val="001C2FBB"/>
    <w:rsid w:val="001C5BB4"/>
    <w:rsid w:val="001C70B2"/>
    <w:rsid w:val="001D264B"/>
    <w:rsid w:val="001D3B0D"/>
    <w:rsid w:val="001D7927"/>
    <w:rsid w:val="001E59F9"/>
    <w:rsid w:val="001E7A8F"/>
    <w:rsid w:val="001F2D17"/>
    <w:rsid w:val="001F51A0"/>
    <w:rsid w:val="001F5CC6"/>
    <w:rsid w:val="00202BC3"/>
    <w:rsid w:val="00203911"/>
    <w:rsid w:val="002072CF"/>
    <w:rsid w:val="002103FD"/>
    <w:rsid w:val="00211765"/>
    <w:rsid w:val="002136E7"/>
    <w:rsid w:val="002206DB"/>
    <w:rsid w:val="002247AB"/>
    <w:rsid w:val="00224859"/>
    <w:rsid w:val="00225A12"/>
    <w:rsid w:val="002261B3"/>
    <w:rsid w:val="002276A5"/>
    <w:rsid w:val="0023043C"/>
    <w:rsid w:val="00231011"/>
    <w:rsid w:val="002318B6"/>
    <w:rsid w:val="00233CEF"/>
    <w:rsid w:val="00233FD0"/>
    <w:rsid w:val="002352B0"/>
    <w:rsid w:val="002354E4"/>
    <w:rsid w:val="0023742E"/>
    <w:rsid w:val="00240493"/>
    <w:rsid w:val="00241722"/>
    <w:rsid w:val="002464E8"/>
    <w:rsid w:val="0024769F"/>
    <w:rsid w:val="00250DFA"/>
    <w:rsid w:val="00253776"/>
    <w:rsid w:val="00255417"/>
    <w:rsid w:val="00257989"/>
    <w:rsid w:val="00260517"/>
    <w:rsid w:val="00262FED"/>
    <w:rsid w:val="00267328"/>
    <w:rsid w:val="002724D8"/>
    <w:rsid w:val="002748BD"/>
    <w:rsid w:val="00274963"/>
    <w:rsid w:val="00277027"/>
    <w:rsid w:val="0027745F"/>
    <w:rsid w:val="002817CE"/>
    <w:rsid w:val="00283AA6"/>
    <w:rsid w:val="0028432C"/>
    <w:rsid w:val="00284BF1"/>
    <w:rsid w:val="002857E2"/>
    <w:rsid w:val="00286EA8"/>
    <w:rsid w:val="002870A9"/>
    <w:rsid w:val="0028755E"/>
    <w:rsid w:val="00290ABD"/>
    <w:rsid w:val="00294C06"/>
    <w:rsid w:val="002A0B4A"/>
    <w:rsid w:val="002A34C1"/>
    <w:rsid w:val="002A562A"/>
    <w:rsid w:val="002A5C43"/>
    <w:rsid w:val="002A729E"/>
    <w:rsid w:val="002A7FB5"/>
    <w:rsid w:val="002B01E1"/>
    <w:rsid w:val="002B22F3"/>
    <w:rsid w:val="002B262D"/>
    <w:rsid w:val="002B35F2"/>
    <w:rsid w:val="002B52B8"/>
    <w:rsid w:val="002B6125"/>
    <w:rsid w:val="002B74C6"/>
    <w:rsid w:val="002C1E45"/>
    <w:rsid w:val="002C57E5"/>
    <w:rsid w:val="002C7704"/>
    <w:rsid w:val="002D1528"/>
    <w:rsid w:val="002D206A"/>
    <w:rsid w:val="002D358E"/>
    <w:rsid w:val="002D65B3"/>
    <w:rsid w:val="002D7D6B"/>
    <w:rsid w:val="002E4E8A"/>
    <w:rsid w:val="002F3167"/>
    <w:rsid w:val="002F52A9"/>
    <w:rsid w:val="00301D68"/>
    <w:rsid w:val="003031DA"/>
    <w:rsid w:val="00312651"/>
    <w:rsid w:val="003127F6"/>
    <w:rsid w:val="00313634"/>
    <w:rsid w:val="00322F05"/>
    <w:rsid w:val="00324F79"/>
    <w:rsid w:val="00327401"/>
    <w:rsid w:val="003324B9"/>
    <w:rsid w:val="003346EB"/>
    <w:rsid w:val="00335933"/>
    <w:rsid w:val="003370E4"/>
    <w:rsid w:val="00337816"/>
    <w:rsid w:val="003437BD"/>
    <w:rsid w:val="00343D67"/>
    <w:rsid w:val="003478CF"/>
    <w:rsid w:val="003508A7"/>
    <w:rsid w:val="00350E98"/>
    <w:rsid w:val="00350FC8"/>
    <w:rsid w:val="003520AD"/>
    <w:rsid w:val="00352A4A"/>
    <w:rsid w:val="00356733"/>
    <w:rsid w:val="003608E7"/>
    <w:rsid w:val="00360AA1"/>
    <w:rsid w:val="00360AC7"/>
    <w:rsid w:val="003620CD"/>
    <w:rsid w:val="003634FB"/>
    <w:rsid w:val="00364E6F"/>
    <w:rsid w:val="0036500A"/>
    <w:rsid w:val="00366A8A"/>
    <w:rsid w:val="003735AC"/>
    <w:rsid w:val="00374532"/>
    <w:rsid w:val="00374868"/>
    <w:rsid w:val="00375DF4"/>
    <w:rsid w:val="00376313"/>
    <w:rsid w:val="00381703"/>
    <w:rsid w:val="00383004"/>
    <w:rsid w:val="003830CE"/>
    <w:rsid w:val="00385E2D"/>
    <w:rsid w:val="00391E9D"/>
    <w:rsid w:val="00391F30"/>
    <w:rsid w:val="0039262E"/>
    <w:rsid w:val="00393575"/>
    <w:rsid w:val="003937F3"/>
    <w:rsid w:val="00393A9F"/>
    <w:rsid w:val="003A15D6"/>
    <w:rsid w:val="003A5145"/>
    <w:rsid w:val="003B0386"/>
    <w:rsid w:val="003B2445"/>
    <w:rsid w:val="003B2B33"/>
    <w:rsid w:val="003B342B"/>
    <w:rsid w:val="003B6A5F"/>
    <w:rsid w:val="003B7E9A"/>
    <w:rsid w:val="003B7F05"/>
    <w:rsid w:val="003C1777"/>
    <w:rsid w:val="003C2BA4"/>
    <w:rsid w:val="003C3A1E"/>
    <w:rsid w:val="003C505B"/>
    <w:rsid w:val="003C6F0F"/>
    <w:rsid w:val="003C71CF"/>
    <w:rsid w:val="003C789D"/>
    <w:rsid w:val="003D2695"/>
    <w:rsid w:val="003D385B"/>
    <w:rsid w:val="003D3CD1"/>
    <w:rsid w:val="003D416D"/>
    <w:rsid w:val="003D4A56"/>
    <w:rsid w:val="003D5827"/>
    <w:rsid w:val="003D7B2C"/>
    <w:rsid w:val="003E1917"/>
    <w:rsid w:val="003E259A"/>
    <w:rsid w:val="003E4D46"/>
    <w:rsid w:val="003E5211"/>
    <w:rsid w:val="003F17B0"/>
    <w:rsid w:val="003F31D2"/>
    <w:rsid w:val="003F3716"/>
    <w:rsid w:val="003F3DC0"/>
    <w:rsid w:val="003F4845"/>
    <w:rsid w:val="003F4DBE"/>
    <w:rsid w:val="003F557E"/>
    <w:rsid w:val="003F7CC5"/>
    <w:rsid w:val="00400960"/>
    <w:rsid w:val="00400D68"/>
    <w:rsid w:val="00401A63"/>
    <w:rsid w:val="00403F1C"/>
    <w:rsid w:val="004067AD"/>
    <w:rsid w:val="00407EE0"/>
    <w:rsid w:val="004141F8"/>
    <w:rsid w:val="00414806"/>
    <w:rsid w:val="0041798F"/>
    <w:rsid w:val="0042169D"/>
    <w:rsid w:val="00424B78"/>
    <w:rsid w:val="00426065"/>
    <w:rsid w:val="004335E8"/>
    <w:rsid w:val="0043381F"/>
    <w:rsid w:val="00434E02"/>
    <w:rsid w:val="00436A3E"/>
    <w:rsid w:val="00440D78"/>
    <w:rsid w:val="00441A2A"/>
    <w:rsid w:val="004420F6"/>
    <w:rsid w:val="0044359A"/>
    <w:rsid w:val="00444F65"/>
    <w:rsid w:val="004476C6"/>
    <w:rsid w:val="0045130C"/>
    <w:rsid w:val="00453578"/>
    <w:rsid w:val="00454A58"/>
    <w:rsid w:val="00455214"/>
    <w:rsid w:val="00456136"/>
    <w:rsid w:val="00456D5A"/>
    <w:rsid w:val="0045755F"/>
    <w:rsid w:val="0046133D"/>
    <w:rsid w:val="00472C9B"/>
    <w:rsid w:val="00473A5E"/>
    <w:rsid w:val="004758A9"/>
    <w:rsid w:val="00476273"/>
    <w:rsid w:val="00477399"/>
    <w:rsid w:val="004800DA"/>
    <w:rsid w:val="0048020B"/>
    <w:rsid w:val="00485091"/>
    <w:rsid w:val="004864DA"/>
    <w:rsid w:val="004872BC"/>
    <w:rsid w:val="004874A4"/>
    <w:rsid w:val="00494355"/>
    <w:rsid w:val="00494945"/>
    <w:rsid w:val="00495E07"/>
    <w:rsid w:val="00497F70"/>
    <w:rsid w:val="004A03E5"/>
    <w:rsid w:val="004A4E94"/>
    <w:rsid w:val="004A503D"/>
    <w:rsid w:val="004B141F"/>
    <w:rsid w:val="004B4A8D"/>
    <w:rsid w:val="004C0E28"/>
    <w:rsid w:val="004C190E"/>
    <w:rsid w:val="004C456B"/>
    <w:rsid w:val="004C4D5F"/>
    <w:rsid w:val="004D0279"/>
    <w:rsid w:val="004D35E8"/>
    <w:rsid w:val="004D503E"/>
    <w:rsid w:val="004D614C"/>
    <w:rsid w:val="004D6446"/>
    <w:rsid w:val="004E1DAE"/>
    <w:rsid w:val="004E25A6"/>
    <w:rsid w:val="004F205C"/>
    <w:rsid w:val="004F27C8"/>
    <w:rsid w:val="004F38A7"/>
    <w:rsid w:val="004F4838"/>
    <w:rsid w:val="004F5759"/>
    <w:rsid w:val="004F6013"/>
    <w:rsid w:val="004F6475"/>
    <w:rsid w:val="0050001C"/>
    <w:rsid w:val="005047DF"/>
    <w:rsid w:val="0050565A"/>
    <w:rsid w:val="00510A88"/>
    <w:rsid w:val="00513E14"/>
    <w:rsid w:val="005154C1"/>
    <w:rsid w:val="005160B9"/>
    <w:rsid w:val="005162AB"/>
    <w:rsid w:val="00521122"/>
    <w:rsid w:val="00522B5D"/>
    <w:rsid w:val="0052351B"/>
    <w:rsid w:val="005408BB"/>
    <w:rsid w:val="0054110A"/>
    <w:rsid w:val="0054112E"/>
    <w:rsid w:val="00541146"/>
    <w:rsid w:val="00542814"/>
    <w:rsid w:val="00545CC2"/>
    <w:rsid w:val="00546238"/>
    <w:rsid w:val="00547D3F"/>
    <w:rsid w:val="00552271"/>
    <w:rsid w:val="00552A11"/>
    <w:rsid w:val="005577D9"/>
    <w:rsid w:val="00561DA8"/>
    <w:rsid w:val="00562465"/>
    <w:rsid w:val="00562CB2"/>
    <w:rsid w:val="0056484F"/>
    <w:rsid w:val="00565130"/>
    <w:rsid w:val="00571D6D"/>
    <w:rsid w:val="00572F46"/>
    <w:rsid w:val="00574A02"/>
    <w:rsid w:val="00576A54"/>
    <w:rsid w:val="00577DC6"/>
    <w:rsid w:val="005816F4"/>
    <w:rsid w:val="00581BDF"/>
    <w:rsid w:val="0058468B"/>
    <w:rsid w:val="00585174"/>
    <w:rsid w:val="00585417"/>
    <w:rsid w:val="0059038C"/>
    <w:rsid w:val="005921E2"/>
    <w:rsid w:val="00594E87"/>
    <w:rsid w:val="005950E5"/>
    <w:rsid w:val="00596686"/>
    <w:rsid w:val="00597309"/>
    <w:rsid w:val="005A1772"/>
    <w:rsid w:val="005A4CD3"/>
    <w:rsid w:val="005A6F7C"/>
    <w:rsid w:val="005B132F"/>
    <w:rsid w:val="005B15EB"/>
    <w:rsid w:val="005B18B2"/>
    <w:rsid w:val="005B40A6"/>
    <w:rsid w:val="005C0180"/>
    <w:rsid w:val="005C01B7"/>
    <w:rsid w:val="005C3817"/>
    <w:rsid w:val="005C6F02"/>
    <w:rsid w:val="005D2A79"/>
    <w:rsid w:val="005D3004"/>
    <w:rsid w:val="005D3D39"/>
    <w:rsid w:val="005D787E"/>
    <w:rsid w:val="005D7AB0"/>
    <w:rsid w:val="005D7C39"/>
    <w:rsid w:val="005E13DF"/>
    <w:rsid w:val="005E28A1"/>
    <w:rsid w:val="005E387D"/>
    <w:rsid w:val="005E3B75"/>
    <w:rsid w:val="005E3D15"/>
    <w:rsid w:val="005E4C65"/>
    <w:rsid w:val="005F015A"/>
    <w:rsid w:val="005F2946"/>
    <w:rsid w:val="005F34C6"/>
    <w:rsid w:val="005F4318"/>
    <w:rsid w:val="005F4F8E"/>
    <w:rsid w:val="005F54A4"/>
    <w:rsid w:val="005F71D1"/>
    <w:rsid w:val="0060023B"/>
    <w:rsid w:val="0060035F"/>
    <w:rsid w:val="00604DDD"/>
    <w:rsid w:val="00607205"/>
    <w:rsid w:val="006074E4"/>
    <w:rsid w:val="00610172"/>
    <w:rsid w:val="006112D1"/>
    <w:rsid w:val="006112FA"/>
    <w:rsid w:val="006177F8"/>
    <w:rsid w:val="00620205"/>
    <w:rsid w:val="006217CB"/>
    <w:rsid w:val="00622D42"/>
    <w:rsid w:val="00622F63"/>
    <w:rsid w:val="00623402"/>
    <w:rsid w:val="00624B34"/>
    <w:rsid w:val="00625B93"/>
    <w:rsid w:val="00626AD6"/>
    <w:rsid w:val="006308E9"/>
    <w:rsid w:val="00631B48"/>
    <w:rsid w:val="00633563"/>
    <w:rsid w:val="0063618B"/>
    <w:rsid w:val="00636271"/>
    <w:rsid w:val="00641C98"/>
    <w:rsid w:val="00643C5A"/>
    <w:rsid w:val="006464E2"/>
    <w:rsid w:val="006502FA"/>
    <w:rsid w:val="00653D8D"/>
    <w:rsid w:val="00655A79"/>
    <w:rsid w:val="006602DC"/>
    <w:rsid w:val="0066396D"/>
    <w:rsid w:val="0066435D"/>
    <w:rsid w:val="00667B22"/>
    <w:rsid w:val="006710C1"/>
    <w:rsid w:val="0067304E"/>
    <w:rsid w:val="006745E5"/>
    <w:rsid w:val="00677A0E"/>
    <w:rsid w:val="00681181"/>
    <w:rsid w:val="00682099"/>
    <w:rsid w:val="00685A22"/>
    <w:rsid w:val="00687FD1"/>
    <w:rsid w:val="00694F3D"/>
    <w:rsid w:val="006955BA"/>
    <w:rsid w:val="006A18B6"/>
    <w:rsid w:val="006A1EDC"/>
    <w:rsid w:val="006A4342"/>
    <w:rsid w:val="006A53C6"/>
    <w:rsid w:val="006A5B0F"/>
    <w:rsid w:val="006A5ED6"/>
    <w:rsid w:val="006A5FF3"/>
    <w:rsid w:val="006B20EE"/>
    <w:rsid w:val="006B4826"/>
    <w:rsid w:val="006B5B8D"/>
    <w:rsid w:val="006B790E"/>
    <w:rsid w:val="006C111C"/>
    <w:rsid w:val="006C1614"/>
    <w:rsid w:val="006C1D8C"/>
    <w:rsid w:val="006C51D5"/>
    <w:rsid w:val="006D1E49"/>
    <w:rsid w:val="006D432E"/>
    <w:rsid w:val="006D5B0E"/>
    <w:rsid w:val="006E4894"/>
    <w:rsid w:val="006E6044"/>
    <w:rsid w:val="006E7512"/>
    <w:rsid w:val="006F0AFA"/>
    <w:rsid w:val="006F1B52"/>
    <w:rsid w:val="006F27A6"/>
    <w:rsid w:val="006F39A4"/>
    <w:rsid w:val="006F42DE"/>
    <w:rsid w:val="006F6181"/>
    <w:rsid w:val="0070417E"/>
    <w:rsid w:val="00705B33"/>
    <w:rsid w:val="0070615E"/>
    <w:rsid w:val="00706C4B"/>
    <w:rsid w:val="00710A58"/>
    <w:rsid w:val="007116AC"/>
    <w:rsid w:val="007124A2"/>
    <w:rsid w:val="007133ED"/>
    <w:rsid w:val="00714AE6"/>
    <w:rsid w:val="0071628A"/>
    <w:rsid w:val="007230D6"/>
    <w:rsid w:val="00723E4B"/>
    <w:rsid w:val="00724553"/>
    <w:rsid w:val="0072563F"/>
    <w:rsid w:val="007274EF"/>
    <w:rsid w:val="007328E4"/>
    <w:rsid w:val="00732CFA"/>
    <w:rsid w:val="00732E2C"/>
    <w:rsid w:val="00733398"/>
    <w:rsid w:val="00734468"/>
    <w:rsid w:val="00735ECF"/>
    <w:rsid w:val="007368A2"/>
    <w:rsid w:val="00736DE9"/>
    <w:rsid w:val="0073735A"/>
    <w:rsid w:val="0074045D"/>
    <w:rsid w:val="0074184B"/>
    <w:rsid w:val="0074223B"/>
    <w:rsid w:val="00742439"/>
    <w:rsid w:val="00743A10"/>
    <w:rsid w:val="00743FD1"/>
    <w:rsid w:val="007465A9"/>
    <w:rsid w:val="0075477B"/>
    <w:rsid w:val="00754A0D"/>
    <w:rsid w:val="007552C1"/>
    <w:rsid w:val="007555D3"/>
    <w:rsid w:val="007556B9"/>
    <w:rsid w:val="007562E2"/>
    <w:rsid w:val="007577C2"/>
    <w:rsid w:val="00762F2B"/>
    <w:rsid w:val="0076328E"/>
    <w:rsid w:val="0076561E"/>
    <w:rsid w:val="007661B0"/>
    <w:rsid w:val="00773353"/>
    <w:rsid w:val="00777055"/>
    <w:rsid w:val="007804B2"/>
    <w:rsid w:val="00780A45"/>
    <w:rsid w:val="00783842"/>
    <w:rsid w:val="007876E3"/>
    <w:rsid w:val="007928AD"/>
    <w:rsid w:val="00794724"/>
    <w:rsid w:val="00795201"/>
    <w:rsid w:val="007A0174"/>
    <w:rsid w:val="007A0BB2"/>
    <w:rsid w:val="007A5131"/>
    <w:rsid w:val="007A5925"/>
    <w:rsid w:val="007B2A82"/>
    <w:rsid w:val="007B4019"/>
    <w:rsid w:val="007B66A0"/>
    <w:rsid w:val="007B6E4E"/>
    <w:rsid w:val="007B71E9"/>
    <w:rsid w:val="007C1702"/>
    <w:rsid w:val="007C2D53"/>
    <w:rsid w:val="007C41D1"/>
    <w:rsid w:val="007C48C7"/>
    <w:rsid w:val="007C5E34"/>
    <w:rsid w:val="007C69D6"/>
    <w:rsid w:val="007D2CEB"/>
    <w:rsid w:val="007D3591"/>
    <w:rsid w:val="007D6683"/>
    <w:rsid w:val="007E6167"/>
    <w:rsid w:val="007E74C5"/>
    <w:rsid w:val="007F007B"/>
    <w:rsid w:val="007F0E34"/>
    <w:rsid w:val="007F32C6"/>
    <w:rsid w:val="007F6368"/>
    <w:rsid w:val="007F7633"/>
    <w:rsid w:val="007F7B7F"/>
    <w:rsid w:val="008043DE"/>
    <w:rsid w:val="0080498D"/>
    <w:rsid w:val="0080606A"/>
    <w:rsid w:val="008065F0"/>
    <w:rsid w:val="008067DA"/>
    <w:rsid w:val="00807C2F"/>
    <w:rsid w:val="008129C6"/>
    <w:rsid w:val="00812E0A"/>
    <w:rsid w:val="0081352B"/>
    <w:rsid w:val="008140C1"/>
    <w:rsid w:val="00814514"/>
    <w:rsid w:val="00814698"/>
    <w:rsid w:val="008237E2"/>
    <w:rsid w:val="008255E4"/>
    <w:rsid w:val="00825701"/>
    <w:rsid w:val="00827BAD"/>
    <w:rsid w:val="00830639"/>
    <w:rsid w:val="008309C9"/>
    <w:rsid w:val="00830BC7"/>
    <w:rsid w:val="008333EB"/>
    <w:rsid w:val="008335E3"/>
    <w:rsid w:val="00834DCB"/>
    <w:rsid w:val="00836673"/>
    <w:rsid w:val="00840C01"/>
    <w:rsid w:val="00840C42"/>
    <w:rsid w:val="0084167C"/>
    <w:rsid w:val="008425BE"/>
    <w:rsid w:val="00844F10"/>
    <w:rsid w:val="00845186"/>
    <w:rsid w:val="00845BBC"/>
    <w:rsid w:val="00847F2B"/>
    <w:rsid w:val="00850048"/>
    <w:rsid w:val="008513D8"/>
    <w:rsid w:val="00852C25"/>
    <w:rsid w:val="00855D43"/>
    <w:rsid w:val="008561D7"/>
    <w:rsid w:val="008579D8"/>
    <w:rsid w:val="008607B4"/>
    <w:rsid w:val="00860B22"/>
    <w:rsid w:val="00861074"/>
    <w:rsid w:val="008636FC"/>
    <w:rsid w:val="00863DB6"/>
    <w:rsid w:val="00867987"/>
    <w:rsid w:val="00870368"/>
    <w:rsid w:val="00871164"/>
    <w:rsid w:val="00872ABA"/>
    <w:rsid w:val="0087373E"/>
    <w:rsid w:val="00873BC6"/>
    <w:rsid w:val="008743B4"/>
    <w:rsid w:val="00874FB1"/>
    <w:rsid w:val="008771F4"/>
    <w:rsid w:val="00880902"/>
    <w:rsid w:val="008817F4"/>
    <w:rsid w:val="00881E3C"/>
    <w:rsid w:val="0088740E"/>
    <w:rsid w:val="00887FD7"/>
    <w:rsid w:val="00892A4E"/>
    <w:rsid w:val="00894A27"/>
    <w:rsid w:val="008967BB"/>
    <w:rsid w:val="00896A4C"/>
    <w:rsid w:val="00896EBA"/>
    <w:rsid w:val="0089797F"/>
    <w:rsid w:val="008A23C9"/>
    <w:rsid w:val="008A39F8"/>
    <w:rsid w:val="008B0B3A"/>
    <w:rsid w:val="008B32A9"/>
    <w:rsid w:val="008B4D2E"/>
    <w:rsid w:val="008C0083"/>
    <w:rsid w:val="008C2EDB"/>
    <w:rsid w:val="008C6B17"/>
    <w:rsid w:val="008C6C9A"/>
    <w:rsid w:val="008C701E"/>
    <w:rsid w:val="008D1B64"/>
    <w:rsid w:val="008D4162"/>
    <w:rsid w:val="008D4912"/>
    <w:rsid w:val="008D4E54"/>
    <w:rsid w:val="008D7AD8"/>
    <w:rsid w:val="008E4C89"/>
    <w:rsid w:val="008E51AF"/>
    <w:rsid w:val="008E548A"/>
    <w:rsid w:val="008E74A2"/>
    <w:rsid w:val="008F03A9"/>
    <w:rsid w:val="008F4B82"/>
    <w:rsid w:val="008F65DF"/>
    <w:rsid w:val="0090177B"/>
    <w:rsid w:val="009038FB"/>
    <w:rsid w:val="00903AC3"/>
    <w:rsid w:val="0090412E"/>
    <w:rsid w:val="00904536"/>
    <w:rsid w:val="0090478A"/>
    <w:rsid w:val="009102A7"/>
    <w:rsid w:val="00911D86"/>
    <w:rsid w:val="009144B5"/>
    <w:rsid w:val="009146F6"/>
    <w:rsid w:val="00915863"/>
    <w:rsid w:val="00916ED7"/>
    <w:rsid w:val="00922CDB"/>
    <w:rsid w:val="00922E70"/>
    <w:rsid w:val="00925A97"/>
    <w:rsid w:val="00926E69"/>
    <w:rsid w:val="009279A4"/>
    <w:rsid w:val="00930EF7"/>
    <w:rsid w:val="009317B8"/>
    <w:rsid w:val="009360D6"/>
    <w:rsid w:val="00936282"/>
    <w:rsid w:val="00936510"/>
    <w:rsid w:val="00941336"/>
    <w:rsid w:val="00942E3E"/>
    <w:rsid w:val="00945E92"/>
    <w:rsid w:val="00946308"/>
    <w:rsid w:val="009466EE"/>
    <w:rsid w:val="009575E1"/>
    <w:rsid w:val="00960BC7"/>
    <w:rsid w:val="00962129"/>
    <w:rsid w:val="009632C9"/>
    <w:rsid w:val="00963628"/>
    <w:rsid w:val="00963D36"/>
    <w:rsid w:val="00964625"/>
    <w:rsid w:val="009667EE"/>
    <w:rsid w:val="00971BD2"/>
    <w:rsid w:val="009720B6"/>
    <w:rsid w:val="0097316B"/>
    <w:rsid w:val="0097354A"/>
    <w:rsid w:val="00974FAA"/>
    <w:rsid w:val="00977184"/>
    <w:rsid w:val="0097718F"/>
    <w:rsid w:val="009802C9"/>
    <w:rsid w:val="00980804"/>
    <w:rsid w:val="0098297C"/>
    <w:rsid w:val="00984C8A"/>
    <w:rsid w:val="00985ABF"/>
    <w:rsid w:val="00991685"/>
    <w:rsid w:val="009927FA"/>
    <w:rsid w:val="00993572"/>
    <w:rsid w:val="009967F2"/>
    <w:rsid w:val="00997790"/>
    <w:rsid w:val="009A388B"/>
    <w:rsid w:val="009A3C9A"/>
    <w:rsid w:val="009A66D0"/>
    <w:rsid w:val="009B01FC"/>
    <w:rsid w:val="009B1BFE"/>
    <w:rsid w:val="009B2950"/>
    <w:rsid w:val="009B7367"/>
    <w:rsid w:val="009C198C"/>
    <w:rsid w:val="009C20D6"/>
    <w:rsid w:val="009C2C3B"/>
    <w:rsid w:val="009D121B"/>
    <w:rsid w:val="009D31D4"/>
    <w:rsid w:val="009D3F76"/>
    <w:rsid w:val="009D78F9"/>
    <w:rsid w:val="009D7EFE"/>
    <w:rsid w:val="009E0EA2"/>
    <w:rsid w:val="009E16BF"/>
    <w:rsid w:val="009E214D"/>
    <w:rsid w:val="009E2248"/>
    <w:rsid w:val="009E27D4"/>
    <w:rsid w:val="009E28EC"/>
    <w:rsid w:val="009E4841"/>
    <w:rsid w:val="009E78E7"/>
    <w:rsid w:val="009E7983"/>
    <w:rsid w:val="009F2E31"/>
    <w:rsid w:val="009F3F1F"/>
    <w:rsid w:val="009F4FB3"/>
    <w:rsid w:val="009F631E"/>
    <w:rsid w:val="009F6980"/>
    <w:rsid w:val="009F71D1"/>
    <w:rsid w:val="00A00DD6"/>
    <w:rsid w:val="00A017BA"/>
    <w:rsid w:val="00A01EFD"/>
    <w:rsid w:val="00A026DF"/>
    <w:rsid w:val="00A0301B"/>
    <w:rsid w:val="00A03A5F"/>
    <w:rsid w:val="00A04100"/>
    <w:rsid w:val="00A066DE"/>
    <w:rsid w:val="00A075C8"/>
    <w:rsid w:val="00A10B65"/>
    <w:rsid w:val="00A141E5"/>
    <w:rsid w:val="00A15581"/>
    <w:rsid w:val="00A1593F"/>
    <w:rsid w:val="00A15B57"/>
    <w:rsid w:val="00A2171A"/>
    <w:rsid w:val="00A21F92"/>
    <w:rsid w:val="00A241B9"/>
    <w:rsid w:val="00A2536F"/>
    <w:rsid w:val="00A263F4"/>
    <w:rsid w:val="00A26AF6"/>
    <w:rsid w:val="00A26D73"/>
    <w:rsid w:val="00A30AF9"/>
    <w:rsid w:val="00A30DB3"/>
    <w:rsid w:val="00A344A6"/>
    <w:rsid w:val="00A403E9"/>
    <w:rsid w:val="00A406DC"/>
    <w:rsid w:val="00A41119"/>
    <w:rsid w:val="00A4347E"/>
    <w:rsid w:val="00A4381E"/>
    <w:rsid w:val="00A439AC"/>
    <w:rsid w:val="00A4630E"/>
    <w:rsid w:val="00A47DE3"/>
    <w:rsid w:val="00A50253"/>
    <w:rsid w:val="00A5227A"/>
    <w:rsid w:val="00A55751"/>
    <w:rsid w:val="00A55A52"/>
    <w:rsid w:val="00A55DE0"/>
    <w:rsid w:val="00A57D42"/>
    <w:rsid w:val="00A605DB"/>
    <w:rsid w:val="00A60BBB"/>
    <w:rsid w:val="00A60C83"/>
    <w:rsid w:val="00A63A99"/>
    <w:rsid w:val="00A65F1E"/>
    <w:rsid w:val="00A6682C"/>
    <w:rsid w:val="00A739AD"/>
    <w:rsid w:val="00A80964"/>
    <w:rsid w:val="00A83111"/>
    <w:rsid w:val="00A84047"/>
    <w:rsid w:val="00A855AA"/>
    <w:rsid w:val="00A85982"/>
    <w:rsid w:val="00A90123"/>
    <w:rsid w:val="00A934C1"/>
    <w:rsid w:val="00A972FF"/>
    <w:rsid w:val="00A97F99"/>
    <w:rsid w:val="00AA17F7"/>
    <w:rsid w:val="00AA22FC"/>
    <w:rsid w:val="00AB0683"/>
    <w:rsid w:val="00AB1572"/>
    <w:rsid w:val="00AB179B"/>
    <w:rsid w:val="00AB197C"/>
    <w:rsid w:val="00AB199E"/>
    <w:rsid w:val="00AB2DA9"/>
    <w:rsid w:val="00AB4B28"/>
    <w:rsid w:val="00AB5052"/>
    <w:rsid w:val="00AB5560"/>
    <w:rsid w:val="00AC12DA"/>
    <w:rsid w:val="00AC58FC"/>
    <w:rsid w:val="00AD2899"/>
    <w:rsid w:val="00AD48BE"/>
    <w:rsid w:val="00AD5E69"/>
    <w:rsid w:val="00AD7AA1"/>
    <w:rsid w:val="00AE16EC"/>
    <w:rsid w:val="00AE61B8"/>
    <w:rsid w:val="00AE7B86"/>
    <w:rsid w:val="00AF2305"/>
    <w:rsid w:val="00AF2A93"/>
    <w:rsid w:val="00AF46AA"/>
    <w:rsid w:val="00AF5D98"/>
    <w:rsid w:val="00AF7307"/>
    <w:rsid w:val="00B02B19"/>
    <w:rsid w:val="00B03A57"/>
    <w:rsid w:val="00B044C6"/>
    <w:rsid w:val="00B05898"/>
    <w:rsid w:val="00B06DE2"/>
    <w:rsid w:val="00B11FF2"/>
    <w:rsid w:val="00B2222C"/>
    <w:rsid w:val="00B26221"/>
    <w:rsid w:val="00B27A34"/>
    <w:rsid w:val="00B34F63"/>
    <w:rsid w:val="00B35670"/>
    <w:rsid w:val="00B3723F"/>
    <w:rsid w:val="00B4012B"/>
    <w:rsid w:val="00B40EDB"/>
    <w:rsid w:val="00B43126"/>
    <w:rsid w:val="00B447CB"/>
    <w:rsid w:val="00B457DA"/>
    <w:rsid w:val="00B45FDA"/>
    <w:rsid w:val="00B5275C"/>
    <w:rsid w:val="00B53A21"/>
    <w:rsid w:val="00B53B49"/>
    <w:rsid w:val="00B5410D"/>
    <w:rsid w:val="00B545B2"/>
    <w:rsid w:val="00B548FA"/>
    <w:rsid w:val="00B54A0A"/>
    <w:rsid w:val="00B56F80"/>
    <w:rsid w:val="00B56FF3"/>
    <w:rsid w:val="00B57AFD"/>
    <w:rsid w:val="00B57EA9"/>
    <w:rsid w:val="00B641F8"/>
    <w:rsid w:val="00B64399"/>
    <w:rsid w:val="00B6699E"/>
    <w:rsid w:val="00B7228A"/>
    <w:rsid w:val="00B74190"/>
    <w:rsid w:val="00B76186"/>
    <w:rsid w:val="00B7662E"/>
    <w:rsid w:val="00B82086"/>
    <w:rsid w:val="00B82353"/>
    <w:rsid w:val="00B91263"/>
    <w:rsid w:val="00B927E5"/>
    <w:rsid w:val="00B975F3"/>
    <w:rsid w:val="00BA1166"/>
    <w:rsid w:val="00BA1A93"/>
    <w:rsid w:val="00BA1E11"/>
    <w:rsid w:val="00BB3B42"/>
    <w:rsid w:val="00BB69A5"/>
    <w:rsid w:val="00BC0EFB"/>
    <w:rsid w:val="00BC21EE"/>
    <w:rsid w:val="00BC46C3"/>
    <w:rsid w:val="00BC65D8"/>
    <w:rsid w:val="00BD08D3"/>
    <w:rsid w:val="00BD1415"/>
    <w:rsid w:val="00BD2591"/>
    <w:rsid w:val="00BD316B"/>
    <w:rsid w:val="00BD4653"/>
    <w:rsid w:val="00BD560B"/>
    <w:rsid w:val="00BD6475"/>
    <w:rsid w:val="00BD7800"/>
    <w:rsid w:val="00BE0DAF"/>
    <w:rsid w:val="00BE2499"/>
    <w:rsid w:val="00BE5CAA"/>
    <w:rsid w:val="00BE5DB9"/>
    <w:rsid w:val="00BE6721"/>
    <w:rsid w:val="00BF0271"/>
    <w:rsid w:val="00BF06DD"/>
    <w:rsid w:val="00BF12C4"/>
    <w:rsid w:val="00BF2C0E"/>
    <w:rsid w:val="00BF5E81"/>
    <w:rsid w:val="00BF65CA"/>
    <w:rsid w:val="00BF70B3"/>
    <w:rsid w:val="00C01123"/>
    <w:rsid w:val="00C013E7"/>
    <w:rsid w:val="00C03932"/>
    <w:rsid w:val="00C05FAE"/>
    <w:rsid w:val="00C05FDB"/>
    <w:rsid w:val="00C1110D"/>
    <w:rsid w:val="00C11A50"/>
    <w:rsid w:val="00C127B1"/>
    <w:rsid w:val="00C134B7"/>
    <w:rsid w:val="00C14DEE"/>
    <w:rsid w:val="00C15E87"/>
    <w:rsid w:val="00C175D0"/>
    <w:rsid w:val="00C17CF1"/>
    <w:rsid w:val="00C2018F"/>
    <w:rsid w:val="00C20949"/>
    <w:rsid w:val="00C2096B"/>
    <w:rsid w:val="00C21A8D"/>
    <w:rsid w:val="00C21E2C"/>
    <w:rsid w:val="00C22D8B"/>
    <w:rsid w:val="00C24DB0"/>
    <w:rsid w:val="00C26B1C"/>
    <w:rsid w:val="00C274AA"/>
    <w:rsid w:val="00C32965"/>
    <w:rsid w:val="00C3426D"/>
    <w:rsid w:val="00C41305"/>
    <w:rsid w:val="00C4138C"/>
    <w:rsid w:val="00C44ADA"/>
    <w:rsid w:val="00C46060"/>
    <w:rsid w:val="00C50711"/>
    <w:rsid w:val="00C523C6"/>
    <w:rsid w:val="00C525BA"/>
    <w:rsid w:val="00C52C15"/>
    <w:rsid w:val="00C53065"/>
    <w:rsid w:val="00C54204"/>
    <w:rsid w:val="00C5474E"/>
    <w:rsid w:val="00C555F7"/>
    <w:rsid w:val="00C5570E"/>
    <w:rsid w:val="00C55EF8"/>
    <w:rsid w:val="00C56446"/>
    <w:rsid w:val="00C60863"/>
    <w:rsid w:val="00C6285D"/>
    <w:rsid w:val="00C639E3"/>
    <w:rsid w:val="00C65294"/>
    <w:rsid w:val="00C70563"/>
    <w:rsid w:val="00C71292"/>
    <w:rsid w:val="00C71484"/>
    <w:rsid w:val="00C716CA"/>
    <w:rsid w:val="00C735A7"/>
    <w:rsid w:val="00C74547"/>
    <w:rsid w:val="00C76482"/>
    <w:rsid w:val="00C76FAC"/>
    <w:rsid w:val="00C8566F"/>
    <w:rsid w:val="00C859AE"/>
    <w:rsid w:val="00C87C43"/>
    <w:rsid w:val="00C915B1"/>
    <w:rsid w:val="00C939C3"/>
    <w:rsid w:val="00C96C39"/>
    <w:rsid w:val="00C979D0"/>
    <w:rsid w:val="00CA410E"/>
    <w:rsid w:val="00CA447E"/>
    <w:rsid w:val="00CA7097"/>
    <w:rsid w:val="00CB0CDF"/>
    <w:rsid w:val="00CB0FE7"/>
    <w:rsid w:val="00CB528D"/>
    <w:rsid w:val="00CB635C"/>
    <w:rsid w:val="00CB7321"/>
    <w:rsid w:val="00CB7E0A"/>
    <w:rsid w:val="00CC3027"/>
    <w:rsid w:val="00CC421B"/>
    <w:rsid w:val="00CC4784"/>
    <w:rsid w:val="00CC60EF"/>
    <w:rsid w:val="00CC625D"/>
    <w:rsid w:val="00CD1BC6"/>
    <w:rsid w:val="00CE10BD"/>
    <w:rsid w:val="00CE1F17"/>
    <w:rsid w:val="00CE599A"/>
    <w:rsid w:val="00CE7A0D"/>
    <w:rsid w:val="00CE7F13"/>
    <w:rsid w:val="00CF26BF"/>
    <w:rsid w:val="00CF3FB2"/>
    <w:rsid w:val="00D004BE"/>
    <w:rsid w:val="00D00DBC"/>
    <w:rsid w:val="00D03586"/>
    <w:rsid w:val="00D05726"/>
    <w:rsid w:val="00D075C6"/>
    <w:rsid w:val="00D14FB9"/>
    <w:rsid w:val="00D1529E"/>
    <w:rsid w:val="00D213E9"/>
    <w:rsid w:val="00D30E72"/>
    <w:rsid w:val="00D33B6C"/>
    <w:rsid w:val="00D3454C"/>
    <w:rsid w:val="00D36594"/>
    <w:rsid w:val="00D37F45"/>
    <w:rsid w:val="00D4105E"/>
    <w:rsid w:val="00D42E24"/>
    <w:rsid w:val="00D46107"/>
    <w:rsid w:val="00D47D7D"/>
    <w:rsid w:val="00D50854"/>
    <w:rsid w:val="00D50899"/>
    <w:rsid w:val="00D5213A"/>
    <w:rsid w:val="00D54158"/>
    <w:rsid w:val="00D5688B"/>
    <w:rsid w:val="00D60DAA"/>
    <w:rsid w:val="00D63D53"/>
    <w:rsid w:val="00D650B4"/>
    <w:rsid w:val="00D72181"/>
    <w:rsid w:val="00D7396F"/>
    <w:rsid w:val="00D7523E"/>
    <w:rsid w:val="00D76A33"/>
    <w:rsid w:val="00D81AF1"/>
    <w:rsid w:val="00D82AEC"/>
    <w:rsid w:val="00D82EA7"/>
    <w:rsid w:val="00D843D7"/>
    <w:rsid w:val="00D84E4B"/>
    <w:rsid w:val="00D8711E"/>
    <w:rsid w:val="00D8768A"/>
    <w:rsid w:val="00D90345"/>
    <w:rsid w:val="00D90392"/>
    <w:rsid w:val="00D91F84"/>
    <w:rsid w:val="00D92A4E"/>
    <w:rsid w:val="00D950CA"/>
    <w:rsid w:val="00D96B98"/>
    <w:rsid w:val="00D97D5E"/>
    <w:rsid w:val="00DA293A"/>
    <w:rsid w:val="00DA370D"/>
    <w:rsid w:val="00DA4017"/>
    <w:rsid w:val="00DA5B94"/>
    <w:rsid w:val="00DA5D91"/>
    <w:rsid w:val="00DA61AA"/>
    <w:rsid w:val="00DA651F"/>
    <w:rsid w:val="00DA72DC"/>
    <w:rsid w:val="00DA7B35"/>
    <w:rsid w:val="00DB16ED"/>
    <w:rsid w:val="00DB5C76"/>
    <w:rsid w:val="00DB7EDB"/>
    <w:rsid w:val="00DC0159"/>
    <w:rsid w:val="00DC01C8"/>
    <w:rsid w:val="00DC0500"/>
    <w:rsid w:val="00DC0F99"/>
    <w:rsid w:val="00DC5090"/>
    <w:rsid w:val="00DC65AB"/>
    <w:rsid w:val="00DC75E9"/>
    <w:rsid w:val="00DD0B54"/>
    <w:rsid w:val="00DD1675"/>
    <w:rsid w:val="00DD1854"/>
    <w:rsid w:val="00DD2B27"/>
    <w:rsid w:val="00DD6141"/>
    <w:rsid w:val="00DD6D90"/>
    <w:rsid w:val="00DD75BE"/>
    <w:rsid w:val="00DD776A"/>
    <w:rsid w:val="00DE261E"/>
    <w:rsid w:val="00DE7144"/>
    <w:rsid w:val="00DE78DC"/>
    <w:rsid w:val="00DE7BB6"/>
    <w:rsid w:val="00DF3569"/>
    <w:rsid w:val="00E05261"/>
    <w:rsid w:val="00E0667C"/>
    <w:rsid w:val="00E06F7A"/>
    <w:rsid w:val="00E1655A"/>
    <w:rsid w:val="00E17483"/>
    <w:rsid w:val="00E205CA"/>
    <w:rsid w:val="00E216A6"/>
    <w:rsid w:val="00E24B0F"/>
    <w:rsid w:val="00E2749E"/>
    <w:rsid w:val="00E332F7"/>
    <w:rsid w:val="00E34173"/>
    <w:rsid w:val="00E35B18"/>
    <w:rsid w:val="00E36F79"/>
    <w:rsid w:val="00E374E0"/>
    <w:rsid w:val="00E4117F"/>
    <w:rsid w:val="00E438DB"/>
    <w:rsid w:val="00E45135"/>
    <w:rsid w:val="00E47430"/>
    <w:rsid w:val="00E4775F"/>
    <w:rsid w:val="00E50484"/>
    <w:rsid w:val="00E523F8"/>
    <w:rsid w:val="00E5299C"/>
    <w:rsid w:val="00E6233B"/>
    <w:rsid w:val="00E814AC"/>
    <w:rsid w:val="00E81C52"/>
    <w:rsid w:val="00E82A7A"/>
    <w:rsid w:val="00E87F29"/>
    <w:rsid w:val="00E917E1"/>
    <w:rsid w:val="00E9253B"/>
    <w:rsid w:val="00E925EB"/>
    <w:rsid w:val="00E92C22"/>
    <w:rsid w:val="00E92E3F"/>
    <w:rsid w:val="00E92F00"/>
    <w:rsid w:val="00E950E7"/>
    <w:rsid w:val="00E9758C"/>
    <w:rsid w:val="00E97592"/>
    <w:rsid w:val="00EA2A81"/>
    <w:rsid w:val="00EA35D6"/>
    <w:rsid w:val="00EA65EE"/>
    <w:rsid w:val="00EA7477"/>
    <w:rsid w:val="00EA77F3"/>
    <w:rsid w:val="00EB5D6A"/>
    <w:rsid w:val="00EB6134"/>
    <w:rsid w:val="00EC3F55"/>
    <w:rsid w:val="00EC5D8C"/>
    <w:rsid w:val="00ED0125"/>
    <w:rsid w:val="00ED34A6"/>
    <w:rsid w:val="00EE79C9"/>
    <w:rsid w:val="00EF6E86"/>
    <w:rsid w:val="00F0000F"/>
    <w:rsid w:val="00F007EE"/>
    <w:rsid w:val="00F00AF7"/>
    <w:rsid w:val="00F01066"/>
    <w:rsid w:val="00F033E6"/>
    <w:rsid w:val="00F05708"/>
    <w:rsid w:val="00F05F9A"/>
    <w:rsid w:val="00F07694"/>
    <w:rsid w:val="00F07BDD"/>
    <w:rsid w:val="00F12D19"/>
    <w:rsid w:val="00F1412A"/>
    <w:rsid w:val="00F1588F"/>
    <w:rsid w:val="00F171EE"/>
    <w:rsid w:val="00F22FC7"/>
    <w:rsid w:val="00F31D1C"/>
    <w:rsid w:val="00F3385A"/>
    <w:rsid w:val="00F36E4A"/>
    <w:rsid w:val="00F42328"/>
    <w:rsid w:val="00F42671"/>
    <w:rsid w:val="00F42D29"/>
    <w:rsid w:val="00F44A2F"/>
    <w:rsid w:val="00F50CB0"/>
    <w:rsid w:val="00F52509"/>
    <w:rsid w:val="00F54657"/>
    <w:rsid w:val="00F56DC0"/>
    <w:rsid w:val="00F60452"/>
    <w:rsid w:val="00F612C8"/>
    <w:rsid w:val="00F61DE6"/>
    <w:rsid w:val="00F66FE7"/>
    <w:rsid w:val="00F7000C"/>
    <w:rsid w:val="00F71008"/>
    <w:rsid w:val="00F71185"/>
    <w:rsid w:val="00F75823"/>
    <w:rsid w:val="00F77DC4"/>
    <w:rsid w:val="00F81978"/>
    <w:rsid w:val="00F84A29"/>
    <w:rsid w:val="00F8727E"/>
    <w:rsid w:val="00F913C1"/>
    <w:rsid w:val="00F91475"/>
    <w:rsid w:val="00F91FEA"/>
    <w:rsid w:val="00F93180"/>
    <w:rsid w:val="00F96952"/>
    <w:rsid w:val="00F96B2E"/>
    <w:rsid w:val="00FA5090"/>
    <w:rsid w:val="00FA5A84"/>
    <w:rsid w:val="00FA72A2"/>
    <w:rsid w:val="00FB28D3"/>
    <w:rsid w:val="00FB2995"/>
    <w:rsid w:val="00FB48D4"/>
    <w:rsid w:val="00FB65C9"/>
    <w:rsid w:val="00FC0871"/>
    <w:rsid w:val="00FC0EAE"/>
    <w:rsid w:val="00FC13CF"/>
    <w:rsid w:val="00FC2012"/>
    <w:rsid w:val="00FC27B2"/>
    <w:rsid w:val="00FD32AF"/>
    <w:rsid w:val="00FD3D3B"/>
    <w:rsid w:val="00FD4046"/>
    <w:rsid w:val="00FD6867"/>
    <w:rsid w:val="00FE2EE4"/>
    <w:rsid w:val="00FE519C"/>
    <w:rsid w:val="00FE57C2"/>
    <w:rsid w:val="00FF1E2D"/>
    <w:rsid w:val="00FF32A1"/>
    <w:rsid w:val="00FF41BA"/>
    <w:rsid w:val="00FF4453"/>
    <w:rsid w:val="00FF4E89"/>
    <w:rsid w:val="00FF524D"/>
    <w:rsid w:val="00FF60E9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988910"/>
  <w15:chartTrackingRefBased/>
  <w15:docId w15:val="{31F6EBAC-6997-4108-A31F-14F53475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D6A"/>
    <w:pPr>
      <w:widowControl w:val="0"/>
      <w:spacing w:after="0" w:line="240" w:lineRule="auto"/>
    </w:pPr>
    <w:rPr>
      <w:rFonts w:ascii="Times New Roman" w:hAnsi="Times New Roman" w:cs="Times New Roman"/>
      <w:sz w:val="26"/>
    </w:rPr>
  </w:style>
  <w:style w:type="paragraph" w:styleId="Heading1">
    <w:name w:val="heading 1"/>
    <w:basedOn w:val="Normal"/>
    <w:next w:val="FERCparanumber"/>
    <w:link w:val="Heading1Char"/>
    <w:uiPriority w:val="9"/>
    <w:qFormat/>
    <w:rsid w:val="00434E02"/>
    <w:pPr>
      <w:keepNext/>
      <w:keepLines/>
      <w:widowControl/>
      <w:numPr>
        <w:numId w:val="15"/>
      </w:numPr>
      <w:spacing w:after="260"/>
      <w:outlineLvl w:val="0"/>
    </w:pPr>
    <w:rPr>
      <w:rFonts w:eastAsiaTheme="majorEastAsia"/>
      <w:b/>
      <w:kern w:val="32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uiPriority w:val="9"/>
    <w:unhideWhenUsed/>
    <w:qFormat/>
    <w:rsid w:val="00434E02"/>
    <w:pPr>
      <w:keepNext/>
      <w:keepLines/>
      <w:widowControl/>
      <w:numPr>
        <w:ilvl w:val="1"/>
        <w:numId w:val="15"/>
      </w:numPr>
      <w:spacing w:after="260"/>
      <w:outlineLvl w:val="1"/>
    </w:pPr>
    <w:rPr>
      <w:rFonts w:eastAsiaTheme="majorEastAsia"/>
      <w:b/>
      <w:kern w:val="32"/>
      <w:szCs w:val="26"/>
      <w:u w:val="single"/>
    </w:rPr>
  </w:style>
  <w:style w:type="paragraph" w:styleId="Heading3">
    <w:name w:val="heading 3"/>
    <w:basedOn w:val="Normal"/>
    <w:next w:val="FERCparanumber"/>
    <w:uiPriority w:val="9"/>
    <w:unhideWhenUsed/>
    <w:qFormat/>
    <w:rsid w:val="00434E02"/>
    <w:pPr>
      <w:keepNext/>
      <w:keepLines/>
      <w:widowControl/>
      <w:numPr>
        <w:ilvl w:val="2"/>
        <w:numId w:val="15"/>
      </w:numPr>
      <w:spacing w:after="260"/>
      <w:outlineLvl w:val="2"/>
    </w:pPr>
    <w:rPr>
      <w:rFonts w:eastAsiaTheme="majorEastAsia"/>
      <w:b/>
      <w:kern w:val="32"/>
      <w:szCs w:val="24"/>
      <w:u w:val="single"/>
    </w:rPr>
  </w:style>
  <w:style w:type="paragraph" w:styleId="Heading4">
    <w:name w:val="heading 4"/>
    <w:basedOn w:val="Normal"/>
    <w:next w:val="FERCparanumber"/>
    <w:uiPriority w:val="9"/>
    <w:unhideWhenUsed/>
    <w:qFormat/>
    <w:rsid w:val="00434E02"/>
    <w:pPr>
      <w:keepNext/>
      <w:keepLines/>
      <w:widowControl/>
      <w:numPr>
        <w:ilvl w:val="3"/>
        <w:numId w:val="15"/>
      </w:numPr>
      <w:spacing w:after="260"/>
      <w:outlineLvl w:val="3"/>
    </w:pPr>
    <w:rPr>
      <w:rFonts w:eastAsiaTheme="majorEastAsia"/>
      <w:b/>
      <w:iCs/>
      <w:kern w:val="32"/>
      <w:u w:val="single"/>
    </w:rPr>
  </w:style>
  <w:style w:type="paragraph" w:styleId="Heading5">
    <w:name w:val="heading 5"/>
    <w:basedOn w:val="Normal"/>
    <w:next w:val="FERCparanumber"/>
    <w:uiPriority w:val="9"/>
    <w:semiHidden/>
    <w:unhideWhenUsed/>
    <w:qFormat/>
    <w:rsid w:val="00434E02"/>
    <w:pPr>
      <w:keepNext/>
      <w:keepLines/>
      <w:widowControl/>
      <w:numPr>
        <w:ilvl w:val="4"/>
        <w:numId w:val="15"/>
      </w:numPr>
      <w:spacing w:after="260"/>
      <w:outlineLvl w:val="4"/>
    </w:pPr>
    <w:rPr>
      <w:rFonts w:eastAsiaTheme="majorEastAsia"/>
      <w:b/>
      <w:kern w:val="32"/>
      <w:u w:val="single"/>
    </w:rPr>
  </w:style>
  <w:style w:type="paragraph" w:styleId="Heading6">
    <w:name w:val="heading 6"/>
    <w:basedOn w:val="Normal"/>
    <w:next w:val="FERCparanumber"/>
    <w:uiPriority w:val="9"/>
    <w:semiHidden/>
    <w:unhideWhenUsed/>
    <w:qFormat/>
    <w:rsid w:val="00434E02"/>
    <w:pPr>
      <w:keepNext/>
      <w:keepLines/>
      <w:widowControl/>
      <w:numPr>
        <w:ilvl w:val="5"/>
        <w:numId w:val="15"/>
      </w:numPr>
      <w:spacing w:after="260"/>
      <w:outlineLvl w:val="5"/>
    </w:pPr>
    <w:rPr>
      <w:rFonts w:eastAsiaTheme="majorEastAsia"/>
      <w:b/>
      <w:kern w:val="32"/>
      <w:u w:val="single"/>
    </w:rPr>
  </w:style>
  <w:style w:type="paragraph" w:styleId="Heading7">
    <w:name w:val="heading 7"/>
    <w:basedOn w:val="Normal"/>
    <w:next w:val="FERCparanumber"/>
    <w:uiPriority w:val="9"/>
    <w:semiHidden/>
    <w:unhideWhenUsed/>
    <w:qFormat/>
    <w:rsid w:val="00434E02"/>
    <w:pPr>
      <w:keepNext/>
      <w:keepLines/>
      <w:widowControl/>
      <w:numPr>
        <w:ilvl w:val="6"/>
        <w:numId w:val="15"/>
      </w:numPr>
      <w:spacing w:after="260"/>
      <w:outlineLvl w:val="6"/>
    </w:pPr>
    <w:rPr>
      <w:rFonts w:eastAsiaTheme="majorEastAsia"/>
      <w:b/>
      <w:iCs/>
      <w:kern w:val="32"/>
      <w:u w:val="single"/>
    </w:rPr>
  </w:style>
  <w:style w:type="paragraph" w:styleId="Heading8">
    <w:name w:val="heading 8"/>
    <w:basedOn w:val="Normal"/>
    <w:next w:val="FERCparanumber"/>
    <w:uiPriority w:val="9"/>
    <w:semiHidden/>
    <w:unhideWhenUsed/>
    <w:qFormat/>
    <w:rsid w:val="00434E02"/>
    <w:pPr>
      <w:keepNext/>
      <w:keepLines/>
      <w:widowControl/>
      <w:numPr>
        <w:ilvl w:val="7"/>
        <w:numId w:val="15"/>
      </w:numPr>
      <w:spacing w:after="260"/>
      <w:outlineLvl w:val="7"/>
    </w:pPr>
    <w:rPr>
      <w:rFonts w:eastAsiaTheme="majorEastAsia"/>
      <w:b/>
      <w:kern w:val="32"/>
      <w:szCs w:val="21"/>
      <w:u w:val="single"/>
    </w:rPr>
  </w:style>
  <w:style w:type="paragraph" w:styleId="Heading9">
    <w:name w:val="heading 9"/>
    <w:basedOn w:val="Normal"/>
    <w:next w:val="FERCparanumber"/>
    <w:uiPriority w:val="9"/>
    <w:semiHidden/>
    <w:unhideWhenUsed/>
    <w:qFormat/>
    <w:rsid w:val="00434E02"/>
    <w:pPr>
      <w:keepNext/>
      <w:keepLines/>
      <w:widowControl/>
      <w:numPr>
        <w:ilvl w:val="8"/>
        <w:numId w:val="15"/>
      </w:numPr>
      <w:spacing w:after="260"/>
      <w:outlineLvl w:val="8"/>
    </w:pPr>
    <w:rPr>
      <w:rFonts w:eastAsiaTheme="majorEastAsia"/>
      <w:b/>
      <w:iCs/>
      <w:kern w:val="32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TOC1">
    <w:name w:val="myTOC 1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spacing w:before="120"/>
    </w:pPr>
    <w:rPr>
      <w:rFonts w:eastAsia="Times New Roman"/>
      <w:szCs w:val="26"/>
    </w:rPr>
  </w:style>
  <w:style w:type="paragraph" w:customStyle="1" w:styleId="myTOC2">
    <w:name w:val="myTOC 2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288"/>
    </w:pPr>
    <w:rPr>
      <w:rFonts w:eastAsia="Times New Roman"/>
      <w:szCs w:val="26"/>
    </w:rPr>
  </w:style>
  <w:style w:type="paragraph" w:customStyle="1" w:styleId="myTOC3">
    <w:name w:val="myTOC 3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576"/>
    </w:pPr>
    <w:rPr>
      <w:rFonts w:eastAsia="Times New Roman"/>
      <w:szCs w:val="26"/>
    </w:rPr>
  </w:style>
  <w:style w:type="paragraph" w:customStyle="1" w:styleId="myTOC4">
    <w:name w:val="myTOC 4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864"/>
    </w:pPr>
    <w:rPr>
      <w:rFonts w:eastAsia="Times New Roman"/>
      <w:szCs w:val="26"/>
    </w:rPr>
  </w:style>
  <w:style w:type="paragraph" w:customStyle="1" w:styleId="myTOC5">
    <w:name w:val="myTOC 5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1152"/>
    </w:pPr>
    <w:rPr>
      <w:rFonts w:eastAsia="Times New Roman"/>
      <w:szCs w:val="26"/>
    </w:rPr>
  </w:style>
  <w:style w:type="paragraph" w:customStyle="1" w:styleId="myTOC6">
    <w:name w:val="myTOC 6"/>
    <w:basedOn w:val="Normal"/>
    <w:next w:val="Normal"/>
    <w:rsid w:val="004C456B"/>
    <w:pPr>
      <w:tabs>
        <w:tab w:val="right" w:leader="dot" w:pos="9360"/>
      </w:tabs>
      <w:ind w:left="1440"/>
    </w:pPr>
    <w:rPr>
      <w:rFonts w:eastAsia="Times New Roman"/>
      <w:szCs w:val="26"/>
    </w:rPr>
  </w:style>
  <w:style w:type="paragraph" w:customStyle="1" w:styleId="myTOC7">
    <w:name w:val="myTOC 7"/>
    <w:basedOn w:val="Normal"/>
    <w:next w:val="Normal"/>
    <w:rsid w:val="004C456B"/>
    <w:pPr>
      <w:tabs>
        <w:tab w:val="right" w:leader="dot" w:pos="9360"/>
      </w:tabs>
      <w:ind w:left="1728"/>
    </w:pPr>
    <w:rPr>
      <w:rFonts w:eastAsia="Times New Roman"/>
      <w:szCs w:val="26"/>
    </w:rPr>
  </w:style>
  <w:style w:type="paragraph" w:customStyle="1" w:styleId="myTOC8">
    <w:name w:val="myTOC 8"/>
    <w:basedOn w:val="Normal"/>
    <w:next w:val="Normal"/>
    <w:rsid w:val="004C456B"/>
    <w:pPr>
      <w:tabs>
        <w:tab w:val="right" w:leader="dot" w:pos="9360"/>
      </w:tabs>
      <w:ind w:left="2016"/>
    </w:pPr>
    <w:rPr>
      <w:rFonts w:eastAsia="Times New Roman"/>
      <w:szCs w:val="26"/>
    </w:rPr>
  </w:style>
  <w:style w:type="paragraph" w:customStyle="1" w:styleId="myTOC9">
    <w:name w:val="myTOC 9"/>
    <w:basedOn w:val="Normal"/>
    <w:next w:val="Normal"/>
    <w:rsid w:val="004C456B"/>
    <w:pPr>
      <w:tabs>
        <w:tab w:val="right" w:leader="dot" w:pos="9360"/>
      </w:tabs>
      <w:ind w:left="2304"/>
    </w:pPr>
    <w:rPr>
      <w:rFonts w:eastAsia="Times New Roman"/>
      <w:szCs w:val="26"/>
    </w:rPr>
  </w:style>
  <w:style w:type="paragraph" w:customStyle="1" w:styleId="Non-TOCStyle">
    <w:name w:val="Non-TOC Style"/>
    <w:basedOn w:val="Normal"/>
    <w:next w:val="FERCparanumber"/>
    <w:rsid w:val="004C456B"/>
    <w:pPr>
      <w:keepNext/>
      <w:keepLines/>
      <w:numPr>
        <w:numId w:val="21"/>
      </w:numPr>
      <w:autoSpaceDE w:val="0"/>
      <w:autoSpaceDN w:val="0"/>
      <w:adjustRightInd w:val="0"/>
      <w:jc w:val="center"/>
      <w:outlineLvl w:val="4"/>
    </w:pPr>
    <w:rPr>
      <w:rFonts w:eastAsia="Times New Roman"/>
      <w:b/>
      <w:szCs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13"/>
    <w:rPr>
      <w:rFonts w:ascii="Arial" w:hAnsi="Arial" w:cs="Arial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13"/>
    <w:rPr>
      <w:rFonts w:ascii="Arial" w:hAnsi="Arial" w:cs="Arial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F13"/>
  </w:style>
  <w:style w:type="paragraph" w:styleId="BlockText">
    <w:name w:val="Block Text"/>
    <w:basedOn w:val="Normal"/>
    <w:uiPriority w:val="99"/>
    <w:semiHidden/>
    <w:unhideWhenUsed/>
    <w:rsid w:val="00CE7F1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9E214D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9E214D"/>
    <w:rPr>
      <w:rFonts w:ascii="Times New Roman" w:hAnsi="Times New Roman"/>
      <w:sz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7F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F13"/>
  </w:style>
  <w:style w:type="paragraph" w:styleId="BodyText3">
    <w:name w:val="Body Text 3"/>
    <w:basedOn w:val="Normal"/>
    <w:link w:val="BodyText3Char"/>
    <w:uiPriority w:val="99"/>
    <w:semiHidden/>
    <w:unhideWhenUsed/>
    <w:rsid w:val="00CE7F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F1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F1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F13"/>
    <w:rPr>
      <w:rFonts w:ascii="Times New Roman" w:hAnsi="Times New Roman"/>
      <w:sz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F1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F1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F1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F1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F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F1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F1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F1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0EA2"/>
    <w:pPr>
      <w:spacing w:after="200"/>
    </w:pPr>
    <w:rPr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F1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F13"/>
  </w:style>
  <w:style w:type="paragraph" w:styleId="CommentText">
    <w:name w:val="annotation text"/>
    <w:basedOn w:val="Normal"/>
    <w:link w:val="CommentTextChar"/>
    <w:uiPriority w:val="99"/>
    <w:semiHidden/>
    <w:unhideWhenUsed/>
    <w:rsid w:val="00AF2305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30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F13"/>
    <w:rPr>
      <w:rFonts w:ascii="Times New Roman" w:hAnsi="Times New Roman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F13"/>
  </w:style>
  <w:style w:type="character" w:customStyle="1" w:styleId="DateChar">
    <w:name w:val="Date Char"/>
    <w:basedOn w:val="DefaultParagraphFont"/>
    <w:link w:val="Date"/>
    <w:uiPriority w:val="99"/>
    <w:semiHidden/>
    <w:rsid w:val="00CE7F13"/>
  </w:style>
  <w:style w:type="paragraph" w:styleId="DocumentMap">
    <w:name w:val="Document Map"/>
    <w:basedOn w:val="Normal"/>
    <w:link w:val="DocumentMapChar"/>
    <w:uiPriority w:val="99"/>
    <w:semiHidden/>
    <w:unhideWhenUsed/>
    <w:rsid w:val="00CE7F1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F1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F1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F13"/>
  </w:style>
  <w:style w:type="paragraph" w:styleId="EndnoteText">
    <w:name w:val="endnote text"/>
    <w:basedOn w:val="Normal"/>
    <w:link w:val="EndnoteTextChar"/>
    <w:uiPriority w:val="99"/>
    <w:semiHidden/>
    <w:unhideWhenUsed/>
    <w:rsid w:val="00CE7F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F1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F1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F13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7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F13"/>
  </w:style>
  <w:style w:type="paragraph" w:styleId="Header">
    <w:name w:val="header"/>
    <w:basedOn w:val="Normal"/>
    <w:link w:val="HeaderChar"/>
    <w:uiPriority w:val="99"/>
    <w:unhideWhenUsed/>
    <w:rsid w:val="00CE7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F13"/>
  </w:style>
  <w:style w:type="character" w:customStyle="1" w:styleId="9">
    <w:name w:val="9"/>
    <w:basedOn w:val="DefaultParagraphFont"/>
    <w:uiPriority w:val="9"/>
    <w:semiHidden/>
    <w:rsid w:val="00CE7F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8">
    <w:name w:val="8"/>
    <w:basedOn w:val="DefaultParagraphFont"/>
    <w:uiPriority w:val="9"/>
    <w:semiHidden/>
    <w:rsid w:val="00CE7F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">
    <w:name w:val="7"/>
    <w:basedOn w:val="DefaultParagraphFont"/>
    <w:uiPriority w:val="9"/>
    <w:semiHidden/>
    <w:rsid w:val="00CE7F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6">
    <w:name w:val="6"/>
    <w:basedOn w:val="DefaultParagraphFont"/>
    <w:uiPriority w:val="9"/>
    <w:semiHidden/>
    <w:rsid w:val="00CE7F1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5">
    <w:name w:val="5"/>
    <w:basedOn w:val="DefaultParagraphFont"/>
    <w:uiPriority w:val="9"/>
    <w:semiHidden/>
    <w:rsid w:val="00CE7F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4">
    <w:name w:val="4"/>
    <w:basedOn w:val="DefaultParagraphFont"/>
    <w:uiPriority w:val="9"/>
    <w:semiHidden/>
    <w:rsid w:val="00CE7F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3">
    <w:name w:val="3"/>
    <w:basedOn w:val="DefaultParagraphFont"/>
    <w:uiPriority w:val="9"/>
    <w:semiHidden/>
    <w:rsid w:val="00CE7F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2">
    <w:name w:val="2"/>
    <w:basedOn w:val="DefaultParagraphFont"/>
    <w:uiPriority w:val="9"/>
    <w:semiHidden/>
    <w:rsid w:val="00CE7F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F1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F1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F1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F13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CE7F13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CE7F13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CE7F13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CE7F13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CE7F13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CE7F13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CE7F13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CE7F13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CE7F1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F1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F1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F13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CE7F1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E7F1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E7F1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E7F1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E7F1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E7F1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F1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F1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F1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F1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F1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F1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F1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F1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F1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E7F1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F1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F1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F1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F1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F1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F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F13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F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F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"/>
    <w:qFormat/>
    <w:rsid w:val="00CE7F1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F13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F1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F1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F13"/>
  </w:style>
  <w:style w:type="paragraph" w:styleId="PlainText">
    <w:name w:val="Plain Text"/>
    <w:basedOn w:val="Normal"/>
    <w:link w:val="PlainTextChar"/>
    <w:uiPriority w:val="99"/>
    <w:semiHidden/>
    <w:unhideWhenUsed/>
    <w:rsid w:val="00CE7F1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F1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F1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F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F1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F13"/>
  </w:style>
  <w:style w:type="paragraph" w:styleId="Signature">
    <w:name w:val="Signature"/>
    <w:basedOn w:val="Normal"/>
    <w:link w:val="SignatureChar"/>
    <w:uiPriority w:val="99"/>
    <w:semiHidden/>
    <w:unhideWhenUsed/>
    <w:rsid w:val="00CE7F1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F13"/>
  </w:style>
  <w:style w:type="paragraph" w:styleId="Subtitle">
    <w:name w:val="Subtitle"/>
    <w:basedOn w:val="Normal"/>
    <w:next w:val="Normal"/>
    <w:link w:val="SubtitleChar"/>
    <w:uiPriority w:val="11"/>
    <w:qFormat/>
    <w:rsid w:val="00CE7F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F13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F1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F13"/>
  </w:style>
  <w:style w:type="paragraph" w:styleId="Title">
    <w:name w:val="Title"/>
    <w:basedOn w:val="Normal"/>
    <w:next w:val="Normal"/>
    <w:link w:val="TitleChar"/>
    <w:uiPriority w:val="10"/>
    <w:qFormat/>
    <w:rsid w:val="00CE7F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F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E7F13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E7F13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CE7F13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CE7F13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CE7F13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CE7F1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CE7F1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CE7F1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CE7F1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F13"/>
    <w:pPr>
      <w:numPr>
        <w:numId w:val="0"/>
      </w:numPr>
      <w:outlineLvl w:val="9"/>
    </w:pPr>
  </w:style>
  <w:style w:type="paragraph" w:customStyle="1" w:styleId="FERCparanumber">
    <w:name w:val="FERC paranumber"/>
    <w:basedOn w:val="Normal"/>
    <w:link w:val="FERCparanumberChar"/>
    <w:qFormat/>
    <w:rsid w:val="00C274AA"/>
    <w:pPr>
      <w:widowControl/>
      <w:numPr>
        <w:numId w:val="11"/>
      </w:numPr>
      <w:spacing w:after="260"/>
    </w:pPr>
  </w:style>
  <w:style w:type="character" w:customStyle="1" w:styleId="FERCparanumberChar">
    <w:name w:val="FERC paranumber Char"/>
    <w:basedOn w:val="DefaultParagraphFont"/>
    <w:link w:val="FERCparanumber"/>
    <w:rsid w:val="00C274AA"/>
    <w:rPr>
      <w:rFonts w:ascii="Times New Roman" w:hAnsi="Times New Roman" w:cs="Times New Roman"/>
      <w:sz w:val="26"/>
    </w:rPr>
  </w:style>
  <w:style w:type="character" w:styleId="PageNumber">
    <w:name w:val="page number"/>
    <w:basedOn w:val="DefaultParagraphFont"/>
    <w:rsid w:val="0048020B"/>
  </w:style>
  <w:style w:type="table" w:styleId="TableGrid">
    <w:name w:val="Table Grid"/>
    <w:basedOn w:val="TableNormal"/>
    <w:rsid w:val="00480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020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5D6A"/>
    <w:rPr>
      <w:rFonts w:ascii="Times New Roman" w:eastAsiaTheme="majorEastAsia" w:hAnsi="Times New Roman" w:cs="Times New Roman"/>
      <w:b/>
      <w:kern w:val="32"/>
      <w:sz w:val="2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B5D6A"/>
    <w:rPr>
      <w:rFonts w:ascii="Times New Roman" w:eastAsiaTheme="majorEastAsia" w:hAnsi="Times New Roman" w:cs="Times New Roman"/>
      <w:b/>
      <w:kern w:val="32"/>
      <w:sz w:val="26"/>
      <w:szCs w:val="26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434E02"/>
    <w:pPr>
      <w:spacing w:after="260"/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34E02"/>
    <w:rPr>
      <w:rFonts w:ascii="Times New Roman" w:hAnsi="Times New Roman" w:cs="Times New Roman"/>
      <w:sz w:val="26"/>
      <w:szCs w:val="20"/>
    </w:rPr>
  </w:style>
  <w:style w:type="character" w:styleId="FootnoteReference">
    <w:name w:val="footnote reference"/>
    <w:basedOn w:val="DefaultParagraphFont"/>
    <w:uiPriority w:val="1"/>
    <w:unhideWhenUsed/>
    <w:qFormat/>
    <w:rsid w:val="00434E02"/>
    <w:rPr>
      <w:rFonts w:ascii="Times New Roman" w:hAnsi="Times New Roman" w:cs="Times New Roman"/>
      <w:b/>
      <w:sz w:val="26"/>
      <w:vertAlign w:val="superscript"/>
    </w:rPr>
  </w:style>
  <w:style w:type="paragraph" w:customStyle="1" w:styleId="FERCNopara">
    <w:name w:val="FERC Nopara"/>
    <w:basedOn w:val="Normal"/>
    <w:uiPriority w:val="1"/>
    <w:qFormat/>
    <w:rsid w:val="00FE519C"/>
    <w:pPr>
      <w:spacing w:after="260"/>
      <w:ind w:firstLine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07EE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32965"/>
    <w:rPr>
      <w:color w:val="605E5C"/>
      <w:shd w:val="clear" w:color="auto" w:fill="E1DFDD"/>
    </w:rPr>
  </w:style>
  <w:style w:type="paragraph" w:customStyle="1" w:styleId="Default">
    <w:name w:val="Default"/>
    <w:rsid w:val="00DE7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14DEE"/>
    <w:pPr>
      <w:spacing w:after="0" w:line="240" w:lineRule="auto"/>
    </w:pPr>
    <w:rPr>
      <w:rFonts w:ascii="Times New Roman" w:hAnsi="Times New Roman" w:cs="Times New Roman"/>
      <w:sz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91F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ERCOnlineSupport@ferc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ferc.gov/docs-filing/efiling.as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chael.Haddad@ferc.go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him.Amerkhail@ferc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5.xml><?xml version="1.0" encoding="utf-8"?>
<?mso-contentType ?>
<SharedContentType xmlns="Microsoft.SharePoint.Taxonomy.ContentTypeSync" SourceId="74a4cd09-5f17-433b-814a-38e7e9115d16" ContentTypeId="0x0101" PreviousValue="false"/>
</file>

<file path=customXml/itemProps1.xml><?xml version="1.0" encoding="utf-8"?>
<ds:datastoreItem xmlns:ds="http://schemas.openxmlformats.org/officeDocument/2006/customXml" ds:itemID="{A6BED815-9D6C-4D2B-A156-1EE98741F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574A0-0FE1-42A4-8959-B524C3E92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1B7AF-5DC9-4C3D-8F84-EE53432E4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D6E4FB-789F-4DFD-97BD-BDE6FAFBAB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www.w3.org/XML/1998/namespace"/>
    <ds:schemaRef ds:uri="http://purl.org/dc/dcmitype/"/>
    <ds:schemaRef ds:uri="5e8733a2-e908-454b-85cf-c9d17e1d0943"/>
  </ds:schemaRefs>
</ds:datastoreItem>
</file>

<file path=customXml/itemProps5.xml><?xml version="1.0" encoding="utf-8"?>
<ds:datastoreItem xmlns:ds="http://schemas.openxmlformats.org/officeDocument/2006/customXml" ds:itemID="{E0C1E96C-94FF-4FBD-8222-F75E86B79E9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1382</Words>
  <Characters>8185</Characters>
  <Application>Microsoft Office Word</Application>
  <DocSecurity>0</DocSecurity>
  <Lines>143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Ellen Brown</cp:lastModifiedBy>
  <cp:revision>2</cp:revision>
  <dcterms:created xsi:type="dcterms:W3CDTF">2022-06-07T19:02:00Z</dcterms:created>
  <dcterms:modified xsi:type="dcterms:W3CDTF">2022-06-07T19:02:00Z</dcterms:modified>
  <cp:category/>
  <dc:identifier/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5a89b-0f08-4a93-8ea2-8a916d6643b5_Enabled">
    <vt:lpwstr>true</vt:lpwstr>
  </property>
  <property fmtid="{D5CDD505-2E9C-101B-9397-08002B2CF9AE}" pid="3" name="MSIP_Label_6155a89b-0f08-4a93-8ea2-8a916d6643b5_SetDate">
    <vt:lpwstr>2022-06-07T19:02:02Z</vt:lpwstr>
  </property>
  <property fmtid="{D5CDD505-2E9C-101B-9397-08002B2CF9AE}" pid="4" name="MSIP_Label_6155a89b-0f08-4a93-8ea2-8a916d6643b5_Method">
    <vt:lpwstr>Privileged</vt:lpwstr>
  </property>
  <property fmtid="{D5CDD505-2E9C-101B-9397-08002B2CF9AE}" pid="5" name="MSIP_Label_6155a89b-0f08-4a93-8ea2-8a916d6643b5_Name">
    <vt:lpwstr>6155a89b-0f08-4a93-8ea2-8a916d6643b5</vt:lpwstr>
  </property>
  <property fmtid="{D5CDD505-2E9C-101B-9397-08002B2CF9AE}" pid="6" name="MSIP_Label_6155a89b-0f08-4a93-8ea2-8a916d6643b5_SiteId">
    <vt:lpwstr>19caa9e9-04ff-43fa-885f-d77fac387903</vt:lpwstr>
  </property>
  <property fmtid="{D5CDD505-2E9C-101B-9397-08002B2CF9AE}" pid="7" name="MSIP_Label_6155a89b-0f08-4a93-8ea2-8a916d6643b5_ActionId">
    <vt:lpwstr>214a0707-0e45-4212-a844-7ae8fc494d36</vt:lpwstr>
  </property>
  <property fmtid="{D5CDD505-2E9C-101B-9397-08002B2CF9AE}" pid="8" name="MSIP_Label_6155a89b-0f08-4a93-8ea2-8a916d6643b5_ContentBits">
    <vt:lpwstr>0</vt:lpwstr>
  </property>
</Properties>
</file>