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20FE" w:rsidRPr="002B7CBC" w:rsidP="00684A51" w14:paraId="6481FCE7" w14:textId="77777777">
      <w:pPr>
        <w:pStyle w:val="BodyText3"/>
        <w:tabs>
          <w:tab w:val="right" w:pos="10260"/>
        </w:tabs>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00BC20FE" w:rsidRPr="002B7CBC" w:rsidP="00684A51" w14:paraId="69D01FC7" w14:textId="77777777">
      <w:pPr>
        <w:pStyle w:val="BodyText3"/>
        <w:tabs>
          <w:tab w:val="right" w:pos="10260"/>
        </w:tabs>
        <w:ind w:left="3600" w:firstLine="720"/>
        <w:rPr>
          <w:rFonts w:ascii="Times New Roman" w:hAnsi="Times New Roman"/>
          <w:b/>
          <w:bCs/>
          <w:szCs w:val="24"/>
        </w:rPr>
      </w:pPr>
      <w:r w:rsidRPr="002B7CBC">
        <w:rPr>
          <w:rFonts w:ascii="Times New Roman" w:hAnsi="Times New Roman"/>
          <w:b/>
          <w:bCs/>
          <w:szCs w:val="24"/>
        </w:rPr>
        <w:tab/>
        <w:t>Institute of Education Sciences</w:t>
      </w:r>
    </w:p>
    <w:p w:rsidR="00BC20FE" w:rsidRPr="00352FEC" w:rsidP="00684A51" w14:paraId="70600AC7" w14:textId="77777777">
      <w:pPr>
        <w:pBdr>
          <w:bottom w:val="single" w:sz="18" w:space="1" w:color="auto"/>
        </w:pBdr>
        <w:jc w:val="right"/>
        <w:rPr>
          <w:b/>
          <w:bCs/>
          <w:sz w:val="28"/>
          <w:szCs w:val="28"/>
        </w:rPr>
      </w:pPr>
      <w:r w:rsidRPr="00352FEC">
        <w:rPr>
          <w:b/>
          <w:bCs/>
          <w:sz w:val="28"/>
          <w:szCs w:val="28"/>
        </w:rPr>
        <w:tab/>
        <w:t>National Center for Education Statistics</w:t>
      </w:r>
    </w:p>
    <w:p w:rsidR="00BC20FE" w:rsidRPr="002B7CBC" w:rsidP="00BC20FE" w14:paraId="2F8A6D4E" w14:textId="77777777">
      <w:pPr>
        <w:spacing w:line="276" w:lineRule="auto"/>
        <w:rPr>
          <w:sz w:val="20"/>
          <w:szCs w:val="20"/>
        </w:rPr>
      </w:pPr>
    </w:p>
    <w:p w:rsidR="00BC20FE" w:rsidRPr="002B7CBC" w:rsidP="00BC20FE" w14:paraId="6C900A4C" w14:textId="3B98954C">
      <w:pPr>
        <w:spacing w:line="276" w:lineRule="auto"/>
      </w:pPr>
      <w:r w:rsidRPr="003340CA">
        <w:t>DATE:</w:t>
      </w:r>
      <w:r w:rsidRPr="003340CA">
        <w:tab/>
      </w:r>
      <w:r w:rsidRPr="003340CA">
        <w:tab/>
      </w:r>
      <w:r w:rsidR="00B96CFE">
        <w:t xml:space="preserve">June </w:t>
      </w:r>
      <w:r w:rsidR="00C433AC">
        <w:t>2</w:t>
      </w:r>
      <w:r w:rsidR="00C003E7">
        <w:t>3</w:t>
      </w:r>
      <w:r w:rsidRPr="004962D8" w:rsidR="009E7934">
        <w:t xml:space="preserve">, </w:t>
      </w:r>
      <w:r w:rsidR="009E7934">
        <w:t>2023</w:t>
      </w:r>
    </w:p>
    <w:p w:rsidR="00BC20FE" w:rsidRPr="002B7CBC" w:rsidP="00BC20FE" w14:paraId="6CE7F1F4" w14:textId="77777777">
      <w:pPr>
        <w:rPr>
          <w:sz w:val="20"/>
          <w:szCs w:val="20"/>
        </w:rPr>
      </w:pPr>
    </w:p>
    <w:p w:rsidR="00BC20FE" w:rsidP="00BC20FE" w14:paraId="193A10A9" w14:textId="4D286313">
      <w:pPr>
        <w:spacing w:line="276" w:lineRule="auto"/>
      </w:pPr>
      <w:r w:rsidRPr="002B7CBC">
        <w:t>TO:</w:t>
      </w:r>
      <w:r w:rsidRPr="002B7CBC">
        <w:tab/>
      </w:r>
      <w:r w:rsidRPr="002B7CBC">
        <w:tab/>
      </w:r>
      <w:r w:rsidRPr="003340CA">
        <w:t>Robert Sivinski,</w:t>
      </w:r>
      <w:r w:rsidRPr="002B7CBC">
        <w:t xml:space="preserve"> OMB</w:t>
      </w:r>
    </w:p>
    <w:p w:rsidR="007B090C" w:rsidRPr="002B7CBC" w:rsidP="00BC20FE" w14:paraId="216DA7B8" w14:textId="2C23FF9D">
      <w:pPr>
        <w:spacing w:line="276" w:lineRule="auto"/>
      </w:pPr>
      <w:r>
        <w:tab/>
      </w:r>
      <w:r>
        <w:tab/>
        <w:t>Bev Pratt, OMB</w:t>
      </w:r>
    </w:p>
    <w:p w:rsidR="00BC20FE" w:rsidRPr="002B7CBC" w:rsidP="00BC20FE" w14:paraId="639DCFFA" w14:textId="77777777">
      <w:pPr>
        <w:rPr>
          <w:sz w:val="20"/>
          <w:szCs w:val="20"/>
        </w:rPr>
      </w:pPr>
    </w:p>
    <w:p w:rsidR="00BC20FE" w:rsidRPr="002B7CBC" w:rsidP="00BC20FE" w14:paraId="38408695" w14:textId="1BE81F81">
      <w:pPr>
        <w:spacing w:line="276" w:lineRule="auto"/>
      </w:pPr>
      <w:r w:rsidRPr="002B7CBC">
        <w:t>THROUGH:</w:t>
      </w:r>
      <w:r w:rsidRPr="002B7CBC">
        <w:tab/>
      </w:r>
      <w:r w:rsidR="00C80336">
        <w:t>Carri</w:t>
      </w:r>
      <w:r w:rsidR="00E71B06">
        <w:t>e</w:t>
      </w:r>
      <w:r w:rsidR="00C80336">
        <w:t xml:space="preserve"> Clarady</w:t>
      </w:r>
      <w:r w:rsidRPr="002B7CBC">
        <w:t>, OMB Liaison, NCES</w:t>
      </w:r>
    </w:p>
    <w:p w:rsidR="00BC20FE" w:rsidRPr="002B7CBC" w:rsidP="00BC20FE" w14:paraId="1E77D706" w14:textId="77777777">
      <w:pPr>
        <w:rPr>
          <w:sz w:val="20"/>
          <w:szCs w:val="20"/>
        </w:rPr>
      </w:pPr>
    </w:p>
    <w:p w:rsidR="00BC20FE" w:rsidRPr="002B7CBC" w:rsidP="00BC20FE" w14:paraId="7680D34C" w14:textId="77777777">
      <w:pPr>
        <w:spacing w:line="276" w:lineRule="auto"/>
        <w:ind w:left="1440" w:hanging="1440"/>
      </w:pPr>
      <w:r w:rsidRPr="002B7CBC">
        <w:t>FROM:</w:t>
      </w:r>
      <w:r w:rsidRPr="002B7CBC">
        <w:tab/>
      </w:r>
      <w:r>
        <w:t xml:space="preserve">Kelly Worthington, </w:t>
      </w:r>
      <w:r w:rsidRPr="007A59E3">
        <w:t>NCES Administrative Data Division, Elementary/Secondary Branch Chief</w:t>
      </w:r>
      <w:r>
        <w:t>, NCES</w:t>
      </w:r>
    </w:p>
    <w:p w:rsidR="00BC20FE" w:rsidRPr="002B7CBC" w:rsidP="00BC20FE" w14:paraId="47370DCF" w14:textId="77777777">
      <w:pPr>
        <w:rPr>
          <w:sz w:val="20"/>
          <w:szCs w:val="20"/>
        </w:rPr>
      </w:pPr>
    </w:p>
    <w:p w:rsidR="00BC20FE" w:rsidRPr="002B7CBC" w:rsidP="00BC20FE" w14:paraId="26199A23" w14:textId="1282048B">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Pr="00BF2A07">
        <w:rPr>
          <w:rFonts w:ascii="Times New Roman" w:hAnsi="Times New Roman"/>
          <w:sz w:val="24"/>
          <w:szCs w:val="24"/>
        </w:rPr>
        <w:t>ED</w:t>
      </w:r>
      <w:r w:rsidRPr="007E0C7D">
        <w:rPr>
          <w:rFonts w:ascii="Times New Roman" w:hAnsi="Times New Roman"/>
          <w:i/>
          <w:iCs/>
          <w:sz w:val="24"/>
          <w:szCs w:val="24"/>
        </w:rPr>
        <w:t>Facts</w:t>
      </w:r>
      <w:r w:rsidRPr="00BF2A07">
        <w:rPr>
          <w:rFonts w:ascii="Times New Roman" w:hAnsi="Times New Roman"/>
          <w:sz w:val="24"/>
          <w:szCs w:val="24"/>
        </w:rPr>
        <w:t xml:space="preserve"> Data Collection School Years 202</w:t>
      </w:r>
      <w:r w:rsidR="00991CF1">
        <w:rPr>
          <w:rFonts w:ascii="Times New Roman" w:hAnsi="Times New Roman"/>
          <w:sz w:val="24"/>
          <w:szCs w:val="24"/>
        </w:rPr>
        <w:t>2-23</w:t>
      </w:r>
      <w:r w:rsidR="00B65DA8">
        <w:rPr>
          <w:rFonts w:ascii="Times New Roman" w:hAnsi="Times New Roman"/>
          <w:sz w:val="24"/>
          <w:szCs w:val="24"/>
        </w:rPr>
        <w:t>,</w:t>
      </w:r>
      <w:r w:rsidRPr="00BF2A07">
        <w:rPr>
          <w:rFonts w:ascii="Times New Roman" w:hAnsi="Times New Roman"/>
          <w:sz w:val="24"/>
          <w:szCs w:val="24"/>
        </w:rPr>
        <w:t xml:space="preserve"> </w:t>
      </w:r>
      <w:r w:rsidR="00C76C91">
        <w:rPr>
          <w:rFonts w:ascii="Times New Roman" w:hAnsi="Times New Roman"/>
          <w:sz w:val="24"/>
          <w:szCs w:val="24"/>
        </w:rPr>
        <w:t>2023</w:t>
      </w:r>
      <w:r w:rsidR="00B65DA8">
        <w:rPr>
          <w:rFonts w:ascii="Times New Roman" w:hAnsi="Times New Roman"/>
          <w:sz w:val="24"/>
          <w:szCs w:val="24"/>
        </w:rPr>
        <w:t>-24, and</w:t>
      </w:r>
      <w:r w:rsidRPr="00BF2A07" w:rsidR="007B00F3">
        <w:rPr>
          <w:rFonts w:ascii="Times New Roman" w:hAnsi="Times New Roman"/>
          <w:sz w:val="24"/>
          <w:szCs w:val="24"/>
        </w:rPr>
        <w:t xml:space="preserve"> </w:t>
      </w:r>
      <w:r w:rsidRPr="00BF2A07">
        <w:rPr>
          <w:rFonts w:ascii="Times New Roman" w:hAnsi="Times New Roman"/>
          <w:sz w:val="24"/>
          <w:szCs w:val="24"/>
        </w:rPr>
        <w:t>202</w:t>
      </w:r>
      <w:r w:rsidR="00991CF1">
        <w:rPr>
          <w:rFonts w:ascii="Times New Roman" w:hAnsi="Times New Roman"/>
          <w:sz w:val="24"/>
          <w:szCs w:val="24"/>
        </w:rPr>
        <w:t>4-25</w:t>
      </w:r>
      <w:r w:rsidRPr="00BF2A07">
        <w:rPr>
          <w:rFonts w:ascii="Times New Roman" w:hAnsi="Times New Roman"/>
          <w:sz w:val="24"/>
          <w:szCs w:val="24"/>
        </w:rPr>
        <w:t xml:space="preserve"> </w:t>
      </w:r>
      <w:r w:rsidR="00F051CB">
        <w:rPr>
          <w:rFonts w:ascii="Times New Roman" w:hAnsi="Times New Roman"/>
          <w:sz w:val="24"/>
          <w:szCs w:val="24"/>
        </w:rPr>
        <w:t>Spring</w:t>
      </w:r>
      <w:r w:rsidR="00991CF1">
        <w:rPr>
          <w:rFonts w:ascii="Times New Roman" w:hAnsi="Times New Roman"/>
          <w:sz w:val="24"/>
          <w:szCs w:val="24"/>
        </w:rPr>
        <w:t xml:space="preserve"> 202</w:t>
      </w:r>
      <w:r w:rsidR="00F051CB">
        <w:rPr>
          <w:rFonts w:ascii="Times New Roman" w:hAnsi="Times New Roman"/>
          <w:sz w:val="24"/>
          <w:szCs w:val="24"/>
        </w:rPr>
        <w:t>3</w:t>
      </w:r>
      <w:r w:rsidR="0040440F">
        <w:rPr>
          <w:rFonts w:ascii="Times New Roman" w:hAnsi="Times New Roman"/>
          <w:sz w:val="24"/>
          <w:szCs w:val="24"/>
        </w:rPr>
        <w:t xml:space="preserve"> Change Request </w:t>
      </w:r>
      <w:r w:rsidRPr="00E75CDC">
        <w:rPr>
          <w:rFonts w:ascii="Times New Roman" w:hAnsi="Times New Roman"/>
          <w:sz w:val="24"/>
          <w:szCs w:val="24"/>
        </w:rPr>
        <w:t>(OMB# 1850-0925</w:t>
      </w:r>
      <w:r w:rsidR="00A84E23">
        <w:rPr>
          <w:rFonts w:ascii="Times New Roman" w:hAnsi="Times New Roman"/>
          <w:sz w:val="24"/>
          <w:szCs w:val="24"/>
        </w:rPr>
        <w:t xml:space="preserve"> v.</w:t>
      </w:r>
      <w:r w:rsidR="008506DF">
        <w:rPr>
          <w:rFonts w:ascii="Times New Roman" w:hAnsi="Times New Roman"/>
          <w:sz w:val="24"/>
          <w:szCs w:val="24"/>
        </w:rPr>
        <w:t>10</w:t>
      </w:r>
      <w:r w:rsidRPr="00E75CDC">
        <w:rPr>
          <w:rFonts w:ascii="Times New Roman" w:hAnsi="Times New Roman"/>
          <w:sz w:val="24"/>
          <w:szCs w:val="24"/>
        </w:rPr>
        <w:t>)</w:t>
      </w:r>
      <w:r>
        <w:rPr>
          <w:rFonts w:ascii="Times New Roman" w:hAnsi="Times New Roman"/>
          <w:sz w:val="24"/>
          <w:szCs w:val="24"/>
        </w:rPr>
        <w:t xml:space="preserve">  </w:t>
      </w:r>
    </w:p>
    <w:p w:rsidR="009463E0" w:rsidRPr="002C7A3F" w:rsidP="00386D90" w14:paraId="48F82232" w14:textId="36ADE1E2">
      <w:pPr>
        <w:spacing w:after="240" w:line="276" w:lineRule="auto"/>
        <w:rPr>
          <w:color w:val="000000" w:themeColor="text1"/>
        </w:rPr>
      </w:pPr>
      <w:r w:rsidRPr="00BC1FAD">
        <w:t>ED</w:t>
      </w:r>
      <w:r w:rsidRPr="00B212C4">
        <w:rPr>
          <w:i/>
          <w:iCs/>
        </w:rPr>
        <w:t>Facts</w:t>
      </w:r>
      <w:r w:rsidRPr="00BC1FAD">
        <w:t xml:space="preserve"> is a U.S. Department of Education (ED) initiative, conducted by the National Center for Education Statistics (NCES), to collect, analyze, report on, and promote the use of high-quality, pre-kindergarten through grade 12 (pre-K–12) performance data for use in education planning, policymaking, and management and budget decision making to improve outcomes for students. ED</w:t>
      </w:r>
      <w:r w:rsidRPr="009463E0">
        <w:rPr>
          <w:i/>
          <w:iCs/>
        </w:rPr>
        <w:t>Facts</w:t>
      </w:r>
      <w:r w:rsidRPr="00BC1FAD">
        <w:t xml:space="preserve"> collects </w:t>
      </w:r>
      <w:r w:rsidR="008E2CD4">
        <w:t>data</w:t>
      </w:r>
      <w:r w:rsidRPr="00BC1FAD" w:rsidR="008E2CD4">
        <w:t xml:space="preserve"> </w:t>
      </w:r>
      <w:r w:rsidRPr="00B212C4">
        <w:rPr>
          <w:b/>
          <w:bCs/>
        </w:rPr>
        <w:t>on behalf of</w:t>
      </w:r>
      <w:r w:rsidRPr="00BC1FAD">
        <w:t xml:space="preserve"> ED grant and program offices for approximately </w:t>
      </w:r>
      <w:r w:rsidRPr="00D41CE5">
        <w:t>150</w:t>
      </w:r>
      <w:r w:rsidRPr="00BC1FAD">
        <w:t xml:space="preserve"> data groups for all 50 states, Washington DC, Puerto Rico, and seven outlying areas and freely associated states (American Samoa, Federated States of Micronesia, Guam, Marshall Islands, Commonwealth of the Northern Mariana Islands, Republic of Palau, and the U.S. Virgin Islands), the Department of Defense Education Activity (DoDEA), and the Bureau of Indian Education (B</w:t>
      </w:r>
      <w:r w:rsidRPr="002C7A3F">
        <w:rPr>
          <w:color w:val="000000" w:themeColor="text1"/>
        </w:rPr>
        <w:t>IE). The request to collect ED</w:t>
      </w:r>
      <w:r w:rsidRPr="002C7A3F">
        <w:rPr>
          <w:i/>
          <w:iCs/>
          <w:color w:val="000000" w:themeColor="text1"/>
        </w:rPr>
        <w:t>Facts</w:t>
      </w:r>
      <w:r w:rsidRPr="002C7A3F">
        <w:rPr>
          <w:color w:val="000000" w:themeColor="text1"/>
        </w:rPr>
        <w:t xml:space="preserve"> data for the 20</w:t>
      </w:r>
      <w:r w:rsidRPr="002C7A3F" w:rsidR="002C7A3F">
        <w:rPr>
          <w:color w:val="000000" w:themeColor="text1"/>
        </w:rPr>
        <w:t>22-23</w:t>
      </w:r>
      <w:r w:rsidRPr="002C7A3F">
        <w:rPr>
          <w:color w:val="000000" w:themeColor="text1"/>
        </w:rPr>
        <w:t>, 202</w:t>
      </w:r>
      <w:r w:rsidRPr="002C7A3F" w:rsidR="002C7A3F">
        <w:rPr>
          <w:color w:val="000000" w:themeColor="text1"/>
        </w:rPr>
        <w:t>3</w:t>
      </w:r>
      <w:r w:rsidRPr="002C7A3F">
        <w:rPr>
          <w:color w:val="000000" w:themeColor="text1"/>
        </w:rPr>
        <w:t>-2</w:t>
      </w:r>
      <w:r w:rsidRPr="002C7A3F" w:rsidR="002C7A3F">
        <w:rPr>
          <w:color w:val="000000" w:themeColor="text1"/>
        </w:rPr>
        <w:t>4</w:t>
      </w:r>
      <w:r w:rsidRPr="002C7A3F">
        <w:rPr>
          <w:color w:val="000000" w:themeColor="text1"/>
        </w:rPr>
        <w:t>, and 202</w:t>
      </w:r>
      <w:r w:rsidRPr="002C7A3F" w:rsidR="002C7A3F">
        <w:rPr>
          <w:color w:val="000000" w:themeColor="text1"/>
        </w:rPr>
        <w:t>4</w:t>
      </w:r>
      <w:r w:rsidRPr="002C7A3F">
        <w:rPr>
          <w:color w:val="000000" w:themeColor="text1"/>
        </w:rPr>
        <w:t>-2</w:t>
      </w:r>
      <w:r w:rsidRPr="002C7A3F" w:rsidR="002C7A3F">
        <w:rPr>
          <w:color w:val="000000" w:themeColor="text1"/>
        </w:rPr>
        <w:t>5</w:t>
      </w:r>
      <w:r w:rsidRPr="002C7A3F">
        <w:rPr>
          <w:color w:val="000000" w:themeColor="text1"/>
        </w:rPr>
        <w:t xml:space="preserve"> school years was approved </w:t>
      </w:r>
      <w:r w:rsidR="008F34D0">
        <w:rPr>
          <w:color w:val="000000" w:themeColor="text1"/>
        </w:rPr>
        <w:t>in</w:t>
      </w:r>
      <w:r w:rsidRPr="002C7A3F" w:rsidR="002C7A3F">
        <w:rPr>
          <w:color w:val="000000" w:themeColor="text1"/>
        </w:rPr>
        <w:t xml:space="preserve"> July 2022</w:t>
      </w:r>
      <w:r w:rsidRPr="002C7A3F">
        <w:rPr>
          <w:color w:val="000000" w:themeColor="text1"/>
        </w:rPr>
        <w:t xml:space="preserve"> (OMB# 1850-0925</w:t>
      </w:r>
      <w:r w:rsidRPr="002C7A3F" w:rsidR="002C7A3F">
        <w:rPr>
          <w:color w:val="000000" w:themeColor="text1"/>
        </w:rPr>
        <w:t>)</w:t>
      </w:r>
      <w:r w:rsidRPr="002C7A3F">
        <w:rPr>
          <w:color w:val="000000" w:themeColor="text1"/>
        </w:rPr>
        <w:t>.</w:t>
      </w:r>
    </w:p>
    <w:p w:rsidR="000578C6" w:rsidRPr="007E0C7D" w:rsidP="00684A51" w14:paraId="1E498D85" w14:textId="357147BB">
      <w:pPr>
        <w:spacing w:line="276" w:lineRule="auto"/>
        <w:rPr>
          <w:color w:val="000000" w:themeColor="text1"/>
        </w:rPr>
      </w:pPr>
      <w:r>
        <w:rPr>
          <w:color w:val="000000" w:themeColor="text1"/>
        </w:rPr>
        <w:t xml:space="preserve">There are no changes to respondent burden or cost to the federal government. </w:t>
      </w:r>
      <w:r w:rsidRPr="007E0C7D">
        <w:rPr>
          <w:color w:val="000000" w:themeColor="text1"/>
        </w:rPr>
        <w:t xml:space="preserve">There are </w:t>
      </w:r>
      <w:r w:rsidR="0090039E">
        <w:rPr>
          <w:color w:val="000000" w:themeColor="text1"/>
        </w:rPr>
        <w:t>three types of</w:t>
      </w:r>
      <w:r w:rsidRPr="007E0C7D">
        <w:rPr>
          <w:color w:val="000000" w:themeColor="text1"/>
        </w:rPr>
        <w:t xml:space="preserve"> updates included in this memo.</w:t>
      </w:r>
    </w:p>
    <w:p w:rsidR="000578C6" w:rsidRPr="007E0C7D" w:rsidP="000578C6" w14:paraId="06C6E596" w14:textId="72536045">
      <w:pPr>
        <w:pStyle w:val="ListParagraph"/>
        <w:numPr>
          <w:ilvl w:val="0"/>
          <w:numId w:val="11"/>
        </w:numPr>
        <w:spacing w:after="240" w:line="276" w:lineRule="auto"/>
        <w:rPr>
          <w:color w:val="000000" w:themeColor="text1"/>
        </w:rPr>
      </w:pPr>
      <w:r>
        <w:rPr>
          <w:color w:val="000000" w:themeColor="text1"/>
        </w:rPr>
        <w:t>Retire unneeded file and subtotal</w:t>
      </w:r>
    </w:p>
    <w:p w:rsidR="000578C6" w:rsidP="000578C6" w14:paraId="338EC584" w14:textId="3E929F47">
      <w:pPr>
        <w:pStyle w:val="ListParagraph"/>
        <w:numPr>
          <w:ilvl w:val="0"/>
          <w:numId w:val="11"/>
        </w:numPr>
        <w:spacing w:after="240" w:line="276" w:lineRule="auto"/>
        <w:rPr>
          <w:color w:val="000000" w:themeColor="text1"/>
        </w:rPr>
      </w:pPr>
      <w:r w:rsidRPr="007E0C7D">
        <w:rPr>
          <w:color w:val="000000" w:themeColor="text1"/>
        </w:rPr>
        <w:t xml:space="preserve">Request </w:t>
      </w:r>
      <w:r w:rsidR="002F03B6">
        <w:rPr>
          <w:color w:val="000000" w:themeColor="text1"/>
        </w:rPr>
        <w:t>t</w:t>
      </w:r>
      <w:r w:rsidRPr="007E0C7D">
        <w:rPr>
          <w:color w:val="000000" w:themeColor="text1"/>
        </w:rPr>
        <w:t>echnical c</w:t>
      </w:r>
      <w:r w:rsidR="005E12A2">
        <w:rPr>
          <w:color w:val="000000" w:themeColor="text1"/>
        </w:rPr>
        <w:t>orrections</w:t>
      </w:r>
    </w:p>
    <w:p w:rsidR="0090039E" w:rsidRPr="007E0C7D" w:rsidP="000578C6" w14:paraId="63FB7E61" w14:textId="52C81EAC">
      <w:pPr>
        <w:pStyle w:val="ListParagraph"/>
        <w:numPr>
          <w:ilvl w:val="0"/>
          <w:numId w:val="11"/>
        </w:numPr>
        <w:spacing w:after="240" w:line="276" w:lineRule="auto"/>
        <w:rPr>
          <w:color w:val="000000" w:themeColor="text1"/>
        </w:rPr>
      </w:pPr>
      <w:r>
        <w:rPr>
          <w:color w:val="000000" w:themeColor="text1"/>
        </w:rPr>
        <w:t>Metadata collections updates</w:t>
      </w:r>
    </w:p>
    <w:p w:rsidR="006C3693" w:rsidRPr="000578C6" w:rsidP="000D4125" w14:paraId="0B9F4AD6" w14:textId="77777777">
      <w:pPr>
        <w:pStyle w:val="ListParagraph"/>
        <w:spacing w:line="276" w:lineRule="auto"/>
        <w:rPr>
          <w:color w:val="FF0000"/>
        </w:rPr>
      </w:pPr>
    </w:p>
    <w:p w:rsidR="00101392" w:rsidRPr="00F672DE" w:rsidP="00F672DE" w14:paraId="37699516" w14:textId="11B8637F">
      <w:pPr>
        <w:pStyle w:val="Heading1"/>
      </w:pPr>
      <w:r w:rsidRPr="00F672DE">
        <w:t xml:space="preserve">Change Request: </w:t>
      </w:r>
      <w:r w:rsidRPr="00F672DE" w:rsidR="00772679">
        <w:t xml:space="preserve">Retire </w:t>
      </w:r>
      <w:r w:rsidRPr="00F672DE" w:rsidR="005E12A2">
        <w:t>U</w:t>
      </w:r>
      <w:r w:rsidRPr="00F672DE" w:rsidR="00772679">
        <w:t xml:space="preserve">nneeded </w:t>
      </w:r>
      <w:r w:rsidRPr="00F672DE" w:rsidR="00354AFF">
        <w:t>Items</w:t>
      </w:r>
    </w:p>
    <w:p w:rsidR="00B63DDD" w:rsidP="004C2874" w14:paraId="7C150483" w14:textId="7B8DD36E">
      <w:pPr>
        <w:pStyle w:val="ListParagraph"/>
        <w:numPr>
          <w:ilvl w:val="0"/>
          <w:numId w:val="19"/>
        </w:numPr>
        <w:ind w:left="360"/>
      </w:pPr>
      <w:r w:rsidRPr="00B63DDD">
        <w:rPr>
          <w:u w:val="single"/>
        </w:rPr>
        <w:t>File Specification 122 (MEP Students Eligible and Served - Summer/Intersession) and File Specification 121 (Migratory Students Eligible - 12 Months)</w:t>
      </w:r>
      <w:r>
        <w:t>:</w:t>
      </w:r>
      <w:r w:rsidRPr="00B63DDD">
        <w:t xml:space="preserve"> </w:t>
      </w:r>
      <w:r w:rsidR="001D13F9">
        <w:t>T</w:t>
      </w:r>
      <w:r w:rsidR="00AD557B">
        <w:t xml:space="preserve">he data </w:t>
      </w:r>
      <w:r w:rsidR="00020A95">
        <w:t>owner</w:t>
      </w:r>
      <w:r w:rsidR="00AD557B">
        <w:t xml:space="preserve">, the Office of </w:t>
      </w:r>
      <w:r w:rsidR="00772679">
        <w:t>Migrant Education</w:t>
      </w:r>
      <w:r w:rsidR="001D13F9">
        <w:t xml:space="preserve">, </w:t>
      </w:r>
      <w:r w:rsidR="00E465F2">
        <w:t xml:space="preserve">recently </w:t>
      </w:r>
      <w:r w:rsidRPr="00772679" w:rsidR="00772679">
        <w:t xml:space="preserve">received approval to use </w:t>
      </w:r>
      <w:r w:rsidR="005E12A2">
        <w:t xml:space="preserve">Child Count data collected through </w:t>
      </w:r>
      <w:r w:rsidR="00772679">
        <w:t xml:space="preserve">the </w:t>
      </w:r>
      <w:r w:rsidR="005E12A2">
        <w:t>Migrant Student Information Exchange (</w:t>
      </w:r>
      <w:r w:rsidRPr="00772679" w:rsidR="00772679">
        <w:t>MSIX</w:t>
      </w:r>
      <w:r w:rsidR="005E12A2">
        <w:t>)</w:t>
      </w:r>
      <w:r w:rsidRPr="00772679" w:rsidR="00772679">
        <w:t>, making the ED</w:t>
      </w:r>
      <w:r w:rsidRPr="004C2874" w:rsidR="00772679">
        <w:rPr>
          <w:i/>
          <w:iCs/>
        </w:rPr>
        <w:t>Facts</w:t>
      </w:r>
      <w:r w:rsidRPr="00772679" w:rsidR="00772679">
        <w:t xml:space="preserve"> collection of the same data redundant.</w:t>
      </w:r>
      <w:r w:rsidR="00C47222">
        <w:t xml:space="preserve"> </w:t>
      </w:r>
      <w:r w:rsidR="007B00F3">
        <w:t xml:space="preserve">See MSIX Information Collection OMB 1810-0683. </w:t>
      </w:r>
      <w:r w:rsidR="005E12A2">
        <w:t>Therefore, b</w:t>
      </w:r>
      <w:r w:rsidRPr="001E75D8" w:rsidR="00C47222">
        <w:t>eginning with SY</w:t>
      </w:r>
      <w:r w:rsidRPr="001E75D8" w:rsidR="00ED3409">
        <w:t xml:space="preserve"> </w:t>
      </w:r>
      <w:r w:rsidRPr="001E75D8" w:rsidR="00C47222">
        <w:t>202</w:t>
      </w:r>
      <w:r w:rsidRPr="001E75D8" w:rsidR="00BD2062">
        <w:t>1</w:t>
      </w:r>
      <w:r w:rsidRPr="001E75D8" w:rsidR="00C47222">
        <w:t>-2</w:t>
      </w:r>
      <w:r w:rsidR="00BD2062">
        <w:t>2</w:t>
      </w:r>
      <w:r w:rsidR="00772679">
        <w:t xml:space="preserve">, </w:t>
      </w:r>
      <w:r w:rsidR="009463E0">
        <w:t>F</w:t>
      </w:r>
      <w:r w:rsidR="002B3B6F">
        <w:t xml:space="preserve">ile </w:t>
      </w:r>
      <w:r w:rsidR="009463E0">
        <w:t>S</w:t>
      </w:r>
      <w:r w:rsidR="002B3B6F">
        <w:t xml:space="preserve">pecification 122 </w:t>
      </w:r>
      <w:r w:rsidR="00772679">
        <w:t>will be retired</w:t>
      </w:r>
      <w:r w:rsidR="0013329A">
        <w:t>.</w:t>
      </w:r>
      <w:r w:rsidR="001D13F9">
        <w:t xml:space="preserve"> </w:t>
      </w:r>
      <w:r w:rsidR="001E75D8">
        <w:t>Also,</w:t>
      </w:r>
      <w:r w:rsidR="00B53505">
        <w:t xml:space="preserve"> the </w:t>
      </w:r>
      <w:r w:rsidR="001E75D8">
        <w:t>subt</w:t>
      </w:r>
      <w:r w:rsidR="00B53505">
        <w:t>otal for</w:t>
      </w:r>
      <w:r w:rsidRPr="00B53505" w:rsidR="00B53505">
        <w:t xml:space="preserve"> </w:t>
      </w:r>
      <w:r w:rsidR="005E12A2">
        <w:t>D</w:t>
      </w:r>
      <w:r w:rsidR="00B53505">
        <w:t xml:space="preserve">ata </w:t>
      </w:r>
      <w:r w:rsidR="005E12A2">
        <w:t>G</w:t>
      </w:r>
      <w:r w:rsidR="00B53505">
        <w:t>roup 634 (</w:t>
      </w:r>
      <w:r w:rsidRPr="00772679" w:rsidR="00B53505">
        <w:t>Migratory students eligible 12-month table</w:t>
      </w:r>
      <w:r w:rsidR="00B53505">
        <w:t xml:space="preserve">), </w:t>
      </w:r>
      <w:r w:rsidR="009463E0">
        <w:t>collected in F</w:t>
      </w:r>
      <w:r w:rsidR="00B53505">
        <w:t xml:space="preserve">ile </w:t>
      </w:r>
      <w:r w:rsidR="009463E0">
        <w:t>S</w:t>
      </w:r>
      <w:r w:rsidR="00B53505">
        <w:t xml:space="preserve">pecification 121 </w:t>
      </w:r>
      <w:r w:rsidR="001E75D8">
        <w:t>can</w:t>
      </w:r>
      <w:r w:rsidR="00B53505">
        <w:t xml:space="preserve"> be removed beginning in SY 2022-23.</w:t>
      </w:r>
      <w:r w:rsidR="005A2F88">
        <w:t xml:space="preserve"> These retirements will reduce burden to states that had to report duplicate data to ED</w:t>
      </w:r>
      <w:r w:rsidRPr="004C2874" w:rsidR="005A2F88">
        <w:rPr>
          <w:i/>
          <w:iCs/>
        </w:rPr>
        <w:t>Facts</w:t>
      </w:r>
      <w:r w:rsidR="005A2F88">
        <w:t xml:space="preserve"> and MSIX in the past.</w:t>
      </w:r>
      <w:r w:rsidR="004C2874">
        <w:t xml:space="preserve"> </w:t>
      </w:r>
    </w:p>
    <w:p w:rsidR="00354AFF" w:rsidP="00354AFF" w14:paraId="33C2B142" w14:textId="26621E31">
      <w:pPr>
        <w:pStyle w:val="ListParagraph"/>
        <w:ind w:left="360"/>
        <w:rPr>
          <w:i/>
          <w:iCs/>
        </w:rPr>
      </w:pPr>
      <w:r w:rsidRPr="004B53C2">
        <w:rPr>
          <w:i/>
          <w:iCs/>
        </w:rPr>
        <w:t xml:space="preserve">[Attachment </w:t>
      </w:r>
      <w:r w:rsidRPr="004B53C2">
        <w:rPr>
          <w:i/>
          <w:iCs/>
        </w:rPr>
        <w:t>A</w:t>
      </w:r>
      <w:r w:rsidRPr="004B53C2">
        <w:rPr>
          <w:i/>
          <w:iCs/>
        </w:rPr>
        <w:t xml:space="preserve"> Excel, Data Groups Tab, Row 68 and 67</w:t>
      </w:r>
      <w:r w:rsidR="000D4125">
        <w:rPr>
          <w:i/>
          <w:iCs/>
        </w:rPr>
        <w:t>:</w:t>
      </w:r>
      <w:r w:rsidR="00561E91">
        <w:rPr>
          <w:i/>
          <w:iCs/>
        </w:rPr>
        <w:t xml:space="preserve"> </w:t>
      </w:r>
      <w:r w:rsidR="000D4125">
        <w:rPr>
          <w:i/>
          <w:iCs/>
        </w:rPr>
        <w:t>Attachment A PDF, Page</w:t>
      </w:r>
      <w:r w:rsidR="002822C8">
        <w:rPr>
          <w:i/>
          <w:iCs/>
        </w:rPr>
        <w:t>s</w:t>
      </w:r>
      <w:r w:rsidR="000D4125">
        <w:rPr>
          <w:i/>
          <w:iCs/>
        </w:rPr>
        <w:t xml:space="preserve"> </w:t>
      </w:r>
      <w:r w:rsidR="007A621A">
        <w:rPr>
          <w:i/>
          <w:iCs/>
        </w:rPr>
        <w:t>7</w:t>
      </w:r>
      <w:r w:rsidR="000332E5">
        <w:rPr>
          <w:i/>
          <w:iCs/>
        </w:rPr>
        <w:t>5</w:t>
      </w:r>
      <w:r w:rsidR="002822C8">
        <w:rPr>
          <w:i/>
          <w:iCs/>
        </w:rPr>
        <w:t xml:space="preserve"> and </w:t>
      </w:r>
      <w:r w:rsidR="00DD75F0">
        <w:rPr>
          <w:i/>
          <w:iCs/>
        </w:rPr>
        <w:t>7</w:t>
      </w:r>
      <w:r w:rsidR="000332E5">
        <w:rPr>
          <w:i/>
          <w:iCs/>
        </w:rPr>
        <w:t>3</w:t>
      </w:r>
      <w:r w:rsidRPr="004B53C2">
        <w:rPr>
          <w:i/>
          <w:iCs/>
        </w:rPr>
        <w:t>]</w:t>
      </w:r>
    </w:p>
    <w:p w:rsidR="0009555E" w:rsidRPr="00C648F2" w:rsidP="005D21C0" w14:paraId="565B068A" w14:textId="227101B5">
      <w:pPr>
        <w:pStyle w:val="Heading1"/>
      </w:pPr>
      <w:r w:rsidRPr="000D2051">
        <w:t xml:space="preserve">Change Request: </w:t>
      </w:r>
      <w:r w:rsidRPr="000D2051" w:rsidR="00C648F2">
        <w:t>Technical Corrections</w:t>
      </w:r>
    </w:p>
    <w:p w:rsidR="00FA5E84" w:rsidP="00F75674" w14:paraId="1C94E750" w14:textId="00D01F6A">
      <w:pPr>
        <w:pStyle w:val="ListParagraph"/>
        <w:numPr>
          <w:ilvl w:val="0"/>
          <w:numId w:val="23"/>
        </w:numPr>
        <w:spacing w:line="276" w:lineRule="auto"/>
      </w:pPr>
      <w:bookmarkStart w:id="0" w:name="_Hlk118045649"/>
      <w:bookmarkStart w:id="1" w:name="_Hlk118045497"/>
      <w:r w:rsidRPr="00F75674">
        <w:rPr>
          <w:u w:val="single"/>
        </w:rPr>
        <w:t>File specification 029</w:t>
      </w:r>
      <w:r w:rsidRPr="00F75674" w:rsidR="00B22883">
        <w:rPr>
          <w:u w:val="single"/>
        </w:rPr>
        <w:t xml:space="preserve"> (Directory)</w:t>
      </w:r>
      <w:r>
        <w:t xml:space="preserve">: </w:t>
      </w:r>
      <w:bookmarkEnd w:id="0"/>
    </w:p>
    <w:p w:rsidR="00FA5E84" w:rsidP="00FA5E84" w14:paraId="4DDDDBBF" w14:textId="28DA195D">
      <w:pPr>
        <w:pStyle w:val="ListParagraph"/>
        <w:numPr>
          <w:ilvl w:val="0"/>
          <w:numId w:val="22"/>
        </w:numPr>
        <w:spacing w:line="276" w:lineRule="auto"/>
        <w:ind w:left="900"/>
      </w:pPr>
      <w:bookmarkStart w:id="2" w:name="_Hlk130198693"/>
      <w:r>
        <w:t>The definition in data groups 1 (</w:t>
      </w:r>
      <w:r w:rsidR="00C01A6F">
        <w:t>LEA Identifier) and 529 (School Identifier)</w:t>
      </w:r>
      <w:r w:rsidR="008F0F72">
        <w:t xml:space="preserve"> has a type, </w:t>
      </w:r>
      <w:r w:rsidR="00C01A6F">
        <w:t xml:space="preserve">need </w:t>
      </w:r>
      <w:r w:rsidRPr="00FA5E84">
        <w:t>to update from “ANCI” to “ANSI”</w:t>
      </w:r>
      <w:r w:rsidR="00C01A6F">
        <w:t>. Definition</w:t>
      </w:r>
      <w:r w:rsidR="008F0F72">
        <w:t>s</w:t>
      </w:r>
      <w:r w:rsidR="00C01A6F">
        <w:t xml:space="preserve"> w</w:t>
      </w:r>
      <w:r w:rsidR="008F0F72">
        <w:t>ere</w:t>
      </w:r>
      <w:r w:rsidR="00C01A6F">
        <w:t xml:space="preserve"> updated.</w:t>
      </w:r>
    </w:p>
    <w:p w:rsidR="00D04455" w:rsidRPr="00D04455" w:rsidP="00D04455" w14:paraId="5C012B61" w14:textId="5C447141">
      <w:pPr>
        <w:spacing w:line="276" w:lineRule="auto"/>
        <w:ind w:left="180" w:firstLine="720"/>
        <w:rPr>
          <w:i/>
          <w:iCs/>
        </w:rPr>
      </w:pPr>
      <w:r w:rsidRPr="00D04455">
        <w:rPr>
          <w:i/>
          <w:iCs/>
        </w:rPr>
        <w:t xml:space="preserve">[Attachment </w:t>
      </w:r>
      <w:r w:rsidRPr="00D04455">
        <w:rPr>
          <w:i/>
          <w:iCs/>
        </w:rPr>
        <w:t>A</w:t>
      </w:r>
      <w:r w:rsidRPr="00D04455">
        <w:rPr>
          <w:i/>
          <w:iCs/>
        </w:rPr>
        <w:t xml:space="preserve"> Excel, Data Groups Tab, Rows 2 and 20</w:t>
      </w:r>
      <w:r w:rsidRPr="000D4125" w:rsidR="000D4125">
        <w:rPr>
          <w:i/>
          <w:iCs/>
        </w:rPr>
        <w:t>; Attachment A PDF, Page</w:t>
      </w:r>
      <w:r w:rsidR="00CC0D4E">
        <w:rPr>
          <w:i/>
          <w:iCs/>
        </w:rPr>
        <w:t>s</w:t>
      </w:r>
      <w:r w:rsidRPr="000D4125" w:rsidR="000D4125">
        <w:rPr>
          <w:i/>
          <w:iCs/>
        </w:rPr>
        <w:t xml:space="preserve"> </w:t>
      </w:r>
      <w:r w:rsidR="00470A56">
        <w:rPr>
          <w:i/>
          <w:iCs/>
        </w:rPr>
        <w:t>2</w:t>
      </w:r>
      <w:r w:rsidR="00CC0D4E">
        <w:rPr>
          <w:i/>
          <w:iCs/>
        </w:rPr>
        <w:t xml:space="preserve"> and 22</w:t>
      </w:r>
      <w:r w:rsidRPr="00D04455">
        <w:rPr>
          <w:i/>
          <w:iCs/>
        </w:rPr>
        <w:t>]</w:t>
      </w:r>
    </w:p>
    <w:p w:rsidR="00D04455" w:rsidP="00D04455" w14:paraId="03E256CC" w14:textId="77777777">
      <w:pPr>
        <w:pStyle w:val="ListParagraph"/>
        <w:spacing w:line="276" w:lineRule="auto"/>
        <w:ind w:left="900"/>
      </w:pPr>
    </w:p>
    <w:p w:rsidR="00D04455" w:rsidP="00FA5E84" w14:paraId="6164CD6E" w14:textId="4B066FD8">
      <w:pPr>
        <w:pStyle w:val="ListParagraph"/>
        <w:numPr>
          <w:ilvl w:val="0"/>
          <w:numId w:val="22"/>
        </w:numPr>
        <w:spacing w:line="276" w:lineRule="auto"/>
        <w:ind w:left="900"/>
      </w:pPr>
      <w:r>
        <w:t xml:space="preserve">The reporting period for data groups </w:t>
      </w:r>
      <w:r w:rsidR="00212DDC">
        <w:t xml:space="preserve">16 </w:t>
      </w:r>
      <w:r>
        <w:t>(LEA Operational Status</w:t>
      </w:r>
      <w:r w:rsidR="00212DDC">
        <w:t>) and 531 (</w:t>
      </w:r>
      <w:r>
        <w:t xml:space="preserve">School Operational Status) needs to change </w:t>
      </w:r>
      <w:r w:rsidR="00627A92">
        <w:t>to “</w:t>
      </w:r>
      <w:r w:rsidRPr="00627A92" w:rsidR="00627A92">
        <w:t>October 1 (or closest school day)</w:t>
      </w:r>
      <w:r w:rsidR="00627A92">
        <w:t>” since there is now</w:t>
      </w:r>
      <w:r>
        <w:t xml:space="preserve"> the new “as of” status codes</w:t>
      </w:r>
      <w:r w:rsidR="00627A92">
        <w:t xml:space="preserve"> as well</w:t>
      </w:r>
      <w:r w:rsidRPr="00F04E36" w:rsidR="00F04E36">
        <w:t xml:space="preserve"> (data groups 16N and 531N)</w:t>
      </w:r>
      <w:r>
        <w:t xml:space="preserve">. </w:t>
      </w:r>
      <w:r w:rsidR="002F5A2D">
        <w:t>T</w:t>
      </w:r>
      <w:r>
        <w:t>he reporting periods</w:t>
      </w:r>
      <w:r w:rsidR="002F5A2D">
        <w:t xml:space="preserve"> were changed</w:t>
      </w:r>
      <w:r>
        <w:t>.</w:t>
      </w:r>
    </w:p>
    <w:p w:rsidR="0022790C" w:rsidRPr="0022790C" w:rsidP="0022790C" w14:paraId="4DABECCD" w14:textId="7493AA27">
      <w:pPr>
        <w:pStyle w:val="ListParagraph"/>
        <w:spacing w:line="276" w:lineRule="auto"/>
        <w:ind w:left="900"/>
        <w:rPr>
          <w:i/>
          <w:iCs/>
        </w:rPr>
      </w:pPr>
      <w:r w:rsidRPr="0022790C">
        <w:rPr>
          <w:i/>
          <w:iCs/>
        </w:rPr>
        <w:t xml:space="preserve">[Attachment </w:t>
      </w:r>
      <w:r w:rsidRPr="0022790C">
        <w:rPr>
          <w:i/>
          <w:iCs/>
        </w:rPr>
        <w:t>A</w:t>
      </w:r>
      <w:r w:rsidRPr="0022790C">
        <w:rPr>
          <w:i/>
          <w:iCs/>
        </w:rPr>
        <w:t xml:space="preserve"> Excel, Data Groups Tab, Rows 10 and 21; Attachment A PDF, Page</w:t>
      </w:r>
      <w:r w:rsidR="00A6262D">
        <w:rPr>
          <w:i/>
          <w:iCs/>
        </w:rPr>
        <w:t>s</w:t>
      </w:r>
      <w:r w:rsidRPr="0022790C">
        <w:rPr>
          <w:i/>
          <w:iCs/>
        </w:rPr>
        <w:t xml:space="preserve"> </w:t>
      </w:r>
      <w:r w:rsidR="00A6262D">
        <w:rPr>
          <w:i/>
          <w:iCs/>
        </w:rPr>
        <w:t>10 and 24</w:t>
      </w:r>
      <w:r w:rsidRPr="0022790C">
        <w:rPr>
          <w:i/>
          <w:iCs/>
        </w:rPr>
        <w:t>]</w:t>
      </w:r>
    </w:p>
    <w:p w:rsidR="0022790C" w:rsidP="0022790C" w14:paraId="6E164D23" w14:textId="77777777">
      <w:pPr>
        <w:pStyle w:val="ListParagraph"/>
        <w:spacing w:line="276" w:lineRule="auto"/>
        <w:ind w:left="900"/>
      </w:pPr>
    </w:p>
    <w:bookmarkEnd w:id="2"/>
    <w:p w:rsidR="003B052E" w:rsidP="00C862F6" w14:paraId="33DB58FD" w14:textId="77777777">
      <w:pPr>
        <w:pStyle w:val="ListParagraph"/>
        <w:numPr>
          <w:ilvl w:val="0"/>
          <w:numId w:val="20"/>
        </w:numPr>
        <w:spacing w:line="276" w:lineRule="auto"/>
      </w:pPr>
      <w:r w:rsidRPr="005922B7">
        <w:rPr>
          <w:u w:val="single"/>
        </w:rPr>
        <w:t>File specifications 054 (MEP Children Served - 12 Months) and 121(Migratory Students Eligible - 12 Months)</w:t>
      </w:r>
      <w:r>
        <w:t xml:space="preserve">: </w:t>
      </w:r>
    </w:p>
    <w:p w:rsidR="00EE04F0" w:rsidP="003B052E" w14:paraId="475E9ECC" w14:textId="3E007D7F">
      <w:pPr>
        <w:pStyle w:val="ListParagraph"/>
        <w:numPr>
          <w:ilvl w:val="1"/>
          <w:numId w:val="20"/>
        </w:numPr>
        <w:spacing w:line="276" w:lineRule="auto"/>
      </w:pPr>
      <w:r>
        <w:t xml:space="preserve">The data category </w:t>
      </w:r>
      <w:r w:rsidR="005922B7">
        <w:t>“</w:t>
      </w:r>
      <w:r w:rsidRPr="005922B7" w:rsidR="005922B7">
        <w:t>Priority for Services (Only)</w:t>
      </w:r>
      <w:r w:rsidR="005922B7">
        <w:t>” should not have “received MEP-funded services and” in the definition. The data category definition was updated.</w:t>
      </w:r>
    </w:p>
    <w:p w:rsidR="00FF2431" w:rsidP="003B052E" w14:paraId="0986408D" w14:textId="2D542DD8">
      <w:pPr>
        <w:pStyle w:val="ListParagraph"/>
        <w:spacing w:line="276" w:lineRule="auto"/>
        <w:ind w:left="360" w:firstLine="360"/>
        <w:rPr>
          <w:i/>
          <w:iCs/>
        </w:rPr>
      </w:pPr>
      <w:r w:rsidRPr="004B53C2">
        <w:rPr>
          <w:i/>
          <w:iCs/>
        </w:rPr>
        <w:t xml:space="preserve">[Attachment </w:t>
      </w:r>
      <w:r w:rsidRPr="004B53C2">
        <w:rPr>
          <w:i/>
          <w:iCs/>
        </w:rPr>
        <w:t>A</w:t>
      </w:r>
      <w:r w:rsidRPr="004B53C2">
        <w:rPr>
          <w:i/>
          <w:iCs/>
        </w:rPr>
        <w:t xml:space="preserve"> Excel, Data Categories Tab, Row </w:t>
      </w:r>
      <w:r>
        <w:rPr>
          <w:i/>
          <w:iCs/>
        </w:rPr>
        <w:t>35; Attachment A PDF, Page 2</w:t>
      </w:r>
      <w:r w:rsidR="00D61310">
        <w:rPr>
          <w:i/>
          <w:iCs/>
        </w:rPr>
        <w:t>5</w:t>
      </w:r>
      <w:r w:rsidR="005D2171">
        <w:rPr>
          <w:i/>
          <w:iCs/>
        </w:rPr>
        <w:t>9</w:t>
      </w:r>
      <w:r w:rsidRPr="004B53C2">
        <w:rPr>
          <w:i/>
          <w:iCs/>
        </w:rPr>
        <w:t>]</w:t>
      </w:r>
    </w:p>
    <w:p w:rsidR="003B052E" w:rsidP="003B052E" w14:paraId="535256B7" w14:textId="77777777">
      <w:pPr>
        <w:pStyle w:val="ListParagraph"/>
        <w:spacing w:line="276" w:lineRule="auto"/>
        <w:ind w:left="360" w:firstLine="360"/>
        <w:rPr>
          <w:i/>
          <w:iCs/>
        </w:rPr>
      </w:pPr>
    </w:p>
    <w:p w:rsidR="003B052E" w:rsidRPr="00423C6D" w:rsidP="003B052E" w14:paraId="55447844" w14:textId="128D95C7">
      <w:pPr>
        <w:pStyle w:val="ListParagraph"/>
        <w:numPr>
          <w:ilvl w:val="1"/>
          <w:numId w:val="20"/>
        </w:numPr>
        <w:spacing w:line="276" w:lineRule="auto"/>
      </w:pPr>
      <w:r w:rsidRPr="00423C6D">
        <w:t xml:space="preserve">The data category “Continuation of Services” </w:t>
      </w:r>
      <w:r w:rsidRPr="00423C6D" w:rsidR="009232EF">
        <w:t>permitted value should be more specific. The permitted value was changed to “Continuation of Services”</w:t>
      </w:r>
      <w:r w:rsidR="00423C6D">
        <w:t>.</w:t>
      </w:r>
    </w:p>
    <w:p w:rsidR="00423C6D" w:rsidRPr="004B53C2" w:rsidP="00423C6D" w14:paraId="5A35ACF7" w14:textId="3CB06B62">
      <w:pPr>
        <w:pStyle w:val="ListParagraph"/>
        <w:spacing w:line="276" w:lineRule="auto"/>
        <w:rPr>
          <w:i/>
          <w:iCs/>
        </w:rPr>
      </w:pPr>
      <w:r w:rsidRPr="00423C6D">
        <w:rPr>
          <w:i/>
          <w:iCs/>
        </w:rPr>
        <w:t xml:space="preserve">[Attachment </w:t>
      </w:r>
      <w:r w:rsidRPr="00423C6D">
        <w:rPr>
          <w:i/>
          <w:iCs/>
        </w:rPr>
        <w:t>A</w:t>
      </w:r>
      <w:r w:rsidRPr="00423C6D">
        <w:rPr>
          <w:i/>
          <w:iCs/>
        </w:rPr>
        <w:t xml:space="preserve"> Excel, Data Categories Tab, Row 3</w:t>
      </w:r>
      <w:r>
        <w:rPr>
          <w:i/>
          <w:iCs/>
        </w:rPr>
        <w:t>6</w:t>
      </w:r>
      <w:r w:rsidRPr="00423C6D">
        <w:rPr>
          <w:i/>
          <w:iCs/>
        </w:rPr>
        <w:t xml:space="preserve">; Attachment A PDF, Page </w:t>
      </w:r>
      <w:r w:rsidRPr="005D2171">
        <w:rPr>
          <w:i/>
          <w:iCs/>
        </w:rPr>
        <w:t>260]</w:t>
      </w:r>
    </w:p>
    <w:p w:rsidR="005922B7" w:rsidP="005922B7" w14:paraId="45AF294A" w14:textId="77777777">
      <w:pPr>
        <w:pStyle w:val="ListParagraph"/>
        <w:spacing w:line="276" w:lineRule="auto"/>
        <w:ind w:left="360"/>
      </w:pPr>
    </w:p>
    <w:p w:rsidR="00EE04F0" w:rsidRPr="00EE04F0" w:rsidP="00EE04F0" w14:paraId="4AD64966" w14:textId="77777777">
      <w:pPr>
        <w:pStyle w:val="ListParagraph"/>
        <w:spacing w:line="276" w:lineRule="auto"/>
        <w:ind w:left="360"/>
      </w:pPr>
    </w:p>
    <w:p w:rsidR="000D2051" w:rsidP="00C862F6" w14:paraId="54036F25" w14:textId="724E7800">
      <w:pPr>
        <w:pStyle w:val="ListParagraph"/>
        <w:numPr>
          <w:ilvl w:val="0"/>
          <w:numId w:val="20"/>
        </w:numPr>
        <w:spacing w:line="276" w:lineRule="auto"/>
      </w:pPr>
      <w:r w:rsidRPr="005B2A16">
        <w:rPr>
          <w:u w:val="single"/>
        </w:rPr>
        <w:t>File specification</w:t>
      </w:r>
      <w:r w:rsidR="0084601D">
        <w:rPr>
          <w:u w:val="single"/>
        </w:rPr>
        <w:t>s</w:t>
      </w:r>
      <w:r w:rsidRPr="005B2A16">
        <w:rPr>
          <w:u w:val="single"/>
        </w:rPr>
        <w:t xml:space="preserve"> </w:t>
      </w:r>
      <w:r w:rsidRPr="005B2A16" w:rsidR="001042FF">
        <w:rPr>
          <w:u w:val="single"/>
        </w:rPr>
        <w:t>127 (N or D Participation – LEA)</w:t>
      </w:r>
      <w:r w:rsidR="001042FF">
        <w:rPr>
          <w:u w:val="single"/>
        </w:rPr>
        <w:t xml:space="preserve"> and </w:t>
      </w:r>
      <w:r w:rsidRPr="005B2A16">
        <w:rPr>
          <w:u w:val="single"/>
        </w:rPr>
        <w:t xml:space="preserve">119 </w:t>
      </w:r>
      <w:r w:rsidRPr="005B2A16" w:rsidR="00AD21A2">
        <w:rPr>
          <w:u w:val="single"/>
        </w:rPr>
        <w:t>(N or D Participation - State Agency)</w:t>
      </w:r>
      <w:r w:rsidR="00AD21A2">
        <w:t xml:space="preserve">: </w:t>
      </w:r>
    </w:p>
    <w:p w:rsidR="000D2051" w:rsidP="000D2051" w14:paraId="67378B27" w14:textId="2CD9D796">
      <w:pPr>
        <w:pStyle w:val="ListParagraph"/>
        <w:numPr>
          <w:ilvl w:val="1"/>
          <w:numId w:val="17"/>
        </w:numPr>
        <w:spacing w:line="276" w:lineRule="auto"/>
        <w:ind w:left="900"/>
      </w:pPr>
      <w:r>
        <w:t>T</w:t>
      </w:r>
      <w:r w:rsidR="002379B5">
        <w:t xml:space="preserve">he name of a data category </w:t>
      </w:r>
      <w:r w:rsidR="00B12978">
        <w:t>(</w:t>
      </w:r>
      <w:r w:rsidRPr="00555366" w:rsidR="00B12978">
        <w:t>N or D Status (Long Term)</w:t>
      </w:r>
      <w:r w:rsidR="00B12978">
        <w:t>)</w:t>
      </w:r>
      <w:r w:rsidRPr="00B12978" w:rsidR="00B12978">
        <w:t xml:space="preserve"> </w:t>
      </w:r>
      <w:r>
        <w:t xml:space="preserve">is different between the </w:t>
      </w:r>
      <w:r w:rsidR="00FD662F">
        <w:t>Data Group and Data Category</w:t>
      </w:r>
      <w:r>
        <w:t xml:space="preserve"> tabs. The data category was </w:t>
      </w:r>
      <w:r w:rsidR="00B12978">
        <w:t xml:space="preserve">updated </w:t>
      </w:r>
      <w:r>
        <w:t xml:space="preserve">in the </w:t>
      </w:r>
      <w:r w:rsidR="00FD662F">
        <w:t>D</w:t>
      </w:r>
      <w:r w:rsidR="001206A5">
        <w:t xml:space="preserve">ata </w:t>
      </w:r>
      <w:r w:rsidR="00FD662F">
        <w:t>C</w:t>
      </w:r>
      <w:r w:rsidR="001206A5">
        <w:t xml:space="preserve">ategory </w:t>
      </w:r>
      <w:r>
        <w:t xml:space="preserve">tab to match the </w:t>
      </w:r>
      <w:r w:rsidR="001206A5">
        <w:t xml:space="preserve">name in the </w:t>
      </w:r>
      <w:r w:rsidR="00FD662F">
        <w:t>D</w:t>
      </w:r>
      <w:r w:rsidR="001206A5">
        <w:t xml:space="preserve">ata </w:t>
      </w:r>
      <w:r w:rsidR="00FD662F">
        <w:t>G</w:t>
      </w:r>
      <w:r w:rsidR="001206A5">
        <w:t xml:space="preserve">roup tab </w:t>
      </w:r>
      <w:r w:rsidR="002379B5">
        <w:t>(</w:t>
      </w:r>
      <w:r w:rsidRPr="00DD1EB6" w:rsidR="002379B5">
        <w:t>N or D Long Term Status</w:t>
      </w:r>
      <w:r w:rsidR="002379B5">
        <w:t>).</w:t>
      </w:r>
    </w:p>
    <w:p w:rsidR="00656C79" w:rsidRPr="004B53C2" w:rsidP="00656C79" w14:paraId="4B45B29B" w14:textId="26548AD9">
      <w:pPr>
        <w:pStyle w:val="ListParagraph"/>
        <w:spacing w:line="276" w:lineRule="auto"/>
        <w:ind w:left="900"/>
        <w:rPr>
          <w:i/>
          <w:iCs/>
        </w:rPr>
      </w:pPr>
      <w:r w:rsidRPr="004B53C2">
        <w:rPr>
          <w:i/>
          <w:iCs/>
        </w:rPr>
        <w:t xml:space="preserve">[Attachment </w:t>
      </w:r>
      <w:r w:rsidRPr="004B53C2">
        <w:rPr>
          <w:i/>
          <w:iCs/>
        </w:rPr>
        <w:t>A</w:t>
      </w:r>
      <w:r w:rsidRPr="004B53C2">
        <w:rPr>
          <w:i/>
          <w:iCs/>
        </w:rPr>
        <w:t xml:space="preserve"> Excel, </w:t>
      </w:r>
      <w:r w:rsidRPr="004B53C2" w:rsidR="00B12978">
        <w:rPr>
          <w:i/>
          <w:iCs/>
        </w:rPr>
        <w:t>Data Categories Tab, Row 52</w:t>
      </w:r>
      <w:r w:rsidR="000D4125">
        <w:rPr>
          <w:i/>
          <w:iCs/>
        </w:rPr>
        <w:t xml:space="preserve">; Attachment A PDF, Page </w:t>
      </w:r>
      <w:r w:rsidR="000332E5">
        <w:rPr>
          <w:i/>
          <w:iCs/>
        </w:rPr>
        <w:t>27</w:t>
      </w:r>
      <w:r w:rsidR="005D2171">
        <w:rPr>
          <w:i/>
          <w:iCs/>
        </w:rPr>
        <w:t>6</w:t>
      </w:r>
      <w:r w:rsidRPr="004B53C2">
        <w:rPr>
          <w:i/>
          <w:iCs/>
        </w:rPr>
        <w:t>]</w:t>
      </w:r>
    </w:p>
    <w:p w:rsidR="00DA2B55" w:rsidP="00656C79" w14:paraId="10CC2763" w14:textId="77777777">
      <w:pPr>
        <w:pStyle w:val="ListParagraph"/>
        <w:spacing w:line="276" w:lineRule="auto"/>
        <w:ind w:left="900"/>
      </w:pPr>
    </w:p>
    <w:p w:rsidR="002379B5" w:rsidRPr="002822C8" w:rsidP="000D2051" w14:paraId="02CE85C4" w14:textId="2E507CA4">
      <w:pPr>
        <w:pStyle w:val="ListParagraph"/>
        <w:numPr>
          <w:ilvl w:val="1"/>
          <w:numId w:val="17"/>
        </w:numPr>
        <w:spacing w:line="276" w:lineRule="auto"/>
        <w:ind w:left="900"/>
      </w:pPr>
      <w:r w:rsidRPr="002822C8">
        <w:t>“</w:t>
      </w:r>
      <w:r w:rsidRPr="002822C8">
        <w:t>Other</w:t>
      </w:r>
      <w:r w:rsidRPr="002822C8">
        <w:t>”</w:t>
      </w:r>
      <w:r w:rsidRPr="002822C8">
        <w:t xml:space="preserve"> can be taken out as a category</w:t>
      </w:r>
      <w:r w:rsidR="002822C8">
        <w:t xml:space="preserve"> in data groups 869 </w:t>
      </w:r>
      <w:r w:rsidR="00294806">
        <w:t>(</w:t>
      </w:r>
      <w:r w:rsidRPr="00294806" w:rsidR="00294806">
        <w:t>Neglected programs participation table - state agency</w:t>
      </w:r>
      <w:r w:rsidR="00294806">
        <w:t xml:space="preserve">) </w:t>
      </w:r>
      <w:r w:rsidR="002822C8">
        <w:t xml:space="preserve">and 870 </w:t>
      </w:r>
      <w:r w:rsidR="00294806">
        <w:t>(</w:t>
      </w:r>
      <w:r w:rsidRPr="00294806" w:rsidR="00294806">
        <w:t>Delinquent programs participation table - state agency</w:t>
      </w:r>
      <w:r w:rsidR="00294806">
        <w:t xml:space="preserve">) </w:t>
      </w:r>
      <w:r w:rsidR="002822C8">
        <w:t>because</w:t>
      </w:r>
      <w:r w:rsidRPr="002822C8">
        <w:t xml:space="preserve"> “Other” is a permitted value in the Neglected Programs (Subpart 1) </w:t>
      </w:r>
      <w:r w:rsidRPr="002822C8" w:rsidR="002822C8">
        <w:t xml:space="preserve">and Delinquent Programs </w:t>
      </w:r>
      <w:r w:rsidRPr="002822C8">
        <w:t>categor</w:t>
      </w:r>
      <w:r w:rsidRPr="002822C8" w:rsidR="002822C8">
        <w:t>ies</w:t>
      </w:r>
      <w:r w:rsidRPr="002822C8">
        <w:t xml:space="preserve"> and serves the same purpose.</w:t>
      </w:r>
      <w:r w:rsidRPr="002822C8" w:rsidR="00661F88">
        <w:t xml:space="preserve"> Other was taken out </w:t>
      </w:r>
      <w:r w:rsidR="002822C8">
        <w:t>for both data groups.</w:t>
      </w:r>
    </w:p>
    <w:p w:rsidR="000D2051" w:rsidRPr="004B53C2" w:rsidP="00913E50" w14:paraId="40ED6209" w14:textId="6602C69B">
      <w:pPr>
        <w:pStyle w:val="ListParagraph"/>
        <w:spacing w:line="276" w:lineRule="auto"/>
        <w:ind w:left="900"/>
        <w:rPr>
          <w:i/>
          <w:iCs/>
        </w:rPr>
      </w:pPr>
      <w:r w:rsidRPr="007307FB">
        <w:rPr>
          <w:i/>
          <w:iCs/>
        </w:rPr>
        <w:t xml:space="preserve">[Attachment </w:t>
      </w:r>
      <w:r w:rsidRPr="007307FB">
        <w:rPr>
          <w:i/>
          <w:iCs/>
        </w:rPr>
        <w:t>A</w:t>
      </w:r>
      <w:r w:rsidRPr="007307FB">
        <w:rPr>
          <w:i/>
          <w:iCs/>
        </w:rPr>
        <w:t xml:space="preserve"> Excel, Data </w:t>
      </w:r>
      <w:r w:rsidRPr="007307FB" w:rsidR="00AE39BD">
        <w:rPr>
          <w:i/>
          <w:iCs/>
        </w:rPr>
        <w:t>Groups</w:t>
      </w:r>
      <w:r w:rsidRPr="007307FB">
        <w:rPr>
          <w:i/>
          <w:iCs/>
        </w:rPr>
        <w:t xml:space="preserve"> Tab, Row</w:t>
      </w:r>
      <w:r w:rsidRPr="007307FB" w:rsidR="00AE39BD">
        <w:rPr>
          <w:i/>
          <w:iCs/>
        </w:rPr>
        <w:t>s</w:t>
      </w:r>
      <w:r w:rsidRPr="007307FB">
        <w:rPr>
          <w:i/>
          <w:iCs/>
        </w:rPr>
        <w:t xml:space="preserve"> </w:t>
      </w:r>
      <w:r w:rsidRPr="007307FB" w:rsidR="002822C8">
        <w:rPr>
          <w:i/>
          <w:iCs/>
        </w:rPr>
        <w:t>150</w:t>
      </w:r>
      <w:r w:rsidRPr="007307FB" w:rsidR="00AE39BD">
        <w:rPr>
          <w:i/>
          <w:iCs/>
        </w:rPr>
        <w:t xml:space="preserve"> and </w:t>
      </w:r>
      <w:r w:rsidRPr="007307FB" w:rsidR="002822C8">
        <w:rPr>
          <w:i/>
          <w:iCs/>
        </w:rPr>
        <w:t>151</w:t>
      </w:r>
      <w:r w:rsidRPr="007307FB" w:rsidR="000332E5">
        <w:rPr>
          <w:i/>
          <w:iCs/>
        </w:rPr>
        <w:t>; Attachment A PDF, Pages 20</w:t>
      </w:r>
      <w:r w:rsidR="005D2171">
        <w:rPr>
          <w:i/>
          <w:iCs/>
        </w:rPr>
        <w:t>2</w:t>
      </w:r>
      <w:r w:rsidRPr="007307FB" w:rsidR="000332E5">
        <w:rPr>
          <w:i/>
          <w:iCs/>
        </w:rPr>
        <w:t xml:space="preserve"> and 20</w:t>
      </w:r>
      <w:r w:rsidR="005D2171">
        <w:rPr>
          <w:i/>
          <w:iCs/>
        </w:rPr>
        <w:t>4</w:t>
      </w:r>
      <w:r w:rsidRPr="007307FB" w:rsidR="00AE39BD">
        <w:rPr>
          <w:i/>
          <w:iCs/>
        </w:rPr>
        <w:t>]</w:t>
      </w:r>
    </w:p>
    <w:p w:rsidR="001E70B0" w:rsidP="000D2051" w14:paraId="26C9E5FF" w14:textId="77777777">
      <w:pPr>
        <w:pStyle w:val="ListParagraph"/>
        <w:spacing w:line="276" w:lineRule="auto"/>
        <w:ind w:left="792"/>
      </w:pPr>
    </w:p>
    <w:p w:rsidR="005B2A16" w:rsidP="00C862F6" w14:paraId="5F1F36A2" w14:textId="16723DCE">
      <w:pPr>
        <w:pStyle w:val="ListParagraph"/>
        <w:numPr>
          <w:ilvl w:val="0"/>
          <w:numId w:val="20"/>
        </w:numPr>
        <w:spacing w:line="276" w:lineRule="auto"/>
      </w:pPr>
      <w:bookmarkStart w:id="3" w:name="_Hlk119570858"/>
      <w:r w:rsidRPr="005B2A16">
        <w:rPr>
          <w:u w:val="single"/>
        </w:rPr>
        <w:t xml:space="preserve">File </w:t>
      </w:r>
      <w:r w:rsidRPr="005B2A16" w:rsidR="00FA1FCB">
        <w:rPr>
          <w:u w:val="single"/>
        </w:rPr>
        <w:t>s</w:t>
      </w:r>
      <w:r w:rsidRPr="005B2A16">
        <w:rPr>
          <w:u w:val="single"/>
        </w:rPr>
        <w:t>pecifications 137 (English Language Proficiency Test) and 138 (Title III English Language Proficiency Test)</w:t>
      </w:r>
      <w:r w:rsidRPr="00B42F2A" w:rsidR="00091DA1">
        <w:t>: The category “Participation Status” should not have been retired</w:t>
      </w:r>
      <w:r w:rsidR="005752DA">
        <w:t xml:space="preserve"> as it is still used </w:t>
      </w:r>
      <w:r w:rsidR="005752DA">
        <w:t xml:space="preserve">in data group </w:t>
      </w:r>
      <w:r w:rsidRPr="005752DA" w:rsidR="005752DA">
        <w:t>674</w:t>
      </w:r>
      <w:r w:rsidR="005752DA">
        <w:t xml:space="preserve"> (</w:t>
      </w:r>
      <w:r w:rsidRPr="005752DA" w:rsidR="005752DA">
        <w:t>English language proficiency test table</w:t>
      </w:r>
      <w:r w:rsidR="005752DA">
        <w:t xml:space="preserve">) and </w:t>
      </w:r>
      <w:r w:rsidRPr="005752DA" w:rsidR="005752DA">
        <w:t>675</w:t>
      </w:r>
      <w:r w:rsidR="005752DA">
        <w:t xml:space="preserve"> (</w:t>
      </w:r>
      <w:r w:rsidRPr="005752DA" w:rsidR="005752DA">
        <w:t>Title III English language proficiency test table</w:t>
      </w:r>
      <w:r w:rsidR="005752DA">
        <w:t>)</w:t>
      </w:r>
      <w:r w:rsidRPr="00B42F2A" w:rsidR="00091DA1">
        <w:t>.</w:t>
      </w:r>
      <w:r w:rsidR="00743E80">
        <w:t xml:space="preserve"> The data </w:t>
      </w:r>
      <w:r w:rsidR="008B7208">
        <w:t xml:space="preserve">category </w:t>
      </w:r>
      <w:r w:rsidR="00743E80">
        <w:t>status was changed to not retired.</w:t>
      </w:r>
    </w:p>
    <w:p w:rsidR="00640EFF" w:rsidRPr="004B53C2" w:rsidP="00640EFF" w14:paraId="58630B4E" w14:textId="35B141BB">
      <w:pPr>
        <w:pStyle w:val="ListParagraph"/>
        <w:spacing w:line="276" w:lineRule="auto"/>
        <w:ind w:left="360"/>
        <w:rPr>
          <w:i/>
          <w:iCs/>
        </w:rPr>
      </w:pPr>
      <w:bookmarkStart w:id="4" w:name="_Hlk130383728"/>
      <w:r w:rsidRPr="004B53C2">
        <w:rPr>
          <w:i/>
          <w:iCs/>
        </w:rPr>
        <w:t xml:space="preserve">[Attachment </w:t>
      </w:r>
      <w:r w:rsidRPr="004B53C2">
        <w:rPr>
          <w:i/>
          <w:iCs/>
        </w:rPr>
        <w:t>A</w:t>
      </w:r>
      <w:r w:rsidRPr="004B53C2">
        <w:rPr>
          <w:i/>
          <w:iCs/>
        </w:rPr>
        <w:t xml:space="preserve"> Excel, Data Categories Tab, Row </w:t>
      </w:r>
      <w:r w:rsidRPr="004B53C2" w:rsidR="00743E80">
        <w:rPr>
          <w:i/>
          <w:iCs/>
        </w:rPr>
        <w:t>23</w:t>
      </w:r>
      <w:r w:rsidR="000D4125">
        <w:rPr>
          <w:i/>
          <w:iCs/>
        </w:rPr>
        <w:t xml:space="preserve">; Attachment A PDF, Page </w:t>
      </w:r>
      <w:r w:rsidR="000332E5">
        <w:rPr>
          <w:i/>
          <w:iCs/>
        </w:rPr>
        <w:t>24</w:t>
      </w:r>
      <w:r w:rsidR="005D2171">
        <w:rPr>
          <w:i/>
          <w:iCs/>
        </w:rPr>
        <w:t>5</w:t>
      </w:r>
      <w:r w:rsidRPr="004B53C2">
        <w:rPr>
          <w:i/>
          <w:iCs/>
        </w:rPr>
        <w:t>]</w:t>
      </w:r>
      <w:bookmarkStart w:id="5" w:name="_Hlk119567435"/>
      <w:bookmarkEnd w:id="3"/>
    </w:p>
    <w:bookmarkEnd w:id="4"/>
    <w:p w:rsidR="00640EFF" w:rsidP="00640EFF" w14:paraId="6FC6B657" w14:textId="77777777">
      <w:pPr>
        <w:pStyle w:val="ListParagraph"/>
        <w:spacing w:line="276" w:lineRule="auto"/>
        <w:ind w:left="360"/>
      </w:pPr>
    </w:p>
    <w:p w:rsidR="006C1144" w:rsidP="00640EFF" w14:paraId="14E9C535" w14:textId="78C88417">
      <w:pPr>
        <w:pStyle w:val="ListParagraph"/>
        <w:numPr>
          <w:ilvl w:val="0"/>
          <w:numId w:val="20"/>
        </w:numPr>
        <w:spacing w:line="276" w:lineRule="auto"/>
      </w:pPr>
      <w:r w:rsidRPr="007552ED">
        <w:rPr>
          <w:u w:val="single"/>
        </w:rPr>
        <w:t>File specification 145 (MEP Services)</w:t>
      </w:r>
      <w:r>
        <w:t>: The permitted value “</w:t>
      </w:r>
      <w:r w:rsidRPr="006C1144">
        <w:t>High school accrual</w:t>
      </w:r>
      <w:r>
        <w:t>”</w:t>
      </w:r>
      <w:r w:rsidRPr="006C1144">
        <w:t xml:space="preserve"> </w:t>
      </w:r>
      <w:r>
        <w:t>for the data category “MEP Services” needs to include credit in the name. Changed the permitted value to “High school credit accrual”.</w:t>
      </w:r>
    </w:p>
    <w:p w:rsidR="006C1144" w:rsidRPr="006C1144" w:rsidP="006C1144" w14:paraId="389B53C6" w14:textId="5114885F">
      <w:pPr>
        <w:pStyle w:val="ListParagraph"/>
        <w:spacing w:line="276" w:lineRule="auto"/>
        <w:ind w:left="360"/>
        <w:rPr>
          <w:i/>
          <w:iCs/>
        </w:rPr>
      </w:pPr>
      <w:r w:rsidRPr="006C1144">
        <w:rPr>
          <w:i/>
          <w:iCs/>
        </w:rPr>
        <w:t xml:space="preserve">[Attachment </w:t>
      </w:r>
      <w:r w:rsidRPr="006C1144">
        <w:rPr>
          <w:i/>
          <w:iCs/>
        </w:rPr>
        <w:t>A</w:t>
      </w:r>
      <w:r w:rsidRPr="006C1144">
        <w:rPr>
          <w:i/>
          <w:iCs/>
        </w:rPr>
        <w:t xml:space="preserve"> Excel, Data Categories Tab, Row </w:t>
      </w:r>
      <w:r>
        <w:rPr>
          <w:i/>
          <w:iCs/>
        </w:rPr>
        <w:t>39</w:t>
      </w:r>
      <w:r w:rsidRPr="006C1144">
        <w:rPr>
          <w:i/>
          <w:iCs/>
        </w:rPr>
        <w:t xml:space="preserve">; Attachment A PDF, Page </w:t>
      </w:r>
      <w:r w:rsidRPr="00CA7F4C" w:rsidR="00450FF0">
        <w:rPr>
          <w:i/>
          <w:iCs/>
        </w:rPr>
        <w:t>263</w:t>
      </w:r>
      <w:r w:rsidRPr="00CA7F4C">
        <w:rPr>
          <w:i/>
          <w:iCs/>
        </w:rPr>
        <w:t>]</w:t>
      </w:r>
    </w:p>
    <w:p w:rsidR="006C1144" w:rsidRPr="006C1144" w:rsidP="006C1144" w14:paraId="562B957A" w14:textId="77777777">
      <w:pPr>
        <w:pStyle w:val="ListParagraph"/>
        <w:spacing w:line="276" w:lineRule="auto"/>
        <w:ind w:left="360"/>
      </w:pPr>
    </w:p>
    <w:p w:rsidR="00604B6B" w:rsidP="00640EFF" w14:paraId="00E0D1BF" w14:textId="77777777">
      <w:pPr>
        <w:pStyle w:val="ListParagraph"/>
        <w:numPr>
          <w:ilvl w:val="0"/>
          <w:numId w:val="20"/>
        </w:numPr>
        <w:spacing w:line="276" w:lineRule="auto"/>
      </w:pPr>
      <w:r w:rsidRPr="00640EFF">
        <w:rPr>
          <w:u w:val="single"/>
        </w:rPr>
        <w:t xml:space="preserve">File specifications 175 (Academic achievement in mathematics HS table), 178 (Academic achievement in reading/language arts HS table), </w:t>
      </w:r>
      <w:bookmarkEnd w:id="5"/>
      <w:r w:rsidRPr="00640EFF">
        <w:rPr>
          <w:u w:val="single"/>
        </w:rPr>
        <w:t>and 179 (Academic achievement in science HS table)</w:t>
      </w:r>
      <w:r w:rsidRPr="00F87B1E">
        <w:t xml:space="preserve">: </w:t>
      </w:r>
    </w:p>
    <w:p w:rsidR="00CC1939" w:rsidP="00604B6B" w14:paraId="019AB35D" w14:textId="3EF2BA45">
      <w:pPr>
        <w:pStyle w:val="ListParagraph"/>
        <w:numPr>
          <w:ilvl w:val="1"/>
          <w:numId w:val="20"/>
        </w:numPr>
        <w:spacing w:line="276" w:lineRule="auto"/>
      </w:pPr>
      <w:r w:rsidRPr="00F87B1E">
        <w:t>In the final package, the category Proficiency Status was erroneously removed</w:t>
      </w:r>
      <w:r w:rsidR="00B63DDD">
        <w:t xml:space="preserve"> from the three high school academic achievement data groups</w:t>
      </w:r>
      <w:r w:rsidR="0084601D">
        <w:t xml:space="preserve"> -</w:t>
      </w:r>
      <w:r w:rsidR="00B63DDD">
        <w:t xml:space="preserve"> 875</w:t>
      </w:r>
      <w:r w:rsidR="0084601D">
        <w:t xml:space="preserve"> (</w:t>
      </w:r>
      <w:r w:rsidRPr="0084601D" w:rsidR="0084601D">
        <w:t>Academic achievement in mathematics HS table</w:t>
      </w:r>
      <w:r w:rsidR="0084601D">
        <w:t>)</w:t>
      </w:r>
      <w:r w:rsidR="00B63DDD">
        <w:t>, 877</w:t>
      </w:r>
      <w:r w:rsidR="0084601D">
        <w:t xml:space="preserve"> (</w:t>
      </w:r>
      <w:r w:rsidRPr="0084601D" w:rsidR="0084601D">
        <w:t>Academic achievement in reading/language arts HS table</w:t>
      </w:r>
      <w:r w:rsidR="0084601D">
        <w:t>)</w:t>
      </w:r>
      <w:r w:rsidR="00B63DDD">
        <w:t>,</w:t>
      </w:r>
      <w:r w:rsidR="0084601D">
        <w:t xml:space="preserve"> and </w:t>
      </w:r>
      <w:r w:rsidR="00B63DDD">
        <w:t>879</w:t>
      </w:r>
      <w:r w:rsidR="0084601D">
        <w:t xml:space="preserve"> (</w:t>
      </w:r>
      <w:r w:rsidRPr="0084601D" w:rsidR="0084601D">
        <w:t xml:space="preserve">Academic </w:t>
      </w:r>
      <w:bookmarkStart w:id="6" w:name="_Hlk134455699"/>
      <w:r w:rsidRPr="0084601D" w:rsidR="0084601D">
        <w:t>achievement in science HS table</w:t>
      </w:r>
      <w:r w:rsidR="00B63DDD">
        <w:t>)</w:t>
      </w:r>
      <w:r w:rsidRPr="00F87B1E">
        <w:t>.</w:t>
      </w:r>
      <w:r w:rsidR="001A1B8C">
        <w:t xml:space="preserve"> </w:t>
      </w:r>
      <w:r w:rsidR="00B63DDD">
        <w:t xml:space="preserve">The </w:t>
      </w:r>
      <w:r w:rsidRPr="00B63DDD" w:rsidR="00B63DDD">
        <w:t xml:space="preserve">Proficiency Status </w:t>
      </w:r>
      <w:r w:rsidR="00B63DDD">
        <w:t>category was added back in for these data groups.</w:t>
      </w:r>
    </w:p>
    <w:p w:rsidR="00B63DDD" w:rsidRPr="00CA7F4C" w:rsidP="00604B6B" w14:paraId="69C3C8B6" w14:textId="05991F1E">
      <w:pPr>
        <w:pStyle w:val="ListParagraph"/>
        <w:spacing w:line="276" w:lineRule="auto"/>
        <w:rPr>
          <w:i/>
          <w:iCs/>
        </w:rPr>
      </w:pPr>
      <w:bookmarkStart w:id="7" w:name="_Hlk130308653"/>
      <w:r w:rsidRPr="007307FB">
        <w:rPr>
          <w:i/>
          <w:iCs/>
        </w:rPr>
        <w:t xml:space="preserve">[Attachment </w:t>
      </w:r>
      <w:r w:rsidRPr="007307FB">
        <w:rPr>
          <w:i/>
          <w:iCs/>
        </w:rPr>
        <w:t>A</w:t>
      </w:r>
      <w:r w:rsidRPr="007307FB">
        <w:rPr>
          <w:i/>
          <w:iCs/>
        </w:rPr>
        <w:t xml:space="preserve"> Excel, Data Groups Tab, Rows 146, 147, and 148</w:t>
      </w:r>
      <w:r w:rsidRPr="007307FB" w:rsidR="000D4125">
        <w:rPr>
          <w:i/>
          <w:iCs/>
        </w:rPr>
        <w:t xml:space="preserve">; Attachment A PDF, Page </w:t>
      </w:r>
      <w:r w:rsidRPr="00CA7F4C" w:rsidR="000332E5">
        <w:rPr>
          <w:i/>
          <w:iCs/>
        </w:rPr>
        <w:t>19</w:t>
      </w:r>
      <w:r w:rsidRPr="00CA7F4C" w:rsidR="00C757F4">
        <w:rPr>
          <w:i/>
          <w:iCs/>
        </w:rPr>
        <w:t>5</w:t>
      </w:r>
      <w:r w:rsidRPr="00CA7F4C" w:rsidR="000332E5">
        <w:rPr>
          <w:i/>
          <w:iCs/>
        </w:rPr>
        <w:t>, 19</w:t>
      </w:r>
      <w:r w:rsidRPr="00CA7F4C" w:rsidR="00C757F4">
        <w:rPr>
          <w:i/>
          <w:iCs/>
        </w:rPr>
        <w:t>7</w:t>
      </w:r>
      <w:r w:rsidRPr="00CA7F4C" w:rsidR="000332E5">
        <w:rPr>
          <w:i/>
          <w:iCs/>
        </w:rPr>
        <w:t>, and 19</w:t>
      </w:r>
      <w:r w:rsidRPr="00CA7F4C" w:rsidR="00C757F4">
        <w:rPr>
          <w:i/>
          <w:iCs/>
        </w:rPr>
        <w:t>9</w:t>
      </w:r>
      <w:r w:rsidRPr="00CA7F4C">
        <w:rPr>
          <w:i/>
          <w:iCs/>
        </w:rPr>
        <w:t>]</w:t>
      </w:r>
      <w:bookmarkEnd w:id="7"/>
    </w:p>
    <w:bookmarkEnd w:id="6"/>
    <w:p w:rsidR="00604B6B" w:rsidRPr="00CA7F4C" w:rsidP="00604B6B" w14:paraId="66BCF72F" w14:textId="77777777">
      <w:pPr>
        <w:pStyle w:val="ListParagraph"/>
        <w:spacing w:line="276" w:lineRule="auto"/>
        <w:rPr>
          <w:i/>
          <w:iCs/>
        </w:rPr>
      </w:pPr>
    </w:p>
    <w:p w:rsidR="00604B6B" w:rsidRPr="00CA7F4C" w:rsidP="00604B6B" w14:paraId="71B99F6E" w14:textId="631F7FB3">
      <w:pPr>
        <w:pStyle w:val="ListParagraph"/>
        <w:numPr>
          <w:ilvl w:val="1"/>
          <w:numId w:val="20"/>
        </w:numPr>
        <w:spacing w:line="276" w:lineRule="auto"/>
      </w:pPr>
      <w:r w:rsidRPr="00CA7F4C">
        <w:t xml:space="preserve">To match the participation files, the definition of the high school data groups - 875 (Academic achievement in mathematics HS table), 877 (Academic achievement in reading/language arts HS table), and 879 (Academic achievement in science HS table) - should match. Changed definition to </w:t>
      </w:r>
      <w:r w:rsidRPr="00CA7F4C">
        <w:t>say</w:t>
      </w:r>
      <w:r w:rsidRPr="00CA7F4C">
        <w:t xml:space="preserve"> “high school students”.</w:t>
      </w:r>
    </w:p>
    <w:p w:rsidR="00604B6B" w:rsidRPr="00604B6B" w:rsidP="00604B6B" w14:paraId="79262396" w14:textId="517C8744">
      <w:pPr>
        <w:pStyle w:val="ListParagraph"/>
        <w:spacing w:line="276" w:lineRule="auto"/>
        <w:rPr>
          <w:i/>
          <w:iCs/>
        </w:rPr>
      </w:pPr>
      <w:r w:rsidRPr="00CA7F4C">
        <w:rPr>
          <w:i/>
          <w:iCs/>
        </w:rPr>
        <w:t xml:space="preserve">[Attachment </w:t>
      </w:r>
      <w:r w:rsidRPr="00CA7F4C">
        <w:rPr>
          <w:i/>
          <w:iCs/>
        </w:rPr>
        <w:t>A</w:t>
      </w:r>
      <w:r w:rsidRPr="00CA7F4C">
        <w:rPr>
          <w:i/>
          <w:iCs/>
        </w:rPr>
        <w:t xml:space="preserve"> Excel, Data Groups Tab, Rows 146, 147, and 148; Attachment A PDF, Page </w:t>
      </w:r>
      <w:r w:rsidRPr="00CA7F4C" w:rsidR="00C757F4">
        <w:rPr>
          <w:i/>
          <w:iCs/>
        </w:rPr>
        <w:t>195, 197, and 199</w:t>
      </w:r>
      <w:r w:rsidRPr="00CA7F4C">
        <w:rPr>
          <w:i/>
          <w:iCs/>
        </w:rPr>
        <w:t>]</w:t>
      </w:r>
    </w:p>
    <w:p w:rsidR="00604B6B" w:rsidRPr="00604B6B" w:rsidP="00604B6B" w14:paraId="44B45510" w14:textId="182663C4">
      <w:pPr>
        <w:pStyle w:val="ListParagraph"/>
        <w:spacing w:line="276" w:lineRule="auto"/>
      </w:pPr>
    </w:p>
    <w:p w:rsidR="00AC23AA" w:rsidP="00640EFF" w14:paraId="7ACA65D1" w14:textId="39B3B27B">
      <w:pPr>
        <w:pStyle w:val="ListParagraph"/>
        <w:numPr>
          <w:ilvl w:val="0"/>
          <w:numId w:val="20"/>
        </w:numPr>
        <w:spacing w:line="276" w:lineRule="auto"/>
      </w:pPr>
      <w:r w:rsidRPr="00277731">
        <w:rPr>
          <w:u w:val="single"/>
        </w:rPr>
        <w:t xml:space="preserve">File specification </w:t>
      </w:r>
      <w:r w:rsidRPr="00277731" w:rsidR="008957CB">
        <w:rPr>
          <w:u w:val="single"/>
        </w:rPr>
        <w:t>188</w:t>
      </w:r>
      <w:r w:rsidRPr="00277731" w:rsidR="000D2051">
        <w:rPr>
          <w:u w:val="single"/>
        </w:rPr>
        <w:t xml:space="preserve"> </w:t>
      </w:r>
      <w:r w:rsidRPr="00277731" w:rsidR="008957CB">
        <w:rPr>
          <w:u w:val="single"/>
        </w:rPr>
        <w:t>(Assessment Participation in Reading/Language Arts)</w:t>
      </w:r>
      <w:r w:rsidRPr="0026760B" w:rsidR="00161027">
        <w:t xml:space="preserve">: The </w:t>
      </w:r>
      <w:r w:rsidR="00774A6C">
        <w:t>reporting period</w:t>
      </w:r>
      <w:r w:rsidRPr="0026760B" w:rsidR="00161027">
        <w:t xml:space="preserve"> </w:t>
      </w:r>
      <w:r w:rsidR="00D0639B">
        <w:t xml:space="preserve">for data groups </w:t>
      </w:r>
      <w:r w:rsidRPr="00D0639B" w:rsidR="00D0639B">
        <w:t>882</w:t>
      </w:r>
      <w:r w:rsidR="00D0639B">
        <w:t xml:space="preserve"> (</w:t>
      </w:r>
      <w:r w:rsidRPr="00D0639B" w:rsidR="00D0639B">
        <w:t>Assessment participation in reading/language arts grades 3-8 table</w:t>
      </w:r>
      <w:r w:rsidR="00D0639B">
        <w:t xml:space="preserve">) and </w:t>
      </w:r>
      <w:r w:rsidRPr="00D0639B" w:rsidR="00D0639B">
        <w:t>883</w:t>
      </w:r>
      <w:r w:rsidR="00D0639B">
        <w:t xml:space="preserve"> (</w:t>
      </w:r>
      <w:r w:rsidRPr="00D0639B" w:rsidR="00D0639B">
        <w:t>Assessment participation in reading/language arts HS table</w:t>
      </w:r>
      <w:r w:rsidR="00230FD3">
        <w:t xml:space="preserve">) </w:t>
      </w:r>
      <w:r w:rsidRPr="0026760B" w:rsidR="00161027">
        <w:t>should be “Testing Window (with EL)”</w:t>
      </w:r>
      <w:r w:rsidR="00D117F3">
        <w:t xml:space="preserve">. The reporting period </w:t>
      </w:r>
      <w:r w:rsidR="00D0639B">
        <w:t>has been</w:t>
      </w:r>
      <w:r w:rsidR="00D117F3">
        <w:t xml:space="preserve"> changed.</w:t>
      </w:r>
    </w:p>
    <w:p w:rsidR="00D117F3" w:rsidRPr="004B53C2" w:rsidP="00D117F3" w14:paraId="441A7388" w14:textId="671E031D">
      <w:pPr>
        <w:pStyle w:val="ListParagraph"/>
        <w:spacing w:line="276" w:lineRule="auto"/>
        <w:ind w:left="360"/>
        <w:rPr>
          <w:i/>
          <w:iCs/>
        </w:rPr>
      </w:pPr>
      <w:bookmarkStart w:id="8" w:name="_Hlk130308830"/>
      <w:r w:rsidRPr="004B53C2">
        <w:rPr>
          <w:i/>
          <w:iCs/>
        </w:rPr>
        <w:t xml:space="preserve">[Attachment </w:t>
      </w:r>
      <w:r w:rsidRPr="004B53C2">
        <w:rPr>
          <w:i/>
          <w:iCs/>
        </w:rPr>
        <w:t>A</w:t>
      </w:r>
      <w:r w:rsidRPr="004B53C2">
        <w:rPr>
          <w:i/>
          <w:iCs/>
        </w:rPr>
        <w:t xml:space="preserve"> Excel, Data Groups Tab, Rows 138 and 141</w:t>
      </w:r>
      <w:r w:rsidR="000D4125">
        <w:rPr>
          <w:i/>
          <w:iCs/>
        </w:rPr>
        <w:t xml:space="preserve">; Attachment A PDF, Page </w:t>
      </w:r>
      <w:r w:rsidR="000332E5">
        <w:rPr>
          <w:i/>
          <w:iCs/>
        </w:rPr>
        <w:t>17</w:t>
      </w:r>
      <w:r w:rsidR="00CA7F4C">
        <w:rPr>
          <w:i/>
          <w:iCs/>
        </w:rPr>
        <w:t>9</w:t>
      </w:r>
      <w:r w:rsidR="000332E5">
        <w:rPr>
          <w:i/>
          <w:iCs/>
        </w:rPr>
        <w:t xml:space="preserve"> and 18</w:t>
      </w:r>
      <w:r w:rsidR="00CA7F4C">
        <w:rPr>
          <w:i/>
          <w:iCs/>
        </w:rPr>
        <w:t>5</w:t>
      </w:r>
      <w:r w:rsidRPr="004B53C2">
        <w:rPr>
          <w:i/>
          <w:iCs/>
        </w:rPr>
        <w:t>]</w:t>
      </w:r>
    </w:p>
    <w:bookmarkEnd w:id="8"/>
    <w:p w:rsidR="000D2051" w:rsidRPr="0026760B" w:rsidP="000D2051" w14:paraId="626E369E" w14:textId="77777777">
      <w:pPr>
        <w:spacing w:line="276" w:lineRule="auto"/>
      </w:pPr>
    </w:p>
    <w:p w:rsidR="00B44DC7" w:rsidP="00640EFF" w14:paraId="467AE3B2" w14:textId="76033C50">
      <w:pPr>
        <w:pStyle w:val="ListParagraph"/>
        <w:numPr>
          <w:ilvl w:val="0"/>
          <w:numId w:val="20"/>
        </w:numPr>
        <w:spacing w:line="276" w:lineRule="auto"/>
      </w:pPr>
      <w:r w:rsidRPr="002E54CF">
        <w:rPr>
          <w:u w:val="single"/>
        </w:rPr>
        <w:t>File specification 189 (Assessment Participation in Science)</w:t>
      </w:r>
      <w:r w:rsidRPr="001C5D04">
        <w:t xml:space="preserve">: </w:t>
      </w:r>
      <w:r w:rsidR="007459F3">
        <w:t>The d</w:t>
      </w:r>
      <w:r w:rsidRPr="001C5D04">
        <w:t>efinition of data group</w:t>
      </w:r>
      <w:r w:rsidRPr="001C5D04" w:rsidR="00F71FED">
        <w:t xml:space="preserve"> </w:t>
      </w:r>
      <w:r w:rsidRPr="001C5D04" w:rsidR="00355A3B">
        <w:t xml:space="preserve">884 (Assessment participation in science grades 3-9 table) </w:t>
      </w:r>
      <w:r w:rsidRPr="001C5D04" w:rsidR="00F71FED">
        <w:t xml:space="preserve">should </w:t>
      </w:r>
      <w:r w:rsidR="007459F3">
        <w:t>say</w:t>
      </w:r>
      <w:r w:rsidRPr="001C5D04" w:rsidR="00F71FED">
        <w:t xml:space="preserve"> “grades 3 through 9” not “grades 3 through 8”.</w:t>
      </w:r>
      <w:r w:rsidR="00B10B84">
        <w:t xml:space="preserve"> Definition was updated.</w:t>
      </w:r>
    </w:p>
    <w:p w:rsidR="00B10B84" w:rsidP="00B10B84" w14:paraId="19B104C9" w14:textId="31F19F6E">
      <w:pPr>
        <w:pStyle w:val="ListParagraph"/>
        <w:spacing w:line="276" w:lineRule="auto"/>
        <w:ind w:left="360"/>
        <w:rPr>
          <w:i/>
          <w:iCs/>
        </w:rPr>
      </w:pPr>
      <w:bookmarkStart w:id="9" w:name="_Hlk134452502"/>
      <w:bookmarkStart w:id="10" w:name="_Hlk130309558"/>
      <w:r w:rsidRPr="004B53C2">
        <w:rPr>
          <w:i/>
          <w:iCs/>
        </w:rPr>
        <w:t xml:space="preserve">[Attachment </w:t>
      </w:r>
      <w:r w:rsidRPr="004B53C2">
        <w:rPr>
          <w:i/>
          <w:iCs/>
        </w:rPr>
        <w:t>A</w:t>
      </w:r>
      <w:r w:rsidRPr="004B53C2">
        <w:rPr>
          <w:i/>
          <w:iCs/>
        </w:rPr>
        <w:t xml:space="preserve"> Excel, Data Groups Tab, Row 139</w:t>
      </w:r>
      <w:r w:rsidR="000D4125">
        <w:rPr>
          <w:i/>
          <w:iCs/>
        </w:rPr>
        <w:t xml:space="preserve">; Attachment A PDF, Page </w:t>
      </w:r>
      <w:r w:rsidR="00F70B03">
        <w:rPr>
          <w:i/>
          <w:iCs/>
        </w:rPr>
        <w:t>18</w:t>
      </w:r>
      <w:r w:rsidR="00903A0B">
        <w:rPr>
          <w:i/>
          <w:iCs/>
        </w:rPr>
        <w:t>1</w:t>
      </w:r>
      <w:r w:rsidRPr="004B53C2">
        <w:rPr>
          <w:i/>
          <w:iCs/>
        </w:rPr>
        <w:t>]</w:t>
      </w:r>
    </w:p>
    <w:bookmarkEnd w:id="9"/>
    <w:p w:rsidR="002A444D" w:rsidP="00B10B84" w14:paraId="62E0CA35" w14:textId="77777777">
      <w:pPr>
        <w:pStyle w:val="ListParagraph"/>
        <w:spacing w:line="276" w:lineRule="auto"/>
        <w:ind w:left="360"/>
        <w:rPr>
          <w:i/>
          <w:iCs/>
        </w:rPr>
      </w:pPr>
    </w:p>
    <w:bookmarkEnd w:id="10"/>
    <w:p w:rsidR="00B051CE" w:rsidP="00640EFF" w14:paraId="0C5FA1C1" w14:textId="414D8E74">
      <w:pPr>
        <w:pStyle w:val="ListParagraph"/>
        <w:numPr>
          <w:ilvl w:val="0"/>
          <w:numId w:val="20"/>
        </w:numPr>
        <w:spacing w:line="276" w:lineRule="auto"/>
      </w:pPr>
      <w:r w:rsidRPr="00305827">
        <w:rPr>
          <w:u w:val="single"/>
        </w:rPr>
        <w:t>File specification 193 (Title I Allocations)</w:t>
      </w:r>
      <w:r>
        <w:t>:</w:t>
      </w:r>
    </w:p>
    <w:p w:rsidR="00B051CE" w:rsidP="00B051CE" w14:paraId="3E17DC51" w14:textId="71F3B94C">
      <w:pPr>
        <w:pStyle w:val="ListParagraph"/>
        <w:numPr>
          <w:ilvl w:val="1"/>
          <w:numId w:val="20"/>
        </w:numPr>
        <w:spacing w:line="276" w:lineRule="auto"/>
      </w:pPr>
      <w:r>
        <w:t xml:space="preserve">The data groups in the file specification need to have the same reporting periods. Changed the reporting period of data group </w:t>
      </w:r>
      <w:r w:rsidRPr="00AB3689" w:rsidR="00AB3689">
        <w:t>797</w:t>
      </w:r>
      <w:r w:rsidR="00AB3689">
        <w:t xml:space="preserve"> (</w:t>
      </w:r>
      <w:r w:rsidRPr="00AB3689" w:rsidR="00AB3689">
        <w:t>Title I, Part A Allocations</w:t>
      </w:r>
      <w:r w:rsidR="00AB3689">
        <w:t>)</w:t>
      </w:r>
      <w:r>
        <w:t xml:space="preserve"> and 886 (</w:t>
      </w:r>
      <w:r w:rsidRPr="00B051CE">
        <w:t>LEA Reservation to serve homeless children and youth</w:t>
      </w:r>
      <w:r>
        <w:t>) to “School Year”.</w:t>
      </w:r>
    </w:p>
    <w:p w:rsidR="00B051CE" w:rsidP="00D20874" w14:paraId="14D3CEF3" w14:textId="75030F32">
      <w:pPr>
        <w:pStyle w:val="ListParagraph"/>
        <w:spacing w:line="276" w:lineRule="auto"/>
        <w:rPr>
          <w:i/>
          <w:iCs/>
        </w:rPr>
      </w:pPr>
      <w:bookmarkStart w:id="11" w:name="_Hlk135385437"/>
      <w:r w:rsidRPr="004B53C2">
        <w:rPr>
          <w:i/>
          <w:iCs/>
        </w:rPr>
        <w:t xml:space="preserve">[Attachment </w:t>
      </w:r>
      <w:r w:rsidRPr="004B53C2">
        <w:rPr>
          <w:i/>
          <w:iCs/>
        </w:rPr>
        <w:t>A</w:t>
      </w:r>
      <w:r w:rsidRPr="004B53C2">
        <w:rPr>
          <w:i/>
          <w:iCs/>
        </w:rPr>
        <w:t xml:space="preserve"> Excel, Data Groups Tab, Row</w:t>
      </w:r>
      <w:r>
        <w:rPr>
          <w:i/>
          <w:iCs/>
        </w:rPr>
        <w:t>s</w:t>
      </w:r>
      <w:r w:rsidRPr="004B53C2">
        <w:rPr>
          <w:i/>
          <w:iCs/>
        </w:rPr>
        <w:t xml:space="preserve"> 1</w:t>
      </w:r>
      <w:r>
        <w:rPr>
          <w:i/>
          <w:iCs/>
        </w:rPr>
        <w:t>1</w:t>
      </w:r>
      <w:r w:rsidR="00AB3689">
        <w:rPr>
          <w:i/>
          <w:iCs/>
        </w:rPr>
        <w:t>1</w:t>
      </w:r>
      <w:r>
        <w:rPr>
          <w:i/>
          <w:iCs/>
        </w:rPr>
        <w:t xml:space="preserve"> and 158; Attachment A PDF, </w:t>
      </w:r>
      <w:r w:rsidRPr="00903A0B">
        <w:rPr>
          <w:i/>
          <w:iCs/>
        </w:rPr>
        <w:t>Page</w:t>
      </w:r>
      <w:r w:rsidRPr="00903A0B" w:rsidR="009355C6">
        <w:rPr>
          <w:i/>
          <w:iCs/>
        </w:rPr>
        <w:t>s</w:t>
      </w:r>
      <w:r w:rsidRPr="00903A0B">
        <w:rPr>
          <w:i/>
          <w:iCs/>
        </w:rPr>
        <w:t xml:space="preserve"> 1</w:t>
      </w:r>
      <w:r w:rsidRPr="00903A0B" w:rsidR="009355C6">
        <w:rPr>
          <w:i/>
          <w:iCs/>
        </w:rPr>
        <w:t>4</w:t>
      </w:r>
      <w:r w:rsidRPr="00903A0B">
        <w:rPr>
          <w:i/>
          <w:iCs/>
        </w:rPr>
        <w:t>0</w:t>
      </w:r>
      <w:r w:rsidRPr="00903A0B" w:rsidR="00D20874">
        <w:rPr>
          <w:i/>
          <w:iCs/>
        </w:rPr>
        <w:t xml:space="preserve"> and 214</w:t>
      </w:r>
      <w:r w:rsidRPr="00903A0B">
        <w:rPr>
          <w:i/>
          <w:iCs/>
        </w:rPr>
        <w:t>]</w:t>
      </w:r>
    </w:p>
    <w:bookmarkEnd w:id="11"/>
    <w:p w:rsidR="004858F4" w:rsidP="00B051CE" w14:paraId="2703D098" w14:textId="77777777">
      <w:pPr>
        <w:pStyle w:val="ListParagraph"/>
        <w:spacing w:line="276" w:lineRule="auto"/>
        <w:ind w:left="360" w:firstLine="360"/>
        <w:rPr>
          <w:i/>
          <w:iCs/>
        </w:rPr>
      </w:pPr>
    </w:p>
    <w:p w:rsidR="008557BB" w:rsidP="00640EFF" w14:paraId="7333982D" w14:textId="332D6E65">
      <w:pPr>
        <w:pStyle w:val="ListParagraph"/>
        <w:numPr>
          <w:ilvl w:val="0"/>
          <w:numId w:val="20"/>
        </w:numPr>
        <w:spacing w:line="276" w:lineRule="auto"/>
      </w:pPr>
      <w:r w:rsidRPr="004E4256">
        <w:rPr>
          <w:u w:val="single"/>
        </w:rPr>
        <w:t>File specification 195 (Chronic Absenteeism)</w:t>
      </w:r>
      <w:r w:rsidRPr="00051F67">
        <w:t xml:space="preserve">: </w:t>
      </w:r>
      <w:r w:rsidR="007459F3">
        <w:t>In d</w:t>
      </w:r>
      <w:r w:rsidRPr="00051F67">
        <w:t xml:space="preserve">ata </w:t>
      </w:r>
      <w:r w:rsidRPr="00051F67" w:rsidR="0064757F">
        <w:t>g</w:t>
      </w:r>
      <w:r w:rsidRPr="00051F67">
        <w:t>roup</w:t>
      </w:r>
      <w:r w:rsidRPr="00051F67" w:rsidR="0064757F">
        <w:t xml:space="preserve"> </w:t>
      </w:r>
      <w:r w:rsidRPr="00F1763C" w:rsidR="0064757F">
        <w:t>8</w:t>
      </w:r>
      <w:r w:rsidR="00F1763C">
        <w:t>8</w:t>
      </w:r>
      <w:r w:rsidRPr="00F1763C" w:rsidR="0064757F">
        <w:t>7</w:t>
      </w:r>
      <w:r w:rsidRPr="00051F67">
        <w:t xml:space="preserve"> </w:t>
      </w:r>
      <w:r w:rsidR="004A4B40">
        <w:t>(</w:t>
      </w:r>
      <w:r w:rsidRPr="00051F67">
        <w:t>Chronic absenteeism table - SEA/LEA</w:t>
      </w:r>
      <w:r w:rsidR="004A4B40">
        <w:t>)</w:t>
      </w:r>
      <w:r w:rsidR="007459F3">
        <w:t>, the</w:t>
      </w:r>
      <w:r w:rsidRPr="00051F67">
        <w:t xml:space="preserve"> definition</w:t>
      </w:r>
      <w:r w:rsidR="004A4B40">
        <w:t xml:space="preserve"> was posted in the incorrect column</w:t>
      </w:r>
      <w:r w:rsidRPr="00051F67">
        <w:t xml:space="preserve"> in the final package</w:t>
      </w:r>
      <w:r w:rsidR="00D611EA">
        <w:t>. A</w:t>
      </w:r>
      <w:r w:rsidR="004A4B40">
        <w:t xml:space="preserve">s a new </w:t>
      </w:r>
      <w:r w:rsidR="00816E83">
        <w:t xml:space="preserve">(to v.9) </w:t>
      </w:r>
      <w:r w:rsidR="004A4B40">
        <w:t>data group</w:t>
      </w:r>
      <w:r w:rsidR="00D611EA">
        <w:t>,</w:t>
      </w:r>
      <w:r w:rsidR="004A4B40">
        <w:t xml:space="preserve"> the definition </w:t>
      </w:r>
      <w:r w:rsidR="001F6710">
        <w:t>sh</w:t>
      </w:r>
      <w:r w:rsidR="004A4B40">
        <w:t xml:space="preserve">ould have been in the </w:t>
      </w:r>
      <w:r w:rsidR="001F6710">
        <w:t>3</w:t>
      </w:r>
      <w:r w:rsidR="004A4B40">
        <w:t>0-day package column</w:t>
      </w:r>
      <w:r w:rsidR="001F6710">
        <w:t xml:space="preserve"> matching the new status column</w:t>
      </w:r>
      <w:r w:rsidRPr="00051F67">
        <w:t>.</w:t>
      </w:r>
      <w:r w:rsidR="001F6710">
        <w:t xml:space="preserve"> The definition was moved to the 30-day package column.</w:t>
      </w:r>
    </w:p>
    <w:p w:rsidR="001F6710" w:rsidRPr="004B53C2" w:rsidP="001F6710" w14:paraId="13FD9155" w14:textId="0A0438DE">
      <w:pPr>
        <w:pStyle w:val="ListParagraph"/>
        <w:spacing w:line="276" w:lineRule="auto"/>
        <w:ind w:left="360"/>
        <w:rPr>
          <w:i/>
          <w:iCs/>
        </w:rPr>
      </w:pPr>
      <w:r w:rsidRPr="004B53C2">
        <w:rPr>
          <w:i/>
          <w:iCs/>
        </w:rPr>
        <w:t xml:space="preserve">[Attachment </w:t>
      </w:r>
      <w:r w:rsidRPr="004B53C2">
        <w:rPr>
          <w:i/>
          <w:iCs/>
        </w:rPr>
        <w:t>A</w:t>
      </w:r>
      <w:r w:rsidRPr="004B53C2">
        <w:rPr>
          <w:i/>
          <w:iCs/>
        </w:rPr>
        <w:t xml:space="preserve"> Excel, Data Groups Tab, Row 162</w:t>
      </w:r>
      <w:r w:rsidR="000D4125">
        <w:rPr>
          <w:i/>
          <w:iCs/>
        </w:rPr>
        <w:t xml:space="preserve">; Attachment A PDF, Page </w:t>
      </w:r>
      <w:r w:rsidR="00B427F0">
        <w:rPr>
          <w:i/>
          <w:iCs/>
        </w:rPr>
        <w:t>21</w:t>
      </w:r>
      <w:r w:rsidR="00903A0B">
        <w:rPr>
          <w:i/>
          <w:iCs/>
        </w:rPr>
        <w:t>8</w:t>
      </w:r>
      <w:r w:rsidRPr="004B53C2">
        <w:rPr>
          <w:i/>
          <w:iCs/>
        </w:rPr>
        <w:t>]</w:t>
      </w:r>
    </w:p>
    <w:p w:rsidR="000D2051" w:rsidRPr="00051F67" w:rsidP="000D2051" w14:paraId="57E22B17" w14:textId="77777777">
      <w:pPr>
        <w:spacing w:line="276" w:lineRule="auto"/>
      </w:pPr>
    </w:p>
    <w:p w:rsidR="00C648F2" w:rsidP="00640EFF" w14:paraId="06E8157C" w14:textId="461E0F79">
      <w:pPr>
        <w:pStyle w:val="ListParagraph"/>
        <w:numPr>
          <w:ilvl w:val="0"/>
          <w:numId w:val="20"/>
        </w:numPr>
        <w:spacing w:line="276" w:lineRule="auto"/>
      </w:pPr>
      <w:r w:rsidRPr="009F2C93">
        <w:rPr>
          <w:u w:val="single"/>
        </w:rPr>
        <w:t>File specification 196 (Management Organization for Charter Schools Roster)</w:t>
      </w:r>
      <w:r w:rsidR="00AD21A2">
        <w:t>: T</w:t>
      </w:r>
      <w:r>
        <w:t xml:space="preserve">he </w:t>
      </w:r>
      <w:r w:rsidR="005D2A8E">
        <w:t xml:space="preserve">reporting level for the </w:t>
      </w:r>
      <w:r>
        <w:t xml:space="preserve">five data groups </w:t>
      </w:r>
      <w:r w:rsidR="00D611EA">
        <w:t xml:space="preserve">825 </w:t>
      </w:r>
      <w:r>
        <w:t>(Management organization name</w:t>
      </w:r>
      <w:r w:rsidR="00D611EA">
        <w:t>)</w:t>
      </w:r>
      <w:r>
        <w:t xml:space="preserve">, </w:t>
      </w:r>
      <w:r w:rsidR="00D611EA">
        <w:t>826 (</w:t>
      </w:r>
      <w:r>
        <w:t>Employer identification number (EIN)</w:t>
      </w:r>
      <w:r w:rsidR="00D611EA">
        <w:t>)</w:t>
      </w:r>
      <w:r>
        <w:t xml:space="preserve">, </w:t>
      </w:r>
      <w:r w:rsidR="00D611EA">
        <w:t>827 (</w:t>
      </w:r>
      <w:r>
        <w:t>Organization address location</w:t>
      </w:r>
      <w:r w:rsidR="00D611EA">
        <w:t>)</w:t>
      </w:r>
      <w:r>
        <w:t xml:space="preserve">, </w:t>
      </w:r>
      <w:r w:rsidR="00D611EA">
        <w:t>828 (</w:t>
      </w:r>
      <w:r>
        <w:t>Organization address mailing</w:t>
      </w:r>
      <w:r w:rsidR="00D611EA">
        <w:t>)</w:t>
      </w:r>
      <w:r>
        <w:t xml:space="preserve">, </w:t>
      </w:r>
      <w:r w:rsidR="00D611EA">
        <w:t>829 (</w:t>
      </w:r>
      <w:r>
        <w:t>Management organization type)</w:t>
      </w:r>
      <w:r w:rsidR="00E379DB">
        <w:t xml:space="preserve"> </w:t>
      </w:r>
      <w:r w:rsidR="00FA674D">
        <w:t xml:space="preserve">should be at the </w:t>
      </w:r>
      <w:r w:rsidR="00E379DB">
        <w:t>SEA level.</w:t>
      </w:r>
      <w:r w:rsidR="00EF2CEE">
        <w:t xml:space="preserve"> The reporting levels for these data groups were updated.</w:t>
      </w:r>
    </w:p>
    <w:p w:rsidR="00C17A37" w:rsidP="00C17A37" w14:paraId="6300BBBA" w14:textId="0F846F7E">
      <w:pPr>
        <w:pStyle w:val="ListParagraph"/>
        <w:spacing w:line="276" w:lineRule="auto"/>
        <w:ind w:left="360"/>
        <w:rPr>
          <w:i/>
          <w:iCs/>
        </w:rPr>
      </w:pPr>
      <w:r w:rsidRPr="004B53C2">
        <w:rPr>
          <w:i/>
          <w:iCs/>
        </w:rPr>
        <w:t xml:space="preserve">[Attachment </w:t>
      </w:r>
      <w:r w:rsidRPr="004B53C2">
        <w:rPr>
          <w:i/>
          <w:iCs/>
        </w:rPr>
        <w:t>A</w:t>
      </w:r>
      <w:r w:rsidRPr="004B53C2">
        <w:rPr>
          <w:i/>
          <w:iCs/>
        </w:rPr>
        <w:t xml:space="preserve"> Excel, Data Groups Tab, Rows 54-58</w:t>
      </w:r>
      <w:r w:rsidR="000D4125">
        <w:rPr>
          <w:i/>
          <w:iCs/>
        </w:rPr>
        <w:t>; Attachment A PDF, Page</w:t>
      </w:r>
      <w:r w:rsidR="00114688">
        <w:rPr>
          <w:i/>
          <w:iCs/>
        </w:rPr>
        <w:t xml:space="preserve">s </w:t>
      </w:r>
      <w:r w:rsidR="003D4814">
        <w:rPr>
          <w:i/>
          <w:iCs/>
        </w:rPr>
        <w:t>59</w:t>
      </w:r>
      <w:r w:rsidR="00114688">
        <w:rPr>
          <w:i/>
          <w:iCs/>
        </w:rPr>
        <w:t>-6</w:t>
      </w:r>
      <w:r w:rsidR="003D4814">
        <w:rPr>
          <w:i/>
          <w:iCs/>
        </w:rPr>
        <w:t>3</w:t>
      </w:r>
      <w:r w:rsidRPr="004B53C2">
        <w:rPr>
          <w:i/>
          <w:iCs/>
        </w:rPr>
        <w:t>]</w:t>
      </w:r>
    </w:p>
    <w:p w:rsidR="00C17A37" w:rsidP="00C17A37" w14:paraId="417CBCBB" w14:textId="77777777">
      <w:pPr>
        <w:pStyle w:val="ListParagraph"/>
        <w:spacing w:line="276" w:lineRule="auto"/>
        <w:ind w:left="360"/>
      </w:pPr>
    </w:p>
    <w:p w:rsidR="00C17A37" w:rsidP="00C17A37" w14:paraId="070085CB" w14:textId="675F172B">
      <w:pPr>
        <w:pStyle w:val="ListParagraph"/>
        <w:numPr>
          <w:ilvl w:val="0"/>
          <w:numId w:val="20"/>
        </w:numPr>
        <w:spacing w:line="276" w:lineRule="auto"/>
      </w:pPr>
      <w:r w:rsidRPr="00C17A37">
        <w:rPr>
          <w:u w:val="single"/>
        </w:rPr>
        <w:t>F</w:t>
      </w:r>
      <w:r w:rsidR="005D2A8E">
        <w:rPr>
          <w:u w:val="single"/>
        </w:rPr>
        <w:t>ile specifications</w:t>
      </w:r>
      <w:r w:rsidRPr="00C17A37">
        <w:rPr>
          <w:u w:val="single"/>
        </w:rPr>
        <w:t xml:space="preserve"> 199 (Graduation Rate Indicator Status), 200 (Academic Achievement Indicator Status), 201 (Other Academic Indicator Status), and 202 (School Quality or Student Success Indicator Status)</w:t>
      </w:r>
      <w:r>
        <w:t>:</w:t>
      </w:r>
    </w:p>
    <w:p w:rsidR="00C17A37" w:rsidRPr="00321DEC" w:rsidP="00C17A37" w14:paraId="6E2EFC47" w14:textId="1027FE00">
      <w:pPr>
        <w:pStyle w:val="ListParagraph"/>
        <w:numPr>
          <w:ilvl w:val="1"/>
          <w:numId w:val="20"/>
        </w:numPr>
        <w:spacing w:line="276" w:lineRule="auto"/>
        <w:ind w:left="900"/>
      </w:pPr>
      <w:r w:rsidRPr="00321DEC">
        <w:t>The data c</w:t>
      </w:r>
      <w:r w:rsidRPr="00321DEC">
        <w:t xml:space="preserve">ategory </w:t>
      </w:r>
      <w:r w:rsidRPr="00321DEC">
        <w:t>“</w:t>
      </w:r>
      <w:r w:rsidRPr="00321DEC">
        <w:t>Major Racial and Ethnic Groups (Accountability)</w:t>
      </w:r>
      <w:r w:rsidRPr="00321DEC">
        <w:t>”</w:t>
      </w:r>
      <w:r w:rsidRPr="00321DEC">
        <w:t xml:space="preserve"> </w:t>
      </w:r>
      <w:r w:rsidRPr="00321DEC">
        <w:t>is mis</w:t>
      </w:r>
      <w:r w:rsidRPr="00321DEC">
        <w:t>sing three state defined subgroups for racial and ethnic groups. Added in three permitted values for states.</w:t>
      </w:r>
    </w:p>
    <w:p w:rsidR="00CC2AEE" w:rsidRPr="004B53C2" w:rsidP="00CC2AEE" w14:paraId="5A270CF7" w14:textId="13840789">
      <w:pPr>
        <w:pStyle w:val="ListParagraph"/>
        <w:spacing w:line="276" w:lineRule="auto"/>
        <w:ind w:left="540" w:firstLine="360"/>
        <w:rPr>
          <w:i/>
          <w:iCs/>
        </w:rPr>
      </w:pPr>
      <w:r w:rsidRPr="00321DEC">
        <w:rPr>
          <w:i/>
          <w:iCs/>
        </w:rPr>
        <w:t xml:space="preserve">[Attachment </w:t>
      </w:r>
      <w:r w:rsidRPr="00321DEC">
        <w:rPr>
          <w:i/>
          <w:iCs/>
        </w:rPr>
        <w:t>A</w:t>
      </w:r>
      <w:r w:rsidRPr="00321DEC">
        <w:rPr>
          <w:i/>
          <w:iCs/>
        </w:rPr>
        <w:t xml:space="preserve"> Excel, Data Categories Tab, Row </w:t>
      </w:r>
      <w:r w:rsidRPr="00321DEC" w:rsidR="00262BA3">
        <w:rPr>
          <w:i/>
          <w:iCs/>
        </w:rPr>
        <w:t>7</w:t>
      </w:r>
      <w:r w:rsidRPr="00321DEC">
        <w:rPr>
          <w:i/>
          <w:iCs/>
        </w:rPr>
        <w:t>3</w:t>
      </w:r>
      <w:r w:rsidRPr="00321DEC" w:rsidR="000D4125">
        <w:rPr>
          <w:i/>
          <w:iCs/>
        </w:rPr>
        <w:t xml:space="preserve">; Attachment A PDF, Page </w:t>
      </w:r>
      <w:r w:rsidRPr="00321DEC" w:rsidR="006E1EC3">
        <w:rPr>
          <w:i/>
          <w:iCs/>
        </w:rPr>
        <w:t>29</w:t>
      </w:r>
      <w:r w:rsidR="00903A0B">
        <w:rPr>
          <w:i/>
          <w:iCs/>
        </w:rPr>
        <w:t>7</w:t>
      </w:r>
      <w:r w:rsidRPr="00321DEC">
        <w:rPr>
          <w:i/>
          <w:iCs/>
        </w:rPr>
        <w:t>]</w:t>
      </w:r>
    </w:p>
    <w:p w:rsidR="00C17A37" w:rsidP="00C17A37" w14:paraId="28E8BE0B" w14:textId="255522D7">
      <w:pPr>
        <w:pStyle w:val="ListParagraph"/>
        <w:spacing w:line="276" w:lineRule="auto"/>
        <w:ind w:left="360"/>
      </w:pPr>
    </w:p>
    <w:p w:rsidR="00C17A37" w:rsidRPr="00C17A37" w:rsidP="00C17A37" w14:paraId="0A554489" w14:textId="21EA3659">
      <w:pPr>
        <w:pStyle w:val="ListParagraph"/>
        <w:numPr>
          <w:ilvl w:val="1"/>
          <w:numId w:val="20"/>
        </w:numPr>
        <w:spacing w:line="276" w:lineRule="auto"/>
        <w:ind w:left="900"/>
      </w:pPr>
      <w:r>
        <w:t>The data category “</w:t>
      </w:r>
      <w:r w:rsidRPr="00C17A37">
        <w:t>Category Indicator Type (SQSSM)</w:t>
      </w:r>
      <w:r>
        <w:t>”</w:t>
      </w:r>
      <w:r w:rsidR="00324DA5">
        <w:t xml:space="preserve"> </w:t>
      </w:r>
      <w:r w:rsidRPr="00C17A37">
        <w:t>definition is not standard with other</w:t>
      </w:r>
      <w:r w:rsidR="00324DA5">
        <w:t xml:space="preserve"> indicator categories.</w:t>
      </w:r>
      <w:r w:rsidRPr="00324DA5" w:rsidR="00324DA5">
        <w:t xml:space="preserve"> Change</w:t>
      </w:r>
      <w:r w:rsidR="00324DA5">
        <w:t>d</w:t>
      </w:r>
      <w:r w:rsidRPr="00324DA5" w:rsidR="00324DA5">
        <w:t xml:space="preserve"> definition to “The </w:t>
      </w:r>
      <w:r w:rsidR="00324DA5">
        <w:t>s</w:t>
      </w:r>
      <w:r w:rsidRPr="00324DA5" w:rsidR="00324DA5">
        <w:t xml:space="preserve">chool </w:t>
      </w:r>
      <w:r w:rsidR="00324DA5">
        <w:t>q</w:t>
      </w:r>
      <w:r w:rsidRPr="00324DA5" w:rsidR="00324DA5">
        <w:t xml:space="preserve">uality or </w:t>
      </w:r>
      <w:r w:rsidR="00324DA5">
        <w:t>s</w:t>
      </w:r>
      <w:r w:rsidRPr="00324DA5" w:rsidR="00324DA5">
        <w:t xml:space="preserve">tudent </w:t>
      </w:r>
      <w:r w:rsidR="00324DA5">
        <w:t>s</w:t>
      </w:r>
      <w:r w:rsidRPr="00324DA5" w:rsidR="00324DA5">
        <w:t>uccess indicator type.”</w:t>
      </w:r>
    </w:p>
    <w:p w:rsidR="00CC2AEE" w:rsidRPr="004B53C2" w:rsidP="00CC2AEE" w14:paraId="4CE05BA2" w14:textId="6D51476E">
      <w:pPr>
        <w:pStyle w:val="ListParagraph"/>
        <w:spacing w:line="276" w:lineRule="auto"/>
        <w:ind w:left="540" w:firstLine="360"/>
        <w:rPr>
          <w:i/>
          <w:iCs/>
        </w:rPr>
      </w:pPr>
      <w:bookmarkStart w:id="12" w:name="_Hlk130310737"/>
      <w:r w:rsidRPr="004B53C2">
        <w:rPr>
          <w:i/>
          <w:iCs/>
        </w:rPr>
        <w:t xml:space="preserve">[Attachment </w:t>
      </w:r>
      <w:r w:rsidRPr="004B53C2">
        <w:rPr>
          <w:i/>
          <w:iCs/>
        </w:rPr>
        <w:t>A</w:t>
      </w:r>
      <w:r w:rsidRPr="004B53C2">
        <w:rPr>
          <w:i/>
          <w:iCs/>
        </w:rPr>
        <w:t xml:space="preserve"> Excel, Data Categories Tab, Row </w:t>
      </w:r>
      <w:r>
        <w:rPr>
          <w:i/>
          <w:iCs/>
        </w:rPr>
        <w:t>76</w:t>
      </w:r>
      <w:r w:rsidR="000D4125">
        <w:rPr>
          <w:i/>
          <w:iCs/>
        </w:rPr>
        <w:t xml:space="preserve">; Attachment A PDF, Page </w:t>
      </w:r>
      <w:r w:rsidR="00BC4DA0">
        <w:rPr>
          <w:i/>
          <w:iCs/>
        </w:rPr>
        <w:t>30</w:t>
      </w:r>
      <w:r w:rsidR="00903A0B">
        <w:rPr>
          <w:i/>
          <w:iCs/>
        </w:rPr>
        <w:t>1</w:t>
      </w:r>
      <w:r w:rsidRPr="004B53C2">
        <w:rPr>
          <w:i/>
          <w:iCs/>
        </w:rPr>
        <w:t>]</w:t>
      </w:r>
    </w:p>
    <w:bookmarkEnd w:id="12"/>
    <w:p w:rsidR="000D2051" w:rsidP="000D2051" w14:paraId="4064BCA0" w14:textId="77777777">
      <w:pPr>
        <w:spacing w:line="276" w:lineRule="auto"/>
      </w:pPr>
    </w:p>
    <w:p w:rsidR="000D2051" w:rsidP="00640EFF" w14:paraId="529F27E2" w14:textId="77777777">
      <w:pPr>
        <w:pStyle w:val="ListParagraph"/>
        <w:numPr>
          <w:ilvl w:val="0"/>
          <w:numId w:val="20"/>
        </w:numPr>
        <w:spacing w:line="276" w:lineRule="auto"/>
      </w:pPr>
      <w:r w:rsidRPr="008D776F">
        <w:rPr>
          <w:u w:val="single"/>
        </w:rPr>
        <w:t>File specification 206 (School Support and Improvement)</w:t>
      </w:r>
      <w:r>
        <w:t xml:space="preserve">: </w:t>
      </w:r>
    </w:p>
    <w:p w:rsidR="000D2051" w:rsidP="008D776F" w14:paraId="0F0A893A" w14:textId="416E7BFB">
      <w:pPr>
        <w:pStyle w:val="ListParagraph"/>
        <w:numPr>
          <w:ilvl w:val="1"/>
          <w:numId w:val="11"/>
        </w:numPr>
        <w:spacing w:line="276" w:lineRule="auto"/>
        <w:ind w:left="900"/>
      </w:pPr>
      <w:r>
        <w:t>A</w:t>
      </w:r>
      <w:r w:rsidR="002379B5">
        <w:t xml:space="preserve"> permitted value for the </w:t>
      </w:r>
      <w:r w:rsidR="00B03099">
        <w:t>“</w:t>
      </w:r>
      <w:r w:rsidRPr="00E90D5F" w:rsidR="002379B5">
        <w:t>Additional Targeted Support and Improvement</w:t>
      </w:r>
      <w:r w:rsidR="00B03099">
        <w:t>”</w:t>
      </w:r>
      <w:r w:rsidRPr="00E90D5F" w:rsidR="002379B5">
        <w:t xml:space="preserve"> </w:t>
      </w:r>
      <w:r w:rsidR="002379B5">
        <w:t xml:space="preserve">data category was erroneously deleted in the 60-day package. </w:t>
      </w:r>
      <w:r w:rsidR="003F6D04">
        <w:t>The permitted value “</w:t>
      </w:r>
      <w:r w:rsidRPr="003F6D04" w:rsidR="003F6D04">
        <w:t>Additional Targeted Support and Improvement</w:t>
      </w:r>
      <w:r w:rsidR="003F6D04">
        <w:t>” was added back in.</w:t>
      </w:r>
    </w:p>
    <w:p w:rsidR="003F6D04" w:rsidRPr="00C465A9" w:rsidP="003F6D04" w14:paraId="41C6118A" w14:textId="236FF363">
      <w:pPr>
        <w:pStyle w:val="ListParagraph"/>
        <w:spacing w:line="276" w:lineRule="auto"/>
        <w:ind w:left="900"/>
        <w:rPr>
          <w:i/>
          <w:iCs/>
        </w:rPr>
      </w:pPr>
      <w:bookmarkStart w:id="13" w:name="_Hlk130310231"/>
      <w:r w:rsidRPr="00C465A9">
        <w:rPr>
          <w:i/>
          <w:iCs/>
        </w:rPr>
        <w:t xml:space="preserve">[Attachment </w:t>
      </w:r>
      <w:r w:rsidRPr="00C465A9">
        <w:rPr>
          <w:i/>
          <w:iCs/>
        </w:rPr>
        <w:t>A</w:t>
      </w:r>
      <w:r w:rsidRPr="00C465A9">
        <w:rPr>
          <w:i/>
          <w:iCs/>
        </w:rPr>
        <w:t xml:space="preserve"> Excel, Data Categories Tab, Row 82</w:t>
      </w:r>
      <w:r w:rsidR="000D4125">
        <w:rPr>
          <w:i/>
          <w:iCs/>
        </w:rPr>
        <w:t xml:space="preserve">; Attachment A PDF, Page </w:t>
      </w:r>
      <w:r w:rsidR="00636423">
        <w:rPr>
          <w:i/>
          <w:iCs/>
        </w:rPr>
        <w:t>30</w:t>
      </w:r>
      <w:r w:rsidR="00903A0B">
        <w:rPr>
          <w:i/>
          <w:iCs/>
        </w:rPr>
        <w:t>8</w:t>
      </w:r>
      <w:r w:rsidRPr="00C465A9">
        <w:rPr>
          <w:i/>
          <w:iCs/>
        </w:rPr>
        <w:t>]</w:t>
      </w:r>
    </w:p>
    <w:bookmarkEnd w:id="13"/>
    <w:p w:rsidR="003F6D04" w:rsidP="003F6D04" w14:paraId="548B4335" w14:textId="77777777">
      <w:pPr>
        <w:pStyle w:val="ListParagraph"/>
        <w:spacing w:line="276" w:lineRule="auto"/>
        <w:ind w:left="900"/>
      </w:pPr>
    </w:p>
    <w:p w:rsidR="007E0C7D" w:rsidP="008D776F" w14:paraId="296D8141" w14:textId="640B6F3D">
      <w:pPr>
        <w:pStyle w:val="ListParagraph"/>
        <w:numPr>
          <w:ilvl w:val="1"/>
          <w:numId w:val="11"/>
        </w:numPr>
        <w:spacing w:line="276" w:lineRule="auto"/>
        <w:ind w:left="900"/>
      </w:pPr>
      <w:r w:rsidRPr="002115C6">
        <w:t xml:space="preserve">The permitted value for the </w:t>
      </w:r>
      <w:r w:rsidR="00B03099">
        <w:t>“</w:t>
      </w:r>
      <w:r w:rsidRPr="002115C6">
        <w:t>Target Support and Improvement Data Category</w:t>
      </w:r>
      <w:r w:rsidR="00B03099">
        <w:t>”</w:t>
      </w:r>
      <w:r w:rsidRPr="002115C6">
        <w:t xml:space="preserve"> should be </w:t>
      </w:r>
      <w:r w:rsidR="003F6D04">
        <w:t>“</w:t>
      </w:r>
      <w:r w:rsidRPr="002115C6">
        <w:t>Targeted Support and Improvement</w:t>
      </w:r>
      <w:r w:rsidR="003F6D04">
        <w:t>”</w:t>
      </w:r>
      <w:r w:rsidRPr="002115C6">
        <w:t xml:space="preserve"> instead of </w:t>
      </w:r>
      <w:r w:rsidR="003F6D04">
        <w:t>“</w:t>
      </w:r>
      <w:r w:rsidRPr="002115C6">
        <w:t>Targeted Support and Improvement - Exit Status</w:t>
      </w:r>
      <w:r w:rsidR="003F6D04">
        <w:t>”</w:t>
      </w:r>
      <w:r>
        <w:t>.</w:t>
      </w:r>
      <w:r w:rsidR="003F6D04">
        <w:t xml:space="preserve"> The permitted value name </w:t>
      </w:r>
      <w:r w:rsidR="00B03099">
        <w:t>was changed</w:t>
      </w:r>
      <w:r w:rsidR="003F6D04">
        <w:t>.</w:t>
      </w:r>
    </w:p>
    <w:p w:rsidR="003F6D04" w:rsidRPr="00C465A9" w:rsidP="003F6D04" w14:paraId="6785D68A" w14:textId="54564777">
      <w:pPr>
        <w:pStyle w:val="ListParagraph"/>
        <w:spacing w:line="276" w:lineRule="auto"/>
        <w:ind w:left="900"/>
        <w:rPr>
          <w:i/>
          <w:iCs/>
        </w:rPr>
      </w:pPr>
      <w:r w:rsidRPr="00C465A9">
        <w:rPr>
          <w:i/>
          <w:iCs/>
        </w:rPr>
        <w:t xml:space="preserve">[Attachment </w:t>
      </w:r>
      <w:r w:rsidRPr="00C465A9">
        <w:rPr>
          <w:i/>
          <w:iCs/>
        </w:rPr>
        <w:t>A</w:t>
      </w:r>
      <w:r w:rsidRPr="00C465A9">
        <w:rPr>
          <w:i/>
          <w:iCs/>
        </w:rPr>
        <w:t xml:space="preserve"> Excel, Data Categories Tab, Row 83</w:t>
      </w:r>
      <w:r w:rsidR="000D4125">
        <w:rPr>
          <w:i/>
          <w:iCs/>
        </w:rPr>
        <w:t xml:space="preserve">; Attachment A PDF, Page </w:t>
      </w:r>
      <w:r w:rsidR="00636423">
        <w:rPr>
          <w:i/>
          <w:iCs/>
        </w:rPr>
        <w:t>30</w:t>
      </w:r>
      <w:r w:rsidR="00903A0B">
        <w:rPr>
          <w:i/>
          <w:iCs/>
        </w:rPr>
        <w:t>9</w:t>
      </w:r>
      <w:r w:rsidRPr="00C465A9">
        <w:rPr>
          <w:i/>
          <w:iCs/>
        </w:rPr>
        <w:t>]</w:t>
      </w:r>
    </w:p>
    <w:p w:rsidR="000D2051" w:rsidP="000D2051" w14:paraId="6A6769F5" w14:textId="77777777">
      <w:pPr>
        <w:pStyle w:val="ListParagraph"/>
        <w:spacing w:line="276" w:lineRule="auto"/>
      </w:pPr>
    </w:p>
    <w:p w:rsidR="008C2FEC" w:rsidP="00640EFF" w14:paraId="733A581F" w14:textId="58BFCD61">
      <w:pPr>
        <w:pStyle w:val="ListParagraph"/>
        <w:numPr>
          <w:ilvl w:val="0"/>
          <w:numId w:val="20"/>
        </w:numPr>
        <w:spacing w:line="276" w:lineRule="auto"/>
      </w:pPr>
      <w:r w:rsidRPr="002F4370">
        <w:rPr>
          <w:u w:val="single"/>
        </w:rPr>
        <w:t>File specification 212 (Identification School Support and Improvement)</w:t>
      </w:r>
      <w:r>
        <w:t xml:space="preserve">: </w:t>
      </w:r>
      <w:r w:rsidR="005E06EB">
        <w:t>In</w:t>
      </w:r>
      <w:r>
        <w:t xml:space="preserve"> Data Group </w:t>
      </w:r>
      <w:r w:rsidR="002F4370">
        <w:t>866 (Comprehensive s</w:t>
      </w:r>
      <w:r w:rsidRPr="002F4370" w:rsidR="002F4370">
        <w:t xml:space="preserve">upport </w:t>
      </w:r>
      <w:r w:rsidR="002F4370">
        <w:t>i</w:t>
      </w:r>
      <w:r w:rsidRPr="002F4370" w:rsidR="002F4370">
        <w:t xml:space="preserve">dentification </w:t>
      </w:r>
      <w:r w:rsidR="002F4370">
        <w:t>table)</w:t>
      </w:r>
      <w:r>
        <w:t>, the category “</w:t>
      </w:r>
      <w:r w:rsidRPr="008C2FEC">
        <w:t>Comprehensive Support Identification Subgroups</w:t>
      </w:r>
      <w:r>
        <w:t>” should be “</w:t>
      </w:r>
      <w:r w:rsidRPr="002904CD" w:rsidR="002904CD">
        <w:t>Comprehensive Support and Improvement Type</w:t>
      </w:r>
      <w:r>
        <w:t>”</w:t>
      </w:r>
      <w:r w:rsidR="005E06EB">
        <w:t>. The data category name was updated.</w:t>
      </w:r>
    </w:p>
    <w:p w:rsidR="002F4370" w:rsidRPr="002F4370" w:rsidP="002F4370" w14:paraId="5BD87DE3" w14:textId="60D63DAB">
      <w:pPr>
        <w:pStyle w:val="ListParagraph"/>
        <w:spacing w:line="276" w:lineRule="auto"/>
        <w:ind w:left="360"/>
        <w:rPr>
          <w:i/>
          <w:iCs/>
        </w:rPr>
      </w:pPr>
      <w:r w:rsidRPr="002F4370">
        <w:rPr>
          <w:i/>
          <w:iCs/>
        </w:rPr>
        <w:t xml:space="preserve">[Attachment </w:t>
      </w:r>
      <w:r w:rsidRPr="002F4370">
        <w:rPr>
          <w:i/>
          <w:iCs/>
        </w:rPr>
        <w:t>A</w:t>
      </w:r>
      <w:r w:rsidRPr="002F4370">
        <w:rPr>
          <w:i/>
          <w:iCs/>
        </w:rPr>
        <w:t xml:space="preserve"> Excel, Data Groups Tab, Ro</w:t>
      </w:r>
      <w:r>
        <w:rPr>
          <w:i/>
          <w:iCs/>
        </w:rPr>
        <w:t>w</w:t>
      </w:r>
      <w:r w:rsidRPr="002F4370">
        <w:rPr>
          <w:i/>
          <w:iCs/>
        </w:rPr>
        <w:t xml:space="preserve"> </w:t>
      </w:r>
      <w:r>
        <w:rPr>
          <w:i/>
          <w:iCs/>
        </w:rPr>
        <w:t>120</w:t>
      </w:r>
      <w:r w:rsidR="000D4125">
        <w:rPr>
          <w:i/>
          <w:iCs/>
        </w:rPr>
        <w:t>; Attachment A PDF, Page</w:t>
      </w:r>
      <w:r w:rsidR="00DA51C6">
        <w:rPr>
          <w:i/>
          <w:iCs/>
        </w:rPr>
        <w:t xml:space="preserve"> </w:t>
      </w:r>
      <w:r w:rsidRPr="00903A0B" w:rsidR="00DA51C6">
        <w:rPr>
          <w:i/>
          <w:iCs/>
        </w:rPr>
        <w:t>15</w:t>
      </w:r>
      <w:r w:rsidRPr="00903A0B" w:rsidR="002904CD">
        <w:rPr>
          <w:i/>
          <w:iCs/>
        </w:rPr>
        <w:t>4</w:t>
      </w:r>
      <w:r w:rsidRPr="00903A0B">
        <w:rPr>
          <w:i/>
          <w:iCs/>
        </w:rPr>
        <w:t>]</w:t>
      </w:r>
    </w:p>
    <w:p w:rsidR="000D2051" w:rsidP="000D2051" w14:paraId="583ED2A6" w14:textId="77777777">
      <w:pPr>
        <w:pStyle w:val="ListParagraph"/>
        <w:spacing w:line="276" w:lineRule="auto"/>
        <w:ind w:left="360"/>
      </w:pPr>
    </w:p>
    <w:p w:rsidR="009252D5" w:rsidRPr="009252D5" w:rsidP="009252D5" w14:paraId="4F73F049" w14:textId="13AE82E0">
      <w:pPr>
        <w:pStyle w:val="ListParagraph"/>
        <w:numPr>
          <w:ilvl w:val="0"/>
          <w:numId w:val="20"/>
        </w:numPr>
      </w:pPr>
      <w:r w:rsidRPr="009252D5">
        <w:rPr>
          <w:u w:val="single"/>
        </w:rPr>
        <w:t xml:space="preserve">File specifications </w:t>
      </w:r>
      <w:r w:rsidRPr="009252D5" w:rsidR="004602EE">
        <w:rPr>
          <w:u w:val="single"/>
        </w:rPr>
        <w:t>218</w:t>
      </w:r>
      <w:r w:rsidRPr="009252D5">
        <w:rPr>
          <w:u w:val="single"/>
        </w:rPr>
        <w:t xml:space="preserve"> (N</w:t>
      </w:r>
      <w:r w:rsidRPr="009252D5" w:rsidR="004602EE">
        <w:rPr>
          <w:u w:val="single"/>
        </w:rPr>
        <w:t xml:space="preserve"> or D In Program Outcomes - State Agency</w:t>
      </w:r>
      <w:r w:rsidRPr="009252D5">
        <w:rPr>
          <w:u w:val="single"/>
        </w:rPr>
        <w:t>)</w:t>
      </w:r>
      <w:r w:rsidR="000D09D0">
        <w:rPr>
          <w:u w:val="single"/>
        </w:rPr>
        <w:t xml:space="preserve"> and</w:t>
      </w:r>
      <w:r w:rsidRPr="009252D5">
        <w:rPr>
          <w:u w:val="single"/>
        </w:rPr>
        <w:t xml:space="preserve"> </w:t>
      </w:r>
      <w:r w:rsidRPr="009252D5" w:rsidR="004602EE">
        <w:rPr>
          <w:u w:val="single"/>
        </w:rPr>
        <w:t>219</w:t>
      </w:r>
      <w:r w:rsidRPr="009252D5">
        <w:rPr>
          <w:u w:val="single"/>
        </w:rPr>
        <w:t xml:space="preserve"> (</w:t>
      </w:r>
      <w:r w:rsidRPr="009252D5" w:rsidR="004602EE">
        <w:rPr>
          <w:u w:val="single"/>
        </w:rPr>
        <w:t xml:space="preserve">N or D In Program Outcomes </w:t>
      </w:r>
      <w:r w:rsidRPr="009252D5">
        <w:rPr>
          <w:u w:val="single"/>
        </w:rPr>
        <w:t>–</w:t>
      </w:r>
      <w:r w:rsidRPr="009252D5" w:rsidR="004602EE">
        <w:rPr>
          <w:u w:val="single"/>
        </w:rPr>
        <w:t xml:space="preserve"> LEA</w:t>
      </w:r>
      <w:r w:rsidRPr="009252D5">
        <w:rPr>
          <w:u w:val="single"/>
        </w:rPr>
        <w:t>)</w:t>
      </w:r>
      <w:r>
        <w:t xml:space="preserve">: </w:t>
      </w:r>
      <w:r w:rsidR="000D09D0">
        <w:t>The d</w:t>
      </w:r>
      <w:r w:rsidRPr="009252D5">
        <w:t xml:space="preserve">ata category “Academic/Career and Technical Outcomes” </w:t>
      </w:r>
      <w:r w:rsidR="003E0481">
        <w:t xml:space="preserve">was erroneously retired. This data category </w:t>
      </w:r>
      <w:r w:rsidR="000D09D0">
        <w:t>was</w:t>
      </w:r>
      <w:r w:rsidR="003E0481">
        <w:t xml:space="preserve"> unretired. </w:t>
      </w:r>
    </w:p>
    <w:p w:rsidR="009252D5" w:rsidRPr="003E0481" w:rsidP="009252D5" w14:paraId="7A96831C" w14:textId="6A7C867D">
      <w:pPr>
        <w:pStyle w:val="ListParagraph"/>
        <w:spacing w:line="276" w:lineRule="auto"/>
        <w:ind w:left="360"/>
        <w:rPr>
          <w:i/>
          <w:iCs/>
        </w:rPr>
      </w:pPr>
      <w:r w:rsidRPr="003E0481">
        <w:rPr>
          <w:i/>
          <w:iCs/>
        </w:rPr>
        <w:t xml:space="preserve">[Attachment </w:t>
      </w:r>
      <w:r w:rsidRPr="003E0481">
        <w:rPr>
          <w:i/>
          <w:iCs/>
        </w:rPr>
        <w:t>A</w:t>
      </w:r>
      <w:r w:rsidRPr="003E0481">
        <w:rPr>
          <w:i/>
          <w:iCs/>
        </w:rPr>
        <w:t xml:space="preserve"> Excel, Data Categories Tab, Row 54</w:t>
      </w:r>
      <w:r w:rsidR="000D4125">
        <w:rPr>
          <w:i/>
          <w:iCs/>
        </w:rPr>
        <w:t xml:space="preserve">; Attachment A PDF, Page </w:t>
      </w:r>
      <w:r w:rsidR="00636423">
        <w:rPr>
          <w:i/>
          <w:iCs/>
        </w:rPr>
        <w:t>27</w:t>
      </w:r>
      <w:r w:rsidR="00903A0B">
        <w:rPr>
          <w:i/>
          <w:iCs/>
        </w:rPr>
        <w:t>8</w:t>
      </w:r>
      <w:r w:rsidRPr="003E0481">
        <w:rPr>
          <w:i/>
          <w:iCs/>
        </w:rPr>
        <w:t>]</w:t>
      </w:r>
    </w:p>
    <w:p w:rsidR="009252D5" w:rsidRPr="009252D5" w:rsidP="009252D5" w14:paraId="5F3DE744" w14:textId="77777777">
      <w:pPr>
        <w:pStyle w:val="ListParagraph"/>
        <w:spacing w:line="276" w:lineRule="auto"/>
        <w:ind w:left="360"/>
      </w:pPr>
    </w:p>
    <w:p w:rsidR="000441CF" w:rsidP="00640EFF" w14:paraId="317A7CDF" w14:textId="77777777">
      <w:pPr>
        <w:pStyle w:val="ListParagraph"/>
        <w:numPr>
          <w:ilvl w:val="0"/>
          <w:numId w:val="20"/>
        </w:numPr>
        <w:spacing w:line="276" w:lineRule="auto"/>
      </w:pPr>
      <w:r w:rsidRPr="003E0481">
        <w:rPr>
          <w:u w:val="single"/>
        </w:rPr>
        <w:t xml:space="preserve">File specifications </w:t>
      </w:r>
      <w:r w:rsidRPr="00BF3716" w:rsidR="004602EE">
        <w:rPr>
          <w:u w:val="single"/>
        </w:rPr>
        <w:t>220</w:t>
      </w:r>
      <w:r w:rsidRPr="00BF3716" w:rsidR="00E501BD">
        <w:rPr>
          <w:u w:val="single"/>
        </w:rPr>
        <w:t xml:space="preserve"> (</w:t>
      </w:r>
      <w:r w:rsidRPr="00BF3716" w:rsidR="004602EE">
        <w:rPr>
          <w:u w:val="single"/>
        </w:rPr>
        <w:t>N or D Exit Outcomes - State Agency</w:t>
      </w:r>
      <w:r w:rsidRPr="00BF3716" w:rsidR="00E501BD">
        <w:rPr>
          <w:u w:val="single"/>
        </w:rPr>
        <w:t>)</w:t>
      </w:r>
      <w:r>
        <w:rPr>
          <w:u w:val="single"/>
        </w:rPr>
        <w:t xml:space="preserve"> and</w:t>
      </w:r>
      <w:r w:rsidRPr="00BF3716" w:rsidR="00E501BD">
        <w:rPr>
          <w:u w:val="single"/>
        </w:rPr>
        <w:t xml:space="preserve"> </w:t>
      </w:r>
      <w:r w:rsidRPr="00BF3716" w:rsidR="004602EE">
        <w:rPr>
          <w:u w:val="single"/>
        </w:rPr>
        <w:t>221</w:t>
      </w:r>
      <w:r w:rsidRPr="00BF3716" w:rsidR="00E501BD">
        <w:rPr>
          <w:u w:val="single"/>
        </w:rPr>
        <w:t>(</w:t>
      </w:r>
      <w:r w:rsidRPr="00BF3716" w:rsidR="004602EE">
        <w:rPr>
          <w:u w:val="single"/>
        </w:rPr>
        <w:t xml:space="preserve">N or D Exit Outcomes </w:t>
      </w:r>
      <w:r w:rsidRPr="00BF3716" w:rsidR="00E501BD">
        <w:rPr>
          <w:u w:val="single"/>
        </w:rPr>
        <w:t>–</w:t>
      </w:r>
      <w:r w:rsidRPr="00BF3716" w:rsidR="004602EE">
        <w:rPr>
          <w:u w:val="single"/>
        </w:rPr>
        <w:t xml:space="preserve"> LEA</w:t>
      </w:r>
      <w:r w:rsidRPr="00BF3716" w:rsidR="00E501BD">
        <w:rPr>
          <w:u w:val="single"/>
        </w:rPr>
        <w:t>)</w:t>
      </w:r>
      <w:r w:rsidR="000D2B66">
        <w:t>:</w:t>
      </w:r>
      <w:r w:rsidRPr="00E501BD" w:rsidR="00A336D5">
        <w:t xml:space="preserve"> </w:t>
      </w:r>
    </w:p>
    <w:p w:rsidR="000441CF" w:rsidRPr="00321DEC" w:rsidP="000441CF" w14:paraId="47816602" w14:textId="4CD066FF">
      <w:pPr>
        <w:pStyle w:val="ListParagraph"/>
        <w:numPr>
          <w:ilvl w:val="1"/>
          <w:numId w:val="20"/>
        </w:numPr>
        <w:ind w:left="900"/>
      </w:pPr>
      <w:r w:rsidRPr="00321DEC">
        <w:t>The data category used in data groups 891 (Title I Neglected or Delinquent program at exit table – state agency) and 892 (Title I Delinquent and At-Risk program at exit table – LEA) should be</w:t>
      </w:r>
      <w:r w:rsidRPr="00321DEC" w:rsidR="00A336D5">
        <w:t xml:space="preserve"> “Academic/Career and Technical Outcomes (Exit)” </w:t>
      </w:r>
      <w:r w:rsidRPr="00321DEC">
        <w:t>and not</w:t>
      </w:r>
      <w:r w:rsidRPr="00321DEC" w:rsidR="00A336D5">
        <w:t xml:space="preserve"> “Academic/Career and Technical Outcomes”</w:t>
      </w:r>
      <w:bookmarkStart w:id="14" w:name="_Hlk119651342"/>
      <w:r w:rsidRPr="00321DEC">
        <w:t>. The data category name was changed.</w:t>
      </w:r>
    </w:p>
    <w:p w:rsidR="000441CF" w:rsidRPr="000441CF" w:rsidP="00F25B98" w14:paraId="4717B66D" w14:textId="00508D14">
      <w:pPr>
        <w:pStyle w:val="ListParagraph"/>
        <w:ind w:left="900"/>
        <w:rPr>
          <w:i/>
          <w:iCs/>
        </w:rPr>
      </w:pPr>
      <w:bookmarkStart w:id="15" w:name="_Hlk130313249"/>
      <w:r w:rsidRPr="00321DEC">
        <w:rPr>
          <w:i/>
          <w:iCs/>
        </w:rPr>
        <w:t xml:space="preserve">[Attachment </w:t>
      </w:r>
      <w:r w:rsidRPr="00321DEC">
        <w:rPr>
          <w:i/>
          <w:iCs/>
        </w:rPr>
        <w:t>A</w:t>
      </w:r>
      <w:r w:rsidRPr="00321DEC">
        <w:rPr>
          <w:i/>
          <w:iCs/>
        </w:rPr>
        <w:t xml:space="preserve"> Excel, Data Groups Tab, Rows 156 and 157</w:t>
      </w:r>
      <w:r w:rsidRPr="00321DEC" w:rsidR="000D4125">
        <w:rPr>
          <w:i/>
          <w:iCs/>
        </w:rPr>
        <w:t xml:space="preserve">; Attachment A PDF, Page </w:t>
      </w:r>
      <w:r w:rsidRPr="00321DEC" w:rsidR="00F25B98">
        <w:rPr>
          <w:i/>
          <w:iCs/>
        </w:rPr>
        <w:t>2</w:t>
      </w:r>
      <w:r w:rsidR="00903A0B">
        <w:rPr>
          <w:i/>
          <w:iCs/>
        </w:rPr>
        <w:t>10</w:t>
      </w:r>
      <w:r w:rsidRPr="00321DEC" w:rsidR="00F25B98">
        <w:rPr>
          <w:i/>
          <w:iCs/>
        </w:rPr>
        <w:t xml:space="preserve"> and 21</w:t>
      </w:r>
      <w:r w:rsidR="00903A0B">
        <w:rPr>
          <w:i/>
          <w:iCs/>
        </w:rPr>
        <w:t>2</w:t>
      </w:r>
      <w:r w:rsidRPr="00321DEC">
        <w:rPr>
          <w:i/>
          <w:iCs/>
        </w:rPr>
        <w:t>]</w:t>
      </w:r>
    </w:p>
    <w:bookmarkEnd w:id="15"/>
    <w:p w:rsidR="000441CF" w:rsidP="000441CF" w14:paraId="4C0881AC" w14:textId="77777777">
      <w:pPr>
        <w:pStyle w:val="ListParagraph"/>
        <w:ind w:firstLine="180"/>
      </w:pPr>
    </w:p>
    <w:p w:rsidR="00FA1FCB" w:rsidP="000441CF" w14:paraId="06D23C75" w14:textId="55420845">
      <w:pPr>
        <w:pStyle w:val="ListParagraph"/>
        <w:numPr>
          <w:ilvl w:val="1"/>
          <w:numId w:val="20"/>
        </w:numPr>
        <w:spacing w:line="276" w:lineRule="auto"/>
        <w:ind w:left="900"/>
      </w:pPr>
      <w:r w:rsidRPr="0090368F">
        <w:t xml:space="preserve">Data </w:t>
      </w:r>
      <w:r w:rsidR="00D0639B">
        <w:t>g</w:t>
      </w:r>
      <w:r w:rsidRPr="0090368F">
        <w:t>roup 892 (Title I Delinquent and At-Risk program at exit table – LEA)</w:t>
      </w:r>
      <w:r w:rsidR="002A2B68">
        <w:t xml:space="preserve"> needs a wording change in definition </w:t>
      </w:r>
      <w:r w:rsidRPr="0090368F">
        <w:t>for consistency</w:t>
      </w:r>
      <w:r w:rsidR="002A2B68">
        <w:t>. Changed</w:t>
      </w:r>
      <w:r w:rsidRPr="0090368F">
        <w:t xml:space="preserve"> “Local Agency Programs” to “LEA”</w:t>
      </w:r>
      <w:r w:rsidR="002A2B68">
        <w:t xml:space="preserve"> in the definition</w:t>
      </w:r>
      <w:r w:rsidRPr="0090368F">
        <w:t>.</w:t>
      </w:r>
    </w:p>
    <w:p w:rsidR="002A2B68" w:rsidRPr="007A4D4D" w:rsidP="002A2B68" w14:paraId="5702444C" w14:textId="2CC65F09">
      <w:pPr>
        <w:pStyle w:val="ListParagraph"/>
        <w:spacing w:line="276" w:lineRule="auto"/>
        <w:ind w:left="900"/>
        <w:rPr>
          <w:i/>
          <w:iCs/>
        </w:rPr>
      </w:pPr>
      <w:r w:rsidRPr="007A4D4D">
        <w:rPr>
          <w:i/>
          <w:iCs/>
        </w:rPr>
        <w:t xml:space="preserve">[Attachment </w:t>
      </w:r>
      <w:r w:rsidRPr="007A4D4D">
        <w:rPr>
          <w:i/>
          <w:iCs/>
        </w:rPr>
        <w:t>A</w:t>
      </w:r>
      <w:r w:rsidRPr="007A4D4D">
        <w:rPr>
          <w:i/>
          <w:iCs/>
        </w:rPr>
        <w:t xml:space="preserve"> Excel, Data Groups Tab, Row 157</w:t>
      </w:r>
      <w:r w:rsidR="000D4125">
        <w:rPr>
          <w:i/>
          <w:iCs/>
        </w:rPr>
        <w:t xml:space="preserve">; Attachment A PDF, Page </w:t>
      </w:r>
      <w:r w:rsidR="00321DEC">
        <w:rPr>
          <w:i/>
          <w:iCs/>
        </w:rPr>
        <w:t>21</w:t>
      </w:r>
      <w:r w:rsidR="00903A0B">
        <w:rPr>
          <w:i/>
          <w:iCs/>
        </w:rPr>
        <w:t>2</w:t>
      </w:r>
      <w:r w:rsidRPr="007A4D4D">
        <w:rPr>
          <w:i/>
          <w:iCs/>
        </w:rPr>
        <w:t>]</w:t>
      </w:r>
    </w:p>
    <w:p w:rsidR="000D2051" w:rsidRPr="0090368F" w:rsidP="000D2051" w14:paraId="4E609C50" w14:textId="77777777">
      <w:pPr>
        <w:spacing w:line="276" w:lineRule="auto"/>
      </w:pPr>
    </w:p>
    <w:bookmarkEnd w:id="14"/>
    <w:p w:rsidR="00EE04F0" w:rsidP="00640EFF" w14:paraId="7A5F934A" w14:textId="1D71022A">
      <w:pPr>
        <w:pStyle w:val="ListParagraph"/>
        <w:numPr>
          <w:ilvl w:val="0"/>
          <w:numId w:val="20"/>
        </w:numPr>
        <w:spacing w:line="276" w:lineRule="auto"/>
      </w:pPr>
      <w:r>
        <w:t>File specification 223 (Title I School Status)</w:t>
      </w:r>
    </w:p>
    <w:p w:rsidR="00EE04F0" w:rsidP="00A74614" w14:paraId="0C3C1BC6" w14:textId="5169C73D">
      <w:pPr>
        <w:pStyle w:val="ListParagraph"/>
        <w:numPr>
          <w:ilvl w:val="1"/>
          <w:numId w:val="20"/>
        </w:numPr>
        <w:spacing w:line="276" w:lineRule="auto"/>
        <w:ind w:left="900"/>
      </w:pPr>
      <w:r>
        <w:t>The reporting period should be “Regular School Year”. The reporting period was changed.</w:t>
      </w:r>
    </w:p>
    <w:p w:rsidR="00EE04F0" w:rsidRPr="00EE04F0" w:rsidP="00A74614" w14:paraId="4EFD3EB1" w14:textId="23DECB68">
      <w:pPr>
        <w:pStyle w:val="ListParagraph"/>
        <w:spacing w:line="276" w:lineRule="auto"/>
        <w:ind w:firstLine="180"/>
        <w:rPr>
          <w:i/>
          <w:iCs/>
        </w:rPr>
      </w:pPr>
      <w:r w:rsidRPr="00EE04F0">
        <w:rPr>
          <w:i/>
          <w:iCs/>
        </w:rPr>
        <w:t xml:space="preserve">[Attachment </w:t>
      </w:r>
      <w:r w:rsidRPr="00EE04F0">
        <w:rPr>
          <w:i/>
          <w:iCs/>
        </w:rPr>
        <w:t>A</w:t>
      </w:r>
      <w:r w:rsidRPr="00EE04F0">
        <w:rPr>
          <w:i/>
          <w:iCs/>
        </w:rPr>
        <w:t xml:space="preserve"> Excel, Data Groups Tab, Row </w:t>
      </w:r>
      <w:r>
        <w:rPr>
          <w:i/>
          <w:iCs/>
        </w:rPr>
        <w:t>83</w:t>
      </w:r>
      <w:r w:rsidRPr="00EE04F0">
        <w:rPr>
          <w:i/>
          <w:iCs/>
        </w:rPr>
        <w:t xml:space="preserve">; Attachment A PDF, Page </w:t>
      </w:r>
      <w:r>
        <w:rPr>
          <w:i/>
          <w:iCs/>
        </w:rPr>
        <w:t>92</w:t>
      </w:r>
      <w:r w:rsidRPr="00EE04F0">
        <w:rPr>
          <w:i/>
          <w:iCs/>
        </w:rPr>
        <w:t>]</w:t>
      </w:r>
    </w:p>
    <w:p w:rsidR="00EE04F0" w:rsidP="00EE04F0" w14:paraId="1F7A8CF2" w14:textId="77777777">
      <w:pPr>
        <w:pStyle w:val="ListParagraph"/>
        <w:spacing w:line="276" w:lineRule="auto"/>
        <w:ind w:left="360"/>
      </w:pPr>
    </w:p>
    <w:p w:rsidR="00E22E3D" w:rsidP="00640EFF" w14:paraId="4B7348CA" w14:textId="71EF0A00">
      <w:pPr>
        <w:pStyle w:val="ListParagraph"/>
        <w:numPr>
          <w:ilvl w:val="0"/>
          <w:numId w:val="20"/>
        </w:numPr>
        <w:spacing w:line="276" w:lineRule="auto"/>
      </w:pPr>
      <w:r>
        <w:t>Added in all data group numbers that were “TBD” in currently approved package.</w:t>
      </w:r>
    </w:p>
    <w:p w:rsidR="006156C6" w:rsidRPr="006156C6" w:rsidP="00C672FF" w14:paraId="52397B51" w14:textId="380CC346">
      <w:pPr>
        <w:spacing w:line="276" w:lineRule="auto"/>
        <w:ind w:left="360"/>
        <w:rPr>
          <w:i/>
          <w:iCs/>
        </w:rPr>
      </w:pPr>
      <w:r w:rsidRPr="006156C6">
        <w:rPr>
          <w:i/>
          <w:iCs/>
        </w:rPr>
        <w:t xml:space="preserve">[Attachment </w:t>
      </w:r>
      <w:r w:rsidRPr="006156C6">
        <w:rPr>
          <w:i/>
          <w:iCs/>
        </w:rPr>
        <w:t>A</w:t>
      </w:r>
      <w:r w:rsidRPr="006156C6">
        <w:rPr>
          <w:i/>
          <w:iCs/>
        </w:rPr>
        <w:t xml:space="preserve"> Excel, Data Groups Tab, Row</w:t>
      </w:r>
      <w:r>
        <w:rPr>
          <w:i/>
          <w:iCs/>
        </w:rPr>
        <w:t>s 13</w:t>
      </w:r>
      <w:r w:rsidR="00903A0B">
        <w:rPr>
          <w:i/>
          <w:iCs/>
        </w:rPr>
        <w:t>8</w:t>
      </w:r>
      <w:r>
        <w:rPr>
          <w:i/>
          <w:iCs/>
        </w:rPr>
        <w:t>-16</w:t>
      </w:r>
      <w:r w:rsidR="00903A0B">
        <w:rPr>
          <w:i/>
          <w:iCs/>
        </w:rPr>
        <w:t>7</w:t>
      </w:r>
      <w:r>
        <w:rPr>
          <w:i/>
          <w:iCs/>
        </w:rPr>
        <w:t xml:space="preserve"> have data group numbers]</w:t>
      </w:r>
    </w:p>
    <w:p w:rsidR="000D2051" w:rsidP="000D2051" w14:paraId="53D5DF95" w14:textId="77777777">
      <w:pPr>
        <w:spacing w:line="276" w:lineRule="auto"/>
      </w:pPr>
    </w:p>
    <w:p w:rsidR="006D7463" w:rsidRPr="0090039E" w:rsidP="005D21C0" w14:paraId="52EE6B9A" w14:textId="190BB449">
      <w:pPr>
        <w:pStyle w:val="Heading1"/>
      </w:pPr>
      <w:r w:rsidRPr="0090039E">
        <w:t xml:space="preserve">Change Request: </w:t>
      </w:r>
      <w:r w:rsidRPr="0090039E" w:rsidR="00354AFF">
        <w:t>Metadata Collections</w:t>
      </w:r>
    </w:p>
    <w:p w:rsidR="006D7463" w:rsidP="0090039E" w14:paraId="075AC683" w14:textId="71C9D3FF">
      <w:pPr>
        <w:pStyle w:val="ListParagraph"/>
        <w:numPr>
          <w:ilvl w:val="0"/>
          <w:numId w:val="24"/>
        </w:numPr>
        <w:spacing w:line="276" w:lineRule="auto"/>
      </w:pPr>
      <w:r w:rsidRPr="0090039E">
        <w:rPr>
          <w:u w:val="single"/>
        </w:rPr>
        <w:t>New Application:</w:t>
      </w:r>
      <w:r>
        <w:t xml:space="preserve"> </w:t>
      </w:r>
      <w:r w:rsidRPr="0086148D" w:rsidR="0086148D">
        <w:t>In 2023, ED</w:t>
      </w:r>
      <w:r w:rsidRPr="0090039E" w:rsidR="0086148D">
        <w:rPr>
          <w:i/>
          <w:iCs/>
        </w:rPr>
        <w:t>Facts</w:t>
      </w:r>
      <w:r w:rsidRPr="0086148D" w:rsidR="0086148D">
        <w:t xml:space="preserve"> will begin transitioning metadata collections from EMAPS to </w:t>
      </w:r>
      <w:r w:rsidR="007B53C4">
        <w:t xml:space="preserve">a new submission application, </w:t>
      </w:r>
      <w:r w:rsidRPr="0086148D" w:rsidR="0086148D">
        <w:t>EDPass</w:t>
      </w:r>
      <w:r w:rsidRPr="0086148D" w:rsidR="0086148D">
        <w:t xml:space="preserve">. </w:t>
      </w:r>
      <w:r w:rsidRPr="0086148D" w:rsidR="0086148D">
        <w:t>EDPass</w:t>
      </w:r>
      <w:r w:rsidR="007B53C4">
        <w:t xml:space="preserve"> will</w:t>
      </w:r>
      <w:r w:rsidRPr="0086148D" w:rsidR="0086148D">
        <w:t xml:space="preserve"> allow data submitters to use one tool for metadata and data file submission</w:t>
      </w:r>
      <w:r w:rsidR="007B53C4">
        <w:t>s</w:t>
      </w:r>
      <w:r w:rsidRPr="0086148D" w:rsidR="0086148D">
        <w:t xml:space="preserve">. Content and burden remain </w:t>
      </w:r>
      <w:r w:rsidR="007B53C4">
        <w:t>the same.</w:t>
      </w:r>
      <w:r w:rsidRPr="0086148D" w:rsidR="0086148D">
        <w:t xml:space="preserve"> </w:t>
      </w:r>
      <w:r w:rsidR="007B53C4">
        <w:t>EDPass</w:t>
      </w:r>
      <w:r w:rsidR="007B53C4">
        <w:t xml:space="preserve"> is</w:t>
      </w:r>
      <w:r w:rsidRPr="0086148D" w:rsidR="0086148D">
        <w:t xml:space="preserve"> necessary to meet new security standards and to improve the efficiency of data processing. </w:t>
      </w:r>
      <w:r w:rsidR="00B750CC">
        <w:t xml:space="preserve">A note </w:t>
      </w:r>
      <w:r w:rsidR="002B2442">
        <w:t xml:space="preserve">on the impact of modernization </w:t>
      </w:r>
      <w:r w:rsidR="00B750CC">
        <w:t>was added to the introduction of Attachment C to describe this change.</w:t>
      </w:r>
    </w:p>
    <w:p w:rsidR="006D7463" w:rsidRPr="006D7463" w:rsidP="006D7463" w14:paraId="46475BB4" w14:textId="76FC0D75">
      <w:pPr>
        <w:pStyle w:val="ListParagraph"/>
        <w:spacing w:line="276" w:lineRule="auto"/>
        <w:ind w:left="900"/>
        <w:rPr>
          <w:i/>
          <w:iCs/>
        </w:rPr>
      </w:pPr>
      <w:bookmarkStart w:id="16" w:name="_Hlk130313602"/>
      <w:r w:rsidRPr="006D7463">
        <w:rPr>
          <w:i/>
          <w:iCs/>
        </w:rPr>
        <w:t xml:space="preserve">[Attachment C, </w:t>
      </w:r>
      <w:r w:rsidR="00B750CC">
        <w:rPr>
          <w:i/>
          <w:iCs/>
        </w:rPr>
        <w:t>Page C-1</w:t>
      </w:r>
      <w:r w:rsidR="005F6308">
        <w:rPr>
          <w:i/>
          <w:iCs/>
        </w:rPr>
        <w:t>, C-2</w:t>
      </w:r>
      <w:r w:rsidRPr="006D7463">
        <w:rPr>
          <w:i/>
          <w:iCs/>
        </w:rPr>
        <w:t>]</w:t>
      </w:r>
    </w:p>
    <w:bookmarkEnd w:id="16"/>
    <w:p w:rsidR="006D7463" w:rsidP="007C1630" w14:paraId="533AB7BB" w14:textId="34252D84">
      <w:pPr>
        <w:spacing w:line="276" w:lineRule="auto"/>
      </w:pPr>
    </w:p>
    <w:p w:rsidR="007C1630" w:rsidP="007C1630" w14:paraId="409D9A3A" w14:textId="51F5A942">
      <w:pPr>
        <w:widowControl w:val="0"/>
        <w:spacing w:after="120" w:line="276" w:lineRule="auto"/>
        <w:rPr>
          <w:color w:val="FF0000"/>
        </w:rPr>
      </w:pPr>
      <w:r w:rsidRPr="007C1630">
        <w:rPr>
          <w:color w:val="FF0000"/>
        </w:rPr>
        <w:t>Modernization impact: In 2023, ED</w:t>
      </w:r>
      <w:r w:rsidRPr="007C1630">
        <w:rPr>
          <w:i/>
          <w:iCs/>
          <w:color w:val="FF0000"/>
        </w:rPr>
        <w:t>Facts</w:t>
      </w:r>
      <w:r w:rsidRPr="007C1630">
        <w:rPr>
          <w:color w:val="FF0000"/>
        </w:rPr>
        <w:t xml:space="preserve"> will begin transitioning metadata collections from E</w:t>
      </w:r>
      <w:r w:rsidRPr="007C1630">
        <w:rPr>
          <w:i/>
          <w:iCs/>
          <w:color w:val="FF0000"/>
        </w:rPr>
        <w:t>MAPS</w:t>
      </w:r>
      <w:r w:rsidRPr="007C1630">
        <w:rPr>
          <w:color w:val="FF0000"/>
        </w:rPr>
        <w:t xml:space="preserve"> to </w:t>
      </w:r>
      <w:r w:rsidRPr="007C1630">
        <w:rPr>
          <w:color w:val="FF0000"/>
        </w:rPr>
        <w:t>EDPass</w:t>
      </w:r>
      <w:r w:rsidRPr="007C1630">
        <w:rPr>
          <w:color w:val="FF0000"/>
        </w:rPr>
        <w:t xml:space="preserve">. </w:t>
      </w:r>
      <w:r w:rsidRPr="007C1630">
        <w:rPr>
          <w:color w:val="FF0000"/>
        </w:rPr>
        <w:t>EDPass</w:t>
      </w:r>
      <w:r w:rsidRPr="007C1630">
        <w:rPr>
          <w:color w:val="FF0000"/>
        </w:rPr>
        <w:t xml:space="preserve"> is a submission tool that allows data submitters to use one tool for both metadata and data file submissions. Content and burden remain stable; the tool change is necessary to meet new security standards and to improve the efficiency of data processing. </w:t>
      </w:r>
    </w:p>
    <w:p w:rsidR="00E93A41" w:rsidRPr="00B25D23" w:rsidP="00E93A41" w14:paraId="222631F6" w14:textId="77777777">
      <w:r>
        <w:t>This section provides information about data collections using the E</w:t>
      </w:r>
      <w:r w:rsidRPr="00BE09E4">
        <w:rPr>
          <w:i/>
        </w:rPr>
        <w:t>MAPS</w:t>
      </w:r>
      <w:r>
        <w:t xml:space="preserve"> web-based tool </w:t>
      </w:r>
      <w:r w:rsidRPr="00771F1B">
        <w:rPr>
          <w:color w:val="FF0000"/>
        </w:rPr>
        <w:t xml:space="preserve">or the </w:t>
      </w:r>
      <w:r w:rsidRPr="00771F1B">
        <w:rPr>
          <w:color w:val="FF0000"/>
        </w:rPr>
        <w:t>EDPass</w:t>
      </w:r>
      <w:r w:rsidRPr="00771F1B">
        <w:rPr>
          <w:color w:val="FF0000"/>
        </w:rPr>
        <w:t xml:space="preserve"> web-based tool</w:t>
      </w:r>
      <w:r>
        <w:t>.</w:t>
      </w:r>
    </w:p>
    <w:p w:rsidR="00E93A41" w:rsidP="007C1630" w14:paraId="586B298F" w14:textId="5A8AEE23">
      <w:pPr>
        <w:widowControl w:val="0"/>
        <w:spacing w:after="120" w:line="276" w:lineRule="auto"/>
        <w:rPr>
          <w:color w:val="FF0000"/>
        </w:rPr>
      </w:pPr>
    </w:p>
    <w:p w:rsidR="00F0434B" w:rsidRPr="00771F1B" w:rsidP="00F0434B" w14:paraId="5C4BE108" w14:textId="77777777">
      <w:pPr>
        <w:rPr>
          <w:color w:val="FF0000"/>
        </w:rPr>
      </w:pPr>
      <w:r w:rsidRPr="00771F1B">
        <w:rPr>
          <w:color w:val="FF0000"/>
        </w:rPr>
        <w:t xml:space="preserve">The User Guide for the </w:t>
      </w:r>
      <w:r w:rsidRPr="00771F1B">
        <w:rPr>
          <w:color w:val="FF0000"/>
        </w:rPr>
        <w:t>EDPass</w:t>
      </w:r>
      <w:r w:rsidRPr="00771F1B">
        <w:rPr>
          <w:color w:val="FF0000"/>
        </w:rPr>
        <w:t xml:space="preserve"> tool can be found on the ED</w:t>
      </w:r>
      <w:r w:rsidRPr="00771F1B">
        <w:rPr>
          <w:i/>
          <w:iCs/>
          <w:color w:val="FF0000"/>
        </w:rPr>
        <w:t>Facts</w:t>
      </w:r>
      <w:r w:rsidRPr="00771F1B">
        <w:rPr>
          <w:color w:val="FF0000"/>
        </w:rPr>
        <w:t xml:space="preserve"> Initiative page here: </w:t>
      </w:r>
      <w:hyperlink r:id="rId8" w:history="1">
        <w:r w:rsidRPr="00771F1B">
          <w:rPr>
            <w:rStyle w:val="Hyperlink"/>
            <w:color w:val="FF0000"/>
          </w:rPr>
          <w:t>The EDFacts Initiative | U.S. Department of Education</w:t>
        </w:r>
      </w:hyperlink>
    </w:p>
    <w:p w:rsidR="007C1630" w:rsidP="007C1630" w14:paraId="114FE1FE" w14:textId="77777777">
      <w:pPr>
        <w:spacing w:line="276" w:lineRule="auto"/>
      </w:pPr>
    </w:p>
    <w:p w:rsidR="00BE73EC" w:rsidP="0090039E" w14:paraId="7F6336A8" w14:textId="5E51A051">
      <w:pPr>
        <w:pStyle w:val="ListParagraph"/>
        <w:numPr>
          <w:ilvl w:val="0"/>
          <w:numId w:val="24"/>
        </w:numPr>
        <w:spacing w:line="276" w:lineRule="auto"/>
      </w:pPr>
      <w:r w:rsidRPr="0090039E">
        <w:rPr>
          <w:u w:val="single"/>
        </w:rPr>
        <w:t>State Su</w:t>
      </w:r>
      <w:r w:rsidRPr="0090039E" w:rsidR="00763805">
        <w:rPr>
          <w:u w:val="single"/>
        </w:rPr>
        <w:t>bmission</w:t>
      </w:r>
      <w:r w:rsidRPr="0090039E">
        <w:rPr>
          <w:u w:val="single"/>
        </w:rPr>
        <w:t xml:space="preserve"> Plan</w:t>
      </w:r>
      <w:r>
        <w:t xml:space="preserve">: </w:t>
      </w:r>
      <w:r w:rsidR="00763805">
        <w:t xml:space="preserve">An </w:t>
      </w:r>
      <w:r w:rsidR="00585E69">
        <w:t>option</w:t>
      </w:r>
      <w:r w:rsidR="00763805">
        <w:t xml:space="preserve"> is needed</w:t>
      </w:r>
      <w:r w:rsidR="00585E69">
        <w:t xml:space="preserve"> for states to provide comments on any file specification</w:t>
      </w:r>
      <w:r w:rsidR="00763805">
        <w:t>. A</w:t>
      </w:r>
      <w:r w:rsidR="00585E69">
        <w:t>lso</w:t>
      </w:r>
      <w:r w:rsidR="00763805">
        <w:t>,</w:t>
      </w:r>
      <w:r w:rsidR="00585E69">
        <w:t xml:space="preserve"> the three status question</w:t>
      </w:r>
      <w:r w:rsidR="00E60C20">
        <w:t>s</w:t>
      </w:r>
      <w:r w:rsidR="00763805">
        <w:t xml:space="preserve"> </w:t>
      </w:r>
      <w:r w:rsidRPr="00585E69" w:rsidR="00585E69">
        <w:t xml:space="preserve">will be automatically generated by </w:t>
      </w:r>
      <w:r w:rsidR="00E60C20">
        <w:t xml:space="preserve">the </w:t>
      </w:r>
      <w:r w:rsidRPr="00585E69" w:rsidR="00585E69">
        <w:t xml:space="preserve">new application </w:t>
      </w:r>
      <w:r w:rsidRPr="00585E69" w:rsidR="00585E69">
        <w:t>EDPass</w:t>
      </w:r>
      <w:r w:rsidR="00585E69">
        <w:t>.</w:t>
      </w:r>
      <w:r w:rsidR="00CA4EE4">
        <w:t xml:space="preserve"> Added a place for states to add in any additional comments they want to provide</w:t>
      </w:r>
      <w:r w:rsidR="00763805">
        <w:t xml:space="preserve"> and took out the three status questions</w:t>
      </w:r>
      <w:r w:rsidR="00CA4EE4">
        <w:t>.</w:t>
      </w:r>
    </w:p>
    <w:p w:rsidR="000917D2" w:rsidP="000917D2" w14:paraId="228DA4E0" w14:textId="4663105D">
      <w:pPr>
        <w:pStyle w:val="ListParagraph"/>
        <w:spacing w:line="276" w:lineRule="auto"/>
        <w:ind w:left="540" w:firstLine="360"/>
        <w:rPr>
          <w:i/>
          <w:iCs/>
        </w:rPr>
      </w:pPr>
      <w:bookmarkStart w:id="17" w:name="_Hlk130393065"/>
      <w:r w:rsidRPr="006D7463">
        <w:rPr>
          <w:i/>
          <w:iCs/>
        </w:rPr>
        <w:t xml:space="preserve">[Attachment C, </w:t>
      </w:r>
      <w:r>
        <w:rPr>
          <w:i/>
          <w:iCs/>
        </w:rPr>
        <w:t>Page C-20</w:t>
      </w:r>
      <w:r w:rsidR="00934C11">
        <w:rPr>
          <w:i/>
          <w:iCs/>
        </w:rPr>
        <w:t xml:space="preserve"> and 21</w:t>
      </w:r>
      <w:r w:rsidRPr="006D7463">
        <w:rPr>
          <w:i/>
          <w:iCs/>
        </w:rPr>
        <w:t>]</w:t>
      </w:r>
    </w:p>
    <w:p w:rsidR="00A74F77" w:rsidP="00A74F77" w14:paraId="61779B92" w14:textId="1D5F1899">
      <w:pPr>
        <w:spacing w:line="276" w:lineRule="auto"/>
        <w:rPr>
          <w:i/>
          <w:iC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2790"/>
        <w:gridCol w:w="3510"/>
      </w:tblGrid>
      <w:tr w14:paraId="03CA14A4" w14:textId="77777777" w:rsidTr="00A74F77">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505" w:type="dxa"/>
            <w:shd w:val="clear" w:color="auto" w:fill="auto"/>
            <w:hideMark/>
          </w:tcPr>
          <w:p w:rsidR="00A74F77" w:rsidRPr="000C65EA" w:rsidP="00797748" w14:paraId="098221CF" w14:textId="77777777">
            <w:pPr>
              <w:rPr>
                <w:b/>
                <w:bCs/>
                <w:color w:val="000000"/>
              </w:rPr>
            </w:pPr>
            <w:r w:rsidRPr="000C65EA">
              <w:rPr>
                <w:b/>
                <w:bCs/>
                <w:color w:val="000000"/>
              </w:rPr>
              <w:t>Question</w:t>
            </w:r>
          </w:p>
        </w:tc>
        <w:tc>
          <w:tcPr>
            <w:tcW w:w="2790" w:type="dxa"/>
            <w:shd w:val="clear" w:color="auto" w:fill="auto"/>
            <w:hideMark/>
          </w:tcPr>
          <w:p w:rsidR="00A74F77" w:rsidRPr="000C65EA" w:rsidP="00797748" w14:paraId="6057A963" w14:textId="77777777">
            <w:pPr>
              <w:rPr>
                <w:b/>
                <w:bCs/>
                <w:color w:val="000000"/>
              </w:rPr>
            </w:pPr>
            <w:r w:rsidRPr="000C65EA">
              <w:rPr>
                <w:b/>
                <w:bCs/>
                <w:color w:val="000000"/>
              </w:rPr>
              <w:t>Permitted Values</w:t>
            </w:r>
          </w:p>
        </w:tc>
        <w:tc>
          <w:tcPr>
            <w:tcW w:w="3510" w:type="dxa"/>
            <w:shd w:val="clear" w:color="auto" w:fill="auto"/>
            <w:hideMark/>
          </w:tcPr>
          <w:p w:rsidR="00A74F77" w:rsidRPr="000C65EA" w:rsidP="00797748" w14:paraId="1E0A14BB" w14:textId="77777777">
            <w:pPr>
              <w:rPr>
                <w:b/>
                <w:bCs/>
                <w:color w:val="000000"/>
              </w:rPr>
            </w:pPr>
            <w:r w:rsidRPr="000C65EA">
              <w:rPr>
                <w:b/>
                <w:bCs/>
                <w:color w:val="000000"/>
              </w:rPr>
              <w:t>Skip Logic</w:t>
            </w:r>
          </w:p>
        </w:tc>
      </w:tr>
      <w:tr w14:paraId="3D991CAE" w14:textId="77777777" w:rsidTr="00A74F77">
        <w:tblPrEx>
          <w:tblW w:w="9805" w:type="dxa"/>
          <w:tblLook w:val="04A0"/>
        </w:tblPrEx>
        <w:trPr>
          <w:trHeight w:val="300"/>
        </w:trPr>
        <w:tc>
          <w:tcPr>
            <w:tcW w:w="3505" w:type="dxa"/>
            <w:shd w:val="clear" w:color="auto" w:fill="auto"/>
            <w:hideMark/>
          </w:tcPr>
          <w:p w:rsidR="00A74F77" w:rsidRPr="000C65EA" w:rsidP="00797748" w14:paraId="7A868EB9" w14:textId="77777777">
            <w:pPr>
              <w:rPr>
                <w:b/>
                <w:bCs/>
                <w:color w:val="000000"/>
              </w:rPr>
            </w:pPr>
          </w:p>
        </w:tc>
        <w:tc>
          <w:tcPr>
            <w:tcW w:w="2790" w:type="dxa"/>
            <w:shd w:val="clear" w:color="auto" w:fill="auto"/>
            <w:hideMark/>
          </w:tcPr>
          <w:p w:rsidR="00A74F77" w:rsidRPr="000C65EA" w:rsidP="00797748" w14:paraId="171E436C" w14:textId="77777777"/>
        </w:tc>
        <w:tc>
          <w:tcPr>
            <w:tcW w:w="3510" w:type="dxa"/>
            <w:shd w:val="clear" w:color="auto" w:fill="auto"/>
            <w:hideMark/>
          </w:tcPr>
          <w:p w:rsidR="00A74F77" w:rsidRPr="000C65EA" w:rsidP="00797748" w14:paraId="7F0D5594" w14:textId="77777777"/>
        </w:tc>
      </w:tr>
      <w:tr w14:paraId="5DE1E419" w14:textId="77777777" w:rsidTr="00A74F77">
        <w:tblPrEx>
          <w:tblW w:w="9805" w:type="dxa"/>
          <w:tblLook w:val="04A0"/>
        </w:tblPrEx>
        <w:trPr>
          <w:trHeight w:val="300"/>
        </w:trPr>
        <w:tc>
          <w:tcPr>
            <w:tcW w:w="3505" w:type="dxa"/>
            <w:shd w:val="clear" w:color="auto" w:fill="auto"/>
            <w:vAlign w:val="bottom"/>
            <w:hideMark/>
          </w:tcPr>
          <w:p w:rsidR="00A74F77" w:rsidRPr="000C65EA" w:rsidP="00797748" w14:paraId="35EE1A40" w14:textId="77777777">
            <w:pPr>
              <w:rPr>
                <w:i/>
                <w:iCs/>
                <w:color w:val="000000" w:themeColor="text1"/>
              </w:rPr>
            </w:pPr>
            <w:r w:rsidRPr="000C65EA">
              <w:rPr>
                <w:i/>
                <w:iCs/>
                <w:color w:val="000000" w:themeColor="text1"/>
              </w:rPr>
              <w:t>For each file specification, provide the following information:</w:t>
            </w:r>
          </w:p>
        </w:tc>
        <w:tc>
          <w:tcPr>
            <w:tcW w:w="2790" w:type="dxa"/>
            <w:shd w:val="clear" w:color="auto" w:fill="auto"/>
            <w:hideMark/>
          </w:tcPr>
          <w:p w:rsidR="00A74F77" w:rsidRPr="000C65EA" w:rsidP="00797748" w14:paraId="0A71D754" w14:textId="77777777">
            <w:pPr>
              <w:rPr>
                <w:i/>
                <w:iCs/>
                <w:color w:val="000000" w:themeColor="text1"/>
              </w:rPr>
            </w:pPr>
          </w:p>
        </w:tc>
        <w:tc>
          <w:tcPr>
            <w:tcW w:w="3510" w:type="dxa"/>
            <w:shd w:val="clear" w:color="auto" w:fill="auto"/>
            <w:hideMark/>
          </w:tcPr>
          <w:p w:rsidR="00A74F77" w:rsidRPr="000C65EA" w:rsidP="00797748" w14:paraId="4C5E6F55" w14:textId="77777777">
            <w:pPr>
              <w:rPr>
                <w:color w:val="000000" w:themeColor="text1"/>
              </w:rPr>
            </w:pPr>
          </w:p>
        </w:tc>
      </w:tr>
      <w:tr w14:paraId="0CAE0D52" w14:textId="77777777" w:rsidTr="00A74F77">
        <w:tblPrEx>
          <w:tblW w:w="9805" w:type="dxa"/>
          <w:tblLook w:val="04A0"/>
        </w:tblPrEx>
        <w:trPr>
          <w:trHeight w:val="315"/>
        </w:trPr>
        <w:tc>
          <w:tcPr>
            <w:tcW w:w="3505" w:type="dxa"/>
            <w:shd w:val="clear" w:color="auto" w:fill="auto"/>
            <w:hideMark/>
          </w:tcPr>
          <w:p w:rsidR="00A74F77" w:rsidRPr="00B2279B" w:rsidP="00797748" w14:paraId="3DF87337" w14:textId="77777777">
            <w:pPr>
              <w:rPr>
                <w:color w:val="FF0000"/>
              </w:rPr>
            </w:pPr>
            <w:r w:rsidRPr="00B2279B">
              <w:rPr>
                <w:color w:val="FF0000"/>
              </w:rPr>
              <w:t>SEA Comments (</w:t>
            </w:r>
            <w:r w:rsidRPr="00B2279B">
              <w:rPr>
                <w:b/>
                <w:bCs/>
                <w:color w:val="FF0000"/>
              </w:rPr>
              <w:t>Technical Correction</w:t>
            </w:r>
            <w:r w:rsidRPr="00B2279B">
              <w:rPr>
                <w:color w:val="FF0000"/>
              </w:rPr>
              <w:t>)</w:t>
            </w:r>
          </w:p>
        </w:tc>
        <w:tc>
          <w:tcPr>
            <w:tcW w:w="2790" w:type="dxa"/>
            <w:shd w:val="clear" w:color="auto" w:fill="auto"/>
            <w:hideMark/>
          </w:tcPr>
          <w:p w:rsidR="00A74F77" w:rsidRPr="00B2279B" w:rsidP="00797748" w14:paraId="7F68E08A" w14:textId="77777777">
            <w:pPr>
              <w:rPr>
                <w:color w:val="FF0000"/>
              </w:rPr>
            </w:pPr>
            <w:r w:rsidRPr="00B2279B">
              <w:rPr>
                <w:color w:val="FF0000"/>
              </w:rPr>
              <w:t>Text</w:t>
            </w:r>
          </w:p>
        </w:tc>
        <w:tc>
          <w:tcPr>
            <w:tcW w:w="3510" w:type="dxa"/>
            <w:shd w:val="clear" w:color="auto" w:fill="auto"/>
            <w:hideMark/>
          </w:tcPr>
          <w:p w:rsidR="00A74F77" w:rsidRPr="00B2279B" w:rsidP="00797748" w14:paraId="757B0CFC" w14:textId="77777777">
            <w:pPr>
              <w:rPr>
                <w:color w:val="FF0000"/>
              </w:rPr>
            </w:pPr>
            <w:r w:rsidRPr="00B2279B">
              <w:rPr>
                <w:color w:val="FF0000"/>
              </w:rPr>
              <w:t>Optional</w:t>
            </w:r>
          </w:p>
        </w:tc>
      </w:tr>
      <w:tr w14:paraId="5FA6091A" w14:textId="77777777" w:rsidTr="00A74F77">
        <w:tblPrEx>
          <w:tblW w:w="9805" w:type="dxa"/>
          <w:tblLook w:val="04A0"/>
        </w:tblPrEx>
        <w:trPr>
          <w:trHeight w:val="1200"/>
        </w:trPr>
        <w:tc>
          <w:tcPr>
            <w:tcW w:w="3505" w:type="dxa"/>
            <w:shd w:val="clear" w:color="auto" w:fill="auto"/>
            <w:hideMark/>
          </w:tcPr>
          <w:p w:rsidR="00A74F77" w:rsidRPr="005A714B" w:rsidP="00797748" w14:paraId="7FEB1765" w14:textId="77777777">
            <w:pPr>
              <w:rPr>
                <w:strike/>
                <w:color w:val="FF0000"/>
              </w:rPr>
            </w:pPr>
            <w:r w:rsidRPr="005A714B">
              <w:rPr>
                <w:strike/>
                <w:color w:val="FF0000"/>
              </w:rPr>
              <w:t>Status SEA</w:t>
            </w:r>
          </w:p>
        </w:tc>
        <w:tc>
          <w:tcPr>
            <w:tcW w:w="2790" w:type="dxa"/>
            <w:shd w:val="clear" w:color="auto" w:fill="auto"/>
            <w:hideMark/>
          </w:tcPr>
          <w:p w:rsidR="00A74F77" w:rsidRPr="005A714B" w:rsidP="00797748" w14:paraId="78ED8037" w14:textId="77777777">
            <w:pPr>
              <w:rPr>
                <w:strike/>
                <w:color w:val="FF0000"/>
              </w:rPr>
            </w:pPr>
            <w:r w:rsidRPr="005A714B">
              <w:rPr>
                <w:strike/>
                <w:color w:val="FF0000"/>
              </w:rPr>
              <w:t>• No Data in ESS</w:t>
            </w:r>
            <w:r w:rsidRPr="005A714B">
              <w:rPr>
                <w:strike/>
                <w:color w:val="FF0000"/>
              </w:rPr>
              <w:br/>
              <w:t>• Not Required to Submit</w:t>
            </w:r>
            <w:r w:rsidRPr="005A714B">
              <w:rPr>
                <w:strike/>
                <w:color w:val="FF0000"/>
              </w:rPr>
              <w:br/>
              <w:t>• Data in ESS</w:t>
            </w:r>
            <w:r w:rsidRPr="005A714B">
              <w:rPr>
                <w:strike/>
                <w:color w:val="FF0000"/>
              </w:rPr>
              <w:br/>
              <w:t>• Submission Complete</w:t>
            </w:r>
          </w:p>
        </w:tc>
        <w:tc>
          <w:tcPr>
            <w:tcW w:w="3510" w:type="dxa"/>
            <w:shd w:val="clear" w:color="auto" w:fill="auto"/>
            <w:hideMark/>
          </w:tcPr>
          <w:p w:rsidR="00A74F77" w:rsidRPr="000C65EA" w:rsidP="00797748" w14:paraId="4A5CA801" w14:textId="77777777">
            <w:pPr>
              <w:rPr>
                <w:color w:val="000000"/>
              </w:rPr>
            </w:pPr>
          </w:p>
        </w:tc>
      </w:tr>
      <w:tr w14:paraId="543AE573" w14:textId="77777777" w:rsidTr="00A74F77">
        <w:tblPrEx>
          <w:tblW w:w="9805" w:type="dxa"/>
          <w:tblLook w:val="04A0"/>
        </w:tblPrEx>
        <w:trPr>
          <w:trHeight w:val="1200"/>
        </w:trPr>
        <w:tc>
          <w:tcPr>
            <w:tcW w:w="3505" w:type="dxa"/>
            <w:shd w:val="clear" w:color="auto" w:fill="auto"/>
            <w:hideMark/>
          </w:tcPr>
          <w:p w:rsidR="00A74F77" w:rsidRPr="005A714B" w:rsidP="00797748" w14:paraId="7FB80302" w14:textId="77777777">
            <w:pPr>
              <w:rPr>
                <w:strike/>
                <w:color w:val="FF0000"/>
              </w:rPr>
            </w:pPr>
            <w:r w:rsidRPr="005A714B">
              <w:rPr>
                <w:strike/>
                <w:color w:val="FF0000"/>
              </w:rPr>
              <w:t>Status LEA</w:t>
            </w:r>
          </w:p>
        </w:tc>
        <w:tc>
          <w:tcPr>
            <w:tcW w:w="2790" w:type="dxa"/>
            <w:shd w:val="clear" w:color="auto" w:fill="auto"/>
            <w:hideMark/>
          </w:tcPr>
          <w:p w:rsidR="00A74F77" w:rsidRPr="005A714B" w:rsidP="00797748" w14:paraId="51585864" w14:textId="77777777">
            <w:pPr>
              <w:rPr>
                <w:strike/>
                <w:color w:val="FF0000"/>
              </w:rPr>
            </w:pPr>
            <w:r w:rsidRPr="005A714B">
              <w:rPr>
                <w:strike/>
                <w:color w:val="FF0000"/>
              </w:rPr>
              <w:t>• No Data in ESS</w:t>
            </w:r>
            <w:r w:rsidRPr="005A714B">
              <w:rPr>
                <w:strike/>
                <w:color w:val="FF0000"/>
              </w:rPr>
              <w:br/>
              <w:t>• Not Required to Submit</w:t>
            </w:r>
            <w:r w:rsidRPr="005A714B">
              <w:rPr>
                <w:strike/>
                <w:color w:val="FF0000"/>
              </w:rPr>
              <w:br/>
              <w:t>• Data in ESS</w:t>
            </w:r>
            <w:r w:rsidRPr="005A714B">
              <w:rPr>
                <w:strike/>
                <w:color w:val="FF0000"/>
              </w:rPr>
              <w:br/>
              <w:t>• Submission Complete</w:t>
            </w:r>
          </w:p>
        </w:tc>
        <w:tc>
          <w:tcPr>
            <w:tcW w:w="3510" w:type="dxa"/>
            <w:shd w:val="clear" w:color="auto" w:fill="auto"/>
            <w:hideMark/>
          </w:tcPr>
          <w:p w:rsidR="00A74F77" w:rsidRPr="000C65EA" w:rsidP="00797748" w14:paraId="4543C720" w14:textId="77777777">
            <w:pPr>
              <w:rPr>
                <w:color w:val="000000"/>
              </w:rPr>
            </w:pPr>
          </w:p>
        </w:tc>
      </w:tr>
      <w:tr w14:paraId="3F3C9559" w14:textId="77777777" w:rsidTr="00A74F77">
        <w:tblPrEx>
          <w:tblW w:w="9805" w:type="dxa"/>
          <w:tblLook w:val="04A0"/>
        </w:tblPrEx>
        <w:trPr>
          <w:trHeight w:val="1200"/>
        </w:trPr>
        <w:tc>
          <w:tcPr>
            <w:tcW w:w="3505" w:type="dxa"/>
            <w:shd w:val="clear" w:color="auto" w:fill="auto"/>
            <w:hideMark/>
          </w:tcPr>
          <w:p w:rsidR="00A74F77" w:rsidRPr="005A714B" w:rsidP="00797748" w14:paraId="728149E9" w14:textId="77777777">
            <w:pPr>
              <w:rPr>
                <w:strike/>
                <w:color w:val="FF0000"/>
              </w:rPr>
            </w:pPr>
            <w:r w:rsidRPr="005A714B">
              <w:rPr>
                <w:strike/>
                <w:color w:val="FF0000"/>
              </w:rPr>
              <w:t>Status SCH</w:t>
            </w:r>
          </w:p>
        </w:tc>
        <w:tc>
          <w:tcPr>
            <w:tcW w:w="2790" w:type="dxa"/>
            <w:shd w:val="clear" w:color="auto" w:fill="auto"/>
            <w:hideMark/>
          </w:tcPr>
          <w:p w:rsidR="00A74F77" w:rsidRPr="005A714B" w:rsidP="00797748" w14:paraId="64FD6761" w14:textId="77777777">
            <w:pPr>
              <w:rPr>
                <w:strike/>
                <w:color w:val="FF0000"/>
              </w:rPr>
            </w:pPr>
            <w:r w:rsidRPr="005A714B">
              <w:rPr>
                <w:strike/>
                <w:color w:val="FF0000"/>
              </w:rPr>
              <w:t>• No Data in ESS</w:t>
            </w:r>
            <w:r w:rsidRPr="005A714B">
              <w:rPr>
                <w:strike/>
                <w:color w:val="FF0000"/>
              </w:rPr>
              <w:br/>
              <w:t>• Not Required to Submit</w:t>
            </w:r>
            <w:r w:rsidRPr="005A714B">
              <w:rPr>
                <w:strike/>
                <w:color w:val="FF0000"/>
              </w:rPr>
              <w:br/>
              <w:t>• Data in ESS</w:t>
            </w:r>
            <w:r w:rsidRPr="005A714B">
              <w:rPr>
                <w:strike/>
                <w:color w:val="FF0000"/>
              </w:rPr>
              <w:br/>
              <w:t>• Submission Complete</w:t>
            </w:r>
          </w:p>
        </w:tc>
        <w:tc>
          <w:tcPr>
            <w:tcW w:w="3510" w:type="dxa"/>
            <w:shd w:val="clear" w:color="auto" w:fill="auto"/>
            <w:hideMark/>
          </w:tcPr>
          <w:p w:rsidR="00A74F77" w:rsidRPr="000C65EA" w:rsidP="00797748" w14:paraId="6873D844" w14:textId="77777777">
            <w:pPr>
              <w:rPr>
                <w:color w:val="000000"/>
              </w:rPr>
            </w:pPr>
          </w:p>
        </w:tc>
      </w:tr>
      <w:tr w14:paraId="37D3F8CC" w14:textId="77777777" w:rsidTr="00A74F77">
        <w:tblPrEx>
          <w:tblW w:w="9805" w:type="dxa"/>
          <w:tblLook w:val="04A0"/>
        </w:tblPrEx>
        <w:trPr>
          <w:trHeight w:val="600"/>
        </w:trPr>
        <w:tc>
          <w:tcPr>
            <w:tcW w:w="3505" w:type="dxa"/>
            <w:shd w:val="clear" w:color="auto" w:fill="auto"/>
            <w:hideMark/>
          </w:tcPr>
          <w:p w:rsidR="00A74F77" w:rsidRPr="005A714B" w:rsidP="00797748" w14:paraId="123A5FB6" w14:textId="77777777">
            <w:pPr>
              <w:rPr>
                <w:strike/>
                <w:color w:val="FF0000"/>
              </w:rPr>
            </w:pPr>
            <w:r w:rsidRPr="005A714B">
              <w:rPr>
                <w:strike/>
                <w:color w:val="FF0000"/>
              </w:rPr>
              <w:t>Not Required to Submit Comments</w:t>
            </w:r>
          </w:p>
        </w:tc>
        <w:tc>
          <w:tcPr>
            <w:tcW w:w="2790" w:type="dxa"/>
            <w:shd w:val="clear" w:color="auto" w:fill="auto"/>
            <w:hideMark/>
          </w:tcPr>
          <w:p w:rsidR="00A74F77" w:rsidRPr="005A714B" w:rsidP="00797748" w14:paraId="64767D91" w14:textId="77777777">
            <w:pPr>
              <w:rPr>
                <w:strike/>
                <w:color w:val="FF0000"/>
              </w:rPr>
            </w:pPr>
            <w:r w:rsidRPr="005A714B">
              <w:rPr>
                <w:strike/>
                <w:color w:val="FF0000"/>
              </w:rPr>
              <w:t>text</w:t>
            </w:r>
          </w:p>
        </w:tc>
        <w:tc>
          <w:tcPr>
            <w:tcW w:w="3510" w:type="dxa"/>
            <w:shd w:val="clear" w:color="auto" w:fill="auto"/>
            <w:hideMark/>
          </w:tcPr>
          <w:p w:rsidR="00A74F77" w:rsidRPr="005A714B" w:rsidP="00797748" w14:paraId="30BC0336" w14:textId="77777777">
            <w:pPr>
              <w:rPr>
                <w:strike/>
                <w:color w:val="FF0000"/>
              </w:rPr>
            </w:pPr>
            <w:r w:rsidRPr="005A714B">
              <w:rPr>
                <w:strike/>
                <w:color w:val="FF0000"/>
              </w:rPr>
              <w:t>Only required when one of previous status responses is Not Required to Submit</w:t>
            </w:r>
          </w:p>
        </w:tc>
      </w:tr>
    </w:tbl>
    <w:p w:rsidR="00A74F77" w:rsidRPr="00A74F77" w:rsidP="00A74F77" w14:paraId="643F65DE" w14:textId="77777777">
      <w:pPr>
        <w:spacing w:line="276" w:lineRule="auto"/>
        <w:rPr>
          <w:i/>
          <w:iCs/>
        </w:rPr>
      </w:pPr>
    </w:p>
    <w:bookmarkEnd w:id="17"/>
    <w:p w:rsidR="000917D2" w:rsidP="000917D2" w14:paraId="090D28BA" w14:textId="77777777">
      <w:pPr>
        <w:spacing w:line="276" w:lineRule="auto"/>
      </w:pPr>
    </w:p>
    <w:p w:rsidR="000917D2" w:rsidP="0090039E" w14:paraId="22644738" w14:textId="209D5120">
      <w:pPr>
        <w:pStyle w:val="ListParagraph"/>
        <w:numPr>
          <w:ilvl w:val="0"/>
          <w:numId w:val="24"/>
        </w:numPr>
        <w:spacing w:line="276" w:lineRule="auto"/>
      </w:pPr>
      <w:r w:rsidRPr="0090039E">
        <w:rPr>
          <w:u w:val="single"/>
        </w:rPr>
        <w:t>IDEA State Supplemental Survey</w:t>
      </w:r>
      <w:r w:rsidRPr="00CA4EE4" w:rsidR="00CA4EE4">
        <w:t xml:space="preserve">: </w:t>
      </w:r>
      <w:r w:rsidR="00CA4EE4">
        <w:t>Th</w:t>
      </w:r>
      <w:r w:rsidRPr="00CA4EE4" w:rsidR="00CA4EE4">
        <w:t xml:space="preserve">e data owner, the Office of </w:t>
      </w:r>
      <w:r w:rsidR="00CA4EE4">
        <w:t>Special Education Programs, no longer needs the two metadata questions around state administration. These two questions were removed.</w:t>
      </w:r>
    </w:p>
    <w:p w:rsidR="00CA4EE4" w:rsidP="00CA4EE4" w14:paraId="4D589BEF" w14:textId="7999AC09">
      <w:pPr>
        <w:pStyle w:val="ListParagraph"/>
        <w:spacing w:line="276" w:lineRule="auto"/>
        <w:ind w:left="900"/>
        <w:rPr>
          <w:i/>
          <w:iCs/>
        </w:rPr>
      </w:pPr>
      <w:r w:rsidRPr="00CA4EE4">
        <w:rPr>
          <w:i/>
          <w:iCs/>
        </w:rPr>
        <w:t>[Attachment C, Page C-19]</w:t>
      </w:r>
    </w:p>
    <w:p w:rsidR="003B3570" w:rsidP="003B3570" w14:paraId="7CD15DBF" w14:textId="270314E1">
      <w:pPr>
        <w:spacing w:line="276" w:lineRule="auto"/>
        <w:rPr>
          <w:i/>
          <w:iCs/>
        </w:rPr>
      </w:pPr>
    </w:p>
    <w:p w:rsidR="003B3570" w:rsidP="003B3570" w14:paraId="3C44BF2D" w14:textId="72B4FD82">
      <w:pPr>
        <w:spacing w:line="276" w:lineRule="auto"/>
        <w:rPr>
          <w:strike/>
          <w:color w:val="FF0000"/>
        </w:rPr>
      </w:pPr>
      <w:r w:rsidRPr="0027286D">
        <w:t>SEAs are responsible for maintaining a submission plan that provides details regarding its plans for reporting data via ED</w:t>
      </w:r>
      <w:r w:rsidRPr="0027286D">
        <w:rPr>
          <w:i/>
        </w:rPr>
        <w:t>Facts.</w:t>
      </w:r>
      <w:r w:rsidRPr="0027286D">
        <w:t xml:space="preserve"> </w:t>
      </w:r>
      <w:r w:rsidRPr="0036275D">
        <w:rPr>
          <w:strike/>
          <w:color w:val="FF0000"/>
        </w:rPr>
        <w:t>The plans indicate whether SEAs will submit files on time, the estimated number of educational units that will be submitted for each file level, and a status flag to indicate when the submission of data for each reporting level is complete and ready for ED’s review.</w:t>
      </w:r>
    </w:p>
    <w:p w:rsidR="003B3570" w:rsidP="003B3570" w14:paraId="246E5D2A" w14:textId="0AD75D9F">
      <w:pPr>
        <w:spacing w:line="276" w:lineRule="auto"/>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4"/>
        <w:gridCol w:w="2200"/>
        <w:gridCol w:w="1652"/>
      </w:tblGrid>
      <w:tr w14:paraId="52074A44" w14:textId="77777777" w:rsidTr="0079774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060" w:type="pct"/>
            <w:shd w:val="clear" w:color="auto" w:fill="auto"/>
            <w:hideMark/>
          </w:tcPr>
          <w:p w:rsidR="0070457E" w:rsidRPr="00813315" w:rsidP="00797748" w14:paraId="4ABE3378" w14:textId="77777777">
            <w:pPr>
              <w:rPr>
                <w:b/>
                <w:bCs/>
                <w:color w:val="000000"/>
              </w:rPr>
            </w:pPr>
            <w:r w:rsidRPr="00813315">
              <w:rPr>
                <w:b/>
                <w:bCs/>
                <w:color w:val="000000"/>
              </w:rPr>
              <w:t>Question</w:t>
            </w:r>
          </w:p>
        </w:tc>
        <w:tc>
          <w:tcPr>
            <w:tcW w:w="1108" w:type="pct"/>
            <w:shd w:val="clear" w:color="auto" w:fill="auto"/>
            <w:hideMark/>
          </w:tcPr>
          <w:p w:rsidR="0070457E" w:rsidRPr="00813315" w:rsidP="00797748" w14:paraId="7DC9523E" w14:textId="77777777">
            <w:pPr>
              <w:rPr>
                <w:b/>
                <w:bCs/>
                <w:color w:val="000000"/>
              </w:rPr>
            </w:pPr>
            <w:r w:rsidRPr="00813315">
              <w:rPr>
                <w:b/>
                <w:bCs/>
                <w:color w:val="000000"/>
              </w:rPr>
              <w:t>Permitted Values</w:t>
            </w:r>
          </w:p>
        </w:tc>
        <w:tc>
          <w:tcPr>
            <w:tcW w:w="832" w:type="pct"/>
            <w:shd w:val="clear" w:color="auto" w:fill="auto"/>
            <w:hideMark/>
          </w:tcPr>
          <w:p w:rsidR="0070457E" w:rsidRPr="00813315" w:rsidP="00797748" w14:paraId="2F650897" w14:textId="77777777">
            <w:pPr>
              <w:rPr>
                <w:b/>
                <w:bCs/>
                <w:color w:val="000000"/>
              </w:rPr>
            </w:pPr>
            <w:r w:rsidRPr="00813315">
              <w:rPr>
                <w:b/>
                <w:bCs/>
                <w:color w:val="000000"/>
              </w:rPr>
              <w:t>Skip Logic</w:t>
            </w:r>
          </w:p>
        </w:tc>
      </w:tr>
      <w:tr w14:paraId="07B34BCC" w14:textId="77777777" w:rsidTr="00E27F92">
        <w:tblPrEx>
          <w:tblW w:w="5000" w:type="pct"/>
          <w:tblLook w:val="04A0"/>
        </w:tblPrEx>
        <w:trPr>
          <w:trHeight w:val="431"/>
        </w:trPr>
        <w:tc>
          <w:tcPr>
            <w:tcW w:w="3060" w:type="pct"/>
            <w:shd w:val="clear" w:color="auto" w:fill="auto"/>
          </w:tcPr>
          <w:p w:rsidR="0070457E" w:rsidRPr="00813315" w:rsidP="00797748" w14:paraId="349225D5" w14:textId="77777777">
            <w:pPr>
              <w:rPr>
                <w:color w:val="000000"/>
              </w:rPr>
            </w:pPr>
            <w:r w:rsidRPr="00F12C2A">
              <w:rPr>
                <w:b/>
                <w:bCs/>
                <w:strike/>
                <w:color w:val="FF0000"/>
              </w:rPr>
              <w:t>STATE ADMINISTRATION</w:t>
            </w:r>
          </w:p>
        </w:tc>
        <w:tc>
          <w:tcPr>
            <w:tcW w:w="1108" w:type="pct"/>
            <w:shd w:val="clear" w:color="auto" w:fill="auto"/>
          </w:tcPr>
          <w:p w:rsidR="0070457E" w:rsidRPr="00813315" w:rsidP="00797748" w14:paraId="65C23431" w14:textId="77777777">
            <w:pPr>
              <w:rPr>
                <w:color w:val="000000"/>
              </w:rPr>
            </w:pPr>
          </w:p>
        </w:tc>
        <w:tc>
          <w:tcPr>
            <w:tcW w:w="832" w:type="pct"/>
            <w:shd w:val="clear" w:color="auto" w:fill="auto"/>
          </w:tcPr>
          <w:p w:rsidR="0070457E" w:rsidRPr="00813315" w:rsidP="00797748" w14:paraId="66593781" w14:textId="77777777">
            <w:pPr>
              <w:rPr>
                <w:color w:val="000000"/>
              </w:rPr>
            </w:pPr>
          </w:p>
        </w:tc>
      </w:tr>
      <w:tr w14:paraId="37BF8F8B" w14:textId="77777777" w:rsidTr="00797748">
        <w:tblPrEx>
          <w:tblW w:w="5000" w:type="pct"/>
          <w:tblLook w:val="04A0"/>
        </w:tblPrEx>
        <w:trPr>
          <w:trHeight w:val="600"/>
        </w:trPr>
        <w:tc>
          <w:tcPr>
            <w:tcW w:w="3060" w:type="pct"/>
            <w:shd w:val="clear" w:color="auto" w:fill="auto"/>
          </w:tcPr>
          <w:p w:rsidR="0070457E" w:rsidRPr="00F12C2A" w:rsidP="00797748" w14:paraId="046F9539" w14:textId="77777777">
            <w:pPr>
              <w:rPr>
                <w:b/>
                <w:bCs/>
                <w:strike/>
                <w:color w:val="FF0000"/>
              </w:rPr>
            </w:pPr>
            <w:r w:rsidRPr="00F12C2A">
              <w:rPr>
                <w:b/>
                <w:bCs/>
                <w:strike/>
                <w:color w:val="FF0000"/>
              </w:rPr>
              <w:t>State Administration</w:t>
            </w:r>
          </w:p>
        </w:tc>
        <w:tc>
          <w:tcPr>
            <w:tcW w:w="1108" w:type="pct"/>
            <w:shd w:val="clear" w:color="auto" w:fill="auto"/>
          </w:tcPr>
          <w:p w:rsidR="0070457E" w:rsidRPr="00813315" w:rsidP="00797748" w14:paraId="47BC6374" w14:textId="77777777">
            <w:pPr>
              <w:rPr>
                <w:color w:val="000000"/>
              </w:rPr>
            </w:pPr>
          </w:p>
        </w:tc>
        <w:tc>
          <w:tcPr>
            <w:tcW w:w="832" w:type="pct"/>
            <w:shd w:val="clear" w:color="auto" w:fill="auto"/>
          </w:tcPr>
          <w:p w:rsidR="0070457E" w:rsidRPr="00813315" w:rsidP="00797748" w14:paraId="21403860" w14:textId="77777777">
            <w:pPr>
              <w:rPr>
                <w:color w:val="000000"/>
              </w:rPr>
            </w:pPr>
          </w:p>
        </w:tc>
      </w:tr>
      <w:tr w14:paraId="09984CA5" w14:textId="77777777" w:rsidTr="00797748">
        <w:tblPrEx>
          <w:tblW w:w="5000" w:type="pct"/>
          <w:tblLook w:val="04A0"/>
        </w:tblPrEx>
        <w:trPr>
          <w:trHeight w:val="600"/>
        </w:trPr>
        <w:tc>
          <w:tcPr>
            <w:tcW w:w="3060" w:type="pct"/>
            <w:shd w:val="clear" w:color="auto" w:fill="auto"/>
          </w:tcPr>
          <w:p w:rsidR="0070457E" w:rsidRPr="00F12C2A" w:rsidP="00797748" w14:paraId="4AF2AB13" w14:textId="77777777">
            <w:pPr>
              <w:rPr>
                <w:b/>
                <w:bCs/>
                <w:strike/>
                <w:color w:val="FF0000"/>
              </w:rPr>
            </w:pPr>
            <w:r w:rsidRPr="00F12C2A">
              <w:rPr>
                <w:strike/>
                <w:color w:val="FF0000"/>
              </w:rPr>
              <w:t xml:space="preserve">How </w:t>
            </w:r>
            <w:r w:rsidRPr="00F12C2A">
              <w:rPr>
                <w:strike/>
                <w:color w:val="FF0000"/>
              </w:rPr>
              <w:t>is</w:t>
            </w:r>
            <w:r w:rsidRPr="00F12C2A">
              <w:rPr>
                <w:strike/>
                <w:color w:val="FF0000"/>
              </w:rPr>
              <w:t xml:space="preserve"> your state's special education 618 data related to students (i.e., child count, educational environments, discipline, exiting, &amp; assessment) integrated into your </w:t>
            </w:r>
            <w:r w:rsidRPr="00F12C2A">
              <w:rPr>
                <w:strike/>
                <w:color w:val="FF0000"/>
                <w:u w:val="single"/>
              </w:rPr>
              <w:t>state's Student Information System</w:t>
            </w:r>
            <w:r w:rsidRPr="00F12C2A">
              <w:rPr>
                <w:strike/>
                <w:color w:val="FF0000"/>
              </w:rPr>
              <w:t xml:space="preserve"> (i.e., state data system used for all student data)?  </w:t>
            </w:r>
          </w:p>
        </w:tc>
        <w:tc>
          <w:tcPr>
            <w:tcW w:w="1108" w:type="pct"/>
            <w:shd w:val="clear" w:color="auto" w:fill="auto"/>
          </w:tcPr>
          <w:p w:rsidR="0070457E" w:rsidRPr="00813315" w:rsidP="00797748" w14:paraId="5A99E11A" w14:textId="77777777">
            <w:pPr>
              <w:rPr>
                <w:color w:val="000000"/>
              </w:rPr>
            </w:pPr>
            <w:r w:rsidRPr="00F12C2A">
              <w:rPr>
                <w:strike/>
                <w:color w:val="FF0000"/>
              </w:rPr>
              <w:t>• All data components</w:t>
            </w:r>
            <w:r w:rsidRPr="00F12C2A">
              <w:rPr>
                <w:strike/>
                <w:color w:val="FF0000"/>
              </w:rPr>
              <w:br/>
              <w:t>• Some data components</w:t>
            </w:r>
            <w:r w:rsidRPr="00F12C2A">
              <w:rPr>
                <w:strike/>
                <w:color w:val="FF0000"/>
              </w:rPr>
              <w:br/>
              <w:t>• Not at all</w:t>
            </w:r>
          </w:p>
        </w:tc>
        <w:tc>
          <w:tcPr>
            <w:tcW w:w="832" w:type="pct"/>
            <w:shd w:val="clear" w:color="auto" w:fill="auto"/>
          </w:tcPr>
          <w:p w:rsidR="0070457E" w:rsidRPr="00813315" w:rsidP="00797748" w14:paraId="5C5D7D2F" w14:textId="77777777">
            <w:pPr>
              <w:rPr>
                <w:color w:val="000000"/>
              </w:rPr>
            </w:pPr>
          </w:p>
        </w:tc>
      </w:tr>
      <w:tr w14:paraId="6E96C376" w14:textId="77777777" w:rsidTr="00E27F92">
        <w:tblPrEx>
          <w:tblW w:w="5000" w:type="pct"/>
          <w:tblLook w:val="04A0"/>
        </w:tblPrEx>
        <w:trPr>
          <w:trHeight w:val="422"/>
        </w:trPr>
        <w:tc>
          <w:tcPr>
            <w:tcW w:w="3060" w:type="pct"/>
            <w:shd w:val="clear" w:color="auto" w:fill="auto"/>
          </w:tcPr>
          <w:p w:rsidR="0070457E" w:rsidRPr="00F12C2A" w:rsidP="00797748" w14:paraId="32C0FDE1" w14:textId="77777777">
            <w:pPr>
              <w:rPr>
                <w:strike/>
                <w:color w:val="FF0000"/>
              </w:rPr>
            </w:pPr>
            <w:r w:rsidRPr="00F12C2A">
              <w:rPr>
                <w:strike/>
                <w:color w:val="FF0000"/>
              </w:rPr>
              <w:t>Comment</w:t>
            </w:r>
          </w:p>
        </w:tc>
        <w:tc>
          <w:tcPr>
            <w:tcW w:w="1108" w:type="pct"/>
            <w:shd w:val="clear" w:color="auto" w:fill="auto"/>
          </w:tcPr>
          <w:p w:rsidR="0070457E" w:rsidRPr="00F12C2A" w:rsidP="00797748" w14:paraId="30D87376" w14:textId="77777777">
            <w:pPr>
              <w:rPr>
                <w:strike/>
                <w:color w:val="FF0000"/>
              </w:rPr>
            </w:pPr>
            <w:r w:rsidRPr="00F12C2A">
              <w:rPr>
                <w:strike/>
                <w:color w:val="FF0000"/>
              </w:rPr>
              <w:t>text</w:t>
            </w:r>
          </w:p>
        </w:tc>
        <w:tc>
          <w:tcPr>
            <w:tcW w:w="832" w:type="pct"/>
            <w:shd w:val="clear" w:color="auto" w:fill="auto"/>
          </w:tcPr>
          <w:p w:rsidR="0070457E" w:rsidRPr="00813315" w:rsidP="00797748" w14:paraId="7AD23DB8" w14:textId="77777777">
            <w:pPr>
              <w:rPr>
                <w:color w:val="000000"/>
              </w:rPr>
            </w:pPr>
          </w:p>
        </w:tc>
      </w:tr>
      <w:tr w14:paraId="3B9EFC52" w14:textId="77777777" w:rsidTr="00797748">
        <w:tblPrEx>
          <w:tblW w:w="5000" w:type="pct"/>
          <w:tblLook w:val="04A0"/>
        </w:tblPrEx>
        <w:trPr>
          <w:trHeight w:val="600"/>
        </w:trPr>
        <w:tc>
          <w:tcPr>
            <w:tcW w:w="3060" w:type="pct"/>
            <w:shd w:val="clear" w:color="auto" w:fill="auto"/>
          </w:tcPr>
          <w:p w:rsidR="0070457E" w:rsidRPr="00F12C2A" w:rsidP="00797748" w14:paraId="28D57D61" w14:textId="77777777">
            <w:pPr>
              <w:rPr>
                <w:strike/>
                <w:color w:val="FF0000"/>
              </w:rPr>
            </w:pPr>
            <w:r w:rsidRPr="00F12C2A">
              <w:rPr>
                <w:strike/>
                <w:color w:val="FF0000"/>
              </w:rPr>
              <w:t xml:space="preserve">How </w:t>
            </w:r>
            <w:r w:rsidRPr="00F12C2A">
              <w:rPr>
                <w:strike/>
                <w:color w:val="FF0000"/>
              </w:rPr>
              <w:t>is</w:t>
            </w:r>
            <w:r w:rsidRPr="00F12C2A">
              <w:rPr>
                <w:strike/>
                <w:color w:val="FF0000"/>
              </w:rPr>
              <w:t xml:space="preserve"> your state's special education 618 data related to students (i.e., child count, educational environment, discipline, exiting, &amp; assessment) integrated into your </w:t>
            </w:r>
            <w:r w:rsidRPr="00F12C2A">
              <w:rPr>
                <w:strike/>
                <w:color w:val="FF0000"/>
                <w:u w:val="single"/>
              </w:rPr>
              <w:t>state's longitudinal data system</w:t>
            </w:r>
            <w:r w:rsidRPr="00F12C2A">
              <w:rPr>
                <w:strike/>
                <w:color w:val="FF0000"/>
              </w:rPr>
              <w:t xml:space="preserve">? </w:t>
            </w:r>
          </w:p>
        </w:tc>
        <w:tc>
          <w:tcPr>
            <w:tcW w:w="1108" w:type="pct"/>
            <w:shd w:val="clear" w:color="auto" w:fill="auto"/>
          </w:tcPr>
          <w:p w:rsidR="0070457E" w:rsidRPr="00F12C2A" w:rsidP="00797748" w14:paraId="2137C14A" w14:textId="77777777">
            <w:pPr>
              <w:rPr>
                <w:strike/>
                <w:color w:val="FF0000"/>
              </w:rPr>
            </w:pPr>
            <w:r w:rsidRPr="00F12C2A">
              <w:rPr>
                <w:strike/>
                <w:color w:val="FF0000"/>
              </w:rPr>
              <w:t>• All data components</w:t>
            </w:r>
            <w:r w:rsidRPr="00F12C2A">
              <w:rPr>
                <w:strike/>
                <w:color w:val="FF0000"/>
              </w:rPr>
              <w:br/>
              <w:t>• Some data components</w:t>
            </w:r>
            <w:r w:rsidRPr="00F12C2A">
              <w:rPr>
                <w:strike/>
                <w:color w:val="FF0000"/>
              </w:rPr>
              <w:br/>
              <w:t>• Not at all</w:t>
            </w:r>
          </w:p>
        </w:tc>
        <w:tc>
          <w:tcPr>
            <w:tcW w:w="832" w:type="pct"/>
            <w:shd w:val="clear" w:color="auto" w:fill="auto"/>
          </w:tcPr>
          <w:p w:rsidR="0070457E" w:rsidRPr="00813315" w:rsidP="00797748" w14:paraId="72FEFF8F" w14:textId="77777777">
            <w:pPr>
              <w:rPr>
                <w:color w:val="000000"/>
              </w:rPr>
            </w:pPr>
          </w:p>
        </w:tc>
      </w:tr>
      <w:tr w14:paraId="7E1A7028" w14:textId="77777777" w:rsidTr="00E27F92">
        <w:tblPrEx>
          <w:tblW w:w="5000" w:type="pct"/>
          <w:tblLook w:val="04A0"/>
        </w:tblPrEx>
        <w:trPr>
          <w:trHeight w:val="404"/>
        </w:trPr>
        <w:tc>
          <w:tcPr>
            <w:tcW w:w="3060" w:type="pct"/>
            <w:shd w:val="clear" w:color="auto" w:fill="auto"/>
          </w:tcPr>
          <w:p w:rsidR="0070457E" w:rsidRPr="00F12C2A" w:rsidP="00797748" w14:paraId="5D42BADE" w14:textId="77777777">
            <w:pPr>
              <w:rPr>
                <w:strike/>
                <w:color w:val="FF0000"/>
              </w:rPr>
            </w:pPr>
            <w:r w:rsidRPr="00F12C2A">
              <w:rPr>
                <w:strike/>
                <w:color w:val="FF0000"/>
              </w:rPr>
              <w:t>Comment</w:t>
            </w:r>
          </w:p>
        </w:tc>
        <w:tc>
          <w:tcPr>
            <w:tcW w:w="1108" w:type="pct"/>
            <w:shd w:val="clear" w:color="auto" w:fill="auto"/>
          </w:tcPr>
          <w:p w:rsidR="0070457E" w:rsidRPr="00F12C2A" w:rsidP="00797748" w14:paraId="6407B1C2" w14:textId="77777777">
            <w:pPr>
              <w:rPr>
                <w:strike/>
                <w:color w:val="FF0000"/>
              </w:rPr>
            </w:pPr>
            <w:r w:rsidRPr="00F12C2A">
              <w:rPr>
                <w:strike/>
                <w:color w:val="FF0000"/>
              </w:rPr>
              <w:t>text</w:t>
            </w:r>
          </w:p>
        </w:tc>
        <w:tc>
          <w:tcPr>
            <w:tcW w:w="832" w:type="pct"/>
            <w:shd w:val="clear" w:color="auto" w:fill="auto"/>
          </w:tcPr>
          <w:p w:rsidR="0070457E" w:rsidRPr="00813315" w:rsidP="00797748" w14:paraId="163B5AE3" w14:textId="77777777">
            <w:pPr>
              <w:rPr>
                <w:color w:val="000000"/>
              </w:rPr>
            </w:pPr>
          </w:p>
        </w:tc>
      </w:tr>
    </w:tbl>
    <w:p w:rsidR="0070457E" w:rsidRPr="003B3570" w:rsidP="003B3570" w14:paraId="032F5AE2" w14:textId="77777777">
      <w:pPr>
        <w:spacing w:line="276" w:lineRule="auto"/>
        <w:rPr>
          <w:i/>
          <w:iCs/>
        </w:rPr>
      </w:pPr>
    </w:p>
    <w:p w:rsidR="00CA4EE4" w:rsidRPr="00CA4EE4" w:rsidP="00CA4EE4" w14:paraId="0884A805" w14:textId="77777777">
      <w:pPr>
        <w:pStyle w:val="ListParagraph"/>
        <w:spacing w:line="276" w:lineRule="auto"/>
        <w:ind w:left="900"/>
      </w:pPr>
    </w:p>
    <w:p w:rsidR="00021431" w:rsidRPr="0049310F" w:rsidP="0090039E" w14:paraId="67FE328A" w14:textId="57751ADF">
      <w:pPr>
        <w:pStyle w:val="ListParagraph"/>
        <w:numPr>
          <w:ilvl w:val="0"/>
          <w:numId w:val="24"/>
        </w:numPr>
        <w:spacing w:line="276" w:lineRule="auto"/>
      </w:pPr>
      <w:r w:rsidRPr="0090039E">
        <w:rPr>
          <w:u w:val="single"/>
        </w:rPr>
        <w:t>IDEA State Supplemental Survey</w:t>
      </w:r>
      <w:r w:rsidRPr="0090039E" w:rsidR="006D35A9">
        <w:rPr>
          <w:u w:val="single"/>
        </w:rPr>
        <w:t xml:space="preserve"> and English Proficiency Assessment Metadata Survey</w:t>
      </w:r>
      <w:r w:rsidRPr="0049310F">
        <w:t xml:space="preserve">: </w:t>
      </w:r>
      <w:r w:rsidR="006F6CE5">
        <w:t>The IDEA a</w:t>
      </w:r>
      <w:r w:rsidR="005B2083">
        <w:t>ssessment question</w:t>
      </w:r>
      <w:r w:rsidR="006F6CE5">
        <w:t xml:space="preserve"> needs a technical update and</w:t>
      </w:r>
      <w:r w:rsidR="005B2083">
        <w:t xml:space="preserve"> as </w:t>
      </w:r>
      <w:r w:rsidR="005B2083">
        <w:t>EDPass</w:t>
      </w:r>
      <w:r w:rsidR="005B2083">
        <w:t xml:space="preserve"> is implemented this will appear with other </w:t>
      </w:r>
      <w:r w:rsidR="006F6CE5">
        <w:t xml:space="preserve">ELP </w:t>
      </w:r>
      <w:r w:rsidR="005B2083">
        <w:t>assessment questions. Revised question</w:t>
      </w:r>
      <w:r w:rsidR="006F6CE5">
        <w:t xml:space="preserve"> and placed in ELP assessment section</w:t>
      </w:r>
      <w:r w:rsidR="005B2083">
        <w:t>.</w:t>
      </w:r>
    </w:p>
    <w:p w:rsidR="00021431" w:rsidRPr="00021431" w:rsidP="00021431" w14:paraId="1DE5BE7D" w14:textId="3AFF3352">
      <w:pPr>
        <w:spacing w:line="276" w:lineRule="auto"/>
        <w:ind w:left="180" w:firstLine="720"/>
        <w:rPr>
          <w:i/>
          <w:iCs/>
        </w:rPr>
      </w:pPr>
      <w:r w:rsidRPr="0049310F">
        <w:rPr>
          <w:i/>
          <w:iCs/>
        </w:rPr>
        <w:t xml:space="preserve">[Attachment C, Pages C-18 and </w:t>
      </w:r>
      <w:r w:rsidR="006F6CE5">
        <w:rPr>
          <w:i/>
          <w:iCs/>
        </w:rPr>
        <w:t>38</w:t>
      </w:r>
      <w:r w:rsidRPr="0049310F">
        <w:rPr>
          <w:i/>
          <w:iCs/>
        </w:rPr>
        <w:t>]</w:t>
      </w:r>
    </w:p>
    <w:p w:rsidR="000917D2" w:rsidP="005804DC" w14:paraId="042B3E75" w14:textId="74055C2B">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4"/>
        <w:gridCol w:w="2200"/>
        <w:gridCol w:w="1652"/>
      </w:tblGrid>
      <w:tr w14:paraId="0BFC18E3" w14:textId="77777777" w:rsidTr="0079774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060" w:type="pct"/>
            <w:shd w:val="clear" w:color="auto" w:fill="auto"/>
            <w:hideMark/>
          </w:tcPr>
          <w:p w:rsidR="005804DC" w:rsidRPr="00813315" w:rsidP="00797748" w14:paraId="1B7E9F95" w14:textId="303A7D12">
            <w:pPr>
              <w:rPr>
                <w:b/>
                <w:bCs/>
                <w:color w:val="000000"/>
              </w:rPr>
            </w:pPr>
            <w:r w:rsidRPr="00813315">
              <w:rPr>
                <w:b/>
                <w:bCs/>
                <w:color w:val="000000"/>
              </w:rPr>
              <w:t>Question</w:t>
            </w:r>
            <w:r w:rsidR="00FA7CE1">
              <w:rPr>
                <w:b/>
                <w:bCs/>
                <w:color w:val="000000"/>
              </w:rPr>
              <w:t xml:space="preserve"> (p. C-18)</w:t>
            </w:r>
          </w:p>
        </w:tc>
        <w:tc>
          <w:tcPr>
            <w:tcW w:w="1108" w:type="pct"/>
            <w:shd w:val="clear" w:color="auto" w:fill="auto"/>
            <w:hideMark/>
          </w:tcPr>
          <w:p w:rsidR="005804DC" w:rsidRPr="00813315" w:rsidP="00797748" w14:paraId="63BCC9B4" w14:textId="77777777">
            <w:pPr>
              <w:rPr>
                <w:b/>
                <w:bCs/>
                <w:color w:val="000000"/>
              </w:rPr>
            </w:pPr>
            <w:r w:rsidRPr="00813315">
              <w:rPr>
                <w:b/>
                <w:bCs/>
                <w:color w:val="000000"/>
              </w:rPr>
              <w:t>Permitted Values</w:t>
            </w:r>
          </w:p>
        </w:tc>
        <w:tc>
          <w:tcPr>
            <w:tcW w:w="832" w:type="pct"/>
            <w:shd w:val="clear" w:color="auto" w:fill="auto"/>
            <w:hideMark/>
          </w:tcPr>
          <w:p w:rsidR="005804DC" w:rsidRPr="00813315" w:rsidP="00797748" w14:paraId="5C92EF88" w14:textId="77777777">
            <w:pPr>
              <w:rPr>
                <w:b/>
                <w:bCs/>
                <w:color w:val="000000"/>
              </w:rPr>
            </w:pPr>
            <w:r w:rsidRPr="00813315">
              <w:rPr>
                <w:b/>
                <w:bCs/>
                <w:color w:val="000000"/>
              </w:rPr>
              <w:t>Skip Logic</w:t>
            </w:r>
          </w:p>
        </w:tc>
      </w:tr>
      <w:tr w14:paraId="4F6EBF87" w14:textId="77777777" w:rsidTr="00797748">
        <w:tblPrEx>
          <w:tblW w:w="5000" w:type="pct"/>
          <w:tblLook w:val="04A0"/>
        </w:tblPrEx>
        <w:trPr>
          <w:trHeight w:val="300"/>
        </w:trPr>
        <w:tc>
          <w:tcPr>
            <w:tcW w:w="3060" w:type="pct"/>
            <w:shd w:val="clear" w:color="auto" w:fill="auto"/>
            <w:hideMark/>
          </w:tcPr>
          <w:p w:rsidR="00D861A3" w:rsidRPr="00813315" w:rsidP="00D861A3" w14:paraId="61538631" w14:textId="6276886E">
            <w:pPr>
              <w:rPr>
                <w:b/>
                <w:bCs/>
                <w:color w:val="000000"/>
              </w:rPr>
            </w:pPr>
            <w:r w:rsidRPr="00B2279B">
              <w:rPr>
                <w:b/>
                <w:bCs/>
                <w:strike/>
                <w:color w:val="FF0000"/>
              </w:rPr>
              <w:t>ASSESSMENT</w:t>
            </w:r>
          </w:p>
        </w:tc>
        <w:tc>
          <w:tcPr>
            <w:tcW w:w="1108" w:type="pct"/>
            <w:shd w:val="clear" w:color="auto" w:fill="auto"/>
            <w:hideMark/>
          </w:tcPr>
          <w:p w:rsidR="00D861A3" w:rsidRPr="00813315" w:rsidP="00D861A3" w14:paraId="5C4FFBD0" w14:textId="785CC058">
            <w:r w:rsidRPr="00813315">
              <w:rPr>
                <w:color w:val="000000"/>
              </w:rPr>
              <w:t> </w:t>
            </w:r>
          </w:p>
        </w:tc>
        <w:tc>
          <w:tcPr>
            <w:tcW w:w="832" w:type="pct"/>
            <w:shd w:val="clear" w:color="auto" w:fill="auto"/>
            <w:hideMark/>
          </w:tcPr>
          <w:p w:rsidR="00D861A3" w:rsidRPr="00813315" w:rsidP="00D861A3" w14:paraId="037C37A1" w14:textId="194BEEC0">
            <w:r w:rsidRPr="00813315">
              <w:rPr>
                <w:color w:val="000000"/>
              </w:rPr>
              <w:t> </w:t>
            </w:r>
          </w:p>
        </w:tc>
      </w:tr>
      <w:tr w14:paraId="3C035957" w14:textId="77777777" w:rsidTr="00797748">
        <w:tblPrEx>
          <w:tblW w:w="5000" w:type="pct"/>
          <w:tblLook w:val="04A0"/>
        </w:tblPrEx>
        <w:trPr>
          <w:trHeight w:val="420"/>
        </w:trPr>
        <w:tc>
          <w:tcPr>
            <w:tcW w:w="3060" w:type="pct"/>
            <w:shd w:val="clear" w:color="auto" w:fill="auto"/>
            <w:hideMark/>
          </w:tcPr>
          <w:p w:rsidR="00D861A3" w:rsidRPr="00813315" w:rsidP="00D861A3" w14:paraId="66B6860B" w14:textId="205EBF80">
            <w:pPr>
              <w:rPr>
                <w:b/>
                <w:bCs/>
                <w:color w:val="000000"/>
              </w:rPr>
            </w:pPr>
            <w:r w:rsidRPr="00B2279B">
              <w:rPr>
                <w:b/>
                <w:bCs/>
                <w:strike/>
                <w:color w:val="FF0000"/>
              </w:rPr>
              <w:t>Assessment</w:t>
            </w:r>
          </w:p>
        </w:tc>
        <w:tc>
          <w:tcPr>
            <w:tcW w:w="1108" w:type="pct"/>
            <w:shd w:val="clear" w:color="auto" w:fill="auto"/>
            <w:hideMark/>
          </w:tcPr>
          <w:p w:rsidR="00D861A3" w:rsidRPr="00813315" w:rsidP="00D861A3" w14:paraId="03413256" w14:textId="6DE5589B">
            <w:pPr>
              <w:rPr>
                <w:b/>
                <w:bCs/>
                <w:color w:val="000000"/>
              </w:rPr>
            </w:pPr>
            <w:r w:rsidRPr="00813315">
              <w:rPr>
                <w:color w:val="000000"/>
              </w:rPr>
              <w:t> </w:t>
            </w:r>
          </w:p>
        </w:tc>
        <w:tc>
          <w:tcPr>
            <w:tcW w:w="832" w:type="pct"/>
            <w:shd w:val="clear" w:color="auto" w:fill="auto"/>
            <w:hideMark/>
          </w:tcPr>
          <w:p w:rsidR="00D861A3" w:rsidRPr="00813315" w:rsidP="00D861A3" w14:paraId="7734B4A7" w14:textId="12851A9D">
            <w:r w:rsidRPr="00813315">
              <w:rPr>
                <w:color w:val="000000"/>
              </w:rPr>
              <w:t> </w:t>
            </w:r>
          </w:p>
        </w:tc>
      </w:tr>
      <w:tr w14:paraId="17FD99AA" w14:textId="77777777" w:rsidTr="00797748">
        <w:tblPrEx>
          <w:tblW w:w="5000" w:type="pct"/>
          <w:tblLook w:val="04A0"/>
        </w:tblPrEx>
        <w:trPr>
          <w:trHeight w:val="315"/>
        </w:trPr>
        <w:tc>
          <w:tcPr>
            <w:tcW w:w="3060" w:type="pct"/>
            <w:shd w:val="clear" w:color="auto" w:fill="auto"/>
            <w:hideMark/>
          </w:tcPr>
          <w:p w:rsidR="00D861A3" w:rsidRPr="00813315" w:rsidP="00D861A3" w14:paraId="678733F2" w14:textId="0BB2F99C">
            <w:pPr>
              <w:rPr>
                <w:b/>
                <w:bCs/>
                <w:color w:val="000000"/>
              </w:rPr>
            </w:pPr>
            <w:r w:rsidRPr="00CE7AC4">
              <w:rPr>
                <w:strike/>
                <w:color w:val="FF0000"/>
              </w:rPr>
              <w:t>Are children with disabilities (IDEA) who were English Learners and who were in the U.S. less than 12 months prior to the reading/language arts state assessment allowed to take the English language proficient (ELP) assessment in lieu of the regular reading/language arts assessment in your state?</w:t>
            </w:r>
          </w:p>
        </w:tc>
        <w:tc>
          <w:tcPr>
            <w:tcW w:w="1108" w:type="pct"/>
            <w:shd w:val="clear" w:color="auto" w:fill="auto"/>
            <w:hideMark/>
          </w:tcPr>
          <w:p w:rsidR="00D861A3" w:rsidRPr="00813315" w:rsidP="00D861A3" w14:paraId="48E0C6D8" w14:textId="6C1E9F79">
            <w:pPr>
              <w:rPr>
                <w:b/>
                <w:bCs/>
                <w:color w:val="000000"/>
              </w:rPr>
            </w:pPr>
            <w:r w:rsidRPr="00CE7AC4">
              <w:rPr>
                <w:strike/>
                <w:color w:val="FF0000"/>
              </w:rPr>
              <w:t>Yes/No</w:t>
            </w:r>
          </w:p>
        </w:tc>
        <w:tc>
          <w:tcPr>
            <w:tcW w:w="832" w:type="pct"/>
            <w:shd w:val="clear" w:color="auto" w:fill="auto"/>
            <w:hideMark/>
          </w:tcPr>
          <w:p w:rsidR="00D861A3" w:rsidRPr="00813315" w:rsidP="00D861A3" w14:paraId="723936F0" w14:textId="6DD8E1EF">
            <w:r w:rsidRPr="00CE7AC4">
              <w:rPr>
                <w:color w:val="FF0000"/>
              </w:rPr>
              <w:t> </w:t>
            </w:r>
          </w:p>
        </w:tc>
      </w:tr>
      <w:tr w14:paraId="75CC351C" w14:textId="77777777" w:rsidTr="00797748">
        <w:tblPrEx>
          <w:tblW w:w="5000" w:type="pct"/>
          <w:tblLook w:val="04A0"/>
        </w:tblPrEx>
        <w:trPr>
          <w:trHeight w:val="300"/>
        </w:trPr>
        <w:tc>
          <w:tcPr>
            <w:tcW w:w="3060" w:type="pct"/>
            <w:shd w:val="clear" w:color="auto" w:fill="auto"/>
            <w:hideMark/>
          </w:tcPr>
          <w:p w:rsidR="00D861A3" w:rsidRPr="00813315" w:rsidP="00D861A3" w14:paraId="76FCC7A0" w14:textId="7712F5D7">
            <w:pPr>
              <w:rPr>
                <w:color w:val="000000"/>
              </w:rPr>
            </w:pPr>
            <w:r w:rsidRPr="00CE7AC4">
              <w:rPr>
                <w:strike/>
                <w:color w:val="FF0000"/>
              </w:rPr>
              <w:t>Comment</w:t>
            </w:r>
          </w:p>
        </w:tc>
        <w:tc>
          <w:tcPr>
            <w:tcW w:w="1108" w:type="pct"/>
            <w:shd w:val="clear" w:color="auto" w:fill="auto"/>
            <w:hideMark/>
          </w:tcPr>
          <w:p w:rsidR="00D861A3" w:rsidRPr="00813315" w:rsidP="00D861A3" w14:paraId="5A834028" w14:textId="757D2157">
            <w:pPr>
              <w:rPr>
                <w:color w:val="000000"/>
              </w:rPr>
            </w:pPr>
            <w:r w:rsidRPr="00CE7AC4">
              <w:rPr>
                <w:strike/>
                <w:color w:val="FF0000"/>
              </w:rPr>
              <w:t>text</w:t>
            </w:r>
          </w:p>
        </w:tc>
        <w:tc>
          <w:tcPr>
            <w:tcW w:w="832" w:type="pct"/>
            <w:shd w:val="clear" w:color="auto" w:fill="auto"/>
            <w:hideMark/>
          </w:tcPr>
          <w:p w:rsidR="00D861A3" w:rsidRPr="00813315" w:rsidP="00D861A3" w14:paraId="78412242" w14:textId="5C750AED">
            <w:pPr>
              <w:rPr>
                <w:color w:val="000000"/>
              </w:rPr>
            </w:pPr>
            <w:r w:rsidRPr="00CE7AC4">
              <w:rPr>
                <w:strike/>
                <w:color w:val="FF0000"/>
              </w:rPr>
              <w:t> </w:t>
            </w:r>
          </w:p>
        </w:tc>
      </w:tr>
    </w:tbl>
    <w:p w:rsidR="005804DC" w:rsidP="005804DC" w14:paraId="0CADDB6E" w14:textId="4EDCE591">
      <w:pPr>
        <w:spacing w:line="276" w:lineRule="auto"/>
      </w:pPr>
    </w:p>
    <w:p w:rsidR="00FA7CE1" w:rsidP="005804DC" w14:paraId="0B5FD734" w14:textId="76CF8C1A">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4"/>
        <w:gridCol w:w="2200"/>
        <w:gridCol w:w="1652"/>
      </w:tblGrid>
      <w:tr w14:paraId="60AA06CA" w14:textId="77777777" w:rsidTr="006A3EA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060" w:type="pct"/>
            <w:shd w:val="clear" w:color="auto" w:fill="auto"/>
            <w:hideMark/>
          </w:tcPr>
          <w:p w:rsidR="00FA7CE1" w:rsidRPr="00813315" w:rsidP="006A3EA0" w14:paraId="6781271B" w14:textId="76693538">
            <w:pPr>
              <w:rPr>
                <w:b/>
                <w:bCs/>
                <w:color w:val="000000"/>
              </w:rPr>
            </w:pPr>
            <w:r w:rsidRPr="00813315">
              <w:rPr>
                <w:b/>
                <w:bCs/>
                <w:color w:val="000000"/>
              </w:rPr>
              <w:t>Question</w:t>
            </w:r>
            <w:r w:rsidR="005A5565">
              <w:rPr>
                <w:b/>
                <w:bCs/>
                <w:color w:val="000000"/>
              </w:rPr>
              <w:t xml:space="preserve"> (p. C-27)</w:t>
            </w:r>
          </w:p>
        </w:tc>
        <w:tc>
          <w:tcPr>
            <w:tcW w:w="1108" w:type="pct"/>
            <w:shd w:val="clear" w:color="auto" w:fill="auto"/>
            <w:hideMark/>
          </w:tcPr>
          <w:p w:rsidR="00FA7CE1" w:rsidRPr="00813315" w:rsidP="006A3EA0" w14:paraId="60C6166A" w14:textId="77777777">
            <w:pPr>
              <w:rPr>
                <w:b/>
                <w:bCs/>
                <w:color w:val="000000"/>
              </w:rPr>
            </w:pPr>
            <w:r w:rsidRPr="00813315">
              <w:rPr>
                <w:b/>
                <w:bCs/>
                <w:color w:val="000000"/>
              </w:rPr>
              <w:t>Permitted Values</w:t>
            </w:r>
          </w:p>
        </w:tc>
        <w:tc>
          <w:tcPr>
            <w:tcW w:w="832" w:type="pct"/>
            <w:shd w:val="clear" w:color="auto" w:fill="auto"/>
            <w:hideMark/>
          </w:tcPr>
          <w:p w:rsidR="00FA7CE1" w:rsidRPr="00813315" w:rsidP="006A3EA0" w14:paraId="2A56D805" w14:textId="77777777">
            <w:pPr>
              <w:rPr>
                <w:b/>
                <w:bCs/>
                <w:color w:val="000000"/>
              </w:rPr>
            </w:pPr>
            <w:r w:rsidRPr="00813315">
              <w:rPr>
                <w:b/>
                <w:bCs/>
                <w:color w:val="000000"/>
              </w:rPr>
              <w:t>Skip Logic</w:t>
            </w:r>
          </w:p>
        </w:tc>
      </w:tr>
      <w:tr w14:paraId="2AEA0501" w14:textId="77777777" w:rsidTr="006A3EA0">
        <w:tblPrEx>
          <w:tblW w:w="5000" w:type="pct"/>
          <w:tblLook w:val="04A0"/>
        </w:tblPrEx>
        <w:trPr>
          <w:trHeight w:val="315"/>
        </w:trPr>
        <w:tc>
          <w:tcPr>
            <w:tcW w:w="3060" w:type="pct"/>
            <w:shd w:val="clear" w:color="auto" w:fill="auto"/>
            <w:hideMark/>
          </w:tcPr>
          <w:p w:rsidR="00FA7CE1" w:rsidRPr="00411328" w:rsidP="006A3EA0" w14:paraId="292D4DEE" w14:textId="0EDCC320">
            <w:pPr>
              <w:rPr>
                <w:rFonts w:eastAsiaTheme="majorEastAsia"/>
                <w:color w:val="FF0000"/>
              </w:rPr>
            </w:pPr>
            <w:r w:rsidRPr="00CE7AC4">
              <w:rPr>
                <w:rFonts w:eastAsiaTheme="majorEastAsia"/>
                <w:color w:val="FF0000"/>
              </w:rPr>
              <w:t>Are English Learners, including children with disabilities (IDEA), who were in the US less than 12 months prior to the reading/language arts state assessment allowed to take the English language proficient (ELP) assessment in lieu of the regular reading/ language arts assessment in your state?</w:t>
            </w:r>
          </w:p>
        </w:tc>
        <w:tc>
          <w:tcPr>
            <w:tcW w:w="1108" w:type="pct"/>
            <w:shd w:val="clear" w:color="auto" w:fill="auto"/>
            <w:hideMark/>
          </w:tcPr>
          <w:p w:rsidR="00FA7CE1" w:rsidRPr="00411328" w:rsidP="006A3EA0" w14:paraId="4A137D86" w14:textId="77777777">
            <w:pPr>
              <w:rPr>
                <w:b/>
                <w:bCs/>
                <w:color w:val="000000"/>
              </w:rPr>
            </w:pPr>
            <w:r w:rsidRPr="00411328">
              <w:rPr>
                <w:color w:val="FF0000"/>
              </w:rPr>
              <w:t>Yes/No</w:t>
            </w:r>
          </w:p>
        </w:tc>
        <w:tc>
          <w:tcPr>
            <w:tcW w:w="832" w:type="pct"/>
            <w:shd w:val="clear" w:color="auto" w:fill="auto"/>
            <w:hideMark/>
          </w:tcPr>
          <w:p w:rsidR="00FA7CE1" w:rsidRPr="00813315" w:rsidP="006A3EA0" w14:paraId="68C36441" w14:textId="77777777">
            <w:r w:rsidRPr="00CE7AC4">
              <w:rPr>
                <w:color w:val="FF0000"/>
              </w:rPr>
              <w:t> </w:t>
            </w:r>
          </w:p>
        </w:tc>
      </w:tr>
    </w:tbl>
    <w:p w:rsidR="005804DC" w:rsidRPr="000917D2" w:rsidP="005804DC" w14:paraId="0997B16F" w14:textId="77777777">
      <w:pPr>
        <w:spacing w:line="276" w:lineRule="auto"/>
      </w:pPr>
    </w:p>
    <w:p w:rsidR="00F31DF2" w:rsidRPr="00F31DF2" w:rsidP="0090039E" w14:paraId="4E04328E" w14:textId="58AEF30B">
      <w:pPr>
        <w:pStyle w:val="ListParagraph"/>
        <w:numPr>
          <w:ilvl w:val="0"/>
          <w:numId w:val="24"/>
        </w:numPr>
        <w:spacing w:line="276" w:lineRule="auto"/>
      </w:pPr>
      <w:r w:rsidRPr="0090039E">
        <w:rPr>
          <w:u w:val="single"/>
        </w:rPr>
        <w:t>English Proficiency Assessment Metadata Survey</w:t>
      </w:r>
      <w:r w:rsidRPr="00F31DF2">
        <w:t>: The</w:t>
      </w:r>
      <w:r>
        <w:t xml:space="preserve">re is a mistake in the instructions for Question 1 in the </w:t>
      </w:r>
      <w:r w:rsidRPr="00F31DF2">
        <w:t>Changes to Statewide English language proficiency (ELP) Assessments</w:t>
      </w:r>
      <w:r>
        <w:t xml:space="preserve"> section, </w:t>
      </w:r>
      <w:r w:rsidR="00E27F92">
        <w:t>it needs to be updated to include assessment types</w:t>
      </w:r>
      <w:r w:rsidR="00057920">
        <w:t>.</w:t>
      </w:r>
      <w:r>
        <w:t xml:space="preserve"> </w:t>
      </w:r>
      <w:r w:rsidR="00F81376">
        <w:t>Instructions were updated.</w:t>
      </w:r>
    </w:p>
    <w:p w:rsidR="00F31DF2" w:rsidP="00F31DF2" w14:paraId="121448CE" w14:textId="2121063E">
      <w:pPr>
        <w:spacing w:line="276" w:lineRule="auto"/>
        <w:ind w:left="180" w:firstLine="720"/>
        <w:rPr>
          <w:i/>
          <w:iCs/>
        </w:rPr>
      </w:pPr>
      <w:r w:rsidRPr="00F31DF2">
        <w:rPr>
          <w:i/>
          <w:iCs/>
        </w:rPr>
        <w:t>[Attachment C, Page C-39]</w:t>
      </w:r>
    </w:p>
    <w:p w:rsidR="00B62C9F" w:rsidP="00B62C9F" w14:paraId="0AF93A9D" w14:textId="7E8C2F23">
      <w:pPr>
        <w:spacing w:line="276" w:lineRule="auto"/>
        <w:rPr>
          <w:i/>
          <w:iCs/>
        </w:rPr>
      </w:pPr>
    </w:p>
    <w:p w:rsidR="00C973CA" w:rsidRPr="00C973CA" w:rsidP="00C973CA" w14:paraId="373C967D" w14:textId="77777777">
      <w:pPr>
        <w:spacing w:after="160" w:line="276" w:lineRule="auto"/>
        <w:rPr>
          <w:rFonts w:eastAsiaTheme="minorEastAsia"/>
          <w:szCs w:val="21"/>
        </w:rPr>
      </w:pPr>
      <w:bookmarkStart w:id="18" w:name="_Hlk138353228"/>
      <w:r w:rsidRPr="00C973CA">
        <w:rPr>
          <w:rFonts w:eastAsiaTheme="minorEastAsia"/>
          <w:b/>
          <w:bCs/>
          <w:szCs w:val="21"/>
        </w:rPr>
        <w:t>Question 1</w:t>
      </w:r>
      <w:r w:rsidRPr="00C973CA">
        <w:rPr>
          <w:rFonts w:eastAsiaTheme="minorEastAsia"/>
          <w:szCs w:val="21"/>
        </w:rPr>
        <w:t xml:space="preserve"> – Is the SEA is planning to </w:t>
      </w:r>
      <w:r w:rsidRPr="00C973CA">
        <w:rPr>
          <w:rFonts w:eastAsiaTheme="minorEastAsia"/>
          <w:szCs w:val="21"/>
        </w:rPr>
        <w:t>make adjustments</w:t>
      </w:r>
      <w:r w:rsidRPr="00C973CA">
        <w:rPr>
          <w:rFonts w:eastAsiaTheme="minorEastAsia"/>
          <w:szCs w:val="21"/>
        </w:rPr>
        <w:t xml:space="preserve"> or significant changes for English language assessments to be administered in any of the three school years following this reporting year </w:t>
      </w:r>
      <w:r w:rsidRPr="00C973CA">
        <w:rPr>
          <w:rFonts w:eastAsiaTheme="minorEastAsia"/>
          <w:color w:val="FF0000"/>
          <w:szCs w:val="21"/>
        </w:rPr>
        <w:t>for regular or alternate assessments</w:t>
      </w:r>
      <w:r w:rsidRPr="00C973CA">
        <w:rPr>
          <w:rFonts w:eastAsiaTheme="minorEastAsia"/>
          <w:szCs w:val="21"/>
        </w:rPr>
        <w:t>?</w:t>
      </w:r>
    </w:p>
    <w:p w:rsidR="00802649" w:rsidRPr="00802649" w:rsidP="00C973CA" w14:paraId="7E5A318C" w14:textId="3F9B4F77">
      <w:pPr>
        <w:numPr>
          <w:ilvl w:val="0"/>
          <w:numId w:val="26"/>
        </w:numPr>
        <w:spacing w:after="160" w:line="276" w:lineRule="auto"/>
        <w:contextualSpacing/>
        <w:rPr>
          <w:rFonts w:eastAsiaTheme="minorEastAsia"/>
          <w:bCs/>
          <w:strike/>
          <w:color w:val="FF0000"/>
          <w:szCs w:val="21"/>
        </w:rPr>
      </w:pPr>
      <w:bookmarkStart w:id="19" w:name="_Hlk131489015"/>
      <w:r w:rsidRPr="00802649">
        <w:rPr>
          <w:rFonts w:eastAsiaTheme="minorEastAsia"/>
          <w:bCs/>
          <w:strike/>
          <w:color w:val="FF0000"/>
          <w:szCs w:val="21"/>
        </w:rPr>
        <w:t>Yes</w:t>
      </w:r>
    </w:p>
    <w:p w:rsidR="00C973CA" w:rsidRPr="00C973CA" w:rsidP="00C973CA" w14:paraId="2A660F0E" w14:textId="33FCA532">
      <w:pPr>
        <w:numPr>
          <w:ilvl w:val="0"/>
          <w:numId w:val="26"/>
        </w:numPr>
        <w:spacing w:after="160" w:line="276" w:lineRule="auto"/>
        <w:contextualSpacing/>
        <w:rPr>
          <w:rFonts w:eastAsiaTheme="minorEastAsia"/>
          <w:bCs/>
          <w:color w:val="FF0000"/>
          <w:szCs w:val="21"/>
        </w:rPr>
      </w:pPr>
      <w:r w:rsidRPr="00C973CA">
        <w:rPr>
          <w:rFonts w:eastAsiaTheme="minorEastAsia"/>
          <w:bCs/>
          <w:color w:val="FF0000"/>
          <w:szCs w:val="21"/>
        </w:rPr>
        <w:t>Regular English Language Proficiency Assessment</w:t>
      </w:r>
    </w:p>
    <w:p w:rsidR="00C973CA" w:rsidRPr="00C973CA" w:rsidP="00C973CA" w14:paraId="285C572A" w14:textId="77777777">
      <w:pPr>
        <w:numPr>
          <w:ilvl w:val="0"/>
          <w:numId w:val="26"/>
        </w:numPr>
        <w:spacing w:after="160" w:line="276" w:lineRule="auto"/>
        <w:contextualSpacing/>
        <w:rPr>
          <w:rFonts w:eastAsiaTheme="minorEastAsia"/>
          <w:bCs/>
          <w:color w:val="FF0000"/>
          <w:szCs w:val="21"/>
        </w:rPr>
      </w:pPr>
      <w:r w:rsidRPr="00C973CA">
        <w:rPr>
          <w:rFonts w:eastAsiaTheme="minorEastAsia"/>
          <w:bCs/>
          <w:color w:val="FF0000"/>
          <w:szCs w:val="21"/>
        </w:rPr>
        <w:t>Statewide Alternate English Language Proficiency Assessments for Students with the Most Significant Cognitive Disabilities</w:t>
      </w:r>
    </w:p>
    <w:p w:rsidR="00C973CA" w:rsidRPr="00C973CA" w:rsidP="00E27F92" w14:paraId="7988C03E" w14:textId="4686BA5C">
      <w:pPr>
        <w:spacing w:after="160" w:line="276" w:lineRule="auto"/>
        <w:ind w:left="1080"/>
        <w:contextualSpacing/>
        <w:rPr>
          <w:rFonts w:eastAsiaTheme="minorEastAsia"/>
          <w:bCs/>
          <w:szCs w:val="21"/>
        </w:rPr>
      </w:pPr>
      <w:r>
        <w:rPr>
          <w:rFonts w:eastAsiaTheme="minorEastAsia"/>
          <w:bCs/>
          <w:color w:val="FF0000"/>
          <w:szCs w:val="21"/>
        </w:rPr>
        <w:t>(</w:t>
      </w:r>
      <w:r w:rsidRPr="00C973CA">
        <w:rPr>
          <w:rFonts w:eastAsiaTheme="minorEastAsia"/>
          <w:bCs/>
          <w:color w:val="FF0000"/>
          <w:szCs w:val="21"/>
        </w:rPr>
        <w:t>Either assessment type checked, continue to question 2</w:t>
      </w:r>
      <w:r>
        <w:rPr>
          <w:rFonts w:eastAsiaTheme="minorEastAsia"/>
          <w:bCs/>
          <w:color w:val="FF0000"/>
          <w:szCs w:val="21"/>
        </w:rPr>
        <w:t>)</w:t>
      </w:r>
    </w:p>
    <w:p w:rsidR="00C973CA" w:rsidRPr="00C973CA" w:rsidP="00C973CA" w14:paraId="0E441080" w14:textId="77777777">
      <w:pPr>
        <w:numPr>
          <w:ilvl w:val="0"/>
          <w:numId w:val="26"/>
        </w:numPr>
        <w:spacing w:after="160" w:line="276" w:lineRule="auto"/>
        <w:contextualSpacing/>
        <w:rPr>
          <w:rFonts w:eastAsiaTheme="minorEastAsia"/>
          <w:bCs/>
          <w:szCs w:val="21"/>
        </w:rPr>
      </w:pPr>
      <w:r w:rsidRPr="00C973CA">
        <w:rPr>
          <w:rFonts w:eastAsiaTheme="minorEastAsia"/>
          <w:bCs/>
          <w:szCs w:val="21"/>
        </w:rPr>
        <w:t>No, end of metadata survey</w:t>
      </w:r>
    </w:p>
    <w:bookmarkEnd w:id="1"/>
    <w:bookmarkEnd w:id="18"/>
    <w:bookmarkEnd w:id="19"/>
    <w:p w:rsidR="00057920" w14:paraId="324D6088" w14:textId="7505C454">
      <w:pPr>
        <w:spacing w:after="160" w:line="259" w:lineRule="auto"/>
        <w:rPr>
          <w:b/>
          <w:bCs/>
        </w:rPr>
      </w:pPr>
    </w:p>
    <w:sectPr w:rsidSect="00684A51">
      <w:footerReference w:type="default" r:id="rId9"/>
      <w:pgSz w:w="12240" w:h="15840"/>
      <w:pgMar w:top="900" w:right="1152" w:bottom="1080"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1465751"/>
      <w:docPartObj>
        <w:docPartGallery w:val="Page Numbers (Bottom of Page)"/>
        <w:docPartUnique/>
      </w:docPartObj>
    </w:sdtPr>
    <w:sdtEndPr>
      <w:rPr>
        <w:noProof/>
      </w:rPr>
    </w:sdtEndPr>
    <w:sdtContent>
      <w:p w:rsidR="00EB2AFE" w14:paraId="7F017A5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B2AFE" w14:paraId="441752B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452BD"/>
    <w:multiLevelType w:val="hybridMultilevel"/>
    <w:tmpl w:val="A808EB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9F6D26"/>
    <w:multiLevelType w:val="hybridMultilevel"/>
    <w:tmpl w:val="1C28987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6E7972"/>
    <w:multiLevelType w:val="hybridMultilevel"/>
    <w:tmpl w:val="DCCE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
    <w:nsid w:val="14413009"/>
    <w:multiLevelType w:val="multilevel"/>
    <w:tmpl w:val="532295F8"/>
    <w:lvl w:ilvl="0">
      <w:start w:val="2"/>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1B4DF4"/>
    <w:multiLevelType w:val="hybridMultilevel"/>
    <w:tmpl w:val="D73238E8"/>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81B0A57"/>
    <w:multiLevelType w:val="hybridMultilevel"/>
    <w:tmpl w:val="FB0EF3B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344B96"/>
    <w:multiLevelType w:val="hybridMultilevel"/>
    <w:tmpl w:val="BD423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610354"/>
    <w:multiLevelType w:val="hybridMultilevel"/>
    <w:tmpl w:val="AF70FC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1C622D"/>
    <w:multiLevelType w:val="hybridMultilevel"/>
    <w:tmpl w:val="34503B1C"/>
    <w:lvl w:ilvl="0">
      <w:start w:val="2"/>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F23F29"/>
    <w:multiLevelType w:val="multilevel"/>
    <w:tmpl w:val="33B2C54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1E1292"/>
    <w:multiLevelType w:val="hybridMultilevel"/>
    <w:tmpl w:val="5B9E4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9129D9"/>
    <w:multiLevelType w:val="multilevel"/>
    <w:tmpl w:val="591C21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583F63"/>
    <w:multiLevelType w:val="hybridMultilevel"/>
    <w:tmpl w:val="C51E8D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B64307"/>
    <w:multiLevelType w:val="hybridMultilevel"/>
    <w:tmpl w:val="64BCE5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3D5E9B"/>
    <w:multiLevelType w:val="hybridMultilevel"/>
    <w:tmpl w:val="BD423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A25F01"/>
    <w:multiLevelType w:val="hybridMultilevel"/>
    <w:tmpl w:val="D5D84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6">
    <w:nsid w:val="45F224A0"/>
    <w:multiLevelType w:val="hybridMultilevel"/>
    <w:tmpl w:val="FC9233D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68E6CA6"/>
    <w:multiLevelType w:val="hybridMultilevel"/>
    <w:tmpl w:val="4040669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C40BF2"/>
    <w:multiLevelType w:val="hybridMultilevel"/>
    <w:tmpl w:val="1CAC4054"/>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0C6842"/>
    <w:multiLevelType w:val="hybridMultilevel"/>
    <w:tmpl w:val="8012A2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F51336"/>
    <w:multiLevelType w:val="hybridMultilevel"/>
    <w:tmpl w:val="6660C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DC5F26"/>
    <w:multiLevelType w:val="hybridMultilevel"/>
    <w:tmpl w:val="AD8C45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55C48C4"/>
    <w:multiLevelType w:val="hybridMultilevel"/>
    <w:tmpl w:val="97DAF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5F121C5"/>
    <w:multiLevelType w:val="hybridMultilevel"/>
    <w:tmpl w:val="6AB62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4">
    <w:nsid w:val="6CF54155"/>
    <w:multiLevelType w:val="hybridMultilevel"/>
    <w:tmpl w:val="2B1677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2E6760"/>
    <w:multiLevelType w:val="hybridMultilevel"/>
    <w:tmpl w:val="6D26C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3161033">
    <w:abstractNumId w:val="13"/>
  </w:num>
  <w:num w:numId="2" w16cid:durableId="275186844">
    <w:abstractNumId w:val="21"/>
  </w:num>
  <w:num w:numId="3" w16cid:durableId="1545752821">
    <w:abstractNumId w:val="23"/>
  </w:num>
  <w:num w:numId="4" w16cid:durableId="480804354">
    <w:abstractNumId w:val="15"/>
  </w:num>
  <w:num w:numId="5" w16cid:durableId="190077126">
    <w:abstractNumId w:val="2"/>
  </w:num>
  <w:num w:numId="6" w16cid:durableId="364058300">
    <w:abstractNumId w:val="12"/>
  </w:num>
  <w:num w:numId="7" w16cid:durableId="1894079161">
    <w:abstractNumId w:val="19"/>
  </w:num>
  <w:num w:numId="8" w16cid:durableId="1828135012">
    <w:abstractNumId w:val="25"/>
  </w:num>
  <w:num w:numId="9" w16cid:durableId="1575508069">
    <w:abstractNumId w:val="10"/>
  </w:num>
  <w:num w:numId="10" w16cid:durableId="1497456269">
    <w:abstractNumId w:val="17"/>
  </w:num>
  <w:num w:numId="11" w16cid:durableId="383793392">
    <w:abstractNumId w:val="18"/>
  </w:num>
  <w:num w:numId="12" w16cid:durableId="1098403009">
    <w:abstractNumId w:val="5"/>
  </w:num>
  <w:num w:numId="13" w16cid:durableId="1600141427">
    <w:abstractNumId w:val="11"/>
  </w:num>
  <w:num w:numId="14" w16cid:durableId="1523203666">
    <w:abstractNumId w:val="22"/>
  </w:num>
  <w:num w:numId="15" w16cid:durableId="273826709">
    <w:abstractNumId w:val="24"/>
  </w:num>
  <w:num w:numId="16" w16cid:durableId="603346304">
    <w:abstractNumId w:val="20"/>
  </w:num>
  <w:num w:numId="17" w16cid:durableId="1239553982">
    <w:abstractNumId w:val="9"/>
  </w:num>
  <w:num w:numId="18" w16cid:durableId="1161241803">
    <w:abstractNumId w:val="7"/>
  </w:num>
  <w:num w:numId="19" w16cid:durableId="1824472125">
    <w:abstractNumId w:val="14"/>
  </w:num>
  <w:num w:numId="20" w16cid:durableId="67070515">
    <w:abstractNumId w:val="3"/>
  </w:num>
  <w:num w:numId="21" w16cid:durableId="198057952">
    <w:abstractNumId w:val="6"/>
  </w:num>
  <w:num w:numId="22" w16cid:durableId="1579286874">
    <w:abstractNumId w:val="1"/>
  </w:num>
  <w:num w:numId="23" w16cid:durableId="496843009">
    <w:abstractNumId w:val="4"/>
  </w:num>
  <w:num w:numId="24" w16cid:durableId="959995306">
    <w:abstractNumId w:val="16"/>
  </w:num>
  <w:num w:numId="25" w16cid:durableId="543248146">
    <w:abstractNumId w:val="8"/>
  </w:num>
  <w:num w:numId="26" w16cid:durableId="99919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FE"/>
    <w:rsid w:val="00007850"/>
    <w:rsid w:val="00010894"/>
    <w:rsid w:val="00010F0C"/>
    <w:rsid w:val="00011B26"/>
    <w:rsid w:val="00011B50"/>
    <w:rsid w:val="00015A43"/>
    <w:rsid w:val="00020A95"/>
    <w:rsid w:val="00021431"/>
    <w:rsid w:val="000257E6"/>
    <w:rsid w:val="00031E05"/>
    <w:rsid w:val="000332E5"/>
    <w:rsid w:val="00033C47"/>
    <w:rsid w:val="00036263"/>
    <w:rsid w:val="00040E32"/>
    <w:rsid w:val="000441CF"/>
    <w:rsid w:val="00050642"/>
    <w:rsid w:val="00051F67"/>
    <w:rsid w:val="00052A23"/>
    <w:rsid w:val="00054AD4"/>
    <w:rsid w:val="000565F7"/>
    <w:rsid w:val="000578C6"/>
    <w:rsid w:val="00057920"/>
    <w:rsid w:val="0006015C"/>
    <w:rsid w:val="000705D5"/>
    <w:rsid w:val="00074981"/>
    <w:rsid w:val="00075846"/>
    <w:rsid w:val="000763DC"/>
    <w:rsid w:val="0008339F"/>
    <w:rsid w:val="00084F0E"/>
    <w:rsid w:val="00090DAC"/>
    <w:rsid w:val="000917D2"/>
    <w:rsid w:val="00091DA1"/>
    <w:rsid w:val="0009555E"/>
    <w:rsid w:val="000A2D9F"/>
    <w:rsid w:val="000A653B"/>
    <w:rsid w:val="000A74D2"/>
    <w:rsid w:val="000B17AE"/>
    <w:rsid w:val="000C4326"/>
    <w:rsid w:val="000C5B41"/>
    <w:rsid w:val="000C65EA"/>
    <w:rsid w:val="000C661D"/>
    <w:rsid w:val="000C74FF"/>
    <w:rsid w:val="000D09D0"/>
    <w:rsid w:val="000D2051"/>
    <w:rsid w:val="000D2B66"/>
    <w:rsid w:val="000D4125"/>
    <w:rsid w:val="000E1503"/>
    <w:rsid w:val="000F3177"/>
    <w:rsid w:val="000F533E"/>
    <w:rsid w:val="000F773A"/>
    <w:rsid w:val="00101392"/>
    <w:rsid w:val="00103BB8"/>
    <w:rsid w:val="001042FF"/>
    <w:rsid w:val="00114688"/>
    <w:rsid w:val="001147A9"/>
    <w:rsid w:val="00115B21"/>
    <w:rsid w:val="001206A5"/>
    <w:rsid w:val="00122253"/>
    <w:rsid w:val="001228AD"/>
    <w:rsid w:val="00131BF8"/>
    <w:rsid w:val="00131DDD"/>
    <w:rsid w:val="0013329A"/>
    <w:rsid w:val="001346B1"/>
    <w:rsid w:val="0015034D"/>
    <w:rsid w:val="00150897"/>
    <w:rsid w:val="001509D7"/>
    <w:rsid w:val="00152E39"/>
    <w:rsid w:val="00161027"/>
    <w:rsid w:val="00164B49"/>
    <w:rsid w:val="0017195B"/>
    <w:rsid w:val="0017236E"/>
    <w:rsid w:val="00176842"/>
    <w:rsid w:val="001773FB"/>
    <w:rsid w:val="00180757"/>
    <w:rsid w:val="00187155"/>
    <w:rsid w:val="001961BB"/>
    <w:rsid w:val="001A1B8C"/>
    <w:rsid w:val="001B2EDC"/>
    <w:rsid w:val="001B4EC6"/>
    <w:rsid w:val="001B5299"/>
    <w:rsid w:val="001C0E49"/>
    <w:rsid w:val="001C5D04"/>
    <w:rsid w:val="001D13F9"/>
    <w:rsid w:val="001D3445"/>
    <w:rsid w:val="001D52BE"/>
    <w:rsid w:val="001D6596"/>
    <w:rsid w:val="001E70B0"/>
    <w:rsid w:val="001E75D8"/>
    <w:rsid w:val="001F0237"/>
    <w:rsid w:val="001F6710"/>
    <w:rsid w:val="001F7E2D"/>
    <w:rsid w:val="00203FE0"/>
    <w:rsid w:val="00204016"/>
    <w:rsid w:val="0020546E"/>
    <w:rsid w:val="00205C1B"/>
    <w:rsid w:val="00210497"/>
    <w:rsid w:val="002115C6"/>
    <w:rsid w:val="00212DDC"/>
    <w:rsid w:val="00216C72"/>
    <w:rsid w:val="00225877"/>
    <w:rsid w:val="0022790C"/>
    <w:rsid w:val="00230FD3"/>
    <w:rsid w:val="002351ED"/>
    <w:rsid w:val="0023554D"/>
    <w:rsid w:val="002379B5"/>
    <w:rsid w:val="0024095E"/>
    <w:rsid w:val="00246523"/>
    <w:rsid w:val="0024731A"/>
    <w:rsid w:val="00262BA3"/>
    <w:rsid w:val="00262C99"/>
    <w:rsid w:val="0026760B"/>
    <w:rsid w:val="0027286D"/>
    <w:rsid w:val="00277583"/>
    <w:rsid w:val="00277731"/>
    <w:rsid w:val="002822C8"/>
    <w:rsid w:val="00282ED3"/>
    <w:rsid w:val="00285679"/>
    <w:rsid w:val="002904CD"/>
    <w:rsid w:val="00290568"/>
    <w:rsid w:val="00290C48"/>
    <w:rsid w:val="00292EFD"/>
    <w:rsid w:val="00294806"/>
    <w:rsid w:val="002A2B68"/>
    <w:rsid w:val="002A3E0A"/>
    <w:rsid w:val="002A444D"/>
    <w:rsid w:val="002B0015"/>
    <w:rsid w:val="002B2442"/>
    <w:rsid w:val="002B3B6F"/>
    <w:rsid w:val="002B49CC"/>
    <w:rsid w:val="002B7CBC"/>
    <w:rsid w:val="002C3243"/>
    <w:rsid w:val="002C3567"/>
    <w:rsid w:val="002C7A3F"/>
    <w:rsid w:val="002D67AC"/>
    <w:rsid w:val="002D6940"/>
    <w:rsid w:val="002D6CF0"/>
    <w:rsid w:val="002D6FA4"/>
    <w:rsid w:val="002E216C"/>
    <w:rsid w:val="002E54CF"/>
    <w:rsid w:val="002F03B6"/>
    <w:rsid w:val="002F1E6F"/>
    <w:rsid w:val="002F1F02"/>
    <w:rsid w:val="002F4370"/>
    <w:rsid w:val="002F591E"/>
    <w:rsid w:val="002F5A2D"/>
    <w:rsid w:val="00304F19"/>
    <w:rsid w:val="003053C7"/>
    <w:rsid w:val="00305827"/>
    <w:rsid w:val="00306329"/>
    <w:rsid w:val="00312137"/>
    <w:rsid w:val="00312216"/>
    <w:rsid w:val="0031462B"/>
    <w:rsid w:val="00316919"/>
    <w:rsid w:val="00316B8C"/>
    <w:rsid w:val="003206B1"/>
    <w:rsid w:val="00321DEC"/>
    <w:rsid w:val="00324AED"/>
    <w:rsid w:val="00324DA5"/>
    <w:rsid w:val="00330FFD"/>
    <w:rsid w:val="00331450"/>
    <w:rsid w:val="00332ED1"/>
    <w:rsid w:val="003340CA"/>
    <w:rsid w:val="003369E3"/>
    <w:rsid w:val="003505F8"/>
    <w:rsid w:val="00352FEC"/>
    <w:rsid w:val="00354AFF"/>
    <w:rsid w:val="00355A3B"/>
    <w:rsid w:val="00361149"/>
    <w:rsid w:val="003613B0"/>
    <w:rsid w:val="00361423"/>
    <w:rsid w:val="0036275D"/>
    <w:rsid w:val="003724B9"/>
    <w:rsid w:val="00386D90"/>
    <w:rsid w:val="00391EB0"/>
    <w:rsid w:val="00395C92"/>
    <w:rsid w:val="00397F34"/>
    <w:rsid w:val="003A44EC"/>
    <w:rsid w:val="003A4F9E"/>
    <w:rsid w:val="003B0336"/>
    <w:rsid w:val="003B052E"/>
    <w:rsid w:val="003B3570"/>
    <w:rsid w:val="003B728A"/>
    <w:rsid w:val="003B7512"/>
    <w:rsid w:val="003C19A3"/>
    <w:rsid w:val="003D4814"/>
    <w:rsid w:val="003D61DE"/>
    <w:rsid w:val="003E0481"/>
    <w:rsid w:val="003E6C51"/>
    <w:rsid w:val="003E706E"/>
    <w:rsid w:val="003F4EB9"/>
    <w:rsid w:val="003F6D04"/>
    <w:rsid w:val="00402A3E"/>
    <w:rsid w:val="0040440F"/>
    <w:rsid w:val="00404A21"/>
    <w:rsid w:val="004063D6"/>
    <w:rsid w:val="00411328"/>
    <w:rsid w:val="004133EB"/>
    <w:rsid w:val="00420492"/>
    <w:rsid w:val="00423C6D"/>
    <w:rsid w:val="00425AF8"/>
    <w:rsid w:val="00426E3A"/>
    <w:rsid w:val="00442767"/>
    <w:rsid w:val="0044582E"/>
    <w:rsid w:val="00450FF0"/>
    <w:rsid w:val="00453001"/>
    <w:rsid w:val="00455943"/>
    <w:rsid w:val="004602EE"/>
    <w:rsid w:val="00463AF9"/>
    <w:rsid w:val="004646FC"/>
    <w:rsid w:val="00464EBA"/>
    <w:rsid w:val="00467670"/>
    <w:rsid w:val="00470A56"/>
    <w:rsid w:val="00470C8A"/>
    <w:rsid w:val="004752D1"/>
    <w:rsid w:val="004800C9"/>
    <w:rsid w:val="00482148"/>
    <w:rsid w:val="004858F4"/>
    <w:rsid w:val="00490327"/>
    <w:rsid w:val="0049180F"/>
    <w:rsid w:val="0049310F"/>
    <w:rsid w:val="004962D8"/>
    <w:rsid w:val="00496F89"/>
    <w:rsid w:val="00497092"/>
    <w:rsid w:val="004A4B40"/>
    <w:rsid w:val="004B53C2"/>
    <w:rsid w:val="004C15BA"/>
    <w:rsid w:val="004C2874"/>
    <w:rsid w:val="004C45B2"/>
    <w:rsid w:val="004C5DEF"/>
    <w:rsid w:val="004C76FC"/>
    <w:rsid w:val="004E2462"/>
    <w:rsid w:val="004E4256"/>
    <w:rsid w:val="004E4673"/>
    <w:rsid w:val="004E4933"/>
    <w:rsid w:val="004F6CDC"/>
    <w:rsid w:val="0052508D"/>
    <w:rsid w:val="00532EF9"/>
    <w:rsid w:val="00534BA9"/>
    <w:rsid w:val="00544FE9"/>
    <w:rsid w:val="00554669"/>
    <w:rsid w:val="00555366"/>
    <w:rsid w:val="00561E91"/>
    <w:rsid w:val="005752DA"/>
    <w:rsid w:val="005804DC"/>
    <w:rsid w:val="00585E69"/>
    <w:rsid w:val="005922B7"/>
    <w:rsid w:val="00593B56"/>
    <w:rsid w:val="005A0B53"/>
    <w:rsid w:val="005A2F88"/>
    <w:rsid w:val="005A5565"/>
    <w:rsid w:val="005A714B"/>
    <w:rsid w:val="005B2083"/>
    <w:rsid w:val="005B2A16"/>
    <w:rsid w:val="005C5251"/>
    <w:rsid w:val="005D2171"/>
    <w:rsid w:val="005D21C0"/>
    <w:rsid w:val="005D2A8E"/>
    <w:rsid w:val="005D5DC8"/>
    <w:rsid w:val="005E06EB"/>
    <w:rsid w:val="005E0AD8"/>
    <w:rsid w:val="005E12A2"/>
    <w:rsid w:val="005E6BEF"/>
    <w:rsid w:val="005F2F49"/>
    <w:rsid w:val="005F6308"/>
    <w:rsid w:val="00602502"/>
    <w:rsid w:val="00602E13"/>
    <w:rsid w:val="00604B6B"/>
    <w:rsid w:val="006072EB"/>
    <w:rsid w:val="0061110B"/>
    <w:rsid w:val="006117A8"/>
    <w:rsid w:val="006156C6"/>
    <w:rsid w:val="00620435"/>
    <w:rsid w:val="00621656"/>
    <w:rsid w:val="00627A4C"/>
    <w:rsid w:val="00627A92"/>
    <w:rsid w:val="00636423"/>
    <w:rsid w:val="00640EFF"/>
    <w:rsid w:val="0064757F"/>
    <w:rsid w:val="00654EC2"/>
    <w:rsid w:val="00656444"/>
    <w:rsid w:val="00656C79"/>
    <w:rsid w:val="00661F88"/>
    <w:rsid w:val="006637EB"/>
    <w:rsid w:val="00672950"/>
    <w:rsid w:val="0067465F"/>
    <w:rsid w:val="00681520"/>
    <w:rsid w:val="00684A51"/>
    <w:rsid w:val="006957D0"/>
    <w:rsid w:val="006A0620"/>
    <w:rsid w:val="006A3EA0"/>
    <w:rsid w:val="006B21C6"/>
    <w:rsid w:val="006B33C5"/>
    <w:rsid w:val="006C0CE9"/>
    <w:rsid w:val="006C1144"/>
    <w:rsid w:val="006C3693"/>
    <w:rsid w:val="006D35A9"/>
    <w:rsid w:val="006D3DFA"/>
    <w:rsid w:val="006D40D1"/>
    <w:rsid w:val="006D4C61"/>
    <w:rsid w:val="006D7463"/>
    <w:rsid w:val="006D7DDC"/>
    <w:rsid w:val="006E1570"/>
    <w:rsid w:val="006E1EC3"/>
    <w:rsid w:val="006E7F32"/>
    <w:rsid w:val="006F3158"/>
    <w:rsid w:val="006F6CE5"/>
    <w:rsid w:val="00703A6D"/>
    <w:rsid w:val="0070457E"/>
    <w:rsid w:val="00713518"/>
    <w:rsid w:val="00725889"/>
    <w:rsid w:val="00727704"/>
    <w:rsid w:val="007301FD"/>
    <w:rsid w:val="007307FB"/>
    <w:rsid w:val="007315B9"/>
    <w:rsid w:val="00732281"/>
    <w:rsid w:val="007327F8"/>
    <w:rsid w:val="007359CC"/>
    <w:rsid w:val="00737B74"/>
    <w:rsid w:val="00740515"/>
    <w:rsid w:val="00740567"/>
    <w:rsid w:val="00740D8D"/>
    <w:rsid w:val="00743E80"/>
    <w:rsid w:val="007459F3"/>
    <w:rsid w:val="00750438"/>
    <w:rsid w:val="00752215"/>
    <w:rsid w:val="007552ED"/>
    <w:rsid w:val="00756EBC"/>
    <w:rsid w:val="00761530"/>
    <w:rsid w:val="00761772"/>
    <w:rsid w:val="00763805"/>
    <w:rsid w:val="00763CF3"/>
    <w:rsid w:val="00770D29"/>
    <w:rsid w:val="00771F1B"/>
    <w:rsid w:val="00772679"/>
    <w:rsid w:val="00774A6C"/>
    <w:rsid w:val="00775539"/>
    <w:rsid w:val="00775A45"/>
    <w:rsid w:val="007866A0"/>
    <w:rsid w:val="007876DF"/>
    <w:rsid w:val="0079364F"/>
    <w:rsid w:val="00793DEA"/>
    <w:rsid w:val="007948E8"/>
    <w:rsid w:val="00797748"/>
    <w:rsid w:val="007A44C9"/>
    <w:rsid w:val="007A4D4D"/>
    <w:rsid w:val="007A59E3"/>
    <w:rsid w:val="007A621A"/>
    <w:rsid w:val="007A6858"/>
    <w:rsid w:val="007A7D18"/>
    <w:rsid w:val="007B00F3"/>
    <w:rsid w:val="007B090C"/>
    <w:rsid w:val="007B25B7"/>
    <w:rsid w:val="007B2716"/>
    <w:rsid w:val="007B53C4"/>
    <w:rsid w:val="007C1630"/>
    <w:rsid w:val="007C2DA0"/>
    <w:rsid w:val="007C2F34"/>
    <w:rsid w:val="007C5BE7"/>
    <w:rsid w:val="007C691E"/>
    <w:rsid w:val="007C698D"/>
    <w:rsid w:val="007D2659"/>
    <w:rsid w:val="007D7A4F"/>
    <w:rsid w:val="007E0C7D"/>
    <w:rsid w:val="007E464B"/>
    <w:rsid w:val="007E7E95"/>
    <w:rsid w:val="007F1A68"/>
    <w:rsid w:val="007F696F"/>
    <w:rsid w:val="008017F0"/>
    <w:rsid w:val="00802649"/>
    <w:rsid w:val="008108D8"/>
    <w:rsid w:val="00813315"/>
    <w:rsid w:val="00816E83"/>
    <w:rsid w:val="00822BF5"/>
    <w:rsid w:val="008245F7"/>
    <w:rsid w:val="008260A9"/>
    <w:rsid w:val="008262DD"/>
    <w:rsid w:val="00836BDB"/>
    <w:rsid w:val="00845BBC"/>
    <w:rsid w:val="0084601D"/>
    <w:rsid w:val="008506DF"/>
    <w:rsid w:val="00852EA6"/>
    <w:rsid w:val="00853739"/>
    <w:rsid w:val="008557BB"/>
    <w:rsid w:val="00857852"/>
    <w:rsid w:val="00857A01"/>
    <w:rsid w:val="0086148D"/>
    <w:rsid w:val="008638F6"/>
    <w:rsid w:val="008720D6"/>
    <w:rsid w:val="00884709"/>
    <w:rsid w:val="0088485D"/>
    <w:rsid w:val="00887A2D"/>
    <w:rsid w:val="00887F1D"/>
    <w:rsid w:val="00891E60"/>
    <w:rsid w:val="00893F11"/>
    <w:rsid w:val="008957CB"/>
    <w:rsid w:val="00897D37"/>
    <w:rsid w:val="008B7208"/>
    <w:rsid w:val="008C2FEC"/>
    <w:rsid w:val="008C40CA"/>
    <w:rsid w:val="008C777C"/>
    <w:rsid w:val="008D0353"/>
    <w:rsid w:val="008D328A"/>
    <w:rsid w:val="008D4DD5"/>
    <w:rsid w:val="008D62A2"/>
    <w:rsid w:val="008D63FE"/>
    <w:rsid w:val="008D776F"/>
    <w:rsid w:val="008E2CD4"/>
    <w:rsid w:val="008E79DD"/>
    <w:rsid w:val="008F0F72"/>
    <w:rsid w:val="008F34D0"/>
    <w:rsid w:val="008F7D1C"/>
    <w:rsid w:val="0090039E"/>
    <w:rsid w:val="009010EA"/>
    <w:rsid w:val="00902C91"/>
    <w:rsid w:val="00902DD1"/>
    <w:rsid w:val="00902FAC"/>
    <w:rsid w:val="0090368F"/>
    <w:rsid w:val="00903A0B"/>
    <w:rsid w:val="00913E50"/>
    <w:rsid w:val="0091676D"/>
    <w:rsid w:val="0092053F"/>
    <w:rsid w:val="0092118B"/>
    <w:rsid w:val="009232EF"/>
    <w:rsid w:val="009252D5"/>
    <w:rsid w:val="00934127"/>
    <w:rsid w:val="00934C11"/>
    <w:rsid w:val="009355C6"/>
    <w:rsid w:val="00936BFC"/>
    <w:rsid w:val="009463E0"/>
    <w:rsid w:val="00955FD4"/>
    <w:rsid w:val="00957A00"/>
    <w:rsid w:val="00961B2A"/>
    <w:rsid w:val="00976641"/>
    <w:rsid w:val="00980709"/>
    <w:rsid w:val="00985DFC"/>
    <w:rsid w:val="00991CF1"/>
    <w:rsid w:val="00992229"/>
    <w:rsid w:val="0099534C"/>
    <w:rsid w:val="00997A3D"/>
    <w:rsid w:val="009A10C1"/>
    <w:rsid w:val="009A176B"/>
    <w:rsid w:val="009A5CFF"/>
    <w:rsid w:val="009B4B16"/>
    <w:rsid w:val="009C05DE"/>
    <w:rsid w:val="009E37BC"/>
    <w:rsid w:val="009E6486"/>
    <w:rsid w:val="009E7934"/>
    <w:rsid w:val="009F2C93"/>
    <w:rsid w:val="00A01D1F"/>
    <w:rsid w:val="00A01DA7"/>
    <w:rsid w:val="00A05E69"/>
    <w:rsid w:val="00A11D51"/>
    <w:rsid w:val="00A15BF9"/>
    <w:rsid w:val="00A1757D"/>
    <w:rsid w:val="00A201DB"/>
    <w:rsid w:val="00A208BE"/>
    <w:rsid w:val="00A237E4"/>
    <w:rsid w:val="00A32655"/>
    <w:rsid w:val="00A336D5"/>
    <w:rsid w:val="00A46FE1"/>
    <w:rsid w:val="00A51C0B"/>
    <w:rsid w:val="00A60C28"/>
    <w:rsid w:val="00A61374"/>
    <w:rsid w:val="00A6262D"/>
    <w:rsid w:val="00A66510"/>
    <w:rsid w:val="00A72A1F"/>
    <w:rsid w:val="00A74614"/>
    <w:rsid w:val="00A74F77"/>
    <w:rsid w:val="00A822D4"/>
    <w:rsid w:val="00A843AF"/>
    <w:rsid w:val="00A84E23"/>
    <w:rsid w:val="00A8687E"/>
    <w:rsid w:val="00A875E0"/>
    <w:rsid w:val="00A9176C"/>
    <w:rsid w:val="00A96BBB"/>
    <w:rsid w:val="00A96E16"/>
    <w:rsid w:val="00AB3689"/>
    <w:rsid w:val="00AB62BC"/>
    <w:rsid w:val="00AC1919"/>
    <w:rsid w:val="00AC23AA"/>
    <w:rsid w:val="00AD0460"/>
    <w:rsid w:val="00AD21A2"/>
    <w:rsid w:val="00AD35BD"/>
    <w:rsid w:val="00AD557B"/>
    <w:rsid w:val="00AD60AB"/>
    <w:rsid w:val="00AE1C01"/>
    <w:rsid w:val="00AE2078"/>
    <w:rsid w:val="00AE39BD"/>
    <w:rsid w:val="00AF7482"/>
    <w:rsid w:val="00B03099"/>
    <w:rsid w:val="00B051CE"/>
    <w:rsid w:val="00B10B84"/>
    <w:rsid w:val="00B12978"/>
    <w:rsid w:val="00B12C62"/>
    <w:rsid w:val="00B159BB"/>
    <w:rsid w:val="00B179D5"/>
    <w:rsid w:val="00B211AE"/>
    <w:rsid w:val="00B212C4"/>
    <w:rsid w:val="00B2279B"/>
    <w:rsid w:val="00B22883"/>
    <w:rsid w:val="00B25D23"/>
    <w:rsid w:val="00B27AC6"/>
    <w:rsid w:val="00B31B58"/>
    <w:rsid w:val="00B427F0"/>
    <w:rsid w:val="00B42A6E"/>
    <w:rsid w:val="00B42F2A"/>
    <w:rsid w:val="00B44DC7"/>
    <w:rsid w:val="00B53505"/>
    <w:rsid w:val="00B54836"/>
    <w:rsid w:val="00B6098D"/>
    <w:rsid w:val="00B62C9F"/>
    <w:rsid w:val="00B63DDD"/>
    <w:rsid w:val="00B65DA8"/>
    <w:rsid w:val="00B66899"/>
    <w:rsid w:val="00B6723C"/>
    <w:rsid w:val="00B7388F"/>
    <w:rsid w:val="00B73ED1"/>
    <w:rsid w:val="00B750CC"/>
    <w:rsid w:val="00B85804"/>
    <w:rsid w:val="00B861B8"/>
    <w:rsid w:val="00B8707C"/>
    <w:rsid w:val="00B92DB3"/>
    <w:rsid w:val="00B96033"/>
    <w:rsid w:val="00B96B51"/>
    <w:rsid w:val="00B96CFE"/>
    <w:rsid w:val="00B972BB"/>
    <w:rsid w:val="00BA73FE"/>
    <w:rsid w:val="00BB0011"/>
    <w:rsid w:val="00BB1C9A"/>
    <w:rsid w:val="00BB54C3"/>
    <w:rsid w:val="00BC1FAD"/>
    <w:rsid w:val="00BC20FE"/>
    <w:rsid w:val="00BC4DA0"/>
    <w:rsid w:val="00BD2062"/>
    <w:rsid w:val="00BD491D"/>
    <w:rsid w:val="00BE09E4"/>
    <w:rsid w:val="00BE60F2"/>
    <w:rsid w:val="00BE73EC"/>
    <w:rsid w:val="00BF0F8F"/>
    <w:rsid w:val="00BF2A07"/>
    <w:rsid w:val="00BF3716"/>
    <w:rsid w:val="00BF47F2"/>
    <w:rsid w:val="00BF79E4"/>
    <w:rsid w:val="00C003E7"/>
    <w:rsid w:val="00C011BB"/>
    <w:rsid w:val="00C01A6F"/>
    <w:rsid w:val="00C120C3"/>
    <w:rsid w:val="00C170DD"/>
    <w:rsid w:val="00C17220"/>
    <w:rsid w:val="00C17A37"/>
    <w:rsid w:val="00C21C7B"/>
    <w:rsid w:val="00C277D1"/>
    <w:rsid w:val="00C35E8E"/>
    <w:rsid w:val="00C423BF"/>
    <w:rsid w:val="00C433AC"/>
    <w:rsid w:val="00C44D33"/>
    <w:rsid w:val="00C465A9"/>
    <w:rsid w:val="00C47222"/>
    <w:rsid w:val="00C50ACD"/>
    <w:rsid w:val="00C542DC"/>
    <w:rsid w:val="00C57544"/>
    <w:rsid w:val="00C616F0"/>
    <w:rsid w:val="00C63EC6"/>
    <w:rsid w:val="00C648F2"/>
    <w:rsid w:val="00C672FF"/>
    <w:rsid w:val="00C757F4"/>
    <w:rsid w:val="00C76C91"/>
    <w:rsid w:val="00C80336"/>
    <w:rsid w:val="00C862F6"/>
    <w:rsid w:val="00C92C38"/>
    <w:rsid w:val="00C94EE3"/>
    <w:rsid w:val="00C96E0B"/>
    <w:rsid w:val="00C97165"/>
    <w:rsid w:val="00C973CA"/>
    <w:rsid w:val="00CA1337"/>
    <w:rsid w:val="00CA1F5D"/>
    <w:rsid w:val="00CA4EE4"/>
    <w:rsid w:val="00CA5FAA"/>
    <w:rsid w:val="00CA7397"/>
    <w:rsid w:val="00CA7F4C"/>
    <w:rsid w:val="00CB2B4D"/>
    <w:rsid w:val="00CC07DC"/>
    <w:rsid w:val="00CC0D4E"/>
    <w:rsid w:val="00CC1229"/>
    <w:rsid w:val="00CC1939"/>
    <w:rsid w:val="00CC1F67"/>
    <w:rsid w:val="00CC2AEE"/>
    <w:rsid w:val="00CC6CF2"/>
    <w:rsid w:val="00CD1FD6"/>
    <w:rsid w:val="00CD4649"/>
    <w:rsid w:val="00CE6DFA"/>
    <w:rsid w:val="00CE79D5"/>
    <w:rsid w:val="00CE7AC4"/>
    <w:rsid w:val="00CF6927"/>
    <w:rsid w:val="00D035F6"/>
    <w:rsid w:val="00D04455"/>
    <w:rsid w:val="00D05209"/>
    <w:rsid w:val="00D0639B"/>
    <w:rsid w:val="00D06DAB"/>
    <w:rsid w:val="00D117F3"/>
    <w:rsid w:val="00D140F2"/>
    <w:rsid w:val="00D20874"/>
    <w:rsid w:val="00D332E1"/>
    <w:rsid w:val="00D36DB8"/>
    <w:rsid w:val="00D41CE5"/>
    <w:rsid w:val="00D509C9"/>
    <w:rsid w:val="00D611EA"/>
    <w:rsid w:val="00D61310"/>
    <w:rsid w:val="00D63288"/>
    <w:rsid w:val="00D70A1D"/>
    <w:rsid w:val="00D70E0E"/>
    <w:rsid w:val="00D74B2D"/>
    <w:rsid w:val="00D80D61"/>
    <w:rsid w:val="00D84756"/>
    <w:rsid w:val="00D861A3"/>
    <w:rsid w:val="00D86E7C"/>
    <w:rsid w:val="00D915BC"/>
    <w:rsid w:val="00D93CC7"/>
    <w:rsid w:val="00D95919"/>
    <w:rsid w:val="00D968DC"/>
    <w:rsid w:val="00DA2B55"/>
    <w:rsid w:val="00DA4587"/>
    <w:rsid w:val="00DA51C6"/>
    <w:rsid w:val="00DB09A1"/>
    <w:rsid w:val="00DC295A"/>
    <w:rsid w:val="00DD0C8D"/>
    <w:rsid w:val="00DD1EB6"/>
    <w:rsid w:val="00DD1FB2"/>
    <w:rsid w:val="00DD75F0"/>
    <w:rsid w:val="00DE70D7"/>
    <w:rsid w:val="00DF152D"/>
    <w:rsid w:val="00E068F1"/>
    <w:rsid w:val="00E22E3D"/>
    <w:rsid w:val="00E22ED9"/>
    <w:rsid w:val="00E25D7F"/>
    <w:rsid w:val="00E27DB2"/>
    <w:rsid w:val="00E27F92"/>
    <w:rsid w:val="00E369E4"/>
    <w:rsid w:val="00E379DB"/>
    <w:rsid w:val="00E412C6"/>
    <w:rsid w:val="00E46140"/>
    <w:rsid w:val="00E465F2"/>
    <w:rsid w:val="00E501BD"/>
    <w:rsid w:val="00E507F7"/>
    <w:rsid w:val="00E52DBC"/>
    <w:rsid w:val="00E602DF"/>
    <w:rsid w:val="00E60C20"/>
    <w:rsid w:val="00E62903"/>
    <w:rsid w:val="00E71B06"/>
    <w:rsid w:val="00E757BF"/>
    <w:rsid w:val="00E75CDC"/>
    <w:rsid w:val="00E80691"/>
    <w:rsid w:val="00E82A81"/>
    <w:rsid w:val="00E85A84"/>
    <w:rsid w:val="00E90D5F"/>
    <w:rsid w:val="00E93A41"/>
    <w:rsid w:val="00E93EBB"/>
    <w:rsid w:val="00E94B2C"/>
    <w:rsid w:val="00EA0AE0"/>
    <w:rsid w:val="00EA7CF5"/>
    <w:rsid w:val="00EB2AFE"/>
    <w:rsid w:val="00ED3409"/>
    <w:rsid w:val="00ED483C"/>
    <w:rsid w:val="00ED7492"/>
    <w:rsid w:val="00EE0163"/>
    <w:rsid w:val="00EE04F0"/>
    <w:rsid w:val="00EF2CEE"/>
    <w:rsid w:val="00EF35BF"/>
    <w:rsid w:val="00F02897"/>
    <w:rsid w:val="00F02B1C"/>
    <w:rsid w:val="00F0434B"/>
    <w:rsid w:val="00F04A9D"/>
    <w:rsid w:val="00F04E36"/>
    <w:rsid w:val="00F051CB"/>
    <w:rsid w:val="00F0599E"/>
    <w:rsid w:val="00F11415"/>
    <w:rsid w:val="00F12C2A"/>
    <w:rsid w:val="00F175E1"/>
    <w:rsid w:val="00F1763C"/>
    <w:rsid w:val="00F25B98"/>
    <w:rsid w:val="00F31DF2"/>
    <w:rsid w:val="00F33011"/>
    <w:rsid w:val="00F421F7"/>
    <w:rsid w:val="00F45484"/>
    <w:rsid w:val="00F46368"/>
    <w:rsid w:val="00F672DE"/>
    <w:rsid w:val="00F70B03"/>
    <w:rsid w:val="00F71FED"/>
    <w:rsid w:val="00F736B9"/>
    <w:rsid w:val="00F75674"/>
    <w:rsid w:val="00F81376"/>
    <w:rsid w:val="00F85E4F"/>
    <w:rsid w:val="00F87B1E"/>
    <w:rsid w:val="00FA1FCB"/>
    <w:rsid w:val="00FA336E"/>
    <w:rsid w:val="00FA55E1"/>
    <w:rsid w:val="00FA5E84"/>
    <w:rsid w:val="00FA674D"/>
    <w:rsid w:val="00FA7CE1"/>
    <w:rsid w:val="00FD415B"/>
    <w:rsid w:val="00FD455D"/>
    <w:rsid w:val="00FD46F5"/>
    <w:rsid w:val="00FD662F"/>
    <w:rsid w:val="00FE5A50"/>
    <w:rsid w:val="00FF2431"/>
    <w:rsid w:val="00FF57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DBFD04"/>
  <w15:chartTrackingRefBased/>
  <w15:docId w15:val="{9B25DB56-B5B8-4434-8818-1712E5B2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0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672DE"/>
    <w:pPr>
      <w:spacing w:after="240" w:line="276" w:lineRule="auto"/>
      <w:outlineLvl w:val="0"/>
    </w:pPr>
    <w:rPr>
      <w:b/>
      <w:bCs/>
    </w:rPr>
  </w:style>
  <w:style w:type="paragraph" w:styleId="Heading2">
    <w:name w:val="heading 2"/>
    <w:basedOn w:val="Normal"/>
    <w:next w:val="Normal"/>
    <w:link w:val="Heading2Char"/>
    <w:uiPriority w:val="9"/>
    <w:unhideWhenUsed/>
    <w:qFormat/>
    <w:rsid w:val="000833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qFormat/>
    <w:rsid w:val="00BC20FE"/>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C20FE"/>
    <w:rPr>
      <w:rFonts w:ascii="Times New Roman" w:eastAsia="Times New Roman" w:hAnsi="Times New Roman" w:cs="Times New Roman"/>
      <w:b/>
      <w:bCs/>
      <w:sz w:val="24"/>
      <w:szCs w:val="24"/>
    </w:rPr>
  </w:style>
  <w:style w:type="paragraph" w:styleId="BodyText3">
    <w:name w:val="Body Text 3"/>
    <w:basedOn w:val="Normal"/>
    <w:link w:val="BodyText3Char"/>
    <w:semiHidden/>
    <w:rsid w:val="00BC20FE"/>
    <w:rPr>
      <w:rFonts w:ascii="Times" w:hAnsi="Times"/>
      <w:sz w:val="28"/>
      <w:szCs w:val="20"/>
    </w:rPr>
  </w:style>
  <w:style w:type="character" w:customStyle="1" w:styleId="BodyText3Char">
    <w:name w:val="Body Text 3 Char"/>
    <w:basedOn w:val="DefaultParagraphFont"/>
    <w:link w:val="BodyText3"/>
    <w:semiHidden/>
    <w:rsid w:val="00BC20FE"/>
    <w:rPr>
      <w:rFonts w:ascii="Times" w:eastAsia="Times New Roman" w:hAnsi="Times" w:cs="Times New Roman"/>
      <w:sz w:val="28"/>
      <w:szCs w:val="20"/>
    </w:rPr>
  </w:style>
  <w:style w:type="paragraph" w:customStyle="1" w:styleId="Cov-Title">
    <w:name w:val="Cov-Title"/>
    <w:basedOn w:val="Normal"/>
    <w:uiPriority w:val="99"/>
    <w:rsid w:val="00BC20FE"/>
    <w:pPr>
      <w:jc w:val="right"/>
    </w:pPr>
    <w:rPr>
      <w:rFonts w:ascii="Arial Black" w:hAnsi="Arial Black"/>
      <w:sz w:val="40"/>
      <w:szCs w:val="20"/>
    </w:rPr>
  </w:style>
  <w:style w:type="paragraph" w:styleId="ListParagraph">
    <w:name w:val="List Paragraph"/>
    <w:basedOn w:val="Normal"/>
    <w:uiPriority w:val="34"/>
    <w:qFormat/>
    <w:rsid w:val="00386D90"/>
    <w:pPr>
      <w:ind w:left="720"/>
      <w:contextualSpacing/>
    </w:pPr>
  </w:style>
  <w:style w:type="character" w:styleId="CommentReference">
    <w:name w:val="annotation reference"/>
    <w:basedOn w:val="DefaultParagraphFont"/>
    <w:uiPriority w:val="99"/>
    <w:semiHidden/>
    <w:unhideWhenUsed/>
    <w:rsid w:val="002C3567"/>
    <w:rPr>
      <w:sz w:val="16"/>
      <w:szCs w:val="16"/>
    </w:rPr>
  </w:style>
  <w:style w:type="paragraph" w:styleId="CommentText">
    <w:name w:val="annotation text"/>
    <w:basedOn w:val="Normal"/>
    <w:link w:val="CommentTextChar"/>
    <w:uiPriority w:val="99"/>
    <w:unhideWhenUsed/>
    <w:rsid w:val="002C3567"/>
    <w:rPr>
      <w:sz w:val="20"/>
      <w:szCs w:val="20"/>
    </w:rPr>
  </w:style>
  <w:style w:type="character" w:customStyle="1" w:styleId="CommentTextChar">
    <w:name w:val="Comment Text Char"/>
    <w:basedOn w:val="DefaultParagraphFont"/>
    <w:link w:val="CommentText"/>
    <w:uiPriority w:val="99"/>
    <w:rsid w:val="002C35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567"/>
    <w:rPr>
      <w:b/>
      <w:bCs/>
    </w:rPr>
  </w:style>
  <w:style w:type="character" w:customStyle="1" w:styleId="CommentSubjectChar">
    <w:name w:val="Comment Subject Char"/>
    <w:basedOn w:val="CommentTextChar"/>
    <w:link w:val="CommentSubject"/>
    <w:uiPriority w:val="99"/>
    <w:semiHidden/>
    <w:rsid w:val="002C35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3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567"/>
    <w:rPr>
      <w:rFonts w:ascii="Segoe UI" w:eastAsia="Times New Roman" w:hAnsi="Segoe UI" w:cs="Segoe UI"/>
      <w:sz w:val="18"/>
      <w:szCs w:val="18"/>
    </w:rPr>
  </w:style>
  <w:style w:type="paragraph" w:styleId="Header">
    <w:name w:val="header"/>
    <w:basedOn w:val="Normal"/>
    <w:link w:val="HeaderChar"/>
    <w:uiPriority w:val="99"/>
    <w:unhideWhenUsed/>
    <w:rsid w:val="00A60C28"/>
    <w:pPr>
      <w:tabs>
        <w:tab w:val="center" w:pos="4680"/>
        <w:tab w:val="right" w:pos="9360"/>
      </w:tabs>
    </w:pPr>
  </w:style>
  <w:style w:type="character" w:customStyle="1" w:styleId="HeaderChar">
    <w:name w:val="Header Char"/>
    <w:basedOn w:val="DefaultParagraphFont"/>
    <w:link w:val="Header"/>
    <w:uiPriority w:val="99"/>
    <w:rsid w:val="00A60C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C28"/>
    <w:pPr>
      <w:tabs>
        <w:tab w:val="center" w:pos="4680"/>
        <w:tab w:val="right" w:pos="9360"/>
      </w:tabs>
    </w:pPr>
  </w:style>
  <w:style w:type="character" w:customStyle="1" w:styleId="FooterChar">
    <w:name w:val="Footer Char"/>
    <w:basedOn w:val="DefaultParagraphFont"/>
    <w:link w:val="Footer"/>
    <w:uiPriority w:val="99"/>
    <w:rsid w:val="00A60C2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1676D"/>
    <w:pPr>
      <w:widowControl w:val="0"/>
      <w:autoSpaceDE w:val="0"/>
      <w:autoSpaceDN w:val="0"/>
      <w:spacing w:before="1"/>
      <w:ind w:left="107"/>
    </w:pPr>
    <w:rPr>
      <w:rFonts w:ascii="Calibri" w:eastAsia="Calibri" w:hAnsi="Calibri" w:cs="Calibri"/>
      <w:sz w:val="22"/>
      <w:szCs w:val="22"/>
    </w:rPr>
  </w:style>
  <w:style w:type="table" w:styleId="TableGrid">
    <w:name w:val="Table Grid"/>
    <w:basedOn w:val="TableNormal"/>
    <w:uiPriority w:val="39"/>
    <w:rsid w:val="006E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374"/>
    <w:rPr>
      <w:color w:val="0563C1" w:themeColor="hyperlink"/>
      <w:u w:val="single"/>
    </w:rPr>
  </w:style>
  <w:style w:type="character" w:styleId="UnresolvedMention">
    <w:name w:val="Unresolved Mention"/>
    <w:basedOn w:val="DefaultParagraphFont"/>
    <w:uiPriority w:val="99"/>
    <w:semiHidden/>
    <w:unhideWhenUsed/>
    <w:rsid w:val="00A61374"/>
    <w:rPr>
      <w:color w:val="605E5C"/>
      <w:shd w:val="clear" w:color="auto" w:fill="E1DFDD"/>
    </w:rPr>
  </w:style>
  <w:style w:type="paragraph" w:styleId="Revision">
    <w:name w:val="Revision"/>
    <w:hidden/>
    <w:uiPriority w:val="99"/>
    <w:semiHidden/>
    <w:rsid w:val="0028567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97165"/>
    <w:rPr>
      <w:color w:val="954F72" w:themeColor="followedHyperlink"/>
      <w:u w:val="single"/>
    </w:rPr>
  </w:style>
  <w:style w:type="character" w:customStyle="1" w:styleId="Heading1Char">
    <w:name w:val="Heading 1 Char"/>
    <w:basedOn w:val="DefaultParagraphFont"/>
    <w:link w:val="Heading1"/>
    <w:uiPriority w:val="9"/>
    <w:rsid w:val="00F672D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8339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2.ed.gov/about/inits/ed/edfacts/index.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PublishingExpirationDate xmlns="http://schemas.microsoft.com/sharepoint/v3" xsi:nil="true"/>
    <PublishingStartDate xmlns="http://schemas.microsoft.com/sharepoint/v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7" ma:contentTypeDescription="Create a new document." ma:contentTypeScope="" ma:versionID="fa7d77bff97a508f6e9412c456c70e26">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c21734876ac1b5cb3b8ed04ca5d7a1a9"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D122C-DED6-4331-B35B-2831D1FEB2E1}">
  <ds:schemaRefs>
    <ds:schemaRef ds:uri="http://schemas.microsoft.com/sharepoint/v3/contenttype/forms"/>
  </ds:schemaRefs>
</ds:datastoreItem>
</file>

<file path=customXml/itemProps2.xml><?xml version="1.0" encoding="utf-8"?>
<ds:datastoreItem xmlns:ds="http://schemas.openxmlformats.org/officeDocument/2006/customXml" ds:itemID="{32E3271B-06B2-4F8A-A831-C74793A6A1A7}">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3.xml><?xml version="1.0" encoding="utf-8"?>
<ds:datastoreItem xmlns:ds="http://schemas.openxmlformats.org/officeDocument/2006/customXml" ds:itemID="{EEEAC6BC-BA20-40AD-960A-3399B9948967}">
  <ds:schemaRefs>
    <ds:schemaRef ds:uri="http://schemas.openxmlformats.org/officeDocument/2006/bibliography"/>
  </ds:schemaRefs>
</ds:datastoreItem>
</file>

<file path=customXml/itemProps4.xml><?xml version="1.0" encoding="utf-8"?>
<ds:datastoreItem xmlns:ds="http://schemas.openxmlformats.org/officeDocument/2006/customXml" ds:itemID="{B4C005F9-1B90-454D-B812-7B284238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Young</dc:creator>
  <cp:lastModifiedBy>Clarady, Carrie</cp:lastModifiedBy>
  <cp:revision>27</cp:revision>
  <dcterms:created xsi:type="dcterms:W3CDTF">2023-06-15T14:15:00Z</dcterms:created>
  <dcterms:modified xsi:type="dcterms:W3CDTF">2023-06-23T17:38:00Z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property>
  <property fmtid="{D5CDD505-2E9C-101B-9397-08002B2CF9AE}" pid="3" name="Body">
    <vt:lpwstr/>
  </property>
  <property fmtid="{D5CDD505-2E9C-101B-9397-08002B2CF9AE}" pid="4" name="ContentTypeId">
    <vt:lpwstr>0x01010000721A7242F9CD49BD1E05495CEFC5E9</vt:lpwstr>
  </property>
  <property fmtid="{D5CDD505-2E9C-101B-9397-08002B2CF9AE}" pid="5" name="Document Notes">
    <vt:lpwstr/>
  </property>
  <property fmtid="{D5CDD505-2E9C-101B-9397-08002B2CF9AE}" pid="6" name="Document Notes0">
    <vt:lpwstr/>
  </property>
  <property fmtid="{D5CDD505-2E9C-101B-9397-08002B2CF9AE}" pid="7" name="MediaServiceImageTags">
    <vt:lpwstr/>
  </property>
  <property fmtid="{D5CDD505-2E9C-101B-9397-08002B2CF9AE}" pid="8" name="Predecessors">
    <vt:lpwstr/>
  </property>
  <property fmtid="{D5CDD505-2E9C-101B-9397-08002B2CF9AE}" pid="9" name="Priority">
    <vt:lpwstr/>
  </property>
  <property fmtid="{D5CDD505-2E9C-101B-9397-08002B2CF9AE}" pid="10" name="TaskStatus">
    <vt:lpwstr/>
  </property>
  <property fmtid="{D5CDD505-2E9C-101B-9397-08002B2CF9AE}" pid="11" name="WorkflowName">
    <vt:lpwstr/>
  </property>
  <property fmtid="{D5CDD505-2E9C-101B-9397-08002B2CF9AE}" pid="12" name="_dlc_DocIdItemGuid">
    <vt:lpwstr>5c9f724a-39df-432e-b9c5-da8cc7e8ec20</vt:lpwstr>
  </property>
</Properties>
</file>