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654BB32" w:rsidP="7EE103A3" w14:paraId="4729D3F6" w14:textId="03276872">
      <w:pPr>
        <w:jc w:val="center"/>
        <w:rPr>
          <w:rFonts w:ascii="Calibri" w:eastAsia="Calibri" w:hAnsi="Calibri" w:cs="Calibri"/>
          <w:sz w:val="24"/>
          <w:szCs w:val="24"/>
        </w:rPr>
      </w:pPr>
      <w:r w:rsidRPr="439341F7">
        <w:rPr>
          <w:rFonts w:ascii="Calibri" w:eastAsia="Calibri" w:hAnsi="Calibri" w:cs="Calibri"/>
          <w:color w:val="000000" w:themeColor="text1" w:themeShade="FF" w:themeTint="FF"/>
          <w:sz w:val="24"/>
          <w:szCs w:val="24"/>
        </w:rPr>
        <w:t>202</w:t>
      </w:r>
      <w:r w:rsidRPr="439341F7" w:rsidR="5F75F1DA">
        <w:rPr>
          <w:rFonts w:ascii="Calibri" w:eastAsia="Calibri" w:hAnsi="Calibri" w:cs="Calibri"/>
          <w:color w:val="000000" w:themeColor="text1" w:themeShade="FF" w:themeTint="FF"/>
          <w:sz w:val="24"/>
          <w:szCs w:val="24"/>
        </w:rPr>
        <w:t>4</w:t>
      </w:r>
      <w:r w:rsidRPr="439341F7">
        <w:rPr>
          <w:rFonts w:ascii="Calibri" w:eastAsia="Calibri" w:hAnsi="Calibri" w:cs="Calibri"/>
          <w:color w:val="000000" w:themeColor="text1" w:themeShade="FF" w:themeTint="FF"/>
          <w:sz w:val="24"/>
          <w:szCs w:val="24"/>
        </w:rPr>
        <w:t xml:space="preserve"> REACH Lark Award</w:t>
      </w:r>
      <w:r w:rsidRPr="439341F7">
        <w:rPr>
          <w:rFonts w:ascii="Calibri" w:eastAsia="Calibri" w:hAnsi="Calibri" w:cs="Calibri"/>
          <w:color w:val="D13438"/>
          <w:sz w:val="24"/>
          <w:szCs w:val="24"/>
          <w:u w:val="single"/>
        </w:rPr>
        <w:t xml:space="preserve"> </w:t>
      </w:r>
    </w:p>
    <w:p w:rsidR="3654BB32" w:rsidP="7EE103A3" w14:paraId="6F7064B3" w14:textId="750D147E">
      <w:pPr>
        <w:jc w:val="center"/>
        <w:rPr>
          <w:rFonts w:ascii="Calibri" w:eastAsia="Calibri" w:hAnsi="Calibri" w:cs="Calibri"/>
          <w:color w:val="000000" w:themeColor="text1"/>
          <w:sz w:val="24"/>
          <w:szCs w:val="24"/>
        </w:rPr>
      </w:pPr>
      <w:r w:rsidRPr="7EE103A3">
        <w:rPr>
          <w:rFonts w:ascii="Calibri" w:eastAsia="Calibri" w:hAnsi="Calibri" w:cs="Calibri"/>
          <w:color w:val="000000" w:themeColor="text1"/>
          <w:sz w:val="24"/>
          <w:szCs w:val="24"/>
        </w:rPr>
        <w:t xml:space="preserve"> Challenge.gov </w:t>
      </w:r>
      <w:r w:rsidRPr="7EE103A3" w:rsidR="5D3FDC8E">
        <w:rPr>
          <w:rFonts w:ascii="Calibri" w:eastAsia="Calibri" w:hAnsi="Calibri" w:cs="Calibri"/>
          <w:color w:val="000000" w:themeColor="text1"/>
          <w:sz w:val="24"/>
          <w:szCs w:val="24"/>
        </w:rPr>
        <w:t>Posting</w:t>
      </w:r>
    </w:p>
    <w:p w:rsidR="7EE103A3" w:rsidP="439341F7" w14:paraId="4C5AF476" w14:textId="1C25059A">
      <w:pPr>
        <w:spacing w:beforeAutospacing="1" w:afterAutospacing="1" w:line="240" w:lineRule="auto"/>
        <w:rPr>
          <w:rFonts w:eastAsiaTheme="minorEastAsia"/>
          <w:b/>
          <w:bCs/>
          <w:color w:val="C05600"/>
          <w:sz w:val="24"/>
          <w:szCs w:val="24"/>
          <w:lang w:val="en"/>
        </w:rPr>
      </w:pPr>
    </w:p>
    <w:p w:rsidR="7EE103A3" w:rsidP="439341F7" w14:paraId="28D029DC" w14:textId="34D74297">
      <w:pPr>
        <w:spacing w:beforeAutospacing="1" w:afterAutospacing="1" w:line="240" w:lineRule="auto"/>
        <w:rPr>
          <w:rFonts w:eastAsiaTheme="minorEastAsia"/>
          <w:b/>
          <w:bCs/>
          <w:color w:val="C05600"/>
          <w:sz w:val="24"/>
          <w:szCs w:val="24"/>
          <w:lang w:val="en"/>
        </w:rPr>
      </w:pPr>
    </w:p>
    <w:p w:rsidR="0083621F" w:rsidP="11579072" w14:paraId="3C9E678B" w14:textId="6631E97E">
      <w:pPr>
        <w:spacing w:beforeAutospacing="1" w:afterAutospacing="1" w:line="240" w:lineRule="auto"/>
        <w:rPr>
          <w:rFonts w:eastAsiaTheme="minorEastAsia"/>
          <w:b/>
          <w:bCs/>
          <w:color w:val="auto"/>
          <w:sz w:val="24"/>
          <w:szCs w:val="24"/>
          <w:lang w:val="en"/>
        </w:rPr>
      </w:pPr>
      <w:r w:rsidRPr="11579072">
        <w:rPr>
          <w:rFonts w:eastAsiaTheme="minorEastAsia"/>
          <w:b/>
          <w:bCs/>
          <w:color w:val="auto"/>
          <w:sz w:val="24"/>
          <w:szCs w:val="24"/>
          <w:lang w:val="en"/>
        </w:rPr>
        <w:t>Overview</w:t>
      </w:r>
    </w:p>
    <w:p w:rsidR="0083621F" w:rsidRPr="0083621F" w:rsidP="439341F7" w14:paraId="62818EE3" w14:textId="4E6F1BAE">
      <w:pPr>
        <w:spacing w:before="100" w:beforeAutospacing="1" w:after="100" w:afterAutospacing="1" w:line="240" w:lineRule="auto"/>
        <w:rPr>
          <w:rFonts w:eastAsiaTheme="minorEastAsia"/>
          <w:color w:val="3D4551"/>
          <w:sz w:val="24"/>
          <w:szCs w:val="24"/>
          <w:lang w:val="en"/>
        </w:rPr>
      </w:pPr>
      <w:r w:rsidRPr="439341F7">
        <w:rPr>
          <w:rFonts w:eastAsiaTheme="minorEastAsia"/>
          <w:color w:val="3D4551"/>
          <w:sz w:val="24"/>
          <w:szCs w:val="24"/>
          <w:lang w:val="en"/>
        </w:rPr>
        <w:t xml:space="preserve">The Racial and Ethnic Approaches to Community Health (REACH) program has demonstrated success in addressing health equity and reducing health disparities by working with </w:t>
      </w:r>
      <w:r w:rsidRPr="439341F7" w:rsidR="48C739E3">
        <w:rPr>
          <w:rFonts w:eastAsiaTheme="minorEastAsia"/>
          <w:color w:val="3D4551"/>
          <w:sz w:val="24"/>
          <w:szCs w:val="24"/>
          <w:lang w:val="en"/>
        </w:rPr>
        <w:t>diverese</w:t>
      </w:r>
      <w:r w:rsidRPr="439341F7">
        <w:rPr>
          <w:rFonts w:eastAsiaTheme="minorEastAsia"/>
          <w:color w:val="3D4551"/>
          <w:sz w:val="24"/>
          <w:szCs w:val="24"/>
          <w:lang w:val="en"/>
        </w:rPr>
        <w:t xml:space="preserve"> communities  and </w:t>
      </w:r>
      <w:r w:rsidRPr="439341F7" w:rsidR="2021F40E">
        <w:rPr>
          <w:rFonts w:eastAsiaTheme="minorEastAsia"/>
          <w:color w:val="3D4551"/>
          <w:sz w:val="24"/>
          <w:szCs w:val="24"/>
          <w:lang w:val="en"/>
        </w:rPr>
        <w:t>implementing</w:t>
      </w:r>
      <w:r w:rsidRPr="439341F7">
        <w:rPr>
          <w:rFonts w:eastAsiaTheme="minorEastAsia"/>
          <w:color w:val="3D4551"/>
          <w:sz w:val="24"/>
          <w:szCs w:val="24"/>
          <w:lang w:val="en"/>
        </w:rPr>
        <w:t xml:space="preserve"> culturally tailored interventions.</w:t>
      </w:r>
      <w:r w:rsidRPr="439341F7">
        <w:rPr>
          <w:rFonts w:eastAsiaTheme="minorEastAsia"/>
          <w:color w:val="3D4551"/>
          <w:sz w:val="24"/>
          <w:szCs w:val="24"/>
          <w:lang w:val="en"/>
        </w:rPr>
        <w:t xml:space="preserve"> </w:t>
      </w:r>
      <w:hyperlink r:id="rId8">
        <w:r w:rsidRPr="439341F7">
          <w:rPr>
            <w:rFonts w:eastAsiaTheme="minorEastAsia"/>
            <w:color w:val="005EA2"/>
            <w:sz w:val="24"/>
            <w:szCs w:val="24"/>
            <w:u w:val="single"/>
            <w:lang w:val="en"/>
          </w:rPr>
          <w:t>Learn more about the REACH Program</w:t>
        </w:r>
      </w:hyperlink>
      <w:r w:rsidRPr="439341F7">
        <w:rPr>
          <w:rFonts w:eastAsiaTheme="minorEastAsia"/>
          <w:color w:val="3D4551"/>
          <w:sz w:val="24"/>
          <w:szCs w:val="24"/>
          <w:lang w:val="en"/>
        </w:rPr>
        <w:t>.</w:t>
      </w:r>
    </w:p>
    <w:p w:rsidR="396C609D" w:rsidP="439341F7" w14:paraId="4A7F1A47" w14:textId="76448FEC">
      <w:pPr>
        <w:spacing w:beforeAutospacing="1" w:afterAutospacing="1" w:line="240" w:lineRule="auto"/>
        <w:rPr>
          <w:rFonts w:eastAsiaTheme="minorEastAsia"/>
          <w:color w:val="3D4551"/>
          <w:sz w:val="24"/>
          <w:szCs w:val="24"/>
          <w:lang w:val="en"/>
        </w:rPr>
      </w:pPr>
    </w:p>
    <w:p w:rsidR="7D3B32CD" w:rsidP="439341F7" w14:paraId="0BD29DD6" w14:textId="450013DA">
      <w:pPr>
        <w:spacing w:beforeAutospacing="1" w:afterAutospacing="1" w:line="240" w:lineRule="auto"/>
        <w:rPr>
          <w:rFonts w:eastAsiaTheme="minorEastAsia"/>
          <w:color w:val="3D4551"/>
          <w:sz w:val="24"/>
          <w:szCs w:val="24"/>
          <w:lang w:val="en"/>
        </w:rPr>
      </w:pPr>
      <w:r w:rsidRPr="439341F7">
        <w:rPr>
          <w:rFonts w:eastAsiaTheme="minorEastAsia"/>
          <w:color w:val="3D4551"/>
          <w:sz w:val="24"/>
          <w:szCs w:val="24"/>
          <w:lang w:val="en"/>
        </w:rPr>
        <w:t xml:space="preserve">The REACH Lark Award recognizes extraordinary individuals, organizations, or community coalitions associated with the REACH program.  Lark Award recipients will have meaningfully assisted with activities that advance health equity, reduce health disparities, and increase community engagement to address preventable health risks. Examples of such risks are tobacco use, poor nutrition, physical inactivity, and inadequate access to clinical services. Award recipients have worked with groups affected by chronic diseases more than other groups, specifically African American/Black, American Indian or Alaska Native, Asian, Hispanic or Latino, and Native Hawaiian or other Pacific Islander persons.   </w:t>
      </w:r>
    </w:p>
    <w:p w:rsidR="7D3B32CD" w:rsidP="439341F7" w14:paraId="021AC661" w14:textId="3FCD434D">
      <w:pPr>
        <w:spacing w:beforeAutospacing="1" w:afterAutospacing="1" w:line="240" w:lineRule="auto"/>
        <w:rPr>
          <w:rFonts w:eastAsiaTheme="minorEastAsia"/>
          <w:color w:val="3D4551"/>
          <w:sz w:val="24"/>
          <w:szCs w:val="24"/>
          <w:lang w:val="en"/>
        </w:rPr>
      </w:pPr>
      <w:r w:rsidRPr="439341F7">
        <w:rPr>
          <w:rFonts w:eastAsiaTheme="minorEastAsia"/>
          <w:color w:val="3D4551"/>
          <w:sz w:val="24"/>
          <w:szCs w:val="24"/>
          <w:lang w:val="en"/>
        </w:rPr>
        <w:t xml:space="preserve">   </w:t>
      </w:r>
    </w:p>
    <w:p w:rsidR="0083621F" w:rsidP="7D4E738C" w14:paraId="7CD13B64" w14:textId="3F506465">
      <w:pPr>
        <w:spacing w:beforeAutospacing="1" w:afterAutospacing="1" w:line="240" w:lineRule="auto"/>
        <w:rPr>
          <w:rFonts w:eastAsiaTheme="minorEastAsia"/>
          <w:color w:val="3D4551"/>
          <w:sz w:val="24"/>
          <w:szCs w:val="24"/>
          <w:lang w:val="en"/>
        </w:rPr>
      </w:pPr>
      <w:r w:rsidRPr="7D4E738C">
        <w:rPr>
          <w:rFonts w:eastAsiaTheme="minorEastAsia"/>
          <w:color w:val="3D4551"/>
          <w:sz w:val="24"/>
          <w:szCs w:val="24"/>
          <w:lang w:val="en"/>
        </w:rPr>
        <w:t xml:space="preserve">Nominations for this award can help further the goals of the REACH program by documenting and disseminating the innovative </w:t>
      </w:r>
      <w:r w:rsidRPr="7D4E738C" w:rsidR="144A8062">
        <w:rPr>
          <w:rFonts w:eastAsiaTheme="minorEastAsia"/>
          <w:color w:val="3D4551"/>
          <w:sz w:val="24"/>
          <w:szCs w:val="24"/>
          <w:lang w:val="en"/>
        </w:rPr>
        <w:t>and</w:t>
      </w:r>
      <w:r w:rsidRPr="7D4E738C">
        <w:rPr>
          <w:rFonts w:eastAsiaTheme="minorEastAsia"/>
          <w:color w:val="3D4551"/>
          <w:sz w:val="24"/>
          <w:szCs w:val="24"/>
          <w:lang w:val="en"/>
        </w:rPr>
        <w:t xml:space="preserve"> unique interventions</w:t>
      </w:r>
      <w:r w:rsidRPr="7D4E738C" w:rsidR="1AB116C6">
        <w:rPr>
          <w:rFonts w:eastAsiaTheme="minorEastAsia"/>
          <w:color w:val="3D4551"/>
          <w:sz w:val="24"/>
          <w:szCs w:val="24"/>
          <w:lang w:val="en"/>
        </w:rPr>
        <w:t xml:space="preserve"> that aim to reduce health disparities</w:t>
      </w:r>
    </w:p>
    <w:p w:rsidR="396C609D" w:rsidP="439341F7" w14:paraId="3A19C1FA" w14:textId="1E662BD5">
      <w:pPr>
        <w:spacing w:beforeAutospacing="1" w:afterAutospacing="1" w:line="240" w:lineRule="auto"/>
        <w:outlineLvl w:val="2"/>
        <w:rPr>
          <w:rFonts w:eastAsiaTheme="minorEastAsia"/>
          <w:b/>
          <w:bCs/>
          <w:color w:val="C05600"/>
          <w:sz w:val="24"/>
          <w:szCs w:val="24"/>
          <w:lang w:val="en"/>
        </w:rPr>
      </w:pPr>
    </w:p>
    <w:p w:rsidR="0083621F" w:rsidRPr="0083621F" w:rsidP="11579072" w14:paraId="46F57EDE" w14:textId="77777777">
      <w:pPr>
        <w:spacing w:before="100" w:beforeAutospacing="1" w:after="100" w:afterAutospacing="1" w:line="240" w:lineRule="auto"/>
        <w:outlineLvl w:val="2"/>
        <w:rPr>
          <w:rFonts w:eastAsiaTheme="minorEastAsia"/>
          <w:b/>
          <w:bCs/>
          <w:color w:val="auto"/>
          <w:sz w:val="24"/>
          <w:szCs w:val="24"/>
          <w:lang w:val="en"/>
        </w:rPr>
      </w:pPr>
      <w:r w:rsidRPr="11579072">
        <w:rPr>
          <w:rFonts w:eastAsiaTheme="minorEastAsia"/>
          <w:b/>
          <w:bCs/>
          <w:color w:val="auto"/>
          <w:sz w:val="24"/>
          <w:szCs w:val="24"/>
          <w:lang w:val="en"/>
        </w:rPr>
        <w:t>Prizes</w:t>
      </w:r>
    </w:p>
    <w:p w:rsidR="0083621F" w:rsidP="7D4E738C" w14:paraId="4D391EF8" w14:textId="47E7DFE9">
      <w:pPr>
        <w:spacing w:beforeAutospacing="1" w:afterAutospacing="1" w:line="240" w:lineRule="auto"/>
        <w:rPr>
          <w:rFonts w:eastAsiaTheme="minorEastAsia"/>
          <w:color w:val="3D4551"/>
          <w:sz w:val="24"/>
          <w:szCs w:val="24"/>
          <w:lang w:val="en"/>
        </w:rPr>
      </w:pPr>
      <w:r w:rsidRPr="7D4E738C">
        <w:rPr>
          <w:rFonts w:eastAsiaTheme="minorEastAsia"/>
          <w:color w:val="3D4551"/>
          <w:sz w:val="24"/>
          <w:szCs w:val="24"/>
          <w:lang w:val="en"/>
        </w:rPr>
        <w:t xml:space="preserve">A maximum of </w:t>
      </w:r>
      <w:r w:rsidRPr="7D4E738C" w:rsidR="46A66AED">
        <w:rPr>
          <w:rFonts w:eastAsiaTheme="minorEastAsia"/>
          <w:color w:val="3D4551"/>
          <w:sz w:val="24"/>
          <w:szCs w:val="24"/>
          <w:lang w:val="en"/>
        </w:rPr>
        <w:t>two</w:t>
      </w:r>
      <w:r w:rsidRPr="7D4E738C">
        <w:rPr>
          <w:rFonts w:eastAsiaTheme="minorEastAsia"/>
          <w:color w:val="3D4551"/>
          <w:sz w:val="24"/>
          <w:szCs w:val="24"/>
          <w:lang w:val="en"/>
        </w:rPr>
        <w:t xml:space="preserve"> applicant</w:t>
      </w:r>
      <w:r w:rsidRPr="7D4E738C" w:rsidR="5D748F55">
        <w:rPr>
          <w:rFonts w:eastAsiaTheme="minorEastAsia"/>
          <w:color w:val="3D4551"/>
          <w:sz w:val="24"/>
          <w:szCs w:val="24"/>
          <w:lang w:val="en"/>
        </w:rPr>
        <w:t>s</w:t>
      </w:r>
      <w:r w:rsidRPr="7D4E738C">
        <w:rPr>
          <w:rFonts w:eastAsiaTheme="minorEastAsia"/>
          <w:color w:val="3D4551"/>
          <w:sz w:val="24"/>
          <w:szCs w:val="24"/>
          <w:lang w:val="en"/>
        </w:rPr>
        <w:t xml:space="preserve"> (</w:t>
      </w:r>
      <w:r w:rsidRPr="7D4E738C" w:rsidR="7F96CA91">
        <w:rPr>
          <w:rFonts w:eastAsiaTheme="minorEastAsia"/>
          <w:color w:val="3D4551"/>
          <w:sz w:val="24"/>
          <w:szCs w:val="24"/>
          <w:lang w:val="en"/>
        </w:rPr>
        <w:t xml:space="preserve">one </w:t>
      </w:r>
      <w:r w:rsidRPr="7D4E738C">
        <w:rPr>
          <w:rFonts w:eastAsiaTheme="minorEastAsia"/>
          <w:color w:val="3D4551"/>
          <w:sz w:val="24"/>
          <w:szCs w:val="24"/>
          <w:lang w:val="en"/>
        </w:rPr>
        <w:t xml:space="preserve">individual </w:t>
      </w:r>
      <w:r w:rsidRPr="7D4E738C" w:rsidR="3241D82C">
        <w:rPr>
          <w:rFonts w:eastAsiaTheme="minorEastAsia"/>
          <w:color w:val="3D4551"/>
          <w:sz w:val="24"/>
          <w:szCs w:val="24"/>
          <w:lang w:val="en"/>
        </w:rPr>
        <w:t>a</w:t>
      </w:r>
      <w:r w:rsidRPr="7D4E738C" w:rsidR="02E16596">
        <w:rPr>
          <w:rFonts w:eastAsiaTheme="minorEastAsia"/>
          <w:color w:val="3D4551"/>
          <w:sz w:val="24"/>
          <w:szCs w:val="24"/>
          <w:lang w:val="en"/>
        </w:rPr>
        <w:t>nd one organization/community coalition</w:t>
      </w:r>
      <w:r w:rsidRPr="7D4E738C">
        <w:rPr>
          <w:rFonts w:eastAsiaTheme="minorEastAsia"/>
          <w:color w:val="3D4551"/>
          <w:sz w:val="24"/>
          <w:szCs w:val="24"/>
          <w:lang w:val="en"/>
        </w:rPr>
        <w:t xml:space="preserve">) </w:t>
      </w:r>
      <w:r w:rsidRPr="7D4E738C" w:rsidR="758D0803">
        <w:rPr>
          <w:rFonts w:eastAsiaTheme="minorEastAsia"/>
          <w:color w:val="3D4551"/>
          <w:sz w:val="24"/>
          <w:szCs w:val="24"/>
          <w:lang w:val="en"/>
        </w:rPr>
        <w:t>associated with the REACH program will be a recipient of the 2024 REACH Lark Award</w:t>
      </w:r>
      <w:r w:rsidRPr="7D4E738C">
        <w:rPr>
          <w:rFonts w:eastAsiaTheme="minorEastAsia"/>
          <w:color w:val="3D4551"/>
          <w:sz w:val="24"/>
          <w:szCs w:val="24"/>
          <w:lang w:val="en"/>
        </w:rPr>
        <w:t xml:space="preserve">. </w:t>
      </w:r>
      <w:r w:rsidRPr="7D4E738C" w:rsidR="6A8026F9">
        <w:rPr>
          <w:rFonts w:eastAsiaTheme="minorEastAsia"/>
          <w:color w:val="3D4551"/>
          <w:sz w:val="24"/>
          <w:szCs w:val="24"/>
          <w:lang w:val="en"/>
        </w:rPr>
        <w:t xml:space="preserve">Recipients of the REACH Lark Award will receive a plaque. The recipient may be invited to meetings by CDC, nonfederal individuals, or organizations from outside the agency. Attendance at such events is not required as a condition of accepting the prize. No cash prize will be awarded.   </w:t>
      </w:r>
    </w:p>
    <w:p w:rsidR="396C609D" w:rsidP="439341F7" w14:paraId="2F664989" w14:textId="12EB4636">
      <w:pPr>
        <w:spacing w:beforeAutospacing="1" w:afterAutospacing="1" w:line="240" w:lineRule="auto"/>
        <w:outlineLvl w:val="2"/>
        <w:rPr>
          <w:rFonts w:eastAsiaTheme="minorEastAsia"/>
          <w:b/>
          <w:bCs/>
          <w:color w:val="C05600"/>
          <w:sz w:val="24"/>
          <w:szCs w:val="24"/>
          <w:lang w:val="en"/>
        </w:rPr>
      </w:pPr>
    </w:p>
    <w:p w:rsidR="0083621F" w:rsidRPr="0083621F" w:rsidP="11579072" w14:paraId="4765A040" w14:textId="77777777">
      <w:pPr>
        <w:spacing w:before="100" w:beforeAutospacing="1" w:after="100" w:afterAutospacing="1" w:line="240" w:lineRule="auto"/>
        <w:outlineLvl w:val="2"/>
        <w:rPr>
          <w:rFonts w:eastAsiaTheme="minorEastAsia"/>
          <w:b/>
          <w:bCs/>
          <w:color w:val="auto"/>
          <w:sz w:val="24"/>
          <w:szCs w:val="24"/>
          <w:lang w:val="en"/>
        </w:rPr>
      </w:pPr>
      <w:r w:rsidRPr="11579072">
        <w:rPr>
          <w:rFonts w:eastAsiaTheme="minorEastAsia"/>
          <w:b/>
          <w:bCs/>
          <w:color w:val="auto"/>
          <w:sz w:val="24"/>
          <w:szCs w:val="24"/>
          <w:lang w:val="en"/>
        </w:rPr>
        <w:t>Rules</w:t>
      </w:r>
    </w:p>
    <w:p w:rsidR="396C609D" w:rsidP="439341F7" w14:paraId="1933D47E" w14:textId="79A6A49E">
      <w:pPr>
        <w:spacing w:beforeAutospacing="1" w:afterAutospacing="1" w:line="240" w:lineRule="auto"/>
        <w:rPr>
          <w:rFonts w:eastAsiaTheme="minorEastAsia"/>
          <w:b/>
          <w:bCs/>
          <w:color w:val="3D4551"/>
          <w:sz w:val="24"/>
          <w:szCs w:val="24"/>
          <w:lang w:val="en"/>
        </w:rPr>
      </w:pPr>
    </w:p>
    <w:p w:rsidR="0083621F" w:rsidRPr="0083621F" w:rsidP="7D4E738C" w14:paraId="20C18C5F" w14:textId="77777777">
      <w:pPr>
        <w:spacing w:before="100" w:beforeAutospacing="1" w:after="100" w:afterAutospacing="1" w:line="240" w:lineRule="auto"/>
        <w:rPr>
          <w:rFonts w:eastAsiaTheme="minorEastAsia"/>
          <w:color w:val="3D4551"/>
          <w:sz w:val="24"/>
          <w:szCs w:val="24"/>
          <w:lang w:val="en"/>
        </w:rPr>
      </w:pPr>
      <w:r w:rsidRPr="439341F7">
        <w:rPr>
          <w:rFonts w:eastAsiaTheme="minorEastAsia"/>
          <w:b/>
          <w:bCs/>
          <w:color w:val="3D4551"/>
          <w:sz w:val="24"/>
          <w:szCs w:val="24"/>
          <w:lang w:val="en"/>
        </w:rPr>
        <w:t>Eligibility</w:t>
      </w:r>
    </w:p>
    <w:p w:rsidR="37B2B574" w:rsidP="439341F7" w14:paraId="12697F5E" w14:textId="46CA6D4B">
      <w:pPr>
        <w:ind w:left="0"/>
        <w:rPr>
          <w:rFonts w:eastAsiaTheme="minorEastAsia"/>
          <w:color w:val="3D4551"/>
          <w:sz w:val="24"/>
          <w:szCs w:val="24"/>
        </w:rPr>
      </w:pPr>
      <w:r w:rsidRPr="439341F7">
        <w:rPr>
          <w:rFonts w:eastAsiaTheme="minorEastAsia"/>
          <w:color w:val="3D4551"/>
          <w:sz w:val="24"/>
          <w:szCs w:val="24"/>
        </w:rPr>
        <w:t xml:space="preserve">The REACH Lark Award is open to the public. To be eligible for this award, nominees must meet the following eligibility </w:t>
      </w:r>
      <w:r w:rsidRPr="439341F7">
        <w:rPr>
          <w:rFonts w:eastAsiaTheme="minorEastAsia"/>
          <w:color w:val="3D4551"/>
          <w:sz w:val="24"/>
          <w:szCs w:val="24"/>
        </w:rPr>
        <w:t>requirements:</w:t>
      </w:r>
      <w:r w:rsidRPr="439341F7">
        <w:rPr>
          <w:rFonts w:eastAsiaTheme="minorEastAsia"/>
          <w:color w:val="3D4551"/>
          <w:sz w:val="24"/>
          <w:szCs w:val="24"/>
        </w:rPr>
        <w:t xml:space="preserve"> </w:t>
      </w:r>
    </w:p>
    <w:p w:rsidR="37B2B574" w:rsidP="439341F7" w14:paraId="3C0734E7" w14:textId="4E3734FA">
      <w:pPr>
        <w:pStyle w:val="ListParagraph"/>
        <w:numPr>
          <w:ilvl w:val="0"/>
          <w:numId w:val="27"/>
        </w:numPr>
        <w:rPr>
          <w:sz w:val="24"/>
          <w:szCs w:val="24"/>
        </w:rPr>
      </w:pPr>
      <w:r w:rsidRPr="439341F7">
        <w:rPr>
          <w:sz w:val="24"/>
          <w:szCs w:val="24"/>
        </w:rPr>
        <w:t xml:space="preserve">Complete the application (for self-nominees) or have had an application </w:t>
      </w:r>
      <w:r w:rsidRPr="439341F7">
        <w:rPr>
          <w:sz w:val="24"/>
          <w:szCs w:val="24"/>
        </w:rPr>
        <w:t>submitted</w:t>
      </w:r>
      <w:r w:rsidRPr="439341F7">
        <w:rPr>
          <w:sz w:val="24"/>
          <w:szCs w:val="24"/>
        </w:rPr>
        <w:t xml:space="preserve"> on their behalf (for those nominated by others) for the competition under the rules </w:t>
      </w:r>
      <w:r w:rsidRPr="439341F7">
        <w:rPr>
          <w:sz w:val="24"/>
          <w:szCs w:val="24"/>
        </w:rPr>
        <w:t>promulgated</w:t>
      </w:r>
      <w:r w:rsidRPr="439341F7">
        <w:rPr>
          <w:sz w:val="24"/>
          <w:szCs w:val="24"/>
        </w:rPr>
        <w:t xml:space="preserve"> by HHS/</w:t>
      </w:r>
      <w:r w:rsidRPr="439341F7">
        <w:rPr>
          <w:sz w:val="24"/>
          <w:szCs w:val="24"/>
        </w:rPr>
        <w:t>CDC;</w:t>
      </w:r>
      <w:r w:rsidRPr="439341F7">
        <w:rPr>
          <w:sz w:val="24"/>
          <w:szCs w:val="24"/>
        </w:rPr>
        <w:t xml:space="preserve">   </w:t>
      </w:r>
    </w:p>
    <w:p w:rsidR="37B2B574" w:rsidP="439341F7" w14:paraId="1350829A" w14:textId="5C6DB5D1">
      <w:pPr>
        <w:pStyle w:val="ListParagraph"/>
        <w:numPr>
          <w:ilvl w:val="0"/>
          <w:numId w:val="27"/>
        </w:numPr>
        <w:rPr>
          <w:sz w:val="24"/>
          <w:szCs w:val="24"/>
        </w:rPr>
      </w:pPr>
      <w:r w:rsidRPr="439341F7">
        <w:rPr>
          <w:sz w:val="24"/>
          <w:szCs w:val="24"/>
        </w:rPr>
        <w:t>Comply with</w:t>
      </w:r>
      <w:r w:rsidRPr="439341F7">
        <w:rPr>
          <w:sz w:val="24"/>
          <w:szCs w:val="24"/>
        </w:rPr>
        <w:t xml:space="preserve"> all the requirements under this section and satisfy one of the following requirements: </w:t>
      </w:r>
    </w:p>
    <w:p w:rsidR="37B2B574" w:rsidP="439341F7" w14:paraId="4CA7053F" w14:textId="57323193">
      <w:pPr>
        <w:pStyle w:val="ListParagraph"/>
        <w:numPr>
          <w:ilvl w:val="0"/>
          <w:numId w:val="5"/>
        </w:numPr>
        <w:rPr>
          <w:sz w:val="24"/>
          <w:szCs w:val="24"/>
        </w:rPr>
      </w:pPr>
      <w:r w:rsidRPr="439341F7">
        <w:rPr>
          <w:sz w:val="24"/>
          <w:szCs w:val="24"/>
        </w:rPr>
        <w:t xml:space="preserve">Be a currently or previously funded CDC REACH recipient that has not previously received the REACH Lark Award in any year; or </w:t>
      </w:r>
    </w:p>
    <w:p w:rsidR="37B2B574" w:rsidP="439341F7" w14:paraId="641C502D" w14:textId="23CCB1A2">
      <w:pPr>
        <w:pStyle w:val="ListParagraph"/>
        <w:numPr>
          <w:ilvl w:val="0"/>
          <w:numId w:val="5"/>
        </w:numPr>
        <w:rPr>
          <w:sz w:val="24"/>
          <w:szCs w:val="24"/>
        </w:rPr>
      </w:pPr>
      <w:r w:rsidRPr="439341F7">
        <w:rPr>
          <w:sz w:val="24"/>
          <w:szCs w:val="24"/>
        </w:rPr>
        <w:t xml:space="preserve">Be a technical </w:t>
      </w:r>
      <w:r w:rsidRPr="439341F7">
        <w:rPr>
          <w:sz w:val="24"/>
          <w:szCs w:val="24"/>
        </w:rPr>
        <w:t>as</w:t>
      </w:r>
      <w:r w:rsidRPr="439341F7">
        <w:rPr>
          <w:sz w:val="24"/>
          <w:szCs w:val="24"/>
        </w:rPr>
        <w:t>sistance</w:t>
      </w:r>
      <w:r w:rsidRPr="439341F7">
        <w:rPr>
          <w:sz w:val="24"/>
          <w:szCs w:val="24"/>
        </w:rPr>
        <w:t xml:space="preserve"> p</w:t>
      </w:r>
      <w:r w:rsidRPr="439341F7">
        <w:rPr>
          <w:sz w:val="24"/>
          <w:szCs w:val="24"/>
        </w:rPr>
        <w:t xml:space="preserve">rovider to past or current REACH recipients. Learn about DNPAO REACH recipients.; or </w:t>
      </w:r>
    </w:p>
    <w:p w:rsidR="37B2B574" w:rsidP="439341F7" w14:paraId="22ACC0FD" w14:textId="3D1CFB70">
      <w:pPr>
        <w:pStyle w:val="ListParagraph"/>
        <w:numPr>
          <w:ilvl w:val="0"/>
          <w:numId w:val="5"/>
        </w:numPr>
        <w:rPr>
          <w:sz w:val="24"/>
          <w:szCs w:val="24"/>
        </w:rPr>
      </w:pPr>
      <w:r w:rsidRPr="439341F7">
        <w:rPr>
          <w:sz w:val="24"/>
          <w:szCs w:val="24"/>
        </w:rPr>
        <w:t xml:space="preserve">Be a partner organization, part of a partner network, or coalition members that collaborated on REACH-related work with a current or previously funded REACH </w:t>
      </w:r>
      <w:r w:rsidRPr="439341F7">
        <w:rPr>
          <w:sz w:val="24"/>
          <w:szCs w:val="24"/>
        </w:rPr>
        <w:t>r</w:t>
      </w:r>
      <w:r w:rsidRPr="439341F7">
        <w:rPr>
          <w:sz w:val="24"/>
          <w:szCs w:val="24"/>
        </w:rPr>
        <w:t>ecipient;</w:t>
      </w:r>
      <w:r w:rsidRPr="439341F7">
        <w:rPr>
          <w:sz w:val="24"/>
          <w:szCs w:val="24"/>
        </w:rPr>
        <w:t xml:space="preserve"> </w:t>
      </w:r>
    </w:p>
    <w:p w:rsidR="37B2B574" w:rsidP="439341F7" w14:paraId="5BF717CC" w14:textId="5208FE98">
      <w:pPr>
        <w:pStyle w:val="ListParagraph"/>
        <w:numPr>
          <w:ilvl w:val="0"/>
          <w:numId w:val="27"/>
        </w:numPr>
        <w:rPr>
          <w:sz w:val="24"/>
          <w:szCs w:val="24"/>
        </w:rPr>
      </w:pPr>
      <w:r w:rsidRPr="439341F7">
        <w:rPr>
          <w:sz w:val="24"/>
          <w:szCs w:val="24"/>
        </w:rPr>
        <w:t xml:space="preserve">Be either: </w:t>
      </w:r>
    </w:p>
    <w:p w:rsidR="37B2B574" w:rsidP="439341F7" w14:paraId="57FE053B" w14:textId="0DF9B7E7">
      <w:pPr>
        <w:pStyle w:val="ListParagraph"/>
        <w:numPr>
          <w:ilvl w:val="0"/>
          <w:numId w:val="4"/>
        </w:numPr>
        <w:rPr>
          <w:sz w:val="24"/>
          <w:szCs w:val="24"/>
        </w:rPr>
      </w:pPr>
      <w:r w:rsidRPr="439341F7">
        <w:rPr>
          <w:sz w:val="24"/>
          <w:szCs w:val="24"/>
        </w:rPr>
        <w:t xml:space="preserve">A U.S. citizen or legal permanent resident, eighteen years of age or older, if the nominee is an individual or group of individuals; or </w:t>
      </w:r>
    </w:p>
    <w:p w:rsidR="37B2B574" w:rsidP="439341F7" w14:paraId="491E6064" w14:textId="0BFD52A9">
      <w:pPr>
        <w:pStyle w:val="ListParagraph"/>
        <w:numPr>
          <w:ilvl w:val="0"/>
          <w:numId w:val="4"/>
        </w:numPr>
        <w:rPr>
          <w:sz w:val="24"/>
          <w:szCs w:val="24"/>
        </w:rPr>
      </w:pPr>
      <w:r w:rsidRPr="439341F7">
        <w:rPr>
          <w:sz w:val="24"/>
          <w:szCs w:val="24"/>
        </w:rPr>
        <w:t xml:space="preserve">Incorporated in and </w:t>
      </w:r>
      <w:r w:rsidRPr="439341F7">
        <w:rPr>
          <w:sz w:val="24"/>
          <w:szCs w:val="24"/>
        </w:rPr>
        <w:t>m</w:t>
      </w:r>
      <w:r w:rsidRPr="439341F7">
        <w:rPr>
          <w:sz w:val="24"/>
          <w:szCs w:val="24"/>
        </w:rPr>
        <w:t>aintain</w:t>
      </w:r>
      <w:r w:rsidRPr="439341F7">
        <w:rPr>
          <w:sz w:val="24"/>
          <w:szCs w:val="24"/>
        </w:rPr>
        <w:t xml:space="preserve"> </w:t>
      </w:r>
      <w:r w:rsidRPr="439341F7">
        <w:rPr>
          <w:sz w:val="24"/>
          <w:szCs w:val="24"/>
        </w:rPr>
        <w:t xml:space="preserve">a primary place of business in the United States, if the nominee is an entity; where the United States means a state, the District of Columbia, the Commonwealth of Puerto Rico, and any other territory or possession of the United </w:t>
      </w:r>
      <w:r w:rsidRPr="439341F7">
        <w:rPr>
          <w:sz w:val="24"/>
          <w:szCs w:val="24"/>
        </w:rPr>
        <w:t>S</w:t>
      </w:r>
      <w:r w:rsidRPr="439341F7">
        <w:rPr>
          <w:sz w:val="24"/>
          <w:szCs w:val="24"/>
        </w:rPr>
        <w:t>tates;</w:t>
      </w:r>
      <w:r w:rsidRPr="439341F7">
        <w:rPr>
          <w:sz w:val="24"/>
          <w:szCs w:val="24"/>
        </w:rPr>
        <w:t xml:space="preserve"> </w:t>
      </w:r>
      <w:r w:rsidRPr="439341F7">
        <w:rPr>
          <w:sz w:val="24"/>
          <w:szCs w:val="24"/>
        </w:rPr>
        <w:t xml:space="preserve">   </w:t>
      </w:r>
    </w:p>
    <w:p w:rsidR="37B2B574" w:rsidP="439341F7" w14:paraId="612396C3" w14:textId="72108505">
      <w:pPr>
        <w:pStyle w:val="ListParagraph"/>
        <w:numPr>
          <w:ilvl w:val="0"/>
          <w:numId w:val="27"/>
        </w:numPr>
        <w:rPr>
          <w:sz w:val="24"/>
          <w:szCs w:val="24"/>
        </w:rPr>
      </w:pPr>
      <w:r w:rsidRPr="439341F7">
        <w:rPr>
          <w:sz w:val="24"/>
          <w:szCs w:val="24"/>
        </w:rPr>
        <w:t xml:space="preserve">Not be a federal entity or federal employee acting within the scope of their </w:t>
      </w:r>
      <w:r w:rsidRPr="439341F7">
        <w:rPr>
          <w:sz w:val="24"/>
          <w:szCs w:val="24"/>
        </w:rPr>
        <w:t>employment;</w:t>
      </w:r>
      <w:r w:rsidRPr="439341F7">
        <w:rPr>
          <w:sz w:val="24"/>
          <w:szCs w:val="24"/>
        </w:rPr>
        <w:t xml:space="preserve">  </w:t>
      </w:r>
    </w:p>
    <w:p w:rsidR="37B2B574" w:rsidP="439341F7" w14:paraId="5CE04E87" w14:textId="6A15CE69">
      <w:pPr>
        <w:pStyle w:val="ListParagraph"/>
        <w:numPr>
          <w:ilvl w:val="0"/>
          <w:numId w:val="27"/>
        </w:numPr>
        <w:rPr>
          <w:sz w:val="24"/>
          <w:szCs w:val="24"/>
        </w:rPr>
      </w:pPr>
      <w:r w:rsidRPr="439341F7">
        <w:rPr>
          <w:sz w:val="24"/>
          <w:szCs w:val="24"/>
        </w:rPr>
        <w:t>Not be a current employee of or contractor of CDC</w:t>
      </w:r>
      <w:r w:rsidRPr="439341F7">
        <w:rPr>
          <w:sz w:val="24"/>
          <w:szCs w:val="24"/>
        </w:rPr>
        <w:t xml:space="preserve">.  </w:t>
      </w:r>
    </w:p>
    <w:p w:rsidR="37B2B574" w:rsidP="439341F7" w14:paraId="3B4C783A" w14:textId="6C73BE34">
      <w:pPr>
        <w:pStyle w:val="ListParagraph"/>
        <w:numPr>
          <w:ilvl w:val="0"/>
          <w:numId w:val="27"/>
        </w:numPr>
        <w:rPr>
          <w:sz w:val="24"/>
          <w:szCs w:val="24"/>
        </w:rPr>
      </w:pPr>
      <w:r w:rsidRPr="439341F7">
        <w:rPr>
          <w:sz w:val="24"/>
          <w:szCs w:val="24"/>
        </w:rPr>
        <w:t xml:space="preserve">Federal grantees shall not use Federal funds to develop COMPETES Act challenge applications for this </w:t>
      </w:r>
      <w:r w:rsidRPr="439341F7">
        <w:rPr>
          <w:sz w:val="24"/>
          <w:szCs w:val="24"/>
        </w:rPr>
        <w:t>challenge;</w:t>
      </w:r>
      <w:r w:rsidRPr="439341F7">
        <w:rPr>
          <w:sz w:val="24"/>
          <w:szCs w:val="24"/>
        </w:rPr>
        <w:t xml:space="preserve">  </w:t>
      </w:r>
    </w:p>
    <w:p w:rsidR="37B2B574" w:rsidP="439341F7" w14:paraId="685B077C" w14:textId="3A84FDA3">
      <w:pPr>
        <w:pStyle w:val="ListParagraph"/>
        <w:numPr>
          <w:ilvl w:val="0"/>
          <w:numId w:val="27"/>
        </w:numPr>
        <w:rPr>
          <w:sz w:val="24"/>
          <w:szCs w:val="24"/>
        </w:rPr>
      </w:pPr>
      <w:r w:rsidRPr="439341F7">
        <w:rPr>
          <w:sz w:val="24"/>
          <w:szCs w:val="24"/>
        </w:rPr>
        <w:t xml:space="preserve">Federal Contractors shall not use Federal funds from a contract to develop COMPETES Act challenge applications or to fund efforts in support of a COMPETES Act challenge </w:t>
      </w:r>
      <w:r w:rsidRPr="439341F7">
        <w:rPr>
          <w:sz w:val="24"/>
          <w:szCs w:val="24"/>
        </w:rPr>
        <w:t>submission;</w:t>
      </w:r>
      <w:r w:rsidRPr="439341F7">
        <w:rPr>
          <w:sz w:val="24"/>
          <w:szCs w:val="24"/>
        </w:rPr>
        <w:t xml:space="preserve"> </w:t>
      </w:r>
    </w:p>
    <w:p w:rsidR="37B2B574" w:rsidP="439341F7" w14:paraId="41D29AB9" w14:textId="4A2E50AF">
      <w:pPr>
        <w:pStyle w:val="ListParagraph"/>
        <w:numPr>
          <w:ilvl w:val="0"/>
          <w:numId w:val="27"/>
        </w:numPr>
        <w:rPr>
          <w:sz w:val="24"/>
          <w:szCs w:val="24"/>
        </w:rPr>
      </w:pPr>
      <w:r w:rsidRPr="439341F7">
        <w:rPr>
          <w:sz w:val="24"/>
          <w:szCs w:val="24"/>
        </w:rPr>
        <w:t xml:space="preserve">An individual or organization shall not be </w:t>
      </w:r>
      <w:r w:rsidRPr="439341F7">
        <w:rPr>
          <w:sz w:val="24"/>
          <w:szCs w:val="24"/>
        </w:rPr>
        <w:t>deemed</w:t>
      </w:r>
      <w:r w:rsidRPr="439341F7">
        <w:rPr>
          <w:sz w:val="24"/>
          <w:szCs w:val="24"/>
        </w:rPr>
        <w:t xml:space="preserve"> ineligible because the individual or organization used federal facilities or consulted with federal employees during a competition if the facilities and employees are made available to all individuals and entities </w:t>
      </w:r>
      <w:r w:rsidRPr="439341F7">
        <w:rPr>
          <w:sz w:val="24"/>
          <w:szCs w:val="24"/>
        </w:rPr>
        <w:t>participating</w:t>
      </w:r>
      <w:r w:rsidRPr="439341F7">
        <w:rPr>
          <w:sz w:val="24"/>
          <w:szCs w:val="24"/>
        </w:rPr>
        <w:t xml:space="preserve"> in the competition on </w:t>
      </w:r>
      <w:r w:rsidRPr="439341F7">
        <w:rPr>
          <w:sz w:val="24"/>
          <w:szCs w:val="24"/>
        </w:rPr>
        <w:t>an equitable</w:t>
      </w:r>
      <w:r w:rsidRPr="439341F7">
        <w:rPr>
          <w:sz w:val="24"/>
          <w:szCs w:val="24"/>
        </w:rPr>
        <w:t xml:space="preserve"> basis.</w:t>
      </w:r>
    </w:p>
    <w:p w:rsidR="0083621F" w:rsidRPr="0083621F" w:rsidP="7D4E738C" w14:paraId="2F0A99F4" w14:textId="77777777">
      <w:pPr>
        <w:spacing w:before="100" w:beforeAutospacing="1" w:after="100" w:afterAutospacing="1" w:line="240" w:lineRule="auto"/>
        <w:rPr>
          <w:rFonts w:eastAsiaTheme="minorEastAsia"/>
          <w:color w:val="3D4551"/>
          <w:sz w:val="24"/>
          <w:szCs w:val="24"/>
          <w:lang w:val="en"/>
        </w:rPr>
      </w:pPr>
      <w:r w:rsidRPr="439341F7">
        <w:rPr>
          <w:rFonts w:eastAsiaTheme="minorEastAsia"/>
          <w:b/>
          <w:bCs/>
          <w:color w:val="3D4551"/>
          <w:sz w:val="24"/>
          <w:szCs w:val="24"/>
          <w:lang w:val="en"/>
        </w:rPr>
        <w:t>Rules</w:t>
      </w:r>
    </w:p>
    <w:p w:rsidR="32C34BFE" w:rsidP="439341F7" w14:paraId="6EADDFC2" w14:textId="7FB3152E">
      <w:pPr>
        <w:numPr>
          <w:ilvl w:val="0"/>
          <w:numId w:val="28"/>
        </w:numPr>
        <w:spacing w:beforeAutospacing="1" w:afterAutospacing="1" w:line="240" w:lineRule="auto"/>
        <w:rPr>
          <w:rFonts w:ascii="Calibri" w:eastAsia="Calibri" w:hAnsi="Calibri" w:cs="Calibri"/>
          <w:b w:val="0"/>
          <w:bCs w:val="0"/>
          <w:i w:val="0"/>
          <w:iCs w:val="0"/>
          <w:caps w:val="0"/>
          <w:smallCaps w:val="0"/>
          <w:noProof w:val="0"/>
          <w:color w:val="000000" w:themeColor="text1" w:themeShade="FF" w:themeTint="FF"/>
          <w:sz w:val="24"/>
          <w:szCs w:val="24"/>
          <w:lang w:val="en"/>
        </w:rPr>
      </w:pPr>
      <w:r w:rsidRPr="439341F7">
        <w:rPr>
          <w:rFonts w:ascii="Calibri" w:eastAsia="Calibri" w:hAnsi="Calibri" w:cs="Calibri"/>
          <w:b w:val="0"/>
          <w:bCs w:val="0"/>
          <w:i w:val="0"/>
          <w:iCs w:val="0"/>
          <w:caps w:val="0"/>
          <w:smallCaps w:val="0"/>
          <w:noProof w:val="0"/>
          <w:color w:val="000000" w:themeColor="text1" w:themeShade="FF" w:themeTint="FF"/>
          <w:sz w:val="24"/>
          <w:szCs w:val="24"/>
          <w:lang w:val="en"/>
        </w:rPr>
        <w:t xml:space="preserve">The “applicant” refers to each individual, organization, or community coalition that submits an application or nomination —and by participating—represents, warrants, and agrees that the entry contains accurate information. The “nominee” refers to each individual or organization/community coalition who is nominated, whether self-nominated or nominated by a separate applicant.  If an applicant is nominating another individual, organization, community coalition (e.g., not self-nominating), the applicant must provide acknowledgement in writing that the nominee consents to being nominated.    </w:t>
      </w:r>
    </w:p>
    <w:p w:rsidR="32C34BFE" w:rsidP="439341F7" w14:paraId="14E3889A" w14:textId="06083EDF">
      <w:pPr>
        <w:pStyle w:val="ListParagraph"/>
        <w:numPr>
          <w:ilvl w:val="0"/>
          <w:numId w:val="28"/>
        </w:numPr>
        <w:spacing w:beforeAutospacing="1" w:after="160" w:afterAutospacing="1" w:line="240" w:lineRule="auto"/>
        <w:rPr>
          <w:rFonts w:ascii="Calibri" w:eastAsia="Calibri" w:hAnsi="Calibri" w:cs="Calibri"/>
          <w:b w:val="0"/>
          <w:bCs w:val="0"/>
          <w:i w:val="0"/>
          <w:iCs w:val="0"/>
          <w:caps w:val="0"/>
          <w:smallCaps w:val="0"/>
          <w:noProof w:val="0"/>
          <w:color w:val="000000" w:themeColor="text1" w:themeShade="FF" w:themeTint="FF"/>
          <w:sz w:val="24"/>
          <w:szCs w:val="24"/>
          <w:lang w:val="en"/>
        </w:rPr>
      </w:pPr>
      <w:r w:rsidRPr="439341F7">
        <w:rPr>
          <w:rFonts w:ascii="Calibri" w:eastAsia="Calibri" w:hAnsi="Calibri" w:cs="Calibri"/>
          <w:b w:val="0"/>
          <w:bCs w:val="0"/>
          <w:i w:val="0"/>
          <w:iCs w:val="0"/>
          <w:caps w:val="0"/>
          <w:smallCaps w:val="0"/>
          <w:noProof w:val="0"/>
          <w:color w:val="000000" w:themeColor="text1" w:themeShade="FF" w:themeTint="FF"/>
          <w:sz w:val="24"/>
          <w:szCs w:val="24"/>
          <w:lang w:val="en"/>
        </w:rPr>
        <w:t xml:space="preserve">Applicants and nominees must agree to be recognized if selected as a winner and agree to participate in an interview with CDC staff to provide information that may be used by CDC staff to write a success story that describes the intervention(s) that advanced health equity. Winners and their intervention(s) may be recognized, and the success story may be made public, including but not limited to, posted on the CDC’s Division of Nutrition, Physical Activity, and Obesity website, the CDC website, social media, or other communication platforms, some combination of these communication channels, or all of these channels. </w:t>
      </w:r>
    </w:p>
    <w:p w:rsidR="32C34BFE" w:rsidP="439341F7" w14:paraId="437199B7" w14:textId="55463C09">
      <w:pPr>
        <w:pStyle w:val="ListParagraph"/>
        <w:numPr>
          <w:ilvl w:val="0"/>
          <w:numId w:val="28"/>
        </w:numPr>
        <w:spacing w:after="160" w:line="259" w:lineRule="auto"/>
        <w:rPr>
          <w:rFonts w:ascii="Calibri" w:eastAsia="Calibri" w:hAnsi="Calibri" w:cs="Calibri"/>
          <w:b w:val="0"/>
          <w:bCs w:val="0"/>
          <w:i w:val="0"/>
          <w:iCs w:val="0"/>
          <w:caps w:val="0"/>
          <w:smallCaps w:val="0"/>
          <w:noProof w:val="0"/>
          <w:color w:val="000000" w:themeColor="text1" w:themeShade="FF" w:themeTint="FF"/>
          <w:sz w:val="24"/>
          <w:szCs w:val="24"/>
          <w:lang w:val="en-US"/>
        </w:rPr>
      </w:pP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 xml:space="preserve">By </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participating</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in this challenge, applicants agree to assume </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any and all</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risks related to </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participating</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in the challenge. Applicants also agree to waive claims against the Federal Government and its related entities, except in the case of willful misconduct, when </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participating</w:t>
      </w:r>
      <w:r w:rsidRPr="439341F7">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in the challenge, including claims for injury; death; damage; or loss of property, money, or profits; and including those risks caused by negligence or other causes.</w:t>
      </w:r>
    </w:p>
    <w:p w:rsidR="02D4529B" w:rsidP="439341F7" w14:paraId="1DAFB85E" w14:textId="34673D3D">
      <w:pPr>
        <w:spacing w:beforeAutospacing="1" w:afterAutospacing="1" w:line="240" w:lineRule="auto"/>
        <w:rPr>
          <w:rFonts w:eastAsiaTheme="minorEastAsia"/>
          <w:b/>
          <w:bCs/>
          <w:color w:val="3D4551"/>
          <w:sz w:val="24"/>
          <w:szCs w:val="24"/>
          <w:lang w:val="en"/>
        </w:rPr>
      </w:pPr>
    </w:p>
    <w:p w:rsidR="0083621F" w:rsidRPr="0083621F" w:rsidP="7D4E738C" w14:paraId="5621B338" w14:textId="77777777">
      <w:pPr>
        <w:spacing w:before="100" w:beforeAutospacing="1" w:after="100" w:afterAutospacing="1" w:line="240" w:lineRule="auto"/>
        <w:rPr>
          <w:rFonts w:eastAsiaTheme="minorEastAsia"/>
          <w:color w:val="3D4551"/>
          <w:sz w:val="24"/>
          <w:szCs w:val="24"/>
          <w:lang w:val="en"/>
        </w:rPr>
      </w:pPr>
      <w:r w:rsidRPr="7D4E738C">
        <w:rPr>
          <w:rFonts w:eastAsiaTheme="minorEastAsia"/>
          <w:b/>
          <w:bCs/>
          <w:color w:val="3D4551"/>
          <w:sz w:val="24"/>
          <w:szCs w:val="24"/>
          <w:lang w:val="en"/>
        </w:rPr>
        <w:t>Terms and Conditions</w:t>
      </w:r>
    </w:p>
    <w:p w:rsidR="0083621F" w:rsidRPr="0083621F" w:rsidP="7D4E738C" w14:paraId="65E56044" w14:textId="2FDE6D79">
      <w:pPr>
        <w:spacing w:before="100" w:beforeAutospacing="1" w:after="100" w:afterAutospacing="1" w:line="240" w:lineRule="auto"/>
        <w:rPr>
          <w:rFonts w:eastAsiaTheme="minorEastAsia"/>
          <w:color w:val="3D4551"/>
          <w:sz w:val="24"/>
          <w:szCs w:val="24"/>
          <w:lang w:val="en"/>
        </w:rPr>
      </w:pPr>
      <w:r w:rsidRPr="7D4E738C">
        <w:rPr>
          <w:rFonts w:eastAsiaTheme="minorEastAsia"/>
          <w:color w:val="3D4551"/>
          <w:sz w:val="24"/>
          <w:szCs w:val="24"/>
          <w:lang w:val="en"/>
        </w:rPr>
        <w:t xml:space="preserve">CDC reserves the right to cancel, suspend, </w:t>
      </w:r>
      <w:r w:rsidRPr="7D4E738C" w:rsidR="2D564258">
        <w:rPr>
          <w:rFonts w:eastAsiaTheme="minorEastAsia"/>
          <w:color w:val="3D4551"/>
          <w:sz w:val="24"/>
          <w:szCs w:val="24"/>
          <w:lang w:val="en"/>
        </w:rPr>
        <w:t>and/</w:t>
      </w:r>
      <w:r w:rsidRPr="7D4E738C">
        <w:rPr>
          <w:rFonts w:eastAsiaTheme="minorEastAsia"/>
          <w:color w:val="3D4551"/>
          <w:sz w:val="24"/>
          <w:szCs w:val="24"/>
          <w:lang w:val="en"/>
        </w:rPr>
        <w:t xml:space="preserve">or modify the </w:t>
      </w:r>
      <w:r w:rsidRPr="7D4E738C" w:rsidR="04DAC5D3">
        <w:rPr>
          <w:rFonts w:eastAsiaTheme="minorEastAsia"/>
          <w:color w:val="3D4551"/>
          <w:sz w:val="24"/>
          <w:szCs w:val="24"/>
          <w:lang w:val="en"/>
        </w:rPr>
        <w:t>Challenge</w:t>
      </w:r>
      <w:r w:rsidRPr="7D4E738C">
        <w:rPr>
          <w:rFonts w:eastAsiaTheme="minorEastAsia"/>
          <w:color w:val="3D4551"/>
          <w:sz w:val="24"/>
          <w:szCs w:val="24"/>
          <w:lang w:val="en"/>
        </w:rPr>
        <w:t>, or any part of it, for any reason, at CDC's sole discretion.</w:t>
      </w:r>
    </w:p>
    <w:p w:rsidR="396C609D" w:rsidP="439341F7" w14:paraId="5BBF3CF3" w14:textId="23121F67">
      <w:pPr>
        <w:spacing w:beforeAutospacing="1" w:afterAutospacing="1" w:line="240" w:lineRule="auto"/>
        <w:rPr>
          <w:rFonts w:eastAsiaTheme="minorEastAsia"/>
          <w:color w:val="3D4551"/>
          <w:sz w:val="24"/>
          <w:szCs w:val="24"/>
          <w:lang w:val="en"/>
        </w:rPr>
      </w:pPr>
    </w:p>
    <w:p w:rsidR="0083621F" w:rsidRPr="0083621F" w:rsidP="439341F7" w14:paraId="2BAB0F09" w14:textId="4E51CC82">
      <w:pPr>
        <w:spacing w:before="100" w:beforeAutospacing="1" w:after="100" w:afterAutospacing="1" w:line="240" w:lineRule="auto"/>
        <w:rPr>
          <w:rFonts w:ascii="Calibri" w:eastAsia="Calibri" w:hAnsi="Calibri" w:cs="Calibri"/>
          <w:sz w:val="24"/>
          <w:szCs w:val="24"/>
          <w:lang w:val="en"/>
        </w:rPr>
      </w:pPr>
      <w:r w:rsidRPr="439341F7">
        <w:rPr>
          <w:rFonts w:eastAsiaTheme="minorEastAsia"/>
          <w:color w:val="3D4551"/>
          <w:sz w:val="24"/>
          <w:szCs w:val="24"/>
          <w:lang w:val="en"/>
        </w:rPr>
        <w:t>Participation in</w:t>
      </w:r>
      <w:r w:rsidRPr="439341F7">
        <w:rPr>
          <w:rFonts w:eastAsiaTheme="minorEastAsia"/>
          <w:color w:val="3D4551"/>
          <w:sz w:val="24"/>
          <w:szCs w:val="24"/>
          <w:lang w:val="en"/>
        </w:rPr>
        <w:t xml:space="preserve"> this </w:t>
      </w:r>
      <w:r w:rsidRPr="439341F7" w:rsidR="4E8801E1">
        <w:rPr>
          <w:rFonts w:eastAsiaTheme="minorEastAsia"/>
          <w:color w:val="3D4551"/>
          <w:sz w:val="24"/>
          <w:szCs w:val="24"/>
          <w:lang w:val="en"/>
        </w:rPr>
        <w:t>Challenge</w:t>
      </w:r>
      <w:r w:rsidRPr="439341F7">
        <w:rPr>
          <w:rFonts w:eastAsiaTheme="minorEastAsia"/>
          <w:color w:val="3D4551"/>
          <w:sz w:val="24"/>
          <w:szCs w:val="24"/>
          <w:lang w:val="en"/>
        </w:rPr>
        <w:t xml:space="preserve"> constitutes an applicants' full and unconditional agreement to abide by the </w:t>
      </w:r>
      <w:hyperlink r:id="rId9">
        <w:r w:rsidRPr="439341F7" w:rsidR="5613F4A7">
          <w:rPr>
            <w:rStyle w:val="Hyperlink"/>
            <w:rFonts w:ascii="Calibri" w:eastAsia="Calibri" w:hAnsi="Calibri" w:cs="Calibri"/>
            <w:sz w:val="24"/>
            <w:szCs w:val="24"/>
          </w:rPr>
          <w:t>Challenge’s Official Rules</w:t>
        </w:r>
      </w:hyperlink>
      <w:r w:rsidRPr="439341F7" w:rsidR="5613F4A7">
        <w:rPr>
          <w:rFonts w:ascii="Calibri" w:eastAsia="Calibri" w:hAnsi="Calibri" w:cs="Calibri"/>
          <w:color w:val="000000" w:themeColor="text1" w:themeShade="FF" w:themeTint="FF"/>
          <w:sz w:val="24"/>
          <w:szCs w:val="24"/>
        </w:rPr>
        <w:t>.</w:t>
      </w:r>
    </w:p>
    <w:p w:rsidR="396C609D" w:rsidP="7D4E738C" w14:paraId="02B53078" w14:textId="4AC58CF5">
      <w:pPr>
        <w:spacing w:beforeAutospacing="1" w:afterAutospacing="1" w:line="240" w:lineRule="auto"/>
        <w:outlineLvl w:val="2"/>
        <w:rPr>
          <w:rFonts w:eastAsiaTheme="minorEastAsia"/>
          <w:b/>
          <w:bCs/>
          <w:color w:val="C05600"/>
          <w:sz w:val="24"/>
          <w:szCs w:val="24"/>
          <w:lang w:val="en"/>
        </w:rPr>
      </w:pPr>
    </w:p>
    <w:p w:rsidR="7EE103A3" w:rsidP="7EE103A3" w14:paraId="0959A908" w14:textId="6F3F07B0">
      <w:pPr>
        <w:spacing w:beforeAutospacing="1" w:afterAutospacing="1" w:line="240" w:lineRule="auto"/>
        <w:outlineLvl w:val="2"/>
        <w:rPr>
          <w:rFonts w:eastAsiaTheme="minorEastAsia"/>
          <w:b/>
          <w:bCs/>
          <w:color w:val="C05600"/>
          <w:sz w:val="24"/>
          <w:szCs w:val="24"/>
          <w:lang w:val="en"/>
        </w:rPr>
      </w:pPr>
    </w:p>
    <w:p w:rsidR="0083621F" w:rsidRPr="0083621F" w:rsidP="11579072" w14:paraId="5C6C892F" w14:textId="6AA7F144">
      <w:pPr>
        <w:spacing w:before="100" w:beforeAutospacing="1" w:after="100" w:afterAutospacing="1" w:line="240" w:lineRule="auto"/>
        <w:outlineLvl w:val="2"/>
        <w:rPr>
          <w:rFonts w:eastAsiaTheme="minorEastAsia"/>
          <w:b/>
          <w:bCs/>
          <w:color w:val="auto"/>
          <w:sz w:val="24"/>
          <w:szCs w:val="24"/>
          <w:lang w:val="en"/>
        </w:rPr>
      </w:pPr>
      <w:r w:rsidRPr="11579072">
        <w:rPr>
          <w:rFonts w:eastAsiaTheme="minorEastAsia"/>
          <w:b/>
          <w:bCs/>
          <w:color w:val="auto"/>
          <w:sz w:val="24"/>
          <w:szCs w:val="24"/>
          <w:lang w:val="en"/>
        </w:rPr>
        <w:t xml:space="preserve">Judging </w:t>
      </w:r>
    </w:p>
    <w:p w:rsidR="0083621F" w:rsidRPr="0083621F" w:rsidP="7D4E738C" w14:paraId="4AD7C3C3" w14:textId="77777777">
      <w:pPr>
        <w:spacing w:before="100" w:beforeAutospacing="1" w:after="100" w:afterAutospacing="1" w:line="240" w:lineRule="auto"/>
        <w:rPr>
          <w:rFonts w:eastAsiaTheme="minorEastAsia"/>
          <w:color w:val="3D4551"/>
          <w:sz w:val="24"/>
          <w:szCs w:val="24"/>
          <w:lang w:val="en"/>
        </w:rPr>
      </w:pPr>
      <w:r w:rsidRPr="7D4E738C">
        <w:rPr>
          <w:rFonts w:eastAsiaTheme="minorEastAsia"/>
          <w:b/>
          <w:bCs/>
          <w:color w:val="3D4551"/>
          <w:sz w:val="24"/>
          <w:szCs w:val="24"/>
          <w:lang w:val="en"/>
        </w:rPr>
        <w:t>Judging Panel</w:t>
      </w:r>
    </w:p>
    <w:p w:rsidR="0083621F" w:rsidRPr="0083621F" w:rsidP="439341F7" w14:paraId="527DFB10" w14:textId="349F6785">
      <w:pPr>
        <w:spacing w:before="100" w:beforeAutospacing="1" w:after="100" w:afterAutospacing="1" w:line="240" w:lineRule="auto"/>
        <w:rPr>
          <w:rFonts w:eastAsiaTheme="minorEastAsia"/>
          <w:color w:val="3D4551"/>
          <w:sz w:val="24"/>
          <w:szCs w:val="24"/>
          <w:lang w:val="en"/>
        </w:rPr>
      </w:pPr>
      <w:r w:rsidRPr="439341F7" w:rsidR="5D0A1576">
        <w:rPr>
          <w:rFonts w:eastAsiaTheme="minorEastAsia"/>
          <w:color w:val="3D4551"/>
          <w:sz w:val="24"/>
          <w:szCs w:val="24"/>
          <w:lang w:val="en"/>
        </w:rPr>
        <w:t xml:space="preserve">CDC will select judges based on their knowledge of the REACH program, the science and practice of advancing health equity, and the elimination of health disparities at the national, state, or local levels. Judges may include REACH program senior advisors, other CDC employees, or nonfederal individuals from outside the agency. Participating as a previous REACH Lark Award judge does not disqualify an individual or organization from being an award recipient for the 2024 challenge. Judges may recuse themselves in the event of a conflict of interest related to the nominee.  </w:t>
      </w:r>
    </w:p>
    <w:p w:rsidR="396C609D" w:rsidP="7D4E738C" w14:paraId="2ACEAE47" w14:textId="27E11877">
      <w:pPr>
        <w:spacing w:beforeAutospacing="1" w:afterAutospacing="1" w:line="240" w:lineRule="auto"/>
        <w:rPr>
          <w:rFonts w:eastAsiaTheme="minorEastAsia"/>
          <w:color w:val="3D4551"/>
          <w:sz w:val="24"/>
          <w:szCs w:val="24"/>
          <w:lang w:val="en"/>
        </w:rPr>
      </w:pPr>
    </w:p>
    <w:p w:rsidR="0083621F" w:rsidRPr="0083621F" w:rsidP="439341F7" w14:paraId="46156BE1" w14:textId="090398EC">
      <w:pPr>
        <w:spacing w:before="100" w:beforeAutospacing="1" w:after="100" w:afterAutospacing="1" w:line="240" w:lineRule="auto"/>
        <w:rPr>
          <w:rFonts w:eastAsiaTheme="minorEastAsia"/>
          <w:b/>
          <w:bCs/>
          <w:color w:val="3D4551"/>
          <w:sz w:val="24"/>
          <w:szCs w:val="24"/>
          <w:lang w:val="en"/>
        </w:rPr>
      </w:pPr>
      <w:r w:rsidRPr="439341F7">
        <w:rPr>
          <w:rFonts w:eastAsiaTheme="minorEastAsia"/>
          <w:b/>
          <w:bCs/>
          <w:color w:val="3D4551"/>
          <w:sz w:val="24"/>
          <w:szCs w:val="24"/>
          <w:lang w:val="en"/>
        </w:rPr>
        <w:t xml:space="preserve">Judging </w:t>
      </w:r>
      <w:r w:rsidRPr="439341F7" w:rsidR="720AC093">
        <w:rPr>
          <w:rFonts w:eastAsiaTheme="minorEastAsia"/>
          <w:b/>
          <w:bCs/>
          <w:color w:val="3D4551"/>
          <w:sz w:val="24"/>
          <w:szCs w:val="24"/>
          <w:lang w:val="en"/>
        </w:rPr>
        <w:t xml:space="preserve">Process </w:t>
      </w:r>
    </w:p>
    <w:p w:rsidR="0083621F" w:rsidRPr="0083621F" w:rsidP="7D4E738C" w14:paraId="3ED87320" w14:textId="7A90BF16">
      <w:pPr>
        <w:spacing w:before="100" w:beforeAutospacing="1" w:after="100" w:afterAutospacing="1" w:line="240" w:lineRule="auto"/>
        <w:rPr>
          <w:rFonts w:eastAsiaTheme="minorEastAsia"/>
          <w:color w:val="3D4551"/>
          <w:sz w:val="24"/>
          <w:szCs w:val="24"/>
          <w:lang w:val="en"/>
        </w:rPr>
      </w:pPr>
      <w:r w:rsidRPr="7D4E738C">
        <w:rPr>
          <w:rFonts w:eastAsiaTheme="minorEastAsia"/>
          <w:color w:val="3D4551"/>
          <w:sz w:val="24"/>
          <w:szCs w:val="24"/>
          <w:lang w:val="en"/>
        </w:rPr>
        <w:t xml:space="preserve">CDC will facilitate a panel of three to five experts to review the applications and select </w:t>
      </w:r>
      <w:r w:rsidRPr="7D4E738C" w:rsidR="7A6B494C">
        <w:rPr>
          <w:rFonts w:eastAsiaTheme="minorEastAsia"/>
          <w:color w:val="3D4551"/>
          <w:sz w:val="24"/>
          <w:szCs w:val="24"/>
          <w:lang w:val="en"/>
        </w:rPr>
        <w:t xml:space="preserve">up to two award recipients (one individual and one organization or community coalition) from all eligible entries based on the following:  </w:t>
      </w:r>
    </w:p>
    <w:p w:rsidR="1862A117" w:rsidP="7D4E738C" w14:paraId="0BE7D9D1" w14:textId="02A990F2">
      <w:pPr>
        <w:pStyle w:val="ListParagraph"/>
        <w:numPr>
          <w:ilvl w:val="0"/>
          <w:numId w:val="14"/>
        </w:numPr>
        <w:spacing w:before="120"/>
        <w:rPr>
          <w:rFonts w:eastAsiaTheme="minorEastAsia"/>
          <w:color w:val="3D4551"/>
          <w:sz w:val="24"/>
          <w:szCs w:val="24"/>
          <w:lang w:val="en"/>
        </w:rPr>
      </w:pPr>
      <w:r w:rsidRPr="7D4E738C">
        <w:rPr>
          <w:rFonts w:eastAsiaTheme="minorEastAsia"/>
          <w:color w:val="3D4551"/>
          <w:sz w:val="24"/>
          <w:szCs w:val="24"/>
        </w:rPr>
        <w:t xml:space="preserve">Community Context and Challenge(s)- The following questions address the challenges of the community in which the nominee works/worked.  (10 points) </w:t>
      </w:r>
    </w:p>
    <w:p w:rsidR="1862A117" w:rsidP="7D4E738C" w14:paraId="4B13BCA4" w14:textId="51EBFE50">
      <w:pPr>
        <w:pStyle w:val="ListParagraph"/>
        <w:numPr>
          <w:ilvl w:val="1"/>
          <w:numId w:val="14"/>
        </w:numPr>
        <w:spacing w:before="120"/>
        <w:rPr>
          <w:rFonts w:eastAsiaTheme="minorEastAsia"/>
          <w:color w:val="3D4551"/>
          <w:sz w:val="24"/>
          <w:szCs w:val="24"/>
          <w:lang w:val="en"/>
        </w:rPr>
      </w:pPr>
      <w:r w:rsidRPr="7D4E738C">
        <w:rPr>
          <w:rFonts w:eastAsiaTheme="minorEastAsia"/>
          <w:color w:val="3D4551"/>
          <w:sz w:val="24"/>
          <w:szCs w:val="24"/>
        </w:rPr>
        <w:t>Describe the demographic characteristics of the area/community in which the nominee worked. (5 points)</w:t>
      </w:r>
    </w:p>
    <w:p w:rsidR="1862A117" w:rsidP="7D4E738C" w14:paraId="2C9B0578" w14:textId="53240093">
      <w:pPr>
        <w:ind w:left="720"/>
        <w:rPr>
          <w:rFonts w:eastAsiaTheme="minorEastAsia"/>
          <w:color w:val="3D4551"/>
          <w:sz w:val="24"/>
          <w:szCs w:val="24"/>
          <w:lang w:val="en"/>
        </w:rPr>
      </w:pPr>
      <w:r w:rsidRPr="7D4E738C">
        <w:rPr>
          <w:rFonts w:eastAsiaTheme="minorEastAsia"/>
          <w:color w:val="3D4551"/>
          <w:sz w:val="24"/>
          <w:szCs w:val="24"/>
        </w:rPr>
        <w:t xml:space="preserve">Scoring will be based on the extent to which the nominee worked to address chronic disease risk factors among one or more of the following groups:  Black or African American people, American Indian/ Alaska Native people, Hispanic or Latino people, Asian people, and/or Native Hawaiian/Other Pacific Islander people. </w:t>
      </w:r>
    </w:p>
    <w:p w:rsidR="1862A117" w:rsidP="7D4E738C" w14:paraId="75598128" w14:textId="606E1EFC">
      <w:pPr>
        <w:pStyle w:val="ListParagraph"/>
        <w:numPr>
          <w:ilvl w:val="1"/>
          <w:numId w:val="14"/>
        </w:numPr>
        <w:rPr>
          <w:rFonts w:eastAsiaTheme="minorEastAsia"/>
          <w:color w:val="3D4551"/>
          <w:sz w:val="24"/>
          <w:szCs w:val="24"/>
          <w:lang w:val="en"/>
        </w:rPr>
      </w:pPr>
      <w:r w:rsidRPr="7D4E738C">
        <w:rPr>
          <w:rFonts w:eastAsiaTheme="minorEastAsia"/>
          <w:color w:val="3D4551"/>
          <w:sz w:val="24"/>
          <w:szCs w:val="24"/>
        </w:rPr>
        <w:t>Describe the preventable risk factors associated with chronic diseases (hypertension, heart disease, type 2 diabetes, and/or obesity) that the nominee addressed. (5 points)</w:t>
      </w:r>
    </w:p>
    <w:p w:rsidR="1862A117" w:rsidP="7D4E738C" w14:paraId="761DA0CF" w14:textId="468A8E6E">
      <w:pPr>
        <w:ind w:left="720"/>
        <w:rPr>
          <w:rFonts w:eastAsiaTheme="minorEastAsia"/>
          <w:color w:val="3D4551"/>
          <w:sz w:val="24"/>
          <w:szCs w:val="24"/>
          <w:lang w:val="en"/>
        </w:rPr>
      </w:pPr>
      <w:r w:rsidRPr="7D4E738C">
        <w:rPr>
          <w:rFonts w:eastAsiaTheme="minorEastAsia"/>
          <w:color w:val="3D4551"/>
          <w:sz w:val="24"/>
          <w:szCs w:val="24"/>
        </w:rPr>
        <w:t xml:space="preserve">Scoring will be based on the extent to which the risk factor(s) addressed align with the REACH program’s goals of advancing health equity.  Information about past REACH programs can be found here: </w:t>
      </w:r>
      <w:hyperlink r:id="rId10">
        <w:r w:rsidRPr="7D4E738C">
          <w:rPr>
            <w:rFonts w:eastAsiaTheme="minorEastAsia"/>
            <w:color w:val="3D4551"/>
            <w:sz w:val="24"/>
            <w:szCs w:val="24"/>
          </w:rPr>
          <w:t>Past REACH Programs | DNPAO | CDC</w:t>
        </w:r>
      </w:hyperlink>
      <w:r w:rsidRPr="7D4E738C">
        <w:rPr>
          <w:rFonts w:eastAsiaTheme="minorEastAsia"/>
          <w:color w:val="3D4551"/>
          <w:sz w:val="24"/>
          <w:szCs w:val="24"/>
        </w:rPr>
        <w:t xml:space="preserve">. Examples of risk factors that align with the goals of the REACH program include poor nutrition, physical inactivity, inadequate access to clinical services, and tobacco use.   </w:t>
      </w:r>
    </w:p>
    <w:p w:rsidR="1862A117" w:rsidP="7D4E738C" w14:paraId="7BCF776B" w14:textId="0E233059">
      <w:pPr>
        <w:pStyle w:val="ListParagraph"/>
        <w:numPr>
          <w:ilvl w:val="1"/>
          <w:numId w:val="14"/>
        </w:numPr>
        <w:spacing w:before="120"/>
        <w:rPr>
          <w:rFonts w:eastAsiaTheme="minorEastAsia"/>
          <w:color w:val="3D4551"/>
          <w:sz w:val="24"/>
          <w:szCs w:val="24"/>
          <w:lang w:val="en"/>
        </w:rPr>
      </w:pPr>
      <w:r w:rsidRPr="7D4E738C">
        <w:rPr>
          <w:rFonts w:eastAsiaTheme="minorEastAsia"/>
          <w:color w:val="3D4551"/>
          <w:sz w:val="24"/>
          <w:szCs w:val="24"/>
        </w:rPr>
        <w:t xml:space="preserve">Describe any relevant additional community characteristics/challenges that will help the judges understand the context of the community in which the nominee worked. (Not scored).   </w:t>
      </w:r>
    </w:p>
    <w:p w:rsidR="1862A117" w:rsidP="7D4E738C" w14:paraId="1B5C8DA3" w14:textId="33911A94">
      <w:pPr>
        <w:spacing w:before="120"/>
        <w:rPr>
          <w:rFonts w:eastAsiaTheme="minorEastAsia"/>
          <w:color w:val="3D4551"/>
          <w:sz w:val="24"/>
          <w:szCs w:val="24"/>
          <w:lang w:val="en"/>
        </w:rPr>
      </w:pPr>
      <w:r w:rsidRPr="7D4E738C">
        <w:rPr>
          <w:rFonts w:eastAsiaTheme="minorEastAsia"/>
          <w:color w:val="3D4551"/>
          <w:sz w:val="24"/>
          <w:szCs w:val="24"/>
        </w:rPr>
        <w:t xml:space="preserve"> </w:t>
      </w:r>
    </w:p>
    <w:p w:rsidR="1862A117" w:rsidP="7D4E738C" w14:paraId="2DB72CE0" w14:textId="764B5322">
      <w:pPr>
        <w:pStyle w:val="ListParagraph"/>
        <w:numPr>
          <w:ilvl w:val="0"/>
          <w:numId w:val="14"/>
        </w:numPr>
        <w:spacing w:before="120"/>
        <w:rPr>
          <w:rFonts w:eastAsiaTheme="minorEastAsia"/>
          <w:color w:val="3D4551"/>
          <w:sz w:val="24"/>
          <w:szCs w:val="24"/>
          <w:lang w:val="en"/>
        </w:rPr>
      </w:pPr>
      <w:r w:rsidRPr="7D4E738C">
        <w:rPr>
          <w:rFonts w:eastAsiaTheme="minorEastAsia"/>
          <w:color w:val="3D4551"/>
          <w:sz w:val="24"/>
          <w:szCs w:val="24"/>
        </w:rPr>
        <w:t>Strategies - The strategies used by the nominee to address the challenge(s) discussed above.  (40 points)</w:t>
      </w:r>
    </w:p>
    <w:p w:rsidR="1862A117" w:rsidP="7D4E738C" w14:paraId="142CCAC0" w14:textId="1B2855FC">
      <w:pPr>
        <w:pStyle w:val="ListParagraph"/>
        <w:numPr>
          <w:ilvl w:val="1"/>
          <w:numId w:val="14"/>
        </w:numPr>
        <w:spacing w:before="120"/>
        <w:rPr>
          <w:rFonts w:eastAsiaTheme="minorEastAsia"/>
          <w:color w:val="3D4551"/>
          <w:sz w:val="24"/>
          <w:szCs w:val="24"/>
          <w:lang w:val="en"/>
        </w:rPr>
      </w:pPr>
      <w:r w:rsidRPr="7D4E738C">
        <w:rPr>
          <w:rFonts w:eastAsiaTheme="minorEastAsia"/>
          <w:color w:val="3D4551"/>
          <w:sz w:val="24"/>
          <w:szCs w:val="24"/>
        </w:rPr>
        <w:t xml:space="preserve">Describe the strategies that the nominee used to address challenges and how the nominee’s work aligns with the CDC REACH program’s goals of advancing health equity?  (25 points)   </w:t>
      </w:r>
    </w:p>
    <w:p w:rsidR="1862A117" w:rsidP="7D4E738C" w14:paraId="4DCB3205" w14:textId="19253771">
      <w:pPr>
        <w:spacing w:before="120"/>
        <w:rPr>
          <w:rFonts w:eastAsiaTheme="minorEastAsia"/>
          <w:color w:val="3D4551"/>
          <w:sz w:val="24"/>
          <w:szCs w:val="24"/>
          <w:lang w:val="en"/>
        </w:rPr>
      </w:pPr>
      <w:r w:rsidRPr="7D4E738C">
        <w:rPr>
          <w:rFonts w:eastAsiaTheme="minorEastAsia"/>
          <w:color w:val="3D4551"/>
          <w:sz w:val="24"/>
          <w:szCs w:val="24"/>
        </w:rPr>
        <w:t xml:space="preserve"> </w:t>
      </w:r>
      <w:r>
        <w:tab/>
      </w:r>
      <w:r w:rsidRPr="7D4E738C">
        <w:rPr>
          <w:rFonts w:eastAsiaTheme="minorEastAsia"/>
          <w:color w:val="3D4551"/>
          <w:sz w:val="24"/>
          <w:szCs w:val="24"/>
        </w:rPr>
        <w:t xml:space="preserve">Scoring will be based on the extent to which the nominee’s work contributed to </w:t>
      </w:r>
      <w:r>
        <w:tab/>
      </w:r>
      <w:r>
        <w:tab/>
      </w:r>
      <w:r>
        <w:tab/>
      </w:r>
      <w:r w:rsidRPr="7D4E738C">
        <w:rPr>
          <w:rFonts w:eastAsiaTheme="minorEastAsia"/>
          <w:color w:val="3D4551"/>
          <w:sz w:val="24"/>
          <w:szCs w:val="24"/>
        </w:rPr>
        <w:t xml:space="preserve">developing, implementing, and/or evaluating strategies that were: </w:t>
      </w:r>
    </w:p>
    <w:p w:rsidR="1862A117" w:rsidP="7D4E738C" w14:paraId="409E8389" w14:textId="5D7704F0">
      <w:pPr>
        <w:pStyle w:val="ListParagraph"/>
        <w:numPr>
          <w:ilvl w:val="1"/>
          <w:numId w:val="9"/>
        </w:numPr>
        <w:spacing w:before="120"/>
        <w:rPr>
          <w:rFonts w:eastAsiaTheme="minorEastAsia"/>
          <w:color w:val="3D4551"/>
          <w:sz w:val="24"/>
          <w:szCs w:val="24"/>
          <w:lang w:val="en"/>
        </w:rPr>
      </w:pPr>
      <w:r w:rsidRPr="7D4E738C">
        <w:rPr>
          <w:rFonts w:eastAsiaTheme="minorEastAsia"/>
          <w:color w:val="3D4551"/>
          <w:sz w:val="24"/>
          <w:szCs w:val="24"/>
        </w:rPr>
        <w:t xml:space="preserve">Evidence-based or practice-based (5 points) </w:t>
      </w:r>
    </w:p>
    <w:p w:rsidR="1862A117" w:rsidP="7D4E738C" w14:paraId="49403225" w14:textId="2975A87E">
      <w:pPr>
        <w:pStyle w:val="ListParagraph"/>
        <w:numPr>
          <w:ilvl w:val="1"/>
          <w:numId w:val="9"/>
        </w:numPr>
        <w:spacing w:before="120"/>
        <w:rPr>
          <w:rFonts w:eastAsiaTheme="minorEastAsia"/>
          <w:color w:val="3D4551"/>
          <w:sz w:val="24"/>
          <w:szCs w:val="24"/>
          <w:lang w:val="en"/>
        </w:rPr>
      </w:pPr>
      <w:r w:rsidRPr="7D4E738C">
        <w:rPr>
          <w:rFonts w:eastAsiaTheme="minorEastAsia"/>
          <w:color w:val="3D4551"/>
          <w:sz w:val="24"/>
          <w:szCs w:val="24"/>
        </w:rPr>
        <w:t xml:space="preserve">Culturally tailored, and designed to reduce health inequities (10 points) </w:t>
      </w:r>
    </w:p>
    <w:p w:rsidR="1862A117" w:rsidP="7D4E738C" w14:paraId="02B5544F" w14:textId="649B0284">
      <w:pPr>
        <w:pStyle w:val="ListParagraph"/>
        <w:numPr>
          <w:ilvl w:val="1"/>
          <w:numId w:val="9"/>
        </w:numPr>
        <w:spacing w:before="120"/>
        <w:rPr>
          <w:rFonts w:eastAsiaTheme="minorEastAsia"/>
          <w:color w:val="3D4551"/>
          <w:sz w:val="24"/>
          <w:szCs w:val="24"/>
          <w:lang w:val="en"/>
        </w:rPr>
      </w:pPr>
      <w:r w:rsidRPr="7D4E738C">
        <w:rPr>
          <w:rFonts w:eastAsiaTheme="minorEastAsia"/>
          <w:color w:val="3D4551"/>
          <w:sz w:val="24"/>
          <w:szCs w:val="24"/>
        </w:rPr>
        <w:t>Supportive of policy, systems, and/or environmental change (10 points)</w:t>
      </w:r>
    </w:p>
    <w:p w:rsidR="1862A117" w:rsidP="7D4E738C" w14:paraId="500F93B9" w14:textId="641F4ECE">
      <w:pPr>
        <w:pStyle w:val="ListParagraph"/>
        <w:numPr>
          <w:ilvl w:val="1"/>
          <w:numId w:val="14"/>
        </w:numPr>
        <w:spacing w:before="120"/>
        <w:rPr>
          <w:rFonts w:eastAsiaTheme="minorEastAsia"/>
          <w:color w:val="3D4551"/>
          <w:sz w:val="24"/>
          <w:szCs w:val="24"/>
          <w:lang w:val="en"/>
        </w:rPr>
      </w:pPr>
      <w:r w:rsidRPr="7D4E738C">
        <w:rPr>
          <w:rFonts w:eastAsiaTheme="minorEastAsia"/>
          <w:color w:val="3D4551"/>
          <w:sz w:val="24"/>
          <w:szCs w:val="24"/>
        </w:rPr>
        <w:t xml:space="preserve">Describe how the nominee’s work actively and effectively engaged members of the community and partners across different sectors, such as, but not limited to transportation, healthcare, agriculture, emergency food systems, and faith-based organizations. (15 points)  </w:t>
      </w:r>
    </w:p>
    <w:p w:rsidR="1862A117" w:rsidP="7D4E738C" w14:paraId="7DFD6E89" w14:textId="7BA07B9D">
      <w:pPr>
        <w:spacing w:before="120"/>
        <w:rPr>
          <w:rFonts w:eastAsiaTheme="minorEastAsia"/>
          <w:color w:val="3D4551"/>
          <w:sz w:val="24"/>
          <w:szCs w:val="24"/>
          <w:lang w:val="en"/>
        </w:rPr>
      </w:pPr>
      <w:r w:rsidRPr="7D4E738C">
        <w:rPr>
          <w:rFonts w:eastAsiaTheme="minorEastAsia"/>
          <w:color w:val="3D4551"/>
          <w:sz w:val="24"/>
          <w:szCs w:val="24"/>
        </w:rPr>
        <w:t xml:space="preserve"> </w:t>
      </w:r>
      <w:r>
        <w:tab/>
      </w:r>
      <w:r w:rsidRPr="7D4E738C">
        <w:rPr>
          <w:rFonts w:eastAsiaTheme="minorEastAsia"/>
          <w:color w:val="3D4551"/>
          <w:sz w:val="24"/>
          <w:szCs w:val="24"/>
        </w:rPr>
        <w:t xml:space="preserve">Scoring will be based on the extent to which the nominee engaged members of the </w:t>
      </w:r>
      <w:r>
        <w:tab/>
      </w:r>
      <w:r>
        <w:tab/>
      </w:r>
      <w:r w:rsidRPr="7D4E738C">
        <w:rPr>
          <w:rFonts w:eastAsiaTheme="minorEastAsia"/>
          <w:color w:val="3D4551"/>
          <w:sz w:val="24"/>
          <w:szCs w:val="24"/>
        </w:rPr>
        <w:t xml:space="preserve">community and partners across different sectors in identifying and implementing </w:t>
      </w:r>
      <w:r>
        <w:tab/>
      </w:r>
      <w:r>
        <w:tab/>
      </w:r>
      <w:r w:rsidRPr="7D4E738C">
        <w:rPr>
          <w:rFonts w:eastAsiaTheme="minorEastAsia"/>
          <w:color w:val="3D4551"/>
          <w:sz w:val="24"/>
          <w:szCs w:val="24"/>
        </w:rPr>
        <w:t>strategies.</w:t>
      </w:r>
    </w:p>
    <w:p w:rsidR="1862A117" w:rsidP="7D4E738C" w14:paraId="6C195FA5" w14:textId="47DDBFA1">
      <w:pPr>
        <w:pStyle w:val="ListParagraph"/>
        <w:numPr>
          <w:ilvl w:val="0"/>
          <w:numId w:val="14"/>
        </w:numPr>
        <w:spacing w:before="120"/>
        <w:rPr>
          <w:rFonts w:eastAsiaTheme="minorEastAsia"/>
          <w:color w:val="3D4551"/>
          <w:sz w:val="24"/>
          <w:szCs w:val="24"/>
          <w:lang w:val="en"/>
        </w:rPr>
      </w:pPr>
      <w:r w:rsidRPr="7D4E738C">
        <w:rPr>
          <w:rFonts w:eastAsiaTheme="minorEastAsia"/>
          <w:color w:val="3D4551"/>
          <w:sz w:val="24"/>
          <w:szCs w:val="24"/>
        </w:rPr>
        <w:t xml:space="preserve"> Impact—The impact of the nominee’s work on addressing preventable risk factors in a population(s)/group(s) disproportionately affected by chronic diseases. </w:t>
      </w:r>
    </w:p>
    <w:p w:rsidR="1862A117" w:rsidP="7D4E738C" w14:paraId="28AA7575" w14:textId="736B8FF6">
      <w:pPr>
        <w:pStyle w:val="ListParagraph"/>
        <w:numPr>
          <w:ilvl w:val="1"/>
          <w:numId w:val="11"/>
        </w:numPr>
        <w:spacing w:before="120"/>
        <w:rPr>
          <w:rFonts w:eastAsiaTheme="minorEastAsia"/>
          <w:color w:val="3D4551"/>
          <w:sz w:val="24"/>
          <w:szCs w:val="24"/>
          <w:lang w:val="en"/>
        </w:rPr>
      </w:pPr>
      <w:r w:rsidRPr="7D4E738C">
        <w:rPr>
          <w:rFonts w:eastAsiaTheme="minorEastAsia"/>
          <w:color w:val="3D4551"/>
          <w:sz w:val="24"/>
          <w:szCs w:val="24"/>
        </w:rPr>
        <w:t xml:space="preserve">Describe the impact of the nominee’s work on addressing preventable risk factors in populations/groups disproportionately affected by chronic diseases. (20 points)  </w:t>
      </w:r>
    </w:p>
    <w:p w:rsidR="1862A117" w:rsidP="7D4E738C" w14:paraId="6B5DCBCB" w14:textId="75ED44B6">
      <w:pPr>
        <w:pStyle w:val="ListParagraph"/>
        <w:numPr>
          <w:ilvl w:val="2"/>
          <w:numId w:val="11"/>
        </w:numPr>
        <w:spacing w:before="120"/>
        <w:rPr>
          <w:rFonts w:eastAsiaTheme="minorEastAsia"/>
          <w:color w:val="3D4551"/>
          <w:sz w:val="24"/>
          <w:szCs w:val="24"/>
          <w:lang w:val="en"/>
        </w:rPr>
      </w:pPr>
      <w:r w:rsidRPr="7D4E738C">
        <w:rPr>
          <w:rFonts w:eastAsiaTheme="minorEastAsia"/>
          <w:color w:val="3D4551"/>
          <w:sz w:val="24"/>
          <w:szCs w:val="24"/>
        </w:rPr>
        <w:t xml:space="preserve">To the extent possible, provide quantitative data that support impact statements (e.g., number of people served by a strategy, number of people reporting a behavior change, health outcome data if available, etc.). </w:t>
      </w:r>
    </w:p>
    <w:p w:rsidR="1862A117" w:rsidP="7D4E738C" w14:paraId="55C02052" w14:textId="0E8ED4DA">
      <w:pPr>
        <w:pStyle w:val="ListParagraph"/>
        <w:numPr>
          <w:ilvl w:val="2"/>
          <w:numId w:val="11"/>
        </w:numPr>
        <w:spacing w:before="120"/>
        <w:rPr>
          <w:rFonts w:eastAsiaTheme="minorEastAsia"/>
          <w:color w:val="3D4551"/>
          <w:sz w:val="24"/>
          <w:szCs w:val="24"/>
          <w:lang w:val="en"/>
        </w:rPr>
      </w:pPr>
      <w:r w:rsidRPr="7D4E738C">
        <w:rPr>
          <w:rFonts w:eastAsiaTheme="minorEastAsia"/>
          <w:color w:val="3D4551"/>
          <w:sz w:val="24"/>
          <w:szCs w:val="24"/>
        </w:rPr>
        <w:t xml:space="preserve">Provide qualitative data from community members, partners, co-workers, etc., (e.g. success stories, testimonials, etc.) that provide insight into the impact of nominee’s work.  </w:t>
      </w:r>
    </w:p>
    <w:p w:rsidR="1862A117" w:rsidP="7D4E738C" w14:paraId="7226FFAC" w14:textId="508AE168">
      <w:pPr>
        <w:spacing w:before="120"/>
        <w:ind w:left="720"/>
        <w:rPr>
          <w:rFonts w:eastAsiaTheme="minorEastAsia"/>
          <w:color w:val="3D4551"/>
          <w:sz w:val="24"/>
          <w:szCs w:val="24"/>
          <w:lang w:val="en"/>
        </w:rPr>
      </w:pPr>
      <w:r w:rsidRPr="7D4E738C">
        <w:rPr>
          <w:rFonts w:eastAsiaTheme="minorEastAsia"/>
          <w:color w:val="3D4551"/>
          <w:sz w:val="24"/>
          <w:szCs w:val="24"/>
        </w:rPr>
        <w:t>Scoring will be based on the extent to which the nominee’s work resulted in progress toward addressing preventable risk factors in the population(s)/group(s) identified in Section 1.  While quantitative data is not required, nominations that include quantitative and qualitative data are more likely to paint a more complete picture of the nominee’s contributions and their impact on the community.</w:t>
      </w:r>
    </w:p>
    <w:p w:rsidR="396C609D" w:rsidP="7D4E738C" w14:paraId="1F3BF3B5" w14:textId="7BB5812A">
      <w:pPr>
        <w:spacing w:beforeAutospacing="1" w:afterAutospacing="1" w:line="240" w:lineRule="auto"/>
        <w:rPr>
          <w:rFonts w:eastAsiaTheme="minorEastAsia"/>
          <w:color w:val="3D4551"/>
          <w:sz w:val="24"/>
          <w:szCs w:val="24"/>
          <w:lang w:val="en"/>
        </w:rPr>
      </w:pPr>
    </w:p>
    <w:p w:rsidR="396C609D" w:rsidP="28BC161E" w14:paraId="018A3F56" w14:textId="1C7323A0">
      <w:pPr>
        <w:spacing w:beforeAutospacing="1" w:afterAutospacing="1" w:line="240" w:lineRule="auto"/>
        <w:rPr>
          <w:rFonts w:eastAsiaTheme="minorEastAsia"/>
          <w:color w:val="3D4551"/>
          <w:sz w:val="24"/>
          <w:szCs w:val="24"/>
          <w:lang w:val="en"/>
        </w:rPr>
      </w:pPr>
      <w:r w:rsidRPr="7EE103A3">
        <w:rPr>
          <w:rFonts w:eastAsiaTheme="minorEastAsia"/>
          <w:color w:val="3D4551"/>
          <w:sz w:val="24"/>
          <w:szCs w:val="24"/>
          <w:lang w:val="en"/>
        </w:rPr>
        <w:t xml:space="preserve">Judges will use </w:t>
      </w:r>
      <w:r w:rsidRPr="7EE103A3" w:rsidR="4923F393">
        <w:rPr>
          <w:rFonts w:eastAsiaTheme="minorEastAsia"/>
          <w:color w:val="3D4551"/>
          <w:sz w:val="24"/>
          <w:szCs w:val="24"/>
          <w:lang w:val="en"/>
        </w:rPr>
        <w:t>the</w:t>
      </w:r>
      <w:r w:rsidRPr="7EE103A3">
        <w:rPr>
          <w:rFonts w:eastAsiaTheme="minorEastAsia"/>
          <w:color w:val="3D4551"/>
          <w:sz w:val="24"/>
          <w:szCs w:val="24"/>
          <w:lang w:val="en"/>
        </w:rPr>
        <w:t xml:space="preserve"> point system</w:t>
      </w:r>
      <w:r w:rsidRPr="7EE103A3" w:rsidR="3AE2FF22">
        <w:rPr>
          <w:rFonts w:eastAsiaTheme="minorEastAsia"/>
          <w:color w:val="3D4551"/>
          <w:sz w:val="24"/>
          <w:szCs w:val="24"/>
          <w:lang w:val="en"/>
        </w:rPr>
        <w:t xml:space="preserve"> </w:t>
      </w:r>
      <w:r w:rsidRPr="7EE103A3" w:rsidR="68E06A44">
        <w:rPr>
          <w:rFonts w:eastAsiaTheme="minorEastAsia"/>
          <w:color w:val="3D4551"/>
          <w:sz w:val="24"/>
          <w:szCs w:val="24"/>
          <w:lang w:val="en"/>
        </w:rPr>
        <w:t>(identified</w:t>
      </w:r>
      <w:r w:rsidRPr="7EE103A3" w:rsidR="3AE2FF22">
        <w:rPr>
          <w:rFonts w:eastAsiaTheme="minorEastAsia"/>
          <w:color w:val="3D4551"/>
          <w:sz w:val="24"/>
          <w:szCs w:val="24"/>
          <w:lang w:val="en"/>
        </w:rPr>
        <w:t xml:space="preserve"> in</w:t>
      </w:r>
      <w:r w:rsidRPr="7EE103A3" w:rsidR="07C8D8C5">
        <w:rPr>
          <w:rFonts w:eastAsiaTheme="minorEastAsia"/>
          <w:color w:val="3D4551"/>
          <w:sz w:val="24"/>
          <w:szCs w:val="24"/>
          <w:lang w:val="en"/>
        </w:rPr>
        <w:t xml:space="preserve"> the judging criteria</w:t>
      </w:r>
      <w:r w:rsidRPr="7EE103A3" w:rsidR="3AE2FF22">
        <w:rPr>
          <w:rFonts w:eastAsiaTheme="minorEastAsia"/>
          <w:color w:val="3D4551"/>
          <w:sz w:val="24"/>
          <w:szCs w:val="24"/>
          <w:lang w:val="en"/>
        </w:rPr>
        <w:t xml:space="preserve"> </w:t>
      </w:r>
      <w:r w:rsidRPr="7EE103A3" w:rsidR="671B4B5D">
        <w:rPr>
          <w:rFonts w:eastAsiaTheme="minorEastAsia"/>
          <w:color w:val="3D4551"/>
          <w:sz w:val="24"/>
          <w:szCs w:val="24"/>
          <w:lang w:val="en"/>
        </w:rPr>
        <w:t>above</w:t>
      </w:r>
      <w:r w:rsidRPr="7EE103A3" w:rsidR="62459E7D">
        <w:rPr>
          <w:rFonts w:eastAsiaTheme="minorEastAsia"/>
          <w:color w:val="3D4551"/>
          <w:sz w:val="24"/>
          <w:szCs w:val="24"/>
          <w:lang w:val="en"/>
        </w:rPr>
        <w:t>)</w:t>
      </w:r>
      <w:r w:rsidRPr="7EE103A3" w:rsidR="671B4B5D">
        <w:rPr>
          <w:rFonts w:eastAsiaTheme="minorEastAsia"/>
          <w:color w:val="3D4551"/>
          <w:sz w:val="24"/>
          <w:szCs w:val="24"/>
          <w:lang w:val="en"/>
        </w:rPr>
        <w:t xml:space="preserve"> </w:t>
      </w:r>
      <w:r w:rsidRPr="7EE103A3" w:rsidR="3AE2FF22">
        <w:rPr>
          <w:rFonts w:eastAsiaTheme="minorEastAsia"/>
          <w:color w:val="3D4551"/>
          <w:sz w:val="24"/>
          <w:szCs w:val="24"/>
          <w:lang w:val="en"/>
        </w:rPr>
        <w:t xml:space="preserve">to </w:t>
      </w:r>
      <w:r w:rsidRPr="7EE103A3">
        <w:rPr>
          <w:rFonts w:eastAsiaTheme="minorEastAsia"/>
          <w:color w:val="3D4551"/>
          <w:sz w:val="24"/>
          <w:szCs w:val="24"/>
          <w:lang w:val="en"/>
        </w:rPr>
        <w:t>select the winner</w:t>
      </w:r>
      <w:r w:rsidRPr="7EE103A3" w:rsidR="026BA209">
        <w:rPr>
          <w:rFonts w:eastAsiaTheme="minorEastAsia"/>
          <w:color w:val="3D4551"/>
          <w:sz w:val="24"/>
          <w:szCs w:val="24"/>
          <w:lang w:val="en"/>
        </w:rPr>
        <w:t>(s)</w:t>
      </w:r>
      <w:r w:rsidRPr="7EE103A3" w:rsidR="5F424483">
        <w:rPr>
          <w:rFonts w:eastAsiaTheme="minorEastAsia"/>
          <w:color w:val="3D4551"/>
          <w:sz w:val="24"/>
          <w:szCs w:val="24"/>
          <w:lang w:val="en"/>
        </w:rPr>
        <w:t>.</w:t>
      </w:r>
      <w:r w:rsidRPr="7EE103A3">
        <w:rPr>
          <w:rFonts w:eastAsiaTheme="minorEastAsia"/>
          <w:color w:val="3D4551"/>
          <w:sz w:val="24"/>
          <w:szCs w:val="24"/>
          <w:lang w:val="en"/>
        </w:rPr>
        <w:t xml:space="preserve"> </w:t>
      </w:r>
    </w:p>
    <w:p w:rsidR="28BC161E" w:rsidP="28BC161E" w14:paraId="312A9662" w14:textId="28005659">
      <w:pPr>
        <w:spacing w:beforeAutospacing="1" w:afterAutospacing="1" w:line="240" w:lineRule="auto"/>
        <w:rPr>
          <w:rFonts w:eastAsiaTheme="minorEastAsia"/>
          <w:color w:val="3D4551"/>
          <w:sz w:val="24"/>
          <w:szCs w:val="24"/>
          <w:lang w:val="en"/>
        </w:rPr>
      </w:pPr>
    </w:p>
    <w:p w:rsidR="31D69C13" w:rsidP="7D4E738C" w14:paraId="42CB2F9E" w14:textId="76D34333">
      <w:pPr>
        <w:spacing w:beforeAutospacing="1" w:afterAutospacing="1" w:line="240" w:lineRule="auto"/>
        <w:rPr>
          <w:rFonts w:eastAsiaTheme="minorEastAsia"/>
          <w:color w:val="3D4551"/>
          <w:sz w:val="24"/>
          <w:szCs w:val="24"/>
          <w:lang w:val="en"/>
        </w:rPr>
      </w:pPr>
      <w:r w:rsidRPr="7D4E738C">
        <w:rPr>
          <w:rFonts w:eastAsiaTheme="minorEastAsia"/>
          <w:color w:val="3D4551"/>
          <w:sz w:val="24"/>
          <w:szCs w:val="24"/>
          <w:lang w:val="en"/>
        </w:rPr>
        <w:t>Applicants can also submit supplemental materials that demonstrate the nominee’s work and/or impact. Supplemental materials are not to exceed 10 total pages. Examples of supplementary materials include: PDF of online content, and other forms of written materials e.g., news articles, evaluation reports, or success stories.</w:t>
      </w:r>
    </w:p>
    <w:p w:rsidR="7D4E738C" w:rsidP="7D4E738C" w14:paraId="482334AB" w14:textId="38857B14">
      <w:pPr>
        <w:spacing w:beforeAutospacing="1" w:afterAutospacing="1" w:line="240" w:lineRule="auto"/>
        <w:rPr>
          <w:rFonts w:eastAsiaTheme="minorEastAsia"/>
          <w:color w:val="3D4551"/>
          <w:sz w:val="24"/>
          <w:szCs w:val="24"/>
          <w:lang w:val="en"/>
        </w:rPr>
      </w:pPr>
    </w:p>
    <w:p w:rsidR="0083621F" w:rsidRPr="0083621F" w:rsidP="06BC75E7" w14:paraId="5355EC6E" w14:textId="485188E2">
      <w:pPr>
        <w:spacing w:before="100" w:beforeAutospacing="1" w:after="100" w:afterAutospacing="1" w:line="240" w:lineRule="auto"/>
        <w:rPr>
          <w:rFonts w:eastAsiaTheme="minorEastAsia"/>
          <w:color w:val="3D4551"/>
          <w:sz w:val="24"/>
          <w:szCs w:val="24"/>
          <w:lang w:val="en"/>
        </w:rPr>
      </w:pPr>
      <w:r w:rsidRPr="06BC75E7">
        <w:rPr>
          <w:rFonts w:eastAsiaTheme="minorEastAsia"/>
          <w:color w:val="3D4551"/>
          <w:sz w:val="24"/>
          <w:szCs w:val="24"/>
          <w:lang w:val="en"/>
        </w:rPr>
        <w:t xml:space="preserve">After the selection process is completed, top applicants (inclusive of the winner(s)) may be asked to participate in a telephone discussion about the interventions used by the individual or team to successfully </w:t>
      </w:r>
      <w:r w:rsidRPr="06BC75E7" w:rsidR="2BEF6F20">
        <w:rPr>
          <w:rFonts w:eastAsiaTheme="minorEastAsia"/>
          <w:color w:val="3D4551"/>
          <w:sz w:val="24"/>
          <w:szCs w:val="24"/>
          <w:lang w:val="en"/>
        </w:rPr>
        <w:t>advance</w:t>
      </w:r>
      <w:r w:rsidRPr="06BC75E7">
        <w:rPr>
          <w:rFonts w:eastAsiaTheme="minorEastAsia"/>
          <w:color w:val="3D4551"/>
          <w:sz w:val="24"/>
          <w:szCs w:val="24"/>
          <w:lang w:val="en"/>
        </w:rPr>
        <w:t xml:space="preserve"> health equity and reduce health disparities. Themes from these discussions may be shared publicly to provide information to promote innovative interventions that le</w:t>
      </w:r>
      <w:r w:rsidRPr="06BC75E7" w:rsidR="03EA4A83">
        <w:rPr>
          <w:rFonts w:eastAsiaTheme="minorEastAsia"/>
          <w:color w:val="3D4551"/>
          <w:sz w:val="24"/>
          <w:szCs w:val="24"/>
          <w:lang w:val="en"/>
        </w:rPr>
        <w:t>a</w:t>
      </w:r>
      <w:r w:rsidRPr="06BC75E7">
        <w:rPr>
          <w:rFonts w:eastAsiaTheme="minorEastAsia"/>
          <w:color w:val="3D4551"/>
          <w:sz w:val="24"/>
          <w:szCs w:val="24"/>
          <w:lang w:val="en"/>
        </w:rPr>
        <w:t>d to progress toward reducing health disparities.</w:t>
      </w:r>
      <w:r w:rsidRPr="06BC75E7" w:rsidR="463B2ED4">
        <w:rPr>
          <w:rFonts w:eastAsiaTheme="minorEastAsia"/>
          <w:color w:val="3D4551"/>
          <w:sz w:val="24"/>
          <w:szCs w:val="24"/>
          <w:lang w:val="en"/>
        </w:rPr>
        <w:t xml:space="preserve"> </w:t>
      </w:r>
      <w:r w:rsidRPr="06BC75E7">
        <w:rPr>
          <w:rFonts w:eastAsiaTheme="minorEastAsia"/>
          <w:color w:val="3D4551"/>
          <w:sz w:val="24"/>
          <w:szCs w:val="24"/>
          <w:lang w:val="en"/>
        </w:rPr>
        <w:t>Applicants and the winner (including all members of the team, if a team is selected as the winner) must comply with all terms and conditions of these official rules. Winning is contingent upon fulfilling all requirements herein. CDC will notify the winner by e-mail, telephone, or mail after the date of the judging.</w:t>
      </w:r>
    </w:p>
    <w:p w:rsidR="396C609D" w:rsidP="7D4E738C" w14:paraId="41DBCB36" w14:textId="33474CCA">
      <w:pPr>
        <w:spacing w:beforeAutospacing="1" w:afterAutospacing="1" w:line="240" w:lineRule="auto"/>
        <w:outlineLvl w:val="2"/>
        <w:rPr>
          <w:rFonts w:eastAsiaTheme="minorEastAsia"/>
          <w:b/>
          <w:bCs/>
          <w:color w:val="C05600"/>
          <w:sz w:val="24"/>
          <w:szCs w:val="24"/>
          <w:lang w:val="en"/>
        </w:rPr>
      </w:pPr>
    </w:p>
    <w:p w:rsidR="7EE103A3" w:rsidP="7EE103A3" w14:paraId="391535A3" w14:textId="587DB1C0">
      <w:pPr>
        <w:spacing w:beforeAutospacing="1" w:afterAutospacing="1" w:line="240" w:lineRule="auto"/>
        <w:outlineLvl w:val="2"/>
        <w:rPr>
          <w:rFonts w:eastAsiaTheme="minorEastAsia"/>
          <w:b/>
          <w:bCs/>
          <w:color w:val="C05600"/>
          <w:sz w:val="24"/>
          <w:szCs w:val="24"/>
          <w:lang w:val="en"/>
        </w:rPr>
      </w:pPr>
    </w:p>
    <w:p w:rsidR="0083621F" w:rsidRPr="0083621F" w:rsidP="11579072" w14:paraId="225C2C54" w14:textId="77777777">
      <w:pPr>
        <w:spacing w:before="100" w:beforeAutospacing="1" w:after="100" w:afterAutospacing="1" w:line="240" w:lineRule="auto"/>
        <w:outlineLvl w:val="2"/>
        <w:rPr>
          <w:rFonts w:eastAsiaTheme="minorEastAsia"/>
          <w:b/>
          <w:bCs/>
          <w:color w:val="auto"/>
          <w:sz w:val="24"/>
          <w:szCs w:val="24"/>
          <w:lang w:val="en"/>
        </w:rPr>
      </w:pPr>
      <w:r w:rsidRPr="11579072">
        <w:rPr>
          <w:rFonts w:eastAsiaTheme="minorEastAsia"/>
          <w:b/>
          <w:bCs/>
          <w:color w:val="auto"/>
          <w:sz w:val="24"/>
          <w:szCs w:val="24"/>
          <w:lang w:val="en"/>
        </w:rPr>
        <w:t>How To Enter</w:t>
      </w:r>
    </w:p>
    <w:p w:rsidR="0083621F" w:rsidP="11579072" w14:paraId="12673E2A" w14:textId="21A6D2F3">
      <w:pPr>
        <w:spacing w:beforeAutospacing="1" w:afterAutospacing="1" w:line="240" w:lineRule="auto"/>
        <w:rPr>
          <w:rFonts w:eastAsiaTheme="minorEastAsia"/>
          <w:color w:val="auto"/>
          <w:sz w:val="24"/>
          <w:szCs w:val="24"/>
          <w:lang w:val="en"/>
        </w:rPr>
      </w:pPr>
      <w:r w:rsidRPr="11579072">
        <w:rPr>
          <w:rFonts w:eastAsiaTheme="minorEastAsia"/>
          <w:color w:val="auto"/>
          <w:sz w:val="24"/>
          <w:szCs w:val="24"/>
          <w:lang w:val="en"/>
        </w:rPr>
        <w:t xml:space="preserve">To compete for this award, individuals and entities must submit an application form. </w:t>
      </w:r>
      <w:r w:rsidRPr="11579072" w:rsidR="10F96387">
        <w:rPr>
          <w:rFonts w:eastAsiaTheme="minorEastAsia"/>
          <w:color w:val="auto"/>
          <w:sz w:val="24"/>
          <w:szCs w:val="24"/>
          <w:lang w:val="en"/>
        </w:rPr>
        <w:t>The application requires responses to questions related to eligibility, followed by three questions related to the nominee’s work; the answer to each of the three questions should be no longer than 300 words.</w:t>
      </w:r>
    </w:p>
    <w:p w:rsidR="396C609D" w:rsidP="11579072" w14:paraId="406B4B40" w14:textId="371807AD">
      <w:pPr>
        <w:spacing w:beforeAutospacing="1" w:afterAutospacing="1" w:line="240" w:lineRule="auto"/>
        <w:rPr>
          <w:rFonts w:eastAsiaTheme="minorEastAsia"/>
          <w:color w:val="auto"/>
          <w:sz w:val="24"/>
          <w:szCs w:val="24"/>
          <w:lang w:val="en"/>
        </w:rPr>
      </w:pPr>
    </w:p>
    <w:p w:rsidR="0083621F" w:rsidRPr="0083621F" w:rsidP="11579072" w14:paraId="0F944D21" w14:textId="77777777">
      <w:pPr>
        <w:spacing w:before="100" w:beforeAutospacing="1" w:after="100" w:afterAutospacing="1" w:line="240" w:lineRule="auto"/>
        <w:rPr>
          <w:rFonts w:eastAsiaTheme="minorEastAsia"/>
          <w:color w:val="auto"/>
          <w:sz w:val="24"/>
          <w:szCs w:val="24"/>
          <w:lang w:val="en"/>
        </w:rPr>
      </w:pPr>
      <w:r w:rsidRPr="11579072">
        <w:rPr>
          <w:rFonts w:eastAsiaTheme="minorEastAsia"/>
          <w:color w:val="auto"/>
          <w:sz w:val="24"/>
          <w:szCs w:val="24"/>
          <w:lang w:val="en"/>
        </w:rPr>
        <w:t xml:space="preserve">If you have questions, send an email to the challenge manager using the information under </w:t>
      </w:r>
      <w:r w:rsidRPr="11579072">
        <w:rPr>
          <w:rFonts w:eastAsiaTheme="minorEastAsia"/>
          <w:b/>
          <w:bCs/>
          <w:color w:val="auto"/>
          <w:sz w:val="24"/>
          <w:szCs w:val="24"/>
          <w:lang w:val="en"/>
        </w:rPr>
        <w:t>Point of Contact</w:t>
      </w:r>
      <w:r w:rsidRPr="11579072">
        <w:rPr>
          <w:rFonts w:eastAsiaTheme="minorEastAsia"/>
          <w:color w:val="auto"/>
          <w:sz w:val="24"/>
          <w:szCs w:val="24"/>
          <w:lang w:val="en"/>
        </w:rPr>
        <w:t>. Use the words "REACH Lark Award" in the subject line.</w:t>
      </w:r>
    </w:p>
    <w:p w:rsidR="396C609D" w:rsidP="11579072" w14:paraId="4AB209B6" w14:textId="30DFE847">
      <w:pPr>
        <w:spacing w:beforeAutospacing="1" w:afterAutospacing="1" w:line="240" w:lineRule="auto"/>
        <w:outlineLvl w:val="2"/>
        <w:rPr>
          <w:rFonts w:eastAsiaTheme="minorEastAsia"/>
          <w:b/>
          <w:bCs/>
          <w:color w:val="auto"/>
          <w:sz w:val="24"/>
          <w:szCs w:val="24"/>
          <w:lang w:val="en"/>
        </w:rPr>
      </w:pPr>
    </w:p>
    <w:p w:rsidR="0083621F" w:rsidRPr="0083621F" w:rsidP="11579072" w14:paraId="475FA462" w14:textId="77777777">
      <w:pPr>
        <w:spacing w:before="100" w:beforeAutospacing="1" w:after="100" w:afterAutospacing="1" w:line="240" w:lineRule="auto"/>
        <w:outlineLvl w:val="2"/>
        <w:rPr>
          <w:rFonts w:eastAsiaTheme="minorEastAsia"/>
          <w:b/>
          <w:bCs/>
          <w:color w:val="auto"/>
          <w:sz w:val="24"/>
          <w:szCs w:val="24"/>
          <w:lang w:val="en"/>
        </w:rPr>
      </w:pPr>
      <w:r w:rsidRPr="11579072">
        <w:rPr>
          <w:rFonts w:eastAsiaTheme="minorEastAsia"/>
          <w:b/>
          <w:bCs/>
          <w:color w:val="auto"/>
          <w:sz w:val="24"/>
          <w:szCs w:val="24"/>
          <w:lang w:val="en"/>
        </w:rPr>
        <w:t>Point of Contact</w:t>
      </w:r>
    </w:p>
    <w:p w:rsidR="33CE4A1C" w:rsidP="7EE103A3" w14:paraId="74BBD41F" w14:textId="6583BFC6">
      <w:pPr>
        <w:rPr>
          <w:rFonts w:ascii="Calibri" w:eastAsia="Calibri" w:hAnsi="Calibri" w:cs="Calibri"/>
          <w:sz w:val="24"/>
          <w:szCs w:val="24"/>
          <w:lang w:val="en"/>
        </w:rPr>
      </w:pPr>
      <w:r w:rsidRPr="11579072">
        <w:rPr>
          <w:rFonts w:ascii="Calibri" w:eastAsia="Calibri" w:hAnsi="Calibri" w:cs="Calibri"/>
          <w:color w:val="auto"/>
        </w:rPr>
        <w:t xml:space="preserve"> Division of Nutritio</w:t>
      </w:r>
      <w:r w:rsidRPr="11579072">
        <w:rPr>
          <w:rFonts w:ascii="Calibri" w:eastAsia="Calibri" w:hAnsi="Calibri" w:cs="Calibri"/>
          <w:color w:val="000000" w:themeColor="text1" w:themeShade="FF" w:themeTint="FF"/>
        </w:rPr>
        <w:t xml:space="preserve">n, Physical Activity and Obesity Policy Office: </w:t>
      </w:r>
      <w:hyperlink r:id="rId11">
        <w:r w:rsidRPr="11579072">
          <w:rPr>
            <w:rStyle w:val="Hyperlink"/>
            <w:rFonts w:ascii="Calibri" w:eastAsia="Calibri" w:hAnsi="Calibri" w:cs="Calibri"/>
          </w:rPr>
          <w:t>dnpaopolicy@cdc.gov</w:t>
        </w:r>
      </w:hyperlink>
      <w:r w:rsidRPr="11579072">
        <w:rPr>
          <w:rFonts w:ascii="Calibri" w:eastAsia="Calibri" w:hAnsi="Calibri" w:cs="Calibri"/>
          <w:color w:val="000000" w:themeColor="text1" w:themeShade="FF" w:themeTint="FF"/>
        </w:rPr>
        <w:t xml:space="preserve">  </w:t>
      </w:r>
      <w:r w:rsidRPr="11579072">
        <w:rPr>
          <w:rFonts w:ascii="Calibri" w:eastAsia="Calibri" w:hAnsi="Calibri" w:cs="Calibri"/>
          <w:sz w:val="24"/>
          <w:szCs w:val="24"/>
          <w:lang w:val="en"/>
        </w:rPr>
        <w:t xml:space="preserve"> </w:t>
      </w:r>
    </w:p>
    <w:p w:rsidR="7EE103A3" w:rsidP="7EE103A3" w14:paraId="4C0D71CA" w14:textId="3E4B25ED">
      <w:pPr>
        <w:spacing w:beforeAutospacing="1" w:afterAutospacing="1" w:line="240" w:lineRule="auto"/>
        <w:rPr>
          <w:rFonts w:eastAsiaTheme="minorEastAsia"/>
          <w:b/>
          <w:bCs/>
          <w:color w:val="005EA2"/>
          <w:sz w:val="24"/>
          <w:szCs w:val="24"/>
          <w:u w:val="single"/>
          <w:lang w:val="en"/>
        </w:rPr>
      </w:pPr>
    </w:p>
    <w:p w:rsidR="00FC70C6" w:rsidP="7D4E738C" w14:paraId="0D6980AC" w14:textId="77777777">
      <w:pPr>
        <w:rPr>
          <w:rFonts w:eastAsiaTheme="minorEastAsia"/>
          <w:sz w:val="24"/>
          <w:szCs w:val="24"/>
        </w:rPr>
      </w:pPr>
    </w:p>
    <w:sectPr w:rsidSect="00D26908">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D8F99"/>
    <w:multiLevelType w:val="hybridMultilevel"/>
    <w:tmpl w:val="5CAEF068"/>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A637B"/>
    <w:multiLevelType w:val="hybridMultilevel"/>
    <w:tmpl w:val="E5021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2A5B9C"/>
    <w:multiLevelType w:val="hybridMultilevel"/>
    <w:tmpl w:val="C19E3B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AD857F"/>
    <w:multiLevelType w:val="hybridMultilevel"/>
    <w:tmpl w:val="09F8EAB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7E1E42"/>
    <w:multiLevelType w:val="multilevel"/>
    <w:tmpl w:val="CA886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4796AA"/>
    <w:multiLevelType w:val="hybridMultilevel"/>
    <w:tmpl w:val="FE3A96D4"/>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673835"/>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D4E39A"/>
    <w:multiLevelType w:val="hybridMultilevel"/>
    <w:tmpl w:val="ECF8640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D742CA"/>
    <w:multiLevelType w:val="hybridMultilevel"/>
    <w:tmpl w:val="0000000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6D39EC7"/>
    <w:multiLevelType w:val="hybridMultilevel"/>
    <w:tmpl w:val="9C5E5AE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4AAC66"/>
    <w:multiLevelType w:val="multilevel"/>
    <w:tmpl w:val="4E90835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DA2504"/>
    <w:multiLevelType w:val="hybridMultilevel"/>
    <w:tmpl w:val="26026966"/>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A58A26"/>
    <w:multiLevelType w:val="hybridMultilevel"/>
    <w:tmpl w:val="000000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2007CF6"/>
    <w:multiLevelType w:val="hybridMultilevel"/>
    <w:tmpl w:val="000000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49A205D9"/>
    <w:multiLevelType w:val="multilevel"/>
    <w:tmpl w:val="F156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ADF95E"/>
    <w:multiLevelType w:val="hybridMultilevel"/>
    <w:tmpl w:val="CC8EE4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5230F05"/>
    <w:multiLevelType w:val="hybridMultilevel"/>
    <w:tmpl w:val="C2581AA4"/>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0EA708"/>
    <w:multiLevelType w:val="hybridMultilevel"/>
    <w:tmpl w:val="FA6465F2"/>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E03A3C"/>
    <w:multiLevelType w:val="multilevel"/>
    <w:tmpl w:val="954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53D40C"/>
    <w:multiLevelType w:val="multilevel"/>
    <w:tmpl w:val="48E2929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6FC2161"/>
    <w:multiLevelType w:val="hybridMultilevel"/>
    <w:tmpl w:val="0000000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DA379C7"/>
    <w:multiLevelType w:val="hybridMultilevel"/>
    <w:tmpl w:val="2B8E3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0663CF9"/>
    <w:multiLevelType w:val="multilevel"/>
    <w:tmpl w:val="CC3E0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8B5E57"/>
    <w:multiLevelType w:val="multilevel"/>
    <w:tmpl w:val="024683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350FA1"/>
    <w:multiLevelType w:val="multilevel"/>
    <w:tmpl w:val="68725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BB7F24"/>
    <w:multiLevelType w:val="hybridMultilevel"/>
    <w:tmpl w:val="A1665C4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C4982FB"/>
    <w:multiLevelType w:val="hybridMultilevel"/>
    <w:tmpl w:val="A04AB2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59DA14"/>
    <w:multiLevelType w:val="multilevel"/>
    <w:tmpl w:val="0CC4089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FEEA7D5"/>
    <w:multiLevelType w:val="hybridMultilevel"/>
    <w:tmpl w:val="2F80B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0"/>
  </w:num>
  <w:num w:numId="3">
    <w:abstractNumId w:val="6"/>
  </w:num>
  <w:num w:numId="4">
    <w:abstractNumId w:val="13"/>
  </w:num>
  <w:num w:numId="5">
    <w:abstractNumId w:val="12"/>
  </w:num>
  <w:num w:numId="6" w16cid:durableId="1356078491">
    <w:abstractNumId w:val="15"/>
  </w:num>
  <w:num w:numId="7" w16cid:durableId="1925869518">
    <w:abstractNumId w:val="10"/>
  </w:num>
  <w:num w:numId="8" w16cid:durableId="772669495">
    <w:abstractNumId w:val="21"/>
  </w:num>
  <w:num w:numId="9" w16cid:durableId="1612544883">
    <w:abstractNumId w:val="2"/>
  </w:num>
  <w:num w:numId="10" w16cid:durableId="164901041">
    <w:abstractNumId w:val="11"/>
  </w:num>
  <w:num w:numId="11" w16cid:durableId="1857579766">
    <w:abstractNumId w:val="25"/>
  </w:num>
  <w:num w:numId="12" w16cid:durableId="1339309778">
    <w:abstractNumId w:val="27"/>
  </w:num>
  <w:num w:numId="13" w16cid:durableId="1399285467">
    <w:abstractNumId w:val="19"/>
  </w:num>
  <w:num w:numId="14" w16cid:durableId="759372744">
    <w:abstractNumId w:val="4"/>
  </w:num>
  <w:num w:numId="15" w16cid:durableId="699673039">
    <w:abstractNumId w:val="3"/>
  </w:num>
  <w:num w:numId="16" w16cid:durableId="737635049">
    <w:abstractNumId w:val="5"/>
  </w:num>
  <w:num w:numId="17" w16cid:durableId="1263151186">
    <w:abstractNumId w:val="16"/>
  </w:num>
  <w:num w:numId="18" w16cid:durableId="796335297">
    <w:abstractNumId w:val="1"/>
  </w:num>
  <w:num w:numId="19" w16cid:durableId="697969450">
    <w:abstractNumId w:val="9"/>
  </w:num>
  <w:num w:numId="20" w16cid:durableId="1335837713">
    <w:abstractNumId w:val="17"/>
  </w:num>
  <w:num w:numId="21" w16cid:durableId="1415201706">
    <w:abstractNumId w:val="0"/>
  </w:num>
  <w:num w:numId="22" w16cid:durableId="1110514070">
    <w:abstractNumId w:val="7"/>
  </w:num>
  <w:num w:numId="23" w16cid:durableId="856502424">
    <w:abstractNumId w:val="26"/>
  </w:num>
  <w:num w:numId="24" w16cid:durableId="786706462">
    <w:abstractNumId w:val="28"/>
  </w:num>
  <w:num w:numId="25" w16cid:durableId="1064258788">
    <w:abstractNumId w:val="14"/>
  </w:num>
  <w:num w:numId="26" w16cid:durableId="133565292">
    <w:abstractNumId w:val="23"/>
  </w:num>
  <w:num w:numId="27" w16cid:durableId="269820663">
    <w:abstractNumId w:val="22"/>
  </w:num>
  <w:num w:numId="28" w16cid:durableId="1420760777">
    <w:abstractNumId w:val="24"/>
  </w:num>
  <w:num w:numId="29" w16cid:durableId="305472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1F"/>
    <w:rsid w:val="0047263E"/>
    <w:rsid w:val="005D403C"/>
    <w:rsid w:val="00689521"/>
    <w:rsid w:val="006F62D8"/>
    <w:rsid w:val="007733EB"/>
    <w:rsid w:val="007F65F1"/>
    <w:rsid w:val="0083621F"/>
    <w:rsid w:val="009800D9"/>
    <w:rsid w:val="00A14B9E"/>
    <w:rsid w:val="00C95525"/>
    <w:rsid w:val="00D26908"/>
    <w:rsid w:val="00FC70C6"/>
    <w:rsid w:val="0141D71A"/>
    <w:rsid w:val="01BBE3E6"/>
    <w:rsid w:val="01BC8F98"/>
    <w:rsid w:val="0251A8EF"/>
    <w:rsid w:val="026BA209"/>
    <w:rsid w:val="02D4529B"/>
    <w:rsid w:val="02E16596"/>
    <w:rsid w:val="03D450F3"/>
    <w:rsid w:val="03EA4A83"/>
    <w:rsid w:val="04DAC5D3"/>
    <w:rsid w:val="060143B0"/>
    <w:rsid w:val="068E6191"/>
    <w:rsid w:val="069715C4"/>
    <w:rsid w:val="06BC75E7"/>
    <w:rsid w:val="06E9A345"/>
    <w:rsid w:val="075318B3"/>
    <w:rsid w:val="07C8D8C5"/>
    <w:rsid w:val="08FCA294"/>
    <w:rsid w:val="090308E6"/>
    <w:rsid w:val="093A119F"/>
    <w:rsid w:val="09E33D84"/>
    <w:rsid w:val="09EEABB2"/>
    <w:rsid w:val="0B2F67E4"/>
    <w:rsid w:val="0C832009"/>
    <w:rsid w:val="0CCB3845"/>
    <w:rsid w:val="0CE460A2"/>
    <w:rsid w:val="0DB4D906"/>
    <w:rsid w:val="0E803103"/>
    <w:rsid w:val="0F80B3B6"/>
    <w:rsid w:val="0FDB024E"/>
    <w:rsid w:val="10CBEDA5"/>
    <w:rsid w:val="10F96387"/>
    <w:rsid w:val="11579072"/>
    <w:rsid w:val="11BDBA06"/>
    <w:rsid w:val="11E0A7C4"/>
    <w:rsid w:val="1236B5B6"/>
    <w:rsid w:val="128A6E1E"/>
    <w:rsid w:val="1372BBBD"/>
    <w:rsid w:val="1396B3EF"/>
    <w:rsid w:val="1429D300"/>
    <w:rsid w:val="144A8062"/>
    <w:rsid w:val="1483CE04"/>
    <w:rsid w:val="1487D319"/>
    <w:rsid w:val="14E2F8D7"/>
    <w:rsid w:val="1710DAA8"/>
    <w:rsid w:val="17D57ED6"/>
    <w:rsid w:val="1824227D"/>
    <w:rsid w:val="1862A117"/>
    <w:rsid w:val="18ACAB09"/>
    <w:rsid w:val="1AA2B60A"/>
    <w:rsid w:val="1AB116C6"/>
    <w:rsid w:val="1AD00B68"/>
    <w:rsid w:val="1B0ABCD2"/>
    <w:rsid w:val="1B0D1F98"/>
    <w:rsid w:val="1C157D13"/>
    <w:rsid w:val="1D87216C"/>
    <w:rsid w:val="1E2C429D"/>
    <w:rsid w:val="1E3475E9"/>
    <w:rsid w:val="1E425D94"/>
    <w:rsid w:val="1EC3CCDF"/>
    <w:rsid w:val="1EEF74E9"/>
    <w:rsid w:val="1F380025"/>
    <w:rsid w:val="1FD0FFD3"/>
    <w:rsid w:val="2021F40E"/>
    <w:rsid w:val="20898CDB"/>
    <w:rsid w:val="209A1183"/>
    <w:rsid w:val="21044999"/>
    <w:rsid w:val="210DCD52"/>
    <w:rsid w:val="21A3925B"/>
    <w:rsid w:val="21F56620"/>
    <w:rsid w:val="25382379"/>
    <w:rsid w:val="2893CC8A"/>
    <w:rsid w:val="28BC161E"/>
    <w:rsid w:val="2A20B232"/>
    <w:rsid w:val="2A3B8513"/>
    <w:rsid w:val="2AB3A20A"/>
    <w:rsid w:val="2AD3B387"/>
    <w:rsid w:val="2BE7D2FD"/>
    <w:rsid w:val="2BEF6F20"/>
    <w:rsid w:val="2D0A726F"/>
    <w:rsid w:val="2D564258"/>
    <w:rsid w:val="2E7B9A17"/>
    <w:rsid w:val="31D69C13"/>
    <w:rsid w:val="3241D82C"/>
    <w:rsid w:val="3241DA60"/>
    <w:rsid w:val="32C34BFE"/>
    <w:rsid w:val="3326B1E5"/>
    <w:rsid w:val="335D740C"/>
    <w:rsid w:val="33CE4A1C"/>
    <w:rsid w:val="34089F85"/>
    <w:rsid w:val="3469E1FA"/>
    <w:rsid w:val="34E01C10"/>
    <w:rsid w:val="34F9446D"/>
    <w:rsid w:val="35137867"/>
    <w:rsid w:val="35F9AB19"/>
    <w:rsid w:val="3654BB32"/>
    <w:rsid w:val="366C1B6D"/>
    <w:rsid w:val="37957B7A"/>
    <w:rsid w:val="37B2B574"/>
    <w:rsid w:val="3887A145"/>
    <w:rsid w:val="38AB2AD2"/>
    <w:rsid w:val="396C609D"/>
    <w:rsid w:val="3AE2FF22"/>
    <w:rsid w:val="3AF36814"/>
    <w:rsid w:val="3D7FA88D"/>
    <w:rsid w:val="3E09541C"/>
    <w:rsid w:val="3F00CBDA"/>
    <w:rsid w:val="3F6F9484"/>
    <w:rsid w:val="3F8BFC20"/>
    <w:rsid w:val="3F916780"/>
    <w:rsid w:val="40D5CC56"/>
    <w:rsid w:val="41F511DD"/>
    <w:rsid w:val="4257E7FF"/>
    <w:rsid w:val="4288CE06"/>
    <w:rsid w:val="42A2F387"/>
    <w:rsid w:val="42BA071D"/>
    <w:rsid w:val="4343CDCC"/>
    <w:rsid w:val="439341F7"/>
    <w:rsid w:val="44249E67"/>
    <w:rsid w:val="45A8C17E"/>
    <w:rsid w:val="460A796B"/>
    <w:rsid w:val="463071E5"/>
    <w:rsid w:val="463B2ED4"/>
    <w:rsid w:val="46437431"/>
    <w:rsid w:val="46996B2F"/>
    <w:rsid w:val="46A66AED"/>
    <w:rsid w:val="475EA1EF"/>
    <w:rsid w:val="4835CE22"/>
    <w:rsid w:val="486D3246"/>
    <w:rsid w:val="48C739E3"/>
    <w:rsid w:val="4923F393"/>
    <w:rsid w:val="49D10BF1"/>
    <w:rsid w:val="49D29992"/>
    <w:rsid w:val="4A8DAFB1"/>
    <w:rsid w:val="4A93DFEB"/>
    <w:rsid w:val="4A9B2580"/>
    <w:rsid w:val="4DCB80AD"/>
    <w:rsid w:val="4E8801E1"/>
    <w:rsid w:val="4EF9DB2F"/>
    <w:rsid w:val="4EFBCBBC"/>
    <w:rsid w:val="4F8A71BE"/>
    <w:rsid w:val="50629F37"/>
    <w:rsid w:val="5096F06B"/>
    <w:rsid w:val="512CB574"/>
    <w:rsid w:val="5232C0CC"/>
    <w:rsid w:val="52AF5D78"/>
    <w:rsid w:val="52FAF0A5"/>
    <w:rsid w:val="53465EAA"/>
    <w:rsid w:val="53576C50"/>
    <w:rsid w:val="539CD909"/>
    <w:rsid w:val="5553326A"/>
    <w:rsid w:val="5613F4A7"/>
    <w:rsid w:val="56B3389A"/>
    <w:rsid w:val="5760802B"/>
    <w:rsid w:val="5791ED14"/>
    <w:rsid w:val="58C7DBA8"/>
    <w:rsid w:val="59BDBBE5"/>
    <w:rsid w:val="5A33B4ED"/>
    <w:rsid w:val="5CE49D41"/>
    <w:rsid w:val="5D0A1576"/>
    <w:rsid w:val="5D3FDC8E"/>
    <w:rsid w:val="5D748F55"/>
    <w:rsid w:val="5E2BB5EC"/>
    <w:rsid w:val="5E69E218"/>
    <w:rsid w:val="5EBC3F0D"/>
    <w:rsid w:val="5F424483"/>
    <w:rsid w:val="5F75F1DA"/>
    <w:rsid w:val="5F8B2F47"/>
    <w:rsid w:val="60245249"/>
    <w:rsid w:val="6111C23B"/>
    <w:rsid w:val="61310BD5"/>
    <w:rsid w:val="62459E7D"/>
    <w:rsid w:val="62AD929C"/>
    <w:rsid w:val="62B6D2E6"/>
    <w:rsid w:val="639212F6"/>
    <w:rsid w:val="6468AC97"/>
    <w:rsid w:val="65D54B4B"/>
    <w:rsid w:val="65DAA76D"/>
    <w:rsid w:val="65F6A6B8"/>
    <w:rsid w:val="661678A0"/>
    <w:rsid w:val="6621C510"/>
    <w:rsid w:val="671B4B5D"/>
    <w:rsid w:val="67711BAC"/>
    <w:rsid w:val="6807928F"/>
    <w:rsid w:val="68324BAC"/>
    <w:rsid w:val="68344DEB"/>
    <w:rsid w:val="6859FC09"/>
    <w:rsid w:val="68E06A44"/>
    <w:rsid w:val="693CB04C"/>
    <w:rsid w:val="6991B322"/>
    <w:rsid w:val="69BB2C13"/>
    <w:rsid w:val="6A41AE16"/>
    <w:rsid w:val="6A42E2B5"/>
    <w:rsid w:val="6A8026F9"/>
    <w:rsid w:val="6AA1BE86"/>
    <w:rsid w:val="6AE1E224"/>
    <w:rsid w:val="6B2F3CC3"/>
    <w:rsid w:val="6B8E9F40"/>
    <w:rsid w:val="6BC4561A"/>
    <w:rsid w:val="6BDD7E77"/>
    <w:rsid w:val="6BED043F"/>
    <w:rsid w:val="6C6607ED"/>
    <w:rsid w:val="6CCD4C5C"/>
    <w:rsid w:val="6CE345F7"/>
    <w:rsid w:val="6D06A097"/>
    <w:rsid w:val="6D85FD36"/>
    <w:rsid w:val="6E66DD85"/>
    <w:rsid w:val="6EAA6A3A"/>
    <w:rsid w:val="6EB3DEA0"/>
    <w:rsid w:val="6EEB99EA"/>
    <w:rsid w:val="6EFBF6DC"/>
    <w:rsid w:val="6F151F39"/>
    <w:rsid w:val="7002ADE6"/>
    <w:rsid w:val="70589D0E"/>
    <w:rsid w:val="7070C455"/>
    <w:rsid w:val="718085F5"/>
    <w:rsid w:val="720AC093"/>
    <w:rsid w:val="72F3C639"/>
    <w:rsid w:val="73B37487"/>
    <w:rsid w:val="7511009E"/>
    <w:rsid w:val="758D0803"/>
    <w:rsid w:val="75F5CD34"/>
    <w:rsid w:val="78FFC97E"/>
    <w:rsid w:val="792D6DF6"/>
    <w:rsid w:val="793C3269"/>
    <w:rsid w:val="79D53FBF"/>
    <w:rsid w:val="79EC2D5D"/>
    <w:rsid w:val="7A6B494C"/>
    <w:rsid w:val="7BBAD63B"/>
    <w:rsid w:val="7D095BDA"/>
    <w:rsid w:val="7D29633F"/>
    <w:rsid w:val="7D3B32CD"/>
    <w:rsid w:val="7D4E738C"/>
    <w:rsid w:val="7D56A69C"/>
    <w:rsid w:val="7D650F6E"/>
    <w:rsid w:val="7D8FEFB9"/>
    <w:rsid w:val="7EE103A3"/>
    <w:rsid w:val="7F00DFCF"/>
    <w:rsid w:val="7F96CA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091FEA"/>
  <w15:chartTrackingRefBased/>
  <w15:docId w15:val="{5D66D7B6-6739-4A73-95C6-BA791686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362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621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3621F"/>
    <w:rPr>
      <w:color w:val="005EA2"/>
      <w:u w:val="single"/>
      <w:shd w:val="clear" w:color="auto" w:fill="auto"/>
    </w:rPr>
  </w:style>
  <w:style w:type="character" w:styleId="Strong">
    <w:name w:val="Strong"/>
    <w:basedOn w:val="DefaultParagraphFont"/>
    <w:uiPriority w:val="22"/>
    <w:qFormat/>
    <w:rsid w:val="0083621F"/>
    <w:rPr>
      <w:b/>
      <w:bCs/>
    </w:rPr>
  </w:style>
  <w:style w:type="paragraph" w:styleId="NormalWeb">
    <w:name w:val="Normal (Web)"/>
    <w:basedOn w:val="Normal"/>
    <w:uiPriority w:val="99"/>
    <w:semiHidden/>
    <w:unhideWhenUsed/>
    <w:rsid w:val="00836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83621F"/>
    <w:pPr>
      <w:spacing w:before="100" w:beforeAutospacing="1" w:after="100" w:afterAutospacing="1" w:line="240" w:lineRule="auto"/>
    </w:pPr>
    <w:rPr>
      <w:rFonts w:ascii="Times New Roman" w:eastAsia="Times New Roman" w:hAnsi="Times New Roman" w:cs="Times New Roman"/>
      <w:b/>
      <w:bCs/>
      <w:sz w:val="24"/>
      <w:szCs w:val="24"/>
    </w:rPr>
  </w:style>
  <w:style w:type="paragraph" w:styleId="Revision">
    <w:name w:val="Revision"/>
    <w:hidden/>
    <w:uiPriority w:val="99"/>
    <w:semiHidden/>
    <w:rsid w:val="0047263E"/>
    <w:pPr>
      <w:spacing w:after="0" w:line="240" w:lineRule="auto"/>
    </w:pPr>
  </w:style>
  <w:style w:type="character" w:customStyle="1" w:styleId="normaltextrun">
    <w:name w:val="normaltextrun"/>
    <w:basedOn w:val="DefaultParagraphFont"/>
    <w:uiPriority w:val="1"/>
    <w:rsid w:val="396C609D"/>
  </w:style>
  <w:style w:type="character" w:customStyle="1" w:styleId="apple-converted-space">
    <w:name w:val="apple-converted-space"/>
    <w:basedOn w:val="DefaultParagraphFont"/>
    <w:uiPriority w:val="1"/>
    <w:rsid w:val="396C609D"/>
  </w:style>
  <w:style w:type="character" w:customStyle="1" w:styleId="eop">
    <w:name w:val="eop"/>
    <w:basedOn w:val="DefaultParagraphFont"/>
    <w:uiPriority w:val="1"/>
    <w:rsid w:val="396C609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cdphp/dnpao/state-local-programs/reach/past_programs/index.htm" TargetMode="External" /><Relationship Id="rId11" Type="http://schemas.openxmlformats.org/officeDocument/2006/relationships/hyperlink" Target="mailto:dnpaopolicy@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cdphp/dnpao/state-local-programs/reach/index.htm" TargetMode="External" /><Relationship Id="rId9" Type="http://schemas.openxmlformats.org/officeDocument/2006/relationships/hyperlink" Target="https://www.challeng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7f5e8e1-eeb2-484a-be0b-65ad7cf1b353">7UTKFZWMU4AY-1661496838-1386</_dlc_DocId>
    <_dlc_DocIdUrl xmlns="f7f5e8e1-eeb2-484a-be0b-65ad7cf1b353">
      <Url>https://cdc.sharepoint.com/sites/NCCDPHP-DNPAO/OPPC/_layouts/15/DocIdRedir.aspx?ID=7UTKFZWMU4AY-1661496838-1386</Url>
      <Description>7UTKFZWMU4AY-1661496838-1386</Description>
    </_dlc_DocIdUrl>
    <_dlc_DocIdPersistId xmlns="f7f5e8e1-eeb2-484a-be0b-65ad7cf1b353">false</_dlc_DocIdPersistId>
    <SharedWithUsers xmlns="f7f5e8e1-eeb2-484a-be0b-65ad7cf1b35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4A3615DEDC06458B34DED9D50EAD35" ma:contentTypeVersion="6" ma:contentTypeDescription="Create a new document." ma:contentTypeScope="" ma:versionID="098d0fdd54f51b11602152444e03bf9c">
  <xsd:schema xmlns:xsd="http://www.w3.org/2001/XMLSchema" xmlns:xs="http://www.w3.org/2001/XMLSchema" xmlns:p="http://schemas.microsoft.com/office/2006/metadata/properties" xmlns:ns2="f7f5e8e1-eeb2-484a-be0b-65ad7cf1b353" xmlns:ns3="c0b8ec1c-c0a7-4cf0-b8ef-32750ab3eb9d" targetNamespace="http://schemas.microsoft.com/office/2006/metadata/properties" ma:root="true" ma:fieldsID="9a60fbad1d150fbe0f18e13e28077008" ns2:_="" ns3:_="">
    <xsd:import namespace="f7f5e8e1-eeb2-484a-be0b-65ad7cf1b353"/>
    <xsd:import namespace="c0b8ec1c-c0a7-4cf0-b8ef-32750ab3eb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8ec1c-c0a7-4cf0-b8ef-32750ab3eb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2AD86E-5825-438D-840D-FAF4F63B44E2}">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c0b8ec1c-c0a7-4cf0-b8ef-32750ab3eb9d"/>
    <ds:schemaRef ds:uri="f7f5e8e1-eeb2-484a-be0b-65ad7cf1b353"/>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822D91E-D770-40FC-8808-15FA93F2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c0b8ec1c-c0a7-4cf0-b8ef-32750ab3e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F53B6-DD2F-4E3F-9E49-D232FBF18513}">
  <ds:schemaRefs>
    <ds:schemaRef ds:uri="http://schemas.microsoft.com/sharepoint/v3/contenttype/forms"/>
  </ds:schemaRefs>
</ds:datastoreItem>
</file>

<file path=customXml/itemProps4.xml><?xml version="1.0" encoding="utf-8"?>
<ds:datastoreItem xmlns:ds="http://schemas.openxmlformats.org/officeDocument/2006/customXml" ds:itemID="{3C03D7C3-7DE8-44B7-8479-DDABFF040B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Sikes</dc:creator>
  <cp:lastModifiedBy>Israel, Stormie (CDC/NCCDPHP/DNPAO)</cp:lastModifiedBy>
  <cp:revision>17</cp:revision>
  <dcterms:created xsi:type="dcterms:W3CDTF">2024-02-26T16:33:00Z</dcterms:created>
  <dcterms:modified xsi:type="dcterms:W3CDTF">2024-03-06T17:17:14Z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0x0101004E4A3615DEDC06458B34DED9D50EAD35</vt:lpwstr>
  </property>
  <property fmtid="{D5CDD505-2E9C-101B-9397-08002B2CF9AE}" pid="4" name="GrammarlyDocumentId">
    <vt:lpwstr>159a1171744f108820640afa07ffb1c6754cba71f615c540adb4ec30996a191c</vt:lpwstr>
  </property>
  <property fmtid="{D5CDD505-2E9C-101B-9397-08002B2CF9AE}" pid="5" name="MSIP_Label_7b94a7b8-f06c-4dfe-bdcc-9b548fd58c31_ActionId">
    <vt:lpwstr>ff224c90-b31f-4636-92cc-8df152978841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2024-02-26T13:34:05Z</vt:lpwstr>
  </property>
  <property fmtid="{D5CDD505-2E9C-101B-9397-08002B2CF9AE}" pid="11" name="MSIP_Label_7b94a7b8-f06c-4dfe-bdcc-9b548fd58c31_SiteId">
    <vt:lpwstr>9ce70869-60db-44fd-abe8-d2767077fc8f</vt:lpwstr>
  </property>
  <property fmtid="{D5CDD505-2E9C-101B-9397-08002B2CF9AE}" pid="12" name="Order">
    <vt:r8>1800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32a4f708-648b-48ea-9607-97b07e90092f</vt:lpwstr>
  </property>
  <property fmtid="{D5CDD505-2E9C-101B-9397-08002B2CF9AE}" pid="18" name="_ExtendedDescription">
    <vt:lpwstr/>
  </property>
</Properties>
</file>