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5E96" w:rsidRPr="00C0072A" w:rsidP="00935E96" w14:paraId="5E4061DE" w14:textId="77777777">
      <w:pPr>
        <w:tabs>
          <w:tab w:val="center" w:pos="4680"/>
        </w:tabs>
        <w:jc w:val="center"/>
        <w:rPr>
          <w:b/>
          <w:bCs/>
          <w:sz w:val="32"/>
          <w:szCs w:val="32"/>
        </w:rPr>
      </w:pPr>
      <w:r>
        <w:rPr>
          <w:b/>
          <w:bCs/>
          <w:sz w:val="32"/>
          <w:szCs w:val="32"/>
        </w:rPr>
        <w:t xml:space="preserve">Supporting Statement for </w:t>
      </w:r>
      <w:r w:rsidRPr="00F9526B">
        <w:rPr>
          <w:b/>
          <w:bCs/>
          <w:sz w:val="32"/>
          <w:szCs w:val="32"/>
        </w:rPr>
        <w:t>Customer Experience in The Office of the Assistant Secretary for Financial Resources Service Delivery</w:t>
      </w:r>
    </w:p>
    <w:p w:rsidR="0098164F" w14:paraId="42ED4E93" w14:textId="77777777">
      <w:pPr>
        <w:widowControl/>
        <w:rPr>
          <w:color w:val="000000"/>
          <w:sz w:val="32"/>
          <w:szCs w:val="32"/>
        </w:rPr>
      </w:pPr>
    </w:p>
    <w:p w:rsidR="0098164F" w14:paraId="24EC32BD" w14:textId="77777777">
      <w:pPr>
        <w:widowControl/>
        <w:rPr>
          <w:color w:val="000000"/>
          <w:sz w:val="24"/>
        </w:rPr>
      </w:pPr>
    </w:p>
    <w:p w:rsidR="0098164F" w14:paraId="146342F2" w14:textId="77777777">
      <w:pPr>
        <w:widowControl/>
        <w:rPr>
          <w:color w:val="000000"/>
          <w:sz w:val="24"/>
        </w:rPr>
      </w:pPr>
    </w:p>
    <w:p w:rsidR="0098164F" w14:paraId="3F0BFFED" w14:textId="77777777">
      <w:pPr>
        <w:widowControl/>
        <w:rPr>
          <w:color w:val="000000"/>
          <w:sz w:val="24"/>
        </w:rPr>
      </w:pPr>
    </w:p>
    <w:p w:rsidR="0098164F" w14:paraId="4A6601E9" w14:textId="77777777">
      <w:pPr>
        <w:widowControl/>
        <w:rPr>
          <w:color w:val="000000"/>
          <w:sz w:val="24"/>
        </w:rPr>
      </w:pPr>
    </w:p>
    <w:p w:rsidR="0098164F" w14:paraId="4664272E" w14:textId="6C98B06F">
      <w:pPr>
        <w:widowControl/>
        <w:jc w:val="center"/>
        <w:rPr>
          <w:color w:val="000000"/>
          <w:sz w:val="28"/>
          <w:szCs w:val="28"/>
        </w:rPr>
      </w:pPr>
      <w:r>
        <w:rPr>
          <w:color w:val="000000"/>
          <w:sz w:val="28"/>
          <w:szCs w:val="28"/>
        </w:rPr>
        <w:t>New</w:t>
      </w:r>
    </w:p>
    <w:p w:rsidR="0098164F" w14:paraId="0B3FD9E5" w14:textId="77777777">
      <w:pPr>
        <w:widowControl/>
        <w:rPr>
          <w:color w:val="000000"/>
          <w:sz w:val="24"/>
        </w:rPr>
      </w:pPr>
    </w:p>
    <w:p w:rsidR="0098164F" w14:paraId="2B96D2ED" w14:textId="77777777">
      <w:pPr>
        <w:widowControl/>
        <w:rPr>
          <w:color w:val="000000"/>
          <w:sz w:val="24"/>
        </w:rPr>
      </w:pPr>
    </w:p>
    <w:p w:rsidR="0098164F" w14:paraId="5426926E" w14:textId="77777777">
      <w:pPr>
        <w:widowControl/>
        <w:rPr>
          <w:color w:val="000000"/>
          <w:sz w:val="24"/>
        </w:rPr>
      </w:pPr>
    </w:p>
    <w:p w:rsidR="0098164F" w14:paraId="66CC78F9" w14:textId="77777777">
      <w:pPr>
        <w:widowControl/>
        <w:rPr>
          <w:color w:val="000000"/>
          <w:sz w:val="24"/>
        </w:rPr>
      </w:pPr>
    </w:p>
    <w:p w:rsidR="0098164F" w14:paraId="4D49E1B1" w14:textId="77777777">
      <w:pPr>
        <w:widowControl/>
        <w:rPr>
          <w:color w:val="000000"/>
          <w:sz w:val="24"/>
        </w:rPr>
      </w:pPr>
    </w:p>
    <w:p w:rsidR="0098164F" w14:paraId="26641918" w14:textId="77777777">
      <w:pPr>
        <w:widowControl/>
        <w:rPr>
          <w:color w:val="000000"/>
          <w:sz w:val="24"/>
        </w:rPr>
      </w:pPr>
    </w:p>
    <w:p w:rsidR="0098164F" w14:paraId="692386BB" w14:textId="77777777">
      <w:pPr>
        <w:widowControl/>
        <w:rPr>
          <w:color w:val="000000"/>
          <w:sz w:val="24"/>
        </w:rPr>
      </w:pPr>
    </w:p>
    <w:p w:rsidR="0098164F" w14:paraId="12F4AC0C" w14:textId="77777777">
      <w:pPr>
        <w:widowControl/>
        <w:rPr>
          <w:color w:val="000000"/>
          <w:sz w:val="24"/>
        </w:rPr>
      </w:pPr>
    </w:p>
    <w:p w:rsidR="0098164F" w14:paraId="4F79025A" w14:textId="77777777">
      <w:pPr>
        <w:widowControl/>
        <w:rPr>
          <w:color w:val="000000"/>
          <w:sz w:val="24"/>
        </w:rPr>
      </w:pPr>
    </w:p>
    <w:p w:rsidR="0098164F" w14:paraId="705C2729" w14:textId="77777777">
      <w:pPr>
        <w:widowControl/>
        <w:rPr>
          <w:color w:val="000000"/>
          <w:sz w:val="24"/>
        </w:rPr>
      </w:pPr>
    </w:p>
    <w:p w:rsidR="0098164F" w14:paraId="1A574263" w14:textId="77777777">
      <w:pPr>
        <w:widowControl/>
        <w:rPr>
          <w:color w:val="000000"/>
          <w:sz w:val="24"/>
        </w:rPr>
      </w:pPr>
    </w:p>
    <w:p w:rsidR="0098164F" w14:paraId="209A986C" w14:textId="77777777">
      <w:pPr>
        <w:widowControl/>
        <w:rPr>
          <w:color w:val="000000"/>
          <w:sz w:val="24"/>
        </w:rPr>
      </w:pPr>
    </w:p>
    <w:p w:rsidR="00935E96" w14:paraId="3370D080" w14:textId="77777777">
      <w:pPr>
        <w:widowControl/>
        <w:rPr>
          <w:color w:val="000000"/>
          <w:sz w:val="28"/>
          <w:szCs w:val="28"/>
        </w:rPr>
      </w:pPr>
    </w:p>
    <w:p w:rsidR="00935E96" w14:paraId="144F506F" w14:textId="77777777">
      <w:pPr>
        <w:widowControl/>
        <w:rPr>
          <w:color w:val="000000"/>
          <w:sz w:val="28"/>
          <w:szCs w:val="28"/>
        </w:rPr>
      </w:pPr>
    </w:p>
    <w:p w:rsidR="00935E96" w14:paraId="035F11C4" w14:textId="77777777">
      <w:pPr>
        <w:widowControl/>
        <w:rPr>
          <w:color w:val="000000"/>
          <w:sz w:val="28"/>
          <w:szCs w:val="28"/>
        </w:rPr>
      </w:pPr>
    </w:p>
    <w:p w:rsidR="00935E96" w14:paraId="3A13A17D" w14:textId="77777777">
      <w:pPr>
        <w:widowControl/>
        <w:rPr>
          <w:color w:val="000000"/>
          <w:sz w:val="28"/>
          <w:szCs w:val="28"/>
        </w:rPr>
      </w:pPr>
    </w:p>
    <w:p w:rsidR="00935E96" w14:paraId="5D6F61D9" w14:textId="77777777">
      <w:pPr>
        <w:widowControl/>
        <w:rPr>
          <w:color w:val="000000"/>
          <w:sz w:val="28"/>
          <w:szCs w:val="28"/>
        </w:rPr>
      </w:pPr>
    </w:p>
    <w:p w:rsidR="00935E96" w14:paraId="314BF19E" w14:textId="77777777">
      <w:pPr>
        <w:widowControl/>
        <w:rPr>
          <w:color w:val="000000"/>
          <w:sz w:val="28"/>
          <w:szCs w:val="28"/>
        </w:rPr>
      </w:pPr>
    </w:p>
    <w:p w:rsidR="0098164F" w14:paraId="65D63382" w14:textId="4E6AE4E2">
      <w:pPr>
        <w:widowControl/>
        <w:rPr>
          <w:color w:val="000000"/>
          <w:sz w:val="28"/>
          <w:szCs w:val="28"/>
        </w:rPr>
      </w:pPr>
      <w:r>
        <w:rPr>
          <w:color w:val="000000"/>
          <w:sz w:val="28"/>
          <w:szCs w:val="28"/>
        </w:rPr>
        <w:t>Department of Health and Human Services</w:t>
      </w:r>
    </w:p>
    <w:p w:rsidR="0098164F" w14:paraId="6582FEFB" w14:textId="77777777">
      <w:pPr>
        <w:widowControl/>
        <w:rPr>
          <w:color w:val="000000"/>
          <w:sz w:val="28"/>
          <w:szCs w:val="28"/>
        </w:rPr>
      </w:pPr>
    </w:p>
    <w:p w:rsidR="00935E96" w14:paraId="3E641692" w14:textId="79DDF82B">
      <w:pPr>
        <w:widowControl/>
        <w:rPr>
          <w:color w:val="000000"/>
          <w:sz w:val="28"/>
          <w:szCs w:val="28"/>
        </w:rPr>
      </w:pPr>
      <w:r>
        <w:rPr>
          <w:color w:val="000000"/>
          <w:sz w:val="28"/>
          <w:szCs w:val="28"/>
        </w:rPr>
        <w:t>Felix Lorenzo, PhD, MPH</w:t>
      </w:r>
    </w:p>
    <w:p w:rsidR="0098164F" w14:paraId="6D7CCD94" w14:textId="042C9BDD">
      <w:pPr>
        <w:widowControl/>
        <w:rPr>
          <w:color w:val="000000"/>
          <w:sz w:val="28"/>
          <w:szCs w:val="28"/>
        </w:rPr>
      </w:pPr>
      <w:r>
        <w:rPr>
          <w:color w:val="000000"/>
          <w:sz w:val="28"/>
          <w:szCs w:val="28"/>
        </w:rPr>
        <w:t>Division of Policy, Oversight, and Evaluation</w:t>
      </w:r>
    </w:p>
    <w:p w:rsidR="0098164F" w14:paraId="67E7A445" w14:textId="24E9D7E3">
      <w:pPr>
        <w:widowControl/>
        <w:rPr>
          <w:color w:val="000000"/>
          <w:sz w:val="28"/>
          <w:szCs w:val="28"/>
        </w:rPr>
      </w:pPr>
      <w:r>
        <w:rPr>
          <w:color w:val="000000"/>
          <w:sz w:val="28"/>
          <w:szCs w:val="28"/>
        </w:rPr>
        <w:t>Office of Grants</w:t>
      </w:r>
    </w:p>
    <w:p w:rsidR="00935E96" w14:paraId="3A0BE7D9" w14:textId="0EC4D316">
      <w:pPr>
        <w:widowControl/>
        <w:rPr>
          <w:color w:val="000000"/>
          <w:sz w:val="28"/>
          <w:szCs w:val="28"/>
        </w:rPr>
      </w:pPr>
      <w:r>
        <w:rPr>
          <w:color w:val="000000"/>
          <w:sz w:val="28"/>
          <w:szCs w:val="28"/>
        </w:rPr>
        <w:t>Assistant Secretary for Financial Resources</w:t>
      </w:r>
    </w:p>
    <w:p w:rsidR="0098164F" w14:paraId="3C95CE7F" w14:textId="5C0AC9BA">
      <w:pPr>
        <w:widowControl/>
        <w:rPr>
          <w:color w:val="000000"/>
          <w:sz w:val="28"/>
          <w:szCs w:val="28"/>
        </w:rPr>
      </w:pPr>
      <w:r>
        <w:rPr>
          <w:color w:val="000000"/>
          <w:sz w:val="28"/>
          <w:szCs w:val="28"/>
        </w:rPr>
        <w:t xml:space="preserve">200 Independence Avenue, </w:t>
      </w:r>
    </w:p>
    <w:p w:rsidR="0098164F" w14:paraId="5A1FB966" w14:textId="77777777">
      <w:pPr>
        <w:widowControl/>
        <w:rPr>
          <w:color w:val="000000"/>
          <w:sz w:val="28"/>
          <w:szCs w:val="28"/>
        </w:rPr>
      </w:pPr>
      <w:smartTag w:uri="urn:schemas-microsoft-com:office:smarttags" w:element="place">
        <w:smartTag w:uri="urn:schemas-microsoft-com:office:smarttags" w:element="City">
          <w:r>
            <w:rPr>
              <w:color w:val="000000"/>
              <w:sz w:val="28"/>
              <w:szCs w:val="28"/>
            </w:rPr>
            <w:t>Washington</w:t>
          </w:r>
        </w:smartTag>
        <w:r>
          <w:rPr>
            <w:color w:val="000000"/>
            <w:sz w:val="28"/>
            <w:szCs w:val="28"/>
          </w:rPr>
          <w:t xml:space="preserve">, </w:t>
        </w:r>
        <w:smartTag w:uri="urn:schemas-microsoft-com:office:smarttags" w:element="State">
          <w:r>
            <w:rPr>
              <w:color w:val="000000"/>
              <w:sz w:val="28"/>
              <w:szCs w:val="28"/>
            </w:rPr>
            <w:t>DC</w:t>
          </w:r>
        </w:smartTag>
        <w:r>
          <w:rPr>
            <w:color w:val="000000"/>
            <w:sz w:val="28"/>
            <w:szCs w:val="28"/>
          </w:rPr>
          <w:t xml:space="preserve">  </w:t>
        </w:r>
        <w:smartTag w:uri="urn:schemas-microsoft-com:office:smarttags" w:element="PostalCode">
          <w:r>
            <w:rPr>
              <w:color w:val="000000"/>
              <w:sz w:val="28"/>
              <w:szCs w:val="28"/>
            </w:rPr>
            <w:t>20201</w:t>
          </w:r>
        </w:smartTag>
      </w:smartTag>
    </w:p>
    <w:p w:rsidR="0098164F" w14:paraId="0E18610A" w14:textId="77777777">
      <w:pPr>
        <w:widowControl/>
        <w:rPr>
          <w:color w:val="000000"/>
          <w:sz w:val="24"/>
        </w:rPr>
      </w:pPr>
    </w:p>
    <w:p w:rsidR="0098164F" w14:paraId="584F6E16" w14:textId="77777777">
      <w:pPr>
        <w:widowControl/>
        <w:rPr>
          <w:color w:val="000000"/>
          <w:sz w:val="24"/>
        </w:rPr>
      </w:pPr>
    </w:p>
    <w:p w:rsidR="0098164F" w14:paraId="7A3F1755" w14:textId="77777777">
      <w:pPr>
        <w:widowControl/>
        <w:rPr>
          <w:color w:val="000000"/>
          <w:sz w:val="24"/>
        </w:rPr>
      </w:pPr>
    </w:p>
    <w:p w:rsidR="0098164F" w14:paraId="616F13CF" w14:textId="77777777">
      <w:pPr>
        <w:widowControl/>
        <w:rPr>
          <w:color w:val="000000"/>
          <w:sz w:val="24"/>
        </w:rPr>
      </w:pPr>
    </w:p>
    <w:p w:rsidR="0098164F" w14:paraId="7D57D6D2" w14:textId="77777777">
      <w:pPr>
        <w:widowControl/>
        <w:rPr>
          <w:color w:val="000000"/>
          <w:sz w:val="24"/>
        </w:rPr>
      </w:pPr>
    </w:p>
    <w:p w:rsidR="00935E96" w:rsidRPr="00935E96" w:rsidP="00935E96" w14:paraId="6848455F" w14:textId="7E9FD08E">
      <w:pPr>
        <w:widowControl/>
        <w:rPr>
          <w:color w:val="000000"/>
          <w:sz w:val="24"/>
        </w:rPr>
      </w:pPr>
      <w:r>
        <w:rPr>
          <w:color w:val="000000"/>
          <w:sz w:val="24"/>
        </w:rPr>
        <w:t>Version: 10/09</w:t>
      </w:r>
    </w:p>
    <w:p w:rsidR="0098164F" w14:paraId="0EC67321" w14:textId="77777777">
      <w:pPr>
        <w:rPr>
          <w:b/>
          <w:bCs/>
          <w:sz w:val="24"/>
        </w:rPr>
      </w:pPr>
      <w:r>
        <w:rPr>
          <w:b/>
          <w:bCs/>
          <w:sz w:val="24"/>
        </w:rPr>
        <w:t>A.</w:t>
      </w:r>
      <w:r>
        <w:rPr>
          <w:b/>
          <w:bCs/>
          <w:sz w:val="24"/>
        </w:rPr>
        <w:tab/>
        <w:t>Justification</w:t>
      </w:r>
    </w:p>
    <w:p w:rsidR="0098164F" w14:paraId="6E3B6AD0" w14:textId="77777777">
      <w:pPr>
        <w:rPr>
          <w:sz w:val="24"/>
        </w:rPr>
      </w:pPr>
    </w:p>
    <w:p w:rsidR="0098164F" w14:paraId="787DA5BF" w14:textId="77777777">
      <w:pPr>
        <w:numPr>
          <w:ilvl w:val="0"/>
          <w:numId w:val="2"/>
        </w:numPr>
        <w:rPr>
          <w:b/>
          <w:sz w:val="24"/>
        </w:rPr>
      </w:pPr>
      <w:r>
        <w:rPr>
          <w:b/>
          <w:sz w:val="24"/>
          <w:u w:val="single"/>
        </w:rPr>
        <w:t>Circumstances Making the Collection of Information Necessary</w:t>
      </w:r>
    </w:p>
    <w:p w:rsidR="00F3047F" w14:paraId="074C77B7" w14:textId="77777777">
      <w:pPr>
        <w:ind w:left="720"/>
        <w:rPr>
          <w:sz w:val="24"/>
        </w:rPr>
      </w:pPr>
      <w:r>
        <w:rPr>
          <w:sz w:val="24"/>
        </w:rPr>
        <w:tab/>
      </w:r>
    </w:p>
    <w:p w:rsidR="00F3047F" w14:paraId="1B996D8A" w14:textId="77777777">
      <w:pPr>
        <w:ind w:left="720"/>
        <w:rPr>
          <w:sz w:val="24"/>
        </w:rPr>
      </w:pPr>
      <w:r w:rsidRPr="00F3047F">
        <w:rPr>
          <w:sz w:val="24"/>
        </w:rPr>
        <w:t>The proposed information collection activity provides a means to garner quantitative and qualitative customer and stakeholder feedback in an efficient, timely manner, in accordance with the Administration's commitment to improving access to and service delivery.</w:t>
      </w:r>
      <w:r>
        <w:rPr>
          <w:sz w:val="24"/>
        </w:rPr>
        <w:t xml:space="preserve"> As indicated under Section 301 of the Public Health Service Act (42 U.S.C.241) and in support of Executive Order 13985, ASFR is pursuing a comprehensive approach to advancing equity for all. </w:t>
      </w:r>
      <w:r w:rsidRPr="00F3047F">
        <w:rPr>
          <w:sz w:val="24"/>
        </w:rPr>
        <w:t>If this information is not collected, vital feedback from customers and stakeholders on the Agency's services will be unavailable. Such assessments would better equip HHS to develop policies and programs that deliver resources and benefits equitably to all.</w:t>
      </w:r>
    </w:p>
    <w:p w:rsidR="0098164F" w14:paraId="680C1A9A" w14:textId="77777777">
      <w:pPr>
        <w:ind w:left="1080"/>
        <w:rPr>
          <w:sz w:val="24"/>
        </w:rPr>
      </w:pPr>
    </w:p>
    <w:p w:rsidR="0098164F" w14:paraId="33656D1F" w14:textId="77777777">
      <w:pPr>
        <w:ind w:left="360"/>
        <w:rPr>
          <w:sz w:val="24"/>
        </w:rPr>
      </w:pPr>
    </w:p>
    <w:p w:rsidR="0098164F" w14:paraId="55181CAC" w14:textId="77777777">
      <w:pPr>
        <w:numPr>
          <w:ilvl w:val="0"/>
          <w:numId w:val="2"/>
        </w:numPr>
        <w:rPr>
          <w:b/>
          <w:sz w:val="24"/>
        </w:rPr>
      </w:pPr>
      <w:r>
        <w:rPr>
          <w:b/>
          <w:sz w:val="24"/>
          <w:u w:val="single"/>
        </w:rPr>
        <w:t>Purpose and Use of Information Collection</w:t>
      </w:r>
    </w:p>
    <w:p w:rsidR="00F3047F" w14:paraId="1910C73B" w14:textId="77777777">
      <w:pPr>
        <w:ind w:left="1440"/>
        <w:rPr>
          <w:sz w:val="24"/>
        </w:rPr>
      </w:pPr>
    </w:p>
    <w:p w:rsidR="00F3047F" w:rsidP="00F3047F" w14:paraId="33B7E69F" w14:textId="77777777">
      <w:pPr>
        <w:ind w:left="720"/>
        <w:rPr>
          <w:sz w:val="24"/>
        </w:rPr>
      </w:pPr>
      <w:r w:rsidRPr="00F3047F">
        <w:rPr>
          <w:sz w:val="24"/>
        </w:rPr>
        <w:t>This feedback will 1) provide insights into customer or stakeholder perceptions, experiences and expectations; 2</w:t>
      </w:r>
      <w:r w:rsidR="00A02286">
        <w:rPr>
          <w:sz w:val="24"/>
        </w:rPr>
        <w:t>) uncover issues that create barriers to funding or the system to deliver them</w:t>
      </w:r>
      <w:r w:rsidRPr="00F3047F">
        <w:rPr>
          <w:sz w:val="24"/>
        </w:rPr>
        <w:t>; and 3) focus attention on areas where communication, training or changes in operations might improve delivery of such opportunities and services. These voluntary collections will allow for ongoing, collaborative and actionable communications between HHS and its customers and stakeholders. It will also allow feedback to contribute directly to the improvement of program management.</w:t>
      </w:r>
    </w:p>
    <w:p w:rsidR="002B634F" w:rsidP="00F3047F" w14:paraId="3117207A" w14:textId="77777777">
      <w:pPr>
        <w:ind w:left="720"/>
        <w:rPr>
          <w:sz w:val="24"/>
        </w:rPr>
      </w:pPr>
    </w:p>
    <w:p w:rsidR="002B634F" w:rsidP="00F3047F" w14:paraId="5F45C36E" w14:textId="77777777">
      <w:pPr>
        <w:ind w:left="720"/>
        <w:rPr>
          <w:sz w:val="24"/>
        </w:rPr>
      </w:pPr>
      <w:r>
        <w:rPr>
          <w:sz w:val="24"/>
        </w:rPr>
        <w:t xml:space="preserve">Specifically, information collection that directly addresses user experience into and in response to the efforts undertaken by ASFR and HHS Awarding Agencies to redesign funding mechanisms in order to provide equal opportunities to individuals and communities is an essential step in assessing the usability and scalability of the efforts themselves. For example, knowing which Notice of Funding Opportunity design is preferred or which performed better will allow HHS to adopt the best models in delivering </w:t>
      </w:r>
      <w:r w:rsidR="00A21E1E">
        <w:rPr>
          <w:sz w:val="24"/>
        </w:rPr>
        <w:t>these services to the public. Failure to do so, would go against agency priorities and annul the work that ASFR and HHS awarding agencies have embarked on in support of the Department.</w:t>
      </w:r>
    </w:p>
    <w:p w:rsidR="0098164F" w14:paraId="12674E5F" w14:textId="77777777">
      <w:pPr>
        <w:rPr>
          <w:sz w:val="24"/>
        </w:rPr>
      </w:pPr>
    </w:p>
    <w:p w:rsidR="0098164F" w14:paraId="20364C35" w14:textId="77777777">
      <w:pPr>
        <w:rPr>
          <w:sz w:val="24"/>
        </w:rPr>
      </w:pPr>
    </w:p>
    <w:p w:rsidR="001068B6" w:rsidRPr="001068B6" w:rsidP="001068B6" w14:paraId="5E1661D9" w14:textId="77777777">
      <w:pPr>
        <w:numPr>
          <w:ilvl w:val="0"/>
          <w:numId w:val="2"/>
        </w:numPr>
        <w:rPr>
          <w:sz w:val="24"/>
        </w:rPr>
      </w:pPr>
      <w:r>
        <w:rPr>
          <w:b/>
          <w:sz w:val="24"/>
          <w:u w:val="single"/>
        </w:rPr>
        <w:t>Use of Improved Information Technology and Burden Reduction</w:t>
      </w:r>
    </w:p>
    <w:p w:rsidR="0012055B" w:rsidP="00C0072A" w14:paraId="1BB49E72" w14:textId="77777777">
      <w:pPr>
        <w:widowControl/>
        <w:ind w:left="720"/>
        <w:rPr>
          <w:sz w:val="24"/>
        </w:rPr>
      </w:pPr>
    </w:p>
    <w:p w:rsidR="0098164F" w:rsidP="00C0072A" w14:paraId="7B2F425E" w14:textId="77777777">
      <w:pPr>
        <w:widowControl/>
        <w:ind w:left="720"/>
        <w:rPr>
          <w:sz w:val="24"/>
        </w:rPr>
      </w:pPr>
      <w:r>
        <w:rPr>
          <w:sz w:val="24"/>
        </w:rPr>
        <w:t>Our goal is to incorporate technologically improved respondent reporting where possible as this process typically lowers burden to the respondent. With that in mind, our voluntary, annual collections will resort to non-electronic data collection only when necessary or when requested by the respondent in support of any accessibility needs.</w:t>
      </w:r>
      <w:r w:rsidR="00C0072A">
        <w:rPr>
          <w:sz w:val="24"/>
        </w:rPr>
        <w:t xml:space="preserve"> Efforts to embed technology into our design in order to minimize participant burden include but are not limited to: (1) participants will be asked to complete surveys </w:t>
      </w:r>
      <w:r w:rsidR="00C0072A">
        <w:rPr>
          <w:sz w:val="24"/>
        </w:rPr>
        <w:t xml:space="preserve">electronically; and (2) participants will be given the option to have their interviews, focus groups, and usability tests virtually.  </w:t>
      </w:r>
    </w:p>
    <w:p w:rsidR="0098164F" w:rsidP="00C0072A" w14:paraId="5F1210E0" w14:textId="77777777">
      <w:pPr>
        <w:widowControl/>
        <w:rPr>
          <w:sz w:val="24"/>
        </w:rPr>
      </w:pPr>
      <w:r>
        <w:rPr>
          <w:sz w:val="24"/>
        </w:rPr>
        <w:tab/>
      </w:r>
    </w:p>
    <w:p w:rsidR="0098164F" w14:paraId="531E3D9C" w14:textId="77777777">
      <w:pPr>
        <w:ind w:left="360"/>
        <w:rPr>
          <w:sz w:val="24"/>
        </w:rPr>
      </w:pPr>
    </w:p>
    <w:p w:rsidR="0098164F" w14:paraId="4A2E7A83" w14:textId="77777777">
      <w:pPr>
        <w:numPr>
          <w:ilvl w:val="0"/>
          <w:numId w:val="2"/>
        </w:numPr>
        <w:rPr>
          <w:b/>
          <w:sz w:val="24"/>
        </w:rPr>
      </w:pPr>
      <w:r>
        <w:rPr>
          <w:b/>
          <w:sz w:val="24"/>
          <w:u w:val="single"/>
        </w:rPr>
        <w:t>Efforts to  Identify Duplication and Use of Similar Information</w:t>
      </w:r>
    </w:p>
    <w:p w:rsidR="0098164F" w14:paraId="741EE28E" w14:textId="77777777">
      <w:pPr>
        <w:ind w:left="720"/>
        <w:rPr>
          <w:b/>
          <w:sz w:val="24"/>
        </w:rPr>
      </w:pPr>
    </w:p>
    <w:p w:rsidR="0098164F" w:rsidP="00C0072A" w14:paraId="5FE66229" w14:textId="77777777">
      <w:pPr>
        <w:ind w:left="720"/>
        <w:rPr>
          <w:b/>
          <w:sz w:val="24"/>
        </w:rPr>
      </w:pPr>
      <w:r>
        <w:rPr>
          <w:sz w:val="24"/>
        </w:rPr>
        <w:t xml:space="preserve">The efforts undertaken by this initiative are the first of its kind. From the point of idea inception, ASFR has </w:t>
      </w:r>
      <w:r w:rsidR="00381332">
        <w:rPr>
          <w:sz w:val="24"/>
        </w:rPr>
        <w:t>been transparent with all HHS awarding Agencies about program goals and objectives. Moreover, ASFR has maintained lines of communication with each agency as collaboration and support for this work are essential. There is currently no other effort in which user experience is being tested in direct response to content/design changes to funding opportunities across awarding agencies. ASFR is uniquel</w:t>
      </w:r>
      <w:r>
        <w:rPr>
          <w:sz w:val="24"/>
        </w:rPr>
        <w:t>y</w:t>
      </w:r>
      <w:r w:rsidR="00381332">
        <w:rPr>
          <w:sz w:val="24"/>
        </w:rPr>
        <w:t xml:space="preserve"> positioned to take on this role and has taken considerable steps to ensure that there is no duplication of efforts.</w:t>
      </w:r>
    </w:p>
    <w:p w:rsidR="0098164F" w14:paraId="2450B369" w14:textId="77777777">
      <w:pPr>
        <w:ind w:left="1008"/>
        <w:rPr>
          <w:sz w:val="24"/>
        </w:rPr>
      </w:pPr>
    </w:p>
    <w:p w:rsidR="0098164F" w14:paraId="46FF87EE" w14:textId="77777777">
      <w:pPr>
        <w:numPr>
          <w:ilvl w:val="0"/>
          <w:numId w:val="2"/>
        </w:numPr>
        <w:rPr>
          <w:color w:val="000000"/>
          <w:sz w:val="24"/>
        </w:rPr>
      </w:pPr>
      <w:r>
        <w:rPr>
          <w:b/>
          <w:sz w:val="24"/>
          <w:u w:val="single"/>
        </w:rPr>
        <w:t>Impact on Small Businesses or Other Small Entities</w:t>
      </w:r>
    </w:p>
    <w:p w:rsidR="0098164F" w14:paraId="540E858F" w14:textId="77777777">
      <w:pPr>
        <w:ind w:left="720"/>
        <w:rPr>
          <w:color w:val="000000"/>
          <w:sz w:val="24"/>
        </w:rPr>
      </w:pPr>
    </w:p>
    <w:p w:rsidR="0098164F" w:rsidP="00381332" w14:paraId="4C269F75" w14:textId="2EB47531">
      <w:pPr>
        <w:ind w:left="720"/>
        <w:rPr>
          <w:color w:val="000000"/>
          <w:sz w:val="24"/>
        </w:rPr>
      </w:pPr>
      <w:r>
        <w:rPr>
          <w:sz w:val="24"/>
        </w:rPr>
        <w:t xml:space="preserve">With our efforts to increase accessibility to funding mechanisms to all communities, it is possible that small businesses or other small community organizations will take part of this data collection. Recognizing </w:t>
      </w:r>
      <w:r w:rsidR="000B4800">
        <w:rPr>
          <w:sz w:val="24"/>
        </w:rPr>
        <w:t xml:space="preserve">the burden that participating in any data collection </w:t>
      </w:r>
      <w:r w:rsidR="000770D7">
        <w:rPr>
          <w:sz w:val="24"/>
        </w:rPr>
        <w:t>can incur</w:t>
      </w:r>
      <w:r w:rsidR="000B4800">
        <w:rPr>
          <w:sz w:val="24"/>
        </w:rPr>
        <w:t xml:space="preserve"> on respondents, we have ensured that the voluntary information being requested has been held to the absolute minimum required for the intended use of such data. </w:t>
      </w:r>
    </w:p>
    <w:p w:rsidR="0098164F" w14:paraId="00C0238D" w14:textId="77777777">
      <w:pPr>
        <w:ind w:left="1080"/>
        <w:rPr>
          <w:color w:val="000000"/>
          <w:sz w:val="24"/>
        </w:rPr>
      </w:pPr>
    </w:p>
    <w:p w:rsidR="0098164F" w14:paraId="662075BE" w14:textId="77777777">
      <w:pPr>
        <w:ind w:left="360"/>
        <w:rPr>
          <w:sz w:val="24"/>
        </w:rPr>
      </w:pPr>
    </w:p>
    <w:p w:rsidR="0098164F" w14:paraId="0651E999" w14:textId="77777777">
      <w:pPr>
        <w:numPr>
          <w:ilvl w:val="0"/>
          <w:numId w:val="2"/>
        </w:numPr>
        <w:rPr>
          <w:b/>
          <w:sz w:val="24"/>
        </w:rPr>
      </w:pPr>
      <w:r>
        <w:rPr>
          <w:b/>
          <w:sz w:val="24"/>
          <w:u w:val="single"/>
        </w:rPr>
        <w:t>Consequences of Collecting the Information Less Frequent Collection</w:t>
      </w:r>
    </w:p>
    <w:p w:rsidR="0098164F" w14:paraId="0F7B3CEB" w14:textId="77777777">
      <w:pPr>
        <w:ind w:left="720"/>
        <w:rPr>
          <w:b/>
          <w:sz w:val="24"/>
        </w:rPr>
      </w:pPr>
    </w:p>
    <w:p w:rsidR="0098164F" w:rsidP="008A21BC" w14:paraId="05DCCEE7" w14:textId="22B0CFE7">
      <w:pPr>
        <w:widowControl/>
        <w:autoSpaceDE/>
        <w:autoSpaceDN/>
        <w:adjustRightInd/>
        <w:spacing w:before="100" w:beforeAutospacing="1" w:after="240"/>
        <w:ind w:left="720"/>
        <w:rPr>
          <w:color w:val="000000"/>
          <w:sz w:val="24"/>
        </w:rPr>
      </w:pPr>
      <w:r>
        <w:rPr>
          <w:sz w:val="24"/>
        </w:rPr>
        <w:t xml:space="preserve">Data collection will occur at a frequency already deemed the absolute minimum in order to reduce burden on the participants. This </w:t>
      </w:r>
      <w:r w:rsidR="000770D7">
        <w:rPr>
          <w:sz w:val="24"/>
        </w:rPr>
        <w:t>one-time</w:t>
      </w:r>
      <w:r>
        <w:rPr>
          <w:sz w:val="24"/>
        </w:rPr>
        <w:t xml:space="preserve"> collection of feedback based on the participants’ experience in submitting an application package for a funding opportunity that occurs annually, cannot be reduced further. As changes are made to the funding opportunity announcement and the service delivery used for this process, it is essential that ASFR capture data that can support continued use of such practices or direct necessary change to improve said practice.</w:t>
      </w:r>
    </w:p>
    <w:p w:rsidR="0098164F" w14:paraId="02FA2AFF" w14:textId="77777777">
      <w:pPr>
        <w:ind w:left="1080"/>
        <w:rPr>
          <w:sz w:val="24"/>
        </w:rPr>
      </w:pPr>
      <w:r>
        <w:rPr>
          <w:sz w:val="24"/>
        </w:rPr>
        <w:tab/>
      </w:r>
    </w:p>
    <w:p w:rsidR="0098164F" w:rsidRPr="0053049C" w14:paraId="52501928" w14:textId="77777777">
      <w:pPr>
        <w:numPr>
          <w:ilvl w:val="0"/>
          <w:numId w:val="2"/>
        </w:numPr>
        <w:rPr>
          <w:b/>
          <w:sz w:val="24"/>
        </w:rPr>
      </w:pPr>
      <w:r>
        <w:rPr>
          <w:b/>
          <w:sz w:val="24"/>
          <w:u w:val="single"/>
        </w:rPr>
        <w:t>Special Circumstances Relating to the Guidelines of 5 CFR 1320.5</w:t>
      </w:r>
    </w:p>
    <w:p w:rsidR="0053049C" w:rsidP="0053049C" w14:paraId="65E1E6ED" w14:textId="77777777">
      <w:pPr>
        <w:ind w:left="1080"/>
        <w:rPr>
          <w:b/>
          <w:sz w:val="24"/>
        </w:rPr>
      </w:pPr>
    </w:p>
    <w:p w:rsidR="0098164F" w:rsidP="0053049C" w14:paraId="2665094F" w14:textId="77777777">
      <w:pPr>
        <w:widowControl/>
        <w:ind w:left="720"/>
        <w:rPr>
          <w:sz w:val="24"/>
        </w:rPr>
      </w:pPr>
      <w:r>
        <w:rPr>
          <w:sz w:val="24"/>
        </w:rPr>
        <w:t xml:space="preserve">The agency has reviewed and complied with 5 CFR 1320.5 </w:t>
      </w:r>
      <w:r w:rsidRPr="0053049C">
        <w:rPr>
          <w:i/>
          <w:iCs/>
          <w:sz w:val="24"/>
        </w:rPr>
        <w:t>General Requirements</w:t>
      </w:r>
      <w:r>
        <w:rPr>
          <w:sz w:val="24"/>
        </w:rPr>
        <w:t xml:space="preserve">. No </w:t>
      </w:r>
      <w:r w:rsidRPr="0053049C">
        <w:rPr>
          <w:i/>
          <w:iCs/>
          <w:sz w:val="24"/>
        </w:rPr>
        <w:t>Special Circumstances</w:t>
      </w:r>
      <w:r>
        <w:rPr>
          <w:sz w:val="24"/>
        </w:rPr>
        <w:t xml:space="preserve"> are required at this time. </w:t>
      </w:r>
    </w:p>
    <w:p w:rsidR="0098164F" w14:paraId="0D22F52B" w14:textId="77777777">
      <w:pPr>
        <w:ind w:left="360"/>
        <w:rPr>
          <w:sz w:val="24"/>
        </w:rPr>
      </w:pPr>
    </w:p>
    <w:p w:rsidR="0098164F" w14:paraId="11242174" w14:textId="77777777">
      <w:pPr>
        <w:numPr>
          <w:ilvl w:val="0"/>
          <w:numId w:val="2"/>
        </w:numPr>
        <w:rPr>
          <w:b/>
          <w:sz w:val="24"/>
        </w:rPr>
      </w:pPr>
      <w:bookmarkStart w:id="0" w:name="_Hlk138689489"/>
      <w:r>
        <w:rPr>
          <w:b/>
          <w:iCs/>
          <w:sz w:val="24"/>
          <w:u w:val="single"/>
        </w:rPr>
        <w:t>Comments in Response to the Federal Register</w:t>
      </w:r>
      <w:r>
        <w:rPr>
          <w:b/>
          <w:sz w:val="24"/>
          <w:u w:val="single"/>
        </w:rPr>
        <w:t xml:space="preserve"> Notice/Outside Consultation</w:t>
      </w:r>
    </w:p>
    <w:p w:rsidR="0098164F" w:rsidP="00AC63AE" w14:paraId="322426C6" w14:textId="77777777">
      <w:pPr>
        <w:rPr>
          <w:sz w:val="24"/>
        </w:rPr>
      </w:pPr>
    </w:p>
    <w:p w:rsidR="0098164F" w:rsidP="00AC63AE" w14:paraId="2FF04648" w14:textId="77777777">
      <w:pPr>
        <w:ind w:left="720"/>
        <w:rPr>
          <w:sz w:val="24"/>
        </w:rPr>
      </w:pPr>
      <w:r>
        <w:rPr>
          <w:sz w:val="24"/>
        </w:rPr>
        <w:t xml:space="preserve">A 60-day Federal Register Notice was published in the </w:t>
      </w:r>
      <w:r>
        <w:rPr>
          <w:i/>
          <w:iCs/>
          <w:sz w:val="24"/>
        </w:rPr>
        <w:t xml:space="preserve">Federal Register </w:t>
      </w:r>
      <w:r>
        <w:rPr>
          <w:sz w:val="24"/>
        </w:rPr>
        <w:t xml:space="preserve">on </w:t>
      </w:r>
      <w:r w:rsidR="00AC63AE">
        <w:rPr>
          <w:sz w:val="24"/>
        </w:rPr>
        <w:t>April</w:t>
      </w:r>
      <w:r>
        <w:rPr>
          <w:sz w:val="24"/>
        </w:rPr>
        <w:t xml:space="preserve"> 2</w:t>
      </w:r>
      <w:r w:rsidR="00AC63AE">
        <w:rPr>
          <w:sz w:val="24"/>
        </w:rPr>
        <w:t>4</w:t>
      </w:r>
      <w:r>
        <w:rPr>
          <w:sz w:val="24"/>
        </w:rPr>
        <w:t xml:space="preserve">, </w:t>
      </w:r>
      <w:r>
        <w:rPr>
          <w:sz w:val="24"/>
        </w:rPr>
        <w:t>20</w:t>
      </w:r>
      <w:r w:rsidR="00AC63AE">
        <w:rPr>
          <w:sz w:val="24"/>
        </w:rPr>
        <w:t xml:space="preserve">23, Vol. 88, No. 78. Document Citation: 88FR </w:t>
      </w:r>
      <w:bookmarkStart w:id="1" w:name="_Hlk138677167"/>
      <w:r w:rsidR="00AC63AE">
        <w:rPr>
          <w:sz w:val="24"/>
        </w:rPr>
        <w:t>24811. Page: 24811-24812.</w:t>
      </w:r>
      <w:r>
        <w:rPr>
          <w:sz w:val="24"/>
        </w:rPr>
        <w:t xml:space="preserve"> There were no public comments.</w:t>
      </w:r>
    </w:p>
    <w:p w:rsidR="00BA00BB" w:rsidP="00BA00BB" w14:paraId="2FC51585" w14:textId="77777777">
      <w:pPr>
        <w:rPr>
          <w:sz w:val="24"/>
        </w:rPr>
      </w:pPr>
    </w:p>
    <w:p w:rsidR="0098164F" w:rsidP="0012055B" w14:paraId="36D74F3B" w14:textId="77777777">
      <w:pPr>
        <w:ind w:left="720"/>
        <w:rPr>
          <w:sz w:val="24"/>
        </w:rPr>
      </w:pPr>
      <w:r>
        <w:rPr>
          <w:sz w:val="24"/>
        </w:rPr>
        <w:t>When developing the evaluation plan and instruments, our team conferred with a data scientist currently serving as a Presidential Innovation Fellow, April Chen,</w:t>
      </w:r>
      <w:r>
        <w:rPr>
          <w:sz w:val="24"/>
        </w:rPr>
        <w:t xml:space="preserve"> </w:t>
      </w:r>
      <w:r>
        <w:rPr>
          <w:sz w:val="24"/>
        </w:rPr>
        <w:t>as well as members of the ASPE team. April was a key part of our evaluation workgroup, and the ASPE team provided guidance on the approach.</w:t>
      </w:r>
      <w:r w:rsidR="0012055B">
        <w:rPr>
          <w:sz w:val="24"/>
        </w:rPr>
        <w:t xml:space="preserve"> Moreover, ASFR has communicated their plans since the planning and development phase with OMB and all HHS awarding agencies. Recurring meetings such as ECGAP and CGMO Council have been used to inform HHS leadership of progress and updates on a monthly basis. </w:t>
      </w:r>
      <w:bookmarkEnd w:id="0"/>
      <w:bookmarkEnd w:id="1"/>
    </w:p>
    <w:p w:rsidR="0098164F" w14:paraId="7D0761F2" w14:textId="77777777">
      <w:pPr>
        <w:ind w:left="360"/>
        <w:rPr>
          <w:sz w:val="24"/>
        </w:rPr>
      </w:pPr>
    </w:p>
    <w:p w:rsidR="0098164F" w14:paraId="1F45871D" w14:textId="77777777">
      <w:pPr>
        <w:numPr>
          <w:ilvl w:val="0"/>
          <w:numId w:val="2"/>
        </w:numPr>
        <w:rPr>
          <w:b/>
          <w:sz w:val="24"/>
        </w:rPr>
      </w:pPr>
      <w:r>
        <w:rPr>
          <w:b/>
          <w:sz w:val="24"/>
          <w:u w:val="single"/>
        </w:rPr>
        <w:t>Explanation of any Payment/Gift to Respondents</w:t>
      </w:r>
    </w:p>
    <w:p w:rsidR="0097401E" w:rsidP="0097401E" w14:paraId="495D234D" w14:textId="77777777">
      <w:pPr>
        <w:rPr>
          <w:sz w:val="24"/>
        </w:rPr>
      </w:pPr>
    </w:p>
    <w:p w:rsidR="0098164F" w:rsidP="0097401E" w14:paraId="15200A8E" w14:textId="77777777">
      <w:pPr>
        <w:ind w:left="720"/>
        <w:rPr>
          <w:sz w:val="24"/>
        </w:rPr>
      </w:pPr>
      <w:r w:rsidRPr="009F6CEF">
        <w:rPr>
          <w:sz w:val="24"/>
        </w:rPr>
        <w:t xml:space="preserve">Attracting diverse </w:t>
      </w:r>
      <w:r>
        <w:rPr>
          <w:sz w:val="24"/>
        </w:rPr>
        <w:t>groups and ensuring increased accessibility to funding opportunities</w:t>
      </w:r>
      <w:r w:rsidRPr="009F6CEF">
        <w:rPr>
          <w:sz w:val="24"/>
        </w:rPr>
        <w:t xml:space="preserve"> is particularly challenging due to the significant financial burdens and the additional time placed on </w:t>
      </w:r>
      <w:r>
        <w:rPr>
          <w:sz w:val="24"/>
        </w:rPr>
        <w:t>many during</w:t>
      </w:r>
      <w:r w:rsidRPr="009F6CEF">
        <w:rPr>
          <w:sz w:val="24"/>
        </w:rPr>
        <w:t xml:space="preserve"> the application process.</w:t>
      </w:r>
      <w:r>
        <w:rPr>
          <w:sz w:val="24"/>
        </w:rPr>
        <w:t xml:space="preserve"> </w:t>
      </w:r>
      <w:r w:rsidRPr="009F6CEF">
        <w:rPr>
          <w:sz w:val="24"/>
        </w:rPr>
        <w:t xml:space="preserve">The burden of having to </w:t>
      </w:r>
      <w:r>
        <w:rPr>
          <w:sz w:val="24"/>
        </w:rPr>
        <w:t>review and</w:t>
      </w:r>
      <w:r w:rsidRPr="009F6CEF">
        <w:rPr>
          <w:sz w:val="24"/>
        </w:rPr>
        <w:t xml:space="preserve"> fill out the application then submit it to an office </w:t>
      </w:r>
      <w:r>
        <w:rPr>
          <w:sz w:val="24"/>
        </w:rPr>
        <w:t>is already challenging which is why we are working to minimize it by conducting this research.</w:t>
      </w:r>
      <w:r w:rsidRPr="009F6CEF">
        <w:rPr>
          <w:sz w:val="24"/>
        </w:rPr>
        <w:t xml:space="preserve"> Participants often have limited time</w:t>
      </w:r>
      <w:r>
        <w:rPr>
          <w:sz w:val="24"/>
        </w:rPr>
        <w:t xml:space="preserve"> and/or budget</w:t>
      </w:r>
      <w:r w:rsidRPr="009F6CEF">
        <w:rPr>
          <w:sz w:val="24"/>
        </w:rPr>
        <w:t xml:space="preserve"> to apply for </w:t>
      </w:r>
      <w:r>
        <w:rPr>
          <w:sz w:val="24"/>
        </w:rPr>
        <w:t>these opportunities.</w:t>
      </w:r>
      <w:r w:rsidRPr="009F6CEF">
        <w:rPr>
          <w:sz w:val="24"/>
        </w:rPr>
        <w:t xml:space="preserve"> Adequately compensating </w:t>
      </w:r>
      <w:r>
        <w:rPr>
          <w:sz w:val="24"/>
        </w:rPr>
        <w:t>participants for</w:t>
      </w:r>
      <w:r w:rsidRPr="009F6CEF">
        <w:rPr>
          <w:sz w:val="24"/>
        </w:rPr>
        <w:t xml:space="preserve"> the time involved in participating in research to modernize and improve the application process will lessen the burden on them for participating and show we value their time and feedback.</w:t>
      </w:r>
    </w:p>
    <w:p w:rsidR="009F6CEF" w:rsidP="009F6CEF" w14:paraId="0941AB4D" w14:textId="77777777">
      <w:pPr>
        <w:ind w:left="1440"/>
        <w:rPr>
          <w:sz w:val="24"/>
        </w:rPr>
      </w:pPr>
    </w:p>
    <w:p w:rsidR="0098164F" w14:paraId="375567EA" w14:textId="77777777">
      <w:pPr>
        <w:numPr>
          <w:ilvl w:val="0"/>
          <w:numId w:val="2"/>
        </w:numPr>
        <w:rPr>
          <w:b/>
          <w:sz w:val="24"/>
        </w:rPr>
      </w:pPr>
      <w:r>
        <w:rPr>
          <w:b/>
          <w:sz w:val="24"/>
          <w:u w:val="single"/>
        </w:rPr>
        <w:t>Assurance of Confidentiality Provided to Respondents</w:t>
      </w:r>
    </w:p>
    <w:p w:rsidR="0098164F" w14:paraId="628045A9" w14:textId="77777777">
      <w:pPr>
        <w:ind w:left="1080"/>
        <w:rPr>
          <w:sz w:val="24"/>
        </w:rPr>
      </w:pPr>
    </w:p>
    <w:p w:rsidR="0098164F" w:rsidP="000D2F50" w14:paraId="6DFD5370" w14:textId="77777777">
      <w:pPr>
        <w:widowControl/>
        <w:ind w:left="720"/>
        <w:rPr>
          <w:sz w:val="24"/>
        </w:rPr>
      </w:pPr>
      <w:r>
        <w:rPr>
          <w:sz w:val="24"/>
        </w:rPr>
        <w:t>ASFR takes privacy matters seriously. All information collected will go through the appropriate approval processes highlighted by institutional review boards. Best practices will be employed to ensure the safeguard of information collected including the adoption of Department approved security and cyber-security protocols. Moreover, to minimize the potential for risk, p</w:t>
      </w:r>
      <w:r w:rsidRPr="000D2F50">
        <w:rPr>
          <w:sz w:val="24"/>
        </w:rPr>
        <w:t>ersonally identifiable information (PII) will be collected only to the extent necessary.</w:t>
      </w:r>
      <w:r>
        <w:rPr>
          <w:sz w:val="24"/>
        </w:rPr>
        <w:t xml:space="preserve"> Data will be kept private to the extent allowed by law. </w:t>
      </w:r>
    </w:p>
    <w:p w:rsidR="0098164F" w14:paraId="2A76D0DF" w14:textId="77777777">
      <w:pPr>
        <w:ind w:left="360"/>
        <w:rPr>
          <w:sz w:val="24"/>
        </w:rPr>
      </w:pPr>
    </w:p>
    <w:p w:rsidR="0098164F" w14:paraId="2B37C51E" w14:textId="77777777">
      <w:pPr>
        <w:numPr>
          <w:ilvl w:val="0"/>
          <w:numId w:val="2"/>
        </w:numPr>
        <w:rPr>
          <w:b/>
          <w:sz w:val="24"/>
        </w:rPr>
      </w:pPr>
      <w:r>
        <w:rPr>
          <w:b/>
          <w:sz w:val="24"/>
          <w:u w:val="single"/>
        </w:rPr>
        <w:t>Justification for Sensitive Questions</w:t>
      </w:r>
    </w:p>
    <w:p w:rsidR="000D2F50" w:rsidP="000D2F50" w14:paraId="1591DC07" w14:textId="77777777">
      <w:pPr>
        <w:widowControl/>
        <w:rPr>
          <w:sz w:val="24"/>
        </w:rPr>
      </w:pPr>
    </w:p>
    <w:p w:rsidR="0098164F" w:rsidP="000D2F50" w14:paraId="17B2C100" w14:textId="77777777">
      <w:pPr>
        <w:widowControl/>
        <w:ind w:left="720"/>
        <w:rPr>
          <w:sz w:val="24"/>
        </w:rPr>
      </w:pPr>
      <w:r>
        <w:rPr>
          <w:sz w:val="24"/>
        </w:rPr>
        <w:t>There is no intent to conduct any data collection which might be of sensitive</w:t>
      </w:r>
      <w:r>
        <w:rPr>
          <w:sz w:val="24"/>
        </w:rPr>
        <w:t xml:space="preserve"> nature (</w:t>
      </w:r>
      <w:r>
        <w:rPr>
          <w:sz w:val="24"/>
        </w:rPr>
        <w:t>i.e.,</w:t>
      </w:r>
      <w:r>
        <w:rPr>
          <w:sz w:val="24"/>
        </w:rPr>
        <w:t xml:space="preserve"> sexual practices, alcohol or drug use, religious preference, etc.)</w:t>
      </w:r>
      <w:r>
        <w:rPr>
          <w:sz w:val="24"/>
        </w:rPr>
        <w:t>.</w:t>
      </w:r>
    </w:p>
    <w:p w:rsidR="0098164F" w14:paraId="3FA2E947" w14:textId="77777777">
      <w:pPr>
        <w:widowControl/>
        <w:rPr>
          <w:sz w:val="24"/>
        </w:rPr>
      </w:pPr>
    </w:p>
    <w:p w:rsidR="0098164F" w14:paraId="67DC1F2F" w14:textId="77777777">
      <w:pPr>
        <w:ind w:left="360"/>
        <w:rPr>
          <w:sz w:val="24"/>
        </w:rPr>
      </w:pPr>
    </w:p>
    <w:p w:rsidR="0098164F" w:rsidRPr="00AF5419" w14:paraId="02A5387A" w14:textId="77777777">
      <w:pPr>
        <w:numPr>
          <w:ilvl w:val="0"/>
          <w:numId w:val="2"/>
        </w:numPr>
        <w:rPr>
          <w:sz w:val="24"/>
        </w:rPr>
      </w:pPr>
      <w:bookmarkStart w:id="2" w:name="_Hlk85731001"/>
      <w:r w:rsidRPr="00AF5419">
        <w:rPr>
          <w:b/>
          <w:sz w:val="24"/>
          <w:u w:val="single"/>
        </w:rPr>
        <w:t xml:space="preserve">Estimates of Annualized Hour and Cost Burden  </w:t>
      </w:r>
    </w:p>
    <w:bookmarkEnd w:id="2"/>
    <w:p w:rsidR="005C6864" w:rsidP="005C6864" w14:paraId="1774511A" w14:textId="77777777">
      <w:pPr>
        <w:rPr>
          <w:sz w:val="24"/>
        </w:rPr>
      </w:pPr>
    </w:p>
    <w:p w:rsidR="0098164F" w:rsidP="005C6864" w14:paraId="64580F70" w14:textId="77777777">
      <w:pPr>
        <w:ind w:left="720"/>
        <w:rPr>
          <w:sz w:val="24"/>
        </w:rPr>
      </w:pPr>
      <w:r w:rsidRPr="005C6864">
        <w:rPr>
          <w:sz w:val="24"/>
        </w:rPr>
        <w:t>The collections are low-burden for respondents (based on considerations of total burden hours, total number of respondents, or burden-hours per respondent) and are low-cost for both the respondents and the Federal Government.</w:t>
      </w:r>
    </w:p>
    <w:p w:rsidR="005C6864" w:rsidRPr="007336A7" w:rsidP="005C6864" w14:paraId="215526FD" w14:textId="77777777">
      <w:pPr>
        <w:ind w:left="720"/>
        <w:rPr>
          <w:sz w:val="24"/>
          <w:highlight w:val="yellow"/>
        </w:rPr>
      </w:pPr>
    </w:p>
    <w:p w:rsidR="0098164F" w:rsidRPr="007336A7" w14:paraId="5AC56F95" w14:textId="77777777">
      <w:pPr>
        <w:widowControl/>
        <w:ind w:left="2880"/>
        <w:rPr>
          <w:sz w:val="24"/>
          <w:highlight w:val="yellow"/>
        </w:rPr>
      </w:pPr>
    </w:p>
    <w:p w:rsidR="0098164F" w:rsidRPr="005C6864" w:rsidP="005C6864" w14:paraId="63567F65" w14:textId="77777777">
      <w:pPr>
        <w:widowControl/>
        <w:ind w:firstLine="720"/>
        <w:rPr>
          <w:sz w:val="24"/>
        </w:rPr>
      </w:pPr>
      <w:r w:rsidRPr="005C6864">
        <w:rPr>
          <w:b/>
          <w:sz w:val="24"/>
        </w:rPr>
        <w:t>Estimated Annualized Burden Hours</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2"/>
        <w:gridCol w:w="1154"/>
        <w:gridCol w:w="1310"/>
        <w:gridCol w:w="1232"/>
        <w:gridCol w:w="1020"/>
        <w:gridCol w:w="864"/>
      </w:tblGrid>
      <w:tr w14:paraId="6EAAA9F0" w14:textId="77777777" w:rsidTr="0098164F">
        <w:tblPrEx>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80" w:type="dxa"/>
            <w:shd w:val="clear" w:color="auto" w:fill="auto"/>
          </w:tcPr>
          <w:p w:rsidR="0098164F" w:rsidRPr="005C6864" w:rsidP="0098164F" w14:paraId="08621E7C" w14:textId="77777777">
            <w:pPr>
              <w:widowControl/>
              <w:rPr>
                <w:b/>
                <w:bCs/>
                <w:sz w:val="24"/>
              </w:rPr>
            </w:pPr>
            <w:r w:rsidRPr="005C6864">
              <w:rPr>
                <w:b/>
                <w:bCs/>
                <w:sz w:val="24"/>
              </w:rPr>
              <w:t>Type of</w:t>
            </w:r>
          </w:p>
          <w:p w:rsidR="0098164F" w:rsidRPr="005C6864" w:rsidP="0098164F" w14:paraId="373837E4" w14:textId="77777777">
            <w:pPr>
              <w:widowControl/>
              <w:rPr>
                <w:b/>
                <w:bCs/>
                <w:sz w:val="24"/>
              </w:rPr>
            </w:pPr>
            <w:r w:rsidRPr="005C6864">
              <w:rPr>
                <w:b/>
                <w:bCs/>
                <w:sz w:val="24"/>
              </w:rPr>
              <w:t>Respondent</w:t>
            </w:r>
          </w:p>
          <w:p w:rsidR="0098164F" w:rsidRPr="005C6864" w:rsidP="0098164F" w14:paraId="02C4EC31" w14:textId="77777777">
            <w:pPr>
              <w:widowControl/>
              <w:rPr>
                <w:b/>
                <w:bCs/>
                <w:sz w:val="24"/>
              </w:rPr>
            </w:pPr>
          </w:p>
        </w:tc>
        <w:tc>
          <w:tcPr>
            <w:tcW w:w="840" w:type="dxa"/>
            <w:shd w:val="clear" w:color="auto" w:fill="auto"/>
          </w:tcPr>
          <w:p w:rsidR="0098164F" w:rsidRPr="005C6864" w:rsidP="0098164F" w14:paraId="57A5B66B" w14:textId="77777777">
            <w:pPr>
              <w:widowControl/>
              <w:rPr>
                <w:b/>
                <w:bCs/>
                <w:sz w:val="24"/>
              </w:rPr>
            </w:pPr>
            <w:r w:rsidRPr="005C6864">
              <w:rPr>
                <w:b/>
                <w:bCs/>
                <w:sz w:val="24"/>
              </w:rPr>
              <w:t>Form</w:t>
            </w:r>
          </w:p>
          <w:p w:rsidR="0098164F" w:rsidRPr="005C6864" w:rsidP="0098164F" w14:paraId="0B53FD92" w14:textId="77777777">
            <w:pPr>
              <w:widowControl/>
              <w:rPr>
                <w:b/>
                <w:bCs/>
                <w:sz w:val="24"/>
              </w:rPr>
            </w:pPr>
            <w:r w:rsidRPr="005C6864">
              <w:rPr>
                <w:b/>
                <w:bCs/>
                <w:sz w:val="24"/>
              </w:rPr>
              <w:t>Name</w:t>
            </w:r>
          </w:p>
          <w:p w:rsidR="0098164F" w:rsidRPr="005C6864" w:rsidP="0098164F" w14:paraId="3033743A" w14:textId="77777777">
            <w:pPr>
              <w:widowControl/>
              <w:rPr>
                <w:b/>
                <w:bCs/>
                <w:sz w:val="24"/>
              </w:rPr>
            </w:pPr>
          </w:p>
        </w:tc>
        <w:tc>
          <w:tcPr>
            <w:tcW w:w="1532" w:type="dxa"/>
            <w:shd w:val="clear" w:color="auto" w:fill="auto"/>
          </w:tcPr>
          <w:p w:rsidR="0098164F" w:rsidRPr="005C6864" w:rsidP="0098164F" w14:paraId="40FE92A9" w14:textId="77777777">
            <w:pPr>
              <w:widowControl/>
              <w:rPr>
                <w:b/>
                <w:bCs/>
                <w:sz w:val="24"/>
              </w:rPr>
            </w:pPr>
            <w:r w:rsidRPr="005C6864">
              <w:rPr>
                <w:b/>
                <w:bCs/>
                <w:sz w:val="24"/>
              </w:rPr>
              <w:t>No. of</w:t>
            </w:r>
          </w:p>
          <w:p w:rsidR="0098164F" w:rsidRPr="005C6864" w:rsidP="0098164F" w14:paraId="014D4314" w14:textId="77777777">
            <w:pPr>
              <w:widowControl/>
              <w:rPr>
                <w:b/>
                <w:bCs/>
                <w:sz w:val="24"/>
              </w:rPr>
            </w:pPr>
            <w:r w:rsidRPr="005C6864">
              <w:rPr>
                <w:b/>
                <w:bCs/>
                <w:sz w:val="24"/>
              </w:rPr>
              <w:t>Respondents</w:t>
            </w:r>
          </w:p>
        </w:tc>
        <w:tc>
          <w:tcPr>
            <w:tcW w:w="1441" w:type="dxa"/>
            <w:shd w:val="clear" w:color="auto" w:fill="auto"/>
          </w:tcPr>
          <w:p w:rsidR="0098164F" w:rsidRPr="005C6864" w:rsidP="0098164F" w14:paraId="0C12F60A" w14:textId="77777777">
            <w:pPr>
              <w:widowControl/>
              <w:rPr>
                <w:b/>
                <w:bCs/>
                <w:sz w:val="24"/>
              </w:rPr>
            </w:pPr>
            <w:r w:rsidRPr="005C6864">
              <w:rPr>
                <w:b/>
                <w:bCs/>
                <w:sz w:val="24"/>
              </w:rPr>
              <w:t>No.</w:t>
            </w:r>
          </w:p>
          <w:p w:rsidR="0098164F" w:rsidRPr="005C6864" w:rsidP="0098164F" w14:paraId="4E7591B5" w14:textId="77777777">
            <w:pPr>
              <w:widowControl/>
              <w:rPr>
                <w:b/>
                <w:bCs/>
                <w:sz w:val="24"/>
              </w:rPr>
            </w:pPr>
            <w:r w:rsidRPr="005C6864">
              <w:rPr>
                <w:b/>
                <w:bCs/>
                <w:sz w:val="24"/>
              </w:rPr>
              <w:t>Responses</w:t>
            </w:r>
          </w:p>
          <w:p w:rsidR="0098164F" w:rsidRPr="005C6864" w:rsidP="0098164F" w14:paraId="0F63BB50" w14:textId="77777777">
            <w:pPr>
              <w:widowControl/>
              <w:rPr>
                <w:b/>
                <w:bCs/>
                <w:sz w:val="24"/>
              </w:rPr>
            </w:pPr>
            <w:r w:rsidRPr="005C6864">
              <w:rPr>
                <w:b/>
                <w:bCs/>
                <w:sz w:val="24"/>
              </w:rPr>
              <w:t>per</w:t>
            </w:r>
          </w:p>
          <w:p w:rsidR="0098164F" w:rsidRPr="005C6864" w:rsidP="0098164F" w14:paraId="0015B319" w14:textId="77777777">
            <w:pPr>
              <w:widowControl/>
              <w:rPr>
                <w:b/>
                <w:bCs/>
                <w:sz w:val="24"/>
              </w:rPr>
            </w:pPr>
            <w:r w:rsidRPr="005C6864">
              <w:rPr>
                <w:b/>
                <w:bCs/>
                <w:sz w:val="24"/>
              </w:rPr>
              <w:t>Respondent</w:t>
            </w:r>
          </w:p>
        </w:tc>
        <w:tc>
          <w:tcPr>
            <w:tcW w:w="1194" w:type="dxa"/>
            <w:shd w:val="clear" w:color="auto" w:fill="auto"/>
          </w:tcPr>
          <w:p w:rsidR="0098164F" w:rsidRPr="005C6864" w:rsidP="0098164F" w14:paraId="5B84810D" w14:textId="77777777">
            <w:pPr>
              <w:widowControl/>
              <w:rPr>
                <w:b/>
                <w:bCs/>
                <w:sz w:val="24"/>
              </w:rPr>
            </w:pPr>
            <w:r w:rsidRPr="005C6864">
              <w:rPr>
                <w:b/>
                <w:bCs/>
                <w:sz w:val="24"/>
              </w:rPr>
              <w:t>Average</w:t>
            </w:r>
          </w:p>
          <w:p w:rsidR="0098164F" w:rsidRPr="005C6864" w:rsidP="0098164F" w14:paraId="0557A7B2" w14:textId="77777777">
            <w:pPr>
              <w:widowControl/>
              <w:rPr>
                <w:b/>
                <w:bCs/>
                <w:sz w:val="24"/>
              </w:rPr>
            </w:pPr>
            <w:r w:rsidRPr="005C6864">
              <w:rPr>
                <w:b/>
                <w:bCs/>
                <w:sz w:val="24"/>
              </w:rPr>
              <w:t>Burden per</w:t>
            </w:r>
          </w:p>
          <w:p w:rsidR="0098164F" w:rsidRPr="005C6864" w:rsidP="0098164F" w14:paraId="0EC8FBDC" w14:textId="77777777">
            <w:pPr>
              <w:widowControl/>
              <w:rPr>
                <w:b/>
                <w:bCs/>
                <w:sz w:val="24"/>
              </w:rPr>
            </w:pPr>
            <w:r w:rsidRPr="005C6864">
              <w:rPr>
                <w:b/>
                <w:bCs/>
                <w:sz w:val="24"/>
              </w:rPr>
              <w:t>Response</w:t>
            </w:r>
          </w:p>
          <w:p w:rsidR="0098164F" w:rsidRPr="005C6864" w:rsidP="0098164F" w14:paraId="4F72D022" w14:textId="77777777">
            <w:pPr>
              <w:widowControl/>
              <w:rPr>
                <w:b/>
                <w:bCs/>
                <w:sz w:val="24"/>
              </w:rPr>
            </w:pPr>
            <w:r w:rsidRPr="005C6864">
              <w:rPr>
                <w:b/>
                <w:bCs/>
                <w:sz w:val="24"/>
              </w:rPr>
              <w:t>(in hours)</w:t>
            </w:r>
          </w:p>
        </w:tc>
        <w:tc>
          <w:tcPr>
            <w:tcW w:w="1051" w:type="dxa"/>
            <w:shd w:val="clear" w:color="auto" w:fill="auto"/>
          </w:tcPr>
          <w:p w:rsidR="0098164F" w:rsidRPr="005C6864" w:rsidP="0098164F" w14:paraId="02A77E73" w14:textId="77777777">
            <w:pPr>
              <w:widowControl/>
              <w:rPr>
                <w:b/>
                <w:bCs/>
                <w:sz w:val="24"/>
              </w:rPr>
            </w:pPr>
            <w:r w:rsidRPr="005C6864">
              <w:rPr>
                <w:b/>
                <w:bCs/>
                <w:sz w:val="24"/>
              </w:rPr>
              <w:t>Total Burden Hours</w:t>
            </w:r>
          </w:p>
        </w:tc>
      </w:tr>
      <w:tr w14:paraId="31C357A1" w14:textId="77777777" w:rsidTr="0098164F">
        <w:tblPrEx>
          <w:tblW w:w="0" w:type="auto"/>
          <w:tblInd w:w="2538" w:type="dxa"/>
          <w:tblLook w:val="01E0"/>
        </w:tblPrEx>
        <w:tc>
          <w:tcPr>
            <w:tcW w:w="980" w:type="dxa"/>
            <w:shd w:val="clear" w:color="auto" w:fill="auto"/>
          </w:tcPr>
          <w:p w:rsidR="0098164F" w:rsidRPr="005C6864" w:rsidP="0098164F" w14:paraId="244643D1" w14:textId="77777777">
            <w:pPr>
              <w:widowControl/>
              <w:rPr>
                <w:b/>
                <w:bCs/>
                <w:sz w:val="24"/>
              </w:rPr>
            </w:pPr>
            <w:r>
              <w:rPr>
                <w:b/>
                <w:bCs/>
                <w:sz w:val="24"/>
              </w:rPr>
              <w:t>HHS Potential Applicant</w:t>
            </w:r>
          </w:p>
        </w:tc>
        <w:tc>
          <w:tcPr>
            <w:tcW w:w="840" w:type="dxa"/>
            <w:shd w:val="clear" w:color="auto" w:fill="auto"/>
          </w:tcPr>
          <w:p w:rsidR="0098164F" w:rsidRPr="005C6864" w:rsidP="0098164F" w14:paraId="36A47B6C" w14:textId="77777777">
            <w:pPr>
              <w:widowControl/>
              <w:rPr>
                <w:b/>
                <w:bCs/>
                <w:sz w:val="24"/>
              </w:rPr>
            </w:pPr>
            <w:r>
              <w:rPr>
                <w:sz w:val="24"/>
              </w:rPr>
              <w:t>Post Submission Survey</w:t>
            </w:r>
          </w:p>
        </w:tc>
        <w:tc>
          <w:tcPr>
            <w:tcW w:w="1532" w:type="dxa"/>
            <w:shd w:val="clear" w:color="auto" w:fill="auto"/>
          </w:tcPr>
          <w:p w:rsidR="0098164F" w:rsidRPr="005C6864" w:rsidP="0098164F" w14:paraId="5F1FB78C" w14:textId="77777777">
            <w:pPr>
              <w:widowControl/>
              <w:rPr>
                <w:sz w:val="24"/>
              </w:rPr>
            </w:pPr>
            <w:r w:rsidRPr="005C6864">
              <w:rPr>
                <w:sz w:val="24"/>
              </w:rPr>
              <w:t>1000</w:t>
            </w:r>
          </w:p>
        </w:tc>
        <w:tc>
          <w:tcPr>
            <w:tcW w:w="1441" w:type="dxa"/>
            <w:shd w:val="clear" w:color="auto" w:fill="auto"/>
          </w:tcPr>
          <w:p w:rsidR="0098164F" w:rsidRPr="005C6864" w:rsidP="0098164F" w14:paraId="5ED1637A" w14:textId="77777777">
            <w:pPr>
              <w:widowControl/>
              <w:rPr>
                <w:b/>
                <w:bCs/>
                <w:sz w:val="24"/>
              </w:rPr>
            </w:pPr>
            <w:r>
              <w:rPr>
                <w:sz w:val="24"/>
              </w:rPr>
              <w:t>1</w:t>
            </w:r>
          </w:p>
        </w:tc>
        <w:tc>
          <w:tcPr>
            <w:tcW w:w="1194" w:type="dxa"/>
            <w:shd w:val="clear" w:color="auto" w:fill="auto"/>
          </w:tcPr>
          <w:p w:rsidR="0098164F" w:rsidRPr="005C6864" w:rsidP="0098164F" w14:paraId="21E2358F" w14:textId="77777777">
            <w:pPr>
              <w:widowControl/>
              <w:rPr>
                <w:b/>
                <w:bCs/>
                <w:sz w:val="24"/>
              </w:rPr>
            </w:pPr>
            <w:r>
              <w:rPr>
                <w:sz w:val="24"/>
              </w:rPr>
              <w:t>15</w:t>
            </w:r>
            <w:r w:rsidRPr="005C6864">
              <w:rPr>
                <w:sz w:val="24"/>
              </w:rPr>
              <w:t>/60</w:t>
            </w:r>
          </w:p>
        </w:tc>
        <w:tc>
          <w:tcPr>
            <w:tcW w:w="1051" w:type="dxa"/>
            <w:shd w:val="clear" w:color="auto" w:fill="auto"/>
          </w:tcPr>
          <w:p w:rsidR="0098164F" w:rsidRPr="005C6864" w:rsidP="0098164F" w14:paraId="7E2D7A8C" w14:textId="77777777">
            <w:pPr>
              <w:widowControl/>
              <w:rPr>
                <w:b/>
                <w:bCs/>
                <w:sz w:val="24"/>
              </w:rPr>
            </w:pPr>
            <w:r>
              <w:rPr>
                <w:sz w:val="24"/>
              </w:rPr>
              <w:t>2</w:t>
            </w:r>
            <w:r w:rsidRPr="005C6864">
              <w:rPr>
                <w:sz w:val="24"/>
              </w:rPr>
              <w:t>5</w:t>
            </w:r>
            <w:r>
              <w:rPr>
                <w:sz w:val="24"/>
              </w:rPr>
              <w:t>0</w:t>
            </w:r>
          </w:p>
        </w:tc>
      </w:tr>
      <w:tr w14:paraId="289E4CFB" w14:textId="77777777" w:rsidTr="0098164F">
        <w:tblPrEx>
          <w:tblW w:w="0" w:type="auto"/>
          <w:tblInd w:w="2538" w:type="dxa"/>
          <w:tblLook w:val="01E0"/>
        </w:tblPrEx>
        <w:tc>
          <w:tcPr>
            <w:tcW w:w="980" w:type="dxa"/>
            <w:shd w:val="clear" w:color="auto" w:fill="auto"/>
          </w:tcPr>
          <w:p w:rsidR="0098164F" w:rsidRPr="005C6864" w:rsidP="0098164F" w14:paraId="2E057E40" w14:textId="77777777">
            <w:pPr>
              <w:widowControl/>
              <w:rPr>
                <w:b/>
                <w:bCs/>
                <w:sz w:val="24"/>
              </w:rPr>
            </w:pPr>
            <w:r>
              <w:rPr>
                <w:b/>
                <w:bCs/>
                <w:sz w:val="24"/>
              </w:rPr>
              <w:t>HHS Potential Applicant</w:t>
            </w:r>
          </w:p>
        </w:tc>
        <w:tc>
          <w:tcPr>
            <w:tcW w:w="840" w:type="dxa"/>
            <w:shd w:val="clear" w:color="auto" w:fill="auto"/>
          </w:tcPr>
          <w:p w:rsidR="0098164F" w:rsidRPr="005C6864" w:rsidP="0098164F" w14:paraId="23C93106" w14:textId="77777777">
            <w:pPr>
              <w:widowControl/>
              <w:rPr>
                <w:b/>
                <w:bCs/>
                <w:sz w:val="24"/>
              </w:rPr>
            </w:pPr>
            <w:r>
              <w:rPr>
                <w:sz w:val="24"/>
              </w:rPr>
              <w:t>Post Submission Interview Script</w:t>
            </w:r>
          </w:p>
        </w:tc>
        <w:tc>
          <w:tcPr>
            <w:tcW w:w="1532" w:type="dxa"/>
            <w:shd w:val="clear" w:color="auto" w:fill="auto"/>
          </w:tcPr>
          <w:p w:rsidR="0098164F" w:rsidRPr="005C6864" w:rsidP="0098164F" w14:paraId="786A6980" w14:textId="77777777">
            <w:pPr>
              <w:widowControl/>
              <w:rPr>
                <w:b/>
                <w:bCs/>
                <w:sz w:val="24"/>
              </w:rPr>
            </w:pPr>
            <w:r>
              <w:rPr>
                <w:sz w:val="24"/>
              </w:rPr>
              <w:t>200</w:t>
            </w:r>
            <w:r w:rsidRPr="005C6864">
              <w:rPr>
                <w:sz w:val="24"/>
              </w:rPr>
              <w:t xml:space="preserve">   </w:t>
            </w:r>
          </w:p>
        </w:tc>
        <w:tc>
          <w:tcPr>
            <w:tcW w:w="1441" w:type="dxa"/>
            <w:shd w:val="clear" w:color="auto" w:fill="auto"/>
          </w:tcPr>
          <w:p w:rsidR="0098164F" w:rsidRPr="005C6864" w:rsidP="0098164F" w14:paraId="255E47CA" w14:textId="77777777">
            <w:pPr>
              <w:widowControl/>
              <w:rPr>
                <w:b/>
                <w:bCs/>
                <w:sz w:val="24"/>
              </w:rPr>
            </w:pPr>
            <w:r w:rsidRPr="005C6864">
              <w:rPr>
                <w:sz w:val="24"/>
              </w:rPr>
              <w:t>1</w:t>
            </w:r>
          </w:p>
        </w:tc>
        <w:tc>
          <w:tcPr>
            <w:tcW w:w="1194" w:type="dxa"/>
            <w:shd w:val="clear" w:color="auto" w:fill="auto"/>
          </w:tcPr>
          <w:p w:rsidR="0098164F" w:rsidRPr="005C6864" w:rsidP="0098164F" w14:paraId="2CF4E6A0" w14:textId="77777777">
            <w:pPr>
              <w:widowControl/>
              <w:rPr>
                <w:b/>
                <w:bCs/>
                <w:sz w:val="24"/>
              </w:rPr>
            </w:pPr>
            <w:r>
              <w:rPr>
                <w:sz w:val="24"/>
              </w:rPr>
              <w:t>1</w:t>
            </w:r>
          </w:p>
        </w:tc>
        <w:tc>
          <w:tcPr>
            <w:tcW w:w="1051" w:type="dxa"/>
            <w:shd w:val="clear" w:color="auto" w:fill="auto"/>
          </w:tcPr>
          <w:p w:rsidR="0098164F" w:rsidRPr="005C6864" w:rsidP="0098164F" w14:paraId="4A406496" w14:textId="77777777">
            <w:pPr>
              <w:widowControl/>
              <w:rPr>
                <w:sz w:val="24"/>
              </w:rPr>
            </w:pPr>
            <w:r>
              <w:rPr>
                <w:sz w:val="24"/>
              </w:rPr>
              <w:t>200</w:t>
            </w:r>
          </w:p>
          <w:p w:rsidR="0098164F" w:rsidRPr="005C6864" w:rsidP="0098164F" w14:paraId="235FADE1" w14:textId="77777777">
            <w:pPr>
              <w:widowControl/>
              <w:rPr>
                <w:b/>
                <w:bCs/>
                <w:sz w:val="24"/>
              </w:rPr>
            </w:pPr>
          </w:p>
        </w:tc>
      </w:tr>
      <w:tr w14:paraId="41EF1720" w14:textId="77777777" w:rsidTr="0098164F">
        <w:tblPrEx>
          <w:tblW w:w="0" w:type="auto"/>
          <w:tblInd w:w="2538" w:type="dxa"/>
          <w:tblLook w:val="01E0"/>
        </w:tblPrEx>
        <w:tc>
          <w:tcPr>
            <w:tcW w:w="980" w:type="dxa"/>
            <w:shd w:val="clear" w:color="auto" w:fill="auto"/>
          </w:tcPr>
          <w:p w:rsidR="005C6864" w:rsidP="0098164F" w14:paraId="5BFC1485" w14:textId="77777777">
            <w:pPr>
              <w:widowControl/>
              <w:rPr>
                <w:b/>
                <w:bCs/>
                <w:sz w:val="24"/>
              </w:rPr>
            </w:pPr>
            <w:r>
              <w:rPr>
                <w:b/>
                <w:bCs/>
                <w:sz w:val="24"/>
              </w:rPr>
              <w:t>HHS Potential Applicant</w:t>
            </w:r>
          </w:p>
        </w:tc>
        <w:tc>
          <w:tcPr>
            <w:tcW w:w="840" w:type="dxa"/>
            <w:shd w:val="clear" w:color="auto" w:fill="auto"/>
          </w:tcPr>
          <w:p w:rsidR="005C6864" w:rsidP="0098164F" w14:paraId="70AC1C43" w14:textId="77777777">
            <w:pPr>
              <w:widowControl/>
              <w:rPr>
                <w:sz w:val="24"/>
              </w:rPr>
            </w:pPr>
            <w:r>
              <w:rPr>
                <w:sz w:val="24"/>
              </w:rPr>
              <w:t>Moderated Usability Test Script</w:t>
            </w:r>
          </w:p>
        </w:tc>
        <w:tc>
          <w:tcPr>
            <w:tcW w:w="1532" w:type="dxa"/>
            <w:shd w:val="clear" w:color="auto" w:fill="auto"/>
          </w:tcPr>
          <w:p w:rsidR="005C6864" w:rsidRPr="005C6864" w:rsidP="0098164F" w14:paraId="15C53067" w14:textId="77777777">
            <w:pPr>
              <w:widowControl/>
              <w:rPr>
                <w:sz w:val="24"/>
              </w:rPr>
            </w:pPr>
            <w:r>
              <w:rPr>
                <w:sz w:val="24"/>
              </w:rPr>
              <w:t>300</w:t>
            </w:r>
          </w:p>
        </w:tc>
        <w:tc>
          <w:tcPr>
            <w:tcW w:w="1441" w:type="dxa"/>
            <w:shd w:val="clear" w:color="auto" w:fill="auto"/>
          </w:tcPr>
          <w:p w:rsidR="005C6864" w:rsidRPr="005C6864" w:rsidP="0098164F" w14:paraId="48DE8ED9" w14:textId="77777777">
            <w:pPr>
              <w:widowControl/>
              <w:rPr>
                <w:sz w:val="24"/>
              </w:rPr>
            </w:pPr>
            <w:r>
              <w:rPr>
                <w:sz w:val="24"/>
              </w:rPr>
              <w:t>1</w:t>
            </w:r>
          </w:p>
        </w:tc>
        <w:tc>
          <w:tcPr>
            <w:tcW w:w="1194" w:type="dxa"/>
            <w:shd w:val="clear" w:color="auto" w:fill="auto"/>
          </w:tcPr>
          <w:p w:rsidR="005C6864" w:rsidRPr="005C6864" w:rsidP="0098164F" w14:paraId="1D1AF3D9" w14:textId="77777777">
            <w:pPr>
              <w:widowControl/>
              <w:rPr>
                <w:sz w:val="24"/>
              </w:rPr>
            </w:pPr>
            <w:r>
              <w:rPr>
                <w:sz w:val="24"/>
              </w:rPr>
              <w:t>1</w:t>
            </w:r>
          </w:p>
        </w:tc>
        <w:tc>
          <w:tcPr>
            <w:tcW w:w="1051" w:type="dxa"/>
            <w:shd w:val="clear" w:color="auto" w:fill="auto"/>
          </w:tcPr>
          <w:p w:rsidR="005C6864" w:rsidRPr="005C6864" w:rsidP="0098164F" w14:paraId="2E099D95" w14:textId="77777777">
            <w:pPr>
              <w:widowControl/>
              <w:rPr>
                <w:sz w:val="24"/>
              </w:rPr>
            </w:pPr>
            <w:r>
              <w:rPr>
                <w:sz w:val="24"/>
              </w:rPr>
              <w:t>300</w:t>
            </w:r>
          </w:p>
        </w:tc>
      </w:tr>
      <w:tr w14:paraId="1D12DD87" w14:textId="77777777" w:rsidTr="0098164F">
        <w:tblPrEx>
          <w:tblW w:w="0" w:type="auto"/>
          <w:tblInd w:w="2538" w:type="dxa"/>
          <w:tblLook w:val="01E0"/>
        </w:tblPrEx>
        <w:tc>
          <w:tcPr>
            <w:tcW w:w="980" w:type="dxa"/>
            <w:shd w:val="clear" w:color="auto" w:fill="auto"/>
          </w:tcPr>
          <w:p w:rsidR="005C6864" w:rsidP="0098164F" w14:paraId="0C56F0BC" w14:textId="77777777">
            <w:pPr>
              <w:widowControl/>
              <w:rPr>
                <w:b/>
                <w:bCs/>
                <w:sz w:val="24"/>
              </w:rPr>
            </w:pPr>
            <w:r>
              <w:rPr>
                <w:b/>
                <w:bCs/>
                <w:sz w:val="24"/>
              </w:rPr>
              <w:t xml:space="preserve">HHS </w:t>
            </w:r>
            <w:r w:rsidR="00BB0793">
              <w:rPr>
                <w:b/>
                <w:bCs/>
                <w:sz w:val="24"/>
              </w:rPr>
              <w:t>Potential App</w:t>
            </w:r>
            <w:r>
              <w:rPr>
                <w:b/>
                <w:bCs/>
                <w:sz w:val="24"/>
              </w:rPr>
              <w:t>licant</w:t>
            </w:r>
          </w:p>
        </w:tc>
        <w:tc>
          <w:tcPr>
            <w:tcW w:w="840" w:type="dxa"/>
            <w:shd w:val="clear" w:color="auto" w:fill="auto"/>
          </w:tcPr>
          <w:p w:rsidR="005C6864" w:rsidP="0098164F" w14:paraId="7E5E020F" w14:textId="77777777">
            <w:pPr>
              <w:widowControl/>
              <w:rPr>
                <w:sz w:val="24"/>
              </w:rPr>
            </w:pPr>
            <w:r>
              <w:rPr>
                <w:sz w:val="24"/>
              </w:rPr>
              <w:t>Focus Group</w:t>
            </w:r>
          </w:p>
        </w:tc>
        <w:tc>
          <w:tcPr>
            <w:tcW w:w="1532" w:type="dxa"/>
            <w:shd w:val="clear" w:color="auto" w:fill="auto"/>
          </w:tcPr>
          <w:p w:rsidR="005C6864" w:rsidRPr="005C6864" w:rsidP="0098164F" w14:paraId="7781E844" w14:textId="77777777">
            <w:pPr>
              <w:widowControl/>
              <w:rPr>
                <w:sz w:val="24"/>
              </w:rPr>
            </w:pPr>
            <w:r>
              <w:rPr>
                <w:sz w:val="24"/>
              </w:rPr>
              <w:t>200</w:t>
            </w:r>
          </w:p>
        </w:tc>
        <w:tc>
          <w:tcPr>
            <w:tcW w:w="1441" w:type="dxa"/>
            <w:shd w:val="clear" w:color="auto" w:fill="auto"/>
          </w:tcPr>
          <w:p w:rsidR="005C6864" w:rsidRPr="005C6864" w:rsidP="0098164F" w14:paraId="4DB86B6B" w14:textId="77777777">
            <w:pPr>
              <w:widowControl/>
              <w:rPr>
                <w:sz w:val="24"/>
              </w:rPr>
            </w:pPr>
            <w:r>
              <w:rPr>
                <w:sz w:val="24"/>
              </w:rPr>
              <w:t>1</w:t>
            </w:r>
          </w:p>
        </w:tc>
        <w:tc>
          <w:tcPr>
            <w:tcW w:w="1194" w:type="dxa"/>
            <w:shd w:val="clear" w:color="auto" w:fill="auto"/>
          </w:tcPr>
          <w:p w:rsidR="005C6864" w:rsidRPr="005C6864" w:rsidP="0098164F" w14:paraId="36FDC54F" w14:textId="77777777">
            <w:pPr>
              <w:widowControl/>
              <w:rPr>
                <w:sz w:val="24"/>
              </w:rPr>
            </w:pPr>
            <w:r>
              <w:rPr>
                <w:sz w:val="24"/>
              </w:rPr>
              <w:t>1</w:t>
            </w:r>
          </w:p>
        </w:tc>
        <w:tc>
          <w:tcPr>
            <w:tcW w:w="1051" w:type="dxa"/>
            <w:shd w:val="clear" w:color="auto" w:fill="auto"/>
          </w:tcPr>
          <w:p w:rsidR="005C6864" w:rsidRPr="005C6864" w:rsidP="0098164F" w14:paraId="40872E95" w14:textId="77777777">
            <w:pPr>
              <w:widowControl/>
              <w:rPr>
                <w:sz w:val="24"/>
              </w:rPr>
            </w:pPr>
            <w:r>
              <w:rPr>
                <w:sz w:val="24"/>
              </w:rPr>
              <w:t>200</w:t>
            </w:r>
          </w:p>
        </w:tc>
      </w:tr>
      <w:tr w14:paraId="6CDC1ED6" w14:textId="77777777" w:rsidTr="0098164F">
        <w:tblPrEx>
          <w:tblW w:w="0" w:type="auto"/>
          <w:tblInd w:w="2538" w:type="dxa"/>
          <w:tblLook w:val="01E0"/>
        </w:tblPrEx>
        <w:tc>
          <w:tcPr>
            <w:tcW w:w="980" w:type="dxa"/>
            <w:shd w:val="clear" w:color="auto" w:fill="auto"/>
          </w:tcPr>
          <w:p w:rsidR="0098164F" w:rsidRPr="005C6864" w:rsidP="0098164F" w14:paraId="77C93DE2" w14:textId="77777777">
            <w:pPr>
              <w:widowControl/>
              <w:rPr>
                <w:b/>
                <w:bCs/>
                <w:sz w:val="24"/>
              </w:rPr>
            </w:pPr>
            <w:r w:rsidRPr="005C6864">
              <w:rPr>
                <w:b/>
                <w:bCs/>
                <w:sz w:val="24"/>
              </w:rPr>
              <w:t>Total</w:t>
            </w:r>
          </w:p>
        </w:tc>
        <w:tc>
          <w:tcPr>
            <w:tcW w:w="840" w:type="dxa"/>
            <w:shd w:val="clear" w:color="auto" w:fill="auto"/>
          </w:tcPr>
          <w:p w:rsidR="0098164F" w:rsidRPr="005C6864" w:rsidP="0098164F" w14:paraId="7E580FFE" w14:textId="77777777">
            <w:pPr>
              <w:widowControl/>
              <w:rPr>
                <w:sz w:val="24"/>
              </w:rPr>
            </w:pPr>
          </w:p>
        </w:tc>
        <w:tc>
          <w:tcPr>
            <w:tcW w:w="1532" w:type="dxa"/>
            <w:shd w:val="clear" w:color="auto" w:fill="auto"/>
          </w:tcPr>
          <w:p w:rsidR="0098164F" w:rsidRPr="005C6864" w:rsidP="0098164F" w14:paraId="136A7E15" w14:textId="77777777">
            <w:pPr>
              <w:widowControl/>
              <w:rPr>
                <w:sz w:val="24"/>
              </w:rPr>
            </w:pPr>
          </w:p>
        </w:tc>
        <w:tc>
          <w:tcPr>
            <w:tcW w:w="1441" w:type="dxa"/>
            <w:shd w:val="clear" w:color="auto" w:fill="auto"/>
          </w:tcPr>
          <w:p w:rsidR="0098164F" w:rsidRPr="005C6864" w:rsidP="0098164F" w14:paraId="7773BA60" w14:textId="77777777">
            <w:pPr>
              <w:widowControl/>
              <w:rPr>
                <w:sz w:val="24"/>
              </w:rPr>
            </w:pPr>
          </w:p>
        </w:tc>
        <w:tc>
          <w:tcPr>
            <w:tcW w:w="1194" w:type="dxa"/>
            <w:shd w:val="clear" w:color="auto" w:fill="auto"/>
          </w:tcPr>
          <w:p w:rsidR="0098164F" w:rsidRPr="005C6864" w:rsidP="0098164F" w14:paraId="2DC1F168" w14:textId="77777777">
            <w:pPr>
              <w:widowControl/>
              <w:rPr>
                <w:sz w:val="24"/>
              </w:rPr>
            </w:pPr>
          </w:p>
        </w:tc>
        <w:tc>
          <w:tcPr>
            <w:tcW w:w="1051" w:type="dxa"/>
            <w:shd w:val="clear" w:color="auto" w:fill="auto"/>
          </w:tcPr>
          <w:p w:rsidR="0098164F" w:rsidRPr="005C6864" w:rsidP="0098164F" w14:paraId="0456F86E" w14:textId="77777777">
            <w:pPr>
              <w:widowControl/>
              <w:rPr>
                <w:sz w:val="24"/>
              </w:rPr>
            </w:pPr>
            <w:r w:rsidRPr="005C6864">
              <w:rPr>
                <w:b/>
                <w:bCs/>
                <w:sz w:val="24"/>
              </w:rPr>
              <w:t>9</w:t>
            </w:r>
            <w:r w:rsidR="005C6864">
              <w:rPr>
                <w:b/>
                <w:bCs/>
                <w:sz w:val="24"/>
              </w:rPr>
              <w:t>50</w:t>
            </w:r>
          </w:p>
          <w:p w:rsidR="0098164F" w:rsidRPr="005C6864" w:rsidP="0098164F" w14:paraId="178538AE" w14:textId="77777777">
            <w:pPr>
              <w:widowControl/>
              <w:rPr>
                <w:sz w:val="24"/>
              </w:rPr>
            </w:pPr>
          </w:p>
        </w:tc>
      </w:tr>
    </w:tbl>
    <w:p w:rsidR="0098164F" w:rsidRPr="007336A7" w:rsidP="00BB0793" w14:paraId="5397D75A" w14:textId="77777777">
      <w:pPr>
        <w:widowControl/>
        <w:rPr>
          <w:sz w:val="24"/>
          <w:highlight w:val="yellow"/>
        </w:rPr>
      </w:pPr>
    </w:p>
    <w:p w:rsidR="0098164F" w14:paraId="032D68D9" w14:textId="77777777">
      <w:pPr>
        <w:widowControl/>
        <w:ind w:left="1440"/>
        <w:rPr>
          <w:sz w:val="24"/>
          <w:highlight w:val="yellow"/>
        </w:rPr>
      </w:pPr>
    </w:p>
    <w:p w:rsidR="00BB0793" w:rsidRPr="007336A7" w14:paraId="001BF573" w14:textId="77777777">
      <w:pPr>
        <w:widowControl/>
        <w:ind w:left="1440"/>
        <w:rPr>
          <w:sz w:val="24"/>
          <w:highlight w:val="yellow"/>
        </w:rPr>
      </w:pPr>
    </w:p>
    <w:p w:rsidR="0098164F" w:rsidRPr="00BB0793" w14:paraId="4BA3DB20" w14:textId="77777777">
      <w:pPr>
        <w:widowControl/>
        <w:rPr>
          <w:b/>
          <w:sz w:val="24"/>
        </w:rPr>
      </w:pPr>
      <w:r w:rsidRPr="00BB0793">
        <w:rPr>
          <w:sz w:val="24"/>
        </w:rPr>
        <w:tab/>
      </w:r>
      <w:r w:rsidRPr="00BB0793">
        <w:rPr>
          <w:b/>
          <w:sz w:val="24"/>
        </w:rPr>
        <w:t xml:space="preserve">Estimated Annualized </w:t>
      </w:r>
      <w:r w:rsidRPr="00BB0793" w:rsidR="00110C0E">
        <w:rPr>
          <w:b/>
          <w:sz w:val="24"/>
        </w:rPr>
        <w:t xml:space="preserve">Respondent </w:t>
      </w:r>
      <w:r w:rsidRPr="00BB0793">
        <w:rPr>
          <w:b/>
          <w:sz w:val="24"/>
        </w:rPr>
        <w:t>Burden Costs</w:t>
      </w:r>
    </w:p>
    <w:tbl>
      <w:tblPr>
        <w:tblW w:w="5965" w:type="dxa"/>
        <w:tblInd w:w="2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1330"/>
        <w:gridCol w:w="1429"/>
        <w:gridCol w:w="1776"/>
      </w:tblGrid>
      <w:tr w14:paraId="196756EE" w14:textId="77777777" w:rsidTr="0098164F">
        <w:tblPrEx>
          <w:tblW w:w="5965" w:type="dxa"/>
          <w:tblInd w:w="2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30" w:type="dxa"/>
            <w:shd w:val="clear" w:color="auto" w:fill="auto"/>
          </w:tcPr>
          <w:p w:rsidR="0098164F" w:rsidRPr="00BB0793" w:rsidP="0098164F" w14:paraId="681A3AC0" w14:textId="77777777">
            <w:pPr>
              <w:widowControl/>
              <w:rPr>
                <w:b/>
                <w:bCs/>
                <w:sz w:val="24"/>
              </w:rPr>
            </w:pPr>
            <w:r w:rsidRPr="00BB0793">
              <w:rPr>
                <w:b/>
                <w:bCs/>
                <w:sz w:val="24"/>
              </w:rPr>
              <w:t>Type of</w:t>
            </w:r>
          </w:p>
          <w:p w:rsidR="0098164F" w:rsidRPr="00BB0793" w:rsidP="0098164F" w14:paraId="514CC96A" w14:textId="77777777">
            <w:pPr>
              <w:widowControl/>
              <w:rPr>
                <w:sz w:val="24"/>
              </w:rPr>
            </w:pPr>
            <w:r w:rsidRPr="00BB0793">
              <w:rPr>
                <w:b/>
                <w:bCs/>
                <w:sz w:val="24"/>
              </w:rPr>
              <w:t>Respondent</w:t>
            </w:r>
          </w:p>
          <w:p w:rsidR="0098164F" w:rsidRPr="00BB0793" w:rsidP="0098164F" w14:paraId="09D7D668" w14:textId="77777777">
            <w:pPr>
              <w:widowControl/>
              <w:rPr>
                <w:b/>
                <w:bCs/>
                <w:sz w:val="24"/>
              </w:rPr>
            </w:pPr>
          </w:p>
        </w:tc>
        <w:tc>
          <w:tcPr>
            <w:tcW w:w="1330" w:type="dxa"/>
            <w:shd w:val="clear" w:color="auto" w:fill="auto"/>
          </w:tcPr>
          <w:p w:rsidR="0098164F" w:rsidRPr="00BB0793" w:rsidP="0098164F" w14:paraId="384900AA" w14:textId="77777777">
            <w:pPr>
              <w:widowControl/>
              <w:rPr>
                <w:b/>
                <w:bCs/>
                <w:sz w:val="24"/>
              </w:rPr>
            </w:pPr>
            <w:r w:rsidRPr="00BB0793">
              <w:rPr>
                <w:b/>
                <w:bCs/>
                <w:sz w:val="24"/>
              </w:rPr>
              <w:t>Total Burden</w:t>
            </w:r>
          </w:p>
          <w:p w:rsidR="0098164F" w:rsidRPr="00BB0793" w:rsidP="0098164F" w14:paraId="63AB4C07" w14:textId="77777777">
            <w:pPr>
              <w:widowControl/>
              <w:rPr>
                <w:sz w:val="24"/>
              </w:rPr>
            </w:pPr>
            <w:r w:rsidRPr="00BB0793">
              <w:rPr>
                <w:b/>
                <w:bCs/>
                <w:sz w:val="24"/>
              </w:rPr>
              <w:t>Hours</w:t>
            </w:r>
          </w:p>
          <w:p w:rsidR="0098164F" w:rsidRPr="00BB0793" w:rsidP="0098164F" w14:paraId="3D909351" w14:textId="77777777">
            <w:pPr>
              <w:widowControl/>
              <w:rPr>
                <w:b/>
                <w:bCs/>
                <w:sz w:val="24"/>
              </w:rPr>
            </w:pPr>
          </w:p>
        </w:tc>
        <w:tc>
          <w:tcPr>
            <w:tcW w:w="1429" w:type="dxa"/>
            <w:shd w:val="clear" w:color="auto" w:fill="auto"/>
          </w:tcPr>
          <w:p w:rsidR="0098164F" w:rsidRPr="00BB0793" w:rsidP="0098164F" w14:paraId="6E705E0B" w14:textId="77777777">
            <w:pPr>
              <w:widowControl/>
              <w:rPr>
                <w:b/>
                <w:bCs/>
                <w:sz w:val="24"/>
              </w:rPr>
            </w:pPr>
            <w:r w:rsidRPr="00BB0793">
              <w:rPr>
                <w:b/>
                <w:bCs/>
                <w:sz w:val="24"/>
              </w:rPr>
              <w:t>Hourly</w:t>
            </w:r>
          </w:p>
          <w:p w:rsidR="0098164F" w:rsidRPr="00BB0793" w:rsidP="0098164F" w14:paraId="67D4C11B" w14:textId="77777777">
            <w:pPr>
              <w:widowControl/>
              <w:rPr>
                <w:sz w:val="24"/>
              </w:rPr>
            </w:pPr>
            <w:r w:rsidRPr="00BB0793">
              <w:rPr>
                <w:b/>
                <w:bCs/>
                <w:sz w:val="24"/>
              </w:rPr>
              <w:t>Wage Rate</w:t>
            </w:r>
          </w:p>
          <w:p w:rsidR="0098164F" w:rsidRPr="00BB0793" w:rsidP="0098164F" w14:paraId="6801256A" w14:textId="77777777">
            <w:pPr>
              <w:widowControl/>
              <w:rPr>
                <w:b/>
                <w:bCs/>
                <w:sz w:val="24"/>
              </w:rPr>
            </w:pPr>
          </w:p>
        </w:tc>
        <w:tc>
          <w:tcPr>
            <w:tcW w:w="1776" w:type="dxa"/>
            <w:shd w:val="clear" w:color="auto" w:fill="auto"/>
          </w:tcPr>
          <w:p w:rsidR="0098164F" w:rsidRPr="00BB0793" w:rsidP="0098164F" w14:paraId="0F052FF9" w14:textId="77777777">
            <w:pPr>
              <w:widowControl/>
              <w:rPr>
                <w:sz w:val="24"/>
              </w:rPr>
            </w:pPr>
            <w:r w:rsidRPr="00BB0793">
              <w:rPr>
                <w:b/>
                <w:bCs/>
                <w:sz w:val="24"/>
              </w:rPr>
              <w:t>Total Respondent Costs</w:t>
            </w:r>
          </w:p>
          <w:p w:rsidR="0098164F" w:rsidRPr="00BB0793" w:rsidP="0098164F" w14:paraId="550E1C7A" w14:textId="77777777">
            <w:pPr>
              <w:widowControl/>
              <w:rPr>
                <w:b/>
                <w:bCs/>
                <w:sz w:val="24"/>
              </w:rPr>
            </w:pPr>
          </w:p>
        </w:tc>
      </w:tr>
      <w:tr w14:paraId="5F000103" w14:textId="77777777" w:rsidTr="0098164F">
        <w:tblPrEx>
          <w:tblW w:w="5965" w:type="dxa"/>
          <w:tblInd w:w="2603" w:type="dxa"/>
          <w:tblLook w:val="01E0"/>
        </w:tblPrEx>
        <w:tc>
          <w:tcPr>
            <w:tcW w:w="1430" w:type="dxa"/>
            <w:shd w:val="clear" w:color="auto" w:fill="auto"/>
          </w:tcPr>
          <w:p w:rsidR="0098164F" w:rsidRPr="00BB0793" w14:paraId="2C7E9D70" w14:textId="77777777">
            <w:pPr>
              <w:rPr>
                <w:sz w:val="24"/>
              </w:rPr>
            </w:pPr>
            <w:r>
              <w:rPr>
                <w:sz w:val="24"/>
              </w:rPr>
              <w:t>HHS Potential Applicant</w:t>
            </w:r>
            <w:r w:rsidRPr="00BB0793">
              <w:rPr>
                <w:sz w:val="24"/>
              </w:rPr>
              <w:t xml:space="preserve"> </w:t>
            </w:r>
          </w:p>
        </w:tc>
        <w:tc>
          <w:tcPr>
            <w:tcW w:w="1330" w:type="dxa"/>
            <w:shd w:val="clear" w:color="auto" w:fill="auto"/>
          </w:tcPr>
          <w:p w:rsidR="0098164F" w:rsidRPr="00BB0793" w14:paraId="106A9547" w14:textId="77777777">
            <w:pPr>
              <w:rPr>
                <w:sz w:val="24"/>
              </w:rPr>
            </w:pPr>
            <w:r>
              <w:rPr>
                <w:sz w:val="24"/>
              </w:rPr>
              <w:t>2</w:t>
            </w:r>
            <w:r w:rsidRPr="00BB0793">
              <w:rPr>
                <w:sz w:val="24"/>
              </w:rPr>
              <w:t>5</w:t>
            </w:r>
            <w:r>
              <w:rPr>
                <w:sz w:val="24"/>
              </w:rPr>
              <w:t>0</w:t>
            </w:r>
            <w:r w:rsidRPr="00BB0793">
              <w:rPr>
                <w:sz w:val="24"/>
              </w:rPr>
              <w:t xml:space="preserve"> </w:t>
            </w:r>
          </w:p>
        </w:tc>
        <w:tc>
          <w:tcPr>
            <w:tcW w:w="1429" w:type="dxa"/>
            <w:shd w:val="clear" w:color="auto" w:fill="auto"/>
          </w:tcPr>
          <w:p w:rsidR="0098164F" w:rsidRPr="00BB0793" w:rsidP="0098164F" w14:paraId="63ED721F" w14:textId="77777777">
            <w:pPr>
              <w:jc w:val="right"/>
              <w:rPr>
                <w:sz w:val="24"/>
              </w:rPr>
            </w:pPr>
            <w:r w:rsidRPr="00BB0793">
              <w:rPr>
                <w:sz w:val="24"/>
              </w:rPr>
              <w:t xml:space="preserve"> $</w:t>
            </w:r>
            <w:r w:rsidR="00A02286">
              <w:rPr>
                <w:sz w:val="24"/>
              </w:rPr>
              <w:t>40</w:t>
            </w:r>
            <w:r w:rsidR="00BB0793">
              <w:rPr>
                <w:sz w:val="24"/>
              </w:rPr>
              <w:t>.</w:t>
            </w:r>
            <w:r w:rsidR="00A02286">
              <w:rPr>
                <w:sz w:val="24"/>
              </w:rPr>
              <w:t>00</w:t>
            </w:r>
            <w:r w:rsidRPr="00BB0793">
              <w:rPr>
                <w:sz w:val="24"/>
              </w:rPr>
              <w:t xml:space="preserve"> </w:t>
            </w:r>
          </w:p>
        </w:tc>
        <w:tc>
          <w:tcPr>
            <w:tcW w:w="1776" w:type="dxa"/>
            <w:shd w:val="clear" w:color="auto" w:fill="auto"/>
          </w:tcPr>
          <w:p w:rsidR="0098164F" w:rsidRPr="00BB0793" w:rsidP="0098164F" w14:paraId="27400B58" w14:textId="77777777">
            <w:pPr>
              <w:jc w:val="right"/>
              <w:rPr>
                <w:sz w:val="24"/>
              </w:rPr>
            </w:pPr>
            <w:r w:rsidRPr="00BB0793">
              <w:rPr>
                <w:sz w:val="24"/>
              </w:rPr>
              <w:t xml:space="preserve"> $</w:t>
            </w:r>
            <w:r w:rsidR="00A02286">
              <w:rPr>
                <w:sz w:val="24"/>
              </w:rPr>
              <w:t>10,000</w:t>
            </w:r>
            <w:r w:rsidRPr="00BB0793">
              <w:rPr>
                <w:sz w:val="24"/>
              </w:rPr>
              <w:t>.00</w:t>
            </w:r>
          </w:p>
        </w:tc>
      </w:tr>
      <w:tr w14:paraId="7902F25E" w14:textId="77777777" w:rsidTr="0098164F">
        <w:tblPrEx>
          <w:tblW w:w="5965" w:type="dxa"/>
          <w:tblInd w:w="2603" w:type="dxa"/>
          <w:tblLook w:val="01E0"/>
        </w:tblPrEx>
        <w:tc>
          <w:tcPr>
            <w:tcW w:w="1430" w:type="dxa"/>
            <w:shd w:val="clear" w:color="auto" w:fill="auto"/>
          </w:tcPr>
          <w:p w:rsidR="0098164F" w:rsidRPr="00BB0793" w14:paraId="1E33CC53" w14:textId="77777777">
            <w:pPr>
              <w:rPr>
                <w:sz w:val="24"/>
              </w:rPr>
            </w:pPr>
            <w:r>
              <w:rPr>
                <w:sz w:val="24"/>
              </w:rPr>
              <w:t>HHS Potential Applicant</w:t>
            </w:r>
          </w:p>
        </w:tc>
        <w:tc>
          <w:tcPr>
            <w:tcW w:w="1330" w:type="dxa"/>
            <w:shd w:val="clear" w:color="auto" w:fill="auto"/>
          </w:tcPr>
          <w:p w:rsidR="0098164F" w:rsidRPr="00BB0793" w14:paraId="443245C6" w14:textId="77777777">
            <w:pPr>
              <w:rPr>
                <w:sz w:val="24"/>
              </w:rPr>
            </w:pPr>
            <w:r>
              <w:rPr>
                <w:sz w:val="24"/>
              </w:rPr>
              <w:t>200</w:t>
            </w:r>
          </w:p>
        </w:tc>
        <w:tc>
          <w:tcPr>
            <w:tcW w:w="1429" w:type="dxa"/>
            <w:shd w:val="clear" w:color="auto" w:fill="auto"/>
          </w:tcPr>
          <w:p w:rsidR="0098164F" w:rsidRPr="00BB0793" w:rsidP="0098164F" w14:paraId="57AB8A8E" w14:textId="77777777">
            <w:pPr>
              <w:jc w:val="right"/>
              <w:rPr>
                <w:sz w:val="24"/>
              </w:rPr>
            </w:pPr>
            <w:r w:rsidRPr="00BB0793">
              <w:rPr>
                <w:sz w:val="24"/>
              </w:rPr>
              <w:t>$</w:t>
            </w:r>
            <w:r w:rsidR="00A02286">
              <w:rPr>
                <w:sz w:val="24"/>
              </w:rPr>
              <w:t>40</w:t>
            </w:r>
            <w:r>
              <w:rPr>
                <w:sz w:val="24"/>
              </w:rPr>
              <w:t>.</w:t>
            </w:r>
            <w:r w:rsidR="00A02286">
              <w:rPr>
                <w:sz w:val="24"/>
              </w:rPr>
              <w:t>00</w:t>
            </w:r>
          </w:p>
        </w:tc>
        <w:tc>
          <w:tcPr>
            <w:tcW w:w="1776" w:type="dxa"/>
            <w:shd w:val="clear" w:color="auto" w:fill="auto"/>
          </w:tcPr>
          <w:p w:rsidR="0098164F" w:rsidRPr="00BB0793" w:rsidP="0098164F" w14:paraId="6AEF4A51" w14:textId="77777777">
            <w:pPr>
              <w:jc w:val="right"/>
              <w:rPr>
                <w:sz w:val="24"/>
              </w:rPr>
            </w:pPr>
            <w:r w:rsidRPr="00BB0793">
              <w:rPr>
                <w:sz w:val="24"/>
              </w:rPr>
              <w:t xml:space="preserve"> $</w:t>
            </w:r>
            <w:r w:rsidR="00A02286">
              <w:rPr>
                <w:sz w:val="24"/>
              </w:rPr>
              <w:t>8,000</w:t>
            </w:r>
            <w:r w:rsidRPr="00BB0793">
              <w:rPr>
                <w:sz w:val="24"/>
              </w:rPr>
              <w:t>.00</w:t>
            </w:r>
          </w:p>
        </w:tc>
      </w:tr>
      <w:tr w14:paraId="35550741" w14:textId="77777777" w:rsidTr="0098164F">
        <w:tblPrEx>
          <w:tblW w:w="5965" w:type="dxa"/>
          <w:tblInd w:w="2603" w:type="dxa"/>
          <w:tblLook w:val="01E0"/>
        </w:tblPrEx>
        <w:tc>
          <w:tcPr>
            <w:tcW w:w="1430" w:type="dxa"/>
            <w:shd w:val="clear" w:color="auto" w:fill="auto"/>
          </w:tcPr>
          <w:p w:rsidR="00BB0793" w:rsidRPr="00BB0793" w14:paraId="0119048D" w14:textId="77777777">
            <w:pPr>
              <w:rPr>
                <w:sz w:val="24"/>
              </w:rPr>
            </w:pPr>
            <w:r>
              <w:rPr>
                <w:sz w:val="24"/>
              </w:rPr>
              <w:t>HHS Potential Applicant</w:t>
            </w:r>
          </w:p>
        </w:tc>
        <w:tc>
          <w:tcPr>
            <w:tcW w:w="1330" w:type="dxa"/>
            <w:shd w:val="clear" w:color="auto" w:fill="auto"/>
          </w:tcPr>
          <w:p w:rsidR="00BB0793" w:rsidRPr="00BB0793" w14:paraId="37D04733" w14:textId="77777777">
            <w:pPr>
              <w:rPr>
                <w:sz w:val="24"/>
              </w:rPr>
            </w:pPr>
            <w:r>
              <w:rPr>
                <w:sz w:val="24"/>
              </w:rPr>
              <w:t>3</w:t>
            </w:r>
            <w:r>
              <w:rPr>
                <w:sz w:val="24"/>
              </w:rPr>
              <w:t>00</w:t>
            </w:r>
          </w:p>
        </w:tc>
        <w:tc>
          <w:tcPr>
            <w:tcW w:w="1429" w:type="dxa"/>
            <w:shd w:val="clear" w:color="auto" w:fill="auto"/>
          </w:tcPr>
          <w:p w:rsidR="00BB0793" w:rsidRPr="00BB0793" w:rsidP="0098164F" w14:paraId="4C484F49" w14:textId="77777777">
            <w:pPr>
              <w:jc w:val="right"/>
              <w:rPr>
                <w:sz w:val="24"/>
              </w:rPr>
            </w:pPr>
            <w:r w:rsidRPr="00BB0793">
              <w:rPr>
                <w:sz w:val="24"/>
              </w:rPr>
              <w:t>$</w:t>
            </w:r>
            <w:r w:rsidR="00A02286">
              <w:rPr>
                <w:sz w:val="24"/>
              </w:rPr>
              <w:t>40</w:t>
            </w:r>
            <w:r>
              <w:rPr>
                <w:sz w:val="24"/>
              </w:rPr>
              <w:t>.</w:t>
            </w:r>
            <w:r w:rsidR="00A02286">
              <w:rPr>
                <w:sz w:val="24"/>
              </w:rPr>
              <w:t>00</w:t>
            </w:r>
          </w:p>
        </w:tc>
        <w:tc>
          <w:tcPr>
            <w:tcW w:w="1776" w:type="dxa"/>
            <w:shd w:val="clear" w:color="auto" w:fill="auto"/>
          </w:tcPr>
          <w:p w:rsidR="00BB0793" w:rsidRPr="00BB0793" w:rsidP="0098164F" w14:paraId="0D168E12" w14:textId="77777777">
            <w:pPr>
              <w:jc w:val="right"/>
              <w:rPr>
                <w:sz w:val="24"/>
              </w:rPr>
            </w:pPr>
            <w:r w:rsidRPr="00BB0793">
              <w:rPr>
                <w:sz w:val="24"/>
              </w:rPr>
              <w:t>$</w:t>
            </w:r>
            <w:r w:rsidR="00A02286">
              <w:rPr>
                <w:sz w:val="24"/>
              </w:rPr>
              <w:t>12,000</w:t>
            </w:r>
            <w:r w:rsidRPr="00BB0793">
              <w:rPr>
                <w:sz w:val="24"/>
              </w:rPr>
              <w:t>.00</w:t>
            </w:r>
          </w:p>
        </w:tc>
      </w:tr>
      <w:tr w14:paraId="60BF68AC" w14:textId="77777777" w:rsidTr="0098164F">
        <w:tblPrEx>
          <w:tblW w:w="5965" w:type="dxa"/>
          <w:tblInd w:w="2603" w:type="dxa"/>
          <w:tblLook w:val="01E0"/>
        </w:tblPrEx>
        <w:tc>
          <w:tcPr>
            <w:tcW w:w="1430" w:type="dxa"/>
            <w:shd w:val="clear" w:color="auto" w:fill="auto"/>
          </w:tcPr>
          <w:p w:rsidR="00BB0793" w:rsidRPr="00BB0793" w14:paraId="1A0423BB" w14:textId="77777777">
            <w:pPr>
              <w:rPr>
                <w:sz w:val="24"/>
              </w:rPr>
            </w:pPr>
            <w:r>
              <w:rPr>
                <w:sz w:val="24"/>
              </w:rPr>
              <w:t>HHS Potential Applicant</w:t>
            </w:r>
          </w:p>
        </w:tc>
        <w:tc>
          <w:tcPr>
            <w:tcW w:w="1330" w:type="dxa"/>
            <w:shd w:val="clear" w:color="auto" w:fill="auto"/>
          </w:tcPr>
          <w:p w:rsidR="00BB0793" w:rsidRPr="00BB0793" w14:paraId="2BDB6B9E" w14:textId="77777777">
            <w:pPr>
              <w:rPr>
                <w:sz w:val="24"/>
              </w:rPr>
            </w:pPr>
            <w:r>
              <w:rPr>
                <w:sz w:val="24"/>
              </w:rPr>
              <w:t>200</w:t>
            </w:r>
          </w:p>
        </w:tc>
        <w:tc>
          <w:tcPr>
            <w:tcW w:w="1429" w:type="dxa"/>
            <w:shd w:val="clear" w:color="auto" w:fill="auto"/>
          </w:tcPr>
          <w:p w:rsidR="00BB0793" w:rsidRPr="00BB0793" w:rsidP="0098164F" w14:paraId="1BBC4619" w14:textId="77777777">
            <w:pPr>
              <w:jc w:val="right"/>
              <w:rPr>
                <w:sz w:val="24"/>
              </w:rPr>
            </w:pPr>
            <w:r w:rsidRPr="00BB0793">
              <w:rPr>
                <w:sz w:val="24"/>
              </w:rPr>
              <w:t>$</w:t>
            </w:r>
            <w:r w:rsidR="00A02286">
              <w:rPr>
                <w:sz w:val="24"/>
              </w:rPr>
              <w:t>40</w:t>
            </w:r>
            <w:r>
              <w:rPr>
                <w:sz w:val="24"/>
              </w:rPr>
              <w:t>.</w:t>
            </w:r>
            <w:r w:rsidR="00A02286">
              <w:rPr>
                <w:sz w:val="24"/>
              </w:rPr>
              <w:t>00</w:t>
            </w:r>
          </w:p>
        </w:tc>
        <w:tc>
          <w:tcPr>
            <w:tcW w:w="1776" w:type="dxa"/>
            <w:shd w:val="clear" w:color="auto" w:fill="auto"/>
          </w:tcPr>
          <w:p w:rsidR="00BB0793" w:rsidRPr="00BB0793" w:rsidP="0098164F" w14:paraId="20D9DB51" w14:textId="77777777">
            <w:pPr>
              <w:jc w:val="right"/>
              <w:rPr>
                <w:sz w:val="24"/>
              </w:rPr>
            </w:pPr>
            <w:r w:rsidRPr="00BB0793">
              <w:rPr>
                <w:sz w:val="24"/>
              </w:rPr>
              <w:t>$</w:t>
            </w:r>
            <w:r w:rsidR="00A02286">
              <w:rPr>
                <w:sz w:val="24"/>
              </w:rPr>
              <w:t>8,000</w:t>
            </w:r>
            <w:r w:rsidRPr="00BB0793">
              <w:rPr>
                <w:sz w:val="24"/>
              </w:rPr>
              <w:t>.00</w:t>
            </w:r>
          </w:p>
        </w:tc>
      </w:tr>
      <w:tr w14:paraId="5E2C9B66" w14:textId="77777777" w:rsidTr="0098164F">
        <w:tblPrEx>
          <w:tblW w:w="5965" w:type="dxa"/>
          <w:tblInd w:w="2603" w:type="dxa"/>
          <w:tblLook w:val="01E0"/>
        </w:tblPrEx>
        <w:trPr>
          <w:trHeight w:val="440"/>
        </w:trPr>
        <w:tc>
          <w:tcPr>
            <w:tcW w:w="1430" w:type="dxa"/>
            <w:shd w:val="clear" w:color="auto" w:fill="auto"/>
          </w:tcPr>
          <w:p w:rsidR="0098164F" w:rsidRPr="00BB0793" w:rsidP="0098164F" w14:paraId="2A1F7BCE" w14:textId="77777777">
            <w:pPr>
              <w:widowControl/>
              <w:rPr>
                <w:sz w:val="24"/>
              </w:rPr>
            </w:pPr>
            <w:r w:rsidRPr="00BB0793">
              <w:rPr>
                <w:sz w:val="24"/>
              </w:rPr>
              <w:t>Total</w:t>
            </w:r>
          </w:p>
        </w:tc>
        <w:tc>
          <w:tcPr>
            <w:tcW w:w="1330" w:type="dxa"/>
            <w:shd w:val="clear" w:color="auto" w:fill="auto"/>
          </w:tcPr>
          <w:p w:rsidR="0098164F" w:rsidRPr="00BB0793" w:rsidP="0098164F" w14:paraId="14DD6834" w14:textId="77777777">
            <w:pPr>
              <w:widowControl/>
              <w:rPr>
                <w:sz w:val="24"/>
              </w:rPr>
            </w:pPr>
          </w:p>
        </w:tc>
        <w:tc>
          <w:tcPr>
            <w:tcW w:w="1429" w:type="dxa"/>
            <w:shd w:val="clear" w:color="auto" w:fill="auto"/>
          </w:tcPr>
          <w:p w:rsidR="0098164F" w:rsidRPr="00BB0793" w:rsidP="0098164F" w14:paraId="0CF3489E" w14:textId="77777777">
            <w:pPr>
              <w:widowControl/>
              <w:jc w:val="right"/>
              <w:rPr>
                <w:sz w:val="24"/>
              </w:rPr>
            </w:pPr>
          </w:p>
        </w:tc>
        <w:tc>
          <w:tcPr>
            <w:tcW w:w="1776" w:type="dxa"/>
            <w:shd w:val="clear" w:color="auto" w:fill="auto"/>
          </w:tcPr>
          <w:p w:rsidR="0098164F" w:rsidRPr="0098164F" w:rsidP="0098164F" w14:paraId="6C3591F0" w14:textId="77777777">
            <w:pPr>
              <w:widowControl/>
              <w:jc w:val="right"/>
              <w:rPr>
                <w:sz w:val="24"/>
              </w:rPr>
            </w:pPr>
            <w:r w:rsidRPr="00BB0793">
              <w:rPr>
                <w:sz w:val="24"/>
              </w:rPr>
              <w:t>$</w:t>
            </w:r>
            <w:r w:rsidR="00A02286">
              <w:rPr>
                <w:sz w:val="24"/>
              </w:rPr>
              <w:t>38,000</w:t>
            </w:r>
            <w:r w:rsidRPr="00BB0793">
              <w:rPr>
                <w:sz w:val="24"/>
              </w:rPr>
              <w:t>.00</w:t>
            </w:r>
          </w:p>
        </w:tc>
      </w:tr>
    </w:tbl>
    <w:p w:rsidR="0098164F" w14:paraId="70527197" w14:textId="77777777">
      <w:pPr>
        <w:pStyle w:val="BodyTextIndent"/>
        <w:ind w:left="1080"/>
        <w:rPr>
          <w:rFonts w:ascii="Times New Roman" w:hAnsi="Times New Roman"/>
        </w:rPr>
      </w:pPr>
      <w:r>
        <w:rPr>
          <w:rFonts w:ascii="Times New Roman" w:hAnsi="Times New Roman"/>
        </w:rPr>
        <w:t>Note: The pool of potential applicants for HHS is very broad. Using the most recent wage information from the Department of Labor, we have identified the data reflected in the table for the occupation most representative of applicants “community and social service specialists”.</w:t>
      </w:r>
    </w:p>
    <w:p w:rsidR="0098164F" w14:paraId="25DCB062" w14:textId="77777777">
      <w:pPr>
        <w:ind w:left="360"/>
        <w:rPr>
          <w:sz w:val="24"/>
        </w:rPr>
      </w:pPr>
    </w:p>
    <w:p w:rsidR="00B67354" w:rsidRPr="0012055B" w:rsidP="0012055B" w14:paraId="1E676344" w14:textId="77777777">
      <w:pPr>
        <w:numPr>
          <w:ilvl w:val="0"/>
          <w:numId w:val="2"/>
        </w:numPr>
        <w:rPr>
          <w:b/>
          <w:sz w:val="24"/>
        </w:rPr>
      </w:pPr>
      <w:bookmarkStart w:id="3" w:name="_Hlk85731239"/>
      <w:bookmarkStart w:id="4" w:name="_Hlk138688572"/>
      <w:r>
        <w:rPr>
          <w:b/>
          <w:sz w:val="24"/>
          <w:u w:val="single"/>
        </w:rPr>
        <w:t>Estimates of other Total Annual Cost Burden to Respondents or Recordkeepers/Capital Costs</w:t>
      </w:r>
      <w:bookmarkEnd w:id="3"/>
    </w:p>
    <w:p w:rsidR="00B67354" w:rsidP="00B67354" w14:paraId="7F57DC00" w14:textId="77777777">
      <w:pPr>
        <w:pStyle w:val="BodyTextIndent"/>
        <w:rPr>
          <w:rFonts w:ascii="Times New Roman" w:hAnsi="Times New Roman"/>
        </w:rPr>
      </w:pPr>
    </w:p>
    <w:p w:rsidR="00B67354" w:rsidP="0012055B" w14:paraId="689FE3F5" w14:textId="77777777">
      <w:pPr>
        <w:pStyle w:val="BodyTextIndent"/>
        <w:rPr>
          <w:rFonts w:ascii="Times New Roman" w:hAnsi="Times New Roman"/>
        </w:rPr>
      </w:pPr>
      <w:r>
        <w:rPr>
          <w:rFonts w:ascii="Times New Roman" w:hAnsi="Times New Roman"/>
        </w:rPr>
        <w:t>Respondents are not required to make any purchases.</w:t>
      </w:r>
    </w:p>
    <w:p w:rsidR="00B67354" w:rsidP="00B67354" w14:paraId="58F926DD" w14:textId="77777777">
      <w:pPr>
        <w:pStyle w:val="BodyTextIndent"/>
        <w:rPr>
          <w:rFonts w:ascii="Times New Roman" w:hAnsi="Times New Roman"/>
        </w:rPr>
      </w:pPr>
    </w:p>
    <w:p w:rsidR="0098164F" w14:paraId="6954C599" w14:textId="77777777">
      <w:pPr>
        <w:ind w:left="360"/>
        <w:rPr>
          <w:sz w:val="24"/>
        </w:rPr>
      </w:pPr>
    </w:p>
    <w:p w:rsidR="0098164F" w:rsidRPr="00B40461" w14:paraId="742D6C33" w14:textId="77777777">
      <w:pPr>
        <w:numPr>
          <w:ilvl w:val="0"/>
          <w:numId w:val="2"/>
        </w:numPr>
        <w:rPr>
          <w:b/>
          <w:sz w:val="24"/>
        </w:rPr>
      </w:pPr>
      <w:bookmarkStart w:id="5" w:name="_Hlk85731309"/>
      <w:r w:rsidRPr="00B40461">
        <w:rPr>
          <w:b/>
          <w:sz w:val="24"/>
          <w:u w:val="single"/>
        </w:rPr>
        <w:t>Annualized Cost to Federal Government</w:t>
      </w:r>
    </w:p>
    <w:bookmarkEnd w:id="5"/>
    <w:p w:rsidR="00B67354" w:rsidP="0012055B" w14:paraId="0D9CD6C5" w14:textId="77777777">
      <w:pPr>
        <w:pStyle w:val="BodyTextIndent"/>
        <w:ind w:left="0"/>
        <w:rPr>
          <w:rFonts w:ascii="Times New Roman" w:hAnsi="Times New Roman"/>
        </w:rPr>
      </w:pPr>
    </w:p>
    <w:p w:rsidR="00B67354" w:rsidRPr="0012055B" w:rsidP="0012055B" w14:paraId="54E7E8F4" w14:textId="77777777">
      <w:pPr>
        <w:ind w:firstLine="720"/>
        <w:rPr>
          <w:b/>
          <w:bCs/>
          <w:sz w:val="24"/>
        </w:rPr>
      </w:pPr>
      <w:r w:rsidRPr="0012055B">
        <w:rPr>
          <w:b/>
          <w:bCs/>
          <w:sz w:val="24"/>
        </w:rPr>
        <w:t>Evaluation costs per year</w:t>
      </w:r>
    </w:p>
    <w:p w:rsidR="00B67354" w:rsidRPr="0012055B" w:rsidP="0012055B" w14:paraId="5FE0CAFB" w14:textId="77777777">
      <w:pPr>
        <w:ind w:firstLine="720"/>
        <w:rPr>
          <w:sz w:val="24"/>
        </w:rPr>
      </w:pPr>
      <w:r w:rsidRPr="0012055B">
        <w:rPr>
          <w:sz w:val="24"/>
        </w:rPr>
        <w:t>Lab team time – 60 hours; $6,000</w:t>
      </w:r>
    </w:p>
    <w:p w:rsidR="00B67354" w:rsidRPr="0012055B" w:rsidP="0012055B" w14:paraId="4DD7E011" w14:textId="77777777">
      <w:pPr>
        <w:ind w:firstLine="720"/>
        <w:rPr>
          <w:sz w:val="24"/>
        </w:rPr>
      </w:pPr>
      <w:r w:rsidRPr="0012055B">
        <w:rPr>
          <w:sz w:val="24"/>
        </w:rPr>
        <w:t>ASFR team time – 300 hours; $22,500</w:t>
      </w:r>
    </w:p>
    <w:p w:rsidR="00B67354" w:rsidRPr="0012055B" w:rsidP="0012055B" w14:paraId="6DBBC0B1" w14:textId="77777777">
      <w:pPr>
        <w:ind w:firstLine="720"/>
        <w:rPr>
          <w:sz w:val="24"/>
        </w:rPr>
      </w:pPr>
      <w:r w:rsidRPr="0012055B">
        <w:rPr>
          <w:sz w:val="24"/>
        </w:rPr>
        <w:t>Gartner time – 20 hours; $4,000</w:t>
      </w:r>
    </w:p>
    <w:p w:rsidR="00B67354" w:rsidRPr="0012055B" w:rsidP="0012055B" w14:paraId="56DC424E" w14:textId="77777777">
      <w:pPr>
        <w:ind w:firstLine="720"/>
        <w:rPr>
          <w:sz w:val="24"/>
        </w:rPr>
      </w:pPr>
      <w:r w:rsidRPr="0012055B">
        <w:rPr>
          <w:sz w:val="24"/>
        </w:rPr>
        <w:t>PIF time – 50 hours; $3,750</w:t>
      </w:r>
    </w:p>
    <w:p w:rsidR="00B67354" w:rsidRPr="0012055B" w:rsidP="0012055B" w14:paraId="5AE89BDA" w14:textId="77777777">
      <w:pPr>
        <w:ind w:firstLine="720"/>
        <w:rPr>
          <w:sz w:val="24"/>
        </w:rPr>
      </w:pPr>
      <w:r w:rsidRPr="0012055B">
        <w:rPr>
          <w:sz w:val="24"/>
        </w:rPr>
        <w:t>Incentives – $6,000</w:t>
      </w:r>
    </w:p>
    <w:p w:rsidR="00B67354" w:rsidRPr="0012055B" w:rsidP="0012055B" w14:paraId="28AFDB27" w14:textId="77777777">
      <w:pPr>
        <w:ind w:firstLine="720"/>
        <w:rPr>
          <w:sz w:val="24"/>
        </w:rPr>
      </w:pPr>
      <w:r w:rsidRPr="0012055B">
        <w:rPr>
          <w:sz w:val="24"/>
        </w:rPr>
        <w:t>Analysis software – $1,000</w:t>
      </w:r>
    </w:p>
    <w:p w:rsidR="00B67354" w:rsidRPr="0012055B" w:rsidP="0012055B" w14:paraId="7D7742A7" w14:textId="77777777">
      <w:pPr>
        <w:ind w:firstLine="720"/>
        <w:rPr>
          <w:sz w:val="24"/>
        </w:rPr>
      </w:pPr>
      <w:r w:rsidRPr="0012055B">
        <w:rPr>
          <w:b/>
          <w:bCs/>
          <w:sz w:val="24"/>
        </w:rPr>
        <w:t>Total costs</w:t>
      </w:r>
      <w:r w:rsidRPr="0012055B">
        <w:rPr>
          <w:sz w:val="24"/>
        </w:rPr>
        <w:t xml:space="preserve"> – $43,250</w:t>
      </w:r>
    </w:p>
    <w:p w:rsidR="00B67354" w:rsidP="00B67354" w14:paraId="6344F88D" w14:textId="77777777">
      <w:pPr>
        <w:pStyle w:val="BodyTextIndent"/>
        <w:rPr>
          <w:rFonts w:ascii="Times New Roman" w:hAnsi="Times New Roman"/>
        </w:rPr>
      </w:pPr>
    </w:p>
    <w:bookmarkEnd w:id="4"/>
    <w:p w:rsidR="0098164F" w14:paraId="68002B09" w14:textId="77777777">
      <w:pPr>
        <w:ind w:left="360"/>
        <w:rPr>
          <w:sz w:val="24"/>
        </w:rPr>
      </w:pPr>
    </w:p>
    <w:p w:rsidR="0098164F" w14:paraId="697FF519" w14:textId="77777777">
      <w:pPr>
        <w:numPr>
          <w:ilvl w:val="0"/>
          <w:numId w:val="2"/>
        </w:numPr>
        <w:rPr>
          <w:b/>
          <w:sz w:val="24"/>
        </w:rPr>
      </w:pPr>
      <w:bookmarkStart w:id="6" w:name="_Hlk85731368"/>
      <w:r>
        <w:rPr>
          <w:b/>
          <w:sz w:val="24"/>
          <w:u w:val="single"/>
        </w:rPr>
        <w:t>Explanation for Program Changes or Adjustments</w:t>
      </w:r>
      <w:bookmarkEnd w:id="6"/>
    </w:p>
    <w:p w:rsidR="0098164F" w14:paraId="6CEAB172" w14:textId="77777777">
      <w:pPr>
        <w:ind w:left="720"/>
        <w:rPr>
          <w:b/>
          <w:sz w:val="24"/>
        </w:rPr>
      </w:pPr>
    </w:p>
    <w:p w:rsidR="0098164F" w:rsidP="00B40461" w14:paraId="02A65BCD" w14:textId="77777777">
      <w:pPr>
        <w:pStyle w:val="BodyTextIndent"/>
        <w:rPr>
          <w:rFonts w:ascii="Times New Roman" w:hAnsi="Times New Roman"/>
        </w:rPr>
      </w:pPr>
      <w:r>
        <w:rPr>
          <w:rFonts w:ascii="Times New Roman" w:hAnsi="Times New Roman"/>
        </w:rPr>
        <w:t>This is a new data collection.</w:t>
      </w:r>
    </w:p>
    <w:p w:rsidR="0098164F" w14:paraId="431C84D7" w14:textId="77777777">
      <w:pPr>
        <w:pStyle w:val="BodyTextIndent"/>
        <w:ind w:left="1080"/>
        <w:rPr>
          <w:rFonts w:ascii="Times New Roman" w:hAnsi="Times New Roman"/>
        </w:rPr>
      </w:pPr>
    </w:p>
    <w:p w:rsidR="0098164F" w14:paraId="3820FCE2" w14:textId="77777777">
      <w:pPr>
        <w:ind w:left="360" w:firstLine="720"/>
        <w:rPr>
          <w:sz w:val="24"/>
        </w:rPr>
      </w:pPr>
    </w:p>
    <w:p w:rsidR="0098164F" w14:paraId="64922D3C" w14:textId="77777777">
      <w:pPr>
        <w:numPr>
          <w:ilvl w:val="0"/>
          <w:numId w:val="2"/>
        </w:numPr>
        <w:rPr>
          <w:b/>
          <w:sz w:val="24"/>
        </w:rPr>
      </w:pPr>
      <w:bookmarkStart w:id="7" w:name="_Hlk85731591"/>
      <w:r>
        <w:rPr>
          <w:b/>
          <w:sz w:val="24"/>
          <w:u w:val="single"/>
        </w:rPr>
        <w:t>Plans for Tabulation and Publication and Project Time Schedule</w:t>
      </w:r>
    </w:p>
    <w:bookmarkEnd w:id="7"/>
    <w:p w:rsidR="0098164F" w14:paraId="56DE4D68" w14:textId="77777777">
      <w:pPr>
        <w:ind w:left="720"/>
        <w:rPr>
          <w:b/>
          <w:sz w:val="24"/>
        </w:rPr>
      </w:pPr>
    </w:p>
    <w:p w:rsidR="002D0834" w:rsidP="00C854FC" w14:paraId="294C7D3A" w14:textId="77777777">
      <w:pPr>
        <w:ind w:left="720"/>
        <w:rPr>
          <w:sz w:val="24"/>
        </w:rPr>
      </w:pPr>
      <w:r>
        <w:rPr>
          <w:sz w:val="24"/>
        </w:rPr>
        <w:t xml:space="preserve">The </w:t>
      </w:r>
      <w:r>
        <w:rPr>
          <w:sz w:val="24"/>
        </w:rPr>
        <w:t xml:space="preserve">data collection hereto listed </w:t>
      </w:r>
      <w:r w:rsidRPr="002D0834">
        <w:rPr>
          <w:sz w:val="24"/>
        </w:rPr>
        <w:t xml:space="preserve">will 1) provide insights into customer or stakeholder perceptions, experiences and expectations; 2) </w:t>
      </w:r>
      <w:r w:rsidR="00A02286">
        <w:rPr>
          <w:sz w:val="24"/>
        </w:rPr>
        <w:t>uncover issues that create barriers to funding or the system to deliver them</w:t>
      </w:r>
      <w:r w:rsidRPr="002D0834">
        <w:rPr>
          <w:sz w:val="24"/>
        </w:rPr>
        <w:t>; and 3) focus attention on areas where communication, training or changes in operations might improve delivery of such opportunities and services.</w:t>
      </w:r>
      <w:r>
        <w:rPr>
          <w:sz w:val="24"/>
        </w:rPr>
        <w:t xml:space="preserve"> Findings from these will be shared internally with HHS awarding agencies as part of the ongoing collaborative efforts of this initiative. Moreover, </w:t>
      </w:r>
      <w:r>
        <w:rPr>
          <w:sz w:val="24"/>
        </w:rPr>
        <w:t>system and or processes changes resulting from these findings might be highlighted at public facing events, once and if changes are implemented. Please refer to the attached project timeline and evaluation plan for additional context</w:t>
      </w:r>
      <w:r w:rsidR="0012055B">
        <w:rPr>
          <w:sz w:val="24"/>
        </w:rPr>
        <w:t xml:space="preserve"> (dates will be shifted to await OMB approval)</w:t>
      </w:r>
      <w:r>
        <w:rPr>
          <w:sz w:val="24"/>
        </w:rPr>
        <w:t xml:space="preserve">. </w:t>
      </w:r>
    </w:p>
    <w:p w:rsidR="00BA00BB" w:rsidP="00C854FC" w14:paraId="766CE9DE" w14:textId="77777777">
      <w:pPr>
        <w:ind w:left="72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5"/>
        <w:gridCol w:w="7825"/>
      </w:tblGrid>
      <w:tr w14:paraId="39D77540"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25" w:type="dxa"/>
            <w:shd w:val="clear" w:color="auto" w:fill="F2F2F2"/>
          </w:tcPr>
          <w:p w:rsidR="00BA00BB" w14:paraId="4B54D4A5" w14:textId="77777777">
            <w:pPr>
              <w:rPr>
                <w:b/>
                <w:bCs/>
              </w:rPr>
            </w:pPr>
            <w:r>
              <w:rPr>
                <w:b/>
                <w:bCs/>
              </w:rPr>
              <w:t>June 27-30</w:t>
            </w:r>
          </w:p>
        </w:tc>
        <w:tc>
          <w:tcPr>
            <w:tcW w:w="7825" w:type="dxa"/>
            <w:shd w:val="clear" w:color="auto" w:fill="auto"/>
          </w:tcPr>
          <w:p w:rsidR="00BA00BB" w14:paraId="106EA678" w14:textId="77777777">
            <w:pPr>
              <w:pStyle w:val="ListParagraph"/>
              <w:widowControl/>
              <w:numPr>
                <w:ilvl w:val="0"/>
                <w:numId w:val="43"/>
              </w:numPr>
              <w:autoSpaceDE/>
              <w:autoSpaceDN/>
              <w:adjustRightInd/>
              <w:contextualSpacing/>
            </w:pPr>
            <w:r>
              <w:t xml:space="preserve">Schedule internal </w:t>
            </w:r>
            <w:r>
              <w:t>OpDiv</w:t>
            </w:r>
            <w:r>
              <w:t xml:space="preserve"> prototype partner debriefs and internal moderated usability sessions</w:t>
            </w:r>
          </w:p>
          <w:p w:rsidR="00BA00BB" w14:paraId="7FF50BFA" w14:textId="77777777">
            <w:pPr>
              <w:pStyle w:val="ListParagraph"/>
              <w:widowControl/>
              <w:numPr>
                <w:ilvl w:val="0"/>
                <w:numId w:val="43"/>
              </w:numPr>
              <w:autoSpaceDE/>
              <w:autoSpaceDN/>
              <w:adjustRightInd/>
              <w:contextualSpacing/>
            </w:pPr>
            <w:r>
              <w:t xml:space="preserve">Talk through survey mechanism with Julius </w:t>
            </w:r>
          </w:p>
          <w:p w:rsidR="00BA00BB" w14:paraId="76D97379" w14:textId="77777777">
            <w:pPr>
              <w:pStyle w:val="ListParagraph"/>
              <w:widowControl/>
              <w:numPr>
                <w:ilvl w:val="0"/>
                <w:numId w:val="43"/>
              </w:numPr>
              <w:autoSpaceDE/>
              <w:autoSpaceDN/>
              <w:adjustRightInd/>
              <w:contextualSpacing/>
              <w:rPr>
                <w:b/>
                <w:bCs/>
              </w:rPr>
            </w:pPr>
            <w:r>
              <w:t>Develop full moderated usability tests</w:t>
            </w:r>
          </w:p>
          <w:p w:rsidR="00BA00BB" w:rsidRPr="00F74E89" w14:paraId="0F2FDA54" w14:textId="77777777">
            <w:pPr>
              <w:pStyle w:val="ListParagraph"/>
              <w:widowControl/>
              <w:numPr>
                <w:ilvl w:val="0"/>
                <w:numId w:val="43"/>
              </w:numPr>
              <w:autoSpaceDE/>
              <w:autoSpaceDN/>
              <w:adjustRightInd/>
              <w:contextualSpacing/>
            </w:pPr>
            <w:r w:rsidRPr="00F74E89">
              <w:t>Prep financial incentives</w:t>
            </w:r>
          </w:p>
        </w:tc>
      </w:tr>
      <w:tr w14:paraId="615DF03C" w14:textId="77777777">
        <w:tblPrEx>
          <w:tblW w:w="0" w:type="auto"/>
          <w:tblLook w:val="04A0"/>
        </w:tblPrEx>
        <w:tc>
          <w:tcPr>
            <w:tcW w:w="1525" w:type="dxa"/>
            <w:shd w:val="clear" w:color="auto" w:fill="F2F2F2"/>
          </w:tcPr>
          <w:p w:rsidR="00BA00BB" w14:paraId="19B9DC96" w14:textId="77777777">
            <w:pPr>
              <w:rPr>
                <w:b/>
                <w:bCs/>
              </w:rPr>
            </w:pPr>
            <w:r>
              <w:rPr>
                <w:b/>
                <w:bCs/>
              </w:rPr>
              <w:t>July 4-8</w:t>
            </w:r>
          </w:p>
        </w:tc>
        <w:tc>
          <w:tcPr>
            <w:tcW w:w="7825" w:type="dxa"/>
            <w:shd w:val="clear" w:color="auto" w:fill="auto"/>
          </w:tcPr>
          <w:p w:rsidR="00BA00BB" w14:paraId="0A503326" w14:textId="77777777">
            <w:pPr>
              <w:pStyle w:val="ListParagraph"/>
              <w:widowControl/>
              <w:numPr>
                <w:ilvl w:val="0"/>
                <w:numId w:val="44"/>
              </w:numPr>
              <w:autoSpaceDE/>
              <w:autoSpaceDN/>
              <w:adjustRightInd/>
              <w:contextualSpacing/>
            </w:pPr>
            <w:r>
              <w:t>OpDiv</w:t>
            </w:r>
            <w:r>
              <w:t xml:space="preserve"> prototype partner debriefs</w:t>
            </w:r>
          </w:p>
          <w:p w:rsidR="00BA00BB" w14:paraId="41C6E550" w14:textId="77777777">
            <w:pPr>
              <w:pStyle w:val="ListParagraph"/>
              <w:widowControl/>
              <w:numPr>
                <w:ilvl w:val="0"/>
                <w:numId w:val="44"/>
              </w:numPr>
              <w:autoSpaceDE/>
              <w:autoSpaceDN/>
              <w:adjustRightInd/>
              <w:contextualSpacing/>
            </w:pPr>
            <w:r>
              <w:t>Continue development of moderated usability tests and run dress rehearsal with internal team members</w:t>
            </w:r>
          </w:p>
          <w:p w:rsidR="00BA00BB" w14:paraId="065803DC" w14:textId="77777777">
            <w:pPr>
              <w:pStyle w:val="ListParagraph"/>
              <w:widowControl/>
              <w:numPr>
                <w:ilvl w:val="0"/>
                <w:numId w:val="44"/>
              </w:numPr>
              <w:autoSpaceDE/>
              <w:autoSpaceDN/>
              <w:adjustRightInd/>
              <w:contextualSpacing/>
            </w:pPr>
            <w:r>
              <w:t>Schedule interviews with ACL prototype applicants</w:t>
            </w:r>
          </w:p>
          <w:p w:rsidR="00BA00BB" w:rsidRPr="00F74E89" w14:paraId="7998C192" w14:textId="77777777">
            <w:pPr>
              <w:pStyle w:val="ListParagraph"/>
              <w:widowControl/>
              <w:numPr>
                <w:ilvl w:val="0"/>
                <w:numId w:val="44"/>
              </w:numPr>
              <w:autoSpaceDE/>
              <w:autoSpaceDN/>
              <w:adjustRightInd/>
              <w:contextualSpacing/>
            </w:pPr>
            <w:r>
              <w:t>Begin outreach to external orgs for moderated usability tests and focus groups starting week of July 18</w:t>
            </w:r>
            <w:r>
              <w:rPr>
                <w:vertAlign w:val="superscript"/>
              </w:rPr>
              <w:t>th</w:t>
            </w:r>
          </w:p>
          <w:p w:rsidR="00BA00BB" w14:paraId="7446F625" w14:textId="77777777">
            <w:pPr>
              <w:pStyle w:val="ListParagraph"/>
              <w:widowControl/>
              <w:numPr>
                <w:ilvl w:val="0"/>
                <w:numId w:val="44"/>
              </w:numPr>
              <w:autoSpaceDE/>
              <w:autoSpaceDN/>
              <w:adjustRightInd/>
              <w:contextualSpacing/>
              <w:rPr>
                <w:b/>
                <w:bCs/>
              </w:rPr>
            </w:pPr>
            <w:r>
              <w:t xml:space="preserve">Deploy survey to ACL applicants </w:t>
            </w:r>
          </w:p>
        </w:tc>
      </w:tr>
      <w:tr w14:paraId="7B0CAFB4" w14:textId="77777777">
        <w:tblPrEx>
          <w:tblW w:w="0" w:type="auto"/>
          <w:tblLook w:val="04A0"/>
        </w:tblPrEx>
        <w:tc>
          <w:tcPr>
            <w:tcW w:w="1525" w:type="dxa"/>
            <w:shd w:val="clear" w:color="auto" w:fill="F2F2F2"/>
          </w:tcPr>
          <w:p w:rsidR="00BA00BB" w14:paraId="6BD6254E" w14:textId="77777777">
            <w:pPr>
              <w:rPr>
                <w:b/>
                <w:bCs/>
              </w:rPr>
            </w:pPr>
            <w:r>
              <w:rPr>
                <w:b/>
                <w:bCs/>
              </w:rPr>
              <w:t>July 11-15</w:t>
            </w:r>
          </w:p>
        </w:tc>
        <w:tc>
          <w:tcPr>
            <w:tcW w:w="7825" w:type="dxa"/>
            <w:shd w:val="clear" w:color="auto" w:fill="auto"/>
          </w:tcPr>
          <w:p w:rsidR="00BA00BB" w:rsidRPr="00BC1B79" w14:paraId="116216AD" w14:textId="77777777">
            <w:pPr>
              <w:pStyle w:val="ListParagraph"/>
              <w:widowControl/>
              <w:numPr>
                <w:ilvl w:val="0"/>
                <w:numId w:val="44"/>
              </w:numPr>
              <w:autoSpaceDE/>
              <w:autoSpaceDN/>
              <w:adjustRightInd/>
              <w:contextualSpacing/>
            </w:pPr>
            <w:r>
              <w:t>Conduct internal moderated usability tests</w:t>
            </w:r>
          </w:p>
        </w:tc>
      </w:tr>
      <w:tr w14:paraId="4384F6FF" w14:textId="77777777">
        <w:tblPrEx>
          <w:tblW w:w="0" w:type="auto"/>
          <w:tblLook w:val="04A0"/>
        </w:tblPrEx>
        <w:tc>
          <w:tcPr>
            <w:tcW w:w="1525" w:type="dxa"/>
            <w:shd w:val="clear" w:color="auto" w:fill="F2F2F2"/>
          </w:tcPr>
          <w:p w:rsidR="00BA00BB" w14:paraId="30BD89D2" w14:textId="77777777">
            <w:pPr>
              <w:rPr>
                <w:b/>
                <w:bCs/>
              </w:rPr>
            </w:pPr>
            <w:r>
              <w:rPr>
                <w:b/>
                <w:bCs/>
              </w:rPr>
              <w:t>July 18-29</w:t>
            </w:r>
          </w:p>
        </w:tc>
        <w:tc>
          <w:tcPr>
            <w:tcW w:w="7825" w:type="dxa"/>
            <w:shd w:val="clear" w:color="auto" w:fill="auto"/>
          </w:tcPr>
          <w:p w:rsidR="00BA00BB" w14:paraId="725D19D3" w14:textId="77777777">
            <w:pPr>
              <w:pStyle w:val="ListParagraph"/>
              <w:widowControl/>
              <w:numPr>
                <w:ilvl w:val="0"/>
                <w:numId w:val="46"/>
              </w:numPr>
              <w:autoSpaceDE/>
              <w:autoSpaceDN/>
              <w:adjustRightInd/>
              <w:contextualSpacing/>
            </w:pPr>
            <w:r>
              <w:t>Conduct external moderated usability tests</w:t>
            </w:r>
          </w:p>
          <w:p w:rsidR="00BA00BB" w:rsidRPr="00F74E89" w14:paraId="78B49A00" w14:textId="77777777">
            <w:pPr>
              <w:pStyle w:val="ListParagraph"/>
              <w:widowControl/>
              <w:numPr>
                <w:ilvl w:val="0"/>
                <w:numId w:val="46"/>
              </w:numPr>
              <w:autoSpaceDE/>
              <w:autoSpaceDN/>
              <w:adjustRightInd/>
              <w:contextualSpacing/>
            </w:pPr>
            <w:r>
              <w:t>Conduct focus groups</w:t>
            </w:r>
          </w:p>
        </w:tc>
      </w:tr>
      <w:tr w14:paraId="1B333C1E" w14:textId="77777777">
        <w:tblPrEx>
          <w:tblW w:w="0" w:type="auto"/>
          <w:tblLook w:val="04A0"/>
        </w:tblPrEx>
        <w:tc>
          <w:tcPr>
            <w:tcW w:w="1525" w:type="dxa"/>
            <w:shd w:val="clear" w:color="auto" w:fill="F2F2F2"/>
          </w:tcPr>
          <w:p w:rsidR="00BA00BB" w14:paraId="5F047E5C" w14:textId="77777777">
            <w:pPr>
              <w:rPr>
                <w:b/>
                <w:bCs/>
              </w:rPr>
            </w:pPr>
            <w:r>
              <w:rPr>
                <w:b/>
                <w:bCs/>
              </w:rPr>
              <w:t>Aug 1-12</w:t>
            </w:r>
          </w:p>
        </w:tc>
        <w:tc>
          <w:tcPr>
            <w:tcW w:w="7825" w:type="dxa"/>
            <w:shd w:val="clear" w:color="auto" w:fill="auto"/>
          </w:tcPr>
          <w:p w:rsidR="00BA00BB" w14:paraId="4A707493" w14:textId="77777777">
            <w:pPr>
              <w:pStyle w:val="ListParagraph"/>
              <w:widowControl/>
              <w:numPr>
                <w:ilvl w:val="0"/>
                <w:numId w:val="45"/>
              </w:numPr>
              <w:autoSpaceDE/>
              <w:autoSpaceDN/>
              <w:adjustRightInd/>
              <w:contextualSpacing/>
            </w:pPr>
            <w:r>
              <w:t>Deploy survey to ACF and CDC applicants</w:t>
            </w:r>
          </w:p>
          <w:p w:rsidR="00BA00BB" w14:paraId="57350D7B" w14:textId="77777777">
            <w:pPr>
              <w:pStyle w:val="ListParagraph"/>
              <w:widowControl/>
              <w:numPr>
                <w:ilvl w:val="0"/>
                <w:numId w:val="45"/>
              </w:numPr>
              <w:autoSpaceDE/>
              <w:autoSpaceDN/>
              <w:adjustRightInd/>
              <w:contextualSpacing/>
            </w:pPr>
            <w:r>
              <w:t>Schedule interviews with ACF and CDC prototype applicants</w:t>
            </w:r>
          </w:p>
          <w:p w:rsidR="00BA00BB" w14:paraId="29531EF9" w14:textId="77777777">
            <w:pPr>
              <w:pStyle w:val="ListParagraph"/>
              <w:widowControl/>
              <w:numPr>
                <w:ilvl w:val="0"/>
                <w:numId w:val="45"/>
              </w:numPr>
              <w:autoSpaceDE/>
              <w:autoSpaceDN/>
              <w:adjustRightInd/>
              <w:contextualSpacing/>
            </w:pPr>
            <w:r>
              <w:t>Conduct interviews with ACF and CDC prototype applicants</w:t>
            </w:r>
          </w:p>
          <w:p w:rsidR="00BA00BB" w:rsidRPr="00BC1B79" w14:paraId="74D7F086" w14:textId="77777777">
            <w:pPr>
              <w:pStyle w:val="ListParagraph"/>
              <w:widowControl/>
              <w:numPr>
                <w:ilvl w:val="0"/>
                <w:numId w:val="45"/>
              </w:numPr>
              <w:autoSpaceDE/>
              <w:autoSpaceDN/>
              <w:adjustRightInd/>
              <w:contextualSpacing/>
            </w:pPr>
            <w:r>
              <w:t xml:space="preserve">Conduct quantitative data analysis for ACL, ACF, and CDC prototypes </w:t>
            </w:r>
          </w:p>
        </w:tc>
      </w:tr>
      <w:tr w14:paraId="24F05013" w14:textId="77777777">
        <w:tblPrEx>
          <w:tblW w:w="0" w:type="auto"/>
          <w:tblLook w:val="04A0"/>
        </w:tblPrEx>
        <w:tc>
          <w:tcPr>
            <w:tcW w:w="1525" w:type="dxa"/>
            <w:shd w:val="clear" w:color="auto" w:fill="F2F2F2"/>
          </w:tcPr>
          <w:p w:rsidR="00BA00BB" w14:paraId="1796130F" w14:textId="77777777">
            <w:pPr>
              <w:rPr>
                <w:b/>
                <w:bCs/>
              </w:rPr>
            </w:pPr>
            <w:r>
              <w:rPr>
                <w:b/>
                <w:bCs/>
              </w:rPr>
              <w:t>Aug 15- Sep 2</w:t>
            </w:r>
          </w:p>
        </w:tc>
        <w:tc>
          <w:tcPr>
            <w:tcW w:w="7825" w:type="dxa"/>
            <w:shd w:val="clear" w:color="auto" w:fill="auto"/>
          </w:tcPr>
          <w:p w:rsidR="00BA00BB" w:rsidRPr="00BC1B79" w14:paraId="7365D6DA" w14:textId="77777777">
            <w:pPr>
              <w:pStyle w:val="ListParagraph"/>
              <w:widowControl/>
              <w:numPr>
                <w:ilvl w:val="0"/>
                <w:numId w:val="45"/>
              </w:numPr>
              <w:autoSpaceDE/>
              <w:autoSpaceDN/>
              <w:adjustRightInd/>
              <w:contextualSpacing/>
            </w:pPr>
            <w:r>
              <w:t>Synthesize research (minus SAMHSA)</w:t>
            </w:r>
          </w:p>
        </w:tc>
      </w:tr>
      <w:tr w14:paraId="35B25A74" w14:textId="77777777">
        <w:tblPrEx>
          <w:tblW w:w="0" w:type="auto"/>
          <w:tblLook w:val="04A0"/>
        </w:tblPrEx>
        <w:tc>
          <w:tcPr>
            <w:tcW w:w="1525" w:type="dxa"/>
            <w:shd w:val="clear" w:color="auto" w:fill="F2F2F2"/>
          </w:tcPr>
          <w:p w:rsidR="00BA00BB" w14:paraId="323CAB84" w14:textId="77777777">
            <w:pPr>
              <w:rPr>
                <w:b/>
                <w:bCs/>
              </w:rPr>
            </w:pPr>
            <w:r>
              <w:rPr>
                <w:b/>
                <w:bCs/>
              </w:rPr>
              <w:t>Sep 5-9</w:t>
            </w:r>
          </w:p>
        </w:tc>
        <w:tc>
          <w:tcPr>
            <w:tcW w:w="7825" w:type="dxa"/>
            <w:shd w:val="clear" w:color="auto" w:fill="auto"/>
          </w:tcPr>
          <w:p w:rsidR="00BA00BB" w14:paraId="5C8CACC9" w14:textId="77777777">
            <w:pPr>
              <w:pStyle w:val="ListParagraph"/>
              <w:widowControl/>
              <w:numPr>
                <w:ilvl w:val="0"/>
                <w:numId w:val="45"/>
              </w:numPr>
              <w:autoSpaceDE/>
              <w:autoSpaceDN/>
              <w:adjustRightInd/>
              <w:contextualSpacing/>
            </w:pPr>
            <w:r>
              <w:t>Deploy survey to SAMHSA applicants</w:t>
            </w:r>
          </w:p>
          <w:p w:rsidR="00BA00BB" w14:paraId="1BCD7FF3" w14:textId="77777777">
            <w:pPr>
              <w:pStyle w:val="ListParagraph"/>
              <w:widowControl/>
              <w:numPr>
                <w:ilvl w:val="0"/>
                <w:numId w:val="45"/>
              </w:numPr>
              <w:autoSpaceDE/>
              <w:autoSpaceDN/>
              <w:adjustRightInd/>
              <w:contextualSpacing/>
            </w:pPr>
            <w:r>
              <w:t>Schedule interviews with SAMHSA prototype applicants</w:t>
            </w:r>
          </w:p>
        </w:tc>
      </w:tr>
      <w:tr w14:paraId="210962E8" w14:textId="77777777">
        <w:tblPrEx>
          <w:tblW w:w="0" w:type="auto"/>
          <w:tblLook w:val="04A0"/>
        </w:tblPrEx>
        <w:tc>
          <w:tcPr>
            <w:tcW w:w="1525" w:type="dxa"/>
            <w:shd w:val="clear" w:color="auto" w:fill="F2F2F2"/>
          </w:tcPr>
          <w:p w:rsidR="00BA00BB" w14:paraId="1644F16E" w14:textId="77777777">
            <w:pPr>
              <w:rPr>
                <w:b/>
                <w:bCs/>
              </w:rPr>
            </w:pPr>
            <w:r>
              <w:rPr>
                <w:b/>
                <w:bCs/>
              </w:rPr>
              <w:t>Sep 12-16</w:t>
            </w:r>
          </w:p>
        </w:tc>
        <w:tc>
          <w:tcPr>
            <w:tcW w:w="7825" w:type="dxa"/>
            <w:shd w:val="clear" w:color="auto" w:fill="auto"/>
          </w:tcPr>
          <w:p w:rsidR="00BA00BB" w14:paraId="6DEEC1E7" w14:textId="77777777">
            <w:pPr>
              <w:pStyle w:val="ListParagraph"/>
              <w:widowControl/>
              <w:numPr>
                <w:ilvl w:val="0"/>
                <w:numId w:val="45"/>
              </w:numPr>
              <w:autoSpaceDE/>
              <w:autoSpaceDN/>
              <w:adjustRightInd/>
              <w:contextualSpacing/>
            </w:pPr>
            <w:r>
              <w:t>Conduct interviews with SAMHSA prototype applicants</w:t>
            </w:r>
          </w:p>
          <w:p w:rsidR="00B67354" w14:paraId="7B91BCEA" w14:textId="77777777">
            <w:pPr>
              <w:pStyle w:val="ListParagraph"/>
              <w:widowControl/>
              <w:numPr>
                <w:ilvl w:val="0"/>
                <w:numId w:val="45"/>
              </w:numPr>
              <w:autoSpaceDE/>
              <w:autoSpaceDN/>
              <w:adjustRightInd/>
              <w:contextualSpacing/>
            </w:pPr>
            <w:r>
              <w:t>Conduct qualitative data analysis for SAMHSA prototype</w:t>
            </w:r>
          </w:p>
        </w:tc>
      </w:tr>
      <w:tr w14:paraId="109E76F6" w14:textId="77777777">
        <w:tblPrEx>
          <w:tblW w:w="0" w:type="auto"/>
          <w:tblLook w:val="04A0"/>
        </w:tblPrEx>
        <w:tc>
          <w:tcPr>
            <w:tcW w:w="1525" w:type="dxa"/>
            <w:shd w:val="clear" w:color="auto" w:fill="F2F2F2"/>
          </w:tcPr>
          <w:p w:rsidR="00BA00BB" w14:paraId="0024288A" w14:textId="77777777">
            <w:pPr>
              <w:rPr>
                <w:b/>
                <w:bCs/>
              </w:rPr>
            </w:pPr>
            <w:r>
              <w:rPr>
                <w:b/>
                <w:bCs/>
              </w:rPr>
              <w:t xml:space="preserve">Dates </w:t>
            </w:r>
            <w:r>
              <w:rPr>
                <w:b/>
                <w:bCs/>
              </w:rPr>
              <w:t>tbd</w:t>
            </w:r>
          </w:p>
        </w:tc>
        <w:tc>
          <w:tcPr>
            <w:tcW w:w="7825" w:type="dxa"/>
            <w:shd w:val="clear" w:color="auto" w:fill="auto"/>
          </w:tcPr>
          <w:p w:rsidR="00BA00BB" w14:paraId="0633E9D6" w14:textId="77777777">
            <w:pPr>
              <w:pStyle w:val="ListParagraph"/>
              <w:widowControl/>
              <w:numPr>
                <w:ilvl w:val="0"/>
                <w:numId w:val="45"/>
              </w:numPr>
              <w:autoSpaceDE/>
              <w:autoSpaceDN/>
              <w:adjustRightInd/>
              <w:contextualSpacing/>
            </w:pPr>
            <w:r>
              <w:t xml:space="preserve">Follow up with first time award winners/small org award winners </w:t>
            </w:r>
          </w:p>
        </w:tc>
      </w:tr>
    </w:tbl>
    <w:p w:rsidR="00BA00BB" w:rsidRPr="00BC1B79" w:rsidP="00BA00BB" w14:paraId="2A467067" w14:textId="77777777">
      <w:pPr>
        <w:rPr>
          <w:b/>
          <w:bCs/>
        </w:rPr>
      </w:pPr>
    </w:p>
    <w:p w:rsidR="00BA00BB" w:rsidP="00C854FC" w14:paraId="6B52F971" w14:textId="77777777">
      <w:pPr>
        <w:ind w:left="720"/>
        <w:rPr>
          <w:sz w:val="24"/>
        </w:rPr>
      </w:pPr>
    </w:p>
    <w:p w:rsidR="0098164F" w:rsidP="00C854FC" w14:paraId="69385A53" w14:textId="77777777">
      <w:pPr>
        <w:ind w:left="720"/>
        <w:rPr>
          <w:sz w:val="24"/>
        </w:rPr>
      </w:pPr>
      <w:r>
        <w:rPr>
          <w:sz w:val="24"/>
        </w:rPr>
        <w:t xml:space="preserve"> </w:t>
      </w:r>
    </w:p>
    <w:p w:rsidR="0098164F" w14:paraId="31EE0489" w14:textId="77777777">
      <w:pPr>
        <w:numPr>
          <w:ilvl w:val="0"/>
          <w:numId w:val="2"/>
        </w:numPr>
        <w:rPr>
          <w:b/>
          <w:sz w:val="24"/>
        </w:rPr>
      </w:pPr>
      <w:bookmarkStart w:id="8" w:name="_Hlk85731696"/>
      <w:r>
        <w:rPr>
          <w:b/>
          <w:sz w:val="24"/>
          <w:u w:val="single"/>
        </w:rPr>
        <w:t>Reason(s) Display of OMB Expiration Date is Inappropriate</w:t>
      </w:r>
    </w:p>
    <w:bookmarkEnd w:id="8"/>
    <w:p w:rsidR="00D81DB9" w14:paraId="1330C235" w14:textId="77777777">
      <w:pPr>
        <w:pStyle w:val="BodyTextIndent"/>
        <w:ind w:left="1080"/>
        <w:rPr>
          <w:rFonts w:ascii="Times New Roman" w:hAnsi="Times New Roman"/>
        </w:rPr>
      </w:pPr>
    </w:p>
    <w:p w:rsidR="0098164F" w14:paraId="509714D7" w14:textId="77777777">
      <w:pPr>
        <w:pStyle w:val="BodyTextIndent"/>
        <w:ind w:left="1080"/>
        <w:rPr>
          <w:rFonts w:ascii="Times New Roman" w:hAnsi="Times New Roman"/>
        </w:rPr>
      </w:pPr>
      <w:r>
        <w:rPr>
          <w:rFonts w:ascii="Times New Roman" w:hAnsi="Times New Roman"/>
        </w:rPr>
        <w:t xml:space="preserve">We are NOT </w:t>
      </w:r>
      <w:r>
        <w:rPr>
          <w:rFonts w:ascii="Times New Roman" w:hAnsi="Times New Roman"/>
        </w:rPr>
        <w:t>seeking approval to not show expiration date</w:t>
      </w:r>
      <w:r>
        <w:rPr>
          <w:rFonts w:ascii="Times New Roman" w:hAnsi="Times New Roman"/>
        </w:rPr>
        <w:t>.</w:t>
      </w:r>
    </w:p>
    <w:p w:rsidR="0098164F" w14:paraId="4F074EAD" w14:textId="77777777">
      <w:pPr>
        <w:ind w:left="360"/>
        <w:rPr>
          <w:sz w:val="24"/>
        </w:rPr>
      </w:pPr>
    </w:p>
    <w:p w:rsidR="0098164F" w14:paraId="66622321" w14:textId="77777777">
      <w:pPr>
        <w:numPr>
          <w:ilvl w:val="0"/>
          <w:numId w:val="2"/>
        </w:numPr>
        <w:rPr>
          <w:b/>
          <w:sz w:val="24"/>
        </w:rPr>
      </w:pPr>
      <w:bookmarkStart w:id="9" w:name="_Hlk85731783"/>
      <w:r>
        <w:rPr>
          <w:b/>
          <w:sz w:val="24"/>
          <w:u w:val="single"/>
        </w:rPr>
        <w:t>Exceptions to Certification for Paperwork Reduction Act Submissions</w:t>
      </w:r>
    </w:p>
    <w:p w:rsidR="00D81DB9" w14:paraId="5DEA927C" w14:textId="77777777">
      <w:pPr>
        <w:pStyle w:val="BodyTextIndent"/>
        <w:ind w:left="1080"/>
        <w:rPr>
          <w:rFonts w:ascii="Times New Roman" w:hAnsi="Times New Roman"/>
        </w:rPr>
      </w:pPr>
      <w:bookmarkStart w:id="10" w:name="_Hlk85732246"/>
      <w:bookmarkEnd w:id="9"/>
    </w:p>
    <w:p w:rsidR="0098164F" w14:paraId="0B0295A9" w14:textId="77777777">
      <w:pPr>
        <w:pStyle w:val="BodyTextIndent"/>
        <w:ind w:left="1080"/>
        <w:rPr>
          <w:rFonts w:ascii="Times New Roman" w:hAnsi="Times New Roman"/>
        </w:rPr>
      </w:pPr>
      <w:r>
        <w:rPr>
          <w:rFonts w:ascii="Times New Roman" w:hAnsi="Times New Roman"/>
        </w:rPr>
        <w:t>There are no exceptions to the certification.</w:t>
      </w:r>
    </w:p>
    <w:bookmarkEnd w:id="10"/>
    <w:p w:rsidR="0098164F" w14:paraId="7D343C79" w14:textId="77777777">
      <w:pPr>
        <w:pStyle w:val="BodyTextIndent"/>
        <w:ind w:left="1080"/>
        <w:rPr>
          <w:rFonts w:ascii="Times New Roman" w:hAnsi="Times New Roman"/>
        </w:rPr>
      </w:pPr>
    </w:p>
    <w:p w:rsidR="0098164F" w14:paraId="5800E41E" w14:textId="77777777">
      <w:pPr>
        <w:rPr>
          <w:sz w:val="24"/>
        </w:rPr>
      </w:pPr>
    </w:p>
    <w:sectPr>
      <w:footerReference w:type="default" r:id="rId4"/>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164F" w14:paraId="02CDD4CB" w14:textId="77777777">
    <w:pPr>
      <w:spacing w:line="240" w:lineRule="exact"/>
    </w:pPr>
  </w:p>
  <w:p w:rsidR="0098164F" w14:paraId="2D691A4F" w14:textId="777777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F70318">
      <w:rPr>
        <w:noProof/>
        <w:sz w:val="24"/>
      </w:rPr>
      <w:t>1</w:t>
    </w:r>
    <w:r>
      <w:rPr>
        <w:sz w:val="24"/>
      </w:rPr>
      <w:fldChar w:fldCharType="end"/>
    </w:r>
  </w:p>
  <w:p w:rsidR="0098164F" w14:paraId="342302C6"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5">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6">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8">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19F464E2"/>
    <w:multiLevelType w:val="hybridMultilevel"/>
    <w:tmpl w:val="FAFAE1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3">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4">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16">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8">
    <w:nsid w:val="3B8E7429"/>
    <w:multiLevelType w:val="hybridMultilevel"/>
    <w:tmpl w:val="2B6E9F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0">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1">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A1D7109"/>
    <w:multiLevelType w:val="hybridMultilevel"/>
    <w:tmpl w:val="22162BC6"/>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5">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6">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27">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8">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9">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0">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1">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2">
    <w:nsid w:val="5F70268D"/>
    <w:multiLevelType w:val="hybridMultilevel"/>
    <w:tmpl w:val="8B0CC90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3">
    <w:nsid w:val="60C53EE1"/>
    <w:multiLevelType w:val="hybridMultilevel"/>
    <w:tmpl w:val="13D67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5">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6">
    <w:nsid w:val="69327D18"/>
    <w:multiLevelType w:val="hybridMultilevel"/>
    <w:tmpl w:val="675EE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8">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9">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0">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1">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3">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4">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5">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699938854">
    <w:abstractNumId w:val="45"/>
  </w:num>
  <w:num w:numId="2" w16cid:durableId="977152695">
    <w:abstractNumId w:val="22"/>
  </w:num>
  <w:num w:numId="3" w16cid:durableId="1627852244">
    <w:abstractNumId w:val="14"/>
  </w:num>
  <w:num w:numId="4" w16cid:durableId="916593109">
    <w:abstractNumId w:val="41"/>
  </w:num>
  <w:num w:numId="5" w16cid:durableId="1111827471">
    <w:abstractNumId w:val="44"/>
  </w:num>
  <w:num w:numId="6" w16cid:durableId="285279416">
    <w:abstractNumId w:val="8"/>
  </w:num>
  <w:num w:numId="7" w16cid:durableId="1223558999">
    <w:abstractNumId w:val="37"/>
  </w:num>
  <w:num w:numId="8" w16cid:durableId="1092117954">
    <w:abstractNumId w:val="17"/>
  </w:num>
  <w:num w:numId="9" w16cid:durableId="371812259">
    <w:abstractNumId w:val="26"/>
  </w:num>
  <w:num w:numId="10" w16cid:durableId="743144094">
    <w:abstractNumId w:val="20"/>
  </w:num>
  <w:num w:numId="11" w16cid:durableId="1221207484">
    <w:abstractNumId w:val="7"/>
  </w:num>
  <w:num w:numId="12" w16cid:durableId="1387559597">
    <w:abstractNumId w:val="25"/>
  </w:num>
  <w:num w:numId="13" w16cid:durableId="440034175">
    <w:abstractNumId w:val="21"/>
  </w:num>
  <w:num w:numId="14" w16cid:durableId="1478912841">
    <w:abstractNumId w:val="23"/>
  </w:num>
  <w:num w:numId="15" w16cid:durableId="458493214">
    <w:abstractNumId w:val="6"/>
  </w:num>
  <w:num w:numId="16" w16cid:durableId="2067097731">
    <w:abstractNumId w:val="0"/>
  </w:num>
  <w:num w:numId="17" w16cid:durableId="783303993">
    <w:abstractNumId w:val="1"/>
  </w:num>
  <w:num w:numId="18" w16cid:durableId="1780222359">
    <w:abstractNumId w:val="15"/>
  </w:num>
  <w:num w:numId="19" w16cid:durableId="692458619">
    <w:abstractNumId w:val="35"/>
  </w:num>
  <w:num w:numId="20" w16cid:durableId="1878396923">
    <w:abstractNumId w:val="32"/>
  </w:num>
  <w:num w:numId="21" w16cid:durableId="1276913201">
    <w:abstractNumId w:val="19"/>
  </w:num>
  <w:num w:numId="22" w16cid:durableId="1662810227">
    <w:abstractNumId w:val="40"/>
  </w:num>
  <w:num w:numId="23" w16cid:durableId="377436661">
    <w:abstractNumId w:val="30"/>
  </w:num>
  <w:num w:numId="24" w16cid:durableId="450563095">
    <w:abstractNumId w:val="31"/>
  </w:num>
  <w:num w:numId="25" w16cid:durableId="1846478289">
    <w:abstractNumId w:val="43"/>
  </w:num>
  <w:num w:numId="26" w16cid:durableId="1637373181">
    <w:abstractNumId w:val="39"/>
  </w:num>
  <w:num w:numId="27" w16cid:durableId="1161115095">
    <w:abstractNumId w:val="3"/>
  </w:num>
  <w:num w:numId="28" w16cid:durableId="1131748462">
    <w:abstractNumId w:val="16"/>
  </w:num>
  <w:num w:numId="29" w16cid:durableId="1453400271">
    <w:abstractNumId w:val="42"/>
  </w:num>
  <w:num w:numId="30" w16cid:durableId="1816408332">
    <w:abstractNumId w:val="38"/>
  </w:num>
  <w:num w:numId="31" w16cid:durableId="1677077731">
    <w:abstractNumId w:val="34"/>
  </w:num>
  <w:num w:numId="32" w16cid:durableId="980501935">
    <w:abstractNumId w:val="10"/>
  </w:num>
  <w:num w:numId="33" w16cid:durableId="385765752">
    <w:abstractNumId w:val="2"/>
  </w:num>
  <w:num w:numId="34" w16cid:durableId="497353957">
    <w:abstractNumId w:val="27"/>
  </w:num>
  <w:num w:numId="35" w16cid:durableId="1864200699">
    <w:abstractNumId w:val="12"/>
  </w:num>
  <w:num w:numId="36" w16cid:durableId="1995718692">
    <w:abstractNumId w:val="11"/>
  </w:num>
  <w:num w:numId="37" w16cid:durableId="1523129497">
    <w:abstractNumId w:val="13"/>
  </w:num>
  <w:num w:numId="38" w16cid:durableId="1035885390">
    <w:abstractNumId w:val="4"/>
  </w:num>
  <w:num w:numId="39" w16cid:durableId="670204">
    <w:abstractNumId w:val="29"/>
  </w:num>
  <w:num w:numId="40" w16cid:durableId="866601742">
    <w:abstractNumId w:val="5"/>
  </w:num>
  <w:num w:numId="41" w16cid:durableId="333610373">
    <w:abstractNumId w:val="28"/>
  </w:num>
  <w:num w:numId="42" w16cid:durableId="751241490">
    <w:abstractNumId w:val="24"/>
  </w:num>
  <w:num w:numId="43" w16cid:durableId="554973919">
    <w:abstractNumId w:val="33"/>
  </w:num>
  <w:num w:numId="44" w16cid:durableId="1318461762">
    <w:abstractNumId w:val="36"/>
  </w:num>
  <w:num w:numId="45" w16cid:durableId="337849299">
    <w:abstractNumId w:val="9"/>
  </w:num>
  <w:num w:numId="46" w16cid:durableId="19786795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C4"/>
    <w:rsid w:val="000770D7"/>
    <w:rsid w:val="000902C0"/>
    <w:rsid w:val="000962A9"/>
    <w:rsid w:val="000B4800"/>
    <w:rsid w:val="000D2F50"/>
    <w:rsid w:val="001068B6"/>
    <w:rsid w:val="00110C0E"/>
    <w:rsid w:val="0012055B"/>
    <w:rsid w:val="002B634F"/>
    <w:rsid w:val="002D0834"/>
    <w:rsid w:val="00381068"/>
    <w:rsid w:val="00381332"/>
    <w:rsid w:val="003C50CB"/>
    <w:rsid w:val="003E3388"/>
    <w:rsid w:val="00445740"/>
    <w:rsid w:val="004C75DB"/>
    <w:rsid w:val="0053049C"/>
    <w:rsid w:val="00547941"/>
    <w:rsid w:val="005C6864"/>
    <w:rsid w:val="006811C4"/>
    <w:rsid w:val="006B14EA"/>
    <w:rsid w:val="006E2D8E"/>
    <w:rsid w:val="0072506F"/>
    <w:rsid w:val="007336A7"/>
    <w:rsid w:val="008168E7"/>
    <w:rsid w:val="008826FF"/>
    <w:rsid w:val="008A21BC"/>
    <w:rsid w:val="00935E96"/>
    <w:rsid w:val="0097401E"/>
    <w:rsid w:val="0098164F"/>
    <w:rsid w:val="009D2820"/>
    <w:rsid w:val="009F6CEF"/>
    <w:rsid w:val="00A02286"/>
    <w:rsid w:val="00A21E1E"/>
    <w:rsid w:val="00A9491E"/>
    <w:rsid w:val="00AC63AE"/>
    <w:rsid w:val="00AE45AF"/>
    <w:rsid w:val="00AF5419"/>
    <w:rsid w:val="00B40461"/>
    <w:rsid w:val="00B67354"/>
    <w:rsid w:val="00B679AB"/>
    <w:rsid w:val="00BA00BB"/>
    <w:rsid w:val="00BB0793"/>
    <w:rsid w:val="00BC0BF7"/>
    <w:rsid w:val="00BC1B79"/>
    <w:rsid w:val="00C0072A"/>
    <w:rsid w:val="00C5109D"/>
    <w:rsid w:val="00C8263D"/>
    <w:rsid w:val="00C854FC"/>
    <w:rsid w:val="00CF6324"/>
    <w:rsid w:val="00D81DB9"/>
    <w:rsid w:val="00D827A9"/>
    <w:rsid w:val="00DB4AA9"/>
    <w:rsid w:val="00DF5005"/>
    <w:rsid w:val="00EA0486"/>
    <w:rsid w:val="00F00BAD"/>
    <w:rsid w:val="00F3047F"/>
    <w:rsid w:val="00F70318"/>
    <w:rsid w:val="00F74E89"/>
    <w:rsid w:val="00F952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488128"/>
  <w15:chartTrackingRefBased/>
  <w15:docId w15:val="{42A91F06-3A7F-4421-AE34-22FE53FA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uiPriority w:val="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F5419"/>
    <w:rPr>
      <w:rFonts w:ascii="Segoe UI" w:hAnsi="Segoe UI" w:cs="Segoe UI"/>
      <w:sz w:val="18"/>
      <w:szCs w:val="18"/>
    </w:rPr>
  </w:style>
  <w:style w:type="character" w:customStyle="1" w:styleId="BalloonTextChar">
    <w:name w:val="Balloon Text Char"/>
    <w:link w:val="BalloonText"/>
    <w:rsid w:val="00AF5419"/>
    <w:rPr>
      <w:rFonts w:ascii="Segoe UI" w:hAnsi="Segoe UI" w:cs="Segoe UI"/>
      <w:sz w:val="18"/>
      <w:szCs w:val="18"/>
    </w:rPr>
  </w:style>
  <w:style w:type="paragraph" w:styleId="ListParagraph">
    <w:name w:val="List Paragraph"/>
    <w:basedOn w:val="Normal"/>
    <w:uiPriority w:val="34"/>
    <w:qFormat/>
    <w:rsid w:val="00AC63AE"/>
    <w:pPr>
      <w:ind w:left="720"/>
    </w:pPr>
  </w:style>
  <w:style w:type="character" w:styleId="CommentReference">
    <w:name w:val="annotation reference"/>
    <w:rsid w:val="00AC63AE"/>
    <w:rPr>
      <w:sz w:val="16"/>
      <w:szCs w:val="16"/>
    </w:rPr>
  </w:style>
  <w:style w:type="paragraph" w:styleId="CommentText">
    <w:name w:val="annotation text"/>
    <w:basedOn w:val="Normal"/>
    <w:link w:val="CommentTextChar"/>
    <w:rsid w:val="00AC63AE"/>
    <w:rPr>
      <w:szCs w:val="20"/>
    </w:rPr>
  </w:style>
  <w:style w:type="character" w:customStyle="1" w:styleId="CommentTextChar">
    <w:name w:val="Comment Text Char"/>
    <w:basedOn w:val="DefaultParagraphFont"/>
    <w:link w:val="CommentText"/>
    <w:rsid w:val="00AC63AE"/>
  </w:style>
  <w:style w:type="paragraph" w:styleId="CommentSubject">
    <w:name w:val="annotation subject"/>
    <w:basedOn w:val="CommentText"/>
    <w:next w:val="CommentText"/>
    <w:link w:val="CommentSubjectChar"/>
    <w:rsid w:val="00AC63AE"/>
    <w:rPr>
      <w:b/>
      <w:bCs/>
    </w:rPr>
  </w:style>
  <w:style w:type="character" w:customStyle="1" w:styleId="CommentSubjectChar">
    <w:name w:val="Comment Subject Char"/>
    <w:link w:val="CommentSubject"/>
    <w:rsid w:val="00AC63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1757</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HHS/Office of Grants</cp:lastModifiedBy>
  <cp:revision>2</cp:revision>
  <cp:lastPrinted>2009-10-02T01:30:00Z</cp:lastPrinted>
  <dcterms:created xsi:type="dcterms:W3CDTF">2023-06-28T15:21:00Z</dcterms:created>
  <dcterms:modified xsi:type="dcterms:W3CDTF">2023-06-28T15:21:00Z</dcterms:modified>
</cp:coreProperties>
</file>