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170C5" w:rsidP="009170C5" w14:paraId="640A4AA5" w14:textId="6784CCDF">
      <w:pPr>
        <w:tabs>
          <w:tab w:val="left" w:pos="720"/>
          <w:tab w:val="left" w:pos="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Market Research emergency clearance package OMB approved in January 2021 covers a series of Foundational Focus Groups (FFGs) </w:t>
      </w:r>
      <w:r w:rsidR="00936C42">
        <w:rPr>
          <w:rFonts w:ascii="Times New Roman" w:hAnsi="Times New Roman"/>
        </w:rPr>
        <w:t xml:space="preserve">that </w:t>
      </w:r>
      <w:r>
        <w:rPr>
          <w:rFonts w:ascii="Times New Roman" w:hAnsi="Times New Roman"/>
        </w:rPr>
        <w:t>examine the topics of preventive behaviors and vaccine knowledge</w:t>
      </w:r>
      <w:r w:rsidR="00C9378A">
        <w:rPr>
          <w:rFonts w:ascii="Times New Roman" w:hAnsi="Times New Roman"/>
        </w:rPr>
        <w:t xml:space="preserve"> </w:t>
      </w:r>
      <w:r w:rsidR="00EC6846">
        <w:rPr>
          <w:rFonts w:ascii="Times New Roman" w:hAnsi="Times New Roman"/>
        </w:rPr>
        <w:t xml:space="preserve">in order </w:t>
      </w:r>
      <w:r w:rsidR="00C9378A">
        <w:rPr>
          <w:rFonts w:ascii="Times New Roman" w:hAnsi="Times New Roman"/>
        </w:rPr>
        <w:t>to</w:t>
      </w:r>
      <w:r w:rsidR="00C9378A">
        <w:rPr>
          <w:rFonts w:ascii="Times New Roman" w:hAnsi="Times New Roman"/>
        </w:rPr>
        <w:t xml:space="preserve"> assess</w:t>
      </w:r>
      <w:r>
        <w:rPr>
          <w:rFonts w:ascii="Times New Roman" w:hAnsi="Times New Roman"/>
        </w:rPr>
        <w:t xml:space="preserve"> intent, attitudes, barriers</w:t>
      </w:r>
      <w:r w:rsidR="00C9378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motivators to vaccination. As noted within the original submission, the composition of audiences and content will change between iterations to accommodate the current state of COVID-19 and COVID-19 vaccination. </w:t>
      </w:r>
    </w:p>
    <w:p w:rsidR="009170C5" w:rsidP="009170C5" w14:paraId="79DE91F1" w14:textId="77777777">
      <w:pPr>
        <w:rPr>
          <w:rFonts w:ascii="Times New Roman" w:hAnsi="Times New Roman"/>
        </w:rPr>
      </w:pPr>
    </w:p>
    <w:p w:rsidR="009170C5" w:rsidP="009170C5" w14:paraId="6A91BEB0" w14:textId="21B1D1F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such, the focus group discussion guide is revised to include questions about </w:t>
      </w:r>
      <w:r w:rsidR="00804676">
        <w:rPr>
          <w:rFonts w:ascii="Times New Roman" w:hAnsi="Times New Roman"/>
        </w:rPr>
        <w:t xml:space="preserve">the HHS </w:t>
      </w:r>
      <w:r w:rsidRPr="009578B3" w:rsidR="00C51B3A">
        <w:rPr>
          <w:rFonts w:ascii="Times New Roman" w:hAnsi="Times New Roman"/>
          <w:i/>
          <w:iCs/>
        </w:rPr>
        <w:t>We Can Do This</w:t>
      </w:r>
      <w:r w:rsidR="00C51B3A">
        <w:rPr>
          <w:rFonts w:ascii="Times New Roman" w:hAnsi="Times New Roman"/>
        </w:rPr>
        <w:t xml:space="preserve"> </w:t>
      </w:r>
      <w:r w:rsidR="00804676">
        <w:rPr>
          <w:rFonts w:ascii="Times New Roman" w:hAnsi="Times New Roman"/>
        </w:rPr>
        <w:t>COVID-19 Public Education Campaign</w:t>
      </w:r>
      <w:r w:rsidR="009578B3">
        <w:rPr>
          <w:rFonts w:ascii="Times New Roman" w:hAnsi="Times New Roman"/>
        </w:rPr>
        <w:t xml:space="preserve"> </w:t>
      </w:r>
      <w:r w:rsidR="00804676">
        <w:rPr>
          <w:rFonts w:ascii="Times New Roman" w:hAnsi="Times New Roman"/>
        </w:rPr>
        <w:t xml:space="preserve">brand perceptions and future COVID-19 communication preferences. </w:t>
      </w:r>
      <w:r w:rsidRPr="005B30A9" w:rsidR="005B30A9">
        <w:rPr>
          <w:rFonts w:ascii="Times New Roman" w:hAnsi="Times New Roman"/>
        </w:rPr>
        <w:t xml:space="preserve">The </w:t>
      </w:r>
      <w:r w:rsidRPr="005B30A9" w:rsidR="005B30A9">
        <w:rPr>
          <w:rFonts w:ascii="Times New Roman" w:hAnsi="Times New Roman"/>
          <w:i/>
          <w:iCs/>
        </w:rPr>
        <w:t>We Can Do This</w:t>
      </w:r>
      <w:r w:rsidRPr="005B30A9" w:rsidR="005B30A9">
        <w:rPr>
          <w:rFonts w:ascii="Times New Roman" w:hAnsi="Times New Roman"/>
        </w:rPr>
        <w:t xml:space="preserve"> campaign brand was developed at the beginning of our fight against COVID-19 when public sentiment was less divided, COVID-19 was mentioned daily on every news channel and media outlet, and people were less fatigued by messages about COVID-19. At this point in the Campaign, it is important to assess and understand overall awareness and perceptions regarding the brand </w:t>
      </w:r>
      <w:r w:rsidRPr="005B30A9" w:rsidR="005B30A9">
        <w:rPr>
          <w:rFonts w:ascii="Times New Roman" w:hAnsi="Times New Roman"/>
        </w:rPr>
        <w:t>in order to</w:t>
      </w:r>
      <w:r w:rsidRPr="005B30A9" w:rsidR="005B30A9">
        <w:rPr>
          <w:rFonts w:ascii="Times New Roman" w:hAnsi="Times New Roman"/>
        </w:rPr>
        <w:t xml:space="preserve"> make adjustments as we enter a new phase of the COVID-19 pandemic this fall (e.g., COVID-19 variants/severity increases, COVID-19 becomes endemic, new vaccine formula is released).</w:t>
      </w:r>
      <w:r w:rsidR="009279C4">
        <w:rPr>
          <w:rFonts w:ascii="Times New Roman" w:hAnsi="Times New Roman"/>
        </w:rPr>
        <w:t xml:space="preserve"> </w:t>
      </w:r>
    </w:p>
    <w:p w:rsidR="009170C5" w:rsidP="009170C5" w14:paraId="744D54C1" w14:textId="77777777">
      <w:pPr>
        <w:rPr>
          <w:rFonts w:ascii="Times New Roman" w:hAnsi="Times New Roman"/>
        </w:rPr>
      </w:pPr>
    </w:p>
    <w:p w:rsidR="009170C5" w:rsidP="009170C5" w14:paraId="55B962C1" w14:textId="1F371C19">
      <w:pPr>
        <w:rPr>
          <w:rFonts w:ascii="Times New Roman" w:hAnsi="Times New Roman"/>
        </w:rPr>
      </w:pPr>
      <w:r w:rsidRPr="15F6AC50">
        <w:rPr>
          <w:rFonts w:ascii="Times New Roman" w:hAnsi="Times New Roman"/>
        </w:rPr>
        <w:t xml:space="preserve">For this round, we </w:t>
      </w:r>
      <w:r w:rsidRPr="15F6AC50" w:rsidR="00F0499B">
        <w:rPr>
          <w:rFonts w:ascii="Times New Roman" w:hAnsi="Times New Roman"/>
        </w:rPr>
        <w:t>reduced</w:t>
      </w:r>
      <w:r w:rsidRPr="15F6AC50">
        <w:rPr>
          <w:rFonts w:ascii="Times New Roman" w:hAnsi="Times New Roman"/>
        </w:rPr>
        <w:t xml:space="preserve"> the </w:t>
      </w:r>
      <w:r w:rsidRPr="15F6AC50">
        <w:rPr>
          <w:rFonts w:ascii="Times New Roman" w:hAnsi="Times New Roman"/>
        </w:rPr>
        <w:t xml:space="preserve">number of focus groups and </w:t>
      </w:r>
      <w:r w:rsidRPr="15F6AC50" w:rsidR="00CB73D2">
        <w:rPr>
          <w:rFonts w:ascii="Times New Roman" w:hAnsi="Times New Roman"/>
        </w:rPr>
        <w:t xml:space="preserve">the </w:t>
      </w:r>
      <w:r w:rsidRPr="15F6AC50">
        <w:rPr>
          <w:rFonts w:ascii="Times New Roman" w:hAnsi="Times New Roman"/>
        </w:rPr>
        <w:t xml:space="preserve">number of participants—the study will conduct </w:t>
      </w:r>
      <w:r w:rsidRPr="15F6AC50">
        <w:rPr>
          <w:rFonts w:ascii="Times New Roman" w:hAnsi="Times New Roman"/>
        </w:rPr>
        <w:t>10</w:t>
      </w:r>
      <w:r w:rsidRPr="15F6AC50">
        <w:rPr>
          <w:rFonts w:ascii="Times New Roman" w:hAnsi="Times New Roman"/>
        </w:rPr>
        <w:t xml:space="preserve"> focus groups comp</w:t>
      </w:r>
      <w:r w:rsidRPr="15F6AC50" w:rsidR="023B4263">
        <w:rPr>
          <w:rFonts w:ascii="Times New Roman" w:hAnsi="Times New Roman"/>
        </w:rPr>
        <w:t>o</w:t>
      </w:r>
      <w:r w:rsidRPr="15F6AC50">
        <w:rPr>
          <w:rFonts w:ascii="Times New Roman" w:hAnsi="Times New Roman"/>
        </w:rPr>
        <w:t xml:space="preserve">sed of </w:t>
      </w:r>
      <w:r w:rsidRPr="15F6AC50" w:rsidR="00CB73D2">
        <w:rPr>
          <w:rFonts w:ascii="Times New Roman" w:hAnsi="Times New Roman"/>
        </w:rPr>
        <w:t>four to six</w:t>
      </w:r>
      <w:r w:rsidRPr="15F6AC50">
        <w:rPr>
          <w:rFonts w:ascii="Times New Roman" w:hAnsi="Times New Roman"/>
        </w:rPr>
        <w:t xml:space="preserve"> participants per group with a variety of audiences as summarized in the table below. As in our initial submission, we propose to conduct focus groups with general population adults, Black/African American adults</w:t>
      </w:r>
      <w:r w:rsidRPr="15F6AC50" w:rsidR="00CB73D2">
        <w:rPr>
          <w:rFonts w:ascii="Times New Roman" w:hAnsi="Times New Roman"/>
        </w:rPr>
        <w:t>,</w:t>
      </w:r>
      <w:r w:rsidRPr="15F6AC50">
        <w:rPr>
          <w:rFonts w:ascii="Times New Roman" w:hAnsi="Times New Roman"/>
        </w:rPr>
        <w:t xml:space="preserve"> and Hispanic/Latinx adults. However, we now propose to also conduct focus groups </w:t>
      </w:r>
      <w:r w:rsidRPr="15F6AC50">
        <w:rPr>
          <w:rFonts w:ascii="Times New Roman" w:hAnsi="Times New Roman"/>
        </w:rPr>
        <w:t xml:space="preserve">with parents of children ages 6 months through 17 years to ensure we have representation across </w:t>
      </w:r>
      <w:r w:rsidRPr="15F6AC50" w:rsidR="007F34C0">
        <w:rPr>
          <w:rFonts w:ascii="Times New Roman" w:hAnsi="Times New Roman"/>
        </w:rPr>
        <w:t>potential target audiences for upcoming campaign efforts</w:t>
      </w:r>
      <w:r w:rsidRPr="15F6AC50">
        <w:rPr>
          <w:rFonts w:ascii="Times New Roman" w:hAnsi="Times New Roman"/>
        </w:rPr>
        <w:t xml:space="preserve">. Recruitment screeners are revised to reflect the updated target populations. </w:t>
      </w:r>
    </w:p>
    <w:p w:rsidR="009170C5" w:rsidP="009170C5" w14:paraId="440E5CA8" w14:textId="77777777">
      <w:pPr>
        <w:rPr>
          <w:rFonts w:ascii="Times New Roman" w:hAnsi="Times New Roman"/>
        </w:rPr>
      </w:pPr>
    </w:p>
    <w:p w:rsidR="009170C5" w:rsidP="009170C5" w14:paraId="76056B00" w14:textId="116445D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Approval of these changes allows the program to conduct a study consistent with the current environment </w:t>
      </w:r>
      <w:r>
        <w:rPr>
          <w:rFonts w:ascii="Times New Roman" w:hAnsi="Times New Roman"/>
        </w:rPr>
        <w:t>in order to</w:t>
      </w:r>
      <w:r>
        <w:rPr>
          <w:rFonts w:ascii="Times New Roman" w:hAnsi="Times New Roman"/>
        </w:rPr>
        <w:t xml:space="preserve"> secure actionable insights to inform </w:t>
      </w:r>
      <w:r w:rsidR="00E96094">
        <w:rPr>
          <w:rFonts w:ascii="Times New Roman" w:hAnsi="Times New Roman"/>
        </w:rPr>
        <w:t>future work on the</w:t>
      </w:r>
      <w:r>
        <w:rPr>
          <w:rFonts w:ascii="Times New Roman" w:hAnsi="Times New Roman"/>
        </w:rPr>
        <w:t xml:space="preserve"> HHS ASPA COVID-19 Public Education Campaign. </w:t>
      </w:r>
    </w:p>
    <w:p w:rsidR="009170C5" w:rsidP="009170C5" w14:paraId="48E6D443" w14:textId="77777777">
      <w:pPr>
        <w:rPr>
          <w:rFonts w:ascii="Times New Roman" w:hAnsi="Times New Roman"/>
        </w:rPr>
      </w:pPr>
    </w:p>
    <w:tbl>
      <w:tblPr>
        <w:tblW w:w="9620" w:type="dxa"/>
        <w:tblCellMar>
          <w:left w:w="0" w:type="dxa"/>
          <w:right w:w="0" w:type="dxa"/>
        </w:tblCellMar>
        <w:tblLook w:val="04A0"/>
      </w:tblPr>
      <w:tblGrid>
        <w:gridCol w:w="2509"/>
        <w:gridCol w:w="1753"/>
        <w:gridCol w:w="1783"/>
        <w:gridCol w:w="3575"/>
      </w:tblGrid>
      <w:tr w14:paraId="0CA9772D" w14:textId="77777777" w:rsidTr="009170C5">
        <w:tblPrEx>
          <w:tblW w:w="9620" w:type="dxa"/>
          <w:tblCellMar>
            <w:left w:w="0" w:type="dxa"/>
            <w:right w:w="0" w:type="dxa"/>
          </w:tblCellMar>
          <w:tblLook w:val="04A0"/>
        </w:tblPrEx>
        <w:tc>
          <w:tcPr>
            <w:tcW w:w="2509" w:type="dxa"/>
            <w:tcBorders>
              <w:top w:val="single" w:sz="8" w:space="0" w:color="122E51"/>
              <w:left w:val="single" w:sz="8" w:space="0" w:color="122E51"/>
              <w:bottom w:val="single" w:sz="12" w:space="0" w:color="C9C9C9"/>
              <w:right w:val="single" w:sz="8" w:space="0" w:color="122E51"/>
            </w:tcBorders>
            <w:shd w:val="clear" w:color="auto" w:fill="122E5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0C5" w14:paraId="5A69F285" w14:textId="77777777">
            <w:pPr>
              <w:spacing w:line="254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8" w:space="0" w:color="122E51"/>
              <w:left w:val="nil"/>
              <w:bottom w:val="single" w:sz="12" w:space="0" w:color="C9C9C9"/>
              <w:right w:val="single" w:sz="8" w:space="0" w:color="122E51"/>
            </w:tcBorders>
            <w:shd w:val="clear" w:color="auto" w:fill="122E5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C5" w14:paraId="2D89AC8A" w14:textId="53990054">
            <w:pPr>
              <w:spacing w:line="254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Parents of children ages 6 months through 17 years</w:t>
            </w:r>
          </w:p>
        </w:tc>
        <w:tc>
          <w:tcPr>
            <w:tcW w:w="1783" w:type="dxa"/>
            <w:tcBorders>
              <w:top w:val="single" w:sz="8" w:space="0" w:color="122E51"/>
              <w:left w:val="nil"/>
              <w:bottom w:val="single" w:sz="12" w:space="0" w:color="C9C9C9"/>
              <w:right w:val="single" w:sz="8" w:space="0" w:color="122E51"/>
            </w:tcBorders>
            <w:shd w:val="clear" w:color="auto" w:fill="122E5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C5" w14:paraId="15ACE3E8" w14:textId="70E6AEB2">
            <w:pPr>
              <w:spacing w:line="254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Not Parents</w:t>
            </w:r>
          </w:p>
        </w:tc>
        <w:tc>
          <w:tcPr>
            <w:tcW w:w="3575" w:type="dxa"/>
            <w:tcBorders>
              <w:top w:val="single" w:sz="8" w:space="0" w:color="122E51"/>
              <w:left w:val="nil"/>
              <w:bottom w:val="single" w:sz="12" w:space="0" w:color="C9C9C9"/>
              <w:right w:val="single" w:sz="8" w:space="0" w:color="122E51"/>
            </w:tcBorders>
            <w:shd w:val="clear" w:color="auto" w:fill="122E5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0C5" w14:paraId="24AFF07B" w14:textId="77777777">
            <w:pPr>
              <w:spacing w:line="254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Screening Notes</w:t>
            </w:r>
          </w:p>
        </w:tc>
      </w:tr>
      <w:tr w14:paraId="64A63CBE" w14:textId="77777777" w:rsidTr="00210559">
        <w:tblPrEx>
          <w:tblW w:w="9620" w:type="dxa"/>
          <w:tblCellMar>
            <w:left w:w="0" w:type="dxa"/>
            <w:right w:w="0" w:type="dxa"/>
          </w:tblCellMar>
          <w:tblLook w:val="04A0"/>
        </w:tblPrEx>
        <w:tc>
          <w:tcPr>
            <w:tcW w:w="2509" w:type="dxa"/>
            <w:tcBorders>
              <w:top w:val="nil"/>
              <w:left w:val="single" w:sz="8" w:space="0" w:color="122E51"/>
              <w:bottom w:val="single" w:sz="8" w:space="0" w:color="122E51"/>
              <w:right w:val="single" w:sz="8" w:space="0" w:color="122E5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0C5" w14:paraId="5C4DC0AE" w14:textId="77777777">
            <w:pPr>
              <w:spacing w:line="254" w:lineRule="auto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General Population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122E51"/>
              <w:right w:val="single" w:sz="8" w:space="0" w:color="122E5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0C5" w14:paraId="2DE5AA0E" w14:textId="3082C103">
            <w:pPr>
              <w:spacing w:line="254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122E51"/>
              <w:right w:val="single" w:sz="8" w:space="0" w:color="122E5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0C5" w14:paraId="5EB9A291" w14:textId="23335EB1">
            <w:pPr>
              <w:spacing w:line="254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122E51"/>
              <w:right w:val="single" w:sz="8" w:space="0" w:color="122E5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C5" w14:paraId="129E7975" w14:textId="1F4BA32F">
            <w:pPr>
              <w:spacing w:line="254" w:lineRule="auto"/>
              <w:textAlignment w:val="baseline"/>
              <w:rPr>
                <w:rStyle w:val="normaltextrun"/>
                <w:shd w:val="clear" w:color="auto" w:fill="FFFFFF"/>
              </w:rPr>
            </w:pPr>
            <w:r w:rsidRPr="00724D7C">
              <w:rPr>
                <w:rStyle w:val="normaltextrun"/>
                <w:shd w:val="clear" w:color="auto" w:fill="FFFFFF"/>
              </w:rPr>
              <w:t xml:space="preserve">Mix of </w:t>
            </w:r>
            <w:r>
              <w:rPr>
                <w:rStyle w:val="normaltextrun"/>
                <w:shd w:val="clear" w:color="auto" w:fill="FFFFFF"/>
              </w:rPr>
              <w:t xml:space="preserve">race/ethnicity, </w:t>
            </w:r>
            <w:r w:rsidRPr="00724D7C">
              <w:rPr>
                <w:rStyle w:val="normaltextrun"/>
                <w:shd w:val="clear" w:color="auto" w:fill="FFFFFF"/>
              </w:rPr>
              <w:t xml:space="preserve">gender, political ideology, </w:t>
            </w:r>
            <w:r>
              <w:rPr>
                <w:rStyle w:val="normaltextrun"/>
                <w:shd w:val="clear" w:color="auto" w:fill="FFFFFF"/>
              </w:rPr>
              <w:t>socioeconomic status (SES)</w:t>
            </w:r>
            <w:r w:rsidRPr="00724D7C">
              <w:rPr>
                <w:rStyle w:val="normaltextrun"/>
                <w:shd w:val="clear" w:color="auto" w:fill="FFFFFF"/>
              </w:rPr>
              <w:t>, geographic area</w:t>
            </w:r>
          </w:p>
        </w:tc>
      </w:tr>
      <w:tr w14:paraId="6017A2A4" w14:textId="77777777" w:rsidTr="00210559">
        <w:tblPrEx>
          <w:tblW w:w="9620" w:type="dxa"/>
          <w:tblCellMar>
            <w:left w:w="0" w:type="dxa"/>
            <w:right w:w="0" w:type="dxa"/>
          </w:tblCellMar>
          <w:tblLook w:val="04A0"/>
        </w:tblPrEx>
        <w:tc>
          <w:tcPr>
            <w:tcW w:w="2509" w:type="dxa"/>
            <w:tcBorders>
              <w:top w:val="nil"/>
              <w:left w:val="single" w:sz="8" w:space="0" w:color="122E51"/>
              <w:bottom w:val="single" w:sz="8" w:space="0" w:color="122E51"/>
              <w:right w:val="single" w:sz="8" w:space="0" w:color="122E5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0C5" w14:paraId="79FA9901" w14:textId="18AAB6BD">
            <w:pPr>
              <w:spacing w:line="254" w:lineRule="auto"/>
              <w:textAlignment w:val="baseline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Latino/Hispanic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122E51"/>
              <w:right w:val="single" w:sz="8" w:space="0" w:color="122E5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0C5" w14:paraId="1DCCB3ED" w14:textId="04C47489">
            <w:pPr>
              <w:spacing w:line="254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122E51"/>
              <w:right w:val="single" w:sz="8" w:space="0" w:color="122E5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0C5" w14:paraId="511F489D" w14:textId="2F6E5ACE">
            <w:pPr>
              <w:spacing w:line="254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122E51"/>
              <w:right w:val="single" w:sz="8" w:space="0" w:color="122E5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C5" w14:paraId="38318DBF" w14:textId="425ECC0A">
            <w:pPr>
              <w:spacing w:line="254" w:lineRule="auto"/>
              <w:textAlignment w:val="baseline"/>
              <w:rPr>
                <w:rFonts w:ascii="Times New Roman" w:hAnsi="Times New Roman"/>
              </w:rPr>
            </w:pPr>
            <w:r w:rsidRPr="00724D7C">
              <w:rPr>
                <w:rStyle w:val="normaltextrun"/>
                <w:shd w:val="clear" w:color="auto" w:fill="FFFFFF"/>
              </w:rPr>
              <w:t>Mix of gender, political ideology, SES, geographic area</w:t>
            </w:r>
            <w:r>
              <w:rPr>
                <w:rStyle w:val="normaltextrun"/>
                <w:shd w:val="clear" w:color="auto" w:fill="FFFFFF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="00B64A25">
              <w:rPr>
                <w:rFonts w:ascii="Times New Roman" w:hAnsi="Times New Roman"/>
              </w:rPr>
              <w:t>a</w:t>
            </w:r>
            <w:r w:rsidR="00997F9C">
              <w:rPr>
                <w:rFonts w:ascii="Times New Roman" w:hAnsi="Times New Roman"/>
              </w:rPr>
              <w:t>ll groups will be conducted in English</w:t>
            </w:r>
            <w:r w:rsidR="00DF5488">
              <w:rPr>
                <w:rFonts w:ascii="Times New Roman" w:hAnsi="Times New Roman"/>
              </w:rPr>
              <w:t>.</w:t>
            </w:r>
          </w:p>
        </w:tc>
      </w:tr>
      <w:tr w14:paraId="44843029" w14:textId="77777777" w:rsidTr="00210559">
        <w:tblPrEx>
          <w:tblW w:w="9620" w:type="dxa"/>
          <w:tblCellMar>
            <w:left w:w="0" w:type="dxa"/>
            <w:right w:w="0" w:type="dxa"/>
          </w:tblCellMar>
          <w:tblLook w:val="04A0"/>
        </w:tblPrEx>
        <w:tc>
          <w:tcPr>
            <w:tcW w:w="2509" w:type="dxa"/>
            <w:tcBorders>
              <w:top w:val="nil"/>
              <w:left w:val="single" w:sz="8" w:space="0" w:color="122E51"/>
              <w:bottom w:val="single" w:sz="8" w:space="0" w:color="122E51"/>
              <w:right w:val="single" w:sz="8" w:space="0" w:color="122E5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0C5" w14:paraId="05C747A5" w14:textId="77777777">
            <w:pPr>
              <w:spacing w:line="254" w:lineRule="auto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Black/African American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122E51"/>
              <w:right w:val="single" w:sz="8" w:space="0" w:color="122E5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0C5" w14:paraId="49144528" w14:textId="379E5A1E">
            <w:pPr>
              <w:spacing w:line="254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122E51"/>
              <w:right w:val="single" w:sz="8" w:space="0" w:color="122E5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0C5" w14:paraId="29ADDC8F" w14:textId="50F3FD1A">
            <w:pPr>
              <w:spacing w:line="254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122E51"/>
              <w:right w:val="single" w:sz="8" w:space="0" w:color="122E5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C5" w14:paraId="0DF3294D" w14:textId="2F6F2F66">
            <w:pPr>
              <w:rPr>
                <w:rFonts w:ascii="Times New Roman" w:hAnsi="Times New Roman"/>
              </w:rPr>
            </w:pPr>
            <w:r w:rsidRPr="00724D7C">
              <w:rPr>
                <w:rStyle w:val="normaltextrun"/>
                <w:shd w:val="clear" w:color="auto" w:fill="FFFFFF"/>
              </w:rPr>
              <w:t>Mix of gender, political ideology, SES, geographic area</w:t>
            </w:r>
          </w:p>
        </w:tc>
      </w:tr>
      <w:tr w14:paraId="0D99F549" w14:textId="77777777" w:rsidTr="00210559">
        <w:tblPrEx>
          <w:tblW w:w="9620" w:type="dxa"/>
          <w:tblCellMar>
            <w:left w:w="0" w:type="dxa"/>
            <w:right w:w="0" w:type="dxa"/>
          </w:tblCellMar>
          <w:tblLook w:val="04A0"/>
        </w:tblPrEx>
        <w:tc>
          <w:tcPr>
            <w:tcW w:w="2509" w:type="dxa"/>
            <w:tcBorders>
              <w:top w:val="nil"/>
              <w:left w:val="single" w:sz="8" w:space="0" w:color="122E51"/>
              <w:bottom w:val="single" w:sz="8" w:space="0" w:color="122E51"/>
              <w:right w:val="single" w:sz="8" w:space="0" w:color="122E5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0C5" w14:paraId="2C929BA2" w14:textId="77777777">
            <w:pPr>
              <w:spacing w:line="254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122E51"/>
              <w:right w:val="single" w:sz="8" w:space="0" w:color="122E5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0C5" w:rsidRPr="00827F30" w14:paraId="0F696AF9" w14:textId="3CE443CF">
            <w:pPr>
              <w:spacing w:line="254" w:lineRule="auto"/>
              <w:jc w:val="center"/>
              <w:textAlignment w:val="baseline"/>
              <w:rPr>
                <w:rFonts w:ascii="Times New Roman" w:hAnsi="Times New Roman"/>
                <w:b/>
                <w:bCs/>
              </w:rPr>
            </w:pPr>
            <w:r w:rsidRPr="00827F30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122E51"/>
              <w:right w:val="single" w:sz="8" w:space="0" w:color="122E5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0C5" w:rsidRPr="00827F30" w14:paraId="5A39931E" w14:textId="4D4C8060">
            <w:pPr>
              <w:spacing w:line="254" w:lineRule="auto"/>
              <w:jc w:val="center"/>
              <w:textAlignment w:val="baseline"/>
              <w:rPr>
                <w:rFonts w:ascii="Times New Roman" w:hAnsi="Times New Roman"/>
                <w:b/>
                <w:bCs/>
              </w:rPr>
            </w:pPr>
            <w:r w:rsidRPr="00827F30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122E51"/>
              <w:right w:val="single" w:sz="8" w:space="0" w:color="122E5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0C5" w:rsidRPr="00827F30" w14:paraId="6DCDDCBB" w14:textId="441D69BC">
            <w:pPr>
              <w:spacing w:line="254" w:lineRule="auto"/>
              <w:textAlignment w:val="baseline"/>
              <w:rPr>
                <w:rFonts w:ascii="Times New Roman" w:hAnsi="Times New Roman"/>
                <w:b/>
                <w:bCs/>
              </w:rPr>
            </w:pPr>
            <w:r w:rsidRPr="00827F30">
              <w:rPr>
                <w:rFonts w:ascii="Times New Roman" w:hAnsi="Times New Roman"/>
                <w:b/>
                <w:bCs/>
              </w:rPr>
              <w:t>10 groups total</w:t>
            </w:r>
          </w:p>
        </w:tc>
      </w:tr>
    </w:tbl>
    <w:p w:rsidR="009170C5" w:rsidP="009170C5" w14:paraId="6663B507" w14:textId="77777777">
      <w:pPr>
        <w:rPr>
          <w:rFonts w:ascii="Times New Roman" w:hAnsi="Times New Roman"/>
        </w:rPr>
      </w:pPr>
    </w:p>
    <w:p w:rsidR="00854C0A" w14:paraId="1A24C0A3" w14:textId="7777777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C5"/>
    <w:rsid w:val="00132675"/>
    <w:rsid w:val="001C6FD3"/>
    <w:rsid w:val="00210559"/>
    <w:rsid w:val="00310187"/>
    <w:rsid w:val="00331615"/>
    <w:rsid w:val="00393975"/>
    <w:rsid w:val="003C4326"/>
    <w:rsid w:val="003F388F"/>
    <w:rsid w:val="00507C11"/>
    <w:rsid w:val="005B30A9"/>
    <w:rsid w:val="006343B9"/>
    <w:rsid w:val="00646675"/>
    <w:rsid w:val="006D6BFC"/>
    <w:rsid w:val="00724D7C"/>
    <w:rsid w:val="007507B5"/>
    <w:rsid w:val="00760726"/>
    <w:rsid w:val="007F34C0"/>
    <w:rsid w:val="007F56E9"/>
    <w:rsid w:val="00804676"/>
    <w:rsid w:val="00827F30"/>
    <w:rsid w:val="00854C0A"/>
    <w:rsid w:val="009004F6"/>
    <w:rsid w:val="009170C5"/>
    <w:rsid w:val="009279C4"/>
    <w:rsid w:val="00936C42"/>
    <w:rsid w:val="00943039"/>
    <w:rsid w:val="00955107"/>
    <w:rsid w:val="009578B3"/>
    <w:rsid w:val="00997F9C"/>
    <w:rsid w:val="00A66338"/>
    <w:rsid w:val="00AC313F"/>
    <w:rsid w:val="00B31C35"/>
    <w:rsid w:val="00B64A25"/>
    <w:rsid w:val="00BC0205"/>
    <w:rsid w:val="00C51B3A"/>
    <w:rsid w:val="00C9378A"/>
    <w:rsid w:val="00CB73D2"/>
    <w:rsid w:val="00D91DBE"/>
    <w:rsid w:val="00DA1D47"/>
    <w:rsid w:val="00DF5488"/>
    <w:rsid w:val="00E458F3"/>
    <w:rsid w:val="00E96094"/>
    <w:rsid w:val="00EC6846"/>
    <w:rsid w:val="00F0499B"/>
    <w:rsid w:val="00F9490C"/>
    <w:rsid w:val="00FA123A"/>
    <w:rsid w:val="00FF4B31"/>
    <w:rsid w:val="023B4263"/>
    <w:rsid w:val="15F6AC5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FEB7F9"/>
  <w15:chartTrackingRefBased/>
  <w15:docId w15:val="{7BEC0E08-1DE9-4E87-BEE5-6BAE0454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0C5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170C5"/>
    <w:rPr>
      <w:rFonts w:ascii="Times New Roman" w:hAnsi="Times New Roman" w:cs="Times New Roman" w:hint="default"/>
    </w:rPr>
  </w:style>
  <w:style w:type="paragraph" w:styleId="Revision">
    <w:name w:val="Revision"/>
    <w:hidden/>
    <w:uiPriority w:val="99"/>
    <w:semiHidden/>
    <w:rsid w:val="00A66338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32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26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2675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675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5877D3550984792DA04D1B56BDC44" ma:contentTypeVersion="12" ma:contentTypeDescription="Create a new document." ma:contentTypeScope="" ma:versionID="380e396f1a667807a3daa27c843c1ac8">
  <xsd:schema xmlns:xsd="http://www.w3.org/2001/XMLSchema" xmlns:xs="http://www.w3.org/2001/XMLSchema" xmlns:p="http://schemas.microsoft.com/office/2006/metadata/properties" xmlns:ns2="b7301327-2847-4130-b68a-667228db60bc" xmlns:ns3="96b404de-dd00-4e0e-8f9a-c98a6f6f34ab" targetNamespace="http://schemas.microsoft.com/office/2006/metadata/properties" ma:root="true" ma:fieldsID="dc3f4dcb99a7ede31e47cc14f17e735b" ns2:_="" ns3:_="">
    <xsd:import namespace="b7301327-2847-4130-b68a-667228db60bc"/>
    <xsd:import namespace="96b404de-dd00-4e0e-8f9a-c98a6f6f3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1327-2847-4130-b68a-667228db6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404de-dd00-4e0e-8f9a-c98a6f6f3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4cd8b4-6f02-45b2-b248-c2905e88e224}" ma:internalName="TaxCatchAll" ma:showField="CatchAllData" ma:web="96b404de-dd00-4e0e-8f9a-c98a6f6f3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b404de-dd00-4e0e-8f9a-c98a6f6f34ab" xsi:nil="true"/>
    <lcf76f155ced4ddcb4097134ff3c332f xmlns="b7301327-2847-4130-b68a-667228db60b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C22A9C-C3CC-4831-828B-955DC9A2D508}">
  <ds:schemaRefs/>
</ds:datastoreItem>
</file>

<file path=customXml/itemProps2.xml><?xml version="1.0" encoding="utf-8"?>
<ds:datastoreItem xmlns:ds="http://schemas.openxmlformats.org/officeDocument/2006/customXml" ds:itemID="{E18FEDA1-018F-4AB8-9197-41BD86F56D5D}">
  <ds:schemaRefs>
    <ds:schemaRef ds:uri="http://schemas.microsoft.com/office/2006/metadata/properties"/>
    <ds:schemaRef ds:uri="http://schemas.microsoft.com/office/infopath/2007/PartnerControls"/>
    <ds:schemaRef ds:uri="828610e3-ed43-4caa-9fbe-80db6c773d90"/>
    <ds:schemaRef ds:uri="9bd539a0-22ba-466c-a345-91b55298987f"/>
  </ds:schemaRefs>
</ds:datastoreItem>
</file>

<file path=customXml/itemProps3.xml><?xml version="1.0" encoding="utf-8"?>
<ds:datastoreItem xmlns:ds="http://schemas.openxmlformats.org/officeDocument/2006/customXml" ds:itemID="{771FE687-A3FD-4F27-AE1B-BCBD94E0C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HHS/ITIO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Gloria A (HHS/ASPA)</dc:creator>
  <cp:lastModifiedBy>Yu, Kathleen (HHS/ASPA)</cp:lastModifiedBy>
  <cp:revision>46</cp:revision>
  <dcterms:created xsi:type="dcterms:W3CDTF">2023-04-05T15:41:00Z</dcterms:created>
  <dcterms:modified xsi:type="dcterms:W3CDTF">2023-06-02T17:33:54Z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0x010100F475877D3550984792DA04D1B56BDC44</vt:lpwstr>
  </property>
  <property fmtid="{D5CDD505-2E9C-101B-9397-08002B2CF9AE}" pid="3" name="MediaServiceImageTags">
    <vt:lpwstr/>
  </property>
</Properties>
</file>