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A13E8" w:rsidRPr="004A13E8" w:rsidP="004A13E8" w14:paraId="55FE1772" w14:textId="7FBA0E87">
      <w:pPr>
        <w:pStyle w:val="Heading2"/>
      </w:pPr>
      <w:bookmarkStart w:id="1" w:name="_Toc112842520"/>
      <w:r>
        <w:t xml:space="preserve">Assessment </w:t>
      </w:r>
      <w:r w:rsidR="001A69A3">
        <w:t>for</w:t>
      </w:r>
      <w:r w:rsidR="0048036D">
        <w:t xml:space="preserve"> the </w:t>
      </w:r>
      <w:r w:rsidRPr="0088714C" w:rsidR="00C8080F">
        <w:rPr>
          <w:i/>
          <w:iCs/>
        </w:rPr>
        <w:t>Get Ahead of Sepsis</w:t>
      </w:r>
      <w:r w:rsidR="00276F00">
        <w:t xml:space="preserve"> </w:t>
      </w:r>
      <w:r w:rsidR="00BD2380">
        <w:t xml:space="preserve">Consumer and </w:t>
      </w:r>
      <w:r w:rsidR="00772809">
        <w:t xml:space="preserve">Healthcare Professional </w:t>
      </w:r>
      <w:r w:rsidR="00276F00">
        <w:t>Campaign</w:t>
      </w:r>
      <w:bookmarkEnd w:id="0"/>
      <w:bookmarkEnd w:id="1"/>
    </w:p>
    <w:p w:rsidR="004A13E8" w:rsidP="004A13E8" w14:paraId="55FE1773" w14:textId="77777777">
      <w:pPr>
        <w:spacing w:after="0" w:line="240" w:lineRule="auto"/>
        <w:jc w:val="center"/>
        <w:rPr>
          <w:b/>
        </w:rPr>
      </w:pPr>
    </w:p>
    <w:p w:rsidR="00621548" w:rsidP="004A13E8" w14:paraId="73BFC4E2" w14:textId="77777777">
      <w:pPr>
        <w:pStyle w:val="Heading3"/>
      </w:pPr>
      <w:bookmarkStart w:id="2" w:name="_Toc473880016"/>
      <w:bookmarkStart w:id="3" w:name="_Toc112842521"/>
      <w:r w:rsidRPr="004A13E8">
        <w:t>Request for OMB approval of a</w:t>
      </w:r>
      <w:r w:rsidR="00DC74EE">
        <w:t xml:space="preserve"> New Information Collection</w:t>
      </w:r>
      <w:bookmarkEnd w:id="2"/>
      <w:r>
        <w:t>:</w:t>
      </w:r>
      <w:bookmarkEnd w:id="3"/>
      <w:r>
        <w:t xml:space="preserve"> </w:t>
      </w:r>
    </w:p>
    <w:p w:rsidR="004A13E8" w:rsidRPr="004A13E8" w:rsidP="004A13E8" w14:paraId="55FE1774" w14:textId="7E9D328E">
      <w:pPr>
        <w:pStyle w:val="Heading3"/>
      </w:pPr>
      <w:bookmarkStart w:id="4" w:name="_Toc112842522"/>
      <w:r>
        <w:t>OMB 0920-</w:t>
      </w:r>
      <w:r w:rsidR="00E127F1">
        <w:t>1384</w:t>
      </w:r>
      <w:bookmarkEnd w:id="4"/>
    </w:p>
    <w:p w:rsidR="004A13E8" w:rsidP="004A13E8" w14:paraId="55FE1775" w14:textId="77777777">
      <w:pPr>
        <w:spacing w:after="0" w:line="240" w:lineRule="auto"/>
        <w:jc w:val="center"/>
        <w:rPr>
          <w:b/>
        </w:rPr>
      </w:pPr>
    </w:p>
    <w:p w:rsidR="00E127F1" w:rsidRPr="004A13E8" w:rsidP="00E127F1" w14:paraId="118983BC" w14:textId="41510B31">
      <w:pPr>
        <w:pStyle w:val="Heading4"/>
      </w:pPr>
      <w:bookmarkStart w:id="5" w:name="_Hlk137798601"/>
      <w:r>
        <w:t>Friday, June 16</w:t>
      </w:r>
      <w:r>
        <w:t>, 2023</w:t>
      </w:r>
    </w:p>
    <w:bookmarkEnd w:id="5"/>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8C11FE">
        <w:rPr>
          <w:b/>
        </w:rPr>
        <w:t>Contact:</w:t>
      </w:r>
      <w:r w:rsidRPr="009A79E1">
        <w:rPr>
          <w:b/>
        </w:rPr>
        <w:t xml:space="preserve"> </w:t>
      </w:r>
    </w:p>
    <w:p w:rsidR="008C11FE" w:rsidRPr="006F445E" w:rsidP="008C11FE" w14:paraId="09336939" w14:textId="77777777">
      <w:pPr>
        <w:spacing w:after="0" w:line="240" w:lineRule="auto"/>
      </w:pPr>
      <w:r w:rsidRPr="006F445E">
        <w:t>Thomas J. “Chip” Daymude</w:t>
      </w:r>
    </w:p>
    <w:p w:rsidR="008C11FE" w:rsidRPr="006F445E" w:rsidP="008C11FE" w14:paraId="145872FF" w14:textId="77777777">
      <w:pPr>
        <w:spacing w:after="0" w:line="240" w:lineRule="auto"/>
      </w:pPr>
      <w:r w:rsidRPr="006F445E">
        <w:t xml:space="preserve">National Center for Emerging and Zoonotic Infectious Diseases </w:t>
      </w:r>
    </w:p>
    <w:p w:rsidR="008C11FE" w:rsidRPr="006F445E" w:rsidP="008C11FE" w14:paraId="20405876" w14:textId="77777777">
      <w:pPr>
        <w:spacing w:after="0" w:line="240" w:lineRule="auto"/>
      </w:pPr>
      <w:r w:rsidRPr="006F445E">
        <w:t xml:space="preserve">Centers for Disease Control and Prevention </w:t>
      </w:r>
    </w:p>
    <w:p w:rsidR="008C11FE" w:rsidRPr="006F445E" w:rsidP="008C11FE" w14:paraId="5F8E66B4" w14:textId="77777777">
      <w:pPr>
        <w:spacing w:after="0" w:line="240" w:lineRule="auto"/>
      </w:pPr>
      <w:r w:rsidRPr="006F445E">
        <w:t xml:space="preserve">1600 Clifton Road, NE </w:t>
      </w:r>
    </w:p>
    <w:p w:rsidR="008C11FE" w:rsidRPr="006F445E" w:rsidP="008C11FE" w14:paraId="7506FE4D" w14:textId="77777777">
      <w:pPr>
        <w:spacing w:after="0" w:line="240" w:lineRule="auto"/>
      </w:pPr>
      <w:r w:rsidRPr="006F445E">
        <w:t xml:space="preserve">Atlanta, Georgia 30333 </w:t>
      </w:r>
    </w:p>
    <w:p w:rsidR="004A13E8" w:rsidP="008C11FE" w14:paraId="55FE179A" w14:textId="2856B3EE">
      <w:pPr>
        <w:pStyle w:val="NoSpacing"/>
      </w:pPr>
      <w:r w:rsidRPr="006F445E">
        <w:rPr>
          <w:rFonts w:eastAsiaTheme="minorEastAsia"/>
        </w:rPr>
        <w:t xml:space="preserve">Email: </w:t>
      </w:r>
      <w:hyperlink r:id="rId8">
        <w:r w:rsidRPr="006F445E">
          <w:rPr>
            <w:rFonts w:eastAsiaTheme="minorEastAsia"/>
            <w:color w:val="0000FF"/>
            <w:u w:val="single"/>
          </w:rPr>
          <w:t>qkh7@cdc.gov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sdt>
          <w:sdtPr>
            <w:rPr>
              <w:b w:val="0"/>
              <w:sz w:val="28"/>
              <w:szCs w:val="28"/>
            </w:rPr>
            <w:id w:val="-2084135882"/>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730734" w14:paraId="68C7618F"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112842520" w:history="1">
                <w:r w:rsidRPr="00586B0F">
                  <w:rPr>
                    <w:rStyle w:val="Hyperlink"/>
                    <w:noProof/>
                  </w:rPr>
                  <w:t xml:space="preserve">Assessment for the </w:t>
                </w:r>
                <w:r w:rsidRPr="00586B0F">
                  <w:rPr>
                    <w:rStyle w:val="Hyperlink"/>
                    <w:i/>
                    <w:iCs/>
                    <w:noProof/>
                  </w:rPr>
                  <w:t>Get Ahead of Sepsis</w:t>
                </w:r>
                <w:r w:rsidRPr="00586B0F">
                  <w:rPr>
                    <w:rStyle w:val="Hyperlink"/>
                    <w:noProof/>
                  </w:rPr>
                  <w:t xml:space="preserve"> Consumer and Healthcare Professional Campaign</w:t>
                </w:r>
                <w:r>
                  <w:rPr>
                    <w:noProof/>
                    <w:webHidden/>
                  </w:rPr>
                  <w:tab/>
                </w:r>
                <w:r>
                  <w:rPr>
                    <w:noProof/>
                    <w:webHidden/>
                  </w:rPr>
                  <w:fldChar w:fldCharType="begin"/>
                </w:r>
                <w:r>
                  <w:rPr>
                    <w:noProof/>
                    <w:webHidden/>
                  </w:rPr>
                  <w:instrText xml:space="preserve"> PAGEREF _Toc112842520 \h </w:instrText>
                </w:r>
                <w:r>
                  <w:rPr>
                    <w:noProof/>
                    <w:webHidden/>
                  </w:rPr>
                  <w:fldChar w:fldCharType="separate"/>
                </w:r>
                <w:r>
                  <w:rPr>
                    <w:noProof/>
                    <w:webHidden/>
                  </w:rPr>
                  <w:t>1</w:t>
                </w:r>
                <w:r>
                  <w:rPr>
                    <w:noProof/>
                    <w:webHidden/>
                  </w:rPr>
                  <w:fldChar w:fldCharType="end"/>
                </w:r>
              </w:hyperlink>
            </w:p>
            <w:p w:rsidR="00730734" w14:paraId="43F69A4B" w14:textId="77777777">
              <w:pPr>
                <w:pStyle w:val="TOC3"/>
                <w:tabs>
                  <w:tab w:val="right" w:leader="dot" w:pos="10070"/>
                </w:tabs>
                <w:rPr>
                  <w:rFonts w:asciiTheme="minorHAnsi" w:eastAsiaTheme="minorEastAsia" w:hAnsiTheme="minorHAnsi"/>
                  <w:noProof/>
                  <w:sz w:val="22"/>
                </w:rPr>
              </w:pPr>
              <w:hyperlink w:anchor="_Toc112842521" w:history="1">
                <w:r w:rsidRPr="00586B0F">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_Toc112842521 \h </w:instrText>
                </w:r>
                <w:r>
                  <w:rPr>
                    <w:noProof/>
                    <w:webHidden/>
                  </w:rPr>
                  <w:fldChar w:fldCharType="separate"/>
                </w:r>
                <w:r>
                  <w:rPr>
                    <w:noProof/>
                    <w:webHidden/>
                  </w:rPr>
                  <w:t>1</w:t>
                </w:r>
                <w:r>
                  <w:rPr>
                    <w:noProof/>
                    <w:webHidden/>
                  </w:rPr>
                  <w:fldChar w:fldCharType="end"/>
                </w:r>
              </w:hyperlink>
            </w:p>
            <w:p w:rsidR="00730734" w14:paraId="668A05F0" w14:textId="77777777">
              <w:pPr>
                <w:pStyle w:val="TOC3"/>
                <w:tabs>
                  <w:tab w:val="right" w:leader="dot" w:pos="10070"/>
                </w:tabs>
                <w:rPr>
                  <w:rFonts w:asciiTheme="minorHAnsi" w:eastAsiaTheme="minorEastAsia" w:hAnsiTheme="minorHAnsi"/>
                  <w:noProof/>
                  <w:sz w:val="22"/>
                </w:rPr>
              </w:pPr>
              <w:hyperlink w:anchor="_Toc112842522" w:history="1">
                <w:r w:rsidRPr="00586B0F">
                  <w:rPr>
                    <w:rStyle w:val="Hyperlink"/>
                    <w:noProof/>
                  </w:rPr>
                  <w:t>OMB 0920-</w:t>
                </w:r>
                <w:r w:rsidR="00E127F1">
                  <w:rPr>
                    <w:rStyle w:val="Hyperlink"/>
                    <w:noProof/>
                  </w:rPr>
                  <w:t>1384</w:t>
                </w:r>
                <w:r>
                  <w:rPr>
                    <w:noProof/>
                    <w:webHidden/>
                  </w:rPr>
                  <w:tab/>
                </w:r>
                <w:r>
                  <w:rPr>
                    <w:noProof/>
                    <w:webHidden/>
                  </w:rPr>
                  <w:fldChar w:fldCharType="begin"/>
                </w:r>
                <w:r>
                  <w:rPr>
                    <w:noProof/>
                    <w:webHidden/>
                  </w:rPr>
                  <w:instrText xml:space="preserve"> PAGEREF _Toc112842522 \h </w:instrText>
                </w:r>
                <w:r>
                  <w:rPr>
                    <w:noProof/>
                    <w:webHidden/>
                  </w:rPr>
                  <w:fldChar w:fldCharType="separate"/>
                </w:r>
                <w:r>
                  <w:rPr>
                    <w:noProof/>
                    <w:webHidden/>
                  </w:rPr>
                  <w:t>1</w:t>
                </w:r>
                <w:r>
                  <w:rPr>
                    <w:noProof/>
                    <w:webHidden/>
                  </w:rPr>
                  <w:fldChar w:fldCharType="end"/>
                </w:r>
              </w:hyperlink>
            </w:p>
            <w:p w:rsidR="00730734" w14:paraId="5812A818" w14:textId="77777777">
              <w:pPr>
                <w:pStyle w:val="TOC1"/>
                <w:tabs>
                  <w:tab w:val="left" w:pos="480"/>
                  <w:tab w:val="right" w:leader="dot" w:pos="10070"/>
                </w:tabs>
                <w:rPr>
                  <w:rFonts w:asciiTheme="minorHAnsi" w:eastAsiaTheme="minorEastAsia" w:hAnsiTheme="minorHAnsi"/>
                  <w:noProof/>
                  <w:sz w:val="22"/>
                </w:rPr>
              </w:pPr>
              <w:hyperlink w:anchor="_Toc112842523" w:history="1">
                <w:r w:rsidRPr="00586B0F">
                  <w:rPr>
                    <w:rStyle w:val="Hyperlink"/>
                    <w:noProof/>
                  </w:rPr>
                  <w:t>1.</w:t>
                </w:r>
                <w:r>
                  <w:rPr>
                    <w:rFonts w:asciiTheme="minorHAnsi" w:eastAsiaTheme="minorEastAsia" w:hAnsiTheme="minorHAnsi"/>
                    <w:noProof/>
                    <w:sz w:val="22"/>
                  </w:rPr>
                  <w:tab/>
                </w:r>
                <w:r w:rsidRPr="00586B0F">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_Toc112842523 \h </w:instrText>
                </w:r>
                <w:r>
                  <w:rPr>
                    <w:noProof/>
                    <w:webHidden/>
                  </w:rPr>
                  <w:fldChar w:fldCharType="separate"/>
                </w:r>
                <w:r>
                  <w:rPr>
                    <w:noProof/>
                    <w:webHidden/>
                  </w:rPr>
                  <w:t>4</w:t>
                </w:r>
                <w:r>
                  <w:rPr>
                    <w:noProof/>
                    <w:webHidden/>
                  </w:rPr>
                  <w:fldChar w:fldCharType="end"/>
                </w:r>
              </w:hyperlink>
            </w:p>
            <w:p w:rsidR="00730734" w14:paraId="5EC78DBD" w14:textId="77777777">
              <w:pPr>
                <w:pStyle w:val="TOC1"/>
                <w:tabs>
                  <w:tab w:val="left" w:pos="480"/>
                  <w:tab w:val="right" w:leader="dot" w:pos="10070"/>
                </w:tabs>
                <w:rPr>
                  <w:rFonts w:asciiTheme="minorHAnsi" w:eastAsiaTheme="minorEastAsia" w:hAnsiTheme="minorHAnsi"/>
                  <w:noProof/>
                  <w:sz w:val="22"/>
                </w:rPr>
              </w:pPr>
              <w:hyperlink w:anchor="_Toc112842524" w:history="1">
                <w:r w:rsidRPr="00586B0F">
                  <w:rPr>
                    <w:rStyle w:val="Hyperlink"/>
                    <w:noProof/>
                  </w:rPr>
                  <w:t>2.</w:t>
                </w:r>
                <w:r>
                  <w:rPr>
                    <w:rFonts w:asciiTheme="minorHAnsi" w:eastAsiaTheme="minorEastAsia" w:hAnsiTheme="minorHAnsi"/>
                    <w:noProof/>
                    <w:sz w:val="22"/>
                  </w:rPr>
                  <w:tab/>
                </w:r>
                <w:r w:rsidRPr="00586B0F">
                  <w:rPr>
                    <w:rStyle w:val="Hyperlink"/>
                    <w:noProof/>
                  </w:rPr>
                  <w:t>Purpose and Use of Information Collection</w:t>
                </w:r>
                <w:r>
                  <w:rPr>
                    <w:noProof/>
                    <w:webHidden/>
                  </w:rPr>
                  <w:tab/>
                </w:r>
                <w:r>
                  <w:rPr>
                    <w:noProof/>
                    <w:webHidden/>
                  </w:rPr>
                  <w:fldChar w:fldCharType="begin"/>
                </w:r>
                <w:r>
                  <w:rPr>
                    <w:noProof/>
                    <w:webHidden/>
                  </w:rPr>
                  <w:instrText xml:space="preserve"> PAGEREF _Toc112842524 \h </w:instrText>
                </w:r>
                <w:r>
                  <w:rPr>
                    <w:noProof/>
                    <w:webHidden/>
                  </w:rPr>
                  <w:fldChar w:fldCharType="separate"/>
                </w:r>
                <w:r>
                  <w:rPr>
                    <w:noProof/>
                    <w:webHidden/>
                  </w:rPr>
                  <w:t>5</w:t>
                </w:r>
                <w:r>
                  <w:rPr>
                    <w:noProof/>
                    <w:webHidden/>
                  </w:rPr>
                  <w:fldChar w:fldCharType="end"/>
                </w:r>
              </w:hyperlink>
            </w:p>
            <w:p w:rsidR="00730734" w14:paraId="28957084" w14:textId="77777777">
              <w:pPr>
                <w:pStyle w:val="TOC1"/>
                <w:tabs>
                  <w:tab w:val="left" w:pos="480"/>
                  <w:tab w:val="right" w:leader="dot" w:pos="10070"/>
                </w:tabs>
                <w:rPr>
                  <w:rFonts w:asciiTheme="minorHAnsi" w:eastAsiaTheme="minorEastAsia" w:hAnsiTheme="minorHAnsi"/>
                  <w:noProof/>
                  <w:sz w:val="22"/>
                </w:rPr>
              </w:pPr>
              <w:hyperlink w:anchor="_Toc112842525" w:history="1">
                <w:r w:rsidRPr="00586B0F">
                  <w:rPr>
                    <w:rStyle w:val="Hyperlink"/>
                    <w:noProof/>
                  </w:rPr>
                  <w:t>3.</w:t>
                </w:r>
                <w:r>
                  <w:rPr>
                    <w:rFonts w:asciiTheme="minorHAnsi" w:eastAsiaTheme="minorEastAsia" w:hAnsiTheme="minorHAnsi"/>
                    <w:noProof/>
                    <w:sz w:val="22"/>
                  </w:rPr>
                  <w:tab/>
                </w:r>
                <w:r w:rsidRPr="00586B0F">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_Toc112842525 \h </w:instrText>
                </w:r>
                <w:r>
                  <w:rPr>
                    <w:noProof/>
                    <w:webHidden/>
                  </w:rPr>
                  <w:fldChar w:fldCharType="separate"/>
                </w:r>
                <w:r>
                  <w:rPr>
                    <w:noProof/>
                    <w:webHidden/>
                  </w:rPr>
                  <w:t>8</w:t>
                </w:r>
                <w:r>
                  <w:rPr>
                    <w:noProof/>
                    <w:webHidden/>
                  </w:rPr>
                  <w:fldChar w:fldCharType="end"/>
                </w:r>
              </w:hyperlink>
            </w:p>
            <w:p w:rsidR="00730734" w14:paraId="080A3E2A" w14:textId="77777777">
              <w:pPr>
                <w:pStyle w:val="TOC1"/>
                <w:tabs>
                  <w:tab w:val="left" w:pos="480"/>
                  <w:tab w:val="right" w:leader="dot" w:pos="10070"/>
                </w:tabs>
                <w:rPr>
                  <w:rFonts w:asciiTheme="minorHAnsi" w:eastAsiaTheme="minorEastAsia" w:hAnsiTheme="minorHAnsi"/>
                  <w:noProof/>
                  <w:sz w:val="22"/>
                </w:rPr>
              </w:pPr>
              <w:hyperlink w:anchor="_Toc112842526" w:history="1">
                <w:r w:rsidRPr="00586B0F">
                  <w:rPr>
                    <w:rStyle w:val="Hyperlink"/>
                    <w:noProof/>
                  </w:rPr>
                  <w:t>4.</w:t>
                </w:r>
                <w:r>
                  <w:rPr>
                    <w:rFonts w:asciiTheme="minorHAnsi" w:eastAsiaTheme="minorEastAsia" w:hAnsiTheme="minorHAnsi"/>
                    <w:noProof/>
                    <w:sz w:val="22"/>
                  </w:rPr>
                  <w:tab/>
                </w:r>
                <w:r w:rsidRPr="00586B0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_Toc112842526 \h </w:instrText>
                </w:r>
                <w:r>
                  <w:rPr>
                    <w:noProof/>
                    <w:webHidden/>
                  </w:rPr>
                  <w:fldChar w:fldCharType="separate"/>
                </w:r>
                <w:r>
                  <w:rPr>
                    <w:noProof/>
                    <w:webHidden/>
                  </w:rPr>
                  <w:t>8</w:t>
                </w:r>
                <w:r>
                  <w:rPr>
                    <w:noProof/>
                    <w:webHidden/>
                  </w:rPr>
                  <w:fldChar w:fldCharType="end"/>
                </w:r>
              </w:hyperlink>
            </w:p>
            <w:p w:rsidR="00730734" w14:paraId="0BFF8C4E" w14:textId="77777777">
              <w:pPr>
                <w:pStyle w:val="TOC1"/>
                <w:tabs>
                  <w:tab w:val="left" w:pos="480"/>
                  <w:tab w:val="right" w:leader="dot" w:pos="10070"/>
                </w:tabs>
                <w:rPr>
                  <w:rFonts w:asciiTheme="minorHAnsi" w:eastAsiaTheme="minorEastAsia" w:hAnsiTheme="minorHAnsi"/>
                  <w:noProof/>
                  <w:sz w:val="22"/>
                </w:rPr>
              </w:pPr>
              <w:hyperlink w:anchor="_Toc112842527" w:history="1">
                <w:r w:rsidRPr="00586B0F">
                  <w:rPr>
                    <w:rStyle w:val="Hyperlink"/>
                    <w:noProof/>
                  </w:rPr>
                  <w:t>5.</w:t>
                </w:r>
                <w:r>
                  <w:rPr>
                    <w:rFonts w:asciiTheme="minorHAnsi" w:eastAsiaTheme="minorEastAsia" w:hAnsiTheme="minorHAnsi"/>
                    <w:noProof/>
                    <w:sz w:val="22"/>
                  </w:rPr>
                  <w:tab/>
                </w:r>
                <w:r w:rsidRPr="00586B0F">
                  <w:rPr>
                    <w:rStyle w:val="Hyperlink"/>
                    <w:noProof/>
                  </w:rPr>
                  <w:t>Impact on Small Businesses or Other Small Entities</w:t>
                </w:r>
                <w:r>
                  <w:rPr>
                    <w:noProof/>
                    <w:webHidden/>
                  </w:rPr>
                  <w:tab/>
                </w:r>
                <w:r>
                  <w:rPr>
                    <w:noProof/>
                    <w:webHidden/>
                  </w:rPr>
                  <w:fldChar w:fldCharType="begin"/>
                </w:r>
                <w:r>
                  <w:rPr>
                    <w:noProof/>
                    <w:webHidden/>
                  </w:rPr>
                  <w:instrText xml:space="preserve"> PAGEREF _Toc112842527 \h </w:instrText>
                </w:r>
                <w:r>
                  <w:rPr>
                    <w:noProof/>
                    <w:webHidden/>
                  </w:rPr>
                  <w:fldChar w:fldCharType="separate"/>
                </w:r>
                <w:r>
                  <w:rPr>
                    <w:noProof/>
                    <w:webHidden/>
                  </w:rPr>
                  <w:t>9</w:t>
                </w:r>
                <w:r>
                  <w:rPr>
                    <w:noProof/>
                    <w:webHidden/>
                  </w:rPr>
                  <w:fldChar w:fldCharType="end"/>
                </w:r>
              </w:hyperlink>
            </w:p>
            <w:p w:rsidR="00730734" w14:paraId="65B644E8" w14:textId="77777777">
              <w:pPr>
                <w:pStyle w:val="TOC1"/>
                <w:tabs>
                  <w:tab w:val="left" w:pos="480"/>
                  <w:tab w:val="right" w:leader="dot" w:pos="10070"/>
                </w:tabs>
                <w:rPr>
                  <w:rFonts w:asciiTheme="minorHAnsi" w:eastAsiaTheme="minorEastAsia" w:hAnsiTheme="minorHAnsi"/>
                  <w:noProof/>
                  <w:sz w:val="22"/>
                </w:rPr>
              </w:pPr>
              <w:hyperlink w:anchor="_Toc112842528" w:history="1">
                <w:r w:rsidRPr="00586B0F">
                  <w:rPr>
                    <w:rStyle w:val="Hyperlink"/>
                    <w:noProof/>
                  </w:rPr>
                  <w:t>6.</w:t>
                </w:r>
                <w:r>
                  <w:rPr>
                    <w:rFonts w:asciiTheme="minorHAnsi" w:eastAsiaTheme="minorEastAsia" w:hAnsiTheme="minorHAnsi"/>
                    <w:noProof/>
                    <w:sz w:val="22"/>
                  </w:rPr>
                  <w:tab/>
                </w:r>
                <w:r w:rsidRPr="00586B0F">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_Toc112842528 \h </w:instrText>
                </w:r>
                <w:r>
                  <w:rPr>
                    <w:noProof/>
                    <w:webHidden/>
                  </w:rPr>
                  <w:fldChar w:fldCharType="separate"/>
                </w:r>
                <w:r>
                  <w:rPr>
                    <w:noProof/>
                    <w:webHidden/>
                  </w:rPr>
                  <w:t>9</w:t>
                </w:r>
                <w:r>
                  <w:rPr>
                    <w:noProof/>
                    <w:webHidden/>
                  </w:rPr>
                  <w:fldChar w:fldCharType="end"/>
                </w:r>
              </w:hyperlink>
            </w:p>
            <w:p w:rsidR="00730734" w14:paraId="1C7E5771" w14:textId="77777777">
              <w:pPr>
                <w:pStyle w:val="TOC1"/>
                <w:tabs>
                  <w:tab w:val="left" w:pos="480"/>
                  <w:tab w:val="right" w:leader="dot" w:pos="10070"/>
                </w:tabs>
                <w:rPr>
                  <w:rFonts w:asciiTheme="minorHAnsi" w:eastAsiaTheme="minorEastAsia" w:hAnsiTheme="minorHAnsi"/>
                  <w:noProof/>
                  <w:sz w:val="22"/>
                </w:rPr>
              </w:pPr>
              <w:hyperlink w:anchor="_Toc112842529" w:history="1">
                <w:r w:rsidRPr="00586B0F">
                  <w:rPr>
                    <w:rStyle w:val="Hyperlink"/>
                    <w:noProof/>
                  </w:rPr>
                  <w:t>7.</w:t>
                </w:r>
                <w:r>
                  <w:rPr>
                    <w:rFonts w:asciiTheme="minorHAnsi" w:eastAsiaTheme="minorEastAsia" w:hAnsiTheme="minorHAnsi"/>
                    <w:noProof/>
                    <w:sz w:val="22"/>
                  </w:rPr>
                  <w:tab/>
                </w:r>
                <w:r w:rsidRPr="00586B0F">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_Toc112842529 \h </w:instrText>
                </w:r>
                <w:r>
                  <w:rPr>
                    <w:noProof/>
                    <w:webHidden/>
                  </w:rPr>
                  <w:fldChar w:fldCharType="separate"/>
                </w:r>
                <w:r>
                  <w:rPr>
                    <w:noProof/>
                    <w:webHidden/>
                  </w:rPr>
                  <w:t>9</w:t>
                </w:r>
                <w:r>
                  <w:rPr>
                    <w:noProof/>
                    <w:webHidden/>
                  </w:rPr>
                  <w:fldChar w:fldCharType="end"/>
                </w:r>
              </w:hyperlink>
            </w:p>
            <w:p w:rsidR="00730734" w14:paraId="35ED57C1" w14:textId="77777777">
              <w:pPr>
                <w:pStyle w:val="TOC1"/>
                <w:tabs>
                  <w:tab w:val="left" w:pos="480"/>
                  <w:tab w:val="right" w:leader="dot" w:pos="10070"/>
                </w:tabs>
                <w:rPr>
                  <w:rFonts w:asciiTheme="minorHAnsi" w:eastAsiaTheme="minorEastAsia" w:hAnsiTheme="minorHAnsi"/>
                  <w:noProof/>
                  <w:sz w:val="22"/>
                </w:rPr>
              </w:pPr>
              <w:hyperlink w:anchor="_Toc112842530" w:history="1">
                <w:r w:rsidRPr="00586B0F">
                  <w:rPr>
                    <w:rStyle w:val="Hyperlink"/>
                    <w:noProof/>
                  </w:rPr>
                  <w:t>8.</w:t>
                </w:r>
                <w:r>
                  <w:rPr>
                    <w:rFonts w:asciiTheme="minorHAnsi" w:eastAsiaTheme="minorEastAsia" w:hAnsiTheme="minorHAnsi"/>
                    <w:noProof/>
                    <w:sz w:val="22"/>
                  </w:rPr>
                  <w:tab/>
                </w:r>
                <w:r w:rsidRPr="00586B0F">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_Toc112842530 \h </w:instrText>
                </w:r>
                <w:r>
                  <w:rPr>
                    <w:noProof/>
                    <w:webHidden/>
                  </w:rPr>
                  <w:fldChar w:fldCharType="separate"/>
                </w:r>
                <w:r>
                  <w:rPr>
                    <w:noProof/>
                    <w:webHidden/>
                  </w:rPr>
                  <w:t>9</w:t>
                </w:r>
                <w:r>
                  <w:rPr>
                    <w:noProof/>
                    <w:webHidden/>
                  </w:rPr>
                  <w:fldChar w:fldCharType="end"/>
                </w:r>
              </w:hyperlink>
            </w:p>
            <w:p w:rsidR="00730734" w14:paraId="6D4C4873" w14:textId="77777777">
              <w:pPr>
                <w:pStyle w:val="TOC1"/>
                <w:tabs>
                  <w:tab w:val="left" w:pos="480"/>
                  <w:tab w:val="right" w:leader="dot" w:pos="10070"/>
                </w:tabs>
                <w:rPr>
                  <w:rFonts w:asciiTheme="minorHAnsi" w:eastAsiaTheme="minorEastAsia" w:hAnsiTheme="minorHAnsi"/>
                  <w:noProof/>
                  <w:sz w:val="22"/>
                </w:rPr>
              </w:pPr>
              <w:hyperlink w:anchor="_Toc112842531" w:history="1">
                <w:r w:rsidRPr="00586B0F">
                  <w:rPr>
                    <w:rStyle w:val="Hyperlink"/>
                    <w:noProof/>
                  </w:rPr>
                  <w:t>9.</w:t>
                </w:r>
                <w:r>
                  <w:rPr>
                    <w:rFonts w:asciiTheme="minorHAnsi" w:eastAsiaTheme="minorEastAsia" w:hAnsiTheme="minorHAnsi"/>
                    <w:noProof/>
                    <w:sz w:val="22"/>
                  </w:rPr>
                  <w:tab/>
                </w:r>
                <w:r w:rsidRPr="00586B0F">
                  <w:rPr>
                    <w:rStyle w:val="Hyperlink"/>
                    <w:noProof/>
                  </w:rPr>
                  <w:t>Explanation of Any Payment or Gift to Respondents</w:t>
                </w:r>
                <w:r>
                  <w:rPr>
                    <w:noProof/>
                    <w:webHidden/>
                  </w:rPr>
                  <w:tab/>
                </w:r>
                <w:r>
                  <w:rPr>
                    <w:noProof/>
                    <w:webHidden/>
                  </w:rPr>
                  <w:fldChar w:fldCharType="begin"/>
                </w:r>
                <w:r>
                  <w:rPr>
                    <w:noProof/>
                    <w:webHidden/>
                  </w:rPr>
                  <w:instrText xml:space="preserve"> PAGEREF _Toc112842531 \h </w:instrText>
                </w:r>
                <w:r>
                  <w:rPr>
                    <w:noProof/>
                    <w:webHidden/>
                  </w:rPr>
                  <w:fldChar w:fldCharType="separate"/>
                </w:r>
                <w:r>
                  <w:rPr>
                    <w:noProof/>
                    <w:webHidden/>
                  </w:rPr>
                  <w:t>9</w:t>
                </w:r>
                <w:r>
                  <w:rPr>
                    <w:noProof/>
                    <w:webHidden/>
                  </w:rPr>
                  <w:fldChar w:fldCharType="end"/>
                </w:r>
              </w:hyperlink>
            </w:p>
            <w:p w:rsidR="00730734" w14:paraId="22844C9B" w14:textId="77777777">
              <w:pPr>
                <w:pStyle w:val="TOC1"/>
                <w:tabs>
                  <w:tab w:val="left" w:pos="660"/>
                  <w:tab w:val="right" w:leader="dot" w:pos="10070"/>
                </w:tabs>
                <w:rPr>
                  <w:rFonts w:asciiTheme="minorHAnsi" w:eastAsiaTheme="minorEastAsia" w:hAnsiTheme="minorHAnsi"/>
                  <w:noProof/>
                  <w:sz w:val="22"/>
                </w:rPr>
              </w:pPr>
              <w:hyperlink w:anchor="_Toc112842532" w:history="1">
                <w:r w:rsidRPr="00586B0F">
                  <w:rPr>
                    <w:rStyle w:val="Hyperlink"/>
                    <w:noProof/>
                  </w:rPr>
                  <w:t>11.</w:t>
                </w:r>
                <w:r>
                  <w:rPr>
                    <w:rFonts w:asciiTheme="minorHAnsi" w:eastAsiaTheme="minorEastAsia" w:hAnsiTheme="minorHAnsi"/>
                    <w:noProof/>
                    <w:sz w:val="22"/>
                  </w:rPr>
                  <w:tab/>
                </w:r>
                <w:r w:rsidRPr="00586B0F">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_Toc112842532 \h </w:instrText>
                </w:r>
                <w:r>
                  <w:rPr>
                    <w:noProof/>
                    <w:webHidden/>
                  </w:rPr>
                  <w:fldChar w:fldCharType="separate"/>
                </w:r>
                <w:r>
                  <w:rPr>
                    <w:noProof/>
                    <w:webHidden/>
                  </w:rPr>
                  <w:t>11</w:t>
                </w:r>
                <w:r>
                  <w:rPr>
                    <w:noProof/>
                    <w:webHidden/>
                  </w:rPr>
                  <w:fldChar w:fldCharType="end"/>
                </w:r>
              </w:hyperlink>
            </w:p>
            <w:p w:rsidR="00730734" w14:paraId="487B8E48" w14:textId="77777777">
              <w:pPr>
                <w:pStyle w:val="TOC1"/>
                <w:tabs>
                  <w:tab w:val="left" w:pos="660"/>
                  <w:tab w:val="right" w:leader="dot" w:pos="10070"/>
                </w:tabs>
                <w:rPr>
                  <w:rFonts w:asciiTheme="minorHAnsi" w:eastAsiaTheme="minorEastAsia" w:hAnsiTheme="minorHAnsi"/>
                  <w:noProof/>
                  <w:sz w:val="22"/>
                </w:rPr>
              </w:pPr>
              <w:hyperlink w:anchor="_Toc112842533" w:history="1">
                <w:r w:rsidRPr="00586B0F">
                  <w:rPr>
                    <w:rStyle w:val="Hyperlink"/>
                    <w:noProof/>
                  </w:rPr>
                  <w:t>12.</w:t>
                </w:r>
                <w:r>
                  <w:rPr>
                    <w:rFonts w:asciiTheme="minorHAnsi" w:eastAsiaTheme="minorEastAsia" w:hAnsiTheme="minorHAnsi"/>
                    <w:noProof/>
                    <w:sz w:val="22"/>
                  </w:rPr>
                  <w:tab/>
                </w:r>
                <w:r w:rsidRPr="00586B0F">
                  <w:rPr>
                    <w:rStyle w:val="Hyperlink"/>
                    <w:noProof/>
                  </w:rPr>
                  <w:t>Estimates of Annualized Burden Hours and Costs</w:t>
                </w:r>
                <w:r>
                  <w:rPr>
                    <w:noProof/>
                    <w:webHidden/>
                  </w:rPr>
                  <w:tab/>
                </w:r>
                <w:r>
                  <w:rPr>
                    <w:noProof/>
                    <w:webHidden/>
                  </w:rPr>
                  <w:fldChar w:fldCharType="begin"/>
                </w:r>
                <w:r>
                  <w:rPr>
                    <w:noProof/>
                    <w:webHidden/>
                  </w:rPr>
                  <w:instrText xml:space="preserve"> PAGEREF _Toc112842533 \h </w:instrText>
                </w:r>
                <w:r>
                  <w:rPr>
                    <w:noProof/>
                    <w:webHidden/>
                  </w:rPr>
                  <w:fldChar w:fldCharType="separate"/>
                </w:r>
                <w:r>
                  <w:rPr>
                    <w:noProof/>
                    <w:webHidden/>
                  </w:rPr>
                  <w:t>11</w:t>
                </w:r>
                <w:r>
                  <w:rPr>
                    <w:noProof/>
                    <w:webHidden/>
                  </w:rPr>
                  <w:fldChar w:fldCharType="end"/>
                </w:r>
              </w:hyperlink>
            </w:p>
            <w:p w:rsidR="00730734" w14:paraId="470E2DEF" w14:textId="77777777">
              <w:pPr>
                <w:pStyle w:val="TOC1"/>
                <w:tabs>
                  <w:tab w:val="left" w:pos="660"/>
                  <w:tab w:val="right" w:leader="dot" w:pos="10070"/>
                </w:tabs>
                <w:rPr>
                  <w:rFonts w:asciiTheme="minorHAnsi" w:eastAsiaTheme="minorEastAsia" w:hAnsiTheme="minorHAnsi"/>
                  <w:noProof/>
                  <w:sz w:val="22"/>
                </w:rPr>
              </w:pPr>
              <w:hyperlink w:anchor="_Toc112842534" w:history="1">
                <w:r w:rsidRPr="00586B0F">
                  <w:rPr>
                    <w:rStyle w:val="Hyperlink"/>
                    <w:noProof/>
                  </w:rPr>
                  <w:t>13.</w:t>
                </w:r>
                <w:r>
                  <w:rPr>
                    <w:rFonts w:asciiTheme="minorHAnsi" w:eastAsiaTheme="minorEastAsia" w:hAnsiTheme="minorHAnsi"/>
                    <w:noProof/>
                    <w:sz w:val="22"/>
                  </w:rPr>
                  <w:tab/>
                </w:r>
                <w:r w:rsidRPr="00586B0F">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_Toc112842534 \h </w:instrText>
                </w:r>
                <w:r>
                  <w:rPr>
                    <w:noProof/>
                    <w:webHidden/>
                  </w:rPr>
                  <w:fldChar w:fldCharType="separate"/>
                </w:r>
                <w:r>
                  <w:rPr>
                    <w:noProof/>
                    <w:webHidden/>
                  </w:rPr>
                  <w:t>12</w:t>
                </w:r>
                <w:r>
                  <w:rPr>
                    <w:noProof/>
                    <w:webHidden/>
                  </w:rPr>
                  <w:fldChar w:fldCharType="end"/>
                </w:r>
              </w:hyperlink>
            </w:p>
            <w:p w:rsidR="00730734" w14:paraId="0604F222" w14:textId="77777777">
              <w:pPr>
                <w:pStyle w:val="TOC1"/>
                <w:tabs>
                  <w:tab w:val="left" w:pos="660"/>
                  <w:tab w:val="right" w:leader="dot" w:pos="10070"/>
                </w:tabs>
                <w:rPr>
                  <w:rFonts w:asciiTheme="minorHAnsi" w:eastAsiaTheme="minorEastAsia" w:hAnsiTheme="minorHAnsi"/>
                  <w:noProof/>
                  <w:sz w:val="22"/>
                </w:rPr>
              </w:pPr>
              <w:hyperlink w:anchor="_Toc112842535" w:history="1">
                <w:r w:rsidRPr="00586B0F">
                  <w:rPr>
                    <w:rStyle w:val="Hyperlink"/>
                    <w:noProof/>
                  </w:rPr>
                  <w:t>14.</w:t>
                </w:r>
                <w:r>
                  <w:rPr>
                    <w:rFonts w:asciiTheme="minorHAnsi" w:eastAsiaTheme="minorEastAsia" w:hAnsiTheme="minorHAnsi"/>
                    <w:noProof/>
                    <w:sz w:val="22"/>
                  </w:rPr>
                  <w:tab/>
                </w:r>
                <w:r w:rsidRPr="00586B0F">
                  <w:rPr>
                    <w:rStyle w:val="Hyperlink"/>
                    <w:noProof/>
                  </w:rPr>
                  <w:t>Annualized Cost to the Government</w:t>
                </w:r>
                <w:r>
                  <w:rPr>
                    <w:noProof/>
                    <w:webHidden/>
                  </w:rPr>
                  <w:tab/>
                </w:r>
                <w:r>
                  <w:rPr>
                    <w:noProof/>
                    <w:webHidden/>
                  </w:rPr>
                  <w:fldChar w:fldCharType="begin"/>
                </w:r>
                <w:r>
                  <w:rPr>
                    <w:noProof/>
                    <w:webHidden/>
                  </w:rPr>
                  <w:instrText xml:space="preserve"> PAGEREF _Toc112842535 \h </w:instrText>
                </w:r>
                <w:r>
                  <w:rPr>
                    <w:noProof/>
                    <w:webHidden/>
                  </w:rPr>
                  <w:fldChar w:fldCharType="separate"/>
                </w:r>
                <w:r>
                  <w:rPr>
                    <w:noProof/>
                    <w:webHidden/>
                  </w:rPr>
                  <w:t>12</w:t>
                </w:r>
                <w:r>
                  <w:rPr>
                    <w:noProof/>
                    <w:webHidden/>
                  </w:rPr>
                  <w:fldChar w:fldCharType="end"/>
                </w:r>
              </w:hyperlink>
            </w:p>
            <w:p w:rsidR="00730734" w14:paraId="06C9C0B2" w14:textId="77777777">
              <w:pPr>
                <w:pStyle w:val="TOC1"/>
                <w:tabs>
                  <w:tab w:val="left" w:pos="660"/>
                  <w:tab w:val="right" w:leader="dot" w:pos="10070"/>
                </w:tabs>
                <w:rPr>
                  <w:rFonts w:asciiTheme="minorHAnsi" w:eastAsiaTheme="minorEastAsia" w:hAnsiTheme="minorHAnsi"/>
                  <w:noProof/>
                  <w:sz w:val="22"/>
                </w:rPr>
              </w:pPr>
              <w:hyperlink w:anchor="_Toc112842536" w:history="1">
                <w:r w:rsidRPr="00586B0F">
                  <w:rPr>
                    <w:rStyle w:val="Hyperlink"/>
                    <w:noProof/>
                  </w:rPr>
                  <w:t>15.</w:t>
                </w:r>
                <w:r>
                  <w:rPr>
                    <w:rFonts w:asciiTheme="minorHAnsi" w:eastAsiaTheme="minorEastAsia" w:hAnsiTheme="minorHAnsi"/>
                    <w:noProof/>
                    <w:sz w:val="22"/>
                  </w:rPr>
                  <w:tab/>
                </w:r>
                <w:r w:rsidRPr="00586B0F">
                  <w:rPr>
                    <w:rStyle w:val="Hyperlink"/>
                    <w:noProof/>
                  </w:rPr>
                  <w:t>Explanation for Program Changes or Adjustments</w:t>
                </w:r>
                <w:r>
                  <w:rPr>
                    <w:noProof/>
                    <w:webHidden/>
                  </w:rPr>
                  <w:tab/>
                </w:r>
                <w:r>
                  <w:rPr>
                    <w:noProof/>
                    <w:webHidden/>
                  </w:rPr>
                  <w:fldChar w:fldCharType="begin"/>
                </w:r>
                <w:r>
                  <w:rPr>
                    <w:noProof/>
                    <w:webHidden/>
                  </w:rPr>
                  <w:instrText xml:space="preserve"> PAGEREF _Toc112842536 \h </w:instrText>
                </w:r>
                <w:r>
                  <w:rPr>
                    <w:noProof/>
                    <w:webHidden/>
                  </w:rPr>
                  <w:fldChar w:fldCharType="separate"/>
                </w:r>
                <w:r>
                  <w:rPr>
                    <w:noProof/>
                    <w:webHidden/>
                  </w:rPr>
                  <w:t>12</w:t>
                </w:r>
                <w:r>
                  <w:rPr>
                    <w:noProof/>
                    <w:webHidden/>
                  </w:rPr>
                  <w:fldChar w:fldCharType="end"/>
                </w:r>
              </w:hyperlink>
            </w:p>
            <w:p w:rsidR="00730734" w14:paraId="04F224F0" w14:textId="77777777">
              <w:pPr>
                <w:pStyle w:val="TOC1"/>
                <w:tabs>
                  <w:tab w:val="left" w:pos="660"/>
                  <w:tab w:val="right" w:leader="dot" w:pos="10070"/>
                </w:tabs>
                <w:rPr>
                  <w:rFonts w:asciiTheme="minorHAnsi" w:eastAsiaTheme="minorEastAsia" w:hAnsiTheme="minorHAnsi"/>
                  <w:noProof/>
                  <w:sz w:val="22"/>
                </w:rPr>
              </w:pPr>
              <w:hyperlink w:anchor="_Toc112842537" w:history="1">
                <w:r w:rsidRPr="00586B0F">
                  <w:rPr>
                    <w:rStyle w:val="Hyperlink"/>
                    <w:noProof/>
                  </w:rPr>
                  <w:t>16.</w:t>
                </w:r>
                <w:r>
                  <w:rPr>
                    <w:rFonts w:asciiTheme="minorHAnsi" w:eastAsiaTheme="minorEastAsia" w:hAnsiTheme="minorHAnsi"/>
                    <w:noProof/>
                    <w:sz w:val="22"/>
                  </w:rPr>
                  <w:tab/>
                </w:r>
                <w:r w:rsidRPr="00586B0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_Toc112842537 \h </w:instrText>
                </w:r>
                <w:r>
                  <w:rPr>
                    <w:noProof/>
                    <w:webHidden/>
                  </w:rPr>
                  <w:fldChar w:fldCharType="separate"/>
                </w:r>
                <w:r>
                  <w:rPr>
                    <w:noProof/>
                    <w:webHidden/>
                  </w:rPr>
                  <w:t>12</w:t>
                </w:r>
                <w:r>
                  <w:rPr>
                    <w:noProof/>
                    <w:webHidden/>
                  </w:rPr>
                  <w:fldChar w:fldCharType="end"/>
                </w:r>
              </w:hyperlink>
            </w:p>
            <w:p w:rsidR="00730734" w14:paraId="587FCE79" w14:textId="77777777">
              <w:pPr>
                <w:pStyle w:val="TOC1"/>
                <w:tabs>
                  <w:tab w:val="left" w:pos="660"/>
                  <w:tab w:val="right" w:leader="dot" w:pos="10070"/>
                </w:tabs>
                <w:rPr>
                  <w:rFonts w:asciiTheme="minorHAnsi" w:eastAsiaTheme="minorEastAsia" w:hAnsiTheme="minorHAnsi"/>
                  <w:noProof/>
                  <w:sz w:val="22"/>
                </w:rPr>
              </w:pPr>
              <w:hyperlink w:anchor="_Toc112842538" w:history="1">
                <w:r w:rsidRPr="00586B0F">
                  <w:rPr>
                    <w:rStyle w:val="Hyperlink"/>
                    <w:noProof/>
                  </w:rPr>
                  <w:t>17.</w:t>
                </w:r>
                <w:r>
                  <w:rPr>
                    <w:rFonts w:asciiTheme="minorHAnsi" w:eastAsiaTheme="minorEastAsia" w:hAnsiTheme="minorHAnsi"/>
                    <w:noProof/>
                    <w:sz w:val="22"/>
                  </w:rPr>
                  <w:tab/>
                </w:r>
                <w:r w:rsidRPr="00586B0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_Toc112842538 \h </w:instrText>
                </w:r>
                <w:r>
                  <w:rPr>
                    <w:noProof/>
                    <w:webHidden/>
                  </w:rPr>
                  <w:fldChar w:fldCharType="separate"/>
                </w:r>
                <w:r>
                  <w:rPr>
                    <w:noProof/>
                    <w:webHidden/>
                  </w:rPr>
                  <w:t>13</w:t>
                </w:r>
                <w:r>
                  <w:rPr>
                    <w:noProof/>
                    <w:webHidden/>
                  </w:rPr>
                  <w:fldChar w:fldCharType="end"/>
                </w:r>
              </w:hyperlink>
            </w:p>
            <w:p w:rsidR="00730734" w14:paraId="3A20D624" w14:textId="77777777">
              <w:pPr>
                <w:pStyle w:val="TOC1"/>
                <w:tabs>
                  <w:tab w:val="left" w:pos="660"/>
                  <w:tab w:val="right" w:leader="dot" w:pos="10070"/>
                </w:tabs>
                <w:rPr>
                  <w:rFonts w:asciiTheme="minorHAnsi" w:eastAsiaTheme="minorEastAsia" w:hAnsiTheme="minorHAnsi"/>
                  <w:noProof/>
                  <w:sz w:val="22"/>
                </w:rPr>
              </w:pPr>
              <w:hyperlink w:anchor="_Toc112842539" w:history="1">
                <w:r w:rsidRPr="00586B0F">
                  <w:rPr>
                    <w:rStyle w:val="Hyperlink"/>
                    <w:noProof/>
                  </w:rPr>
                  <w:t>18.</w:t>
                </w:r>
                <w:r>
                  <w:rPr>
                    <w:rFonts w:asciiTheme="minorHAnsi" w:eastAsiaTheme="minorEastAsia" w:hAnsiTheme="minorHAnsi"/>
                    <w:noProof/>
                    <w:sz w:val="22"/>
                  </w:rPr>
                  <w:tab/>
                </w:r>
                <w:r w:rsidRPr="00586B0F">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_Toc112842539 \h </w:instrText>
                </w:r>
                <w:r>
                  <w:rPr>
                    <w:noProof/>
                    <w:webHidden/>
                  </w:rPr>
                  <w:fldChar w:fldCharType="separate"/>
                </w:r>
                <w:r>
                  <w:rPr>
                    <w:noProof/>
                    <w:webHidden/>
                  </w:rPr>
                  <w:t>13</w:t>
                </w:r>
                <w:r>
                  <w:rPr>
                    <w:noProof/>
                    <w:webHidden/>
                  </w:rPr>
                  <w:fldChar w:fldCharType="end"/>
                </w:r>
              </w:hyperlink>
            </w:p>
            <w:p w:rsidR="00730734" w14:paraId="18C40948" w14:textId="77777777">
              <w:pPr>
                <w:pStyle w:val="TOC1"/>
                <w:tabs>
                  <w:tab w:val="right" w:leader="dot" w:pos="10070"/>
                </w:tabs>
                <w:rPr>
                  <w:rFonts w:asciiTheme="minorHAnsi" w:eastAsiaTheme="minorEastAsia" w:hAnsiTheme="minorHAnsi"/>
                  <w:noProof/>
                  <w:sz w:val="22"/>
                </w:rPr>
              </w:pPr>
              <w:hyperlink w:anchor="_Toc112842540" w:history="1">
                <w:r w:rsidRPr="00586B0F">
                  <w:rPr>
                    <w:rStyle w:val="Hyperlink"/>
                    <w:noProof/>
                  </w:rPr>
                  <w:t>List of Attachments</w:t>
                </w:r>
                <w:r>
                  <w:rPr>
                    <w:noProof/>
                    <w:webHidden/>
                  </w:rPr>
                  <w:tab/>
                </w:r>
                <w:r>
                  <w:rPr>
                    <w:noProof/>
                    <w:webHidden/>
                  </w:rPr>
                  <w:fldChar w:fldCharType="begin"/>
                </w:r>
                <w:r>
                  <w:rPr>
                    <w:noProof/>
                    <w:webHidden/>
                  </w:rPr>
                  <w:instrText xml:space="preserve"> PAGEREF _Toc112842540 \h </w:instrText>
                </w:r>
                <w:r>
                  <w:rPr>
                    <w:noProof/>
                    <w:webHidden/>
                  </w:rPr>
                  <w:fldChar w:fldCharType="separate"/>
                </w:r>
                <w:r>
                  <w:rPr>
                    <w:noProof/>
                    <w:webHidden/>
                  </w:rPr>
                  <w:t>13</w:t>
                </w:r>
                <w:r>
                  <w:rPr>
                    <w:noProof/>
                    <w:webHidden/>
                  </w:rPr>
                  <w:fldChar w:fldCharType="end"/>
                </w:r>
              </w:hyperlink>
            </w:p>
            <w:p w:rsidR="004A13E8" w14:paraId="5726E058" w14:textId="77777777">
              <w:pPr>
                <w:pStyle w:val="TOC2"/>
                <w:tabs>
                  <w:tab w:val="right" w:leader="dot" w:pos="10070"/>
                </w:tabs>
              </w:pPr>
              <w:r>
                <w:rPr>
                  <w:b/>
                  <w:bCs/>
                  <w:noProof/>
                </w:rPr>
                <w:fldChar w:fldCharType="end"/>
              </w:r>
            </w:p>
          </w:sdtContent>
        </w:sdt>
        <w:p w:rsidR="004A13E8" w14:paraId="55FE17B0" w14:textId="413CC174"/>
      </w:sdtContent>
    </w:sdt>
    <w:p w:rsidR="00C71E46" w14:paraId="22176219" w14:textId="77777777">
      <w:r>
        <w:br w:type="page"/>
      </w:r>
    </w:p>
    <w:p w:rsidR="004A13E8" w:rsidP="008B1DE6" w14:paraId="55FE17B2" w14:textId="31C43995">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5445760"/>
                <wp:effectExtent l="0" t="0" r="19050" b="21590"/>
                <wp:wrapTight wrapText="bothSides">
                  <wp:wrapPolygon>
                    <wp:start x="0" y="0"/>
                    <wp:lineTo x="0" y="21610"/>
                    <wp:lineTo x="21600" y="2161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5445760"/>
                        </a:xfrm>
                        <a:prstGeom prst="rect">
                          <a:avLst/>
                        </a:prstGeom>
                        <a:solidFill>
                          <a:srgbClr val="FFFFFF"/>
                        </a:solidFill>
                        <a:ln w="9525">
                          <a:solidFill>
                            <a:srgbClr val="000000"/>
                          </a:solidFill>
                          <a:miter lim="800000"/>
                          <a:headEnd/>
                          <a:tailEnd/>
                        </a:ln>
                      </wps:spPr>
                      <wps:txbx>
                        <w:txbxContent>
                          <w:p w:rsidR="004A13E8" w:rsidRPr="001A58BE" w:rsidP="004A13E8" w14:textId="0FC5C5CD">
                            <w:pPr>
                              <w:pStyle w:val="Bullets"/>
                              <w:rPr>
                                <w:b/>
                              </w:rPr>
                            </w:pPr>
                            <w:r w:rsidRPr="001A58BE">
                              <w:rPr>
                                <w:b/>
                              </w:rPr>
                              <w:t>Goal of the study:</w:t>
                            </w:r>
                            <w:r w:rsidRPr="00AB162E" w:rsidR="0085798C">
                              <w:t xml:space="preserve"> </w:t>
                            </w:r>
                            <w:r w:rsidRPr="00836055" w:rsidR="00900E1B">
                              <w:rPr>
                                <w:color w:val="000000" w:themeColor="text1"/>
                              </w:rPr>
                              <w:t xml:space="preserve">To </w:t>
                            </w:r>
                            <w:r w:rsidR="00A74B3D">
                              <w:rPr>
                                <w:color w:val="000000" w:themeColor="text1"/>
                              </w:rPr>
                              <w:t>assess</w:t>
                            </w:r>
                            <w:r w:rsidRPr="00836055" w:rsidR="00900E1B">
                              <w:rPr>
                                <w:color w:val="000000" w:themeColor="text1"/>
                              </w:rPr>
                              <w:t xml:space="preserve"> if the </w:t>
                            </w:r>
                            <w:r w:rsidRPr="00DB1307" w:rsidR="002A78C8">
                              <w:rPr>
                                <w:i/>
                                <w:iCs/>
                              </w:rPr>
                              <w:t>Get Ahead of Sepsis (GAOS)</w:t>
                            </w:r>
                            <w:r w:rsidR="002A78C8">
                              <w:t xml:space="preserve"> </w:t>
                            </w:r>
                            <w:r w:rsidR="006B763E">
                              <w:t xml:space="preserve">pilot </w:t>
                            </w:r>
                            <w:r w:rsidRPr="00836055" w:rsidR="00900E1B">
                              <w:rPr>
                                <w:color w:val="000000" w:themeColor="text1"/>
                              </w:rPr>
                              <w:t>media campaign</w:t>
                            </w:r>
                            <w:r w:rsidR="001C3410">
                              <w:rPr>
                                <w:color w:val="000000" w:themeColor="text1"/>
                              </w:rPr>
                              <w:t xml:space="preserve">, along </w:t>
                            </w:r>
                            <w:r w:rsidR="00E96338">
                              <w:rPr>
                                <w:color w:val="000000" w:themeColor="text1"/>
                              </w:rPr>
                              <w:t>with partner</w:t>
                            </w:r>
                            <w:r w:rsidR="00A772E3">
                              <w:rPr>
                                <w:color w:val="000000" w:themeColor="text1"/>
                              </w:rPr>
                              <w:t xml:space="preserve"> </w:t>
                            </w:r>
                            <w:r w:rsidR="005D63B7">
                              <w:rPr>
                                <w:color w:val="000000" w:themeColor="text1"/>
                              </w:rPr>
                              <w:t xml:space="preserve">outreach </w:t>
                            </w:r>
                            <w:r w:rsidR="00B51836">
                              <w:rPr>
                                <w:color w:val="000000" w:themeColor="text1"/>
                              </w:rPr>
                              <w:t xml:space="preserve">over a </w:t>
                            </w:r>
                            <w:r w:rsidR="001401E3">
                              <w:rPr>
                                <w:color w:val="000000" w:themeColor="text1"/>
                              </w:rPr>
                              <w:t>2–3-month</w:t>
                            </w:r>
                            <w:r w:rsidR="004B3684">
                              <w:rPr>
                                <w:color w:val="000000" w:themeColor="text1"/>
                              </w:rPr>
                              <w:t xml:space="preserve"> period </w:t>
                            </w:r>
                            <w:r w:rsidRPr="00836055" w:rsidR="0079684E">
                              <w:rPr>
                                <w:color w:val="000000" w:themeColor="text1"/>
                              </w:rPr>
                              <w:t xml:space="preserve">in </w:t>
                            </w:r>
                            <w:r w:rsidR="000E0CAF">
                              <w:rPr>
                                <w:color w:val="000000" w:themeColor="text1"/>
                              </w:rPr>
                              <w:t>select market</w:t>
                            </w:r>
                            <w:r w:rsidR="001C7ACB">
                              <w:rPr>
                                <w:color w:val="000000" w:themeColor="text1"/>
                              </w:rPr>
                              <w:t>s</w:t>
                            </w:r>
                            <w:r w:rsidR="00C11841">
                              <w:rPr>
                                <w:color w:val="000000" w:themeColor="text1"/>
                              </w:rPr>
                              <w:t>,</w:t>
                            </w:r>
                            <w:r w:rsidR="001C7ACB">
                              <w:rPr>
                                <w:color w:val="000000" w:themeColor="text1"/>
                              </w:rPr>
                              <w:t xml:space="preserve"> </w:t>
                            </w:r>
                            <w:r w:rsidRPr="00836055" w:rsidR="00900E1B">
                              <w:rPr>
                                <w:color w:val="000000" w:themeColor="text1"/>
                              </w:rPr>
                              <w:t>successful</w:t>
                            </w:r>
                            <w:r w:rsidR="002468F6">
                              <w:rPr>
                                <w:color w:val="000000" w:themeColor="text1"/>
                              </w:rPr>
                              <w:t>ly reached</w:t>
                            </w:r>
                            <w:r w:rsidR="00E566DF">
                              <w:rPr>
                                <w:color w:val="000000" w:themeColor="text1"/>
                              </w:rPr>
                              <w:t xml:space="preserve"> intended</w:t>
                            </w:r>
                            <w:r w:rsidRPr="00E566DF" w:rsidR="00E566DF">
                              <w:rPr>
                                <w:color w:val="000000" w:themeColor="text1"/>
                              </w:rPr>
                              <w:t xml:space="preserve"> </w:t>
                            </w:r>
                            <w:r w:rsidR="00E566DF">
                              <w:rPr>
                                <w:color w:val="000000" w:themeColor="text1"/>
                              </w:rPr>
                              <w:t>consumer and healthcare professional (</w:t>
                            </w:r>
                            <w:r w:rsidRPr="00836055" w:rsidR="00E566DF">
                              <w:rPr>
                                <w:color w:val="000000" w:themeColor="text1"/>
                              </w:rPr>
                              <w:t>HCP</w:t>
                            </w:r>
                            <w:r w:rsidR="00E566DF">
                              <w:rPr>
                                <w:color w:val="000000" w:themeColor="text1"/>
                              </w:rPr>
                              <w:t>)</w:t>
                            </w:r>
                            <w:r w:rsidRPr="00836055" w:rsidR="00E566DF">
                              <w:rPr>
                                <w:color w:val="000000" w:themeColor="text1"/>
                              </w:rPr>
                              <w:t xml:space="preserve"> </w:t>
                            </w:r>
                            <w:r w:rsidR="00D0077B">
                              <w:rPr>
                                <w:color w:val="000000" w:themeColor="text1"/>
                              </w:rPr>
                              <w:t xml:space="preserve">audiences and influenced </w:t>
                            </w:r>
                            <w:r w:rsidR="00B07B81">
                              <w:rPr>
                                <w:color w:val="000000" w:themeColor="text1"/>
                              </w:rPr>
                              <w:t xml:space="preserve">their </w:t>
                            </w:r>
                            <w:r w:rsidRPr="00836055" w:rsidR="00C31ED6">
                              <w:rPr>
                                <w:color w:val="000000" w:themeColor="text1"/>
                              </w:rPr>
                              <w:t xml:space="preserve">awareness, knowledge, </w:t>
                            </w:r>
                            <w:r w:rsidR="00B07B81">
                              <w:rPr>
                                <w:color w:val="000000" w:themeColor="text1"/>
                              </w:rPr>
                              <w:t>and behavior related to early recogni</w:t>
                            </w:r>
                            <w:r w:rsidR="00556156">
                              <w:rPr>
                                <w:color w:val="000000" w:themeColor="text1"/>
                              </w:rPr>
                              <w:t>tion and timely treatment of sepsis</w:t>
                            </w:r>
                            <w:r w:rsidR="00EA7409">
                              <w:rPr>
                                <w:color w:val="000000" w:themeColor="text1"/>
                              </w:rPr>
                              <w:t>,</w:t>
                            </w:r>
                            <w:r w:rsidR="00556156">
                              <w:rPr>
                                <w:color w:val="000000" w:themeColor="text1"/>
                              </w:rPr>
                              <w:t xml:space="preserve"> and prevention of</w:t>
                            </w:r>
                            <w:r w:rsidR="006904C0">
                              <w:rPr>
                                <w:color w:val="000000" w:themeColor="text1"/>
                              </w:rPr>
                              <w:t xml:space="preserve"> infections that can lead to sepsis</w:t>
                            </w:r>
                            <w:r w:rsidR="001845A5">
                              <w:rPr>
                                <w:color w:val="000000" w:themeColor="text1"/>
                              </w:rPr>
                              <w:t xml:space="preserve">. </w:t>
                            </w:r>
                          </w:p>
                          <w:p w:rsidR="004A13E8" w:rsidRPr="001A58BE" w:rsidP="004A13E8" w14:textId="7C1BADCE">
                            <w:pPr>
                              <w:pStyle w:val="Bullets"/>
                              <w:rPr>
                                <w:b/>
                              </w:rPr>
                            </w:pPr>
                            <w:r w:rsidRPr="001A58BE">
                              <w:rPr>
                                <w:b/>
                              </w:rPr>
                              <w:t>Intended use of the resulting data:</w:t>
                            </w:r>
                            <w:r w:rsidR="001A58BE">
                              <w:rPr>
                                <w:b/>
                              </w:rPr>
                              <w:t xml:space="preserve"> </w:t>
                            </w:r>
                            <w:r w:rsidRPr="00AB162E" w:rsidR="000E634E">
                              <w:t>The information will be used to inform future</w:t>
                            </w:r>
                            <w:r w:rsidR="000E634E">
                              <w:t xml:space="preserve"> refinement and implementation of the</w:t>
                            </w:r>
                            <w:r w:rsidRPr="00AB162E" w:rsidR="000E634E">
                              <w:t xml:space="preserve"> </w:t>
                            </w:r>
                            <w:r w:rsidRPr="00C342CF" w:rsidR="00C342CF">
                              <w:rPr>
                                <w:i/>
                                <w:iCs/>
                              </w:rPr>
                              <w:t>GAOS</w:t>
                            </w:r>
                            <w:r w:rsidR="00B4566D">
                              <w:t xml:space="preserve"> </w:t>
                            </w:r>
                            <w:r w:rsidR="00D4528B">
                              <w:t xml:space="preserve">pilot </w:t>
                            </w:r>
                            <w:r w:rsidRPr="00AB162E" w:rsidR="000E634E">
                              <w:t>campaign</w:t>
                            </w:r>
                            <w:r w:rsidR="000E634E">
                              <w:t xml:space="preserve"> </w:t>
                            </w:r>
                            <w:r w:rsidR="00732769">
                              <w:t>(</w:t>
                            </w:r>
                            <w:r w:rsidR="000E634E">
                              <w:t>materials and tactics</w:t>
                            </w:r>
                            <w:r w:rsidR="00732769">
                              <w:t>)</w:t>
                            </w:r>
                            <w:r w:rsidRPr="00AB162E" w:rsidR="000E634E">
                              <w:t>.</w:t>
                            </w:r>
                            <w:r w:rsidR="00DF5F26">
                              <w:rPr>
                                <w:rStyle w:val="normaltextrun"/>
                                <w:rFonts w:cs="Times New Roman"/>
                                <w:bdr w:val="none" w:sz="0" w:space="0" w:color="auto" w:frame="1"/>
                              </w:rPr>
                              <w:t xml:space="preserve"> </w:t>
                            </w:r>
                            <w:r w:rsidRPr="006328EE" w:rsidR="00DF5F26">
                              <w:rPr>
                                <w:rFonts w:cs="Times New Roman"/>
                              </w:rPr>
                              <w:t xml:space="preserve">The CDC </w:t>
                            </w:r>
                            <w:r w:rsidR="001E730E">
                              <w:rPr>
                                <w:rFonts w:cs="Times New Roman"/>
                              </w:rPr>
                              <w:t>will</w:t>
                            </w:r>
                            <w:r w:rsidRPr="006328EE" w:rsidR="00DF5F26">
                              <w:rPr>
                                <w:rFonts w:cs="Times New Roman"/>
                              </w:rPr>
                              <w:t xml:space="preserve"> also use this information to inform </w:t>
                            </w:r>
                            <w:r w:rsidRPr="006328EE" w:rsidR="00DF5F26">
                              <w:rPr>
                                <w:rFonts w:cs="Times New Roman"/>
                                <w:color w:val="0D0D0D" w:themeColor="text1" w:themeTint="F2"/>
                              </w:rPr>
                              <w:t xml:space="preserve">resource needs for future </w:t>
                            </w:r>
                            <w:r w:rsidRPr="00C342CF" w:rsidR="00C342CF">
                              <w:rPr>
                                <w:i/>
                                <w:iCs/>
                              </w:rPr>
                              <w:t>GAOS</w:t>
                            </w:r>
                            <w:r w:rsidRPr="006328EE" w:rsidR="00C342CF">
                              <w:rPr>
                                <w:rFonts w:cs="Times New Roman"/>
                                <w:color w:val="0D0D0D" w:themeColor="text1" w:themeTint="F2"/>
                              </w:rPr>
                              <w:t xml:space="preserve"> </w:t>
                            </w:r>
                            <w:r w:rsidRPr="006328EE" w:rsidR="00DF5F26">
                              <w:rPr>
                                <w:rFonts w:cs="Times New Roman"/>
                                <w:color w:val="0D0D0D" w:themeColor="text1" w:themeTint="F2"/>
                              </w:rPr>
                              <w:t>campaign activities</w:t>
                            </w:r>
                            <w:r w:rsidR="00DF5F26">
                              <w:rPr>
                                <w:rFonts w:cs="Times New Roman"/>
                                <w:color w:val="0D0D0D" w:themeColor="text1" w:themeTint="F2"/>
                              </w:rPr>
                              <w:t>.</w:t>
                            </w:r>
                          </w:p>
                          <w:p w:rsidR="00023412" w:rsidRPr="00023412" w:rsidP="00023412" w14:textId="77777777">
                            <w:pPr>
                              <w:pStyle w:val="Bullets"/>
                              <w:rPr>
                                <w:b/>
                              </w:rPr>
                            </w:pPr>
                            <w:r w:rsidRPr="001A58BE">
                              <w:rPr>
                                <w:b/>
                              </w:rPr>
                              <w:t>Methods to be used to collect</w:t>
                            </w:r>
                            <w:r w:rsidR="00C40C85">
                              <w:rPr>
                                <w:b/>
                              </w:rPr>
                              <w:t xml:space="preserve"> data</w:t>
                            </w:r>
                            <w:r w:rsidRPr="001A58BE">
                              <w:rPr>
                                <w:b/>
                              </w:rPr>
                              <w:t>:</w:t>
                            </w:r>
                            <w:r w:rsidR="001A58BE">
                              <w:rPr>
                                <w:b/>
                              </w:rPr>
                              <w:t xml:space="preserve"> </w:t>
                            </w:r>
                            <w:r w:rsidRPr="00D74B2C" w:rsidR="00DC2A38">
                              <w:t xml:space="preserve">Individuals who have opted to be contacted for surveys </w:t>
                            </w:r>
                            <w:r w:rsidR="00DC2A38">
                              <w:t xml:space="preserve">(survey panels) </w:t>
                            </w:r>
                            <w:r w:rsidRPr="00D74B2C" w:rsidR="00DC2A38">
                              <w:t xml:space="preserve">will be screened for eligibility based on </w:t>
                            </w:r>
                            <w:r w:rsidR="008C7C75">
                              <w:t>the</w:t>
                            </w:r>
                            <w:r w:rsidRPr="00D74B2C" w:rsidR="00DC2A38">
                              <w:t xml:space="preserve"> inclusion/exclusion criteria for participation. Qualified participants who sign a consent form will be given access to an online survey and the data collected will be de-identified before proceeding with data sharing and analysis.</w:t>
                            </w:r>
                          </w:p>
                          <w:p w:rsidR="00312EAB" w:rsidRPr="000B79E1" w:rsidP="000B79E1" w14:textId="6FB2FFD5">
                            <w:pPr>
                              <w:pStyle w:val="Bullets"/>
                              <w:rPr>
                                <w:b/>
                              </w:rPr>
                            </w:pPr>
                            <w:r w:rsidRPr="00023412">
                              <w:rPr>
                                <w:b/>
                              </w:rPr>
                              <w:t>The subpopulation to be studied:</w:t>
                            </w:r>
                            <w:r w:rsidRPr="00023412" w:rsidR="001A58BE">
                              <w:rPr>
                                <w:b/>
                              </w:rPr>
                              <w:t xml:space="preserve"> </w:t>
                            </w:r>
                            <w:r w:rsidRPr="00FF6F6D" w:rsidR="005B7C85">
                              <w:rPr>
                                <w:bCs/>
                              </w:rPr>
                              <w:t>C</w:t>
                            </w:r>
                            <w:r w:rsidRPr="00023412">
                              <w:rPr>
                                <w:rStyle w:val="normaltextrun"/>
                                <w:rFonts w:cs="Times New Roman"/>
                              </w:rPr>
                              <w:t xml:space="preserve">onsumer </w:t>
                            </w:r>
                            <w:r w:rsidR="005B7C85">
                              <w:rPr>
                                <w:rStyle w:val="normaltextrun"/>
                                <w:rFonts w:cs="Times New Roman"/>
                              </w:rPr>
                              <w:t>audiences</w:t>
                            </w:r>
                            <w:r w:rsidR="00FF6F6D">
                              <w:rPr>
                                <w:rStyle w:val="normaltextrun"/>
                                <w:rFonts w:cs="Times New Roman"/>
                              </w:rPr>
                              <w:t xml:space="preserve"> include</w:t>
                            </w:r>
                            <w:r w:rsidRPr="00023412">
                              <w:rPr>
                                <w:rStyle w:val="normaltextrun"/>
                                <w:rFonts w:cs="Times New Roman"/>
                              </w:rPr>
                              <w:t xml:space="preserve">: (1) </w:t>
                            </w:r>
                            <w:r w:rsidRPr="00023412">
                              <w:rPr>
                                <w:rStyle w:val="normaltextrun"/>
                                <w:rFonts w:cs="Times New Roman"/>
                                <w:color w:val="000000" w:themeColor="text1"/>
                              </w:rPr>
                              <w:t xml:space="preserve">Cancer patients and their caregivers; (2) Patients who survived severe COVID-19 or sepsis and their caregivers; (3) Parents of children 12 and younger; (4) </w:t>
                            </w:r>
                            <w:r w:rsidRPr="00023412">
                              <w:rPr>
                                <w:rStyle w:val="eop"/>
                                <w:rFonts w:cs="Times New Roman"/>
                                <w:color w:val="000000" w:themeColor="text1"/>
                              </w:rPr>
                              <w:t>Adults who care for a family member age 65+; (</w:t>
                            </w:r>
                            <w:r w:rsidR="00D955EF">
                              <w:rPr>
                                <w:rStyle w:val="eop"/>
                                <w:rFonts w:cs="Times New Roman"/>
                                <w:color w:val="000000" w:themeColor="text1"/>
                              </w:rPr>
                              <w:t>5</w:t>
                            </w:r>
                            <w:r w:rsidRPr="00023412">
                              <w:rPr>
                                <w:rStyle w:val="eop"/>
                                <w:rFonts w:cs="Times New Roman"/>
                                <w:color w:val="000000" w:themeColor="text1"/>
                              </w:rPr>
                              <w:t xml:space="preserve">) </w:t>
                            </w:r>
                            <w:r w:rsidRPr="00023412">
                              <w:rPr>
                                <w:rStyle w:val="normaltextrun"/>
                                <w:rFonts w:cs="Times New Roman"/>
                                <w:color w:val="000000" w:themeColor="text1"/>
                              </w:rPr>
                              <w:t>Men aged 65+ with one or more chronic conditions; and (</w:t>
                            </w:r>
                            <w:r w:rsidR="00D955EF">
                              <w:rPr>
                                <w:rStyle w:val="normaltextrun"/>
                                <w:rFonts w:cs="Times New Roman"/>
                                <w:color w:val="000000" w:themeColor="text1"/>
                              </w:rPr>
                              <w:t>6</w:t>
                            </w:r>
                            <w:r w:rsidRPr="00023412">
                              <w:rPr>
                                <w:rStyle w:val="normaltextrun"/>
                                <w:rFonts w:cs="Times New Roman"/>
                                <w:color w:val="000000" w:themeColor="text1"/>
                              </w:rPr>
                              <w:t>) Healthy adults 65+.</w:t>
                            </w:r>
                            <w:r w:rsidRPr="00023412">
                              <w:rPr>
                                <w:rStyle w:val="normaltextrun"/>
                                <w:rFonts w:cs="Times New Roman"/>
                              </w:rPr>
                              <w:t xml:space="preserve"> </w:t>
                            </w:r>
                            <w:r w:rsidRPr="00023412" w:rsidR="00023412">
                              <w:rPr>
                                <w:rStyle w:val="normaltextrun"/>
                                <w:rFonts w:cs="Times New Roman"/>
                              </w:rPr>
                              <w:t xml:space="preserve">HCP </w:t>
                            </w:r>
                            <w:r w:rsidR="005B7C85">
                              <w:rPr>
                                <w:rStyle w:val="normaltextrun"/>
                                <w:rFonts w:cs="Times New Roman"/>
                              </w:rPr>
                              <w:t>audiences</w:t>
                            </w:r>
                            <w:r w:rsidR="00FF6F6D">
                              <w:rPr>
                                <w:rStyle w:val="normaltextrun"/>
                                <w:rFonts w:cs="Times New Roman"/>
                              </w:rPr>
                              <w:t xml:space="preserve"> include</w:t>
                            </w:r>
                            <w:r w:rsidRPr="00023412" w:rsidR="00023412">
                              <w:rPr>
                                <w:rStyle w:val="normaltextrun"/>
                                <w:rFonts w:cs="Times New Roman"/>
                              </w:rPr>
                              <w:t>: (1) Emergency Medical Services (EMS) personnel;</w:t>
                            </w:r>
                            <w:r w:rsidRPr="00023412" w:rsidR="00023412">
                              <w:rPr>
                                <w:rStyle w:val="eop"/>
                                <w:rFonts w:cs="Times New Roman"/>
                              </w:rPr>
                              <w:t xml:space="preserve"> (2) Nurse practitioners (NPs) and physician assistants (PAs) who work at urgent care clinics; (3) </w:t>
                            </w:r>
                            <w:r w:rsidRPr="00023412" w:rsidR="00023412">
                              <w:rPr>
                                <w:rStyle w:val="normaltextrun"/>
                                <w:rFonts w:eastAsiaTheme="majorEastAsia" w:cs="Times New Roman"/>
                                <w:color w:val="000000" w:themeColor="text1"/>
                              </w:rPr>
                              <w:t>Emergency department triage nurses</w:t>
                            </w:r>
                            <w:r w:rsidRPr="00023412" w:rsidR="00023412">
                              <w:rPr>
                                <w:rStyle w:val="eop"/>
                                <w:rFonts w:cs="Times New Roman"/>
                              </w:rPr>
                              <w:t xml:space="preserve">; </w:t>
                            </w:r>
                            <w:r w:rsidRPr="00023412" w:rsidR="00023412">
                              <w:rPr>
                                <w:rStyle w:val="normaltextrun"/>
                                <w:rFonts w:cs="Times New Roman"/>
                              </w:rPr>
                              <w:t xml:space="preserve">(4) </w:t>
                            </w:r>
                            <w:r w:rsidRPr="00023412" w:rsidR="00023412">
                              <w:rPr>
                                <w:rStyle w:val="normaltextrun"/>
                                <w:rFonts w:eastAsiaTheme="majorEastAsia" w:cs="Times New Roman"/>
                                <w:color w:val="000000" w:themeColor="text1"/>
                              </w:rPr>
                              <w:t>General medical ward staff</w:t>
                            </w:r>
                            <w:r w:rsidRPr="00023412" w:rsidR="00023412">
                              <w:rPr>
                                <w:rStyle w:val="eop"/>
                                <w:rFonts w:cs="Times New Roman"/>
                                <w:color w:val="000000" w:themeColor="text1"/>
                              </w:rPr>
                              <w:t xml:space="preserve">; </w:t>
                            </w:r>
                            <w:r w:rsidRPr="00023412" w:rsidR="00023412">
                              <w:rPr>
                                <w:rStyle w:val="normaltextrun"/>
                                <w:rFonts w:cs="Times New Roman"/>
                              </w:rPr>
                              <w:t xml:space="preserve">(5) </w:t>
                            </w:r>
                            <w:r w:rsidRPr="00023412" w:rsidR="00023412">
                              <w:rPr>
                                <w:rStyle w:val="normaltextrun"/>
                                <w:rFonts w:eastAsiaTheme="majorEastAsia" w:cs="Times New Roman"/>
                                <w:color w:val="000000" w:themeColor="text1"/>
                              </w:rPr>
                              <w:t>Primary care physicians</w:t>
                            </w:r>
                            <w:r w:rsidRPr="00023412" w:rsidR="00023412">
                              <w:rPr>
                                <w:rStyle w:val="eop"/>
                                <w:rFonts w:cs="Times New Roman"/>
                                <w:color w:val="000000" w:themeColor="text1"/>
                              </w:rPr>
                              <w:t xml:space="preserve">; (6) </w:t>
                            </w:r>
                            <w:r w:rsidRPr="00023412" w:rsidR="00023412">
                              <w:rPr>
                                <w:rStyle w:val="normaltextrun"/>
                                <w:rFonts w:eastAsiaTheme="majorEastAsia" w:cs="Times New Roman"/>
                                <w:color w:val="000000" w:themeColor="text1"/>
                              </w:rPr>
                              <w:t>Long-Term Care (LTC) nurses; and (7) LTC medical technicians and sitters</w:t>
                            </w:r>
                            <w:r w:rsidRPr="00023412" w:rsidR="00023412">
                              <w:rPr>
                                <w:rStyle w:val="eop"/>
                                <w:rFonts w:cs="Times New Roman"/>
                                <w:color w:val="000000" w:themeColor="text1"/>
                              </w:rPr>
                              <w:t>.</w:t>
                            </w:r>
                            <w:r w:rsidRPr="00023412" w:rsidR="00023412">
                              <w:rPr>
                                <w:rStyle w:val="eop"/>
                                <w:color w:val="000000" w:themeColor="text1"/>
                              </w:rPr>
                              <w:t xml:space="preserve">  </w:t>
                            </w:r>
                          </w:p>
                          <w:p w:rsidR="004A13E8" w:rsidRPr="001A58BE" w:rsidP="004A13E8" w14:textId="553F2FA1">
                            <w:pPr>
                              <w:pStyle w:val="Bullets"/>
                              <w:rPr>
                                <w:b/>
                              </w:rPr>
                            </w:pPr>
                            <w:r w:rsidRPr="001A58BE">
                              <w:rPr>
                                <w:b/>
                              </w:rPr>
                              <w:t>How data will be analyzed:</w:t>
                            </w:r>
                            <w:r w:rsidR="001A58BE">
                              <w:rPr>
                                <w:b/>
                              </w:rPr>
                              <w:t xml:space="preserve"> </w:t>
                            </w:r>
                            <w:r w:rsidRPr="00AB162E" w:rsidR="00165A07">
                              <w:t xml:space="preserve">The data will be analyzed using </w:t>
                            </w:r>
                            <w:r w:rsidR="00DB7006">
                              <w:t xml:space="preserve">the </w:t>
                            </w:r>
                            <w:r w:rsidRPr="00D74B2C" w:rsidR="00165A07">
                              <w:t>Statistical Package for the Social Sciences</w:t>
                            </w:r>
                            <w:r w:rsidRPr="00D74B2C" w:rsidR="00165A07">
                              <w:rPr>
                                <w:b/>
                              </w:rPr>
                              <w:t xml:space="preserve"> (</w:t>
                            </w:r>
                            <w:r w:rsidRPr="00AB162E" w:rsidR="00165A07">
                              <w:t>SPSS</w:t>
                            </w:r>
                            <w:r w:rsidRPr="00D74B2C" w:rsidR="00165A07">
                              <w:t>)</w:t>
                            </w:r>
                            <w:r w:rsidRPr="00AB162E" w:rsidR="00165A07">
                              <w:t xml:space="preserve"> to determine changes in awareness, knowledge, and behavior </w:t>
                            </w:r>
                            <w:r w:rsidRPr="00D74B2C" w:rsidR="00165A07">
                              <w:t>between the two independent groups (</w:t>
                            </w:r>
                            <w:r w:rsidR="00350A70">
                              <w:t>p</w:t>
                            </w:r>
                            <w:r w:rsidRPr="00D74B2C" w:rsidR="00165A07">
                              <w:t xml:space="preserve">re versus </w:t>
                            </w:r>
                            <w:r w:rsidR="00350A70">
                              <w:t>p</w:t>
                            </w:r>
                            <w:r w:rsidRPr="00D74B2C" w:rsidR="00165A07">
                              <w:t>ost</w:t>
                            </w:r>
                            <w:r w:rsidR="00494408">
                              <w:t xml:space="preserve"> campaign</w:t>
                            </w:r>
                            <w:r w:rsidRPr="00D74B2C" w:rsidR="00165A07">
                              <w:t>) and between</w:t>
                            </w:r>
                            <w:r w:rsidRPr="00360175" w:rsidR="00360175">
                              <w:t xml:space="preserve"> </w:t>
                            </w:r>
                            <w:r w:rsidRPr="00AB162E" w:rsidR="00360175">
                              <w:t xml:space="preserve">exposed versus unexposed to the </w:t>
                            </w:r>
                            <w:r w:rsidRPr="00C974A0" w:rsidR="00C974A0">
                              <w:rPr>
                                <w:i/>
                                <w:iCs/>
                              </w:rPr>
                              <w:t>GAOS</w:t>
                            </w:r>
                            <w:r w:rsidR="00C974A0">
                              <w:t xml:space="preserve"> </w:t>
                            </w:r>
                            <w:r w:rsidRPr="00AB162E" w:rsidR="00360175">
                              <w:t>media campaign</w:t>
                            </w:r>
                            <w:r w:rsidR="00C974A0">
                              <w:t xml:space="preserve"> and partner outreach</w:t>
                            </w:r>
                            <w:r w:rsidRPr="00AB162E" w:rsidR="00360175">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428.8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0FC5C5CD">
                      <w:pPr>
                        <w:pStyle w:val="Bullets"/>
                        <w:rPr>
                          <w:b/>
                        </w:rPr>
                      </w:pPr>
                      <w:r w:rsidRPr="001A58BE">
                        <w:rPr>
                          <w:b/>
                        </w:rPr>
                        <w:t>Goal of the study:</w:t>
                      </w:r>
                      <w:r w:rsidRPr="00AB162E" w:rsidR="0085798C">
                        <w:t xml:space="preserve"> </w:t>
                      </w:r>
                      <w:r w:rsidRPr="00836055" w:rsidR="00900E1B">
                        <w:rPr>
                          <w:color w:val="000000" w:themeColor="text1"/>
                        </w:rPr>
                        <w:t xml:space="preserve">To </w:t>
                      </w:r>
                      <w:r w:rsidR="00A74B3D">
                        <w:rPr>
                          <w:color w:val="000000" w:themeColor="text1"/>
                        </w:rPr>
                        <w:t>assess</w:t>
                      </w:r>
                      <w:r w:rsidRPr="00836055" w:rsidR="00900E1B">
                        <w:rPr>
                          <w:color w:val="000000" w:themeColor="text1"/>
                        </w:rPr>
                        <w:t xml:space="preserve"> if the </w:t>
                      </w:r>
                      <w:r w:rsidRPr="00DB1307" w:rsidR="002A78C8">
                        <w:rPr>
                          <w:i/>
                          <w:iCs/>
                        </w:rPr>
                        <w:t>Get Ahead of Sepsis (GAOS)</w:t>
                      </w:r>
                      <w:r w:rsidR="002A78C8">
                        <w:t xml:space="preserve"> </w:t>
                      </w:r>
                      <w:r w:rsidR="006B763E">
                        <w:t xml:space="preserve">pilot </w:t>
                      </w:r>
                      <w:r w:rsidRPr="00836055" w:rsidR="00900E1B">
                        <w:rPr>
                          <w:color w:val="000000" w:themeColor="text1"/>
                        </w:rPr>
                        <w:t>media campaign</w:t>
                      </w:r>
                      <w:r w:rsidR="001C3410">
                        <w:rPr>
                          <w:color w:val="000000" w:themeColor="text1"/>
                        </w:rPr>
                        <w:t xml:space="preserve">, along </w:t>
                      </w:r>
                      <w:r w:rsidR="00E96338">
                        <w:rPr>
                          <w:color w:val="000000" w:themeColor="text1"/>
                        </w:rPr>
                        <w:t>with partner</w:t>
                      </w:r>
                      <w:r w:rsidR="00A772E3">
                        <w:rPr>
                          <w:color w:val="000000" w:themeColor="text1"/>
                        </w:rPr>
                        <w:t xml:space="preserve"> </w:t>
                      </w:r>
                      <w:r w:rsidR="005D63B7">
                        <w:rPr>
                          <w:color w:val="000000" w:themeColor="text1"/>
                        </w:rPr>
                        <w:t xml:space="preserve">outreach </w:t>
                      </w:r>
                      <w:r w:rsidR="00B51836">
                        <w:rPr>
                          <w:color w:val="000000" w:themeColor="text1"/>
                        </w:rPr>
                        <w:t xml:space="preserve">over a </w:t>
                      </w:r>
                      <w:r w:rsidR="001401E3">
                        <w:rPr>
                          <w:color w:val="000000" w:themeColor="text1"/>
                        </w:rPr>
                        <w:t>2–3-month</w:t>
                      </w:r>
                      <w:r w:rsidR="004B3684">
                        <w:rPr>
                          <w:color w:val="000000" w:themeColor="text1"/>
                        </w:rPr>
                        <w:t xml:space="preserve"> period </w:t>
                      </w:r>
                      <w:r w:rsidRPr="00836055" w:rsidR="0079684E">
                        <w:rPr>
                          <w:color w:val="000000" w:themeColor="text1"/>
                        </w:rPr>
                        <w:t xml:space="preserve">in </w:t>
                      </w:r>
                      <w:r w:rsidR="000E0CAF">
                        <w:rPr>
                          <w:color w:val="000000" w:themeColor="text1"/>
                        </w:rPr>
                        <w:t>select market</w:t>
                      </w:r>
                      <w:r w:rsidR="001C7ACB">
                        <w:rPr>
                          <w:color w:val="000000" w:themeColor="text1"/>
                        </w:rPr>
                        <w:t>s</w:t>
                      </w:r>
                      <w:r w:rsidR="00C11841">
                        <w:rPr>
                          <w:color w:val="000000" w:themeColor="text1"/>
                        </w:rPr>
                        <w:t>,</w:t>
                      </w:r>
                      <w:r w:rsidR="001C7ACB">
                        <w:rPr>
                          <w:color w:val="000000" w:themeColor="text1"/>
                        </w:rPr>
                        <w:t xml:space="preserve"> </w:t>
                      </w:r>
                      <w:r w:rsidRPr="00836055" w:rsidR="00900E1B">
                        <w:rPr>
                          <w:color w:val="000000" w:themeColor="text1"/>
                        </w:rPr>
                        <w:t>successful</w:t>
                      </w:r>
                      <w:r w:rsidR="002468F6">
                        <w:rPr>
                          <w:color w:val="000000" w:themeColor="text1"/>
                        </w:rPr>
                        <w:t>ly reached</w:t>
                      </w:r>
                      <w:r w:rsidR="00E566DF">
                        <w:rPr>
                          <w:color w:val="000000" w:themeColor="text1"/>
                        </w:rPr>
                        <w:t xml:space="preserve"> intended</w:t>
                      </w:r>
                      <w:r w:rsidRPr="00E566DF" w:rsidR="00E566DF">
                        <w:rPr>
                          <w:color w:val="000000" w:themeColor="text1"/>
                        </w:rPr>
                        <w:t xml:space="preserve"> </w:t>
                      </w:r>
                      <w:r w:rsidR="00E566DF">
                        <w:rPr>
                          <w:color w:val="000000" w:themeColor="text1"/>
                        </w:rPr>
                        <w:t>consumer and healthcare professional (</w:t>
                      </w:r>
                      <w:r w:rsidRPr="00836055" w:rsidR="00E566DF">
                        <w:rPr>
                          <w:color w:val="000000" w:themeColor="text1"/>
                        </w:rPr>
                        <w:t>HCP</w:t>
                      </w:r>
                      <w:r w:rsidR="00E566DF">
                        <w:rPr>
                          <w:color w:val="000000" w:themeColor="text1"/>
                        </w:rPr>
                        <w:t>)</w:t>
                      </w:r>
                      <w:r w:rsidRPr="00836055" w:rsidR="00E566DF">
                        <w:rPr>
                          <w:color w:val="000000" w:themeColor="text1"/>
                        </w:rPr>
                        <w:t xml:space="preserve"> </w:t>
                      </w:r>
                      <w:r w:rsidR="00D0077B">
                        <w:rPr>
                          <w:color w:val="000000" w:themeColor="text1"/>
                        </w:rPr>
                        <w:t xml:space="preserve">audiences and influenced </w:t>
                      </w:r>
                      <w:r w:rsidR="00B07B81">
                        <w:rPr>
                          <w:color w:val="000000" w:themeColor="text1"/>
                        </w:rPr>
                        <w:t xml:space="preserve">their </w:t>
                      </w:r>
                      <w:r w:rsidRPr="00836055" w:rsidR="00C31ED6">
                        <w:rPr>
                          <w:color w:val="000000" w:themeColor="text1"/>
                        </w:rPr>
                        <w:t xml:space="preserve">awareness, knowledge, </w:t>
                      </w:r>
                      <w:r w:rsidR="00B07B81">
                        <w:rPr>
                          <w:color w:val="000000" w:themeColor="text1"/>
                        </w:rPr>
                        <w:t>and behavior related to early recogni</w:t>
                      </w:r>
                      <w:r w:rsidR="00556156">
                        <w:rPr>
                          <w:color w:val="000000" w:themeColor="text1"/>
                        </w:rPr>
                        <w:t>tion and timely treatment of sepsis</w:t>
                      </w:r>
                      <w:r w:rsidR="00EA7409">
                        <w:rPr>
                          <w:color w:val="000000" w:themeColor="text1"/>
                        </w:rPr>
                        <w:t>,</w:t>
                      </w:r>
                      <w:r w:rsidR="00556156">
                        <w:rPr>
                          <w:color w:val="000000" w:themeColor="text1"/>
                        </w:rPr>
                        <w:t xml:space="preserve"> and prevention of</w:t>
                      </w:r>
                      <w:r w:rsidR="006904C0">
                        <w:rPr>
                          <w:color w:val="000000" w:themeColor="text1"/>
                        </w:rPr>
                        <w:t xml:space="preserve"> infections that can lead to sepsis</w:t>
                      </w:r>
                      <w:r w:rsidR="001845A5">
                        <w:rPr>
                          <w:color w:val="000000" w:themeColor="text1"/>
                        </w:rPr>
                        <w:t xml:space="preserve">. </w:t>
                      </w:r>
                    </w:p>
                    <w:p w:rsidR="004A13E8" w:rsidRPr="001A58BE" w:rsidP="004A13E8" w14:paraId="55FE1838" w14:textId="7C1BADCE">
                      <w:pPr>
                        <w:pStyle w:val="Bullets"/>
                        <w:rPr>
                          <w:b/>
                        </w:rPr>
                      </w:pPr>
                      <w:r w:rsidRPr="001A58BE">
                        <w:rPr>
                          <w:b/>
                        </w:rPr>
                        <w:t>Intended use of the resulting data:</w:t>
                      </w:r>
                      <w:r w:rsidR="001A58BE">
                        <w:rPr>
                          <w:b/>
                        </w:rPr>
                        <w:t xml:space="preserve"> </w:t>
                      </w:r>
                      <w:r w:rsidRPr="00AB162E" w:rsidR="000E634E">
                        <w:t>The information will be used to inform future</w:t>
                      </w:r>
                      <w:r w:rsidR="000E634E">
                        <w:t xml:space="preserve"> refinement and implementation of the</w:t>
                      </w:r>
                      <w:r w:rsidRPr="00AB162E" w:rsidR="000E634E">
                        <w:t xml:space="preserve"> </w:t>
                      </w:r>
                      <w:r w:rsidRPr="00C342CF" w:rsidR="00C342CF">
                        <w:rPr>
                          <w:i/>
                          <w:iCs/>
                        </w:rPr>
                        <w:t>GAOS</w:t>
                      </w:r>
                      <w:r w:rsidR="00B4566D">
                        <w:t xml:space="preserve"> </w:t>
                      </w:r>
                      <w:r w:rsidR="00D4528B">
                        <w:t xml:space="preserve">pilot </w:t>
                      </w:r>
                      <w:r w:rsidRPr="00AB162E" w:rsidR="000E634E">
                        <w:t>campaign</w:t>
                      </w:r>
                      <w:r w:rsidR="000E634E">
                        <w:t xml:space="preserve"> </w:t>
                      </w:r>
                      <w:r w:rsidR="00732769">
                        <w:t>(</w:t>
                      </w:r>
                      <w:r w:rsidR="000E634E">
                        <w:t>materials and tactics</w:t>
                      </w:r>
                      <w:r w:rsidR="00732769">
                        <w:t>)</w:t>
                      </w:r>
                      <w:r w:rsidRPr="00AB162E" w:rsidR="000E634E">
                        <w:t>.</w:t>
                      </w:r>
                      <w:r w:rsidR="00DF5F26">
                        <w:rPr>
                          <w:rStyle w:val="normaltextrun"/>
                          <w:rFonts w:cs="Times New Roman"/>
                          <w:bdr w:val="none" w:sz="0" w:space="0" w:color="auto" w:frame="1"/>
                        </w:rPr>
                        <w:t xml:space="preserve"> </w:t>
                      </w:r>
                      <w:r w:rsidRPr="006328EE" w:rsidR="00DF5F26">
                        <w:rPr>
                          <w:rFonts w:cs="Times New Roman"/>
                        </w:rPr>
                        <w:t xml:space="preserve">The CDC </w:t>
                      </w:r>
                      <w:r w:rsidR="001E730E">
                        <w:rPr>
                          <w:rFonts w:cs="Times New Roman"/>
                        </w:rPr>
                        <w:t>will</w:t>
                      </w:r>
                      <w:r w:rsidRPr="006328EE" w:rsidR="00DF5F26">
                        <w:rPr>
                          <w:rFonts w:cs="Times New Roman"/>
                        </w:rPr>
                        <w:t xml:space="preserve"> also use this information to inform </w:t>
                      </w:r>
                      <w:r w:rsidRPr="006328EE" w:rsidR="00DF5F26">
                        <w:rPr>
                          <w:rFonts w:cs="Times New Roman"/>
                          <w:color w:val="0D0D0D" w:themeColor="text1" w:themeTint="F2"/>
                        </w:rPr>
                        <w:t xml:space="preserve">resource needs for future </w:t>
                      </w:r>
                      <w:r w:rsidRPr="00C342CF" w:rsidR="00C342CF">
                        <w:rPr>
                          <w:i/>
                          <w:iCs/>
                        </w:rPr>
                        <w:t>GAOS</w:t>
                      </w:r>
                      <w:r w:rsidRPr="006328EE" w:rsidR="00C342CF">
                        <w:rPr>
                          <w:rFonts w:cs="Times New Roman"/>
                          <w:color w:val="0D0D0D" w:themeColor="text1" w:themeTint="F2"/>
                        </w:rPr>
                        <w:t xml:space="preserve"> </w:t>
                      </w:r>
                      <w:r w:rsidRPr="006328EE" w:rsidR="00DF5F26">
                        <w:rPr>
                          <w:rFonts w:cs="Times New Roman"/>
                          <w:color w:val="0D0D0D" w:themeColor="text1" w:themeTint="F2"/>
                        </w:rPr>
                        <w:t>campaign activities</w:t>
                      </w:r>
                      <w:r w:rsidR="00DF5F26">
                        <w:rPr>
                          <w:rFonts w:cs="Times New Roman"/>
                          <w:color w:val="0D0D0D" w:themeColor="text1" w:themeTint="F2"/>
                        </w:rPr>
                        <w:t>.</w:t>
                      </w:r>
                    </w:p>
                    <w:p w:rsidR="00023412" w:rsidRPr="00023412" w:rsidP="00023412" w14:paraId="35CBBBD1" w14:textId="77777777">
                      <w:pPr>
                        <w:pStyle w:val="Bullets"/>
                        <w:rPr>
                          <w:b/>
                        </w:rPr>
                      </w:pPr>
                      <w:r w:rsidRPr="001A58BE">
                        <w:rPr>
                          <w:b/>
                        </w:rPr>
                        <w:t>Methods to be used to collect</w:t>
                      </w:r>
                      <w:r w:rsidR="00C40C85">
                        <w:rPr>
                          <w:b/>
                        </w:rPr>
                        <w:t xml:space="preserve"> data</w:t>
                      </w:r>
                      <w:r w:rsidRPr="001A58BE">
                        <w:rPr>
                          <w:b/>
                        </w:rPr>
                        <w:t>:</w:t>
                      </w:r>
                      <w:r w:rsidR="001A58BE">
                        <w:rPr>
                          <w:b/>
                        </w:rPr>
                        <w:t xml:space="preserve"> </w:t>
                      </w:r>
                      <w:r w:rsidRPr="00D74B2C" w:rsidR="00DC2A38">
                        <w:t xml:space="preserve">Individuals who have opted to be contacted for surveys </w:t>
                      </w:r>
                      <w:r w:rsidR="00DC2A38">
                        <w:t xml:space="preserve">(survey panels) </w:t>
                      </w:r>
                      <w:r w:rsidRPr="00D74B2C" w:rsidR="00DC2A38">
                        <w:t xml:space="preserve">will be screened for eligibility based on </w:t>
                      </w:r>
                      <w:r w:rsidR="008C7C75">
                        <w:t>the</w:t>
                      </w:r>
                      <w:r w:rsidRPr="00D74B2C" w:rsidR="00DC2A38">
                        <w:t xml:space="preserve"> inclusion/exclusion criteria for participation. Qualified participants who sign a consent form will be given access to an online survey and the data collected will be de-identified before proceeding with data sharing and analysis.</w:t>
                      </w:r>
                    </w:p>
                    <w:p w:rsidR="00312EAB" w:rsidRPr="000B79E1" w:rsidP="000B79E1" w14:paraId="37E4E40D" w14:textId="6FB2FFD5">
                      <w:pPr>
                        <w:pStyle w:val="Bullets"/>
                        <w:rPr>
                          <w:b/>
                        </w:rPr>
                      </w:pPr>
                      <w:r w:rsidRPr="00023412">
                        <w:rPr>
                          <w:b/>
                        </w:rPr>
                        <w:t>The subpopulation to be studied:</w:t>
                      </w:r>
                      <w:r w:rsidRPr="00023412" w:rsidR="001A58BE">
                        <w:rPr>
                          <w:b/>
                        </w:rPr>
                        <w:t xml:space="preserve"> </w:t>
                      </w:r>
                      <w:r w:rsidRPr="00FF6F6D" w:rsidR="005B7C85">
                        <w:rPr>
                          <w:bCs/>
                        </w:rPr>
                        <w:t>C</w:t>
                      </w:r>
                      <w:r w:rsidRPr="00023412">
                        <w:rPr>
                          <w:rStyle w:val="normaltextrun"/>
                          <w:rFonts w:cs="Times New Roman"/>
                        </w:rPr>
                        <w:t xml:space="preserve">onsumer </w:t>
                      </w:r>
                      <w:r w:rsidR="005B7C85">
                        <w:rPr>
                          <w:rStyle w:val="normaltextrun"/>
                          <w:rFonts w:cs="Times New Roman"/>
                        </w:rPr>
                        <w:t>audiences</w:t>
                      </w:r>
                      <w:r w:rsidR="00FF6F6D">
                        <w:rPr>
                          <w:rStyle w:val="normaltextrun"/>
                          <w:rFonts w:cs="Times New Roman"/>
                        </w:rPr>
                        <w:t xml:space="preserve"> include</w:t>
                      </w:r>
                      <w:r w:rsidRPr="00023412">
                        <w:rPr>
                          <w:rStyle w:val="normaltextrun"/>
                          <w:rFonts w:cs="Times New Roman"/>
                        </w:rPr>
                        <w:t xml:space="preserve">: (1) </w:t>
                      </w:r>
                      <w:r w:rsidRPr="00023412">
                        <w:rPr>
                          <w:rStyle w:val="normaltextrun"/>
                          <w:rFonts w:cs="Times New Roman"/>
                          <w:color w:val="000000" w:themeColor="text1"/>
                        </w:rPr>
                        <w:t xml:space="preserve">Cancer patients and their caregivers; (2) Patients who survived severe COVID-19 or sepsis and their caregivers; (3) Parents of children 12 and younger; (4) </w:t>
                      </w:r>
                      <w:r w:rsidRPr="00023412">
                        <w:rPr>
                          <w:rStyle w:val="eop"/>
                          <w:rFonts w:cs="Times New Roman"/>
                          <w:color w:val="000000" w:themeColor="text1"/>
                        </w:rPr>
                        <w:t>Adults who care for a family member age 65+; (</w:t>
                      </w:r>
                      <w:r w:rsidR="00D955EF">
                        <w:rPr>
                          <w:rStyle w:val="eop"/>
                          <w:rFonts w:cs="Times New Roman"/>
                          <w:color w:val="000000" w:themeColor="text1"/>
                        </w:rPr>
                        <w:t>5</w:t>
                      </w:r>
                      <w:r w:rsidRPr="00023412">
                        <w:rPr>
                          <w:rStyle w:val="eop"/>
                          <w:rFonts w:cs="Times New Roman"/>
                          <w:color w:val="000000" w:themeColor="text1"/>
                        </w:rPr>
                        <w:t xml:space="preserve">) </w:t>
                      </w:r>
                      <w:r w:rsidRPr="00023412">
                        <w:rPr>
                          <w:rStyle w:val="normaltextrun"/>
                          <w:rFonts w:cs="Times New Roman"/>
                          <w:color w:val="000000" w:themeColor="text1"/>
                        </w:rPr>
                        <w:t>Men aged 65+ with one or more chronic conditions; and (</w:t>
                      </w:r>
                      <w:r w:rsidR="00D955EF">
                        <w:rPr>
                          <w:rStyle w:val="normaltextrun"/>
                          <w:rFonts w:cs="Times New Roman"/>
                          <w:color w:val="000000" w:themeColor="text1"/>
                        </w:rPr>
                        <w:t>6</w:t>
                      </w:r>
                      <w:r w:rsidRPr="00023412">
                        <w:rPr>
                          <w:rStyle w:val="normaltextrun"/>
                          <w:rFonts w:cs="Times New Roman"/>
                          <w:color w:val="000000" w:themeColor="text1"/>
                        </w:rPr>
                        <w:t>) Healthy adults 65+.</w:t>
                      </w:r>
                      <w:r w:rsidRPr="00023412">
                        <w:rPr>
                          <w:rStyle w:val="normaltextrun"/>
                          <w:rFonts w:cs="Times New Roman"/>
                        </w:rPr>
                        <w:t xml:space="preserve"> </w:t>
                      </w:r>
                      <w:r w:rsidRPr="00023412" w:rsidR="00023412">
                        <w:rPr>
                          <w:rStyle w:val="normaltextrun"/>
                          <w:rFonts w:cs="Times New Roman"/>
                        </w:rPr>
                        <w:t xml:space="preserve">HCP </w:t>
                      </w:r>
                      <w:r w:rsidR="005B7C85">
                        <w:rPr>
                          <w:rStyle w:val="normaltextrun"/>
                          <w:rFonts w:cs="Times New Roman"/>
                        </w:rPr>
                        <w:t>audiences</w:t>
                      </w:r>
                      <w:r w:rsidR="00FF6F6D">
                        <w:rPr>
                          <w:rStyle w:val="normaltextrun"/>
                          <w:rFonts w:cs="Times New Roman"/>
                        </w:rPr>
                        <w:t xml:space="preserve"> include</w:t>
                      </w:r>
                      <w:r w:rsidRPr="00023412" w:rsidR="00023412">
                        <w:rPr>
                          <w:rStyle w:val="normaltextrun"/>
                          <w:rFonts w:cs="Times New Roman"/>
                        </w:rPr>
                        <w:t>: (1) Emergency Medical Services (EMS) personnel;</w:t>
                      </w:r>
                      <w:r w:rsidRPr="00023412" w:rsidR="00023412">
                        <w:rPr>
                          <w:rStyle w:val="eop"/>
                          <w:rFonts w:cs="Times New Roman"/>
                        </w:rPr>
                        <w:t xml:space="preserve"> (2) Nurse practitioners (NPs) and physician assistants (PAs) who work at urgent care clinics; (3) </w:t>
                      </w:r>
                      <w:r w:rsidRPr="00023412" w:rsidR="00023412">
                        <w:rPr>
                          <w:rStyle w:val="normaltextrun"/>
                          <w:rFonts w:eastAsiaTheme="majorEastAsia" w:cs="Times New Roman"/>
                          <w:color w:val="000000" w:themeColor="text1"/>
                        </w:rPr>
                        <w:t>Emergency department triage nurses</w:t>
                      </w:r>
                      <w:r w:rsidRPr="00023412" w:rsidR="00023412">
                        <w:rPr>
                          <w:rStyle w:val="eop"/>
                          <w:rFonts w:cs="Times New Roman"/>
                        </w:rPr>
                        <w:t xml:space="preserve">; </w:t>
                      </w:r>
                      <w:r w:rsidRPr="00023412" w:rsidR="00023412">
                        <w:rPr>
                          <w:rStyle w:val="normaltextrun"/>
                          <w:rFonts w:cs="Times New Roman"/>
                        </w:rPr>
                        <w:t xml:space="preserve">(4) </w:t>
                      </w:r>
                      <w:r w:rsidRPr="00023412" w:rsidR="00023412">
                        <w:rPr>
                          <w:rStyle w:val="normaltextrun"/>
                          <w:rFonts w:eastAsiaTheme="majorEastAsia" w:cs="Times New Roman"/>
                          <w:color w:val="000000" w:themeColor="text1"/>
                        </w:rPr>
                        <w:t>General medical ward staff</w:t>
                      </w:r>
                      <w:r w:rsidRPr="00023412" w:rsidR="00023412">
                        <w:rPr>
                          <w:rStyle w:val="eop"/>
                          <w:rFonts w:cs="Times New Roman"/>
                          <w:color w:val="000000" w:themeColor="text1"/>
                        </w:rPr>
                        <w:t xml:space="preserve">; </w:t>
                      </w:r>
                      <w:r w:rsidRPr="00023412" w:rsidR="00023412">
                        <w:rPr>
                          <w:rStyle w:val="normaltextrun"/>
                          <w:rFonts w:cs="Times New Roman"/>
                        </w:rPr>
                        <w:t xml:space="preserve">(5) </w:t>
                      </w:r>
                      <w:r w:rsidRPr="00023412" w:rsidR="00023412">
                        <w:rPr>
                          <w:rStyle w:val="normaltextrun"/>
                          <w:rFonts w:eastAsiaTheme="majorEastAsia" w:cs="Times New Roman"/>
                          <w:color w:val="000000" w:themeColor="text1"/>
                        </w:rPr>
                        <w:t>Primary care physicians</w:t>
                      </w:r>
                      <w:r w:rsidRPr="00023412" w:rsidR="00023412">
                        <w:rPr>
                          <w:rStyle w:val="eop"/>
                          <w:rFonts w:cs="Times New Roman"/>
                          <w:color w:val="000000" w:themeColor="text1"/>
                        </w:rPr>
                        <w:t xml:space="preserve">; (6) </w:t>
                      </w:r>
                      <w:r w:rsidRPr="00023412" w:rsidR="00023412">
                        <w:rPr>
                          <w:rStyle w:val="normaltextrun"/>
                          <w:rFonts w:eastAsiaTheme="majorEastAsia" w:cs="Times New Roman"/>
                          <w:color w:val="000000" w:themeColor="text1"/>
                        </w:rPr>
                        <w:t>Long-Term Care (LTC) nurses; and (7) LTC medical technicians and sitters</w:t>
                      </w:r>
                      <w:r w:rsidRPr="00023412" w:rsidR="00023412">
                        <w:rPr>
                          <w:rStyle w:val="eop"/>
                          <w:rFonts w:cs="Times New Roman"/>
                          <w:color w:val="000000" w:themeColor="text1"/>
                        </w:rPr>
                        <w:t>.</w:t>
                      </w:r>
                      <w:r w:rsidRPr="00023412" w:rsidR="00023412">
                        <w:rPr>
                          <w:rStyle w:val="eop"/>
                          <w:color w:val="000000" w:themeColor="text1"/>
                        </w:rPr>
                        <w:t xml:space="preserve">  </w:t>
                      </w:r>
                    </w:p>
                    <w:p w:rsidR="004A13E8" w:rsidRPr="001A58BE" w:rsidP="004A13E8" w14:paraId="55FE183C" w14:textId="553F2FA1">
                      <w:pPr>
                        <w:pStyle w:val="Bullets"/>
                        <w:rPr>
                          <w:b/>
                        </w:rPr>
                      </w:pPr>
                      <w:r w:rsidRPr="001A58BE">
                        <w:rPr>
                          <w:b/>
                        </w:rPr>
                        <w:t>How data will be analyzed:</w:t>
                      </w:r>
                      <w:r w:rsidR="001A58BE">
                        <w:rPr>
                          <w:b/>
                        </w:rPr>
                        <w:t xml:space="preserve"> </w:t>
                      </w:r>
                      <w:r w:rsidRPr="00AB162E" w:rsidR="00165A07">
                        <w:t xml:space="preserve">The data will be analyzed using </w:t>
                      </w:r>
                      <w:r w:rsidR="00DB7006">
                        <w:t xml:space="preserve">the </w:t>
                      </w:r>
                      <w:r w:rsidRPr="00D74B2C" w:rsidR="00165A07">
                        <w:t>Statistical Package for the Social Sciences</w:t>
                      </w:r>
                      <w:r w:rsidRPr="00D74B2C" w:rsidR="00165A07">
                        <w:rPr>
                          <w:b/>
                        </w:rPr>
                        <w:t xml:space="preserve"> (</w:t>
                      </w:r>
                      <w:r w:rsidRPr="00AB162E" w:rsidR="00165A07">
                        <w:t>SPSS</w:t>
                      </w:r>
                      <w:r w:rsidRPr="00D74B2C" w:rsidR="00165A07">
                        <w:t>)</w:t>
                      </w:r>
                      <w:r w:rsidRPr="00AB162E" w:rsidR="00165A07">
                        <w:t xml:space="preserve"> to determine changes in awareness, knowledge, and behavior </w:t>
                      </w:r>
                      <w:r w:rsidRPr="00D74B2C" w:rsidR="00165A07">
                        <w:t>between the two independent groups (</w:t>
                      </w:r>
                      <w:r w:rsidR="00350A70">
                        <w:t>p</w:t>
                      </w:r>
                      <w:r w:rsidRPr="00D74B2C" w:rsidR="00165A07">
                        <w:t xml:space="preserve">re versus </w:t>
                      </w:r>
                      <w:r w:rsidR="00350A70">
                        <w:t>p</w:t>
                      </w:r>
                      <w:r w:rsidRPr="00D74B2C" w:rsidR="00165A07">
                        <w:t>ost</w:t>
                      </w:r>
                      <w:r w:rsidR="00494408">
                        <w:t xml:space="preserve"> campaign</w:t>
                      </w:r>
                      <w:r w:rsidRPr="00D74B2C" w:rsidR="00165A07">
                        <w:t>) and between</w:t>
                      </w:r>
                      <w:r w:rsidRPr="00360175" w:rsidR="00360175">
                        <w:t xml:space="preserve"> </w:t>
                      </w:r>
                      <w:r w:rsidRPr="00AB162E" w:rsidR="00360175">
                        <w:t xml:space="preserve">exposed versus unexposed to the </w:t>
                      </w:r>
                      <w:r w:rsidRPr="00C974A0" w:rsidR="00C974A0">
                        <w:rPr>
                          <w:i/>
                          <w:iCs/>
                        </w:rPr>
                        <w:t>GAOS</w:t>
                      </w:r>
                      <w:r w:rsidR="00C974A0">
                        <w:t xml:space="preserve"> </w:t>
                      </w:r>
                      <w:r w:rsidRPr="00AB162E" w:rsidR="00360175">
                        <w:t>media campaign</w:t>
                      </w:r>
                      <w:r w:rsidR="00C974A0">
                        <w:t xml:space="preserve"> and partner outreach</w:t>
                      </w:r>
                      <w:r w:rsidRPr="00AB162E" w:rsidR="00360175">
                        <w:t>.</w:t>
                      </w:r>
                    </w:p>
                    <w:p w:rsidR="004A13E8" w:rsidP="004A13E8" w14:paraId="55FE183D" w14:textId="77777777"/>
                  </w:txbxContent>
                </v:textbox>
                <w10:wrap type="tight"/>
              </v:shape>
            </w:pict>
          </mc:Fallback>
        </mc:AlternateContent>
      </w:r>
      <w:r>
        <w:br w:type="page"/>
      </w:r>
    </w:p>
    <w:p w:rsidR="004A13E8" w:rsidP="004A13E8" w14:paraId="55FE17B3" w14:textId="77777777">
      <w:pPr>
        <w:pStyle w:val="Heading1"/>
      </w:pPr>
      <w:bookmarkStart w:id="6" w:name="_Toc112842523"/>
      <w:r w:rsidRPr="004A13E8">
        <w:t>Circumstances Making the Collection of Information Necessary</w:t>
      </w:r>
      <w:bookmarkEnd w:id="6"/>
    </w:p>
    <w:p w:rsidR="00EB1839" w:rsidRPr="00C45521" w:rsidP="00EB1839" w14:paraId="686EA6E8" w14:textId="799A9F06">
      <w:r w:rsidRPr="001963A6">
        <w:rPr>
          <w:szCs w:val="24"/>
        </w:rPr>
        <w:t xml:space="preserve">The </w:t>
      </w:r>
      <w:r w:rsidRPr="001963A6" w:rsidR="00C67823">
        <w:rPr>
          <w:szCs w:val="24"/>
        </w:rPr>
        <w:t>C</w:t>
      </w:r>
      <w:r w:rsidRPr="001963A6">
        <w:rPr>
          <w:szCs w:val="24"/>
        </w:rPr>
        <w:t xml:space="preserve">enters for </w:t>
      </w:r>
      <w:r w:rsidRPr="001963A6" w:rsidR="00C67823">
        <w:rPr>
          <w:szCs w:val="24"/>
        </w:rPr>
        <w:t>D</w:t>
      </w:r>
      <w:r w:rsidRPr="001963A6">
        <w:rPr>
          <w:szCs w:val="24"/>
        </w:rPr>
        <w:t>isease Control and Prevention</w:t>
      </w:r>
      <w:r w:rsidRPr="001963A6" w:rsidR="00C67823">
        <w:rPr>
          <w:szCs w:val="24"/>
        </w:rPr>
        <w:t>’s</w:t>
      </w:r>
      <w:r w:rsidRPr="001963A6">
        <w:rPr>
          <w:szCs w:val="24"/>
        </w:rPr>
        <w:t xml:space="preserve"> (</w:t>
      </w:r>
      <w:r w:rsidRPr="001963A6" w:rsidR="00CA114D">
        <w:rPr>
          <w:szCs w:val="24"/>
        </w:rPr>
        <w:t>CDC</w:t>
      </w:r>
      <w:r w:rsidRPr="001963A6" w:rsidR="00C67823">
        <w:rPr>
          <w:szCs w:val="24"/>
        </w:rPr>
        <w:t xml:space="preserve">), </w:t>
      </w:r>
      <w:hyperlink r:id="rId9" w:history="1">
        <w:r w:rsidRPr="001963A6" w:rsidR="0023138A">
          <w:rPr>
            <w:rFonts w:cs="Times New Roman"/>
            <w:color w:val="000000" w:themeColor="text1"/>
            <w:szCs w:val="24"/>
            <w:shd w:val="clear" w:color="auto" w:fill="FFFFFF"/>
          </w:rPr>
          <w:t>National Center for Emerging and Zoonotic Infectious Diseases (NCEZID)</w:t>
        </w:r>
      </w:hyperlink>
      <w:r w:rsidRPr="001963A6" w:rsidR="00D209FD">
        <w:rPr>
          <w:rFonts w:cs="Times New Roman"/>
          <w:color w:val="000000" w:themeColor="text1"/>
          <w:szCs w:val="24"/>
        </w:rPr>
        <w:t xml:space="preserve">, </w:t>
      </w:r>
      <w:r w:rsidRPr="001963A6" w:rsidR="00420049">
        <w:rPr>
          <w:rFonts w:cs="Times New Roman"/>
          <w:szCs w:val="24"/>
        </w:rPr>
        <w:t xml:space="preserve">Division of Healthcare Quality Promotion (DHQP) </w:t>
      </w:r>
      <w:r w:rsidRPr="001963A6" w:rsidR="000E598D">
        <w:rPr>
          <w:szCs w:val="24"/>
        </w:rPr>
        <w:t>request</w:t>
      </w:r>
      <w:r w:rsidRPr="001963A6" w:rsidR="00B924A1">
        <w:rPr>
          <w:szCs w:val="24"/>
        </w:rPr>
        <w:t xml:space="preserve">s </w:t>
      </w:r>
      <w:r w:rsidRPr="001963A6" w:rsidR="008F72A2">
        <w:rPr>
          <w:szCs w:val="24"/>
        </w:rPr>
        <w:t xml:space="preserve">a </w:t>
      </w:r>
      <w:r w:rsidR="00D6428E">
        <w:rPr>
          <w:szCs w:val="24"/>
        </w:rPr>
        <w:t>three</w:t>
      </w:r>
      <w:r w:rsidRPr="00144364" w:rsidR="008F72A2">
        <w:rPr>
          <w:szCs w:val="24"/>
        </w:rPr>
        <w:t>-year</w:t>
      </w:r>
      <w:r w:rsidRPr="001963A6" w:rsidR="008F72A2">
        <w:rPr>
          <w:szCs w:val="24"/>
        </w:rPr>
        <w:t xml:space="preserve"> </w:t>
      </w:r>
      <w:r w:rsidRPr="001963A6" w:rsidR="000E598D">
        <w:rPr>
          <w:szCs w:val="24"/>
        </w:rPr>
        <w:t xml:space="preserve"> </w:t>
      </w:r>
      <w:r w:rsidRPr="001963A6" w:rsidR="008F72A2">
        <w:rPr>
          <w:szCs w:val="24"/>
        </w:rPr>
        <w:t xml:space="preserve">approval for a </w:t>
      </w:r>
      <w:r w:rsidRPr="001963A6" w:rsidR="00F96509">
        <w:rPr>
          <w:szCs w:val="24"/>
        </w:rPr>
        <w:t xml:space="preserve">new </w:t>
      </w:r>
      <w:r w:rsidRPr="001963A6" w:rsidR="00420049">
        <w:rPr>
          <w:szCs w:val="24"/>
        </w:rPr>
        <w:t xml:space="preserve">information collection </w:t>
      </w:r>
      <w:r w:rsidRPr="001963A6" w:rsidR="00CF42FF">
        <w:rPr>
          <w:szCs w:val="24"/>
        </w:rPr>
        <w:t>titled</w:t>
      </w:r>
      <w:r w:rsidRPr="001963A6" w:rsidR="00CF42FF">
        <w:t xml:space="preserve"> </w:t>
      </w:r>
      <w:r w:rsidR="00D47552">
        <w:t>“</w:t>
      </w:r>
      <w:r w:rsidRPr="001D21DE" w:rsidR="00621548">
        <w:rPr>
          <w:szCs w:val="24"/>
        </w:rPr>
        <w:t>Assessment of the</w:t>
      </w:r>
      <w:r w:rsidRPr="006D0564" w:rsidR="00621548">
        <w:rPr>
          <w:i/>
          <w:iCs/>
          <w:szCs w:val="24"/>
        </w:rPr>
        <w:t xml:space="preserve"> </w:t>
      </w:r>
      <w:r w:rsidRPr="006D0564" w:rsidR="00704B10">
        <w:rPr>
          <w:i/>
          <w:iCs/>
          <w:szCs w:val="24"/>
        </w:rPr>
        <w:t>Get Ahead of Sepsis</w:t>
      </w:r>
      <w:r w:rsidR="006D0564">
        <w:rPr>
          <w:i/>
          <w:iCs/>
          <w:szCs w:val="24"/>
        </w:rPr>
        <w:t xml:space="preserve"> (GAOS)</w:t>
      </w:r>
      <w:r w:rsidR="005428DE">
        <w:rPr>
          <w:szCs w:val="24"/>
        </w:rPr>
        <w:t>”</w:t>
      </w:r>
      <w:r w:rsidRPr="001963A6" w:rsidR="00621548">
        <w:rPr>
          <w:szCs w:val="24"/>
        </w:rPr>
        <w:t xml:space="preserve"> Consumer and Healthcare Professional</w:t>
      </w:r>
      <w:r w:rsidR="00D957F8">
        <w:rPr>
          <w:szCs w:val="24"/>
        </w:rPr>
        <w:t xml:space="preserve"> </w:t>
      </w:r>
      <w:r w:rsidRPr="001963A6" w:rsidR="00621548">
        <w:rPr>
          <w:szCs w:val="24"/>
        </w:rPr>
        <w:t>Campaign</w:t>
      </w:r>
      <w:r w:rsidR="001400EC">
        <w:rPr>
          <w:szCs w:val="24"/>
        </w:rPr>
        <w:t>.</w:t>
      </w:r>
      <w:r w:rsidR="00D47552">
        <w:rPr>
          <w:szCs w:val="24"/>
        </w:rPr>
        <w:t>”</w:t>
      </w:r>
      <w:r w:rsidRPr="001963A6" w:rsidR="00E615A0">
        <w:rPr>
          <w:szCs w:val="24"/>
        </w:rPr>
        <w:t xml:space="preserve"> </w:t>
      </w:r>
      <w:r w:rsidR="00C51827">
        <w:t xml:space="preserve">This </w:t>
      </w:r>
      <w:r w:rsidR="002C559F">
        <w:t xml:space="preserve">one-time data </w:t>
      </w:r>
      <w:r w:rsidR="00C51827">
        <w:t xml:space="preserve">collection will assess </w:t>
      </w:r>
      <w:r w:rsidR="00945214">
        <w:t>the reach and appe</w:t>
      </w:r>
      <w:r w:rsidR="0047546B">
        <w:t>a</w:t>
      </w:r>
      <w:r w:rsidR="00945214">
        <w:t>l</w:t>
      </w:r>
      <w:r w:rsidR="0047546B">
        <w:t xml:space="preserve"> of </w:t>
      </w:r>
      <w:r w:rsidR="00C51827">
        <w:t xml:space="preserve">the </w:t>
      </w:r>
      <w:r w:rsidRPr="006D0564" w:rsidR="006D0564">
        <w:rPr>
          <w:i/>
          <w:iCs/>
          <w:szCs w:val="24"/>
        </w:rPr>
        <w:t>Get Ahead of Sepsis</w:t>
      </w:r>
      <w:r w:rsidR="006D0564">
        <w:rPr>
          <w:i/>
          <w:iCs/>
          <w:szCs w:val="24"/>
        </w:rPr>
        <w:t xml:space="preserve"> (GAOS</w:t>
      </w:r>
      <w:r w:rsidR="006D0564">
        <w:rPr>
          <w:rFonts w:eastAsia="Arial Nova"/>
          <w:i/>
          <w:iCs/>
        </w:rPr>
        <w:t xml:space="preserve">) </w:t>
      </w:r>
      <w:r w:rsidR="00C51827">
        <w:t xml:space="preserve">campaign </w:t>
      </w:r>
      <w:r w:rsidR="0047546B">
        <w:t xml:space="preserve">messaging </w:t>
      </w:r>
      <w:r w:rsidR="00DB4F1B">
        <w:t xml:space="preserve">and partner outreach </w:t>
      </w:r>
      <w:r w:rsidR="003F2B06">
        <w:t xml:space="preserve">in select markets </w:t>
      </w:r>
      <w:r w:rsidR="00A20790">
        <w:t xml:space="preserve">and </w:t>
      </w:r>
      <w:r w:rsidR="0003214F">
        <w:t xml:space="preserve">examine differences in </w:t>
      </w:r>
      <w:r w:rsidR="00C5207E">
        <w:t>sepsis</w:t>
      </w:r>
      <w:r w:rsidR="0003214F">
        <w:t xml:space="preserve"> </w:t>
      </w:r>
      <w:r w:rsidRPr="00AB162E" w:rsidR="00C51827">
        <w:t>knowledge</w:t>
      </w:r>
      <w:r w:rsidR="006504C8">
        <w:t>, awareness, beliefs,</w:t>
      </w:r>
      <w:r w:rsidRPr="00AB162E" w:rsidR="00C51827">
        <w:t xml:space="preserve"> </w:t>
      </w:r>
      <w:r w:rsidRPr="001E5999" w:rsidR="001E5999">
        <w:rPr>
          <w:rFonts w:cs="Times New Roman"/>
          <w:szCs w:val="24"/>
        </w:rPr>
        <w:t>and behavior</w:t>
      </w:r>
      <w:r w:rsidR="0052046D">
        <w:rPr>
          <w:rFonts w:cs="Times New Roman"/>
          <w:szCs w:val="24"/>
        </w:rPr>
        <w:t>al</w:t>
      </w:r>
      <w:r w:rsidRPr="001E5999" w:rsidR="001E5999">
        <w:rPr>
          <w:rFonts w:cs="Times New Roman"/>
          <w:szCs w:val="24"/>
        </w:rPr>
        <w:t xml:space="preserve"> </w:t>
      </w:r>
      <w:r w:rsidR="006504C8">
        <w:rPr>
          <w:rFonts w:cs="Times New Roman"/>
          <w:szCs w:val="24"/>
        </w:rPr>
        <w:t xml:space="preserve">intentions </w:t>
      </w:r>
      <w:r w:rsidR="00361D38">
        <w:rPr>
          <w:rFonts w:cs="Times New Roman"/>
          <w:szCs w:val="24"/>
        </w:rPr>
        <w:t xml:space="preserve">among </w:t>
      </w:r>
      <w:r w:rsidR="003F2B06">
        <w:rPr>
          <w:rFonts w:cs="Times New Roman"/>
          <w:szCs w:val="24"/>
        </w:rPr>
        <w:t xml:space="preserve">consumer and </w:t>
      </w:r>
      <w:r w:rsidR="003B146D">
        <w:rPr>
          <w:rFonts w:cs="Times New Roman"/>
          <w:szCs w:val="24"/>
        </w:rPr>
        <w:t xml:space="preserve">healthcare professional (HCP) audiences </w:t>
      </w:r>
      <w:r w:rsidR="00361D38">
        <w:rPr>
          <w:rFonts w:cs="Times New Roman"/>
          <w:szCs w:val="24"/>
        </w:rPr>
        <w:t xml:space="preserve">who have and have not been exposed to </w:t>
      </w:r>
      <w:r w:rsidR="001746C9">
        <w:rPr>
          <w:rFonts w:cs="Times New Roman"/>
          <w:szCs w:val="24"/>
        </w:rPr>
        <w:t xml:space="preserve">the </w:t>
      </w:r>
      <w:r w:rsidRPr="00E74954" w:rsidR="00E74954">
        <w:rPr>
          <w:rFonts w:cs="Times New Roman"/>
          <w:i/>
          <w:iCs/>
          <w:szCs w:val="24"/>
        </w:rPr>
        <w:t>GAOS</w:t>
      </w:r>
      <w:r w:rsidR="00FB4860">
        <w:rPr>
          <w:rFonts w:cs="Times New Roman"/>
          <w:szCs w:val="24"/>
        </w:rPr>
        <w:t xml:space="preserve"> </w:t>
      </w:r>
      <w:r w:rsidR="00361D38">
        <w:rPr>
          <w:rFonts w:cs="Times New Roman"/>
          <w:szCs w:val="24"/>
        </w:rPr>
        <w:t>messaging</w:t>
      </w:r>
      <w:r w:rsidR="00D71863">
        <w:rPr>
          <w:rFonts w:cs="Times New Roman"/>
          <w:szCs w:val="24"/>
        </w:rPr>
        <w:t xml:space="preserve"> and partner outreach</w:t>
      </w:r>
      <w:r w:rsidR="00361D38">
        <w:rPr>
          <w:rFonts w:cs="Times New Roman"/>
          <w:szCs w:val="24"/>
        </w:rPr>
        <w:t xml:space="preserve">. </w:t>
      </w:r>
      <w:r w:rsidRPr="00EE3D1A">
        <w:rPr>
          <w:rFonts w:cs="Times New Roman"/>
          <w:szCs w:val="24"/>
        </w:rPr>
        <w:t xml:space="preserve">The data collection activities </w:t>
      </w:r>
      <w:r>
        <w:rPr>
          <w:rFonts w:cs="Times New Roman"/>
          <w:szCs w:val="24"/>
        </w:rPr>
        <w:t xml:space="preserve">proposed </w:t>
      </w:r>
      <w:r w:rsidRPr="00EE3D1A">
        <w:rPr>
          <w:rFonts w:cs="Times New Roman"/>
          <w:szCs w:val="24"/>
        </w:rPr>
        <w:t xml:space="preserve">in this </w:t>
      </w:r>
      <w:r>
        <w:rPr>
          <w:rFonts w:cs="Times New Roman"/>
          <w:szCs w:val="24"/>
        </w:rPr>
        <w:t xml:space="preserve">new </w:t>
      </w:r>
      <w:r w:rsidR="006C1763">
        <w:rPr>
          <w:rFonts w:cs="Times New Roman"/>
          <w:szCs w:val="24"/>
        </w:rPr>
        <w:t>information collection w</w:t>
      </w:r>
      <w:r w:rsidRPr="00EE3D1A">
        <w:rPr>
          <w:rFonts w:cs="Times New Roman"/>
          <w:szCs w:val="24"/>
        </w:rPr>
        <w:t>ill allow CDC to capture critical information</w:t>
      </w:r>
      <w:r>
        <w:rPr>
          <w:rFonts w:cs="Times New Roman"/>
          <w:szCs w:val="24"/>
        </w:rPr>
        <w:t xml:space="preserve"> </w:t>
      </w:r>
      <w:r w:rsidRPr="00EE3D1A">
        <w:rPr>
          <w:rFonts w:cs="Times New Roman"/>
          <w:szCs w:val="24"/>
        </w:rPr>
        <w:t xml:space="preserve">needed to </w:t>
      </w:r>
      <w:r>
        <w:rPr>
          <w:rFonts w:cs="Times New Roman"/>
          <w:szCs w:val="24"/>
        </w:rPr>
        <w:t xml:space="preserve">inform refinement and implementation of the </w:t>
      </w:r>
      <w:r w:rsidRPr="00E74954" w:rsidR="00E74954">
        <w:rPr>
          <w:rFonts w:cs="Times New Roman"/>
          <w:i/>
          <w:iCs/>
          <w:szCs w:val="24"/>
        </w:rPr>
        <w:t>GAOS</w:t>
      </w:r>
      <w:r>
        <w:rPr>
          <w:rFonts w:cs="Times New Roman"/>
          <w:szCs w:val="24"/>
        </w:rPr>
        <w:t xml:space="preserve"> campaign’s materials and tactics. </w:t>
      </w:r>
      <w:bookmarkStart w:id="7" w:name="_Hlk111651390"/>
    </w:p>
    <w:bookmarkEnd w:id="7"/>
    <w:p w:rsidR="00153B65" w:rsidP="00E614A0" w14:paraId="0952B684" w14:textId="6BCF08D9">
      <w:pPr>
        <w:rPr>
          <w:u w:val="single"/>
        </w:rPr>
      </w:pPr>
      <w:r w:rsidRPr="00151A6C">
        <w:rPr>
          <w:u w:val="single"/>
        </w:rPr>
        <w:t>Background</w:t>
      </w:r>
      <w:r w:rsidR="00991952">
        <w:rPr>
          <w:u w:val="single"/>
        </w:rPr>
        <w:t xml:space="preserve"> </w:t>
      </w:r>
    </w:p>
    <w:p w:rsidR="00205B7A" w:rsidRPr="001958B4" w:rsidP="00205B7A" w14:paraId="69424BC2" w14:textId="00E6C8D2">
      <w:pPr>
        <w:rPr>
          <w:rStyle w:val="fontstyle01"/>
          <w:rFonts w:ascii="Times New Roman" w:hAnsi="Times New Roman" w:cs="Times New Roman"/>
          <w:sz w:val="24"/>
          <w:szCs w:val="24"/>
        </w:rPr>
      </w:pPr>
      <w:r w:rsidRPr="001958B4">
        <w:rPr>
          <w:rStyle w:val="fontstyle01"/>
          <w:rFonts w:ascii="Times New Roman" w:hAnsi="Times New Roman" w:cs="Times New Roman"/>
          <w:sz w:val="24"/>
          <w:szCs w:val="24"/>
        </w:rPr>
        <w:t>Sepsis is a life threating emergency, and it is the body’s overactive and toxic response to an infection. Each year 1.7</w:t>
      </w:r>
      <w:r>
        <w:rPr>
          <w:rStyle w:val="fontstyle01"/>
          <w:rFonts w:cs="Times New Roman"/>
          <w:szCs w:val="24"/>
        </w:rPr>
        <w:t xml:space="preserve"> </w:t>
      </w:r>
      <w:r w:rsidRPr="001958B4">
        <w:rPr>
          <w:rStyle w:val="fontstyle01"/>
          <w:rFonts w:ascii="Times New Roman" w:hAnsi="Times New Roman" w:cs="Times New Roman"/>
          <w:sz w:val="24"/>
          <w:szCs w:val="24"/>
        </w:rPr>
        <w:t>million adults in the U</w:t>
      </w:r>
      <w:r w:rsidR="002A796F">
        <w:rPr>
          <w:rStyle w:val="fontstyle01"/>
          <w:rFonts w:ascii="Times New Roman" w:hAnsi="Times New Roman" w:cs="Times New Roman"/>
          <w:sz w:val="24"/>
          <w:szCs w:val="24"/>
        </w:rPr>
        <w:t>.S.</w:t>
      </w:r>
      <w:r w:rsidRPr="001958B4">
        <w:rPr>
          <w:rStyle w:val="fontstyle01"/>
          <w:rFonts w:ascii="Times New Roman" w:hAnsi="Times New Roman" w:cs="Times New Roman"/>
          <w:sz w:val="24"/>
          <w:szCs w:val="24"/>
        </w:rPr>
        <w:t xml:space="preserve"> develop sepsis, with 270,000 fatalities</w:t>
      </w:r>
      <w:r w:rsidR="003C228E">
        <w:rPr>
          <w:rStyle w:val="fontstyle01"/>
          <w:rFonts w:ascii="Times New Roman" w:hAnsi="Times New Roman" w:cs="Times New Roman"/>
          <w:sz w:val="24"/>
          <w:szCs w:val="24"/>
        </w:rPr>
        <w:t xml:space="preserve"> </w:t>
      </w:r>
      <w:r w:rsidR="000F6E50">
        <w:rPr>
          <w:rStyle w:val="fontstyle01"/>
          <w:rFonts w:ascii="Times New Roman" w:hAnsi="Times New Roman" w:cs="Times New Roman"/>
          <w:sz w:val="24"/>
          <w:szCs w:val="24"/>
        </w:rPr>
        <w:t>(</w:t>
      </w:r>
      <w:r w:rsidR="003C228E">
        <w:rPr>
          <w:rStyle w:val="fontstyle01"/>
          <w:rFonts w:ascii="Times New Roman" w:hAnsi="Times New Roman" w:cs="Times New Roman"/>
          <w:sz w:val="24"/>
          <w:szCs w:val="24"/>
        </w:rPr>
        <w:t>CDC,</w:t>
      </w:r>
      <w:r w:rsidR="000F6E50">
        <w:rPr>
          <w:rStyle w:val="fontstyle01"/>
          <w:rFonts w:ascii="Times New Roman" w:hAnsi="Times New Roman" w:cs="Times New Roman"/>
          <w:sz w:val="24"/>
          <w:szCs w:val="24"/>
        </w:rPr>
        <w:t>2022)</w:t>
      </w:r>
      <w:r w:rsidRPr="001958B4">
        <w:rPr>
          <w:rStyle w:val="fontstyle01"/>
          <w:rFonts w:ascii="Times New Roman" w:hAnsi="Times New Roman" w:cs="Times New Roman"/>
          <w:sz w:val="24"/>
          <w:szCs w:val="24"/>
        </w:rPr>
        <w:t>. Sepsis is the leading cause of death in</w:t>
      </w:r>
      <w:r>
        <w:rPr>
          <w:rStyle w:val="fontstyle01"/>
          <w:rFonts w:cs="Times New Roman"/>
          <w:szCs w:val="24"/>
        </w:rPr>
        <w:t xml:space="preserve"> </w:t>
      </w:r>
      <w:r w:rsidRPr="001958B4">
        <w:rPr>
          <w:rStyle w:val="fontstyle01"/>
          <w:rFonts w:ascii="Times New Roman" w:hAnsi="Times New Roman" w:cs="Times New Roman"/>
          <w:sz w:val="24"/>
          <w:szCs w:val="24"/>
        </w:rPr>
        <w:t>hospitals and one out of three hospital fatalities are due to sepsis infection</w:t>
      </w:r>
      <w:r w:rsidR="001D286F">
        <w:rPr>
          <w:rStyle w:val="fontstyle01"/>
          <w:rFonts w:ascii="Times New Roman" w:hAnsi="Times New Roman" w:cs="Times New Roman"/>
          <w:sz w:val="24"/>
          <w:szCs w:val="24"/>
        </w:rPr>
        <w:t xml:space="preserve"> </w:t>
      </w:r>
      <w:r w:rsidR="00A23C7D">
        <w:fldChar w:fldCharType="begin"/>
      </w:r>
      <w:r w:rsidR="00A23C7D">
        <w:instrText xml:space="preserve"> ADDIN ZOTERO_ITEM CSL_CITATION {"citationID":"Q4jdAOiK","properties":{"formattedCitation":"(Liu et al., 2014; Rhee et al., 2017; {\\i{}Sepsis a Leading Cause of Death in U.S. Hospitals but Many Deaths May Not Be Preventable}, n.d.; \\uc0\\u8220{}What Is Sepsis,\\uc0\\u8221{} n.d.)","plainCitation":"(Liu et al., 2014; Rhee et al., 2017; Sepsis a Leading Cause of Death in U.S. Hospitals but Many Deaths May Not Be Preventable, n.d.; “What Is Sepsis,” n.d.)","noteIndex":0},"citationItems":[{"id":6118,"uris":["http://zotero.org/users/1733058/items/RBG46C8Y"],"uri":["http://zotero.org/users/1733058/items/RBG46C8Y"],"itemData":{"id":6118,"type":"article-journal","abstract":"Sepsis, the inflammatory response to infection, affects millions of patients worldwide. However, its effect on overall hospital mortality has not been measured. We quantified the contribution of sepsis to mortality in 2 complementary inpatient cohorts from Kaiser Permanente Northern California (KPNC) and the Healthcare Cost and Utilization Project Nationwide Inpatient Sample (NIS).","container-title":"JAMA","DOI":"10.1001/jama.2014.5804","ISSN":"0098-7484","issue":"1","journalAbbreviation":"JAMA","page":"90-92","source":"Silverchair","title":"Hospital Deaths in Patients With Sepsis From 2 Independent Cohorts","volume":"312","author":[{"family":"Liu","given":"Vincent"},{"family":"Escobar","given":"Gabriel J."},{"family":"Greene","given":"John D."},{"family":"Soule","given":"Jay"},{"family":"Whippy","given":"Alan"},{"family":"Angus","given":"Derek C."},{"family":"Iwashyna","given":"Theodore J."}],"issued":{"date-parts":[["2014",7,2]]}},"label":"page"},{"id":6121,"uris":["http://zotero.org/users/1733058/items/2FKUVQ5I"],"uri":["http://zotero.org/users/1733058/items/2FKUVQ5I"],"itemData":{"id":6121,"type":"article-journal","abstract":"This cohort study compares estimates of sepsis incidence, outcomes, and trends based on clinical data from US hospital electronic health record systems vs claims-based ICD-9 data.","container-title":"JAMA","DOI":"10.1001/jama.2017.13836","ISSN":"0098-7484","issue":"13","journalAbbreviation":"JAMA","note":"PMID: 28903154\nPMCID: PMC5710396","page":"1241-1249","source":"PubMed Central","title":"Incidence and Trends of Sepsis in US Hospitals Using Clinical vs Claims Data, 2009-2014","volume":"318","author":[{"family":"Rhee","given":"Chanu"},{"family":"Dantes","given":"Raymund"},{"family":"Epstein","given":"Lauren"},{"family":"Murphy","given":"David J."},{"family":"Seymour","given":"Christopher W."},{"family":"Iwashyna","given":"Theodore J."},{"family":"Kadri","given":"Sameer S."},{"family":"Angus","given":"Derek C."},{"family":"Danner","given":"Robert L."},{"family":"Fiore","given":"Anthony E."},{"family":"Jernigan","given":"John A."},{"family":"Martin","given":"Greg S."},{"family":"Septimus","given":"Edward"},{"family":"Warren","given":"David K."},{"family":"Karcz","given":"Anita"},{"family":"Chan","given":"Christina"},{"family":"Menchaca","given":"John T."},{"family":"Wang","given":"Rui"},{"family":"Gruber","given":"Susan"},{"family":"Klompas","given":"Michael"}],"issued":{"date-parts":[["2017",10,3]]}},"label":"page"},{"id":6155,"uris":["http://zotero.org/users/1733058/items/XZK4F3KT"],"uri":["http://zotero.org/users/1733058/items/XZK4F3KT"],"itemData":{"id":6155,"type":"webpage","container-title":"Infection Control Today","title":"Sepsis a Leading Cause of Death in U.S. Hospitals but Many Deaths May Not be Preventable","URL":"https://www.infectioncontroltoday.com/view/sepsis-leading-cause-death-us-hospitals-many-deaths-may-not-be-preventable","accessed":{"date-parts":[["2022",1,5]]}},"label":"page"},{"id":6123,"uris":["http://zotero.org/users/1733058/items/NFRRJRLD"],"uri":["http://zotero.org/users/1733058/items/NFRRJRLD"],"itemData":{"id":6123,"type":"post-weblog","abstract":"Sepsis and septic shock is the body’s overwhelming and life-threatening response to infection that can lead to death.","container-title":"Sepsis Alliance","language":"en-US","title":"What Is Sepsis","URL":"https://www.sepsis.org/sepsis-basics/what-is-sepsis/","accessed":{"date-parts":[["2022",1,5]]}},"label":"page"}],"schema":"https://github.com/citation-style-language/schema/raw/master/csl-citation.json"} </w:instrText>
      </w:r>
      <w:r w:rsidR="00A23C7D">
        <w:fldChar w:fldCharType="separate"/>
      </w:r>
      <w:r w:rsidRPr="002B0121" w:rsidR="00A23C7D">
        <w:t>(</w:t>
      </w:r>
      <w:r w:rsidR="004E1171">
        <w:t xml:space="preserve">CDC, 2022; </w:t>
      </w:r>
      <w:r w:rsidRPr="000A481E" w:rsidR="00A23C7D">
        <w:t xml:space="preserve">Liu et al., 2014; Rhee et al., 2017; </w:t>
      </w:r>
      <w:r w:rsidRPr="000A481E" w:rsidR="00A23C7D">
        <w:rPr>
          <w:i/>
          <w:iCs/>
        </w:rPr>
        <w:t>Sepsis a Leading Cause of Death in U.S. Hospitals but Many Deaths</w:t>
      </w:r>
      <w:r w:rsidRPr="002B0121" w:rsidR="00A23C7D">
        <w:rPr>
          <w:i/>
          <w:iCs/>
        </w:rPr>
        <w:t xml:space="preserve"> May Not Be Preventable</w:t>
      </w:r>
      <w:r w:rsidRPr="002B0121" w:rsidR="00A23C7D">
        <w:t>, n.d.; “What Is Sepsis,” n.d.)</w:t>
      </w:r>
      <w:r w:rsidR="00A23C7D">
        <w:fldChar w:fldCharType="end"/>
      </w:r>
      <w:r w:rsidR="00A23C7D">
        <w:t>.</w:t>
      </w:r>
      <w:r w:rsidR="002B4D83">
        <w:rPr>
          <w:rStyle w:val="fontstyle01"/>
          <w:rFonts w:ascii="Times New Roman" w:hAnsi="Times New Roman" w:cs="Times New Roman"/>
          <w:sz w:val="24"/>
          <w:szCs w:val="24"/>
        </w:rPr>
        <w:t xml:space="preserve"> </w:t>
      </w:r>
      <w:r w:rsidRPr="001958B4">
        <w:rPr>
          <w:rStyle w:val="fontstyle01"/>
          <w:rFonts w:ascii="Times New Roman" w:hAnsi="Times New Roman" w:cs="Times New Roman"/>
          <w:sz w:val="24"/>
          <w:szCs w:val="24"/>
        </w:rPr>
        <w:t>Sepsis management in U.S. hospitals is</w:t>
      </w:r>
      <w:r>
        <w:rPr>
          <w:rStyle w:val="fontstyle01"/>
          <w:rFonts w:cs="Times New Roman"/>
          <w:szCs w:val="24"/>
        </w:rPr>
        <w:t xml:space="preserve"> </w:t>
      </w:r>
      <w:r w:rsidRPr="001958B4">
        <w:rPr>
          <w:rStyle w:val="fontstyle01"/>
          <w:rFonts w:ascii="Times New Roman" w:hAnsi="Times New Roman" w:cs="Times New Roman"/>
          <w:sz w:val="24"/>
          <w:szCs w:val="24"/>
        </w:rPr>
        <w:t>the highest when compared to inpatient cost for all other medical conditions</w:t>
      </w:r>
      <w:r w:rsidR="001A6B0E">
        <w:rPr>
          <w:rStyle w:val="fontstyle01"/>
          <w:rFonts w:ascii="Times New Roman" w:hAnsi="Times New Roman" w:cs="Times New Roman"/>
          <w:sz w:val="24"/>
          <w:szCs w:val="24"/>
        </w:rPr>
        <w:t xml:space="preserve"> </w:t>
      </w:r>
      <w:r w:rsidR="001A6B0E">
        <w:fldChar w:fldCharType="begin"/>
      </w:r>
      <w:r w:rsidR="001A6B0E">
        <w:instrText xml:space="preserve"> ADDIN ZOTERO_ITEM CSL_CITATION {"citationID":"ZacR8DvH","properties":{"formattedCitation":"(Paoli et al., 2018)","plainCitation":"(Paoli et al., 2018)","noteIndex":0},"citationItems":[{"id":6152,"uris":["http://zotero.org/users/1733058/items/5ELRS9LV"],"uri":["http://zotero.org/users/1733058/items/5ELRS9LV"],"itemData":{"id":6152,"type":"article-journal","abstract":"Objectives:\nTo characterize the current burden, outcomes, and costs of managing sepsis patients in U.S. hospitals.\n\nDesign:\nA retrospective observational study was conducted using the Premier Healthcare Database, which represents ~20% of U.S. inpatient discharges among private and academic hospitals. Hospital costs were obtained from billing records per the cost accounting method used by each hospital. Descriptive statistics were performed on patient demographics, characteristics, and clinical and economic outcomes for the index hospitalization and 30-day readmissions.\n\nSetting:\nSepsis patient hospitalizations, including inpatient, general ward, and ICU (intermediate and/or step-down).\n\nPatients:\nAdults over 18 years old with a hospital discharge diagnosis code of sepsis from January 1, 2010, to September 30, 2016.\n\nInterventions:\nNone. This was a retrospective observational study of deidentified data.\n\nMeasurements and Main Results:\nThe final study cohort consisted of 2,566,689 sepsis cases, representing patients with a mean age of 65 years (50.8% female). Overall mortality was 12.5% but varied greatly by severity (5.6%, 14.9%, and 34.2%) for sepsis without organ dysfunction, severe sepsis, and septic shock, respectively. Costs followed a similar pattern increasing by severity level: $16,324, $24,638, and $38,298 and varied widely by sepsis present at admission ($18,023) and not present at admission ($51,022).\n\nConclusions:\nThe highest burden of incidence and total costs occurred in the lowest severity sepsis cohort population. Sepsis cases not diagnosed until after admission, and those with increasing severity had a higher economic burden and mortality on a case-by-case basis. Methods to improve early identification of sepsis may provide opportunities for reducing the severity and economic burden of sepsis in the United States.","container-title":"Critical Care Medicine","DOI":"10.1097/CCM.0000000000003342","ISSN":"0090-3493","issue":"12","journalAbbreviation":"Crit Care Med","note":"PMID: 30048332\nPMCID: PMC6250243","page":"1889-1897","source":"PubMed Central","title":"Epidemiology and Costs of Sepsis in the United States—An Analysis Based on Timing of Diagnosis and Severity Level*","volume":"46","author":[{"family":"Paoli","given":"Carly J."},{"family":"Reynolds","given":"Mark A."},{"family":"Sinha","given":"Meenal"},{"family":"Gitlin","given":"Matthew"},{"family":"Crouser","given":"Elliott"}],"issued":{"date-parts":[["2018",12]]}}}],"schema":"https://github.com/citation-style-language/schema/raw/master/csl-citation.json"} </w:instrText>
      </w:r>
      <w:r w:rsidR="001A6B0E">
        <w:fldChar w:fldCharType="separate"/>
      </w:r>
      <w:r w:rsidRPr="00716F59" w:rsidR="001A6B0E">
        <w:t>(Paoli et al., 2018)</w:t>
      </w:r>
      <w:r w:rsidR="001A6B0E">
        <w:fldChar w:fldCharType="end"/>
      </w:r>
      <w:r w:rsidRPr="001958B4">
        <w:rPr>
          <w:rStyle w:val="fontstyle01"/>
          <w:rFonts w:ascii="Times New Roman" w:hAnsi="Times New Roman" w:cs="Times New Roman"/>
          <w:sz w:val="24"/>
          <w:szCs w:val="24"/>
        </w:rPr>
        <w:t>. Annual costs are estimated to be over</w:t>
      </w:r>
      <w:r>
        <w:rPr>
          <w:rStyle w:val="fontstyle01"/>
          <w:rFonts w:cs="Times New Roman"/>
          <w:szCs w:val="24"/>
        </w:rPr>
        <w:t xml:space="preserve"> </w:t>
      </w:r>
      <w:r w:rsidRPr="001958B4">
        <w:rPr>
          <w:rStyle w:val="fontstyle01"/>
          <w:rFonts w:ascii="Times New Roman" w:hAnsi="Times New Roman" w:cs="Times New Roman"/>
          <w:sz w:val="24"/>
          <w:szCs w:val="24"/>
        </w:rPr>
        <w:t>$62 billion</w:t>
      </w:r>
      <w:r w:rsidR="000D02F5">
        <w:rPr>
          <w:rStyle w:val="fontstyle01"/>
          <w:rFonts w:ascii="Times New Roman" w:hAnsi="Times New Roman" w:cs="Times New Roman"/>
          <w:sz w:val="24"/>
          <w:szCs w:val="24"/>
        </w:rPr>
        <w:t xml:space="preserve"> </w:t>
      </w:r>
      <w:r w:rsidR="000D02F5">
        <w:fldChar w:fldCharType="begin"/>
      </w:r>
      <w:r w:rsidR="000D02F5">
        <w:instrText xml:space="preserve"> ADDIN ZOTERO_ITEM CSL_CITATION {"citationID":"vdXeoxhn","properties":{"formattedCitation":"(Buchman et al., 2020; Martin et al., 2016, 2016)","plainCitation":"(Buchman et al., 2020; Martin et al., 2016, 2016)","noteIndex":0},"citationItems":[{"id":6090,"uris":["http://zotero.org/users/1733058/items/5QCQTWAP"],"uri":["http://zotero.org/users/1733058/items/5QCQTWAP"],"itemData":{"id":6090,"type":"article-journal","abstract":"Objective: \n        To evaluate the impact of sepsis, age, and comorbidities on death following an acute inpatient admission and to model and forecast inpatient and skilled nursing facility costs for Medicare beneficiaries during and subsequent to an acute inpatient sepsis admission.\n        Design: \n        Analysis of paid Medicare claims via the Centers for Medicare &amp; Medicaid Services DataLink Project (CMS) and leveraging the CMS-Hierarchical Condition Category risk adjustment model.\n        Setting: \n        All U.S. acute care hospitals, excepting federal hospitals (Veterans Administration and Defense Health Agency).\n        Patients: \n        All Part A/B (fee-for-service) Medicare beneficiaries with an acute inpatient admission in 2017 and who had no inpatient sepsis admission in the prior year.\n        Interventions: \n        None.\n        Measurements and Main Results: \n        Logistic regression models to determine covariate risk contribution to death following an acute inpatient admission; conventional regression to predict Medicare beneficiary sepsis costs. Using the Hierarchical Condition Category risk adjustment model to illuminate influence of illness on outcome of inpatient admissions, representative odds ratios (with 95% CIs) for death within 6 months of an admission (referenced to beneficiaries admitted but without the characteristic) are as follows: septic shock, 7.27 (7.19–7.35); metastatic cancer and acute leukemia (Hierarchical Condition Category 8), 6.76 (6.71–6.82); all sepsis, 2.63 (2.62–2.65); respiratory arrest (Hierarchical Condition Category 83), 2.55 (2.35–2.77); end-stage liver disease (Hierarchical Condition Category 27), 2.53 (2.49–2.56); and severe sepsis without shock, 2.48 (2.45–2.51). Models of the cost of sepsis care for Medicare beneficiaries forecast arise approximately 13% over 2 years owing the rising enrollments in Medicare offset by the cost of care per admission.\n        Conclusions: \n        A sepsis inpatient admission is associated with marked increase in risk of death that is comparable to the risks associated with inpatient admissions for other common and serious chronic illnesses. The aggregate costs of sepsis care for Medicare beneficiaries will continue to increase.","container-title":"Critical Care Medicine","DOI":"10.1097/CCM.0000000000004225","ISSN":"0090-3493","issue":"3","language":"en-US","page":"302–318","source":"journals.lww.com","title":"Sepsis Among Medicare Beneficiaries: 3. The Methods, Models, and Forecasts of Sepsis, 2012–2018*","title-short":"Sepsis Among Medicare Beneficiaries","volume":"48","author":[{"family":"Buchman","given":"Timothy G."},{"family":"Simpson","given":"Steven Q."},{"family":"Sciarretta","given":"Kimberly L."},{"family":"Finne","given":"Kristen P."},{"family":"Sowers","given":"Nicole"},{"family":"Collier","given":"Michael"},{"family":"Chavan","given":"Saurabh"},{"family":"Oke","given":"Ibijoke"},{"family":"Pennini","given":"Meghan E."},{"family":"Santhosh","given":"Aathira"},{"family":"Wax","given":"Marie"},{"family":"Woodbury","given":"Robyn"},{"family":"Chu","given":"Steve"},{"family":"Merkeley","given":"Tyler G."},{"family":"Disbrow","given":"Gary L."},{"family":"Bright","given":"Rick A."},{"family":"MaCurdy","given":"Thomas E."},{"family":"Kelman","given":"Jeffrey A."}],"issued":{"date-parts":[["2020",3]]}},"label":"page"},{"id":6126,"uris":["http://zotero.org/users/1733058/items/WACJ6FP5"],"uri":["http://zotero.org/users/1733058/items/WACJ6FP5"],"itemData":{"id":6126,"type":"article-journal","container-title":"Health Affairs","DOI":"10.1377/hlthaff.2015.1194","ISSN":"0278-2715, 1544-5208","issue":"1","journalAbbreviation":"Health Affairs","language":"en","page":"150-160","source":"DOI.org (Crossref)","title":"National Health Spending In 2014: Faster Growth Driven By Coverage Expansion And Prescription Drug Spending","title-short":"National Health Spending In 2014","volume":"35","author":[{"family":"Martin","given":"Anne B."},{"family":"Hartman","given":"Micah"},{"family":"Benson","given":"Joseph"},{"family":"Catlin","given":"Aaron"},{"literal":"the National Health Expenditure Accounts Team"}],"issued":{"date-parts":[["2016",1]]}},"label":"page"},{"id":6126,"uris":["http://zotero.org/users/1733058/items/WACJ6FP5"],"uri":["http://zotero.org/users/1733058/items/WACJ6FP5"],"itemData":{"id":6126,"type":"article-journal","container-title":"Health Affairs","DOI":"10.1377/hlthaff.2015.1194","ISSN":"0278-2715, 1544-5208","issue":"1","journalAbbreviation":"Health Affairs","language":"en","page":"150-160","source":"DOI.org (Crossref)","title":"National Health Spending In 2014: Faster Growth Driven By Coverage Expansion And Prescription Drug Spending","title-short":"National Health Spending In 2014","volume":"35","author":[{"family":"Martin","given":"Anne B."},{"family":"Hartman","given":"Micah"},{"family":"Benson","given":"Joseph"},{"family":"Catlin","given":"Aaron"},{"literal":"the National Health Expenditure Accounts Team"}],"issued":{"date-parts":[["2016",1]]}},"label":"page"}],"schema":"https://github.com/citation-style-language/schema/raw/master/csl-citation.json"} </w:instrText>
      </w:r>
      <w:r w:rsidR="000D02F5">
        <w:fldChar w:fldCharType="separate"/>
      </w:r>
      <w:r w:rsidRPr="00B10B3D" w:rsidR="000D02F5">
        <w:t>(Buchman et al., 2020; Martin et al., 2016</w:t>
      </w:r>
      <w:r w:rsidR="000D02F5">
        <w:t>)</w:t>
      </w:r>
      <w:r w:rsidR="000D02F5">
        <w:fldChar w:fldCharType="end"/>
      </w:r>
      <w:r w:rsidRPr="001958B4">
        <w:rPr>
          <w:rStyle w:val="fontstyle01"/>
          <w:rFonts w:ascii="Times New Roman" w:hAnsi="Times New Roman" w:cs="Times New Roman"/>
          <w:sz w:val="24"/>
          <w:szCs w:val="24"/>
        </w:rPr>
        <w:t xml:space="preserve">. </w:t>
      </w:r>
    </w:p>
    <w:p w:rsidR="003406F6" w:rsidP="003406F6" w14:paraId="09B4DB81" w14:textId="12F2B343">
      <w:r>
        <w:t>Bacterial infections cause most cases of sepsis. Sepsis can also be a result of other infections, including viral infections, such as COVID-19 or influenza. Many patients who require hospitalization for COVID-19 meet the definition of sepsis, such as those who require assistance with breathing</w:t>
      </w:r>
      <w:r w:rsidR="00FE507A">
        <w:t xml:space="preserve"> (CDC,</w:t>
      </w:r>
      <w:r w:rsidR="00E80496">
        <w:t xml:space="preserve"> </w:t>
      </w:r>
      <w:r w:rsidR="00FE507A">
        <w:t>2021</w:t>
      </w:r>
      <w:r w:rsidR="00A332E4">
        <w:t>b</w:t>
      </w:r>
      <w:r w:rsidR="00FE507A">
        <w:t>)</w:t>
      </w:r>
      <w:r>
        <w:t xml:space="preserve">. </w:t>
      </w:r>
    </w:p>
    <w:p w:rsidR="00205B7A" w:rsidRPr="001958B4" w:rsidP="00205B7A" w14:paraId="2F6148EA" w14:textId="7BC2496B">
      <w:pPr>
        <w:rPr>
          <w:rStyle w:val="fontstyle01"/>
          <w:rFonts w:ascii="Times New Roman" w:hAnsi="Times New Roman" w:cs="Times New Roman"/>
          <w:sz w:val="24"/>
          <w:szCs w:val="24"/>
        </w:rPr>
      </w:pPr>
      <w:r w:rsidRPr="001958B4">
        <w:rPr>
          <w:rStyle w:val="fontstyle01"/>
          <w:rFonts w:ascii="Times New Roman" w:hAnsi="Times New Roman" w:cs="Times New Roman"/>
          <w:sz w:val="24"/>
          <w:szCs w:val="24"/>
        </w:rPr>
        <w:t>In media and public health campaigns, antimicrobial resistance and sepsis are rarely presented together</w:t>
      </w:r>
      <w:r>
        <w:rPr>
          <w:rStyle w:val="fontstyle01"/>
          <w:rFonts w:cs="Times New Roman"/>
          <w:szCs w:val="24"/>
        </w:rPr>
        <w:t xml:space="preserve"> </w:t>
      </w:r>
      <w:r w:rsidRPr="001958B4">
        <w:rPr>
          <w:rStyle w:val="fontstyle01"/>
          <w:rFonts w:ascii="Times New Roman" w:hAnsi="Times New Roman" w:cs="Times New Roman"/>
          <w:sz w:val="24"/>
          <w:szCs w:val="24"/>
        </w:rPr>
        <w:t>which does not make their linkage apparent</w:t>
      </w:r>
      <w:r w:rsidR="0044551F">
        <w:rPr>
          <w:rStyle w:val="fontstyle01"/>
          <w:rFonts w:ascii="Times New Roman" w:hAnsi="Times New Roman" w:cs="Times New Roman"/>
          <w:sz w:val="24"/>
          <w:szCs w:val="24"/>
        </w:rPr>
        <w:t xml:space="preserve"> </w:t>
      </w:r>
      <w:r w:rsidRPr="000A481E" w:rsidR="0044551F">
        <w:fldChar w:fldCharType="begin"/>
      </w:r>
      <w:r w:rsidRPr="000A481E" w:rsidR="0044551F">
        <w:instrText xml:space="preserve"> ADDIN ZOTERO_ITEM CSL_CITATION {"citationID":"whQnr2uH","properties":{"formattedCitation":"(Fitzpatrick et al., 2019)","plainCitation":"(Fitzpatrick et al., 2019)","noteIndex":0},"citationItems":[{"id":6109,"uris":["http://zotero.org/users/1733058/items/G8KZYY29"],"uri":["http://zotero.org/users/1733058/items/G8KZYY29"],"itemData":{"id":6109,"type":"article-journal","container-title":"BMJ Quality &amp; Safety","DOI":"10.1136/bmjqs-2019-009445","ISSN":"2044-5415","issue":"9","journalAbbreviation":"BMJ Qual Saf","note":"PMID: 31018985\nPMCID: PMC6860726","page":"758-761","source":"PubMed Central","title":"Sepsis and antimicrobial stewardship: two sides of the same coin","title-short":"Sepsis and antimicrobial stewardship","volume":"28","author":[{"family":"Fitzpatrick","given":"Fidelma"},{"family":"Tarrant","given":"Carolyn"},{"family":"Hamilton","given":"Vida"},{"family":"Kiernan","given":"Fiona M"},{"family":"Jenkins","given":"David"},{"family":"Krockow","given":"Eva M"}],"issued":{"date-parts":[["2019",9]]}}}],"schema":"https://github.com/citation-style-language/schema/raw/master/csl-citation.json"} </w:instrText>
      </w:r>
      <w:r w:rsidRPr="000A481E" w:rsidR="0044551F">
        <w:fldChar w:fldCharType="separate"/>
      </w:r>
      <w:r w:rsidRPr="000A481E" w:rsidR="0044551F">
        <w:t>(Fitzpatrick et al., 2019)</w:t>
      </w:r>
      <w:r w:rsidRPr="000A481E" w:rsidR="0044551F">
        <w:fldChar w:fldCharType="end"/>
      </w:r>
      <w:r w:rsidRPr="000A481E">
        <w:rPr>
          <w:rStyle w:val="fontstyle01"/>
          <w:rFonts w:ascii="Times New Roman" w:hAnsi="Times New Roman" w:cs="Times New Roman"/>
          <w:sz w:val="24"/>
          <w:szCs w:val="24"/>
        </w:rPr>
        <w:t>.</w:t>
      </w:r>
      <w:r w:rsidRPr="001958B4">
        <w:rPr>
          <w:rStyle w:val="fontstyle01"/>
          <w:rFonts w:ascii="Times New Roman" w:hAnsi="Times New Roman" w:cs="Times New Roman"/>
          <w:sz w:val="24"/>
          <w:szCs w:val="24"/>
        </w:rPr>
        <w:t xml:space="preserve"> It has been concluded that sepsis and antimicrobial stewardship</w:t>
      </w:r>
      <w:r>
        <w:rPr>
          <w:rStyle w:val="fontstyle01"/>
          <w:rFonts w:cs="Times New Roman"/>
          <w:szCs w:val="24"/>
        </w:rPr>
        <w:t xml:space="preserve"> </w:t>
      </w:r>
      <w:r w:rsidRPr="001958B4">
        <w:rPr>
          <w:rStyle w:val="fontstyle01"/>
          <w:rFonts w:ascii="Times New Roman" w:hAnsi="Times New Roman" w:cs="Times New Roman"/>
          <w:sz w:val="24"/>
          <w:szCs w:val="24"/>
        </w:rPr>
        <w:t>should not be discussed in isolation. Surprisingly, 24 percent of adults in the U.S. have never heard of sepsis, so this</w:t>
      </w:r>
      <w:r>
        <w:rPr>
          <w:rStyle w:val="fontstyle01"/>
          <w:rFonts w:cs="Times New Roman"/>
          <w:szCs w:val="24"/>
        </w:rPr>
        <w:t xml:space="preserve"> </w:t>
      </w:r>
      <w:r w:rsidRPr="001958B4">
        <w:rPr>
          <w:rStyle w:val="fontstyle01"/>
          <w:rFonts w:ascii="Times New Roman" w:hAnsi="Times New Roman" w:cs="Times New Roman"/>
          <w:sz w:val="24"/>
          <w:szCs w:val="24"/>
        </w:rPr>
        <w:t>presents a unique opportunity for future messaging campaigns</w:t>
      </w:r>
      <w:r w:rsidRPr="005F1EB7" w:rsidR="005F1EB7">
        <w:t xml:space="preserve"> </w:t>
      </w:r>
      <w:r w:rsidRPr="000A481E" w:rsidR="005F1EB7">
        <w:fldChar w:fldCharType="begin"/>
      </w:r>
      <w:r w:rsidRPr="000A481E" w:rsidR="005F1EB7">
        <w:instrText xml:space="preserve"> ADDIN ZOTERO_ITEM CSL_CITATION {"citationID":"OAamLWMf","properties":{"formattedCitation":"({\\i{}Sepsis Information Guide - Sepsis Fact Sheet}, 2020)","plainCitation":"(Sepsis Information Guide - Sepsis Fact Sheet, 2020)","noteIndex":0},"citationItems":[{"id":6151,"uris":["http://zotero.org/users/1733058/items/WGY9Q5QR"],"uri":["http://zotero.org/users/1733058/items/WGY9Q5QR"],"itemData":{"id":6151,"type":"report","publisher":"Sepsis Alliance","title":"Sepsis Information Guide - Sepsis Fact Sheet","issued":{"date-parts":[["2020"]]}}}],"schema":"https://github.com/citation-style-language/schema/raw/master/csl-citation.json"} </w:instrText>
      </w:r>
      <w:r w:rsidRPr="000A481E" w:rsidR="005F1EB7">
        <w:fldChar w:fldCharType="separate"/>
      </w:r>
      <w:r w:rsidRPr="000A481E" w:rsidR="005F1EB7">
        <w:t>(</w:t>
      </w:r>
      <w:r w:rsidRPr="000A481E" w:rsidR="005F1EB7">
        <w:rPr>
          <w:i/>
          <w:iCs/>
        </w:rPr>
        <w:t>Sepsis Information Guide - Sepsis Fact Sheet</w:t>
      </w:r>
      <w:r w:rsidRPr="000A481E" w:rsidR="005F1EB7">
        <w:t>, 2020)</w:t>
      </w:r>
      <w:r w:rsidRPr="000A481E" w:rsidR="005F1EB7">
        <w:fldChar w:fldCharType="end"/>
      </w:r>
      <w:r w:rsidRPr="000A481E" w:rsidR="005F1EB7">
        <w:t>.</w:t>
      </w:r>
    </w:p>
    <w:p w:rsidR="00043750" w:rsidP="00BF0E7E" w14:paraId="2FB6C32A" w14:textId="1C5EAC77">
      <w:pPr>
        <w:pStyle w:val="NormalWeb"/>
        <w:shd w:val="clear" w:color="auto" w:fill="FFFFFF"/>
        <w:spacing w:before="0" w:beforeAutospacing="0" w:after="200" w:afterAutospacing="0" w:line="276" w:lineRule="auto"/>
        <w:rPr>
          <w:color w:val="000000"/>
          <w:shd w:val="clear" w:color="auto" w:fill="FFFFFF"/>
        </w:rPr>
      </w:pPr>
      <w:r w:rsidRPr="007F30C3">
        <w:rPr>
          <w:color w:val="000000"/>
        </w:rPr>
        <w:t>Public education is critical to save lives since, for many patients, sepsis develops from an infection that begins outside the hospital.</w:t>
      </w:r>
      <w:r>
        <w:rPr>
          <w:color w:val="000000"/>
        </w:rPr>
        <w:t xml:space="preserve"> </w:t>
      </w:r>
      <w:r w:rsidR="00CB3A24">
        <w:rPr>
          <w:color w:val="000000"/>
        </w:rPr>
        <w:t xml:space="preserve">The goals of </w:t>
      </w:r>
      <w:r w:rsidR="00B04B8A">
        <w:rPr>
          <w:color w:val="000000"/>
        </w:rPr>
        <w:t>the</w:t>
      </w:r>
      <w:r w:rsidR="00B842F7">
        <w:rPr>
          <w:color w:val="000000"/>
        </w:rPr>
        <w:t xml:space="preserve"> </w:t>
      </w:r>
      <w:r w:rsidRPr="009D76CD" w:rsidR="00C96099">
        <w:rPr>
          <w:i/>
          <w:iCs/>
          <w:color w:val="000000"/>
          <w:shd w:val="clear" w:color="auto" w:fill="FFFFFF"/>
        </w:rPr>
        <w:t>GAOS</w:t>
      </w:r>
      <w:r w:rsidRPr="009D76CD" w:rsidR="00C96099">
        <w:rPr>
          <w:color w:val="000000"/>
          <w:shd w:val="clear" w:color="auto" w:fill="FFFFFF"/>
        </w:rPr>
        <w:t xml:space="preserve"> </w:t>
      </w:r>
      <w:r w:rsidR="00B842F7">
        <w:rPr>
          <w:color w:val="000000"/>
          <w:shd w:val="clear" w:color="auto" w:fill="FFFFFF"/>
        </w:rPr>
        <w:t xml:space="preserve">national </w:t>
      </w:r>
      <w:r w:rsidRPr="009D76CD" w:rsidR="00C96099">
        <w:rPr>
          <w:color w:val="000000"/>
          <w:shd w:val="clear" w:color="auto" w:fill="FFFFFF"/>
        </w:rPr>
        <w:t xml:space="preserve">educational </w:t>
      </w:r>
      <w:r w:rsidR="00B04B8A">
        <w:rPr>
          <w:color w:val="000000"/>
          <w:shd w:val="clear" w:color="auto" w:fill="FFFFFF"/>
        </w:rPr>
        <w:t xml:space="preserve">campaign are </w:t>
      </w:r>
      <w:r w:rsidRPr="009D76CD" w:rsidR="00C96099">
        <w:rPr>
          <w:color w:val="000000"/>
          <w:shd w:val="clear" w:color="auto" w:fill="FFFFFF"/>
        </w:rPr>
        <w:t>to prevent and reduce infections that lead to sepsis, and to optimize healthcare quality and patient safety by raising awareness</w:t>
      </w:r>
      <w:r w:rsidR="00245869">
        <w:rPr>
          <w:color w:val="000000"/>
          <w:shd w:val="clear" w:color="auto" w:fill="FFFFFF"/>
        </w:rPr>
        <w:t>,</w:t>
      </w:r>
      <w:r w:rsidRPr="009D76CD" w:rsidR="00C96099">
        <w:rPr>
          <w:color w:val="000000"/>
          <w:shd w:val="clear" w:color="auto" w:fill="FFFFFF"/>
        </w:rPr>
        <w:t xml:space="preserve"> knowledge</w:t>
      </w:r>
      <w:r w:rsidR="00C059AC">
        <w:rPr>
          <w:color w:val="000000"/>
          <w:shd w:val="clear" w:color="auto" w:fill="FFFFFF"/>
        </w:rPr>
        <w:t>,</w:t>
      </w:r>
      <w:r w:rsidRPr="009D76CD" w:rsidR="00C96099">
        <w:rPr>
          <w:color w:val="000000"/>
          <w:shd w:val="clear" w:color="auto" w:fill="FFFFFF"/>
        </w:rPr>
        <w:t xml:space="preserve"> and motivating behavior change related to sepsis prevention, early recognition, and appropriate treatment among </w:t>
      </w:r>
      <w:r w:rsidR="0025751D">
        <w:rPr>
          <w:color w:val="000000"/>
          <w:shd w:val="clear" w:color="auto" w:fill="FFFFFF"/>
        </w:rPr>
        <w:t>consumer</w:t>
      </w:r>
      <w:r w:rsidR="00BB4E8F">
        <w:rPr>
          <w:color w:val="000000"/>
          <w:shd w:val="clear" w:color="auto" w:fill="FFFFFF"/>
        </w:rPr>
        <w:t xml:space="preserve"> </w:t>
      </w:r>
      <w:r w:rsidRPr="009D76CD" w:rsidR="00C96099">
        <w:rPr>
          <w:color w:val="000000"/>
          <w:shd w:val="clear" w:color="auto" w:fill="FFFFFF"/>
        </w:rPr>
        <w:t>and HCP</w:t>
      </w:r>
      <w:r w:rsidR="00543A9C">
        <w:rPr>
          <w:color w:val="000000"/>
          <w:shd w:val="clear" w:color="auto" w:fill="FFFFFF"/>
        </w:rPr>
        <w:t xml:space="preserve"> audience</w:t>
      </w:r>
      <w:r w:rsidR="00DA3D97">
        <w:rPr>
          <w:color w:val="000000"/>
          <w:shd w:val="clear" w:color="auto" w:fill="FFFFFF"/>
        </w:rPr>
        <w:t>s</w:t>
      </w:r>
      <w:r w:rsidRPr="009D76CD" w:rsidR="00C96099">
        <w:rPr>
          <w:color w:val="000000"/>
          <w:shd w:val="clear" w:color="auto" w:fill="FFFFFF"/>
        </w:rPr>
        <w:t xml:space="preserve"> </w:t>
      </w:r>
      <w:r w:rsidRPr="0068451F" w:rsidR="00C96099">
        <w:rPr>
          <w:color w:val="000000"/>
          <w:shd w:val="clear" w:color="auto" w:fill="FFFFFF"/>
        </w:rPr>
        <w:fldChar w:fldCharType="begin"/>
      </w:r>
      <w:r w:rsidRPr="0068451F" w:rsidR="00C96099">
        <w:rPr>
          <w:color w:val="000000"/>
          <w:shd w:val="clear" w:color="auto" w:fill="FFFFFF"/>
        </w:rPr>
        <w:instrText xml:space="preserve"> ADDIN ZOTERO_ITEM CSL_CITATION {"citationID":"yHhGVuSR","properties":{"formattedCitation":"(CDC, 2021)","plainCitation":"(CDC, 2021)","noteIndex":0},"citationItems":[{"id":1055,"uris":["http://zotero.org/groups/4529941/items/64KHFBCN"],"itemData":{"id":1055,"type":"webpage","abstract":"Check out free CDC sepsis materials.","container-title":"Centers for Disease Control and Prevention","language":"en-us","title":"Sepsis Educational Materials","URL":"https://www.cdc.gov/sepsis/education/index.html","author":[{"family":"CDC","given":""}],"accessed":{"date-parts":[["2022",5,24]]},"issued":{"date-parts":[["2021",8,10]]}}}],"schema":"https://github.com/citation-style-language/schema/raw/master/csl-citation.json"} </w:instrText>
      </w:r>
      <w:r w:rsidRPr="0068451F" w:rsidR="00C96099">
        <w:rPr>
          <w:color w:val="000000"/>
          <w:shd w:val="clear" w:color="auto" w:fill="FFFFFF"/>
        </w:rPr>
        <w:fldChar w:fldCharType="separate"/>
      </w:r>
      <w:r w:rsidRPr="0068451F" w:rsidR="00C96099">
        <w:rPr>
          <w:noProof/>
          <w:color w:val="000000"/>
          <w:shd w:val="clear" w:color="auto" w:fill="FFFFFF"/>
        </w:rPr>
        <w:t>(CDC, 202</w:t>
      </w:r>
      <w:r w:rsidR="0068451F">
        <w:rPr>
          <w:noProof/>
          <w:color w:val="000000"/>
          <w:shd w:val="clear" w:color="auto" w:fill="FFFFFF"/>
        </w:rPr>
        <w:t>1</w:t>
      </w:r>
      <w:r w:rsidRPr="0068451F" w:rsidR="0068451F">
        <w:rPr>
          <w:noProof/>
          <w:color w:val="000000"/>
          <w:shd w:val="clear" w:color="auto" w:fill="FFFFFF"/>
        </w:rPr>
        <w:t>a</w:t>
      </w:r>
      <w:r w:rsidRPr="0068451F" w:rsidR="00C96099">
        <w:rPr>
          <w:noProof/>
          <w:color w:val="000000"/>
          <w:shd w:val="clear" w:color="auto" w:fill="FFFFFF"/>
        </w:rPr>
        <w:t>)</w:t>
      </w:r>
      <w:r w:rsidRPr="0068451F" w:rsidR="00C96099">
        <w:rPr>
          <w:color w:val="000000"/>
          <w:shd w:val="clear" w:color="auto" w:fill="FFFFFF"/>
        </w:rPr>
        <w:fldChar w:fldCharType="end"/>
      </w:r>
      <w:r w:rsidRPr="009D76CD" w:rsidR="00C96099">
        <w:rPr>
          <w:color w:val="000000"/>
          <w:shd w:val="clear" w:color="auto" w:fill="FFFFFF"/>
        </w:rPr>
        <w:t xml:space="preserve">. </w:t>
      </w:r>
      <w:r w:rsidR="004266DF">
        <w:rPr>
          <w:color w:val="000000"/>
          <w:shd w:val="clear" w:color="auto" w:fill="FFFFFF"/>
        </w:rPr>
        <w:t xml:space="preserve">In addition, </w:t>
      </w:r>
      <w:r w:rsidR="00A033C6">
        <w:rPr>
          <w:color w:val="000000"/>
          <w:shd w:val="clear" w:color="auto" w:fill="FFFFFF"/>
        </w:rPr>
        <w:t xml:space="preserve">the </w:t>
      </w:r>
      <w:r w:rsidRPr="00A033C6" w:rsidR="00A033C6">
        <w:rPr>
          <w:i/>
          <w:iCs/>
          <w:color w:val="000000"/>
          <w:shd w:val="clear" w:color="auto" w:fill="FFFFFF"/>
        </w:rPr>
        <w:t>GAOS</w:t>
      </w:r>
      <w:r w:rsidR="004266DF">
        <w:rPr>
          <w:color w:val="000000"/>
          <w:shd w:val="clear" w:color="auto" w:fill="FFFFFF"/>
        </w:rPr>
        <w:t xml:space="preserve"> campaign al</w:t>
      </w:r>
      <w:r w:rsidR="00BD1C5B">
        <w:rPr>
          <w:color w:val="000000"/>
          <w:shd w:val="clear" w:color="auto" w:fill="FFFFFF"/>
        </w:rPr>
        <w:t>i</w:t>
      </w:r>
      <w:r w:rsidR="004266DF">
        <w:rPr>
          <w:color w:val="000000"/>
          <w:shd w:val="clear" w:color="auto" w:fill="FFFFFF"/>
        </w:rPr>
        <w:t>gns with antibiotic stewardship efforts by emphasizing the importance of rapid</w:t>
      </w:r>
      <w:r w:rsidR="00BB474C">
        <w:rPr>
          <w:color w:val="000000"/>
          <w:shd w:val="clear" w:color="auto" w:fill="FFFFFF"/>
        </w:rPr>
        <w:t xml:space="preserve"> appropriate antibiotic treatment when sepsis is suspected</w:t>
      </w:r>
      <w:r w:rsidR="000A1007">
        <w:rPr>
          <w:color w:val="000000"/>
          <w:shd w:val="clear" w:color="auto" w:fill="FFFFFF"/>
        </w:rPr>
        <w:t xml:space="preserve"> (Dante &amp; Epstein, </w:t>
      </w:r>
      <w:r w:rsidR="000D0C4F">
        <w:rPr>
          <w:color w:val="000000"/>
          <w:shd w:val="clear" w:color="auto" w:fill="FFFFFF"/>
        </w:rPr>
        <w:t xml:space="preserve">2018). </w:t>
      </w:r>
      <w:r w:rsidR="00425BDA">
        <w:rPr>
          <w:color w:val="000000"/>
          <w:shd w:val="clear" w:color="auto" w:fill="FFFFFF"/>
        </w:rPr>
        <w:t xml:space="preserve"> </w:t>
      </w:r>
    </w:p>
    <w:p w:rsidR="00102743" w:rsidP="00043750" w14:paraId="26E193F3" w14:textId="53A50492">
      <w:pPr>
        <w:pStyle w:val="NormalWeb"/>
        <w:shd w:val="clear" w:color="auto" w:fill="FFFFFF"/>
        <w:spacing w:before="0" w:beforeAutospacing="0" w:after="200" w:afterAutospacing="0" w:line="276" w:lineRule="auto"/>
        <w:rPr>
          <w:bCs/>
        </w:rPr>
      </w:pPr>
      <w:r w:rsidRPr="00831AE6">
        <w:rPr>
          <w:color w:val="000000"/>
          <w:shd w:val="clear" w:color="auto" w:fill="FFFFFF"/>
        </w:rPr>
        <w:t xml:space="preserve">This </w:t>
      </w:r>
      <w:r w:rsidR="006639D7">
        <w:rPr>
          <w:color w:val="000000"/>
          <w:shd w:val="clear" w:color="auto" w:fill="FFFFFF"/>
        </w:rPr>
        <w:t xml:space="preserve">information collection </w:t>
      </w:r>
      <w:r w:rsidRPr="00831AE6">
        <w:rPr>
          <w:color w:val="000000"/>
          <w:shd w:val="clear" w:color="auto" w:fill="FFFFFF"/>
        </w:rPr>
        <w:t>emphasizes the importance of early recognition and timely treatment of sepsis, as well as the importance of preventing infections that could lead to sepsis</w:t>
      </w:r>
      <w:r w:rsidR="00043750">
        <w:rPr>
          <w:color w:val="000000"/>
          <w:shd w:val="clear" w:color="auto" w:fill="FFFFFF"/>
        </w:rPr>
        <w:t xml:space="preserve">. </w:t>
      </w:r>
      <w:r w:rsidRPr="000415E0">
        <w:t>CDC is authorized to conduct these activities by the Public Health Service Act (42 U.S.C. 242)</w:t>
      </w:r>
      <w:r>
        <w:t>,</w:t>
      </w:r>
      <w:r w:rsidRPr="000415E0">
        <w:t xml:space="preserve"> Section 301(a) </w:t>
      </w:r>
      <w:r w:rsidRPr="00005DA5">
        <w:rPr>
          <w:bCs/>
        </w:rPr>
        <w:t xml:space="preserve">(Attachment </w:t>
      </w:r>
      <w:r w:rsidR="00F81619">
        <w:rPr>
          <w:bCs/>
        </w:rPr>
        <w:t>A</w:t>
      </w:r>
      <w:r w:rsidRPr="00005DA5">
        <w:rPr>
          <w:bCs/>
        </w:rPr>
        <w:t>)</w:t>
      </w:r>
      <w:r w:rsidRPr="00005DA5" w:rsidR="0044789B">
        <w:rPr>
          <w:bCs/>
        </w:rPr>
        <w:t>.</w:t>
      </w:r>
    </w:p>
    <w:p w:rsidR="004A13E8" w:rsidP="004A13E8" w14:paraId="55FE17B7" w14:textId="77777777">
      <w:pPr>
        <w:pStyle w:val="Heading1"/>
      </w:pPr>
      <w:bookmarkStart w:id="8" w:name="_Toc112842524"/>
      <w:r>
        <w:t>Purpose and Use of Information Collection</w:t>
      </w:r>
      <w:bookmarkEnd w:id="8"/>
    </w:p>
    <w:p w:rsidR="00CC642B" w:rsidP="007C1D60" w14:paraId="7CCFB9AE" w14:textId="164FE840">
      <w:pPr>
        <w:pStyle w:val="Bullets"/>
        <w:numPr>
          <w:ilvl w:val="0"/>
          <w:numId w:val="0"/>
        </w:numPr>
        <w:rPr>
          <w:color w:val="000000" w:themeColor="text1"/>
        </w:rPr>
      </w:pPr>
      <w:r w:rsidRPr="007C1EF5">
        <w:rPr>
          <w:rFonts w:cs="Times New Roman"/>
        </w:rPr>
        <w:t xml:space="preserve">The purpose of this </w:t>
      </w:r>
      <w:r w:rsidR="00AA1E25">
        <w:rPr>
          <w:rFonts w:cs="Times New Roman"/>
        </w:rPr>
        <w:t xml:space="preserve">new </w:t>
      </w:r>
      <w:r w:rsidRPr="007C1EF5">
        <w:rPr>
          <w:rFonts w:cs="Times New Roman"/>
        </w:rPr>
        <w:t xml:space="preserve">information collection </w:t>
      </w:r>
      <w:r w:rsidR="00AA1E25">
        <w:rPr>
          <w:rFonts w:cs="Times New Roman"/>
        </w:rPr>
        <w:t xml:space="preserve">(study) </w:t>
      </w:r>
      <w:r w:rsidRPr="007C1EF5">
        <w:rPr>
          <w:rFonts w:cs="Times New Roman"/>
        </w:rPr>
        <w:t xml:space="preserve">is to </w:t>
      </w:r>
      <w:r w:rsidRPr="007C1EF5">
        <w:rPr>
          <w:rFonts w:cs="Times New Roman"/>
          <w:color w:val="000000" w:themeColor="text1"/>
        </w:rPr>
        <w:t xml:space="preserve">determine </w:t>
      </w:r>
      <w:r w:rsidRPr="00836055">
        <w:rPr>
          <w:color w:val="000000" w:themeColor="text1"/>
        </w:rPr>
        <w:t xml:space="preserve">if the </w:t>
      </w:r>
      <w:r w:rsidRPr="00DB1307">
        <w:rPr>
          <w:i/>
          <w:iCs/>
        </w:rPr>
        <w:t>GAOS</w:t>
      </w:r>
      <w:r>
        <w:t xml:space="preserve"> </w:t>
      </w:r>
      <w:r w:rsidRPr="00836055">
        <w:rPr>
          <w:color w:val="000000" w:themeColor="text1"/>
        </w:rPr>
        <w:t>campaign</w:t>
      </w:r>
      <w:r>
        <w:rPr>
          <w:color w:val="000000" w:themeColor="text1"/>
        </w:rPr>
        <w:t xml:space="preserve"> </w:t>
      </w:r>
      <w:r w:rsidR="008B3178">
        <w:rPr>
          <w:color w:val="000000" w:themeColor="text1"/>
        </w:rPr>
        <w:t>pilot assessment</w:t>
      </w:r>
      <w:r w:rsidR="008A6843">
        <w:rPr>
          <w:color w:val="000000" w:themeColor="text1"/>
        </w:rPr>
        <w:t xml:space="preserve"> intervention efforts, including a large-scale paid media </w:t>
      </w:r>
      <w:r w:rsidR="00077429">
        <w:rPr>
          <w:color w:val="000000" w:themeColor="text1"/>
        </w:rPr>
        <w:t xml:space="preserve">buy </w:t>
      </w:r>
      <w:r>
        <w:rPr>
          <w:color w:val="000000" w:themeColor="text1"/>
        </w:rPr>
        <w:t xml:space="preserve">and </w:t>
      </w:r>
      <w:r w:rsidRPr="00836055">
        <w:rPr>
          <w:color w:val="000000" w:themeColor="text1"/>
        </w:rPr>
        <w:t>partner</w:t>
      </w:r>
      <w:r>
        <w:rPr>
          <w:color w:val="000000" w:themeColor="text1"/>
        </w:rPr>
        <w:t xml:space="preserve"> promotion over a 2–3-month period </w:t>
      </w:r>
      <w:r w:rsidRPr="00836055">
        <w:rPr>
          <w:color w:val="000000" w:themeColor="text1"/>
        </w:rPr>
        <w:t xml:space="preserve">in </w:t>
      </w:r>
      <w:r>
        <w:rPr>
          <w:color w:val="000000" w:themeColor="text1"/>
        </w:rPr>
        <w:t>New York, Illinois, and Louisiana</w:t>
      </w:r>
      <w:r w:rsidR="00B136D2">
        <w:rPr>
          <w:color w:val="000000" w:themeColor="text1"/>
        </w:rPr>
        <w:t xml:space="preserve">, </w:t>
      </w:r>
      <w:r w:rsidRPr="00836055">
        <w:rPr>
          <w:color w:val="000000" w:themeColor="text1"/>
        </w:rPr>
        <w:t>successful</w:t>
      </w:r>
      <w:r>
        <w:rPr>
          <w:color w:val="000000" w:themeColor="text1"/>
        </w:rPr>
        <w:t>ly reached intended</w:t>
      </w:r>
      <w:r w:rsidRPr="00E566DF">
        <w:rPr>
          <w:color w:val="000000" w:themeColor="text1"/>
        </w:rPr>
        <w:t xml:space="preserve"> </w:t>
      </w:r>
      <w:r>
        <w:rPr>
          <w:color w:val="000000" w:themeColor="text1"/>
        </w:rPr>
        <w:t>consumer</w:t>
      </w:r>
      <w:r w:rsidR="00CC6AFE">
        <w:rPr>
          <w:color w:val="000000" w:themeColor="text1"/>
        </w:rPr>
        <w:t xml:space="preserve"> </w:t>
      </w:r>
      <w:r>
        <w:rPr>
          <w:color w:val="000000" w:themeColor="text1"/>
        </w:rPr>
        <w:t xml:space="preserve">and </w:t>
      </w:r>
      <w:r w:rsidRPr="00836055">
        <w:rPr>
          <w:color w:val="000000" w:themeColor="text1"/>
        </w:rPr>
        <w:t xml:space="preserve">HCP </w:t>
      </w:r>
      <w:r>
        <w:rPr>
          <w:color w:val="000000" w:themeColor="text1"/>
        </w:rPr>
        <w:t xml:space="preserve">audiences and influenced their </w:t>
      </w:r>
      <w:r w:rsidRPr="00836055">
        <w:rPr>
          <w:color w:val="000000" w:themeColor="text1"/>
        </w:rPr>
        <w:t xml:space="preserve">awareness, knowledge, </w:t>
      </w:r>
      <w:r>
        <w:rPr>
          <w:color w:val="000000" w:themeColor="text1"/>
        </w:rPr>
        <w:t xml:space="preserve">and behavior related to early recognition and timely treatment of sepsis, and prevention of infections that can lead to sepsis. </w:t>
      </w:r>
    </w:p>
    <w:p w:rsidR="009B246A" w:rsidP="009B246A" w14:paraId="66E13FE3" w14:textId="77777777">
      <w:pPr>
        <w:pStyle w:val="Bullets"/>
        <w:numPr>
          <w:ilvl w:val="0"/>
          <w:numId w:val="0"/>
        </w:numPr>
        <w:rPr>
          <w:bCs/>
        </w:rPr>
      </w:pPr>
    </w:p>
    <w:p w:rsidR="009B246A" w:rsidRPr="000B79E1" w:rsidP="009B246A" w14:paraId="4B626F58" w14:textId="20AAF260">
      <w:pPr>
        <w:pStyle w:val="Bullets"/>
        <w:numPr>
          <w:ilvl w:val="0"/>
          <w:numId w:val="0"/>
        </w:numPr>
        <w:rPr>
          <w:b/>
        </w:rPr>
      </w:pPr>
      <w:r w:rsidRPr="00FF6F6D">
        <w:rPr>
          <w:bCs/>
        </w:rPr>
        <w:t>C</w:t>
      </w:r>
      <w:r w:rsidRPr="00023412">
        <w:rPr>
          <w:rStyle w:val="normaltextrun"/>
          <w:rFonts w:cs="Times New Roman"/>
        </w:rPr>
        <w:t xml:space="preserve">onsumer </w:t>
      </w:r>
      <w:r>
        <w:rPr>
          <w:rStyle w:val="normaltextrun"/>
          <w:rFonts w:cs="Times New Roman"/>
        </w:rPr>
        <w:t xml:space="preserve">audiences </w:t>
      </w:r>
      <w:r w:rsidR="00904FC5">
        <w:rPr>
          <w:rStyle w:val="normaltextrun"/>
          <w:rFonts w:cs="Times New Roman"/>
        </w:rPr>
        <w:t xml:space="preserve">are defined as individuals </w:t>
      </w:r>
      <w:r w:rsidRPr="00904FC5" w:rsidR="00904FC5">
        <w:rPr>
          <w:rFonts w:cs="Times New Roman"/>
          <w:sz w:val="22"/>
        </w:rPr>
        <w:t>who have a higher risk for developing infections that can lead to sepsis</w:t>
      </w:r>
      <w:r w:rsidR="0099447D">
        <w:rPr>
          <w:rFonts w:cs="Times New Roman"/>
          <w:sz w:val="22"/>
        </w:rPr>
        <w:t>, including</w:t>
      </w:r>
      <w:r w:rsidRPr="00904FC5">
        <w:rPr>
          <w:rStyle w:val="normaltextrun"/>
          <w:rFonts w:cs="Times New Roman"/>
        </w:rPr>
        <w:t>:</w:t>
      </w:r>
      <w:r w:rsidRPr="00023412">
        <w:rPr>
          <w:rStyle w:val="normaltextrun"/>
          <w:rFonts w:cs="Times New Roman"/>
        </w:rPr>
        <w:t xml:space="preserve"> (1) </w:t>
      </w:r>
      <w:r w:rsidRPr="00023412">
        <w:rPr>
          <w:rStyle w:val="normaltextrun"/>
          <w:rFonts w:cs="Times New Roman"/>
          <w:color w:val="000000" w:themeColor="text1"/>
        </w:rPr>
        <w:t xml:space="preserve">Cancer patients and their caregivers; (2) Patients who survived severe COVID-19 or sepsis and their caregivers; (3) Parents of children 12 and younger; (4) </w:t>
      </w:r>
      <w:r w:rsidRPr="00023412">
        <w:rPr>
          <w:rStyle w:val="eop"/>
          <w:rFonts w:cs="Times New Roman"/>
          <w:color w:val="000000" w:themeColor="text1"/>
        </w:rPr>
        <w:t>Adults who care for a family member age 65+; (</w:t>
      </w:r>
      <w:r>
        <w:rPr>
          <w:rStyle w:val="eop"/>
          <w:rFonts w:cs="Times New Roman"/>
          <w:color w:val="000000" w:themeColor="text1"/>
        </w:rPr>
        <w:t>5</w:t>
      </w:r>
      <w:r w:rsidRPr="00023412">
        <w:rPr>
          <w:rStyle w:val="eop"/>
          <w:rFonts w:cs="Times New Roman"/>
          <w:color w:val="000000" w:themeColor="text1"/>
        </w:rPr>
        <w:t xml:space="preserve">) </w:t>
      </w:r>
      <w:r w:rsidRPr="00023412">
        <w:rPr>
          <w:rStyle w:val="normaltextrun"/>
          <w:rFonts w:cs="Times New Roman"/>
          <w:color w:val="000000" w:themeColor="text1"/>
        </w:rPr>
        <w:t>Men aged 65+ with one or more chronic conditions; and (</w:t>
      </w:r>
      <w:r>
        <w:rPr>
          <w:rStyle w:val="normaltextrun"/>
          <w:rFonts w:cs="Times New Roman"/>
          <w:color w:val="000000" w:themeColor="text1"/>
        </w:rPr>
        <w:t>6</w:t>
      </w:r>
      <w:r w:rsidRPr="00023412">
        <w:rPr>
          <w:rStyle w:val="normaltextrun"/>
          <w:rFonts w:cs="Times New Roman"/>
          <w:color w:val="000000" w:themeColor="text1"/>
        </w:rPr>
        <w:t>) Healthy adults 65+.</w:t>
      </w:r>
      <w:r w:rsidRPr="00023412">
        <w:rPr>
          <w:rStyle w:val="normaltextrun"/>
          <w:rFonts w:cs="Times New Roman"/>
        </w:rPr>
        <w:t xml:space="preserve"> HCP </w:t>
      </w:r>
      <w:r>
        <w:rPr>
          <w:rStyle w:val="normaltextrun"/>
          <w:rFonts w:cs="Times New Roman"/>
        </w:rPr>
        <w:t xml:space="preserve">audiences </w:t>
      </w:r>
      <w:r w:rsidR="00A21659">
        <w:rPr>
          <w:rStyle w:val="normaltextrun"/>
          <w:rFonts w:cs="Times New Roman"/>
        </w:rPr>
        <w:t xml:space="preserve">are defined as </w:t>
      </w:r>
      <w:r w:rsidR="005377EC">
        <w:rPr>
          <w:rStyle w:val="normaltextrun"/>
          <w:rFonts w:cs="Times New Roman"/>
        </w:rPr>
        <w:t>health</w:t>
      </w:r>
      <w:r w:rsidR="001D74B8">
        <w:rPr>
          <w:rStyle w:val="normaltextrun"/>
          <w:rFonts w:cs="Times New Roman"/>
        </w:rPr>
        <w:t>care</w:t>
      </w:r>
      <w:r w:rsidR="005377EC">
        <w:rPr>
          <w:rStyle w:val="normaltextrun"/>
          <w:rFonts w:cs="Times New Roman"/>
        </w:rPr>
        <w:t xml:space="preserve"> professionals </w:t>
      </w:r>
      <w:r w:rsidRPr="005377EC" w:rsidR="00A21659">
        <w:rPr>
          <w:rFonts w:cs="Times New Roman"/>
          <w:sz w:val="22"/>
        </w:rPr>
        <w:t>who play a role in diagnosing and treating sepsis</w:t>
      </w:r>
      <w:r w:rsidR="005377EC">
        <w:rPr>
          <w:rFonts w:cs="Times New Roman"/>
          <w:sz w:val="22"/>
        </w:rPr>
        <w:t>,</w:t>
      </w:r>
      <w:r w:rsidR="00A21659">
        <w:rPr>
          <w:rStyle w:val="normaltextrun"/>
          <w:rFonts w:cs="Times New Roman"/>
        </w:rPr>
        <w:t xml:space="preserve"> </w:t>
      </w:r>
      <w:r>
        <w:rPr>
          <w:rStyle w:val="normaltextrun"/>
          <w:rFonts w:cs="Times New Roman"/>
        </w:rPr>
        <w:t>includ</w:t>
      </w:r>
      <w:r w:rsidR="005377EC">
        <w:rPr>
          <w:rStyle w:val="normaltextrun"/>
          <w:rFonts w:cs="Times New Roman"/>
        </w:rPr>
        <w:t>ing</w:t>
      </w:r>
      <w:r w:rsidRPr="00023412">
        <w:rPr>
          <w:rStyle w:val="normaltextrun"/>
          <w:rFonts w:cs="Times New Roman"/>
        </w:rPr>
        <w:t>: (1) Emergency Medical Services personnel;</w:t>
      </w:r>
      <w:r w:rsidRPr="00023412">
        <w:rPr>
          <w:rStyle w:val="eop"/>
          <w:rFonts w:cs="Times New Roman"/>
        </w:rPr>
        <w:t xml:space="preserve"> (2) Nurse practitioners and physician assistants who work at urgent care clinics; (3) </w:t>
      </w:r>
      <w:r w:rsidRPr="00023412">
        <w:rPr>
          <w:rStyle w:val="normaltextrun"/>
          <w:rFonts w:eastAsiaTheme="majorEastAsia" w:cs="Times New Roman"/>
          <w:color w:val="000000" w:themeColor="text1"/>
        </w:rPr>
        <w:t>Emergency department triage nurses</w:t>
      </w:r>
      <w:r w:rsidRPr="00023412">
        <w:rPr>
          <w:rStyle w:val="eop"/>
          <w:rFonts w:cs="Times New Roman"/>
        </w:rPr>
        <w:t xml:space="preserve">; </w:t>
      </w:r>
      <w:r w:rsidRPr="00023412">
        <w:rPr>
          <w:rStyle w:val="normaltextrun"/>
          <w:rFonts w:cs="Times New Roman"/>
        </w:rPr>
        <w:t xml:space="preserve">(4) </w:t>
      </w:r>
      <w:r w:rsidRPr="00023412">
        <w:rPr>
          <w:rStyle w:val="normaltextrun"/>
          <w:rFonts w:eastAsiaTheme="majorEastAsia" w:cs="Times New Roman"/>
          <w:color w:val="000000" w:themeColor="text1"/>
        </w:rPr>
        <w:t>General medical ward staff</w:t>
      </w:r>
      <w:r w:rsidRPr="00023412">
        <w:rPr>
          <w:rStyle w:val="eop"/>
          <w:rFonts w:cs="Times New Roman"/>
          <w:color w:val="000000" w:themeColor="text1"/>
        </w:rPr>
        <w:t xml:space="preserve">; </w:t>
      </w:r>
      <w:r w:rsidRPr="00023412">
        <w:rPr>
          <w:rStyle w:val="normaltextrun"/>
          <w:rFonts w:cs="Times New Roman"/>
        </w:rPr>
        <w:t xml:space="preserve">(5) </w:t>
      </w:r>
      <w:r w:rsidRPr="00023412">
        <w:rPr>
          <w:rStyle w:val="normaltextrun"/>
          <w:rFonts w:eastAsiaTheme="majorEastAsia" w:cs="Times New Roman"/>
          <w:color w:val="000000" w:themeColor="text1"/>
        </w:rPr>
        <w:t>Primary care physicians</w:t>
      </w:r>
      <w:r w:rsidRPr="00023412">
        <w:rPr>
          <w:rStyle w:val="eop"/>
          <w:rFonts w:cs="Times New Roman"/>
          <w:color w:val="000000" w:themeColor="text1"/>
        </w:rPr>
        <w:t xml:space="preserve">; (6) </w:t>
      </w:r>
      <w:r w:rsidRPr="00023412">
        <w:rPr>
          <w:rStyle w:val="normaltextrun"/>
          <w:rFonts w:eastAsiaTheme="majorEastAsia" w:cs="Times New Roman"/>
          <w:color w:val="000000" w:themeColor="text1"/>
        </w:rPr>
        <w:t>Long-Term Care (LTC) nurses; and (7) LTC medical technicians and sitters</w:t>
      </w:r>
      <w:r w:rsidRPr="00023412">
        <w:rPr>
          <w:rStyle w:val="eop"/>
          <w:rFonts w:cs="Times New Roman"/>
          <w:color w:val="000000" w:themeColor="text1"/>
        </w:rPr>
        <w:t>.</w:t>
      </w:r>
      <w:r w:rsidRPr="00023412">
        <w:rPr>
          <w:rStyle w:val="eop"/>
          <w:color w:val="000000" w:themeColor="text1"/>
        </w:rPr>
        <w:t xml:space="preserve">  </w:t>
      </w:r>
    </w:p>
    <w:p w:rsidR="00AD3869" w:rsidP="00AD3869" w14:paraId="3A1A0532" w14:textId="052E554D">
      <w:r>
        <w:rPr>
          <w:rStyle w:val="normaltextrun"/>
          <w:color w:val="000000" w:themeColor="text1"/>
          <w:shd w:val="clear" w:color="auto" w:fill="FFFFFF"/>
        </w:rPr>
        <w:t xml:space="preserve">Data </w:t>
      </w:r>
      <w:r w:rsidR="008B3272">
        <w:rPr>
          <w:rStyle w:val="normaltextrun"/>
          <w:color w:val="000000" w:themeColor="text1"/>
          <w:shd w:val="clear" w:color="auto" w:fill="FFFFFF"/>
        </w:rPr>
        <w:t xml:space="preserve">from this </w:t>
      </w:r>
      <w:r w:rsidR="009A5048">
        <w:rPr>
          <w:rStyle w:val="normaltextrun"/>
          <w:color w:val="000000" w:themeColor="text1"/>
          <w:shd w:val="clear" w:color="auto" w:fill="FFFFFF"/>
        </w:rPr>
        <w:t xml:space="preserve">study </w:t>
      </w:r>
      <w:r w:rsidRPr="00636190" w:rsidR="00916D2A">
        <w:rPr>
          <w:rStyle w:val="normaltextrun"/>
          <w:color w:val="000000" w:themeColor="text1"/>
          <w:shd w:val="clear" w:color="auto" w:fill="FFFFFF"/>
        </w:rPr>
        <w:t>will provide insights into the eff</w:t>
      </w:r>
      <w:r w:rsidR="00B028ED">
        <w:rPr>
          <w:rStyle w:val="normaltextrun"/>
          <w:color w:val="000000" w:themeColor="text1"/>
          <w:shd w:val="clear" w:color="auto" w:fill="FFFFFF"/>
        </w:rPr>
        <w:t>ectiveness</w:t>
      </w:r>
      <w:r w:rsidRPr="00636190" w:rsidR="00916D2A">
        <w:rPr>
          <w:rStyle w:val="normaltextrun"/>
          <w:color w:val="000000" w:themeColor="text1"/>
          <w:shd w:val="clear" w:color="auto" w:fill="FFFFFF"/>
        </w:rPr>
        <w:t xml:space="preserve"> of the </w:t>
      </w:r>
      <w:r w:rsidR="00916D2A">
        <w:rPr>
          <w:rStyle w:val="normaltextrun"/>
          <w:i/>
          <w:iCs/>
          <w:color w:val="000000" w:themeColor="text1"/>
          <w:shd w:val="clear" w:color="auto" w:fill="FFFFFF"/>
        </w:rPr>
        <w:t>GAOS</w:t>
      </w:r>
      <w:r w:rsidR="00916D2A">
        <w:rPr>
          <w:rStyle w:val="normaltextrun"/>
          <w:color w:val="000000" w:themeColor="text1"/>
          <w:shd w:val="clear" w:color="auto" w:fill="FFFFFF"/>
        </w:rPr>
        <w:t xml:space="preserve"> </w:t>
      </w:r>
      <w:r w:rsidRPr="00636190" w:rsidR="00916D2A">
        <w:rPr>
          <w:rStyle w:val="normaltextrun"/>
          <w:color w:val="000000" w:themeColor="text1"/>
          <w:shd w:val="clear" w:color="auto" w:fill="FFFFFF"/>
        </w:rPr>
        <w:t>campaign efforts</w:t>
      </w:r>
      <w:r w:rsidR="008B3272">
        <w:rPr>
          <w:rStyle w:val="normaltextrun"/>
          <w:color w:val="000000" w:themeColor="text1"/>
          <w:shd w:val="clear" w:color="auto" w:fill="FFFFFF"/>
        </w:rPr>
        <w:t xml:space="preserve">. </w:t>
      </w:r>
      <w:r w:rsidRPr="001369BB">
        <w:rPr>
          <w:rFonts w:cs="Times New Roman"/>
        </w:rPr>
        <w:t xml:space="preserve">Without this </w:t>
      </w:r>
      <w:r w:rsidR="00336A54">
        <w:rPr>
          <w:rFonts w:cs="Times New Roman"/>
        </w:rPr>
        <w:t>information</w:t>
      </w:r>
      <w:r w:rsidRPr="001369BB">
        <w:rPr>
          <w:rFonts w:cs="Times New Roman"/>
        </w:rPr>
        <w:t xml:space="preserve">, CDC </w:t>
      </w:r>
      <w:r>
        <w:rPr>
          <w:rFonts w:cs="Times New Roman"/>
        </w:rPr>
        <w:t xml:space="preserve">DHQP </w:t>
      </w:r>
      <w:r w:rsidRPr="001369BB">
        <w:rPr>
          <w:rFonts w:cs="Times New Roman"/>
        </w:rPr>
        <w:t xml:space="preserve">will not know </w:t>
      </w:r>
      <w:r>
        <w:rPr>
          <w:rFonts w:cs="Times New Roman"/>
        </w:rPr>
        <w:t>if</w:t>
      </w:r>
      <w:r w:rsidRPr="001369BB">
        <w:rPr>
          <w:rFonts w:cs="Times New Roman"/>
        </w:rPr>
        <w:t xml:space="preserve"> </w:t>
      </w:r>
      <w:r>
        <w:rPr>
          <w:rFonts w:cs="Times New Roman"/>
        </w:rPr>
        <w:t xml:space="preserve">the </w:t>
      </w:r>
      <w:r w:rsidRPr="000000A4" w:rsidR="000000A4">
        <w:rPr>
          <w:rFonts w:cs="Times New Roman"/>
          <w:i/>
          <w:iCs/>
        </w:rPr>
        <w:t xml:space="preserve">GAOS </w:t>
      </w:r>
      <w:r w:rsidRPr="00B01940" w:rsidR="00B01940">
        <w:rPr>
          <w:rFonts w:cs="Times New Roman"/>
        </w:rPr>
        <w:t xml:space="preserve">pilot </w:t>
      </w:r>
      <w:r>
        <w:rPr>
          <w:rFonts w:cs="Times New Roman"/>
        </w:rPr>
        <w:t>campaign</w:t>
      </w:r>
      <w:r w:rsidRPr="001369BB">
        <w:rPr>
          <w:rFonts w:cs="Times New Roman"/>
        </w:rPr>
        <w:t xml:space="preserve"> </w:t>
      </w:r>
      <w:r w:rsidR="00B01940">
        <w:rPr>
          <w:rFonts w:cs="Times New Roman"/>
        </w:rPr>
        <w:t xml:space="preserve">is </w:t>
      </w:r>
      <w:r w:rsidRPr="001369BB">
        <w:rPr>
          <w:rFonts w:cs="Times New Roman"/>
        </w:rPr>
        <w:t xml:space="preserve">effectively reaching and educating the </w:t>
      </w:r>
      <w:r>
        <w:rPr>
          <w:rFonts w:cs="Times New Roman"/>
        </w:rPr>
        <w:t xml:space="preserve">intended </w:t>
      </w:r>
      <w:r w:rsidRPr="001369BB">
        <w:rPr>
          <w:rFonts w:cs="Times New Roman"/>
        </w:rPr>
        <w:t xml:space="preserve">audiences nor how to refine or refresh the </w:t>
      </w:r>
      <w:r>
        <w:rPr>
          <w:rFonts w:cs="Times New Roman"/>
        </w:rPr>
        <w:t xml:space="preserve">campaigns </w:t>
      </w:r>
      <w:r w:rsidRPr="001369BB">
        <w:rPr>
          <w:rFonts w:cs="Times New Roman"/>
        </w:rPr>
        <w:t>messaging to improve clarity, receptivity, relevance, and effectiveness.</w:t>
      </w:r>
      <w:r>
        <w:rPr>
          <w:rFonts w:cs="Times New Roman"/>
        </w:rPr>
        <w:t xml:space="preserve"> </w:t>
      </w:r>
    </w:p>
    <w:p w:rsidR="003E233A" w:rsidP="007B3C63" w14:paraId="4EC4D9E8" w14:textId="131C8463">
      <w:pPr>
        <w:pStyle w:val="Default"/>
        <w:spacing w:after="200" w:line="276" w:lineRule="auto"/>
        <w:rPr>
          <w:rFonts w:ascii="Times New Roman" w:hAnsi="Times New Roman" w:cs="Times New Roman"/>
        </w:rPr>
      </w:pPr>
      <w:r>
        <w:rPr>
          <w:rFonts w:ascii="Times New Roman" w:hAnsi="Times New Roman" w:cs="Times New Roman"/>
        </w:rPr>
        <w:t xml:space="preserve">CDC will use the </w:t>
      </w:r>
      <w:r w:rsidRPr="00CF6BE8" w:rsidR="0055783D">
        <w:rPr>
          <w:rFonts w:ascii="Times New Roman" w:hAnsi="Times New Roman" w:cs="Times New Roman"/>
        </w:rPr>
        <w:t xml:space="preserve">information obtained from this </w:t>
      </w:r>
      <w:r w:rsidR="0031157D">
        <w:rPr>
          <w:rFonts w:ascii="Times New Roman" w:hAnsi="Times New Roman" w:cs="Times New Roman"/>
        </w:rPr>
        <w:t xml:space="preserve">study </w:t>
      </w:r>
      <w:r w:rsidRPr="00CF6BE8">
        <w:rPr>
          <w:rFonts w:ascii="Times New Roman" w:hAnsi="Times New Roman" w:cs="Times New Roman"/>
        </w:rPr>
        <w:t>in three primary ways:</w:t>
      </w:r>
      <w:r w:rsidR="005138CF">
        <w:rPr>
          <w:rFonts w:ascii="Times New Roman" w:hAnsi="Times New Roman" w:cs="Times New Roman"/>
        </w:rPr>
        <w:t xml:space="preserve"> </w:t>
      </w:r>
      <w:r w:rsidR="00F75DED">
        <w:rPr>
          <w:rFonts w:ascii="Times New Roman" w:hAnsi="Times New Roman" w:cs="Times New Roman"/>
        </w:rPr>
        <w:t>(</w:t>
      </w:r>
      <w:r w:rsidRPr="00CF6BE8">
        <w:rPr>
          <w:rFonts w:ascii="Times New Roman" w:hAnsi="Times New Roman" w:cs="Times New Roman"/>
        </w:rPr>
        <w:t xml:space="preserve">1) </w:t>
      </w:r>
      <w:r w:rsidRPr="00CF6BE8" w:rsidR="00220A8E">
        <w:rPr>
          <w:rFonts w:ascii="Times New Roman" w:hAnsi="Times New Roman" w:cs="Times New Roman"/>
        </w:rPr>
        <w:t xml:space="preserve">to </w:t>
      </w:r>
      <w:r w:rsidR="00220A8E">
        <w:rPr>
          <w:rFonts w:ascii="Times New Roman" w:hAnsi="Times New Roman" w:cs="Times New Roman"/>
        </w:rPr>
        <w:t xml:space="preserve">inform future refinement and implementation of the </w:t>
      </w:r>
      <w:r w:rsidRPr="00C961EE" w:rsidR="00220A8E">
        <w:rPr>
          <w:rFonts w:ascii="Times New Roman" w:hAnsi="Times New Roman" w:cs="Times New Roman"/>
          <w:i/>
          <w:iCs/>
        </w:rPr>
        <w:t xml:space="preserve">GAOS </w:t>
      </w:r>
      <w:r w:rsidRPr="00CF6BE8" w:rsidR="00220A8E">
        <w:rPr>
          <w:rStyle w:val="normaltextrun"/>
          <w:rFonts w:ascii="Times New Roman" w:hAnsi="Times New Roman" w:cs="Times New Roman"/>
          <w:bdr w:val="none" w:sz="0" w:space="0" w:color="auto" w:frame="1"/>
        </w:rPr>
        <w:t>campaign</w:t>
      </w:r>
      <w:r w:rsidR="00220A8E">
        <w:rPr>
          <w:rStyle w:val="normaltextrun"/>
          <w:rFonts w:ascii="Times New Roman" w:hAnsi="Times New Roman" w:cs="Times New Roman"/>
          <w:bdr w:val="none" w:sz="0" w:space="0" w:color="auto" w:frame="1"/>
        </w:rPr>
        <w:t xml:space="preserve"> (materials and tactics)</w:t>
      </w:r>
      <w:r w:rsidR="00C9537C">
        <w:rPr>
          <w:rStyle w:val="normaltextrun"/>
          <w:rFonts w:ascii="Times New Roman" w:hAnsi="Times New Roman" w:cs="Times New Roman"/>
          <w:bdr w:val="none" w:sz="0" w:space="0" w:color="auto" w:frame="1"/>
        </w:rPr>
        <w:t xml:space="preserve">; </w:t>
      </w:r>
      <w:r w:rsidR="00F75DED">
        <w:rPr>
          <w:rStyle w:val="normaltextrun"/>
          <w:rFonts w:ascii="Times New Roman" w:hAnsi="Times New Roman" w:cs="Times New Roman"/>
          <w:bdr w:val="none" w:sz="0" w:space="0" w:color="auto" w:frame="1"/>
        </w:rPr>
        <w:t>(</w:t>
      </w:r>
      <w:r w:rsidR="00C9537C">
        <w:rPr>
          <w:rStyle w:val="normaltextrun"/>
          <w:rFonts w:ascii="Times New Roman" w:hAnsi="Times New Roman" w:cs="Times New Roman"/>
          <w:bdr w:val="none" w:sz="0" w:space="0" w:color="auto" w:frame="1"/>
        </w:rPr>
        <w:t>2) t</w:t>
      </w:r>
      <w:r w:rsidRPr="00CF6BE8">
        <w:rPr>
          <w:rFonts w:ascii="Times New Roman" w:hAnsi="Times New Roman" w:cs="Times New Roman"/>
        </w:rPr>
        <w:t>o inform CDC</w:t>
      </w:r>
      <w:r w:rsidR="0026747D">
        <w:rPr>
          <w:rFonts w:ascii="Times New Roman" w:hAnsi="Times New Roman" w:cs="Times New Roman"/>
        </w:rPr>
        <w:t xml:space="preserve"> and its partners and stakeholders </w:t>
      </w:r>
      <w:r w:rsidRPr="00CF6BE8">
        <w:rPr>
          <w:rFonts w:ascii="Times New Roman" w:hAnsi="Times New Roman" w:cs="Times New Roman"/>
          <w:color w:val="000000" w:themeColor="text1"/>
          <w:shd w:val="clear" w:color="auto" w:fill="FFFFFF"/>
        </w:rPr>
        <w:t xml:space="preserve">who </w:t>
      </w:r>
      <w:r w:rsidR="005138CF">
        <w:rPr>
          <w:rFonts w:ascii="Times New Roman" w:hAnsi="Times New Roman" w:cs="Times New Roman"/>
          <w:color w:val="000000" w:themeColor="text1"/>
          <w:shd w:val="clear" w:color="auto" w:fill="FFFFFF"/>
        </w:rPr>
        <w:t xml:space="preserve">seek to combat </w:t>
      </w:r>
      <w:r w:rsidR="00E5380F">
        <w:rPr>
          <w:rFonts w:ascii="Times New Roman" w:hAnsi="Times New Roman" w:cs="Times New Roman"/>
          <w:color w:val="000000" w:themeColor="text1"/>
          <w:shd w:val="clear" w:color="auto" w:fill="FFFFFF"/>
        </w:rPr>
        <w:t>sepsis</w:t>
      </w:r>
      <w:r w:rsidRPr="002F12BF" w:rsidR="002F12BF">
        <w:rPr>
          <w:rFonts w:ascii="Times New Roman" w:hAnsi="Times New Roman" w:cs="Times New Roman"/>
        </w:rPr>
        <w:t xml:space="preserve"> </w:t>
      </w:r>
      <w:r w:rsidRPr="00CF6BE8" w:rsidR="002F12BF">
        <w:rPr>
          <w:rFonts w:ascii="Times New Roman" w:hAnsi="Times New Roman" w:cs="Times New Roman"/>
        </w:rPr>
        <w:t xml:space="preserve">about the potential effects of campaign messages among the </w:t>
      </w:r>
      <w:r w:rsidR="003A2B5B">
        <w:rPr>
          <w:rFonts w:ascii="Times New Roman" w:hAnsi="Times New Roman" w:cs="Times New Roman"/>
        </w:rPr>
        <w:t>intended</w:t>
      </w:r>
      <w:r w:rsidR="002F12BF">
        <w:rPr>
          <w:rFonts w:ascii="Times New Roman" w:hAnsi="Times New Roman" w:cs="Times New Roman"/>
        </w:rPr>
        <w:t xml:space="preserve"> </w:t>
      </w:r>
      <w:r w:rsidRPr="00CF6BE8" w:rsidR="002F12BF">
        <w:rPr>
          <w:rFonts w:ascii="Times New Roman" w:hAnsi="Times New Roman" w:cs="Times New Roman"/>
        </w:rPr>
        <w:t>audiences</w:t>
      </w:r>
      <w:r w:rsidRPr="00CF6BE8" w:rsidR="00E974B8">
        <w:rPr>
          <w:rFonts w:ascii="Times New Roman" w:hAnsi="Times New Roman" w:cs="Times New Roman"/>
        </w:rPr>
        <w:t xml:space="preserve">; </w:t>
      </w:r>
      <w:r w:rsidRPr="001617B6" w:rsidR="007B3C63">
        <w:rPr>
          <w:rStyle w:val="normaltextrun"/>
          <w:rFonts w:ascii="Times New Roman" w:hAnsi="Times New Roman" w:cs="Times New Roman"/>
          <w:bdr w:val="none" w:sz="0" w:space="0" w:color="auto" w:frame="1"/>
        </w:rPr>
        <w:t xml:space="preserve">and </w:t>
      </w:r>
      <w:r w:rsidR="00F75DED">
        <w:rPr>
          <w:rStyle w:val="normaltextrun"/>
          <w:rFonts w:ascii="Times New Roman" w:hAnsi="Times New Roman" w:cs="Times New Roman"/>
          <w:bdr w:val="none" w:sz="0" w:space="0" w:color="auto" w:frame="1"/>
        </w:rPr>
        <w:t>(</w:t>
      </w:r>
      <w:r w:rsidRPr="001617B6" w:rsidR="007B3C63">
        <w:rPr>
          <w:rStyle w:val="normaltextrun"/>
          <w:rFonts w:ascii="Times New Roman" w:hAnsi="Times New Roman" w:cs="Times New Roman"/>
          <w:bdr w:val="none" w:sz="0" w:space="0" w:color="auto" w:frame="1"/>
        </w:rPr>
        <w:t xml:space="preserve">3) </w:t>
      </w:r>
      <w:r w:rsidRPr="001617B6">
        <w:rPr>
          <w:rFonts w:ascii="Times New Roman" w:hAnsi="Times New Roman" w:cs="Times New Roman"/>
        </w:rPr>
        <w:t xml:space="preserve">to </w:t>
      </w:r>
      <w:r w:rsidR="00D47AC4">
        <w:rPr>
          <w:rFonts w:ascii="Times New Roman" w:hAnsi="Times New Roman" w:cs="Times New Roman"/>
        </w:rPr>
        <w:t xml:space="preserve">inform resource needs for future </w:t>
      </w:r>
      <w:r w:rsidRPr="001617B6" w:rsidR="00520862">
        <w:rPr>
          <w:rFonts w:ascii="Times New Roman" w:hAnsi="Times New Roman" w:cs="Times New Roman"/>
          <w:i/>
          <w:iCs/>
        </w:rPr>
        <w:t>GAOS</w:t>
      </w:r>
      <w:r w:rsidRPr="001617B6">
        <w:rPr>
          <w:rFonts w:ascii="Times New Roman" w:hAnsi="Times New Roman" w:cs="Times New Roman"/>
        </w:rPr>
        <w:t xml:space="preserve"> </w:t>
      </w:r>
      <w:r w:rsidRPr="001617B6" w:rsidR="00A505B5">
        <w:rPr>
          <w:rFonts w:ascii="Times New Roman" w:hAnsi="Times New Roman" w:cs="Times New Roman"/>
        </w:rPr>
        <w:t xml:space="preserve">campaign </w:t>
      </w:r>
      <w:r w:rsidRPr="00CF6BE8">
        <w:rPr>
          <w:rFonts w:ascii="Times New Roman" w:hAnsi="Times New Roman" w:cs="Times New Roman"/>
        </w:rPr>
        <w:t>act</w:t>
      </w:r>
      <w:r w:rsidR="00D025A6">
        <w:rPr>
          <w:rFonts w:ascii="Times New Roman" w:hAnsi="Times New Roman" w:cs="Times New Roman"/>
        </w:rPr>
        <w:t xml:space="preserve"> </w:t>
      </w:r>
      <w:r w:rsidR="00C17E03">
        <w:rPr>
          <w:rFonts w:ascii="Times New Roman" w:hAnsi="Times New Roman" w:cs="Times New Roman"/>
        </w:rPr>
        <w:t>act</w:t>
      </w:r>
      <w:r w:rsidRPr="00CF6BE8">
        <w:rPr>
          <w:rFonts w:ascii="Times New Roman" w:hAnsi="Times New Roman" w:cs="Times New Roman"/>
        </w:rPr>
        <w:t>ivities.</w:t>
      </w:r>
    </w:p>
    <w:p w:rsidR="00CC098C" w:rsidRPr="00BB4AB7" w:rsidP="00CC098C" w14:paraId="2BFB9E01" w14:textId="77777777">
      <w:pPr>
        <w:widowControl w:val="0"/>
        <w:spacing w:before="240" w:line="360" w:lineRule="auto"/>
        <w:rPr>
          <w:color w:val="000000"/>
          <w:szCs w:val="24"/>
          <w:u w:val="single"/>
        </w:rPr>
      </w:pPr>
      <w:r w:rsidRPr="00BB4AB7">
        <w:rPr>
          <w:color w:val="000000"/>
          <w:szCs w:val="24"/>
          <w:u w:val="single"/>
        </w:rPr>
        <w:t>Overview of the data collection procedures</w:t>
      </w:r>
    </w:p>
    <w:p w:rsidR="00CE3ABD" w:rsidP="00CE3ABD" w14:paraId="60085295" w14:textId="49738107">
      <w:pPr>
        <w:rPr>
          <w:rFonts w:cs="Times New Roman"/>
        </w:rPr>
      </w:pPr>
      <w:r w:rsidRPr="006F183B">
        <w:rPr>
          <w:rFonts w:cs="Times New Roman"/>
          <w:szCs w:val="24"/>
        </w:rPr>
        <w:t xml:space="preserve">CDC has </w:t>
      </w:r>
      <w:r w:rsidRPr="002A1E78" w:rsidR="002A1E78">
        <w:rPr>
          <w:color w:val="000000"/>
          <w:szCs w:val="24"/>
        </w:rPr>
        <w:t>contract</w:t>
      </w:r>
      <w:r>
        <w:rPr>
          <w:color w:val="000000"/>
          <w:szCs w:val="24"/>
        </w:rPr>
        <w:t>ed</w:t>
      </w:r>
      <w:r w:rsidRPr="002A1E78" w:rsidR="002A1E78">
        <w:rPr>
          <w:color w:val="000000"/>
          <w:szCs w:val="24"/>
        </w:rPr>
        <w:t xml:space="preserve"> with </w:t>
      </w:r>
      <w:r w:rsidRPr="00EE1CA8" w:rsidR="00BB4AB7">
        <w:rPr>
          <w:rFonts w:cs="Times New Roman"/>
        </w:rPr>
        <w:t>CATMEDIA</w:t>
      </w:r>
      <w:r w:rsidR="00F8327F">
        <w:rPr>
          <w:rFonts w:cs="Times New Roman"/>
        </w:rPr>
        <w:t>,</w:t>
      </w:r>
      <w:r w:rsidRPr="00C768E2" w:rsidR="00C768E2">
        <w:rPr>
          <w:rFonts w:eastAsia="Times New Roman" w:cs="Times New Roman"/>
        </w:rPr>
        <w:t xml:space="preserve"> </w:t>
      </w:r>
      <w:r w:rsidRPr="00D93A48" w:rsidR="00C768E2">
        <w:rPr>
          <w:rFonts w:eastAsia="Times New Roman" w:cs="Times New Roman"/>
        </w:rPr>
        <w:t>a program management, training, and creative services company</w:t>
      </w:r>
      <w:r w:rsidR="00BB230A">
        <w:rPr>
          <w:rFonts w:cs="Times New Roman"/>
        </w:rPr>
        <w:t>,</w:t>
      </w:r>
      <w:r w:rsidR="007E1681">
        <w:rPr>
          <w:rFonts w:cs="Times New Roman"/>
        </w:rPr>
        <w:t xml:space="preserve"> </w:t>
      </w:r>
      <w:r w:rsidR="00E36297">
        <w:rPr>
          <w:rFonts w:cs="Times New Roman"/>
        </w:rPr>
        <w:t xml:space="preserve">to design and implement the </w:t>
      </w:r>
      <w:r w:rsidR="00FD0C2A">
        <w:rPr>
          <w:rFonts w:cs="Times New Roman"/>
        </w:rPr>
        <w:t>study</w:t>
      </w:r>
      <w:r w:rsidR="00E36297">
        <w:rPr>
          <w:rFonts w:cs="Times New Roman"/>
        </w:rPr>
        <w:t>.</w:t>
      </w:r>
      <w:r w:rsidRPr="00D807D1" w:rsidR="00D807D1">
        <w:t xml:space="preserve"> </w:t>
      </w:r>
      <w:r w:rsidRPr="009B5DCF" w:rsidR="00D807D1">
        <w:t xml:space="preserve">The study </w:t>
      </w:r>
      <w:r w:rsidR="00FD0C2A">
        <w:t xml:space="preserve">design </w:t>
      </w:r>
      <w:r w:rsidR="00D807D1">
        <w:t>was</w:t>
      </w:r>
      <w:r w:rsidRPr="009B5DCF" w:rsidR="00D807D1">
        <w:t xml:space="preserve"> informed by key foundational activities, including a review of the literature and existing </w:t>
      </w:r>
      <w:r w:rsidRPr="00106FDB" w:rsidR="00D807D1">
        <w:rPr>
          <w:i/>
          <w:iCs/>
        </w:rPr>
        <w:t xml:space="preserve">GAOS </w:t>
      </w:r>
      <w:r w:rsidR="00D807D1">
        <w:t>materials and resources</w:t>
      </w:r>
      <w:r w:rsidRPr="009B5DCF" w:rsidR="00D807D1">
        <w:t xml:space="preserve">, the development of </w:t>
      </w:r>
      <w:r w:rsidR="00D807D1">
        <w:t xml:space="preserve">two </w:t>
      </w:r>
      <w:r w:rsidRPr="009B5DCF" w:rsidR="00D807D1">
        <w:t>logic model</w:t>
      </w:r>
      <w:r w:rsidR="00D807D1">
        <w:t>s</w:t>
      </w:r>
      <w:r w:rsidRPr="009B5DCF" w:rsidR="00D807D1">
        <w:t xml:space="preserve"> </w:t>
      </w:r>
      <w:r w:rsidRPr="009D76CD" w:rsidR="00D807D1">
        <w:t>(consumer and HCP)</w:t>
      </w:r>
      <w:r w:rsidR="00861895">
        <w:t>, an</w:t>
      </w:r>
      <w:r w:rsidR="00D807D1">
        <w:t xml:space="preserve"> assessment </w:t>
      </w:r>
      <w:r w:rsidRPr="009B5DCF" w:rsidR="00D807D1">
        <w:t>framework</w:t>
      </w:r>
      <w:r w:rsidR="007C67C0">
        <w:t>,</w:t>
      </w:r>
      <w:r w:rsidR="00861895">
        <w:t xml:space="preserve"> and </w:t>
      </w:r>
      <w:r w:rsidRPr="009B5DCF">
        <w:t xml:space="preserve">guidance from </w:t>
      </w:r>
      <w:r>
        <w:t xml:space="preserve">CATMEDIA research experts and </w:t>
      </w:r>
      <w:r w:rsidR="00E61B24">
        <w:t xml:space="preserve">CDC DHQP </w:t>
      </w:r>
      <w:r>
        <w:t xml:space="preserve">sepsis subject matter experts, </w:t>
      </w:r>
      <w:r w:rsidRPr="009B5DCF">
        <w:t>researchers, and program leaders.</w:t>
      </w:r>
    </w:p>
    <w:p w:rsidR="00B17B9E" w:rsidP="00B17B9E" w14:paraId="1136F514" w14:textId="77777777">
      <w:r w:rsidRPr="009D76CD">
        <w:t>A</w:t>
      </w:r>
      <w:r>
        <w:t xml:space="preserve"> monitoring and </w:t>
      </w:r>
      <w:r w:rsidRPr="009D76CD">
        <w:t>evaluation plan</w:t>
      </w:r>
      <w:r>
        <w:t xml:space="preserve">, which includes evaluation questions and sub-questions that map to the two logic models, along with indicators that will be used to measure results, </w:t>
      </w:r>
      <w:r w:rsidRPr="009D76CD">
        <w:t>was de</w:t>
      </w:r>
      <w:r>
        <w:t>veloped</w:t>
      </w:r>
      <w:r w:rsidRPr="009D76CD">
        <w:t xml:space="preserve"> to </w:t>
      </w:r>
      <w:r>
        <w:t xml:space="preserve">inform data collection, analysis, and reporting. </w:t>
      </w:r>
      <w:r w:rsidRPr="009D76CD">
        <w:t>Four survey instruments, namely the consumer surveys (pre</w:t>
      </w:r>
      <w:r>
        <w:t>-</w:t>
      </w:r>
      <w:r w:rsidRPr="009D76CD">
        <w:t>and</w:t>
      </w:r>
      <w:r>
        <w:t>-</w:t>
      </w:r>
      <w:r w:rsidRPr="009D76CD">
        <w:t>post</w:t>
      </w:r>
      <w:r>
        <w:t xml:space="preserve"> campaign</w:t>
      </w:r>
      <w:r w:rsidRPr="009D76CD">
        <w:t>) and the HCP surveys (pre</w:t>
      </w:r>
      <w:r>
        <w:t>-</w:t>
      </w:r>
      <w:r w:rsidRPr="009D76CD">
        <w:t>and</w:t>
      </w:r>
      <w:r>
        <w:t>-</w:t>
      </w:r>
      <w:r w:rsidRPr="009D76CD">
        <w:t>post</w:t>
      </w:r>
      <w:r>
        <w:t xml:space="preserve"> campaign</w:t>
      </w:r>
      <w:r w:rsidRPr="009D76CD">
        <w:t xml:space="preserve">), were developed to collect data from participants. </w:t>
      </w:r>
    </w:p>
    <w:p w:rsidR="00D807D1" w:rsidRPr="00B36D47" w:rsidP="00D807D1" w14:paraId="54472D6B" w14:textId="167E3251">
      <w:pPr>
        <w:pStyle w:val="Bullets"/>
        <w:numPr>
          <w:ilvl w:val="0"/>
          <w:numId w:val="0"/>
        </w:numPr>
        <w:rPr>
          <w:rFonts w:cs="Times New Roman"/>
        </w:rPr>
      </w:pPr>
      <w:r>
        <w:rPr>
          <w:szCs w:val="24"/>
        </w:rPr>
        <w:t xml:space="preserve">The overarching evaluation </w:t>
      </w:r>
      <w:r w:rsidRPr="00DA56AE">
        <w:rPr>
          <w:szCs w:val="24"/>
        </w:rPr>
        <w:t xml:space="preserve">questions that will </w:t>
      </w:r>
      <w:r>
        <w:rPr>
          <w:szCs w:val="24"/>
        </w:rPr>
        <w:t xml:space="preserve">guide the study </w:t>
      </w:r>
      <w:r w:rsidR="00717281">
        <w:rPr>
          <w:szCs w:val="24"/>
        </w:rPr>
        <w:t>are</w:t>
      </w:r>
      <w:r w:rsidRPr="00B36D47">
        <w:rPr>
          <w:rFonts w:cs="Times New Roman"/>
        </w:rPr>
        <w:t>:</w:t>
      </w:r>
    </w:p>
    <w:p w:rsidR="00D807D1" w:rsidRPr="00B93099" w:rsidP="00D807D1" w14:paraId="49A63B8F" w14:textId="5ADEC496">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are the extent and magnitude of </w:t>
      </w:r>
      <w:r>
        <w:rPr>
          <w:i/>
          <w:iCs/>
          <w:color w:val="000000" w:themeColor="text1"/>
        </w:rPr>
        <w:t>GAOS</w:t>
      </w:r>
      <w:r w:rsidRPr="00B93099">
        <w:rPr>
          <w:i/>
          <w:iCs/>
          <w:color w:val="000000" w:themeColor="text1"/>
        </w:rPr>
        <w:t xml:space="preserve"> </w:t>
      </w:r>
      <w:r w:rsidRPr="00B93099">
        <w:t xml:space="preserve">campaign </w:t>
      </w:r>
      <w:r w:rsidR="002F73EF">
        <w:t xml:space="preserve">pilot assessment </w:t>
      </w:r>
      <w:r w:rsidRPr="00B93099">
        <w:rPr>
          <w:rStyle w:val="normaltextrun"/>
          <w:color w:val="000000"/>
        </w:rPr>
        <w:t xml:space="preserve">reach among the </w:t>
      </w:r>
      <w:r w:rsidR="003A2B5B">
        <w:rPr>
          <w:rStyle w:val="normaltextrun"/>
          <w:color w:val="000000"/>
        </w:rPr>
        <w:t>intended</w:t>
      </w:r>
      <w:r>
        <w:rPr>
          <w:rStyle w:val="normaltextrun"/>
          <w:color w:val="000000"/>
        </w:rPr>
        <w:t xml:space="preserve"> audiences</w:t>
      </w:r>
      <w:r w:rsidRPr="00B93099">
        <w:rPr>
          <w:rStyle w:val="normaltextrun"/>
          <w:color w:val="000000"/>
        </w:rPr>
        <w:t>?</w:t>
      </w:r>
    </w:p>
    <w:p w:rsidR="00D807D1" w:rsidRPr="00B93099" w:rsidP="00D807D1" w14:paraId="0947C70D" w14:textId="0AB86BBE">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are the effects of </w:t>
      </w:r>
      <w:r>
        <w:rPr>
          <w:i/>
          <w:iCs/>
          <w:color w:val="000000" w:themeColor="text1"/>
        </w:rPr>
        <w:t>GAOS</w:t>
      </w:r>
      <w:r w:rsidRPr="00B93099">
        <w:rPr>
          <w:i/>
          <w:iCs/>
          <w:color w:val="000000" w:themeColor="text1"/>
        </w:rPr>
        <w:t xml:space="preserve"> </w:t>
      </w:r>
      <w:r w:rsidRPr="00B93099">
        <w:t xml:space="preserve">campaign </w:t>
      </w:r>
      <w:r w:rsidR="002F73EF">
        <w:t xml:space="preserve">pilot assessment </w:t>
      </w:r>
      <w:r w:rsidRPr="00B93099">
        <w:rPr>
          <w:rStyle w:val="normaltextrun"/>
          <w:color w:val="000000"/>
        </w:rPr>
        <w:t xml:space="preserve">on awareness of </w:t>
      </w:r>
      <w:r w:rsidRPr="00B14088">
        <w:rPr>
          <w:rStyle w:val="normaltextrun"/>
          <w:color w:val="000000"/>
        </w:rPr>
        <w:t>sepsis</w:t>
      </w:r>
      <w:r w:rsidRPr="00B93099">
        <w:rPr>
          <w:rStyle w:val="normaltextrun"/>
          <w:color w:val="000000"/>
        </w:rPr>
        <w:t xml:space="preserve"> among the </w:t>
      </w:r>
      <w:r w:rsidR="003A2B5B">
        <w:rPr>
          <w:rStyle w:val="normaltextrun"/>
          <w:color w:val="000000"/>
        </w:rPr>
        <w:t xml:space="preserve">intended </w:t>
      </w:r>
      <w:r>
        <w:rPr>
          <w:rStyle w:val="normaltextrun"/>
          <w:color w:val="000000"/>
        </w:rPr>
        <w:t>audiences</w:t>
      </w:r>
      <w:r w:rsidRPr="00B93099">
        <w:rPr>
          <w:rStyle w:val="normaltextrun"/>
          <w:color w:val="000000"/>
        </w:rPr>
        <w:t>?</w:t>
      </w:r>
    </w:p>
    <w:p w:rsidR="00D807D1" w:rsidRPr="004F5F7D" w:rsidP="00D807D1" w14:paraId="21ABF8FE" w14:textId="5CCB53CE">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impact did </w:t>
      </w:r>
      <w:r>
        <w:rPr>
          <w:i/>
          <w:iCs/>
          <w:color w:val="000000" w:themeColor="text1"/>
        </w:rPr>
        <w:t>GAOS</w:t>
      </w:r>
      <w:r w:rsidRPr="00B93099">
        <w:rPr>
          <w:i/>
          <w:iCs/>
          <w:color w:val="000000" w:themeColor="text1"/>
        </w:rPr>
        <w:t xml:space="preserve"> </w:t>
      </w:r>
      <w:r w:rsidRPr="00B93099">
        <w:t>campaign</w:t>
      </w:r>
      <w:r w:rsidRPr="002F73EF" w:rsidR="002F73EF">
        <w:t xml:space="preserve"> </w:t>
      </w:r>
      <w:r w:rsidR="002F73EF">
        <w:t>pilot assessment</w:t>
      </w:r>
      <w:r w:rsidRPr="00B93099">
        <w:t xml:space="preserve"> </w:t>
      </w:r>
      <w:r w:rsidRPr="00B93099">
        <w:rPr>
          <w:rStyle w:val="normaltextrun"/>
          <w:color w:val="000000"/>
        </w:rPr>
        <w:t xml:space="preserve">have on the </w:t>
      </w:r>
      <w:r w:rsidR="00694A94">
        <w:rPr>
          <w:rStyle w:val="normaltextrun"/>
          <w:color w:val="000000"/>
        </w:rPr>
        <w:t>intended</w:t>
      </w:r>
      <w:r w:rsidRPr="00B93099">
        <w:rPr>
          <w:rStyle w:val="normaltextrun"/>
          <w:color w:val="000000"/>
        </w:rPr>
        <w:t xml:space="preserve"> audiences’ knowledge, attitudes, beliefs, and behavior </w:t>
      </w:r>
      <w:r w:rsidRPr="00B14088">
        <w:rPr>
          <w:rStyle w:val="normaltextrun"/>
          <w:color w:val="000000"/>
        </w:rPr>
        <w:t>about sepsis?</w:t>
      </w:r>
    </w:p>
    <w:p w:rsidR="009F3786" w:rsidP="004B50BA" w14:paraId="739513C0" w14:textId="2BD2CC85">
      <w:pPr>
        <w:rPr>
          <w:rStyle w:val="normaltextrun"/>
          <w:rFonts w:cs="Times New Roman"/>
        </w:rPr>
      </w:pPr>
      <w:r>
        <w:rPr>
          <w:rFonts w:cs="Times New Roman"/>
        </w:rPr>
        <w:t>CAT</w:t>
      </w:r>
      <w:r w:rsidR="00F2588C">
        <w:rPr>
          <w:rFonts w:cs="Times New Roman"/>
        </w:rPr>
        <w:t xml:space="preserve">MEDIA will subcontract with an </w:t>
      </w:r>
      <w:r w:rsidR="004F4AB7">
        <w:rPr>
          <w:rFonts w:cs="Times New Roman"/>
        </w:rPr>
        <w:t xml:space="preserve">online </w:t>
      </w:r>
      <w:r w:rsidR="007E1681">
        <w:rPr>
          <w:rFonts w:cs="Times New Roman"/>
        </w:rPr>
        <w:t xml:space="preserve">survey panel </w:t>
      </w:r>
      <w:r w:rsidR="00F2588C">
        <w:rPr>
          <w:rFonts w:cs="Times New Roman"/>
        </w:rPr>
        <w:t>vendor</w:t>
      </w:r>
      <w:r w:rsidR="00872E43">
        <w:rPr>
          <w:szCs w:val="24"/>
        </w:rPr>
        <w:t xml:space="preserve"> (hereafter called vendor)</w:t>
      </w:r>
      <w:r w:rsidR="004916E3">
        <w:rPr>
          <w:szCs w:val="24"/>
        </w:rPr>
        <w:t xml:space="preserve"> to collect data from a sample of </w:t>
      </w:r>
      <w:r w:rsidRPr="00EE1CA8" w:rsidR="00BB4AB7">
        <w:rPr>
          <w:rFonts w:cs="Times New Roman"/>
        </w:rPr>
        <w:t>consumer</w:t>
      </w:r>
      <w:r w:rsidRPr="000C1277" w:rsidR="000C1277">
        <w:rPr>
          <w:rFonts w:cs="Times New Roman"/>
        </w:rPr>
        <w:t xml:space="preserve"> </w:t>
      </w:r>
      <w:r w:rsidRPr="000D4AA4" w:rsidR="000C1277">
        <w:rPr>
          <w:rFonts w:cs="Times New Roman"/>
        </w:rPr>
        <w:t xml:space="preserve">(Table 1) </w:t>
      </w:r>
      <w:r w:rsidRPr="000D4AA4" w:rsidR="006A5169">
        <w:rPr>
          <w:rFonts w:cs="Times New Roman"/>
        </w:rPr>
        <w:t>and HCP</w:t>
      </w:r>
      <w:r w:rsidRPr="000D4AA4" w:rsidR="000C1277">
        <w:rPr>
          <w:rFonts w:cs="Times New Roman"/>
        </w:rPr>
        <w:t xml:space="preserve"> audiences (Table 2)</w:t>
      </w:r>
      <w:r w:rsidRPr="00EE1CA8" w:rsidR="00BB4AB7">
        <w:rPr>
          <w:rFonts w:cs="Times New Roman"/>
        </w:rPr>
        <w:t xml:space="preserve"> in </w:t>
      </w:r>
      <w:r w:rsidR="00E02955">
        <w:rPr>
          <w:rFonts w:cs="Times New Roman"/>
        </w:rPr>
        <w:t xml:space="preserve">three priority markets: </w:t>
      </w:r>
      <w:r w:rsidR="00DE194E">
        <w:rPr>
          <w:rFonts w:cs="Times New Roman"/>
        </w:rPr>
        <w:t>New Yor</w:t>
      </w:r>
      <w:r w:rsidR="00B74B89">
        <w:rPr>
          <w:rFonts w:cs="Times New Roman"/>
        </w:rPr>
        <w:t>k</w:t>
      </w:r>
      <w:r w:rsidR="00DE194E">
        <w:rPr>
          <w:rFonts w:cs="Times New Roman"/>
        </w:rPr>
        <w:t xml:space="preserve">, Illinois, </w:t>
      </w:r>
      <w:r w:rsidR="00B74B89">
        <w:rPr>
          <w:rFonts w:cs="Times New Roman"/>
        </w:rPr>
        <w:t>and</w:t>
      </w:r>
      <w:r w:rsidR="00DE194E">
        <w:rPr>
          <w:rFonts w:cs="Times New Roman"/>
        </w:rPr>
        <w:t xml:space="preserve"> </w:t>
      </w:r>
      <w:r w:rsidR="00FE3B0A">
        <w:rPr>
          <w:rFonts w:cs="Times New Roman"/>
        </w:rPr>
        <w:t>Louisiana</w:t>
      </w:r>
      <w:r w:rsidR="00DE194E">
        <w:rPr>
          <w:rFonts w:cs="Times New Roman"/>
        </w:rPr>
        <w:t>.</w:t>
      </w:r>
      <w:r w:rsidR="00B74B89">
        <w:rPr>
          <w:rFonts w:cs="Times New Roman"/>
        </w:rPr>
        <w:t xml:space="preserve"> </w:t>
      </w:r>
      <w:r w:rsidRPr="000D4AA4" w:rsidR="002D2897">
        <w:rPr>
          <w:rStyle w:val="normaltextrun"/>
          <w:rFonts w:cs="Times New Roman"/>
        </w:rPr>
        <w:t xml:space="preserve">The </w:t>
      </w:r>
      <w:r w:rsidR="00A8170B">
        <w:rPr>
          <w:rStyle w:val="normaltextrun"/>
          <w:rFonts w:cs="Times New Roman"/>
        </w:rPr>
        <w:t>priority</w:t>
      </w:r>
      <w:r w:rsidRPr="000D4AA4" w:rsidR="002D2897">
        <w:rPr>
          <w:rStyle w:val="normaltextrun"/>
          <w:rFonts w:cs="Times New Roman"/>
        </w:rPr>
        <w:t xml:space="preserve"> markets are based on media buy, budgeting, the presence of urban and rural populations across the recommended markets, and the feasibility of attaining the number of participants needed in this assessment.</w:t>
      </w:r>
      <w:r w:rsidR="00631E56">
        <w:rPr>
          <w:rStyle w:val="normaltextrun"/>
          <w:rFonts w:cs="Times New Roman"/>
        </w:rPr>
        <w:t xml:space="preserve"> </w:t>
      </w:r>
    </w:p>
    <w:p w:rsidR="0073697C" w:rsidP="0073697C" w14:paraId="0961CEF7" w14:textId="26ACBB50">
      <w:pPr>
        <w:rPr>
          <w:rFonts w:cstheme="minorHAnsi"/>
        </w:rPr>
      </w:pPr>
      <w:r>
        <w:rPr>
          <w:szCs w:val="24"/>
        </w:rPr>
        <w:t xml:space="preserve">The vendor will recruit </w:t>
      </w:r>
      <w:r w:rsidRPr="00433493">
        <w:rPr>
          <w:szCs w:val="24"/>
        </w:rPr>
        <w:t xml:space="preserve">individuals who </w:t>
      </w:r>
      <w:r w:rsidR="00051F37">
        <w:rPr>
          <w:szCs w:val="24"/>
        </w:rPr>
        <w:t xml:space="preserve">match </w:t>
      </w:r>
      <w:r w:rsidRPr="00433493">
        <w:rPr>
          <w:szCs w:val="24"/>
        </w:rPr>
        <w:t xml:space="preserve">the </w:t>
      </w:r>
      <w:r w:rsidR="00694A94">
        <w:rPr>
          <w:szCs w:val="24"/>
        </w:rPr>
        <w:t>intended</w:t>
      </w:r>
      <w:r w:rsidRPr="00433493">
        <w:rPr>
          <w:szCs w:val="24"/>
        </w:rPr>
        <w:t xml:space="preserve"> audience</w:t>
      </w:r>
      <w:r>
        <w:rPr>
          <w:szCs w:val="24"/>
        </w:rPr>
        <w:t>s</w:t>
      </w:r>
      <w:r w:rsidRPr="00433493">
        <w:rPr>
          <w:szCs w:val="24"/>
        </w:rPr>
        <w:t xml:space="preserve"> using their proprietary research panels</w:t>
      </w:r>
      <w:r>
        <w:rPr>
          <w:szCs w:val="24"/>
        </w:rPr>
        <w:t>.</w:t>
      </w:r>
      <w:r>
        <w:rPr>
          <w:rFonts w:cs="Times New Roman"/>
        </w:rPr>
        <w:t xml:space="preserve"> </w:t>
      </w:r>
      <w:r>
        <w:rPr>
          <w:rFonts w:cstheme="minorHAnsi"/>
        </w:rPr>
        <w:t xml:space="preserve">Individuals who consent and are deemed eligible to participate will be invited to participate in an online survey. </w:t>
      </w:r>
      <w:r w:rsidR="00323D60">
        <w:rPr>
          <w:rFonts w:cstheme="minorHAnsi"/>
        </w:rPr>
        <w:t xml:space="preserve">The survey will be </w:t>
      </w:r>
      <w:r w:rsidR="00AB7DBB">
        <w:rPr>
          <w:rFonts w:cstheme="minorHAnsi"/>
        </w:rPr>
        <w:t xml:space="preserve">available </w:t>
      </w:r>
      <w:r w:rsidR="00323D60">
        <w:rPr>
          <w:rFonts w:cstheme="minorHAnsi"/>
        </w:rPr>
        <w:t xml:space="preserve">in English only. </w:t>
      </w:r>
      <w:r>
        <w:t xml:space="preserve">Data will be collected from respondents in each </w:t>
      </w:r>
      <w:r w:rsidR="005F238F">
        <w:t xml:space="preserve">audience </w:t>
      </w:r>
      <w:r>
        <w:t xml:space="preserve">group at two different points in time– pre-campaign and post-campaign –using different participants in each time point (i.e., </w:t>
      </w:r>
      <w:r w:rsidRPr="00D74B2C">
        <w:rPr>
          <w:rFonts w:eastAsia="Arial Nova"/>
        </w:rPr>
        <w:t>these are two independent group</w:t>
      </w:r>
      <w:r>
        <w:rPr>
          <w:rFonts w:eastAsia="Arial Nova"/>
        </w:rPr>
        <w:t>s).</w:t>
      </w:r>
    </w:p>
    <w:p w:rsidR="00EA4D58" w:rsidP="00EA4D58" w14:paraId="63340600" w14:textId="0B157F8B">
      <w:pPr>
        <w:rPr>
          <w:rFonts w:cs="Times New Roman"/>
          <w:color w:val="000000" w:themeColor="text1"/>
        </w:rPr>
      </w:pPr>
      <w:r w:rsidRPr="009E26DE">
        <w:rPr>
          <w:rFonts w:cs="Times New Roman"/>
          <w:color w:val="000000" w:themeColor="text1"/>
        </w:rPr>
        <w:t xml:space="preserve">Table 1. </w:t>
      </w:r>
      <w:r w:rsidR="00520862">
        <w:rPr>
          <w:rFonts w:cs="Times New Roman"/>
          <w:color w:val="000000" w:themeColor="text1"/>
        </w:rPr>
        <w:t>GAOS</w:t>
      </w:r>
      <w:r w:rsidRPr="009E26DE">
        <w:rPr>
          <w:rFonts w:cs="Times New Roman"/>
          <w:color w:val="000000" w:themeColor="text1"/>
        </w:rPr>
        <w:t xml:space="preserve"> Consumer </w:t>
      </w:r>
      <w:r w:rsidR="00694A94">
        <w:rPr>
          <w:rFonts w:cs="Times New Roman"/>
          <w:color w:val="000000" w:themeColor="text1"/>
        </w:rPr>
        <w:t xml:space="preserve">Audiences and </w:t>
      </w:r>
      <w:r w:rsidR="002601FB">
        <w:rPr>
          <w:rFonts w:cs="Times New Roman"/>
          <w:color w:val="000000" w:themeColor="text1"/>
        </w:rPr>
        <w:t>Select</w:t>
      </w:r>
      <w:r w:rsidRPr="009E26DE">
        <w:rPr>
          <w:rFonts w:cs="Times New Roman"/>
          <w:color w:val="000000" w:themeColor="text1"/>
        </w:rPr>
        <w:t xml:space="preserve"> Markets</w:t>
      </w:r>
    </w:p>
    <w:tbl>
      <w:tblPr>
        <w:tblW w:w="9108" w:type="dxa"/>
        <w:tblLook w:val="04A0"/>
      </w:tblPr>
      <w:tblGrid>
        <w:gridCol w:w="3510"/>
        <w:gridCol w:w="1930"/>
        <w:gridCol w:w="1750"/>
        <w:gridCol w:w="1918"/>
      </w:tblGrid>
      <w:tr w14:paraId="4BEB58D0" w14:textId="77777777" w:rsidTr="000C6B72">
        <w:tblPrEx>
          <w:tblW w:w="9108" w:type="dxa"/>
          <w:tblLook w:val="04A0"/>
        </w:tblPrEx>
        <w:trPr>
          <w:trHeight w:val="60"/>
        </w:trPr>
        <w:tc>
          <w:tcPr>
            <w:tcW w:w="3510"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bottom"/>
            <w:hideMark/>
          </w:tcPr>
          <w:p w:rsidR="00B64DFE" w:rsidRPr="00E07B7E" w:rsidP="003D431E" w14:paraId="12F15E9B" w14:textId="7B395916">
            <w:pPr>
              <w:jc w:val="center"/>
              <w:rPr>
                <w:b/>
                <w:bCs/>
                <w:color w:val="000000"/>
                <w:sz w:val="22"/>
              </w:rPr>
            </w:pPr>
            <w:r w:rsidRPr="00E07B7E">
              <w:rPr>
                <w:b/>
                <w:bCs/>
                <w:color w:val="000000"/>
                <w:sz w:val="22"/>
              </w:rPr>
              <w:t xml:space="preserve">Consumer </w:t>
            </w:r>
            <w:r w:rsidR="00E07B7E">
              <w:rPr>
                <w:b/>
                <w:bCs/>
                <w:color w:val="000000"/>
                <w:sz w:val="22"/>
              </w:rPr>
              <w:t>a</w:t>
            </w:r>
            <w:r w:rsidRPr="00E07B7E">
              <w:rPr>
                <w:b/>
                <w:bCs/>
                <w:color w:val="000000"/>
                <w:sz w:val="22"/>
              </w:rPr>
              <w:t>udiences</w:t>
            </w:r>
            <w:r w:rsidRPr="00E07B7E" w:rsidR="00E07B7E">
              <w:rPr>
                <w:b/>
                <w:bCs/>
                <w:color w:val="000000"/>
                <w:sz w:val="22"/>
              </w:rPr>
              <w:t xml:space="preserve"> </w:t>
            </w:r>
            <w:r w:rsidRPr="00E07B7E" w:rsidR="00E07B7E">
              <w:rPr>
                <w:rFonts w:cs="Times New Roman"/>
                <w:b/>
                <w:bCs/>
                <w:sz w:val="22"/>
              </w:rPr>
              <w:t>who have a higher risk for developing infections that can lead to sepsis</w:t>
            </w:r>
          </w:p>
        </w:tc>
        <w:tc>
          <w:tcPr>
            <w:tcW w:w="1930" w:type="dxa"/>
            <w:tcBorders>
              <w:top w:val="single" w:sz="4" w:space="0" w:color="auto"/>
              <w:left w:val="nil"/>
              <w:bottom w:val="single" w:sz="8" w:space="0" w:color="auto"/>
              <w:right w:val="single" w:sz="8" w:space="0" w:color="auto"/>
            </w:tcBorders>
            <w:shd w:val="clear" w:color="auto" w:fill="F2F2F2" w:themeFill="background1" w:themeFillShade="F2"/>
            <w:noWrap/>
            <w:vAlign w:val="bottom"/>
            <w:hideMark/>
          </w:tcPr>
          <w:p w:rsidR="00B64DFE" w:rsidRPr="00E07B7E" w:rsidP="000C6B72" w14:paraId="50C70EB0" w14:textId="77777777">
            <w:pPr>
              <w:jc w:val="center"/>
              <w:rPr>
                <w:b/>
                <w:bCs/>
                <w:color w:val="000000"/>
                <w:sz w:val="22"/>
              </w:rPr>
            </w:pPr>
            <w:r w:rsidRPr="00E07B7E">
              <w:rPr>
                <w:b/>
                <w:bCs/>
                <w:color w:val="000000"/>
                <w:sz w:val="22"/>
              </w:rPr>
              <w:t>New York (Northeast)</w:t>
            </w:r>
          </w:p>
        </w:tc>
        <w:tc>
          <w:tcPr>
            <w:tcW w:w="1750" w:type="dxa"/>
            <w:tcBorders>
              <w:top w:val="single" w:sz="4" w:space="0" w:color="auto"/>
              <w:left w:val="nil"/>
              <w:bottom w:val="single" w:sz="8" w:space="0" w:color="auto"/>
              <w:right w:val="single" w:sz="8" w:space="0" w:color="auto"/>
            </w:tcBorders>
            <w:shd w:val="clear" w:color="auto" w:fill="F2F2F2" w:themeFill="background1" w:themeFillShade="F2"/>
            <w:noWrap/>
            <w:vAlign w:val="bottom"/>
            <w:hideMark/>
          </w:tcPr>
          <w:p w:rsidR="00B64DFE" w:rsidRPr="00E07B7E" w:rsidP="000C6B72" w14:paraId="7F8B607B" w14:textId="77777777">
            <w:pPr>
              <w:jc w:val="center"/>
              <w:rPr>
                <w:b/>
                <w:bCs/>
                <w:color w:val="000000"/>
                <w:sz w:val="22"/>
              </w:rPr>
            </w:pPr>
            <w:r w:rsidRPr="00E07B7E">
              <w:rPr>
                <w:b/>
                <w:bCs/>
                <w:color w:val="000000"/>
                <w:sz w:val="22"/>
              </w:rPr>
              <w:t>Illinois (Midwest)</w:t>
            </w:r>
          </w:p>
        </w:tc>
        <w:tc>
          <w:tcPr>
            <w:tcW w:w="1918" w:type="dxa"/>
            <w:tcBorders>
              <w:top w:val="single" w:sz="4" w:space="0" w:color="auto"/>
              <w:left w:val="nil"/>
              <w:bottom w:val="single" w:sz="8" w:space="0" w:color="auto"/>
              <w:right w:val="single" w:sz="8" w:space="0" w:color="auto"/>
            </w:tcBorders>
            <w:shd w:val="clear" w:color="auto" w:fill="F2F2F2" w:themeFill="background1" w:themeFillShade="F2"/>
            <w:noWrap/>
            <w:vAlign w:val="bottom"/>
            <w:hideMark/>
          </w:tcPr>
          <w:p w:rsidR="00B64DFE" w:rsidRPr="00E07B7E" w:rsidP="000C6B72" w14:paraId="21015A21" w14:textId="77777777">
            <w:pPr>
              <w:jc w:val="center"/>
              <w:rPr>
                <w:b/>
                <w:bCs/>
                <w:color w:val="000000"/>
                <w:sz w:val="22"/>
              </w:rPr>
            </w:pPr>
            <w:r w:rsidRPr="00E07B7E">
              <w:rPr>
                <w:b/>
                <w:bCs/>
                <w:color w:val="000000"/>
                <w:sz w:val="22"/>
              </w:rPr>
              <w:t>Louisiana (Southeast)</w:t>
            </w:r>
          </w:p>
        </w:tc>
      </w:tr>
      <w:tr w14:paraId="3927C5A6" w14:textId="77777777" w:rsidTr="000C6B72">
        <w:tblPrEx>
          <w:tblW w:w="9108" w:type="dxa"/>
          <w:tblLook w:val="04A0"/>
        </w:tblPrEx>
        <w:trPr>
          <w:trHeight w:val="644"/>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F16A6E" w:rsidRPr="009D76CD" w:rsidP="00F16A6E" w14:paraId="2F5F0CC9" w14:textId="55D685D4">
            <w:pPr>
              <w:pStyle w:val="paragraph"/>
              <w:shd w:val="clear" w:color="auto" w:fill="FFFFFF" w:themeFill="background1"/>
              <w:spacing w:before="0" w:beforeAutospacing="0" w:after="0" w:afterAutospacing="0"/>
              <w:textAlignment w:val="baseline"/>
              <w:rPr>
                <w:color w:val="000000" w:themeColor="text1"/>
              </w:rPr>
            </w:pPr>
            <w:r w:rsidRPr="000C6B72">
              <w:rPr>
                <w:color w:val="000000" w:themeColor="text1"/>
                <w:sz w:val="22"/>
                <w:szCs w:val="22"/>
              </w:rPr>
              <w:t xml:space="preserve">Cancer patients and their caregivers </w:t>
            </w:r>
          </w:p>
          <w:p w:rsidR="00B64DFE" w:rsidRPr="000C6B72" w:rsidP="0018480F" w14:paraId="1EBAFF94" w14:textId="6C7A37C9">
            <w:pPr>
              <w:pStyle w:val="Caption"/>
              <w:spacing w:after="0"/>
              <w:rPr>
                <w:i w:val="0"/>
                <w:iCs w:val="0"/>
                <w:sz w:val="22"/>
                <w:szCs w:val="22"/>
              </w:rPr>
            </w:pPr>
          </w:p>
          <w:p w:rsidR="00B64DFE" w:rsidRPr="000C6B72" w:rsidP="0018480F" w14:paraId="06EB8658" w14:textId="77777777">
            <w:pPr>
              <w:rPr>
                <w:color w:val="000000"/>
                <w:sz w:val="22"/>
              </w:rPr>
            </w:pPr>
          </w:p>
        </w:tc>
        <w:tc>
          <w:tcPr>
            <w:tcW w:w="193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48D8C94" w14:textId="77777777">
            <w:pPr>
              <w:jc w:val="center"/>
              <w:rPr>
                <w:color w:val="000000"/>
                <w:sz w:val="22"/>
              </w:rPr>
            </w:pPr>
            <w:r w:rsidRPr="000C6B72">
              <w:rPr>
                <w:color w:val="000000"/>
                <w:sz w:val="22"/>
              </w:rPr>
              <w:t>X</w:t>
            </w:r>
          </w:p>
        </w:tc>
        <w:tc>
          <w:tcPr>
            <w:tcW w:w="175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556BC7F" w14:textId="77777777">
            <w:pPr>
              <w:jc w:val="center"/>
              <w:rPr>
                <w:color w:val="000000"/>
                <w:sz w:val="22"/>
              </w:rPr>
            </w:pPr>
            <w:r w:rsidRPr="000C6B72">
              <w:rPr>
                <w:color w:val="000000"/>
                <w:sz w:val="22"/>
              </w:rPr>
              <w:t>X</w:t>
            </w:r>
          </w:p>
        </w:tc>
        <w:tc>
          <w:tcPr>
            <w:tcW w:w="1918"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3B8A067D" w14:textId="77777777">
            <w:pPr>
              <w:jc w:val="center"/>
              <w:rPr>
                <w:color w:val="000000"/>
                <w:sz w:val="22"/>
              </w:rPr>
            </w:pPr>
            <w:r w:rsidRPr="000C6B72">
              <w:rPr>
                <w:color w:val="000000"/>
                <w:sz w:val="22"/>
              </w:rPr>
              <w:t>X</w:t>
            </w:r>
          </w:p>
        </w:tc>
      </w:tr>
      <w:tr w14:paraId="7CD71442" w14:textId="77777777" w:rsidTr="000C6B72">
        <w:tblPrEx>
          <w:tblW w:w="9108" w:type="dxa"/>
          <w:tblLook w:val="04A0"/>
        </w:tblPrEx>
        <w:trPr>
          <w:trHeight w:val="847"/>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B64DFE" w:rsidRPr="00F16A6E" w:rsidP="00F16A6E" w14:paraId="45D63BC9" w14:textId="21D8F075">
            <w:pPr>
              <w:pStyle w:val="paragraph"/>
              <w:shd w:val="clear" w:color="auto" w:fill="FFFFFF" w:themeFill="background1"/>
              <w:spacing w:before="0" w:beforeAutospacing="0" w:after="0" w:afterAutospacing="0"/>
              <w:textAlignment w:val="baseline"/>
              <w:rPr>
                <w:color w:val="000000" w:themeColor="text1"/>
              </w:rPr>
            </w:pPr>
            <w:r w:rsidRPr="000C6B72">
              <w:rPr>
                <w:color w:val="000000" w:themeColor="text1"/>
                <w:sz w:val="22"/>
              </w:rPr>
              <w:t xml:space="preserve">Patients who survived severe COVID-19 or sepsis and their caregivers </w:t>
            </w:r>
          </w:p>
        </w:tc>
        <w:tc>
          <w:tcPr>
            <w:tcW w:w="193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46C056A0" w14:textId="77777777">
            <w:pPr>
              <w:jc w:val="center"/>
              <w:rPr>
                <w:color w:val="000000"/>
                <w:sz w:val="22"/>
              </w:rPr>
            </w:pPr>
            <w:r w:rsidRPr="000C6B72">
              <w:rPr>
                <w:color w:val="000000"/>
                <w:sz w:val="22"/>
              </w:rPr>
              <w:t>X</w:t>
            </w:r>
          </w:p>
        </w:tc>
        <w:tc>
          <w:tcPr>
            <w:tcW w:w="175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5BC81256" w14:textId="77777777">
            <w:pPr>
              <w:jc w:val="center"/>
              <w:rPr>
                <w:color w:val="000000"/>
                <w:sz w:val="22"/>
              </w:rPr>
            </w:pPr>
            <w:r w:rsidRPr="000C6B72">
              <w:rPr>
                <w:color w:val="000000"/>
                <w:sz w:val="22"/>
              </w:rPr>
              <w:t>X</w:t>
            </w:r>
          </w:p>
        </w:tc>
        <w:tc>
          <w:tcPr>
            <w:tcW w:w="1918"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257461C2" w14:textId="77777777">
            <w:pPr>
              <w:jc w:val="center"/>
              <w:rPr>
                <w:color w:val="000000"/>
                <w:sz w:val="22"/>
              </w:rPr>
            </w:pPr>
            <w:r w:rsidRPr="000C6B72">
              <w:rPr>
                <w:color w:val="000000"/>
                <w:sz w:val="22"/>
              </w:rPr>
              <w:t>X</w:t>
            </w:r>
          </w:p>
        </w:tc>
      </w:tr>
      <w:tr w14:paraId="23FF907D" w14:textId="77777777" w:rsidTr="000C6B72">
        <w:tblPrEx>
          <w:tblW w:w="9108" w:type="dxa"/>
          <w:tblLook w:val="04A0"/>
        </w:tblPrEx>
        <w:trPr>
          <w:trHeight w:val="704"/>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B64DFE" w:rsidRPr="00F16A6E" w:rsidP="00F16A6E" w14:paraId="62311E70" w14:textId="1A8D7533">
            <w:pPr>
              <w:pStyle w:val="paragraph"/>
              <w:shd w:val="clear" w:color="auto" w:fill="FFFFFF" w:themeFill="background1"/>
              <w:spacing w:before="0" w:beforeAutospacing="0" w:after="0" w:afterAutospacing="0"/>
              <w:textAlignment w:val="baseline"/>
              <w:rPr>
                <w:color w:val="000000" w:themeColor="text1"/>
              </w:rPr>
            </w:pPr>
            <w:r w:rsidRPr="000C6B72">
              <w:rPr>
                <w:color w:val="000000" w:themeColor="text1"/>
                <w:sz w:val="22"/>
              </w:rPr>
              <w:t xml:space="preserve">Parents of children 12 and younger </w:t>
            </w:r>
          </w:p>
        </w:tc>
        <w:tc>
          <w:tcPr>
            <w:tcW w:w="193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1698F46" w14:textId="77777777">
            <w:pPr>
              <w:jc w:val="center"/>
              <w:rPr>
                <w:color w:val="000000"/>
                <w:sz w:val="22"/>
              </w:rPr>
            </w:pPr>
            <w:r w:rsidRPr="000C6B72">
              <w:rPr>
                <w:color w:val="000000"/>
                <w:sz w:val="22"/>
              </w:rPr>
              <w:t>X</w:t>
            </w:r>
          </w:p>
        </w:tc>
        <w:tc>
          <w:tcPr>
            <w:tcW w:w="175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9AA2914" w14:textId="77777777">
            <w:pPr>
              <w:jc w:val="center"/>
              <w:rPr>
                <w:color w:val="000000"/>
                <w:sz w:val="22"/>
              </w:rPr>
            </w:pPr>
            <w:r w:rsidRPr="000C6B72">
              <w:rPr>
                <w:color w:val="000000"/>
                <w:sz w:val="22"/>
              </w:rPr>
              <w:t>X</w:t>
            </w:r>
          </w:p>
        </w:tc>
        <w:tc>
          <w:tcPr>
            <w:tcW w:w="1918"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2FF6A408" w14:textId="77777777">
            <w:pPr>
              <w:jc w:val="center"/>
              <w:rPr>
                <w:color w:val="000000"/>
                <w:sz w:val="22"/>
              </w:rPr>
            </w:pPr>
            <w:r w:rsidRPr="000C6B72">
              <w:rPr>
                <w:color w:val="000000"/>
                <w:sz w:val="22"/>
              </w:rPr>
              <w:t>X</w:t>
            </w:r>
          </w:p>
        </w:tc>
      </w:tr>
      <w:tr w14:paraId="5895501F" w14:textId="77777777" w:rsidTr="000C6B72">
        <w:tblPrEx>
          <w:tblW w:w="9108" w:type="dxa"/>
          <w:tblLook w:val="04A0"/>
        </w:tblPrEx>
        <w:trPr>
          <w:trHeight w:val="764"/>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B64DFE" w:rsidRPr="000D64DB" w:rsidP="000D64DB" w14:paraId="487B81AD" w14:textId="0AB08481">
            <w:pPr>
              <w:pStyle w:val="paragraph"/>
              <w:shd w:val="clear" w:color="auto" w:fill="FFFFFF" w:themeFill="background1"/>
              <w:spacing w:before="0" w:beforeAutospacing="0" w:after="0" w:afterAutospacing="0"/>
              <w:textAlignment w:val="baseline"/>
              <w:rPr>
                <w:color w:val="000000" w:themeColor="text1"/>
              </w:rPr>
            </w:pPr>
            <w:r w:rsidRPr="000C6B72">
              <w:rPr>
                <w:color w:val="000000" w:themeColor="text1"/>
                <w:sz w:val="22"/>
              </w:rPr>
              <w:t>Adults who care for a family member age 65+ </w:t>
            </w:r>
          </w:p>
        </w:tc>
        <w:tc>
          <w:tcPr>
            <w:tcW w:w="193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452AB632" w14:textId="77777777">
            <w:pPr>
              <w:jc w:val="center"/>
              <w:rPr>
                <w:color w:val="000000"/>
                <w:sz w:val="22"/>
              </w:rPr>
            </w:pPr>
            <w:r w:rsidRPr="000C6B72">
              <w:rPr>
                <w:color w:val="000000"/>
                <w:sz w:val="22"/>
              </w:rPr>
              <w:t>X</w:t>
            </w:r>
          </w:p>
        </w:tc>
        <w:tc>
          <w:tcPr>
            <w:tcW w:w="175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29C68AB" w14:textId="77777777">
            <w:pPr>
              <w:jc w:val="center"/>
              <w:rPr>
                <w:color w:val="000000"/>
                <w:sz w:val="22"/>
              </w:rPr>
            </w:pPr>
            <w:r w:rsidRPr="000C6B72">
              <w:rPr>
                <w:color w:val="000000"/>
                <w:sz w:val="22"/>
              </w:rPr>
              <w:t>X</w:t>
            </w:r>
          </w:p>
        </w:tc>
        <w:tc>
          <w:tcPr>
            <w:tcW w:w="1918"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5682D0F" w14:textId="77777777">
            <w:pPr>
              <w:jc w:val="center"/>
              <w:rPr>
                <w:color w:val="000000"/>
                <w:sz w:val="22"/>
              </w:rPr>
            </w:pPr>
            <w:r w:rsidRPr="000C6B72">
              <w:rPr>
                <w:color w:val="000000"/>
                <w:sz w:val="22"/>
              </w:rPr>
              <w:t>X</w:t>
            </w:r>
          </w:p>
        </w:tc>
      </w:tr>
      <w:tr w14:paraId="1996C797" w14:textId="77777777" w:rsidTr="000C6B72">
        <w:tblPrEx>
          <w:tblW w:w="9108" w:type="dxa"/>
          <w:tblLook w:val="04A0"/>
        </w:tblPrEx>
        <w:trPr>
          <w:trHeight w:val="862"/>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B64DFE" w:rsidRPr="000D64DB" w:rsidP="000D64DB" w14:paraId="6181D38A" w14:textId="6862EE00">
            <w:pPr>
              <w:pStyle w:val="paragraph"/>
              <w:shd w:val="clear" w:color="auto" w:fill="FFFFFF" w:themeFill="background1"/>
              <w:spacing w:before="0" w:beforeAutospacing="0" w:after="0" w:afterAutospacing="0"/>
              <w:textAlignment w:val="baseline"/>
              <w:rPr>
                <w:color w:val="000000" w:themeColor="text1"/>
              </w:rPr>
            </w:pPr>
            <w:r w:rsidRPr="000C6B72">
              <w:rPr>
                <w:color w:val="000000" w:themeColor="text1"/>
                <w:sz w:val="22"/>
              </w:rPr>
              <w:t>Men aged 65+ with one or more chronic conditions </w:t>
            </w:r>
          </w:p>
        </w:tc>
        <w:tc>
          <w:tcPr>
            <w:tcW w:w="193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4C9D3258" w14:textId="77777777">
            <w:pPr>
              <w:jc w:val="center"/>
              <w:rPr>
                <w:color w:val="000000"/>
                <w:sz w:val="22"/>
              </w:rPr>
            </w:pPr>
            <w:r w:rsidRPr="000C6B72">
              <w:rPr>
                <w:color w:val="000000"/>
                <w:sz w:val="22"/>
              </w:rPr>
              <w:t>X</w:t>
            </w:r>
          </w:p>
        </w:tc>
        <w:tc>
          <w:tcPr>
            <w:tcW w:w="175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45A1324F" w14:textId="77777777">
            <w:pPr>
              <w:jc w:val="center"/>
              <w:rPr>
                <w:color w:val="000000"/>
                <w:sz w:val="22"/>
              </w:rPr>
            </w:pPr>
            <w:r w:rsidRPr="000C6B72">
              <w:rPr>
                <w:color w:val="000000"/>
                <w:sz w:val="22"/>
              </w:rPr>
              <w:t>X</w:t>
            </w:r>
          </w:p>
        </w:tc>
        <w:tc>
          <w:tcPr>
            <w:tcW w:w="1918"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5413E075" w14:textId="77777777">
            <w:pPr>
              <w:jc w:val="center"/>
              <w:rPr>
                <w:color w:val="000000"/>
                <w:sz w:val="22"/>
              </w:rPr>
            </w:pPr>
            <w:r w:rsidRPr="000C6B72">
              <w:rPr>
                <w:color w:val="000000"/>
                <w:sz w:val="22"/>
              </w:rPr>
              <w:t>X</w:t>
            </w:r>
          </w:p>
        </w:tc>
      </w:tr>
      <w:tr w14:paraId="006CCBEE" w14:textId="77777777" w:rsidTr="000C6B72">
        <w:tblPrEx>
          <w:tblW w:w="9108" w:type="dxa"/>
          <w:tblLook w:val="04A0"/>
        </w:tblPrEx>
        <w:trPr>
          <w:trHeight w:val="591"/>
        </w:trPr>
        <w:tc>
          <w:tcPr>
            <w:tcW w:w="3510" w:type="dxa"/>
            <w:tcBorders>
              <w:top w:val="nil"/>
              <w:left w:val="single" w:sz="8" w:space="0" w:color="auto"/>
              <w:bottom w:val="single" w:sz="8" w:space="0" w:color="auto"/>
              <w:right w:val="single" w:sz="8" w:space="0" w:color="auto"/>
            </w:tcBorders>
            <w:shd w:val="clear" w:color="auto" w:fill="auto"/>
            <w:vAlign w:val="center"/>
            <w:hideMark/>
          </w:tcPr>
          <w:p w:rsidR="00B64DFE" w:rsidRPr="000D64DB" w:rsidP="000D64DB" w14:paraId="4873B296" w14:textId="365165DE">
            <w:pPr>
              <w:pStyle w:val="paragraph"/>
              <w:shd w:val="clear" w:color="auto" w:fill="FFFFFF" w:themeFill="background1"/>
              <w:spacing w:before="0" w:beforeAutospacing="0" w:after="0" w:afterAutospacing="0"/>
              <w:textAlignment w:val="baseline"/>
              <w:rPr>
                <w:color w:val="000000" w:themeColor="text1"/>
              </w:rPr>
            </w:pPr>
            <w:r w:rsidRPr="000C6B72">
              <w:rPr>
                <w:color w:val="000000" w:themeColor="text1"/>
                <w:sz w:val="22"/>
              </w:rPr>
              <w:t>Healthy adults 65+ </w:t>
            </w:r>
          </w:p>
        </w:tc>
        <w:tc>
          <w:tcPr>
            <w:tcW w:w="193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19971051" w14:textId="77777777">
            <w:pPr>
              <w:jc w:val="center"/>
              <w:rPr>
                <w:color w:val="000000"/>
                <w:sz w:val="22"/>
              </w:rPr>
            </w:pPr>
            <w:r w:rsidRPr="000C6B72">
              <w:rPr>
                <w:color w:val="000000"/>
                <w:sz w:val="22"/>
              </w:rPr>
              <w:t>X</w:t>
            </w:r>
          </w:p>
        </w:tc>
        <w:tc>
          <w:tcPr>
            <w:tcW w:w="1750"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5359B583" w14:textId="77777777">
            <w:pPr>
              <w:jc w:val="center"/>
              <w:rPr>
                <w:color w:val="000000"/>
                <w:sz w:val="22"/>
              </w:rPr>
            </w:pPr>
            <w:r w:rsidRPr="000C6B72">
              <w:rPr>
                <w:color w:val="000000"/>
                <w:sz w:val="22"/>
              </w:rPr>
              <w:t>X</w:t>
            </w:r>
          </w:p>
        </w:tc>
        <w:tc>
          <w:tcPr>
            <w:tcW w:w="1918" w:type="dxa"/>
            <w:tcBorders>
              <w:top w:val="nil"/>
              <w:left w:val="nil"/>
              <w:bottom w:val="single" w:sz="8" w:space="0" w:color="auto"/>
              <w:right w:val="single" w:sz="8" w:space="0" w:color="auto"/>
            </w:tcBorders>
            <w:shd w:val="clear" w:color="auto" w:fill="auto"/>
            <w:noWrap/>
            <w:vAlign w:val="bottom"/>
            <w:hideMark/>
          </w:tcPr>
          <w:p w:rsidR="00B64DFE" w:rsidRPr="000C6B72" w:rsidP="0018480F" w14:paraId="3395445F" w14:textId="77777777">
            <w:pPr>
              <w:jc w:val="center"/>
              <w:rPr>
                <w:color w:val="000000"/>
                <w:sz w:val="22"/>
              </w:rPr>
            </w:pPr>
            <w:r w:rsidRPr="000C6B72">
              <w:rPr>
                <w:color w:val="000000"/>
                <w:sz w:val="22"/>
              </w:rPr>
              <w:t>X</w:t>
            </w:r>
          </w:p>
        </w:tc>
      </w:tr>
    </w:tbl>
    <w:p w:rsidR="00EA4D58" w:rsidP="00EA4D58" w14:paraId="7C8009EE" w14:textId="77777777">
      <w:pPr>
        <w:rPr>
          <w:rFonts w:cs="Times New Roman"/>
        </w:rPr>
      </w:pPr>
    </w:p>
    <w:p w:rsidR="00EA4D58" w:rsidRPr="009E26DE" w:rsidP="00EA4D58" w14:paraId="5709DA9B" w14:textId="547E0431">
      <w:pPr>
        <w:rPr>
          <w:color w:val="000000" w:themeColor="text1"/>
          <w:szCs w:val="24"/>
        </w:rPr>
      </w:pPr>
      <w:r w:rsidRPr="009E26DE">
        <w:rPr>
          <w:rFonts w:cs="Times New Roman"/>
          <w:color w:val="000000" w:themeColor="text1"/>
        </w:rPr>
        <w:t xml:space="preserve">Table 2. </w:t>
      </w:r>
      <w:r w:rsidR="00520862">
        <w:rPr>
          <w:color w:val="000000" w:themeColor="text1"/>
          <w:szCs w:val="24"/>
        </w:rPr>
        <w:t>GAOS</w:t>
      </w:r>
      <w:r w:rsidRPr="009E26DE">
        <w:rPr>
          <w:color w:val="000000" w:themeColor="text1"/>
          <w:szCs w:val="24"/>
        </w:rPr>
        <w:t xml:space="preserve"> HCP</w:t>
      </w:r>
      <w:r w:rsidR="00694A94">
        <w:rPr>
          <w:color w:val="000000" w:themeColor="text1"/>
          <w:szCs w:val="24"/>
        </w:rPr>
        <w:t xml:space="preserve"> Audiences and</w:t>
      </w:r>
      <w:r w:rsidRPr="009E26DE">
        <w:rPr>
          <w:color w:val="000000" w:themeColor="text1"/>
          <w:szCs w:val="24"/>
        </w:rPr>
        <w:t xml:space="preserve"> </w:t>
      </w:r>
      <w:r w:rsidR="00B538D0">
        <w:rPr>
          <w:color w:val="000000" w:themeColor="text1"/>
          <w:szCs w:val="24"/>
        </w:rPr>
        <w:t>Select</w:t>
      </w:r>
      <w:r w:rsidRPr="009E26DE">
        <w:rPr>
          <w:color w:val="000000" w:themeColor="text1"/>
          <w:szCs w:val="24"/>
        </w:rPr>
        <w:t xml:space="preserve"> Markets</w:t>
      </w:r>
    </w:p>
    <w:tbl>
      <w:tblPr>
        <w:tblW w:w="9181" w:type="dxa"/>
        <w:tblLook w:val="04A0"/>
      </w:tblPr>
      <w:tblGrid>
        <w:gridCol w:w="3413"/>
        <w:gridCol w:w="2242"/>
        <w:gridCol w:w="1569"/>
        <w:gridCol w:w="1957"/>
      </w:tblGrid>
      <w:tr w14:paraId="5C8321CD" w14:textId="77777777" w:rsidTr="00994935">
        <w:tblPrEx>
          <w:tblW w:w="9181" w:type="dxa"/>
          <w:tblLook w:val="04A0"/>
        </w:tblPrEx>
        <w:trPr>
          <w:trHeight w:val="709"/>
        </w:trPr>
        <w:tc>
          <w:tcPr>
            <w:tcW w:w="3413"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bottom"/>
            <w:hideMark/>
          </w:tcPr>
          <w:p w:rsidR="00994935" w:rsidRPr="003D431E" w:rsidP="003D431E" w14:paraId="4FB4E24B" w14:textId="3CC4F460">
            <w:pPr>
              <w:jc w:val="center"/>
              <w:rPr>
                <w:b/>
                <w:bCs/>
                <w:color w:val="000000"/>
                <w:sz w:val="22"/>
              </w:rPr>
            </w:pPr>
            <w:r w:rsidRPr="003D431E">
              <w:rPr>
                <w:b/>
                <w:bCs/>
                <w:color w:val="000000"/>
                <w:sz w:val="22"/>
              </w:rPr>
              <w:t xml:space="preserve">HCP </w:t>
            </w:r>
            <w:r w:rsidRPr="003D431E" w:rsidR="003D431E">
              <w:rPr>
                <w:b/>
                <w:bCs/>
                <w:color w:val="000000"/>
                <w:sz w:val="22"/>
              </w:rPr>
              <w:t>a</w:t>
            </w:r>
            <w:r w:rsidRPr="003D431E">
              <w:rPr>
                <w:b/>
                <w:bCs/>
                <w:color w:val="000000"/>
                <w:sz w:val="22"/>
              </w:rPr>
              <w:t>udiences</w:t>
            </w:r>
            <w:r w:rsidRPr="003D431E" w:rsidR="007B4360">
              <w:rPr>
                <w:rFonts w:cs="Times New Roman"/>
                <w:b/>
                <w:bCs/>
                <w:sz w:val="22"/>
              </w:rPr>
              <w:t xml:space="preserve"> who play a role in diagnosing and treating sepsis</w:t>
            </w:r>
          </w:p>
        </w:tc>
        <w:tc>
          <w:tcPr>
            <w:tcW w:w="2242" w:type="dxa"/>
            <w:tcBorders>
              <w:top w:val="single" w:sz="4" w:space="0" w:color="auto"/>
              <w:left w:val="nil"/>
              <w:bottom w:val="single" w:sz="8" w:space="0" w:color="auto"/>
              <w:right w:val="single" w:sz="8" w:space="0" w:color="auto"/>
            </w:tcBorders>
            <w:shd w:val="clear" w:color="auto" w:fill="F2F2F2" w:themeFill="background1" w:themeFillShade="F2"/>
            <w:noWrap/>
            <w:vAlign w:val="bottom"/>
            <w:hideMark/>
          </w:tcPr>
          <w:p w:rsidR="00994935" w:rsidRPr="00994935" w:rsidP="00994935" w14:paraId="695A258B" w14:textId="77777777">
            <w:pPr>
              <w:jc w:val="center"/>
              <w:rPr>
                <w:b/>
                <w:bCs/>
                <w:color w:val="000000"/>
                <w:sz w:val="22"/>
              </w:rPr>
            </w:pPr>
            <w:r w:rsidRPr="00994935">
              <w:rPr>
                <w:b/>
                <w:bCs/>
                <w:color w:val="000000"/>
                <w:sz w:val="22"/>
              </w:rPr>
              <w:t>New York (Northeast)</w:t>
            </w:r>
          </w:p>
        </w:tc>
        <w:tc>
          <w:tcPr>
            <w:tcW w:w="1569" w:type="dxa"/>
            <w:tcBorders>
              <w:top w:val="single" w:sz="4" w:space="0" w:color="auto"/>
              <w:left w:val="nil"/>
              <w:bottom w:val="single" w:sz="8" w:space="0" w:color="auto"/>
              <w:right w:val="single" w:sz="8" w:space="0" w:color="auto"/>
            </w:tcBorders>
            <w:shd w:val="clear" w:color="auto" w:fill="F2F2F2" w:themeFill="background1" w:themeFillShade="F2"/>
            <w:noWrap/>
            <w:vAlign w:val="bottom"/>
            <w:hideMark/>
          </w:tcPr>
          <w:p w:rsidR="00994935" w:rsidRPr="00994935" w:rsidP="00994935" w14:paraId="425F3E95" w14:textId="77777777">
            <w:pPr>
              <w:jc w:val="center"/>
              <w:rPr>
                <w:b/>
                <w:bCs/>
                <w:color w:val="000000"/>
                <w:sz w:val="22"/>
              </w:rPr>
            </w:pPr>
            <w:r w:rsidRPr="00994935">
              <w:rPr>
                <w:b/>
                <w:bCs/>
                <w:color w:val="000000"/>
                <w:sz w:val="22"/>
              </w:rPr>
              <w:t>Illinois (Midwest)</w:t>
            </w:r>
          </w:p>
        </w:tc>
        <w:tc>
          <w:tcPr>
            <w:tcW w:w="1957" w:type="dxa"/>
            <w:tcBorders>
              <w:top w:val="single" w:sz="4" w:space="0" w:color="auto"/>
              <w:left w:val="nil"/>
              <w:bottom w:val="single" w:sz="8" w:space="0" w:color="auto"/>
              <w:right w:val="single" w:sz="8" w:space="0" w:color="auto"/>
            </w:tcBorders>
            <w:shd w:val="clear" w:color="auto" w:fill="F2F2F2" w:themeFill="background1" w:themeFillShade="F2"/>
            <w:noWrap/>
            <w:vAlign w:val="bottom"/>
            <w:hideMark/>
          </w:tcPr>
          <w:p w:rsidR="00994935" w:rsidRPr="00994935" w:rsidP="00994935" w14:paraId="5AF0A1FC" w14:textId="77777777">
            <w:pPr>
              <w:jc w:val="center"/>
              <w:rPr>
                <w:b/>
                <w:bCs/>
                <w:color w:val="000000"/>
                <w:sz w:val="22"/>
              </w:rPr>
            </w:pPr>
            <w:r w:rsidRPr="00994935">
              <w:rPr>
                <w:b/>
                <w:bCs/>
                <w:color w:val="000000"/>
                <w:sz w:val="22"/>
              </w:rPr>
              <w:t>Louisiana (Southeast)</w:t>
            </w:r>
          </w:p>
        </w:tc>
      </w:tr>
      <w:tr w14:paraId="5BF1F665" w14:textId="77777777" w:rsidTr="00994935">
        <w:tblPrEx>
          <w:tblW w:w="9181" w:type="dxa"/>
          <w:tblLook w:val="04A0"/>
        </w:tblPrEx>
        <w:trPr>
          <w:trHeight w:val="709"/>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994935" w:rsidRPr="000D64DB" w:rsidP="000D64DB" w14:paraId="2DB4ACD6" w14:textId="1FFCC1A9">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Emergency Medical Services personnel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07574EC9"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3B761B9C"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3D0DF80E" w14:textId="77777777">
            <w:pPr>
              <w:jc w:val="center"/>
              <w:rPr>
                <w:color w:val="000000"/>
                <w:sz w:val="22"/>
              </w:rPr>
            </w:pPr>
            <w:r w:rsidRPr="00994935">
              <w:rPr>
                <w:color w:val="000000"/>
                <w:sz w:val="22"/>
              </w:rPr>
              <w:t>X</w:t>
            </w:r>
          </w:p>
        </w:tc>
      </w:tr>
      <w:tr w14:paraId="4761CBD0" w14:textId="77777777" w:rsidTr="00994935">
        <w:tblPrEx>
          <w:tblW w:w="9181" w:type="dxa"/>
          <w:tblLook w:val="04A0"/>
        </w:tblPrEx>
        <w:trPr>
          <w:trHeight w:val="1245"/>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994935" w:rsidRPr="000D64DB" w:rsidP="000D64DB" w14:paraId="6C865B34" w14:textId="5ABE8733">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 xml:space="preserve">Nurse practitioners and Physician assistants who work at urgent care clinics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7965C3E9"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5019C2BF"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0750F208" w14:textId="77777777">
            <w:pPr>
              <w:jc w:val="center"/>
              <w:rPr>
                <w:color w:val="000000"/>
                <w:sz w:val="22"/>
              </w:rPr>
            </w:pPr>
            <w:r w:rsidRPr="00994935">
              <w:rPr>
                <w:color w:val="000000"/>
                <w:sz w:val="22"/>
              </w:rPr>
              <w:t>X</w:t>
            </w:r>
          </w:p>
        </w:tc>
      </w:tr>
      <w:tr w14:paraId="0C2FE671" w14:textId="77777777" w:rsidTr="00994935">
        <w:tblPrEx>
          <w:tblW w:w="9181" w:type="dxa"/>
          <w:tblLook w:val="04A0"/>
        </w:tblPrEx>
        <w:trPr>
          <w:trHeight w:val="692"/>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994935" w:rsidRPr="000D64DB" w:rsidP="000D64DB" w14:paraId="0DD4B92A" w14:textId="17FCDE7E">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Emergency department triage nurses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34D0487D"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3579C125"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1AF38B33" w14:textId="77777777">
            <w:pPr>
              <w:jc w:val="center"/>
              <w:rPr>
                <w:color w:val="000000"/>
                <w:sz w:val="22"/>
              </w:rPr>
            </w:pPr>
            <w:r w:rsidRPr="00994935">
              <w:rPr>
                <w:color w:val="000000"/>
                <w:sz w:val="22"/>
              </w:rPr>
              <w:t>X</w:t>
            </w:r>
          </w:p>
        </w:tc>
      </w:tr>
      <w:tr w14:paraId="6D8293A8" w14:textId="77777777" w:rsidTr="00994935">
        <w:tblPrEx>
          <w:tblW w:w="9181" w:type="dxa"/>
          <w:tblLook w:val="04A0"/>
        </w:tblPrEx>
        <w:trPr>
          <w:trHeight w:val="604"/>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994935" w:rsidRPr="000D64DB" w:rsidP="000D64DB" w14:paraId="24A83865" w14:textId="5AF034A7">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General medical ward staff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64884F22"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5C50C063"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20F18B88" w14:textId="77777777">
            <w:pPr>
              <w:jc w:val="center"/>
              <w:rPr>
                <w:color w:val="000000"/>
                <w:sz w:val="22"/>
              </w:rPr>
            </w:pPr>
            <w:r w:rsidRPr="00994935">
              <w:rPr>
                <w:color w:val="000000"/>
                <w:sz w:val="22"/>
              </w:rPr>
              <w:t>X</w:t>
            </w:r>
          </w:p>
        </w:tc>
      </w:tr>
      <w:tr w14:paraId="338E5CCA" w14:textId="77777777" w:rsidTr="00994935">
        <w:tblPrEx>
          <w:tblW w:w="9181" w:type="dxa"/>
          <w:tblLook w:val="04A0"/>
        </w:tblPrEx>
        <w:trPr>
          <w:trHeight w:val="535"/>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994935" w:rsidRPr="000D64DB" w:rsidP="000D64DB" w14:paraId="45677729" w14:textId="4C20E34D">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Primary care physicians</w:t>
            </w:r>
            <w:r w:rsidR="000D64DB">
              <w:rPr>
                <w:color w:val="000000"/>
                <w:sz w:val="22"/>
              </w:rPr>
              <w:t xml:space="preserve">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2D5345B9"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6EA69E46"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0912DBFE" w14:textId="77777777">
            <w:pPr>
              <w:jc w:val="center"/>
              <w:rPr>
                <w:color w:val="000000"/>
                <w:sz w:val="22"/>
              </w:rPr>
            </w:pPr>
            <w:r w:rsidRPr="00994935">
              <w:rPr>
                <w:color w:val="000000"/>
                <w:sz w:val="22"/>
              </w:rPr>
              <w:t>X</w:t>
            </w:r>
          </w:p>
        </w:tc>
      </w:tr>
      <w:tr w14:paraId="6F310041" w14:textId="77777777" w:rsidTr="00994935">
        <w:tblPrEx>
          <w:tblW w:w="9181" w:type="dxa"/>
          <w:tblLook w:val="04A0"/>
        </w:tblPrEx>
        <w:trPr>
          <w:trHeight w:val="761"/>
        </w:trPr>
        <w:tc>
          <w:tcPr>
            <w:tcW w:w="3413" w:type="dxa"/>
            <w:tcBorders>
              <w:top w:val="nil"/>
              <w:left w:val="single" w:sz="8" w:space="0" w:color="auto"/>
              <w:bottom w:val="single" w:sz="8" w:space="0" w:color="auto"/>
              <w:right w:val="single" w:sz="8" w:space="0" w:color="auto"/>
            </w:tcBorders>
            <w:shd w:val="clear" w:color="auto" w:fill="auto"/>
            <w:vAlign w:val="center"/>
            <w:hideMark/>
          </w:tcPr>
          <w:p w:rsidR="00994935" w:rsidRPr="000D64DB" w:rsidP="000D64DB" w14:paraId="778A9017" w14:textId="60343851">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Long-Term care TC) nurses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19C6B2FA"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76CCD498"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2B04B8C4" w14:textId="77777777">
            <w:pPr>
              <w:jc w:val="center"/>
              <w:rPr>
                <w:color w:val="000000"/>
                <w:sz w:val="22"/>
              </w:rPr>
            </w:pPr>
            <w:r w:rsidRPr="00994935">
              <w:rPr>
                <w:color w:val="000000"/>
                <w:sz w:val="22"/>
              </w:rPr>
              <w:t>X</w:t>
            </w:r>
          </w:p>
        </w:tc>
      </w:tr>
      <w:tr w14:paraId="63E4E58D" w14:textId="77777777" w:rsidTr="00994935">
        <w:tblPrEx>
          <w:tblW w:w="9181" w:type="dxa"/>
          <w:tblLook w:val="04A0"/>
        </w:tblPrEx>
        <w:trPr>
          <w:trHeight w:val="604"/>
        </w:trPr>
        <w:tc>
          <w:tcPr>
            <w:tcW w:w="3413" w:type="dxa"/>
            <w:tcBorders>
              <w:top w:val="nil"/>
              <w:left w:val="single" w:sz="8" w:space="0" w:color="auto"/>
              <w:bottom w:val="single" w:sz="8" w:space="0" w:color="auto"/>
              <w:right w:val="single" w:sz="8" w:space="0" w:color="auto"/>
            </w:tcBorders>
            <w:shd w:val="clear" w:color="auto" w:fill="auto"/>
            <w:vAlign w:val="bottom"/>
            <w:hideMark/>
          </w:tcPr>
          <w:p w:rsidR="00994935" w:rsidRPr="000D64DB" w:rsidP="000D64DB" w14:paraId="45E3C1A3" w14:textId="51694A27">
            <w:pPr>
              <w:pStyle w:val="paragraph"/>
              <w:shd w:val="clear" w:color="auto" w:fill="FFFFFF" w:themeFill="background1"/>
              <w:spacing w:before="0" w:beforeAutospacing="0" w:after="0" w:afterAutospacing="0"/>
              <w:textAlignment w:val="baseline"/>
              <w:rPr>
                <w:color w:val="000000" w:themeColor="text1"/>
              </w:rPr>
            </w:pPr>
            <w:r w:rsidRPr="00994935">
              <w:rPr>
                <w:color w:val="000000"/>
                <w:sz w:val="22"/>
              </w:rPr>
              <w:t>LTC medical technicians and sitters </w:t>
            </w:r>
          </w:p>
        </w:tc>
        <w:tc>
          <w:tcPr>
            <w:tcW w:w="2242"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4D886627" w14:textId="77777777">
            <w:pPr>
              <w:jc w:val="center"/>
              <w:rPr>
                <w:color w:val="000000"/>
                <w:sz w:val="22"/>
              </w:rPr>
            </w:pPr>
            <w:r w:rsidRPr="00994935">
              <w:rPr>
                <w:color w:val="000000"/>
                <w:sz w:val="22"/>
              </w:rPr>
              <w:t>X</w:t>
            </w:r>
          </w:p>
        </w:tc>
        <w:tc>
          <w:tcPr>
            <w:tcW w:w="1569"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04C3BB24" w14:textId="77777777">
            <w:pPr>
              <w:jc w:val="center"/>
              <w:rPr>
                <w:color w:val="000000"/>
                <w:sz w:val="22"/>
              </w:rPr>
            </w:pPr>
            <w:r w:rsidRPr="00994935">
              <w:rPr>
                <w:color w:val="000000"/>
                <w:sz w:val="22"/>
              </w:rPr>
              <w:t>X</w:t>
            </w:r>
          </w:p>
        </w:tc>
        <w:tc>
          <w:tcPr>
            <w:tcW w:w="1957" w:type="dxa"/>
            <w:tcBorders>
              <w:top w:val="nil"/>
              <w:left w:val="nil"/>
              <w:bottom w:val="single" w:sz="8" w:space="0" w:color="auto"/>
              <w:right w:val="single" w:sz="8" w:space="0" w:color="auto"/>
            </w:tcBorders>
            <w:shd w:val="clear" w:color="auto" w:fill="auto"/>
            <w:noWrap/>
            <w:vAlign w:val="bottom"/>
            <w:hideMark/>
          </w:tcPr>
          <w:p w:rsidR="00994935" w:rsidRPr="00994935" w:rsidP="0018480F" w14:paraId="63EF06CD" w14:textId="77777777">
            <w:pPr>
              <w:jc w:val="center"/>
              <w:rPr>
                <w:color w:val="000000"/>
                <w:sz w:val="22"/>
              </w:rPr>
            </w:pPr>
            <w:r w:rsidRPr="00994935">
              <w:rPr>
                <w:color w:val="000000"/>
                <w:sz w:val="22"/>
              </w:rPr>
              <w:t>X</w:t>
            </w:r>
          </w:p>
        </w:tc>
      </w:tr>
    </w:tbl>
    <w:p w:rsidR="00EA4D58" w:rsidP="00EA4D58" w14:paraId="4E39D433" w14:textId="77777777">
      <w:pPr>
        <w:rPr>
          <w:rFonts w:cs="Times New Roman"/>
          <w:szCs w:val="24"/>
        </w:rPr>
      </w:pPr>
    </w:p>
    <w:p w:rsidR="00C73D30" w:rsidP="00C73D30" w14:paraId="624D446F" w14:textId="093A7E98">
      <w:pPr>
        <w:rPr>
          <w:szCs w:val="24"/>
        </w:rPr>
      </w:pPr>
      <w:r>
        <w:t xml:space="preserve">Following the pre-campaign data </w:t>
      </w:r>
      <w:r w:rsidR="003A111F">
        <w:t>collection,</w:t>
      </w:r>
      <w:r w:rsidR="003F5C4F">
        <w:t xml:space="preserve"> </w:t>
      </w:r>
      <w:r w:rsidR="005A3A35">
        <w:t xml:space="preserve">CDC will launch </w:t>
      </w:r>
      <w:r w:rsidR="003F5C4F">
        <w:t>t</w:t>
      </w:r>
      <w:r w:rsidRPr="00931399" w:rsidR="001E77CA">
        <w:t xml:space="preserve">he </w:t>
      </w:r>
      <w:r w:rsidR="00520862">
        <w:rPr>
          <w:i/>
          <w:iCs/>
        </w:rPr>
        <w:t>GAOS</w:t>
      </w:r>
      <w:r w:rsidRPr="009A65AB" w:rsidR="001E77CA">
        <w:rPr>
          <w:i/>
          <w:iCs/>
        </w:rPr>
        <w:t xml:space="preserve"> </w:t>
      </w:r>
      <w:r w:rsidRPr="001D2D44" w:rsidR="001D2D44">
        <w:t xml:space="preserve">pilot </w:t>
      </w:r>
      <w:r w:rsidR="00D22407">
        <w:t xml:space="preserve">media </w:t>
      </w:r>
      <w:r w:rsidRPr="00931399" w:rsidR="001E77CA">
        <w:t>campaign</w:t>
      </w:r>
      <w:r w:rsidR="009D04AF">
        <w:t xml:space="preserve"> </w:t>
      </w:r>
      <w:r w:rsidR="00C97F0A">
        <w:t xml:space="preserve">and partner outreach </w:t>
      </w:r>
      <w:r w:rsidR="005A3A35">
        <w:t>within</w:t>
      </w:r>
      <w:r w:rsidR="003A2574">
        <w:t xml:space="preserve"> </w:t>
      </w:r>
      <w:r w:rsidR="00BE417A">
        <w:t xml:space="preserve">the </w:t>
      </w:r>
      <w:r w:rsidR="005A14FD">
        <w:t>priority markets</w:t>
      </w:r>
      <w:r w:rsidR="00490FE7">
        <w:t xml:space="preserve"> for a period of 2-3 months</w:t>
      </w:r>
      <w:r w:rsidRPr="00931399" w:rsidR="001E77CA">
        <w:t>. Campaign materials may include but are not limited to fact sheets, brochures, prescription pads, and public service announcements</w:t>
      </w:r>
      <w:r w:rsidRPr="005B4944" w:rsidR="001E77CA">
        <w:t>.</w:t>
      </w:r>
      <w:r w:rsidRPr="00931399" w:rsidR="001E77CA">
        <w:t xml:space="preserve"> The avenues for distribution of the campaign materials and messages to the intended audiences may include, but are not limited to earned media, paid media, social media, and direct partner dissemination</w:t>
      </w:r>
      <w:r w:rsidR="001E77CA">
        <w:t>.</w:t>
      </w:r>
      <w:r w:rsidRPr="00B46779" w:rsidR="00B46779">
        <w:rPr>
          <w:szCs w:val="24"/>
        </w:rPr>
        <w:t xml:space="preserve"> </w:t>
      </w:r>
      <w:r>
        <w:rPr>
          <w:szCs w:val="24"/>
        </w:rPr>
        <w:t xml:space="preserve">The post-campaign recruitment and data collection will follow the media campaign and partner outreach.  </w:t>
      </w:r>
    </w:p>
    <w:p w:rsidR="00BB4AB7" w:rsidP="00BB4AB7" w14:paraId="054AB944" w14:textId="66110AB7">
      <w:pPr>
        <w:widowControl w:val="0"/>
        <w:spacing w:before="240" w:line="360" w:lineRule="auto"/>
        <w:rPr>
          <w:color w:val="000000"/>
          <w:szCs w:val="24"/>
          <w:u w:val="single"/>
        </w:rPr>
      </w:pPr>
      <w:r>
        <w:rPr>
          <w:color w:val="000000"/>
          <w:szCs w:val="24"/>
          <w:u w:val="single"/>
        </w:rPr>
        <w:t>I</w:t>
      </w:r>
      <w:r w:rsidRPr="003E6647">
        <w:rPr>
          <w:color w:val="000000"/>
          <w:szCs w:val="24"/>
          <w:u w:val="single"/>
        </w:rPr>
        <w:t>nformation to be collected</w:t>
      </w:r>
    </w:p>
    <w:p w:rsidR="007A3FD9" w:rsidP="007A3FD9" w14:paraId="3A79392F" w14:textId="6C25A727">
      <w:pPr>
        <w:rPr>
          <w:b/>
          <w:bCs/>
        </w:rPr>
      </w:pPr>
      <w:r>
        <w:t>T</w:t>
      </w:r>
      <w:r w:rsidRPr="04524006" w:rsidR="00F82967">
        <w:t xml:space="preserve">he </w:t>
      </w:r>
      <w:r w:rsidR="005429AD">
        <w:t xml:space="preserve">online </w:t>
      </w:r>
      <w:r w:rsidR="00F82967">
        <w:t>survey</w:t>
      </w:r>
      <w:r w:rsidR="00C22304">
        <w:t>s</w:t>
      </w:r>
      <w:r w:rsidR="00F82967">
        <w:t xml:space="preserve"> will</w:t>
      </w:r>
      <w:r w:rsidRPr="04524006" w:rsidR="00F82967">
        <w:t xml:space="preserve"> consist of</w:t>
      </w:r>
      <w:r w:rsidR="00F82967">
        <w:t xml:space="preserve"> </w:t>
      </w:r>
      <w:r w:rsidRPr="00E05ECC" w:rsidR="00F82967">
        <w:rPr>
          <w:color w:val="000000" w:themeColor="text1"/>
        </w:rPr>
        <w:t>dichotomous (yes/no), multiple response, interval (rating scales)</w:t>
      </w:r>
      <w:r w:rsidR="002B77FE">
        <w:rPr>
          <w:color w:val="000000" w:themeColor="text1"/>
        </w:rPr>
        <w:t>, and open-ended</w:t>
      </w:r>
      <w:r w:rsidRPr="00E05ECC" w:rsidR="00F82967">
        <w:rPr>
          <w:rFonts w:eastAsiaTheme="majorEastAsia" w:cstheme="majorBidi"/>
          <w:color w:val="000000" w:themeColor="text1"/>
        </w:rPr>
        <w:t xml:space="preserve"> questions</w:t>
      </w:r>
      <w:r w:rsidRPr="0074022E" w:rsidR="00F82967">
        <w:rPr>
          <w:szCs w:val="24"/>
        </w:rPr>
        <w:t>.</w:t>
      </w:r>
      <w:r w:rsidRPr="0074022E" w:rsidR="009A1A63">
        <w:rPr>
          <w:rFonts w:eastAsiaTheme="majorEastAsia" w:cstheme="majorBidi"/>
          <w:color w:val="000000" w:themeColor="text1"/>
        </w:rPr>
        <w:t xml:space="preserve"> </w:t>
      </w:r>
      <w:r w:rsidRPr="006140F6" w:rsidR="006140F6">
        <w:rPr>
          <w:rFonts w:eastAsiaTheme="majorEastAsia" w:cstheme="majorBidi"/>
          <w:color w:val="000000" w:themeColor="text1"/>
        </w:rPr>
        <w:t xml:space="preserve">Efforts were made to limit the number of questions to only those questions </w:t>
      </w:r>
      <w:r w:rsidR="00666C3D">
        <w:rPr>
          <w:rFonts w:eastAsiaTheme="majorEastAsia" w:cstheme="majorBidi"/>
          <w:color w:val="000000" w:themeColor="text1"/>
        </w:rPr>
        <w:t xml:space="preserve">that tie to the key components of the </w:t>
      </w:r>
      <w:r w:rsidR="00BB2FBB">
        <w:rPr>
          <w:rFonts w:eastAsiaTheme="majorEastAsia" w:cstheme="majorBidi"/>
          <w:color w:val="000000" w:themeColor="text1"/>
        </w:rPr>
        <w:t xml:space="preserve">two </w:t>
      </w:r>
      <w:r w:rsidR="00E85B9E">
        <w:rPr>
          <w:rFonts w:eastAsiaTheme="majorEastAsia" w:cstheme="majorBidi"/>
          <w:color w:val="000000" w:themeColor="text1"/>
        </w:rPr>
        <w:t>logic models</w:t>
      </w:r>
      <w:r w:rsidR="00D74535">
        <w:rPr>
          <w:rFonts w:eastAsiaTheme="majorEastAsia" w:cstheme="majorBidi"/>
          <w:color w:val="000000" w:themeColor="text1"/>
        </w:rPr>
        <w:t xml:space="preserve"> and corresponding </w:t>
      </w:r>
      <w:r w:rsidR="00042F07">
        <w:rPr>
          <w:rFonts w:eastAsiaTheme="majorEastAsia" w:cstheme="majorBidi"/>
          <w:color w:val="000000" w:themeColor="text1"/>
        </w:rPr>
        <w:t>outcome indicators</w:t>
      </w:r>
      <w:r w:rsidR="00E85B9E">
        <w:rPr>
          <w:rFonts w:eastAsiaTheme="majorEastAsia" w:cstheme="majorBidi"/>
          <w:color w:val="000000" w:themeColor="text1"/>
        </w:rPr>
        <w:t>.</w:t>
      </w:r>
      <w:r w:rsidR="00542CDB">
        <w:rPr>
          <w:rFonts w:eastAsiaTheme="majorEastAsia" w:cstheme="majorBidi"/>
          <w:color w:val="000000" w:themeColor="text1"/>
        </w:rPr>
        <w:t xml:space="preserve"> </w:t>
      </w:r>
      <w:r w:rsidRPr="0074022E" w:rsidR="00E05ECC">
        <w:rPr>
          <w:szCs w:val="24"/>
        </w:rPr>
        <w:t>The survey questions vary to some extent depending on the campaign</w:t>
      </w:r>
      <w:r w:rsidRPr="00E05ECC" w:rsidR="00E05ECC">
        <w:rPr>
          <w:szCs w:val="24"/>
        </w:rPr>
        <w:t xml:space="preserve"> phase and </w:t>
      </w:r>
      <w:r w:rsidR="005769B4">
        <w:rPr>
          <w:szCs w:val="24"/>
        </w:rPr>
        <w:t>intended</w:t>
      </w:r>
      <w:r w:rsidRPr="00E05ECC" w:rsidR="00E05ECC">
        <w:rPr>
          <w:szCs w:val="24"/>
        </w:rPr>
        <w:t xml:space="preserve"> audience. </w:t>
      </w:r>
      <w:r w:rsidRPr="00931399" w:rsidR="006A5A1E">
        <w:t xml:space="preserve">Tables </w:t>
      </w:r>
      <w:r w:rsidR="006A5A1E">
        <w:t>3</w:t>
      </w:r>
      <w:r w:rsidRPr="00931399" w:rsidR="006A5A1E">
        <w:t xml:space="preserve"> and </w:t>
      </w:r>
      <w:r w:rsidR="006A5A1E">
        <w:t>4</w:t>
      </w:r>
      <w:r w:rsidRPr="00931399" w:rsidR="006A5A1E">
        <w:t xml:space="preserve"> </w:t>
      </w:r>
      <w:r w:rsidR="006A5A1E">
        <w:t xml:space="preserve">describe </w:t>
      </w:r>
      <w:r w:rsidRPr="00931399" w:rsidR="006A5A1E">
        <w:t xml:space="preserve">the </w:t>
      </w:r>
      <w:r w:rsidR="00BB2FBB">
        <w:t xml:space="preserve">various </w:t>
      </w:r>
      <w:r w:rsidRPr="00931399" w:rsidR="006A5A1E">
        <w:t>sections in the survey and the differences</w:t>
      </w:r>
      <w:r w:rsidR="006A5A1E">
        <w:t xml:space="preserve"> and </w:t>
      </w:r>
      <w:r w:rsidRPr="00931399" w:rsidR="006A5A1E">
        <w:t xml:space="preserve">similarities between </w:t>
      </w:r>
      <w:r w:rsidR="009E2EFB">
        <w:t xml:space="preserve">the </w:t>
      </w:r>
      <w:r w:rsidR="00F74FFB">
        <w:t xml:space="preserve">surveys during </w:t>
      </w:r>
      <w:r w:rsidR="00CA5724">
        <w:t xml:space="preserve">the </w:t>
      </w:r>
      <w:r w:rsidRPr="00931399" w:rsidR="006A5A1E">
        <w:t>pre</w:t>
      </w:r>
      <w:r w:rsidR="006A5A1E">
        <w:t>-</w:t>
      </w:r>
      <w:r w:rsidRPr="00931399" w:rsidR="006A5A1E">
        <w:t>and post</w:t>
      </w:r>
      <w:r w:rsidR="006A5A1E">
        <w:t xml:space="preserve">-campaign </w:t>
      </w:r>
      <w:r w:rsidR="00A945FF">
        <w:t>phases</w:t>
      </w:r>
      <w:r w:rsidRPr="00931399" w:rsidR="006A5A1E">
        <w:t>.</w:t>
      </w:r>
      <w:r w:rsidR="006A5A1E">
        <w:t xml:space="preserve"> </w:t>
      </w:r>
      <w:r w:rsidRPr="00BF044A" w:rsidR="008D3045">
        <w:t>A</w:t>
      </w:r>
      <w:r w:rsidRPr="00BF044A">
        <w:rPr>
          <w:color w:val="000000" w:themeColor="text1"/>
        </w:rPr>
        <w:t xml:space="preserve"> series of questions on knowledge and behavior in both the pre</w:t>
      </w:r>
      <w:r w:rsidRPr="00BF044A" w:rsidR="00C813AF">
        <w:rPr>
          <w:color w:val="000000" w:themeColor="text1"/>
        </w:rPr>
        <w:t xml:space="preserve">-and post-campaign </w:t>
      </w:r>
      <w:r w:rsidRPr="00BF044A">
        <w:rPr>
          <w:color w:val="000000" w:themeColor="text1"/>
        </w:rPr>
        <w:t>surveys will collect data that may show association between COVID-19 and the outcomes of the campaign. The findings will be useful in determining whether to incorporate messages about COVID-19 prevention</w:t>
      </w:r>
      <w:r w:rsidRPr="00C813AF">
        <w:rPr>
          <w:color w:val="000000" w:themeColor="text1"/>
        </w:rPr>
        <w:t xml:space="preserve"> practices, resources for educational purposes, and ways to reduce COVID-19 fatigue into future </w:t>
      </w:r>
      <w:r w:rsidR="00520862">
        <w:rPr>
          <w:i/>
          <w:iCs/>
          <w:color w:val="000000" w:themeColor="text1"/>
        </w:rPr>
        <w:t>GAOS</w:t>
      </w:r>
      <w:r w:rsidRPr="00C813AF">
        <w:rPr>
          <w:i/>
          <w:iCs/>
          <w:color w:val="000000" w:themeColor="text1"/>
        </w:rPr>
        <w:t xml:space="preserve"> </w:t>
      </w:r>
      <w:r w:rsidRPr="00C813AF">
        <w:rPr>
          <w:color w:val="000000" w:themeColor="text1"/>
        </w:rPr>
        <w:t>materials.</w:t>
      </w:r>
      <w:r w:rsidRPr="00302AC1">
        <w:rPr>
          <w:color w:val="000000" w:themeColor="text1"/>
        </w:rPr>
        <w:t xml:space="preserve"> </w:t>
      </w:r>
      <w:r w:rsidR="00BB178F">
        <w:t xml:space="preserve">Copies of the formatted </w:t>
      </w:r>
      <w:r w:rsidR="000B0E87">
        <w:t>surveys</w:t>
      </w:r>
      <w:r w:rsidR="00BB178F">
        <w:t xml:space="preserve"> can be found in </w:t>
      </w:r>
      <w:r w:rsidRPr="00F81619" w:rsidR="00BB178F">
        <w:t xml:space="preserve">Attachments </w:t>
      </w:r>
      <w:r w:rsidR="00F81619">
        <w:t>C</w:t>
      </w:r>
      <w:r w:rsidRPr="00F81619" w:rsidR="001F6F79">
        <w:t xml:space="preserve"> - </w:t>
      </w:r>
      <w:r w:rsidR="002763B0">
        <w:t>F</w:t>
      </w:r>
      <w:r w:rsidR="00BB178F">
        <w:rPr>
          <w:b/>
          <w:bCs/>
        </w:rPr>
        <w:t>.</w:t>
      </w:r>
    </w:p>
    <w:p w:rsidR="00921629" w:rsidP="00921629" w14:paraId="63B20BDF" w14:textId="6334FF7C">
      <w:pPr>
        <w:pStyle w:val="Caption"/>
        <w:spacing w:after="0"/>
        <w:rPr>
          <w:i w:val="0"/>
          <w:iCs w:val="0"/>
          <w:color w:val="000000" w:themeColor="text1"/>
          <w:sz w:val="24"/>
          <w:szCs w:val="24"/>
        </w:rPr>
      </w:pPr>
      <w:r w:rsidRPr="009E26DE">
        <w:rPr>
          <w:i w:val="0"/>
          <w:iCs w:val="0"/>
          <w:color w:val="000000" w:themeColor="text1"/>
          <w:sz w:val="24"/>
          <w:szCs w:val="24"/>
        </w:rPr>
        <w:t xml:space="preserve">Table 3: Sections in </w:t>
      </w:r>
      <w:r w:rsidRPr="009E26DE" w:rsidR="00403CBA">
        <w:rPr>
          <w:i w:val="0"/>
          <w:iCs w:val="0"/>
          <w:color w:val="000000" w:themeColor="text1"/>
          <w:sz w:val="24"/>
          <w:szCs w:val="24"/>
        </w:rPr>
        <w:t xml:space="preserve">the </w:t>
      </w:r>
      <w:r w:rsidR="00520862">
        <w:rPr>
          <w:i w:val="0"/>
          <w:iCs w:val="0"/>
          <w:color w:val="000000" w:themeColor="text1"/>
          <w:sz w:val="24"/>
          <w:szCs w:val="24"/>
        </w:rPr>
        <w:t>GAOS</w:t>
      </w:r>
      <w:r w:rsidRPr="009E26DE" w:rsidR="00711C20">
        <w:rPr>
          <w:i w:val="0"/>
          <w:iCs w:val="0"/>
          <w:color w:val="000000" w:themeColor="text1"/>
          <w:sz w:val="24"/>
          <w:szCs w:val="24"/>
        </w:rPr>
        <w:t xml:space="preserve"> </w:t>
      </w:r>
      <w:r w:rsidRPr="009E26DE">
        <w:rPr>
          <w:i w:val="0"/>
          <w:iCs w:val="0"/>
          <w:color w:val="000000" w:themeColor="text1"/>
          <w:sz w:val="24"/>
          <w:szCs w:val="24"/>
        </w:rPr>
        <w:t>Consumer Pre</w:t>
      </w:r>
      <w:r w:rsidRPr="009E26DE" w:rsidR="00907946">
        <w:rPr>
          <w:i w:val="0"/>
          <w:iCs w:val="0"/>
          <w:color w:val="000000" w:themeColor="text1"/>
          <w:sz w:val="24"/>
          <w:szCs w:val="24"/>
        </w:rPr>
        <w:t>-</w:t>
      </w:r>
      <w:r w:rsidRPr="009E26DE">
        <w:rPr>
          <w:i w:val="0"/>
          <w:iCs w:val="0"/>
          <w:color w:val="000000" w:themeColor="text1"/>
          <w:sz w:val="24"/>
          <w:szCs w:val="24"/>
        </w:rPr>
        <w:t>and Pos</w:t>
      </w:r>
      <w:r w:rsidRPr="009E26DE" w:rsidR="00E1183A">
        <w:rPr>
          <w:i w:val="0"/>
          <w:iCs w:val="0"/>
          <w:color w:val="000000" w:themeColor="text1"/>
          <w:sz w:val="24"/>
          <w:szCs w:val="24"/>
        </w:rPr>
        <w:t>t</w:t>
      </w:r>
      <w:r w:rsidRPr="009E26DE" w:rsidR="00907946">
        <w:rPr>
          <w:i w:val="0"/>
          <w:iCs w:val="0"/>
          <w:color w:val="000000" w:themeColor="text1"/>
          <w:sz w:val="24"/>
          <w:szCs w:val="24"/>
        </w:rPr>
        <w:t>-</w:t>
      </w:r>
      <w:r w:rsidRPr="009E26DE" w:rsidR="005D1F8A">
        <w:rPr>
          <w:i w:val="0"/>
          <w:iCs w:val="0"/>
          <w:color w:val="000000" w:themeColor="text1"/>
          <w:sz w:val="24"/>
          <w:szCs w:val="24"/>
        </w:rPr>
        <w:t>Survey</w:t>
      </w:r>
      <w:r w:rsidRPr="009E26DE" w:rsidR="003E469A">
        <w:rPr>
          <w:i w:val="0"/>
          <w:iCs w:val="0"/>
          <w:color w:val="000000" w:themeColor="text1"/>
          <w:sz w:val="24"/>
          <w:szCs w:val="24"/>
        </w:rPr>
        <w: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4"/>
        <w:gridCol w:w="1620"/>
        <w:gridCol w:w="1620"/>
        <w:gridCol w:w="1710"/>
        <w:gridCol w:w="1710"/>
      </w:tblGrid>
      <w:tr w14:paraId="7A9688C7" w14:textId="77777777" w:rsidTr="002F0E65">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6"/>
        </w:trPr>
        <w:tc>
          <w:tcPr>
            <w:tcW w:w="3415" w:type="dxa"/>
            <w:shd w:val="clear" w:color="auto" w:fill="D9D9D9" w:themeFill="background1" w:themeFillShade="D9"/>
          </w:tcPr>
          <w:p w:rsidR="00991B50" w:rsidRPr="00991B50" w:rsidP="00991B50" w14:paraId="1FF8FA50" w14:textId="77777777">
            <w:pPr>
              <w:pStyle w:val="Tabletext"/>
              <w:jc w:val="center"/>
              <w:rPr>
                <w:rFonts w:ascii="Times New Roman" w:hAnsi="Times New Roman" w:cs="Times New Roman"/>
                <w:b/>
                <w:sz w:val="22"/>
                <w:szCs w:val="22"/>
              </w:rPr>
            </w:pPr>
          </w:p>
          <w:p w:rsidR="00991B50" w:rsidRPr="00991B50" w:rsidP="00991B50" w14:paraId="2DA7A18F" w14:textId="77777777">
            <w:pPr>
              <w:pStyle w:val="Tabletext"/>
              <w:jc w:val="center"/>
              <w:rPr>
                <w:rFonts w:ascii="Times New Roman" w:hAnsi="Times New Roman" w:cs="Times New Roman"/>
                <w:b/>
                <w:bCs/>
                <w:sz w:val="22"/>
                <w:szCs w:val="22"/>
              </w:rPr>
            </w:pPr>
            <w:r w:rsidRPr="00991B50">
              <w:rPr>
                <w:rFonts w:ascii="Times New Roman" w:hAnsi="Times New Roman" w:cs="Times New Roman"/>
                <w:b/>
                <w:sz w:val="22"/>
                <w:szCs w:val="22"/>
              </w:rPr>
              <w:t>Survey Section</w:t>
            </w:r>
          </w:p>
        </w:tc>
        <w:tc>
          <w:tcPr>
            <w:tcW w:w="1620" w:type="dxa"/>
            <w:shd w:val="clear" w:color="auto" w:fill="D9D9D9" w:themeFill="background1" w:themeFillShade="D9"/>
          </w:tcPr>
          <w:p w:rsidR="00991B50" w:rsidRPr="00314CE7" w:rsidP="00991B50" w14:paraId="468F2BF6" w14:textId="2A8434A0">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 xml:space="preserve">Pre-Campaign (Exposed to </w:t>
            </w:r>
            <w:r w:rsidRPr="006145CC">
              <w:rPr>
                <w:rFonts w:ascii="Times New Roman" w:hAnsi="Times New Roman" w:cs="Times New Roman"/>
                <w:b/>
                <w:bCs/>
                <w:i/>
                <w:iCs/>
                <w:sz w:val="22"/>
                <w:szCs w:val="22"/>
              </w:rPr>
              <w:t>GAOS</w:t>
            </w:r>
            <w:r w:rsidRPr="00991B50">
              <w:rPr>
                <w:rFonts w:ascii="Times New Roman" w:hAnsi="Times New Roman" w:cs="Times New Roman"/>
                <w:b/>
                <w:bCs/>
                <w:sz w:val="22"/>
                <w:szCs w:val="22"/>
              </w:rPr>
              <w:t xml:space="preserve"> messaging)</w:t>
            </w:r>
          </w:p>
        </w:tc>
        <w:tc>
          <w:tcPr>
            <w:tcW w:w="1620" w:type="dxa"/>
            <w:tcBorders>
              <w:top w:val="single" w:sz="4" w:space="0" w:color="auto"/>
            </w:tcBorders>
            <w:shd w:val="clear" w:color="auto" w:fill="D9D9D9" w:themeFill="background1" w:themeFillShade="D9"/>
          </w:tcPr>
          <w:p w:rsidR="00991B50" w:rsidRPr="00991B50" w:rsidP="00991B50" w14:paraId="7AB2DC9F" w14:textId="77777777">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Pre-Campaign</w:t>
            </w:r>
          </w:p>
          <w:p w:rsidR="00991B50" w:rsidRPr="00991B50" w:rsidP="00991B50" w14:paraId="09F7B221" w14:textId="5435CAE6">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 xml:space="preserve">(Unexposed to </w:t>
            </w:r>
            <w:r w:rsidRPr="00991B50">
              <w:rPr>
                <w:rFonts w:ascii="Times New Roman" w:hAnsi="Times New Roman" w:cs="Times New Roman"/>
                <w:b/>
                <w:bCs/>
                <w:i/>
                <w:iCs/>
                <w:sz w:val="22"/>
                <w:szCs w:val="22"/>
              </w:rPr>
              <w:t xml:space="preserve">GAOS </w:t>
            </w:r>
            <w:r w:rsidRPr="00991B50">
              <w:rPr>
                <w:rFonts w:ascii="Times New Roman" w:hAnsi="Times New Roman" w:cs="Times New Roman"/>
                <w:b/>
                <w:bCs/>
                <w:sz w:val="22"/>
                <w:szCs w:val="22"/>
              </w:rPr>
              <w:t>messaging)</w:t>
            </w:r>
          </w:p>
        </w:tc>
        <w:tc>
          <w:tcPr>
            <w:tcW w:w="1710" w:type="dxa"/>
            <w:tcBorders>
              <w:top w:val="single" w:sz="4" w:space="0" w:color="auto"/>
            </w:tcBorders>
            <w:shd w:val="clear" w:color="auto" w:fill="D9D9D9" w:themeFill="background1" w:themeFillShade="D9"/>
          </w:tcPr>
          <w:p w:rsidR="00991B50" w:rsidRPr="00991B50" w:rsidP="00991B50" w14:paraId="739A311A" w14:textId="77777777">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Post-Campaign</w:t>
            </w:r>
          </w:p>
          <w:p w:rsidR="00991B50" w:rsidRPr="00991B50" w:rsidP="00991B50" w14:paraId="7E795A1A" w14:textId="2070C775">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 xml:space="preserve">(Exposed to </w:t>
            </w:r>
            <w:r w:rsidRPr="00991B50">
              <w:rPr>
                <w:rFonts w:ascii="Times New Roman" w:hAnsi="Times New Roman" w:cs="Times New Roman"/>
                <w:b/>
                <w:bCs/>
                <w:i/>
                <w:iCs/>
                <w:sz w:val="22"/>
                <w:szCs w:val="22"/>
              </w:rPr>
              <w:t xml:space="preserve">GAOS </w:t>
            </w:r>
            <w:r w:rsidRPr="00991B50">
              <w:rPr>
                <w:rFonts w:ascii="Times New Roman" w:hAnsi="Times New Roman" w:cs="Times New Roman"/>
                <w:b/>
                <w:bCs/>
                <w:sz w:val="22"/>
                <w:szCs w:val="22"/>
              </w:rPr>
              <w:t>messaging)</w:t>
            </w:r>
          </w:p>
        </w:tc>
        <w:tc>
          <w:tcPr>
            <w:tcW w:w="1710" w:type="dxa"/>
            <w:tcBorders>
              <w:top w:val="single" w:sz="4" w:space="0" w:color="auto"/>
            </w:tcBorders>
            <w:shd w:val="clear" w:color="auto" w:fill="D9D9D9" w:themeFill="background1" w:themeFillShade="D9"/>
          </w:tcPr>
          <w:p w:rsidR="00991B50" w:rsidRPr="00991B50" w:rsidP="00991B50" w14:paraId="18AD1CD9" w14:textId="77777777">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Post-Campaign</w:t>
            </w:r>
          </w:p>
          <w:p w:rsidR="00991B50" w:rsidRPr="00991B50" w:rsidP="00991B50" w14:paraId="1082878B" w14:textId="5C7C102A">
            <w:pPr>
              <w:pStyle w:val="Tabletext"/>
              <w:rPr>
                <w:rFonts w:ascii="Times New Roman" w:hAnsi="Times New Roman" w:cs="Times New Roman"/>
                <w:b/>
                <w:bCs/>
                <w:sz w:val="22"/>
                <w:szCs w:val="22"/>
              </w:rPr>
            </w:pPr>
            <w:r w:rsidRPr="00991B50">
              <w:rPr>
                <w:rFonts w:ascii="Times New Roman" w:hAnsi="Times New Roman" w:cs="Times New Roman"/>
                <w:b/>
                <w:bCs/>
                <w:sz w:val="22"/>
                <w:szCs w:val="22"/>
              </w:rPr>
              <w:t xml:space="preserve">(Unexposed to </w:t>
            </w:r>
            <w:r w:rsidRPr="00991B50">
              <w:rPr>
                <w:rFonts w:ascii="Times New Roman" w:hAnsi="Times New Roman" w:cs="Times New Roman"/>
                <w:b/>
                <w:bCs/>
                <w:i/>
                <w:iCs/>
                <w:sz w:val="22"/>
                <w:szCs w:val="22"/>
              </w:rPr>
              <w:t xml:space="preserve">GAOS </w:t>
            </w:r>
            <w:r w:rsidRPr="00991B50">
              <w:rPr>
                <w:rFonts w:ascii="Times New Roman" w:hAnsi="Times New Roman" w:cs="Times New Roman"/>
                <w:b/>
                <w:bCs/>
                <w:sz w:val="22"/>
                <w:szCs w:val="22"/>
              </w:rPr>
              <w:t>messaging)</w:t>
            </w:r>
          </w:p>
        </w:tc>
      </w:tr>
      <w:tr w14:paraId="70DC5C3C" w14:textId="77777777" w:rsidTr="00497D97">
        <w:tblPrEx>
          <w:tblW w:w="5002" w:type="pct"/>
          <w:tblLayout w:type="fixed"/>
          <w:tblLook w:val="04A0"/>
        </w:tblPrEx>
        <w:trPr>
          <w:trHeight w:val="288"/>
        </w:trPr>
        <w:tc>
          <w:tcPr>
            <w:tcW w:w="3415" w:type="dxa"/>
            <w:vAlign w:val="center"/>
          </w:tcPr>
          <w:p w:rsidR="00991B50" w:rsidRPr="00991B50" w:rsidP="00991B50" w14:paraId="7C0A3DB7"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Screener</w:t>
            </w:r>
          </w:p>
        </w:tc>
        <w:tc>
          <w:tcPr>
            <w:tcW w:w="1620" w:type="dxa"/>
            <w:vAlign w:val="center"/>
          </w:tcPr>
          <w:p w:rsidR="00991B50" w:rsidRPr="00991B50" w:rsidP="00991B50" w14:paraId="2FEE8666"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6CA6C6B3"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5521C473"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0B7A60B3"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7A2FBCFE" w14:textId="77777777" w:rsidTr="00497D97">
        <w:tblPrEx>
          <w:tblW w:w="5002" w:type="pct"/>
          <w:tblLayout w:type="fixed"/>
          <w:tblLook w:val="04A0"/>
        </w:tblPrEx>
        <w:trPr>
          <w:trHeight w:val="288"/>
        </w:trPr>
        <w:tc>
          <w:tcPr>
            <w:tcW w:w="3415" w:type="dxa"/>
            <w:vAlign w:val="center"/>
          </w:tcPr>
          <w:p w:rsidR="00991B50" w:rsidRPr="00991B50" w:rsidP="00991B50" w14:paraId="50CB6641"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Exposure to Campaign</w:t>
            </w:r>
          </w:p>
        </w:tc>
        <w:tc>
          <w:tcPr>
            <w:tcW w:w="1620" w:type="dxa"/>
            <w:vAlign w:val="center"/>
          </w:tcPr>
          <w:p w:rsidR="00991B50" w:rsidRPr="00991B50" w:rsidP="00991B50" w14:paraId="261E9A37"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7F0EF835"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7C550D59"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65EE1886"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1A723850" w14:textId="77777777" w:rsidTr="00497D97">
        <w:tblPrEx>
          <w:tblW w:w="5002" w:type="pct"/>
          <w:tblLayout w:type="fixed"/>
          <w:tblLook w:val="04A0"/>
        </w:tblPrEx>
        <w:trPr>
          <w:trHeight w:val="288"/>
        </w:trPr>
        <w:tc>
          <w:tcPr>
            <w:tcW w:w="3415" w:type="dxa"/>
            <w:vAlign w:val="center"/>
          </w:tcPr>
          <w:p w:rsidR="00991B50" w:rsidRPr="00991B50" w:rsidP="00991B50" w14:paraId="14726732"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Frequency and Channel of Exposure</w:t>
            </w:r>
          </w:p>
        </w:tc>
        <w:tc>
          <w:tcPr>
            <w:tcW w:w="1620" w:type="dxa"/>
            <w:vAlign w:val="center"/>
          </w:tcPr>
          <w:p w:rsidR="00991B50" w:rsidRPr="00991B50" w:rsidP="00991B50" w14:paraId="03ED93A7"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4C4620C5" w14:textId="77777777">
            <w:pPr>
              <w:pStyle w:val="Tabletext"/>
              <w:jc w:val="center"/>
              <w:rPr>
                <w:rFonts w:ascii="Times New Roman" w:hAnsi="Times New Roman" w:cs="Times New Roman"/>
                <w:sz w:val="22"/>
                <w:szCs w:val="22"/>
              </w:rPr>
            </w:pPr>
          </w:p>
        </w:tc>
        <w:tc>
          <w:tcPr>
            <w:tcW w:w="1710" w:type="dxa"/>
            <w:vAlign w:val="center"/>
          </w:tcPr>
          <w:p w:rsidR="00991B50" w:rsidRPr="00991B50" w:rsidP="00991B50" w14:paraId="3963FAC3"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4B97D279" w14:textId="77777777">
            <w:pPr>
              <w:pStyle w:val="Tabletext"/>
              <w:jc w:val="center"/>
              <w:rPr>
                <w:rFonts w:ascii="Times New Roman" w:hAnsi="Times New Roman" w:cs="Times New Roman"/>
                <w:sz w:val="22"/>
                <w:szCs w:val="22"/>
              </w:rPr>
            </w:pPr>
          </w:p>
        </w:tc>
      </w:tr>
      <w:tr w14:paraId="62167D5D" w14:textId="77777777" w:rsidTr="00497D97">
        <w:tblPrEx>
          <w:tblW w:w="5002" w:type="pct"/>
          <w:tblLayout w:type="fixed"/>
          <w:tblLook w:val="04A0"/>
        </w:tblPrEx>
        <w:trPr>
          <w:trHeight w:val="288"/>
        </w:trPr>
        <w:tc>
          <w:tcPr>
            <w:tcW w:w="3415" w:type="dxa"/>
            <w:vAlign w:val="center"/>
          </w:tcPr>
          <w:p w:rsidR="00991B50" w:rsidRPr="00991B50" w:rsidP="00991B50" w14:paraId="2AE70C10"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 xml:space="preserve">Knowledge </w:t>
            </w:r>
          </w:p>
        </w:tc>
        <w:tc>
          <w:tcPr>
            <w:tcW w:w="1620" w:type="dxa"/>
            <w:vAlign w:val="center"/>
          </w:tcPr>
          <w:p w:rsidR="00991B50" w:rsidRPr="00991B50" w:rsidP="00991B50" w14:paraId="7CC681B9"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666B9416"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481CEFD3"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192957B5"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609D3B14" w14:textId="77777777" w:rsidTr="00497D97">
        <w:tblPrEx>
          <w:tblW w:w="5002" w:type="pct"/>
          <w:tblLayout w:type="fixed"/>
          <w:tblLook w:val="04A0"/>
        </w:tblPrEx>
        <w:trPr>
          <w:trHeight w:val="288"/>
        </w:trPr>
        <w:tc>
          <w:tcPr>
            <w:tcW w:w="3415" w:type="dxa"/>
            <w:vAlign w:val="center"/>
          </w:tcPr>
          <w:p w:rsidR="00991B50" w:rsidRPr="00991B50" w:rsidP="00991B50" w14:paraId="13D444FC"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 xml:space="preserve">Attitudes and Beliefs </w:t>
            </w:r>
          </w:p>
        </w:tc>
        <w:tc>
          <w:tcPr>
            <w:tcW w:w="1620" w:type="dxa"/>
            <w:vAlign w:val="center"/>
          </w:tcPr>
          <w:p w:rsidR="00991B50" w:rsidRPr="00991B50" w:rsidP="00991B50" w14:paraId="5167361C"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7F93C3B5"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62C7FA67"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2CDE20CE"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7819C420" w14:textId="77777777" w:rsidTr="00497D97">
        <w:tblPrEx>
          <w:tblW w:w="5002" w:type="pct"/>
          <w:tblLayout w:type="fixed"/>
          <w:tblLook w:val="04A0"/>
        </w:tblPrEx>
        <w:trPr>
          <w:trHeight w:val="288"/>
        </w:trPr>
        <w:tc>
          <w:tcPr>
            <w:tcW w:w="3415" w:type="dxa"/>
            <w:vAlign w:val="center"/>
          </w:tcPr>
          <w:p w:rsidR="00991B50" w:rsidRPr="00991B50" w:rsidP="00991B50" w14:paraId="0AF0499B"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 xml:space="preserve">Behavior </w:t>
            </w:r>
          </w:p>
        </w:tc>
        <w:tc>
          <w:tcPr>
            <w:tcW w:w="1620" w:type="dxa"/>
            <w:vAlign w:val="center"/>
          </w:tcPr>
          <w:p w:rsidR="00991B50" w:rsidRPr="00991B50" w:rsidP="00991B50" w14:paraId="3F4482E5"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425E5EE3"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396B002F"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58F2DD1F"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11C3C1F8" w14:textId="77777777" w:rsidTr="00497D97">
        <w:tblPrEx>
          <w:tblW w:w="5002" w:type="pct"/>
          <w:tblLayout w:type="fixed"/>
          <w:tblLook w:val="04A0"/>
        </w:tblPrEx>
        <w:trPr>
          <w:trHeight w:val="288"/>
        </w:trPr>
        <w:tc>
          <w:tcPr>
            <w:tcW w:w="3415" w:type="dxa"/>
            <w:vAlign w:val="center"/>
          </w:tcPr>
          <w:p w:rsidR="00991B50" w:rsidRPr="00991B50" w:rsidP="00991B50" w14:paraId="0F8605FA"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 xml:space="preserve">Sources of Information </w:t>
            </w:r>
          </w:p>
        </w:tc>
        <w:tc>
          <w:tcPr>
            <w:tcW w:w="1620" w:type="dxa"/>
            <w:vAlign w:val="center"/>
          </w:tcPr>
          <w:p w:rsidR="00991B50" w:rsidRPr="00991B50" w:rsidP="00991B50" w14:paraId="239FEF29"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49A6B93B"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1C1CF543"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1DF9C33D"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0F6F0DF6" w14:textId="77777777" w:rsidTr="00497D97">
        <w:tblPrEx>
          <w:tblW w:w="5002" w:type="pct"/>
          <w:tblLayout w:type="fixed"/>
          <w:tblLook w:val="04A0"/>
        </w:tblPrEx>
        <w:trPr>
          <w:trHeight w:val="288"/>
        </w:trPr>
        <w:tc>
          <w:tcPr>
            <w:tcW w:w="3415" w:type="dxa"/>
            <w:vAlign w:val="center"/>
          </w:tcPr>
          <w:p w:rsidR="00991B50" w:rsidRPr="00991B50" w:rsidP="00991B50" w14:paraId="1DF51386"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 xml:space="preserve">Use of Campaign Materials </w:t>
            </w:r>
          </w:p>
        </w:tc>
        <w:tc>
          <w:tcPr>
            <w:tcW w:w="1620" w:type="dxa"/>
            <w:vAlign w:val="center"/>
          </w:tcPr>
          <w:p w:rsidR="00991B50" w:rsidRPr="00991B50" w:rsidP="00991B50" w14:paraId="5DFAB9A5" w14:textId="77777777">
            <w:pPr>
              <w:pStyle w:val="Tabletext"/>
              <w:jc w:val="center"/>
              <w:rPr>
                <w:rFonts w:ascii="Times New Roman" w:hAnsi="Times New Roman" w:cs="Times New Roman"/>
                <w:sz w:val="22"/>
                <w:szCs w:val="22"/>
              </w:rPr>
            </w:pPr>
          </w:p>
        </w:tc>
        <w:tc>
          <w:tcPr>
            <w:tcW w:w="1620" w:type="dxa"/>
            <w:vAlign w:val="center"/>
          </w:tcPr>
          <w:p w:rsidR="00991B50" w:rsidRPr="00991B50" w:rsidP="00991B50" w14:paraId="76B0D118" w14:textId="77777777">
            <w:pPr>
              <w:pStyle w:val="Tabletext"/>
              <w:jc w:val="center"/>
              <w:rPr>
                <w:rFonts w:ascii="Times New Roman" w:hAnsi="Times New Roman" w:cs="Times New Roman"/>
                <w:sz w:val="22"/>
                <w:szCs w:val="22"/>
              </w:rPr>
            </w:pPr>
          </w:p>
        </w:tc>
        <w:tc>
          <w:tcPr>
            <w:tcW w:w="1710" w:type="dxa"/>
            <w:vAlign w:val="center"/>
          </w:tcPr>
          <w:p w:rsidR="00991B50" w:rsidRPr="00991B50" w:rsidP="00991B50" w14:paraId="785283F8"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109DC3D9" w14:textId="77777777">
            <w:pPr>
              <w:pStyle w:val="Tabletext"/>
              <w:jc w:val="center"/>
              <w:rPr>
                <w:rFonts w:ascii="Times New Roman" w:hAnsi="Times New Roman" w:cs="Times New Roman"/>
                <w:sz w:val="22"/>
                <w:szCs w:val="22"/>
              </w:rPr>
            </w:pPr>
          </w:p>
        </w:tc>
      </w:tr>
      <w:tr w14:paraId="2AB41421" w14:textId="77777777" w:rsidTr="00497D97">
        <w:tblPrEx>
          <w:tblW w:w="5002" w:type="pct"/>
          <w:tblLayout w:type="fixed"/>
          <w:tblLook w:val="04A0"/>
        </w:tblPrEx>
        <w:trPr>
          <w:trHeight w:val="288"/>
        </w:trPr>
        <w:tc>
          <w:tcPr>
            <w:tcW w:w="3415" w:type="dxa"/>
            <w:vAlign w:val="center"/>
          </w:tcPr>
          <w:p w:rsidR="00991B50" w:rsidRPr="00991B50" w:rsidP="00991B50" w14:paraId="32775DB3"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 xml:space="preserve">Media Use and Habits </w:t>
            </w:r>
          </w:p>
        </w:tc>
        <w:tc>
          <w:tcPr>
            <w:tcW w:w="1620" w:type="dxa"/>
            <w:vAlign w:val="center"/>
          </w:tcPr>
          <w:p w:rsidR="00991B50" w:rsidRPr="00991B50" w:rsidP="00991B50" w14:paraId="285272DF" w14:textId="77777777">
            <w:pPr>
              <w:pStyle w:val="Tabletext"/>
              <w:jc w:val="center"/>
              <w:rPr>
                <w:rFonts w:ascii="Times New Roman" w:hAnsi="Times New Roman" w:cs="Times New Roman"/>
                <w:sz w:val="22"/>
                <w:szCs w:val="22"/>
              </w:rPr>
            </w:pPr>
          </w:p>
        </w:tc>
        <w:tc>
          <w:tcPr>
            <w:tcW w:w="1620" w:type="dxa"/>
            <w:vAlign w:val="center"/>
          </w:tcPr>
          <w:p w:rsidR="00991B50" w:rsidRPr="00991B50" w:rsidP="00991B50" w14:paraId="7E0D9C7D" w14:textId="77777777">
            <w:pPr>
              <w:pStyle w:val="Tabletext"/>
              <w:jc w:val="center"/>
              <w:rPr>
                <w:rFonts w:ascii="Times New Roman" w:hAnsi="Times New Roman" w:cs="Times New Roman"/>
                <w:sz w:val="22"/>
                <w:szCs w:val="22"/>
              </w:rPr>
            </w:pPr>
          </w:p>
        </w:tc>
        <w:tc>
          <w:tcPr>
            <w:tcW w:w="1710" w:type="dxa"/>
            <w:vAlign w:val="center"/>
          </w:tcPr>
          <w:p w:rsidR="00991B50" w:rsidRPr="00991B50" w:rsidP="00991B50" w14:paraId="6B39728D" w14:textId="77777777">
            <w:pPr>
              <w:pStyle w:val="Tabletext"/>
              <w:jc w:val="center"/>
              <w:rPr>
                <w:rFonts w:ascii="Times New Roman" w:hAnsi="Times New Roman" w:cs="Times New Roman"/>
                <w:color w:val="000000" w:themeColor="text1"/>
                <w:sz w:val="22"/>
                <w:szCs w:val="22"/>
              </w:rPr>
            </w:pPr>
          </w:p>
        </w:tc>
        <w:tc>
          <w:tcPr>
            <w:tcW w:w="1710" w:type="dxa"/>
            <w:vAlign w:val="center"/>
          </w:tcPr>
          <w:p w:rsidR="00991B50" w:rsidRPr="00991B50" w:rsidP="00991B50" w14:paraId="15EC70E7"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r w14:paraId="5CD2B581" w14:textId="77777777" w:rsidTr="00497D97">
        <w:tblPrEx>
          <w:tblW w:w="5002" w:type="pct"/>
          <w:tblLayout w:type="fixed"/>
          <w:tblLook w:val="04A0"/>
        </w:tblPrEx>
        <w:trPr>
          <w:trHeight w:val="288"/>
        </w:trPr>
        <w:tc>
          <w:tcPr>
            <w:tcW w:w="3415" w:type="dxa"/>
            <w:vAlign w:val="center"/>
          </w:tcPr>
          <w:p w:rsidR="00991B50" w:rsidRPr="00991B50" w:rsidP="00991B50" w14:paraId="5974F108" w14:textId="77777777">
            <w:pPr>
              <w:pStyle w:val="Tabletext"/>
              <w:ind w:left="249"/>
              <w:rPr>
                <w:rFonts w:ascii="Times New Roman" w:hAnsi="Times New Roman" w:cs="Times New Roman"/>
                <w:sz w:val="22"/>
                <w:szCs w:val="22"/>
              </w:rPr>
            </w:pPr>
            <w:r w:rsidRPr="00991B50">
              <w:rPr>
                <w:rFonts w:ascii="Times New Roman" w:hAnsi="Times New Roman" w:cs="Times New Roman"/>
                <w:sz w:val="22"/>
                <w:szCs w:val="22"/>
              </w:rPr>
              <w:t>Demographic Characteristics</w:t>
            </w:r>
          </w:p>
        </w:tc>
        <w:tc>
          <w:tcPr>
            <w:tcW w:w="1620" w:type="dxa"/>
            <w:vAlign w:val="center"/>
          </w:tcPr>
          <w:p w:rsidR="00991B50" w:rsidRPr="00991B50" w:rsidP="00991B50" w14:paraId="764F9ED6"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620" w:type="dxa"/>
            <w:vAlign w:val="center"/>
          </w:tcPr>
          <w:p w:rsidR="00991B50" w:rsidRPr="00991B50" w:rsidP="00991B50" w14:paraId="678D7D43" w14:textId="77777777">
            <w:pPr>
              <w:pStyle w:val="Tabletext"/>
              <w:jc w:val="center"/>
              <w:rPr>
                <w:rFonts w:ascii="Times New Roman" w:hAnsi="Times New Roman" w:cs="Times New Roman"/>
                <w:sz w:val="22"/>
                <w:szCs w:val="22"/>
              </w:rPr>
            </w:pPr>
            <w:r w:rsidRPr="00991B50">
              <w:rPr>
                <w:rFonts w:ascii="Times New Roman" w:hAnsi="Times New Roman" w:cs="Times New Roman"/>
                <w:sz w:val="22"/>
                <w:szCs w:val="22"/>
              </w:rPr>
              <w:t>X</w:t>
            </w:r>
          </w:p>
        </w:tc>
        <w:tc>
          <w:tcPr>
            <w:tcW w:w="1710" w:type="dxa"/>
            <w:vAlign w:val="center"/>
          </w:tcPr>
          <w:p w:rsidR="00991B50" w:rsidRPr="00991B50" w:rsidP="00991B50" w14:paraId="3A0B678E" w14:textId="77777777">
            <w:pPr>
              <w:pStyle w:val="Tabletext"/>
              <w:jc w:val="center"/>
              <w:rPr>
                <w:rFonts w:ascii="Times New Roman" w:hAnsi="Times New Roman" w:cs="Times New Roman"/>
                <w:color w:val="000000" w:themeColor="text1"/>
                <w:sz w:val="22"/>
                <w:szCs w:val="22"/>
              </w:rPr>
            </w:pPr>
            <w:r w:rsidRPr="00991B50">
              <w:rPr>
                <w:rFonts w:ascii="Times New Roman" w:hAnsi="Times New Roman" w:cs="Times New Roman"/>
                <w:color w:val="000000" w:themeColor="text1"/>
                <w:sz w:val="22"/>
                <w:szCs w:val="22"/>
              </w:rPr>
              <w:t>X</w:t>
            </w:r>
          </w:p>
        </w:tc>
        <w:tc>
          <w:tcPr>
            <w:tcW w:w="1710" w:type="dxa"/>
            <w:vAlign w:val="center"/>
          </w:tcPr>
          <w:p w:rsidR="00991B50" w:rsidRPr="00991B50" w:rsidP="00991B50" w14:paraId="629081DC" w14:textId="77777777">
            <w:pPr>
              <w:pStyle w:val="Tabletext"/>
              <w:jc w:val="center"/>
              <w:rPr>
                <w:rFonts w:ascii="Times New Roman" w:hAnsi="Times New Roman" w:cs="Times New Roman"/>
                <w:sz w:val="22"/>
                <w:szCs w:val="22"/>
              </w:rPr>
            </w:pPr>
            <w:r w:rsidRPr="00991B50">
              <w:rPr>
                <w:rFonts w:ascii="Times New Roman" w:hAnsi="Times New Roman" w:cs="Times New Roman"/>
                <w:color w:val="000000" w:themeColor="text1"/>
                <w:sz w:val="22"/>
                <w:szCs w:val="22"/>
              </w:rPr>
              <w:t>X</w:t>
            </w:r>
          </w:p>
        </w:tc>
      </w:tr>
    </w:tbl>
    <w:p w:rsidR="005F6061" w:rsidP="00CB25A0" w14:paraId="02DF8B9B" w14:textId="77777777">
      <w:pPr>
        <w:rPr>
          <w:color w:val="000000"/>
          <w:szCs w:val="24"/>
        </w:rPr>
      </w:pPr>
    </w:p>
    <w:p w:rsidR="00632C87" w:rsidP="00632C87" w14:paraId="7A0C5AEA" w14:textId="5DDC25F3">
      <w:pPr>
        <w:pStyle w:val="Caption"/>
        <w:spacing w:after="0"/>
        <w:rPr>
          <w:i w:val="0"/>
          <w:iCs w:val="0"/>
          <w:color w:val="000000" w:themeColor="text1"/>
          <w:sz w:val="24"/>
          <w:szCs w:val="24"/>
        </w:rPr>
      </w:pPr>
      <w:r w:rsidRPr="009E26DE">
        <w:rPr>
          <w:i w:val="0"/>
          <w:iCs w:val="0"/>
          <w:color w:val="000000" w:themeColor="text1"/>
          <w:sz w:val="24"/>
          <w:szCs w:val="24"/>
        </w:rPr>
        <w:t xml:space="preserve">Table 4: Sections in </w:t>
      </w:r>
      <w:r w:rsidRPr="009E26DE" w:rsidR="00B75D78">
        <w:rPr>
          <w:i w:val="0"/>
          <w:iCs w:val="0"/>
          <w:color w:val="000000" w:themeColor="text1"/>
          <w:sz w:val="24"/>
          <w:szCs w:val="24"/>
        </w:rPr>
        <w:t>the</w:t>
      </w:r>
      <w:r w:rsidRPr="009E26DE" w:rsidR="00B105BE">
        <w:rPr>
          <w:i w:val="0"/>
          <w:iCs w:val="0"/>
          <w:color w:val="000000" w:themeColor="text1"/>
          <w:sz w:val="24"/>
          <w:szCs w:val="24"/>
        </w:rPr>
        <w:t xml:space="preserve"> </w:t>
      </w:r>
      <w:r w:rsidR="00520862">
        <w:rPr>
          <w:i w:val="0"/>
          <w:iCs w:val="0"/>
          <w:color w:val="000000" w:themeColor="text1"/>
          <w:sz w:val="24"/>
          <w:szCs w:val="24"/>
        </w:rPr>
        <w:t>GAOS</w:t>
      </w:r>
      <w:r w:rsidRPr="009E26DE" w:rsidR="00B75D78">
        <w:rPr>
          <w:i w:val="0"/>
          <w:iCs w:val="0"/>
          <w:color w:val="000000" w:themeColor="text1"/>
          <w:sz w:val="24"/>
          <w:szCs w:val="24"/>
        </w:rPr>
        <w:t xml:space="preserve"> </w:t>
      </w:r>
      <w:r w:rsidRPr="009E26DE">
        <w:rPr>
          <w:i w:val="0"/>
          <w:iCs w:val="0"/>
          <w:color w:val="000000" w:themeColor="text1"/>
          <w:sz w:val="24"/>
          <w:szCs w:val="24"/>
        </w:rPr>
        <w:t>HCP Pre-</w:t>
      </w:r>
      <w:r w:rsidR="00D16AAB">
        <w:rPr>
          <w:i w:val="0"/>
          <w:iCs w:val="0"/>
          <w:color w:val="000000" w:themeColor="text1"/>
          <w:sz w:val="24"/>
          <w:szCs w:val="24"/>
        </w:rPr>
        <w:t>a</w:t>
      </w:r>
      <w:r w:rsidRPr="009E26DE" w:rsidR="00263FC6">
        <w:rPr>
          <w:i w:val="0"/>
          <w:iCs w:val="0"/>
          <w:color w:val="000000" w:themeColor="text1"/>
          <w:sz w:val="24"/>
          <w:szCs w:val="24"/>
        </w:rPr>
        <w:t>nd Post</w:t>
      </w:r>
      <w:r w:rsidRPr="009E26DE">
        <w:rPr>
          <w:i w:val="0"/>
          <w:iCs w:val="0"/>
          <w:color w:val="000000" w:themeColor="text1"/>
          <w:sz w:val="24"/>
          <w:szCs w:val="24"/>
        </w:rPr>
        <w:t xml:space="preserve">-Campaign </w:t>
      </w:r>
      <w:r w:rsidRPr="009E26DE" w:rsidR="005D1F8A">
        <w:rPr>
          <w:i w:val="0"/>
          <w:iCs w:val="0"/>
          <w:color w:val="000000" w:themeColor="text1"/>
          <w:sz w:val="24"/>
          <w:szCs w:val="24"/>
        </w:rPr>
        <w:t>Survey</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1620"/>
        <w:gridCol w:w="1620"/>
        <w:gridCol w:w="1710"/>
        <w:gridCol w:w="1709"/>
      </w:tblGrid>
      <w:tr w14:paraId="65C21456" w14:textId="77777777" w:rsidTr="00314CE7">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2"/>
        </w:trPr>
        <w:tc>
          <w:tcPr>
            <w:tcW w:w="3415" w:type="dxa"/>
            <w:shd w:val="clear" w:color="auto" w:fill="F2F2F2" w:themeFill="background1" w:themeFillShade="F2"/>
          </w:tcPr>
          <w:p w:rsidR="00314CE7" w:rsidRPr="00321643" w:rsidP="00314CE7" w14:paraId="757D3A6A" w14:textId="77777777">
            <w:pPr>
              <w:pStyle w:val="Tabletext"/>
              <w:jc w:val="center"/>
              <w:rPr>
                <w:rFonts w:ascii="Times New Roman" w:hAnsi="Times New Roman" w:cs="Times New Roman"/>
                <w:b/>
                <w:sz w:val="22"/>
                <w:szCs w:val="22"/>
              </w:rPr>
            </w:pPr>
          </w:p>
          <w:p w:rsidR="00314CE7" w:rsidRPr="00321643" w:rsidP="00314CE7" w14:paraId="6036F6CE" w14:textId="77777777">
            <w:pPr>
              <w:pStyle w:val="Tabletext"/>
              <w:jc w:val="center"/>
              <w:rPr>
                <w:rFonts w:ascii="Times New Roman" w:hAnsi="Times New Roman" w:cs="Times New Roman"/>
                <w:b/>
                <w:bCs/>
                <w:sz w:val="22"/>
                <w:szCs w:val="22"/>
              </w:rPr>
            </w:pPr>
            <w:r w:rsidRPr="00321643">
              <w:rPr>
                <w:rFonts w:ascii="Times New Roman" w:hAnsi="Times New Roman" w:cs="Times New Roman"/>
                <w:b/>
                <w:sz w:val="22"/>
                <w:szCs w:val="22"/>
              </w:rPr>
              <w:t>Survey Section</w:t>
            </w:r>
          </w:p>
        </w:tc>
        <w:tc>
          <w:tcPr>
            <w:tcW w:w="1620" w:type="dxa"/>
            <w:shd w:val="clear" w:color="auto" w:fill="F2F2F2" w:themeFill="background1" w:themeFillShade="F2"/>
          </w:tcPr>
          <w:p w:rsidR="00314CE7" w:rsidRPr="00321643" w:rsidP="00314CE7" w14:paraId="25258295" w14:textId="1FCE356D">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 xml:space="preserve">Pre-Campaign (Exposed to </w:t>
            </w:r>
            <w:r w:rsidRPr="006145CC">
              <w:rPr>
                <w:rFonts w:ascii="Times New Roman" w:hAnsi="Times New Roman" w:cs="Times New Roman"/>
                <w:b/>
                <w:bCs/>
                <w:i/>
                <w:iCs/>
                <w:sz w:val="22"/>
                <w:szCs w:val="22"/>
              </w:rPr>
              <w:t xml:space="preserve">GAOS </w:t>
            </w:r>
            <w:r w:rsidRPr="00321643">
              <w:rPr>
                <w:rFonts w:ascii="Times New Roman" w:hAnsi="Times New Roman" w:cs="Times New Roman"/>
                <w:b/>
                <w:bCs/>
                <w:sz w:val="22"/>
                <w:szCs w:val="22"/>
              </w:rPr>
              <w:t>messaging)</w:t>
            </w:r>
          </w:p>
        </w:tc>
        <w:tc>
          <w:tcPr>
            <w:tcW w:w="1620" w:type="dxa"/>
            <w:tcBorders>
              <w:top w:val="single" w:sz="4" w:space="0" w:color="auto"/>
            </w:tcBorders>
            <w:shd w:val="clear" w:color="auto" w:fill="F2F2F2" w:themeFill="background1" w:themeFillShade="F2"/>
          </w:tcPr>
          <w:p w:rsidR="00314CE7" w:rsidRPr="00321643" w:rsidP="00314CE7" w14:paraId="1C944D97" w14:textId="77777777">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Pre-Campaign</w:t>
            </w:r>
          </w:p>
          <w:p w:rsidR="00314CE7" w:rsidRPr="00321643" w:rsidP="00314CE7" w14:paraId="084B2FD2" w14:textId="007148D7">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 xml:space="preserve">(Unexposed to </w:t>
            </w:r>
            <w:r w:rsidRPr="00321643">
              <w:rPr>
                <w:rFonts w:ascii="Times New Roman" w:hAnsi="Times New Roman" w:cs="Times New Roman"/>
                <w:b/>
                <w:bCs/>
                <w:i/>
                <w:iCs/>
                <w:sz w:val="22"/>
                <w:szCs w:val="22"/>
              </w:rPr>
              <w:t xml:space="preserve">GAOS </w:t>
            </w:r>
            <w:r w:rsidRPr="00321643">
              <w:rPr>
                <w:rFonts w:ascii="Times New Roman" w:hAnsi="Times New Roman" w:cs="Times New Roman"/>
                <w:b/>
                <w:bCs/>
                <w:sz w:val="22"/>
                <w:szCs w:val="22"/>
              </w:rPr>
              <w:t>messaging)</w:t>
            </w:r>
          </w:p>
        </w:tc>
        <w:tc>
          <w:tcPr>
            <w:tcW w:w="1710" w:type="dxa"/>
            <w:tcBorders>
              <w:top w:val="single" w:sz="4" w:space="0" w:color="auto"/>
            </w:tcBorders>
            <w:shd w:val="clear" w:color="auto" w:fill="F2F2F2" w:themeFill="background1" w:themeFillShade="F2"/>
          </w:tcPr>
          <w:p w:rsidR="00314CE7" w:rsidRPr="00321643" w:rsidP="00314CE7" w14:paraId="15040F50" w14:textId="77777777">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Post-Campaign</w:t>
            </w:r>
          </w:p>
          <w:p w:rsidR="00314CE7" w:rsidRPr="00321643" w:rsidP="00314CE7" w14:paraId="4776523F" w14:textId="57CC342C">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 xml:space="preserve">(Exposed to </w:t>
            </w:r>
            <w:r w:rsidRPr="00321643">
              <w:rPr>
                <w:rFonts w:ascii="Times New Roman" w:hAnsi="Times New Roman" w:cs="Times New Roman"/>
                <w:b/>
                <w:bCs/>
                <w:i/>
                <w:iCs/>
                <w:sz w:val="22"/>
                <w:szCs w:val="22"/>
              </w:rPr>
              <w:t xml:space="preserve">GAOS </w:t>
            </w:r>
            <w:r w:rsidRPr="00321643">
              <w:rPr>
                <w:rFonts w:ascii="Times New Roman" w:hAnsi="Times New Roman" w:cs="Times New Roman"/>
                <w:b/>
                <w:bCs/>
                <w:sz w:val="22"/>
                <w:szCs w:val="22"/>
              </w:rPr>
              <w:t>messaging)</w:t>
            </w:r>
          </w:p>
        </w:tc>
        <w:tc>
          <w:tcPr>
            <w:tcW w:w="1709" w:type="dxa"/>
            <w:tcBorders>
              <w:top w:val="single" w:sz="4" w:space="0" w:color="auto"/>
            </w:tcBorders>
            <w:shd w:val="clear" w:color="auto" w:fill="F2F2F2" w:themeFill="background1" w:themeFillShade="F2"/>
          </w:tcPr>
          <w:p w:rsidR="00314CE7" w:rsidRPr="00321643" w:rsidP="00314CE7" w14:paraId="4FFA6598" w14:textId="77777777">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Post-Campaign</w:t>
            </w:r>
          </w:p>
          <w:p w:rsidR="00314CE7" w:rsidRPr="00321643" w:rsidP="00314CE7" w14:paraId="213E1541" w14:textId="0711A582">
            <w:pPr>
              <w:pStyle w:val="Tabletext"/>
              <w:rPr>
                <w:rFonts w:ascii="Times New Roman" w:hAnsi="Times New Roman" w:cs="Times New Roman"/>
                <w:b/>
                <w:bCs/>
                <w:sz w:val="22"/>
                <w:szCs w:val="22"/>
              </w:rPr>
            </w:pPr>
            <w:r w:rsidRPr="00321643">
              <w:rPr>
                <w:rFonts w:ascii="Times New Roman" w:hAnsi="Times New Roman" w:cs="Times New Roman"/>
                <w:b/>
                <w:bCs/>
                <w:sz w:val="22"/>
                <w:szCs w:val="22"/>
              </w:rPr>
              <w:t xml:space="preserve">(Unexposed to </w:t>
            </w:r>
            <w:r w:rsidRPr="00321643">
              <w:rPr>
                <w:rFonts w:ascii="Times New Roman" w:hAnsi="Times New Roman" w:cs="Times New Roman"/>
                <w:b/>
                <w:bCs/>
                <w:i/>
                <w:iCs/>
                <w:sz w:val="22"/>
                <w:szCs w:val="22"/>
              </w:rPr>
              <w:t xml:space="preserve">GAOS </w:t>
            </w:r>
            <w:r w:rsidRPr="00321643">
              <w:rPr>
                <w:rFonts w:ascii="Times New Roman" w:hAnsi="Times New Roman" w:cs="Times New Roman"/>
                <w:b/>
                <w:bCs/>
                <w:sz w:val="22"/>
                <w:szCs w:val="22"/>
              </w:rPr>
              <w:t>messaging)</w:t>
            </w:r>
          </w:p>
        </w:tc>
      </w:tr>
      <w:tr w14:paraId="70DB011F" w14:textId="77777777" w:rsidTr="00D16AAB">
        <w:tblPrEx>
          <w:tblW w:w="5002" w:type="pct"/>
          <w:tblLayout w:type="fixed"/>
          <w:tblLook w:val="04A0"/>
        </w:tblPrEx>
        <w:trPr>
          <w:trHeight w:val="288"/>
        </w:trPr>
        <w:tc>
          <w:tcPr>
            <w:tcW w:w="3415" w:type="dxa"/>
            <w:vAlign w:val="center"/>
          </w:tcPr>
          <w:p w:rsidR="0063684A" w:rsidRPr="00321643" w:rsidP="0018480F" w14:paraId="61930A25"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Screener</w:t>
            </w:r>
          </w:p>
        </w:tc>
        <w:tc>
          <w:tcPr>
            <w:tcW w:w="1620" w:type="dxa"/>
            <w:vAlign w:val="center"/>
          </w:tcPr>
          <w:p w:rsidR="0063684A" w:rsidRPr="00321643" w:rsidP="0018480F" w14:paraId="60F924A7"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50FFF422"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c>
          <w:tcPr>
            <w:tcW w:w="1710" w:type="dxa"/>
            <w:vAlign w:val="center"/>
          </w:tcPr>
          <w:p w:rsidR="0063684A" w:rsidRPr="00321643" w:rsidP="0018480F" w14:paraId="0645918D"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sz w:val="22"/>
                <w:szCs w:val="22"/>
              </w:rPr>
              <w:t>X</w:t>
            </w:r>
          </w:p>
        </w:tc>
        <w:tc>
          <w:tcPr>
            <w:tcW w:w="1709" w:type="dxa"/>
            <w:vAlign w:val="center"/>
          </w:tcPr>
          <w:p w:rsidR="0063684A" w:rsidRPr="00321643" w:rsidP="0018480F" w14:paraId="35ED6F7E"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r>
      <w:tr w14:paraId="63529883" w14:textId="77777777" w:rsidTr="00D16AAB">
        <w:tblPrEx>
          <w:tblW w:w="5002" w:type="pct"/>
          <w:tblLayout w:type="fixed"/>
          <w:tblLook w:val="04A0"/>
        </w:tblPrEx>
        <w:trPr>
          <w:trHeight w:val="288"/>
        </w:trPr>
        <w:tc>
          <w:tcPr>
            <w:tcW w:w="3415" w:type="dxa"/>
            <w:vAlign w:val="center"/>
          </w:tcPr>
          <w:p w:rsidR="0063684A" w:rsidRPr="00321643" w:rsidP="0018480F" w14:paraId="1CC705FD"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Exposure to Campaign</w:t>
            </w:r>
          </w:p>
        </w:tc>
        <w:tc>
          <w:tcPr>
            <w:tcW w:w="1620" w:type="dxa"/>
            <w:vAlign w:val="center"/>
          </w:tcPr>
          <w:p w:rsidR="0063684A" w:rsidRPr="00321643" w:rsidP="0018480F" w14:paraId="1A3D7AFA"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43A387E9"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c>
          <w:tcPr>
            <w:tcW w:w="1710" w:type="dxa"/>
            <w:vAlign w:val="center"/>
          </w:tcPr>
          <w:p w:rsidR="0063684A" w:rsidRPr="00321643" w:rsidP="0018480F" w14:paraId="73A1CD3C"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sz w:val="22"/>
                <w:szCs w:val="22"/>
              </w:rPr>
              <w:t>X</w:t>
            </w:r>
          </w:p>
        </w:tc>
        <w:tc>
          <w:tcPr>
            <w:tcW w:w="1709" w:type="dxa"/>
            <w:vAlign w:val="center"/>
          </w:tcPr>
          <w:p w:rsidR="0063684A" w:rsidRPr="00321643" w:rsidP="0018480F" w14:paraId="214B5D9A"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r>
      <w:tr w14:paraId="7C6443AC" w14:textId="77777777" w:rsidTr="00D16AAB">
        <w:tblPrEx>
          <w:tblW w:w="5002" w:type="pct"/>
          <w:tblLayout w:type="fixed"/>
          <w:tblLook w:val="04A0"/>
        </w:tblPrEx>
        <w:trPr>
          <w:trHeight w:val="288"/>
        </w:trPr>
        <w:tc>
          <w:tcPr>
            <w:tcW w:w="3415" w:type="dxa"/>
            <w:vAlign w:val="center"/>
          </w:tcPr>
          <w:p w:rsidR="0063684A" w:rsidRPr="00321643" w:rsidP="0018480F" w14:paraId="72B1C2F0"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Frequency and Channel of Exposure</w:t>
            </w:r>
          </w:p>
        </w:tc>
        <w:tc>
          <w:tcPr>
            <w:tcW w:w="1620" w:type="dxa"/>
            <w:vAlign w:val="center"/>
          </w:tcPr>
          <w:p w:rsidR="0063684A" w:rsidRPr="00321643" w:rsidP="0018480F" w14:paraId="289059DD"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44D443AF" w14:textId="77777777">
            <w:pPr>
              <w:pStyle w:val="Tabletext"/>
              <w:jc w:val="center"/>
              <w:rPr>
                <w:rFonts w:ascii="Times New Roman" w:hAnsi="Times New Roman" w:cs="Times New Roman"/>
                <w:sz w:val="22"/>
                <w:szCs w:val="22"/>
              </w:rPr>
            </w:pPr>
          </w:p>
        </w:tc>
        <w:tc>
          <w:tcPr>
            <w:tcW w:w="1710" w:type="dxa"/>
            <w:vAlign w:val="center"/>
          </w:tcPr>
          <w:p w:rsidR="0063684A" w:rsidRPr="00321643" w:rsidP="0018480F" w14:paraId="1E356698"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sz w:val="22"/>
                <w:szCs w:val="22"/>
              </w:rPr>
              <w:t>X</w:t>
            </w:r>
          </w:p>
        </w:tc>
        <w:tc>
          <w:tcPr>
            <w:tcW w:w="1709" w:type="dxa"/>
            <w:vAlign w:val="center"/>
          </w:tcPr>
          <w:p w:rsidR="0063684A" w:rsidRPr="00321643" w:rsidP="0018480F" w14:paraId="01AD9CC8" w14:textId="77777777">
            <w:pPr>
              <w:pStyle w:val="Tabletext"/>
              <w:jc w:val="center"/>
              <w:rPr>
                <w:rFonts w:ascii="Times New Roman" w:hAnsi="Times New Roman" w:cs="Times New Roman"/>
                <w:sz w:val="22"/>
                <w:szCs w:val="22"/>
              </w:rPr>
            </w:pPr>
          </w:p>
        </w:tc>
      </w:tr>
      <w:tr w14:paraId="6CA69FAE" w14:textId="77777777" w:rsidTr="00D16AAB">
        <w:tblPrEx>
          <w:tblW w:w="5002" w:type="pct"/>
          <w:tblLayout w:type="fixed"/>
          <w:tblLook w:val="04A0"/>
        </w:tblPrEx>
        <w:trPr>
          <w:trHeight w:val="288"/>
        </w:trPr>
        <w:tc>
          <w:tcPr>
            <w:tcW w:w="3415" w:type="dxa"/>
            <w:vAlign w:val="center"/>
          </w:tcPr>
          <w:p w:rsidR="0063684A" w:rsidRPr="00321643" w:rsidP="0018480F" w14:paraId="2D852555"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Knowledge</w:t>
            </w:r>
          </w:p>
        </w:tc>
        <w:tc>
          <w:tcPr>
            <w:tcW w:w="1620" w:type="dxa"/>
            <w:vAlign w:val="center"/>
          </w:tcPr>
          <w:p w:rsidR="0063684A" w:rsidRPr="00321643" w:rsidP="0018480F" w14:paraId="67F6046B"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64147534"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c>
          <w:tcPr>
            <w:tcW w:w="1710" w:type="dxa"/>
            <w:vAlign w:val="center"/>
          </w:tcPr>
          <w:p w:rsidR="0063684A" w:rsidRPr="00321643" w:rsidP="0018480F" w14:paraId="7FE14126"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c>
          <w:tcPr>
            <w:tcW w:w="1709" w:type="dxa"/>
            <w:vAlign w:val="center"/>
          </w:tcPr>
          <w:p w:rsidR="0063684A" w:rsidRPr="00321643" w:rsidP="0018480F" w14:paraId="7F8D5945"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r>
      <w:tr w14:paraId="3953EB50" w14:textId="77777777" w:rsidTr="00D16AAB">
        <w:tblPrEx>
          <w:tblW w:w="5002" w:type="pct"/>
          <w:tblLayout w:type="fixed"/>
          <w:tblLook w:val="04A0"/>
        </w:tblPrEx>
        <w:trPr>
          <w:trHeight w:val="288"/>
        </w:trPr>
        <w:tc>
          <w:tcPr>
            <w:tcW w:w="3415" w:type="dxa"/>
            <w:vAlign w:val="center"/>
          </w:tcPr>
          <w:p w:rsidR="0063684A" w:rsidRPr="00321643" w:rsidP="0018480F" w14:paraId="4F48BA8A"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Attitudes and Beliefs</w:t>
            </w:r>
          </w:p>
        </w:tc>
        <w:tc>
          <w:tcPr>
            <w:tcW w:w="1620" w:type="dxa"/>
            <w:vAlign w:val="center"/>
          </w:tcPr>
          <w:p w:rsidR="0063684A" w:rsidRPr="00321643" w:rsidP="0018480F" w14:paraId="3429225D"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291828A5"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c>
          <w:tcPr>
            <w:tcW w:w="1710" w:type="dxa"/>
            <w:vAlign w:val="center"/>
          </w:tcPr>
          <w:p w:rsidR="0063684A" w:rsidRPr="00321643" w:rsidP="0018480F" w14:paraId="1EDC1A22"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c>
          <w:tcPr>
            <w:tcW w:w="1709" w:type="dxa"/>
            <w:vAlign w:val="center"/>
          </w:tcPr>
          <w:p w:rsidR="0063684A" w:rsidRPr="00321643" w:rsidP="0018480F" w14:paraId="7CE35C2B"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r>
      <w:tr w14:paraId="0D24CA53" w14:textId="77777777" w:rsidTr="00D16AAB">
        <w:tblPrEx>
          <w:tblW w:w="5002" w:type="pct"/>
          <w:tblLayout w:type="fixed"/>
          <w:tblLook w:val="04A0"/>
        </w:tblPrEx>
        <w:trPr>
          <w:trHeight w:val="288"/>
        </w:trPr>
        <w:tc>
          <w:tcPr>
            <w:tcW w:w="3415" w:type="dxa"/>
            <w:vAlign w:val="center"/>
          </w:tcPr>
          <w:p w:rsidR="0063684A" w:rsidRPr="00321643" w:rsidP="0018480F" w14:paraId="6377221E"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Behavior</w:t>
            </w:r>
          </w:p>
        </w:tc>
        <w:tc>
          <w:tcPr>
            <w:tcW w:w="1620" w:type="dxa"/>
            <w:vAlign w:val="center"/>
          </w:tcPr>
          <w:p w:rsidR="0063684A" w:rsidRPr="00321643" w:rsidP="0018480F" w14:paraId="6C64D2BB"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72F5371B" w14:textId="77777777">
            <w:pPr>
              <w:pStyle w:val="Tabletext"/>
              <w:jc w:val="center"/>
              <w:rPr>
                <w:rFonts w:ascii="Times New Roman" w:hAnsi="Times New Roman" w:cs="Times New Roman"/>
                <w:sz w:val="22"/>
                <w:szCs w:val="22"/>
              </w:rPr>
            </w:pPr>
            <w:r w:rsidRPr="00321643">
              <w:rPr>
                <w:rFonts w:ascii="Times New Roman" w:hAnsi="Times New Roman" w:cs="Times New Roman"/>
                <w:color w:val="000000" w:themeColor="text1"/>
                <w:sz w:val="22"/>
                <w:szCs w:val="22"/>
              </w:rPr>
              <w:t>X</w:t>
            </w:r>
          </w:p>
        </w:tc>
        <w:tc>
          <w:tcPr>
            <w:tcW w:w="1710" w:type="dxa"/>
            <w:vAlign w:val="center"/>
          </w:tcPr>
          <w:p w:rsidR="0063684A" w:rsidRPr="00321643" w:rsidP="0018480F" w14:paraId="44500BA8"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c>
          <w:tcPr>
            <w:tcW w:w="1709" w:type="dxa"/>
            <w:vAlign w:val="center"/>
          </w:tcPr>
          <w:p w:rsidR="0063684A" w:rsidRPr="00321643" w:rsidP="0018480F" w14:paraId="4DDC07D1"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r>
      <w:tr w14:paraId="68E409C6" w14:textId="77777777" w:rsidTr="00D16AAB">
        <w:tblPrEx>
          <w:tblW w:w="5002" w:type="pct"/>
          <w:tblLayout w:type="fixed"/>
          <w:tblLook w:val="04A0"/>
        </w:tblPrEx>
        <w:trPr>
          <w:trHeight w:val="288"/>
        </w:trPr>
        <w:tc>
          <w:tcPr>
            <w:tcW w:w="3415" w:type="dxa"/>
            <w:vAlign w:val="center"/>
          </w:tcPr>
          <w:p w:rsidR="0063684A" w:rsidRPr="00321643" w:rsidP="0018480F" w14:paraId="57728D1F"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Use of Campaign Materials</w:t>
            </w:r>
          </w:p>
        </w:tc>
        <w:tc>
          <w:tcPr>
            <w:tcW w:w="1620" w:type="dxa"/>
            <w:vAlign w:val="center"/>
          </w:tcPr>
          <w:p w:rsidR="0063684A" w:rsidRPr="00321643" w:rsidP="0018480F" w14:paraId="609CB63A" w14:textId="77777777">
            <w:pPr>
              <w:pStyle w:val="Tabletext"/>
              <w:jc w:val="center"/>
              <w:rPr>
                <w:rFonts w:ascii="Times New Roman" w:hAnsi="Times New Roman" w:cs="Times New Roman"/>
                <w:sz w:val="22"/>
                <w:szCs w:val="22"/>
              </w:rPr>
            </w:pPr>
          </w:p>
        </w:tc>
        <w:tc>
          <w:tcPr>
            <w:tcW w:w="1620" w:type="dxa"/>
            <w:vAlign w:val="center"/>
          </w:tcPr>
          <w:p w:rsidR="0063684A" w:rsidRPr="00321643" w:rsidP="0018480F" w14:paraId="7707B259" w14:textId="77777777">
            <w:pPr>
              <w:pStyle w:val="Tabletext"/>
              <w:jc w:val="center"/>
              <w:rPr>
                <w:rFonts w:ascii="Times New Roman" w:hAnsi="Times New Roman" w:cs="Times New Roman"/>
                <w:sz w:val="22"/>
                <w:szCs w:val="22"/>
              </w:rPr>
            </w:pPr>
          </w:p>
        </w:tc>
        <w:tc>
          <w:tcPr>
            <w:tcW w:w="1710" w:type="dxa"/>
            <w:vAlign w:val="center"/>
          </w:tcPr>
          <w:p w:rsidR="0063684A" w:rsidRPr="00321643" w:rsidP="0018480F" w14:paraId="7D51F405"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sz w:val="22"/>
                <w:szCs w:val="22"/>
              </w:rPr>
              <w:t>X</w:t>
            </w:r>
          </w:p>
        </w:tc>
        <w:tc>
          <w:tcPr>
            <w:tcW w:w="1709" w:type="dxa"/>
            <w:vAlign w:val="center"/>
          </w:tcPr>
          <w:p w:rsidR="0063684A" w:rsidRPr="00321643" w:rsidP="0018480F" w14:paraId="4C0B4F0A" w14:textId="77777777">
            <w:pPr>
              <w:pStyle w:val="Tabletext"/>
              <w:jc w:val="center"/>
              <w:rPr>
                <w:rFonts w:ascii="Times New Roman" w:hAnsi="Times New Roman" w:cs="Times New Roman"/>
                <w:color w:val="000000" w:themeColor="text1"/>
                <w:sz w:val="22"/>
                <w:szCs w:val="22"/>
              </w:rPr>
            </w:pPr>
          </w:p>
        </w:tc>
      </w:tr>
      <w:tr w14:paraId="4C2C8A80" w14:textId="77777777" w:rsidTr="00D16AAB">
        <w:tblPrEx>
          <w:tblW w:w="5002" w:type="pct"/>
          <w:tblLayout w:type="fixed"/>
          <w:tblLook w:val="04A0"/>
        </w:tblPrEx>
        <w:trPr>
          <w:trHeight w:val="288"/>
        </w:trPr>
        <w:tc>
          <w:tcPr>
            <w:tcW w:w="3415" w:type="dxa"/>
            <w:vAlign w:val="center"/>
          </w:tcPr>
          <w:p w:rsidR="0063684A" w:rsidRPr="00321643" w:rsidP="0018480F" w14:paraId="0F57D44A"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Media Use and Habits</w:t>
            </w:r>
          </w:p>
        </w:tc>
        <w:tc>
          <w:tcPr>
            <w:tcW w:w="1620" w:type="dxa"/>
            <w:vAlign w:val="center"/>
          </w:tcPr>
          <w:p w:rsidR="0063684A" w:rsidRPr="00321643" w:rsidP="0018480F" w14:paraId="3777C8D1" w14:textId="77777777">
            <w:pPr>
              <w:pStyle w:val="Tabletext"/>
              <w:jc w:val="center"/>
              <w:rPr>
                <w:rFonts w:ascii="Times New Roman" w:hAnsi="Times New Roman" w:cs="Times New Roman"/>
                <w:sz w:val="22"/>
                <w:szCs w:val="22"/>
              </w:rPr>
            </w:pPr>
          </w:p>
        </w:tc>
        <w:tc>
          <w:tcPr>
            <w:tcW w:w="1620" w:type="dxa"/>
            <w:vAlign w:val="center"/>
          </w:tcPr>
          <w:p w:rsidR="0063684A" w:rsidRPr="00321643" w:rsidP="0018480F" w14:paraId="095FBAAB" w14:textId="77777777">
            <w:pPr>
              <w:pStyle w:val="Tabletext"/>
              <w:jc w:val="center"/>
              <w:rPr>
                <w:rFonts w:ascii="Times New Roman" w:hAnsi="Times New Roman" w:cs="Times New Roman"/>
                <w:color w:val="000000" w:themeColor="text1"/>
                <w:sz w:val="22"/>
                <w:szCs w:val="22"/>
              </w:rPr>
            </w:pPr>
          </w:p>
        </w:tc>
        <w:tc>
          <w:tcPr>
            <w:tcW w:w="1710" w:type="dxa"/>
            <w:vAlign w:val="center"/>
          </w:tcPr>
          <w:p w:rsidR="0063684A" w:rsidRPr="00321643" w:rsidP="0018480F" w14:paraId="3888E333" w14:textId="77777777">
            <w:pPr>
              <w:pStyle w:val="Tabletext"/>
              <w:jc w:val="center"/>
              <w:rPr>
                <w:rFonts w:ascii="Times New Roman" w:hAnsi="Times New Roman" w:cs="Times New Roman"/>
                <w:sz w:val="22"/>
                <w:szCs w:val="22"/>
              </w:rPr>
            </w:pPr>
          </w:p>
        </w:tc>
        <w:tc>
          <w:tcPr>
            <w:tcW w:w="1709" w:type="dxa"/>
            <w:vAlign w:val="center"/>
          </w:tcPr>
          <w:p w:rsidR="0063684A" w:rsidRPr="00321643" w:rsidP="0018480F" w14:paraId="7680F464"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r>
      <w:tr w14:paraId="13D6CB07" w14:textId="77777777" w:rsidTr="00D16AAB">
        <w:tblPrEx>
          <w:tblW w:w="5002" w:type="pct"/>
          <w:tblLayout w:type="fixed"/>
          <w:tblLook w:val="04A0"/>
        </w:tblPrEx>
        <w:trPr>
          <w:trHeight w:val="288"/>
        </w:trPr>
        <w:tc>
          <w:tcPr>
            <w:tcW w:w="3415" w:type="dxa"/>
            <w:vAlign w:val="center"/>
          </w:tcPr>
          <w:p w:rsidR="0063684A" w:rsidRPr="00321643" w:rsidP="0018480F" w14:paraId="63CA392C" w14:textId="77777777">
            <w:pPr>
              <w:pStyle w:val="Tabletext"/>
              <w:ind w:left="249"/>
              <w:rPr>
                <w:rFonts w:ascii="Times New Roman" w:hAnsi="Times New Roman" w:cs="Times New Roman"/>
                <w:sz w:val="22"/>
                <w:szCs w:val="22"/>
              </w:rPr>
            </w:pPr>
            <w:r w:rsidRPr="00321643">
              <w:rPr>
                <w:rFonts w:ascii="Times New Roman" w:hAnsi="Times New Roman" w:cs="Times New Roman"/>
                <w:sz w:val="22"/>
                <w:szCs w:val="22"/>
              </w:rPr>
              <w:t>Demographic Characteristics</w:t>
            </w:r>
          </w:p>
        </w:tc>
        <w:tc>
          <w:tcPr>
            <w:tcW w:w="1620" w:type="dxa"/>
            <w:vAlign w:val="center"/>
          </w:tcPr>
          <w:p w:rsidR="0063684A" w:rsidRPr="00321643" w:rsidP="0018480F" w14:paraId="600043AB"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620" w:type="dxa"/>
            <w:vAlign w:val="center"/>
          </w:tcPr>
          <w:p w:rsidR="0063684A" w:rsidRPr="00321643" w:rsidP="0018480F" w14:paraId="0530EC8A"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c>
          <w:tcPr>
            <w:tcW w:w="1710" w:type="dxa"/>
            <w:vAlign w:val="center"/>
          </w:tcPr>
          <w:p w:rsidR="0063684A" w:rsidRPr="00321643" w:rsidP="0018480F" w14:paraId="40EF0F73" w14:textId="77777777">
            <w:pPr>
              <w:pStyle w:val="Tabletext"/>
              <w:jc w:val="center"/>
              <w:rPr>
                <w:rFonts w:ascii="Times New Roman" w:hAnsi="Times New Roman" w:cs="Times New Roman"/>
                <w:sz w:val="22"/>
                <w:szCs w:val="22"/>
              </w:rPr>
            </w:pPr>
            <w:r w:rsidRPr="00321643">
              <w:rPr>
                <w:rFonts w:ascii="Times New Roman" w:hAnsi="Times New Roman" w:cs="Times New Roman"/>
                <w:sz w:val="22"/>
                <w:szCs w:val="22"/>
              </w:rPr>
              <w:t>X</w:t>
            </w:r>
          </w:p>
        </w:tc>
        <w:tc>
          <w:tcPr>
            <w:tcW w:w="1709" w:type="dxa"/>
            <w:vAlign w:val="center"/>
          </w:tcPr>
          <w:p w:rsidR="0063684A" w:rsidRPr="00321643" w:rsidP="0018480F" w14:paraId="2E3073CA" w14:textId="77777777">
            <w:pPr>
              <w:pStyle w:val="Tabletext"/>
              <w:jc w:val="center"/>
              <w:rPr>
                <w:rFonts w:ascii="Times New Roman" w:hAnsi="Times New Roman" w:cs="Times New Roman"/>
                <w:color w:val="000000" w:themeColor="text1"/>
                <w:sz w:val="22"/>
                <w:szCs w:val="22"/>
              </w:rPr>
            </w:pPr>
            <w:r w:rsidRPr="00321643">
              <w:rPr>
                <w:rFonts w:ascii="Times New Roman" w:hAnsi="Times New Roman" w:cs="Times New Roman"/>
                <w:color w:val="000000" w:themeColor="text1"/>
                <w:sz w:val="22"/>
                <w:szCs w:val="22"/>
              </w:rPr>
              <w:t>X</w:t>
            </w:r>
          </w:p>
        </w:tc>
      </w:tr>
    </w:tbl>
    <w:p w:rsidR="005F6061" w:rsidP="00CB25A0" w14:paraId="4D9D2047" w14:textId="77777777">
      <w:pPr>
        <w:rPr>
          <w:color w:val="000000"/>
          <w:szCs w:val="24"/>
        </w:rPr>
      </w:pPr>
    </w:p>
    <w:p w:rsidR="004A13E8" w:rsidP="004A13E8" w14:paraId="55FE17B9" w14:textId="77777777">
      <w:pPr>
        <w:pStyle w:val="Heading1"/>
      </w:pPr>
      <w:bookmarkStart w:id="9" w:name="_Toc112842525"/>
      <w:r>
        <w:t>Use of Improved Information Technology and Burden Reduction</w:t>
      </w:r>
      <w:bookmarkEnd w:id="9"/>
    </w:p>
    <w:p w:rsidR="00C857B2" w:rsidRPr="00711BFA" w:rsidP="00C857B2" w14:paraId="482D46FE" w14:textId="22312DAC">
      <w:r w:rsidRPr="003167DA">
        <w:rPr>
          <w:szCs w:val="24"/>
        </w:rPr>
        <w:t xml:space="preserve">Data will be collected via </w:t>
      </w:r>
      <w:r w:rsidRPr="003167DA">
        <w:rPr>
          <w:color w:val="000000" w:themeColor="text1"/>
          <w:szCs w:val="24"/>
        </w:rPr>
        <w:t xml:space="preserve">a web-based </w:t>
      </w:r>
      <w:r w:rsidRPr="003167DA" w:rsidR="00EA36B0">
        <w:rPr>
          <w:color w:val="000000" w:themeColor="text1"/>
          <w:szCs w:val="24"/>
        </w:rPr>
        <w:t>survey</w:t>
      </w:r>
      <w:r w:rsidRPr="003167DA">
        <w:rPr>
          <w:color w:val="000000" w:themeColor="text1"/>
          <w:szCs w:val="24"/>
        </w:rPr>
        <w:t xml:space="preserve">. </w:t>
      </w:r>
      <w:r w:rsidR="00A72674">
        <w:rPr>
          <w:color w:val="000000" w:themeColor="text1"/>
          <w:szCs w:val="24"/>
        </w:rPr>
        <w:t>The</w:t>
      </w:r>
      <w:r w:rsidR="00C019D8">
        <w:rPr>
          <w:rFonts w:eastAsia="Times New Roman" w:cs="Times New Roman"/>
        </w:rPr>
        <w:t xml:space="preserve"> vendor</w:t>
      </w:r>
      <w:r w:rsidRPr="00F95415" w:rsidR="00083AE1">
        <w:rPr>
          <w:rFonts w:eastAsia="Times New Roman" w:cs="Times New Roman"/>
          <w:color w:val="000000"/>
        </w:rPr>
        <w:t xml:space="preserve"> will use responsive design to facilitate completion of the survey on different types of devices (e.g., desktop/laptop computer, tablet, mobile phone). </w:t>
      </w:r>
      <w:r w:rsidRPr="00C50FBC">
        <w:rPr>
          <w:szCs w:val="24"/>
        </w:rPr>
        <w:t xml:space="preserve">Use of </w:t>
      </w:r>
      <w:r>
        <w:rPr>
          <w:szCs w:val="24"/>
        </w:rPr>
        <w:t>web-based surveys</w:t>
      </w:r>
      <w:r w:rsidRPr="00C50FBC">
        <w:rPr>
          <w:szCs w:val="24"/>
        </w:rPr>
        <w:t xml:space="preserve"> reduces respondent burden by automating</w:t>
      </w:r>
      <w:r w:rsidRPr="00C50FBC">
        <w:rPr>
          <w:color w:val="252525"/>
          <w:szCs w:val="24"/>
          <w:shd w:val="clear" w:color="auto" w:fill="FFFFFF"/>
        </w:rPr>
        <w:t xml:space="preserve"> “skip” instructions rather than asking participants to interpret and implement the instructions themselves. This approach is less cognitively demanding and reduces the amount of time it will take participants to complete the survey.</w:t>
      </w:r>
      <w:r>
        <w:rPr>
          <w:color w:val="252525"/>
          <w:szCs w:val="24"/>
          <w:shd w:val="clear" w:color="auto" w:fill="FFFFFF"/>
        </w:rPr>
        <w:t xml:space="preserve"> </w:t>
      </w:r>
      <w:r w:rsidRPr="00C50FBC">
        <w:rPr>
          <w:color w:val="252525"/>
          <w:szCs w:val="24"/>
          <w:shd w:val="clear" w:color="auto" w:fill="FFFFFF"/>
        </w:rPr>
        <w:t xml:space="preserve">In addition, the </w:t>
      </w:r>
      <w:r>
        <w:rPr>
          <w:color w:val="252525"/>
          <w:szCs w:val="24"/>
          <w:shd w:val="clear" w:color="auto" w:fill="FFFFFF"/>
        </w:rPr>
        <w:t>survey</w:t>
      </w:r>
      <w:r w:rsidRPr="00C50FBC">
        <w:rPr>
          <w:color w:val="252525"/>
          <w:szCs w:val="24"/>
          <w:shd w:val="clear" w:color="auto" w:fill="FFFFFF"/>
        </w:rPr>
        <w:t xml:space="preserve"> will automatically place results in a format that can be read by statistical analysis software</w:t>
      </w:r>
      <w:r w:rsidR="009E324B">
        <w:rPr>
          <w:color w:val="252525"/>
          <w:szCs w:val="24"/>
          <w:shd w:val="clear" w:color="auto" w:fill="FFFFFF"/>
        </w:rPr>
        <w:t xml:space="preserve"> such as SPSS</w:t>
      </w:r>
      <w:r w:rsidRPr="00C50FBC">
        <w:rPr>
          <w:color w:val="252525"/>
          <w:szCs w:val="24"/>
          <w:shd w:val="clear" w:color="auto" w:fill="FFFFFF"/>
        </w:rPr>
        <w:t>.</w:t>
      </w:r>
    </w:p>
    <w:p w:rsidR="004A13E8" w:rsidP="004A13E8" w14:paraId="55FE17BC" w14:textId="77777777">
      <w:pPr>
        <w:pStyle w:val="Heading1"/>
      </w:pPr>
      <w:bookmarkStart w:id="10" w:name="_Toc112842526"/>
      <w:r>
        <w:t>Efforts to Identify Duplication and Use of Similar Information</w:t>
      </w:r>
      <w:bookmarkEnd w:id="10"/>
    </w:p>
    <w:p w:rsidR="00013B29" w:rsidP="00F328BD" w14:paraId="5D2BA8DE" w14:textId="158618CA">
      <w:pPr>
        <w:pStyle w:val="m-4824437483153403386msocommenttext"/>
        <w:shd w:val="clear" w:color="auto" w:fill="FFFFFF"/>
        <w:spacing w:before="0" w:beforeAutospacing="0" w:after="0" w:afterAutospacing="0" w:line="276" w:lineRule="auto"/>
        <w:rPr>
          <w:iCs/>
        </w:rPr>
      </w:pPr>
      <w:r w:rsidRPr="00836055">
        <w:rPr>
          <w:iCs/>
        </w:rPr>
        <w:t xml:space="preserve">Since its inception in 2017, the </w:t>
      </w:r>
      <w:r w:rsidRPr="002D3BB1">
        <w:rPr>
          <w:i/>
        </w:rPr>
        <w:t xml:space="preserve">GAOS </w:t>
      </w:r>
      <w:r w:rsidRPr="00836055">
        <w:rPr>
          <w:iCs/>
        </w:rPr>
        <w:t xml:space="preserve">campaign has successfully built strong relationships </w:t>
      </w:r>
      <w:r w:rsidRPr="00D74B2C" w:rsidR="0082308B">
        <w:t xml:space="preserve">with </w:t>
      </w:r>
      <w:r w:rsidR="004D16F2">
        <w:t>other</w:t>
      </w:r>
      <w:r w:rsidR="00D307BA">
        <w:t xml:space="preserve"> </w:t>
      </w:r>
      <w:r w:rsidRPr="00D74B2C" w:rsidR="0082308B">
        <w:t>federal agencies</w:t>
      </w:r>
      <w:r w:rsidR="0082308B">
        <w:t>,</w:t>
      </w:r>
      <w:r w:rsidRPr="00D74B2C" w:rsidR="0082308B">
        <w:t xml:space="preserve"> academic </w:t>
      </w:r>
      <w:r w:rsidRPr="00D74B2C" w:rsidR="009D4048">
        <w:t>institutions</w:t>
      </w:r>
      <w:r w:rsidR="00EB17E0">
        <w:t>/</w:t>
      </w:r>
      <w:r w:rsidR="005B0294">
        <w:t>non-government organizations</w:t>
      </w:r>
      <w:r w:rsidR="0082308B">
        <w:t xml:space="preserve"> </w:t>
      </w:r>
      <w:r w:rsidRPr="00D74B2C" w:rsidR="0082308B">
        <w:t>to strategically identify messaging and materials for the</w:t>
      </w:r>
      <w:r w:rsidRPr="00D74B2C" w:rsidR="0082308B">
        <w:rPr>
          <w:i/>
          <w:iCs/>
        </w:rPr>
        <w:t xml:space="preserve"> </w:t>
      </w:r>
      <w:r w:rsidR="00520862">
        <w:rPr>
          <w:i/>
          <w:iCs/>
        </w:rPr>
        <w:t>GAOS</w:t>
      </w:r>
      <w:r w:rsidRPr="00D74B2C" w:rsidR="0082308B">
        <w:t xml:space="preserve"> campaign, with </w:t>
      </w:r>
      <w:r w:rsidR="00F674BA">
        <w:t xml:space="preserve">the same </w:t>
      </w:r>
      <w:r w:rsidRPr="00D23972" w:rsidR="000A0A6E">
        <w:rPr>
          <w:iCs/>
        </w:rPr>
        <w:t xml:space="preserve">goals to prevent and reduce infections that can lead to sepsis and optimize healthcare quality and patient safety. These groups include the Biomedical Advanced Research and Development Authority (BARDA), as part of the U.S. Department of Health and Human Services’ Office of the Assistant Secretary for Preparedness and Response (ASPR) and patient representative and safety partners such as Sepsis Alliance, END SEPSIS, Sepsis Alliance, Niles Project, and others. </w:t>
      </w:r>
    </w:p>
    <w:p w:rsidR="00013B29" w:rsidP="00F328BD" w14:paraId="0CEB635D" w14:textId="77777777">
      <w:pPr>
        <w:pStyle w:val="m-4824437483153403386msocommenttext"/>
        <w:shd w:val="clear" w:color="auto" w:fill="FFFFFF"/>
        <w:spacing w:before="0" w:beforeAutospacing="0" w:after="0" w:afterAutospacing="0" w:line="276" w:lineRule="auto"/>
        <w:rPr>
          <w:iCs/>
        </w:rPr>
      </w:pPr>
    </w:p>
    <w:p w:rsidR="008A22B4" w:rsidRPr="00D41746" w:rsidP="00F328BD" w14:paraId="12A47D88" w14:textId="47A6875A">
      <w:pPr>
        <w:pStyle w:val="m-4824437483153403386msocommenttext"/>
        <w:shd w:val="clear" w:color="auto" w:fill="FFFFFF"/>
        <w:spacing w:before="0" w:beforeAutospacing="0" w:after="0" w:afterAutospacing="0" w:line="276" w:lineRule="auto"/>
        <w:rPr>
          <w:iCs/>
        </w:rPr>
      </w:pPr>
      <w:r w:rsidRPr="00D23972">
        <w:rPr>
          <w:iCs/>
        </w:rPr>
        <w:t xml:space="preserve">The </w:t>
      </w:r>
      <w:r w:rsidRPr="00D90729" w:rsidR="00D90729">
        <w:rPr>
          <w:i/>
        </w:rPr>
        <w:t>GAOS</w:t>
      </w:r>
      <w:r w:rsidRPr="00D90729">
        <w:rPr>
          <w:i/>
        </w:rPr>
        <w:t xml:space="preserve"> </w:t>
      </w:r>
      <w:r w:rsidRPr="00D23972">
        <w:rPr>
          <w:iCs/>
        </w:rPr>
        <w:t>campaign greatly values these key relationships and relies on regular communication with these groups to provide feedback on materials and promotional support to ensure the continued success of the campaign in reaching HCP and consumer audiences with vital, life-saving information. Coordination with these groups includes but is not limited to regular partner calls and emails to share the latest research and opportunities for collaboration, HCP training development, promotional support for key initiatives, subject matter expert presentations, and event attendance.</w:t>
      </w:r>
      <w:r w:rsidR="00F328BD">
        <w:rPr>
          <w:iCs/>
        </w:rPr>
        <w:t xml:space="preserve"> </w:t>
      </w:r>
      <w:r w:rsidRPr="00475E06" w:rsidR="009A1894">
        <w:rPr>
          <w:color w:val="333333"/>
          <w:shd w:val="clear" w:color="auto" w:fill="FFFFFF"/>
        </w:rPr>
        <w:t xml:space="preserve">These collaborations help prevent </w:t>
      </w:r>
      <w:r w:rsidRPr="00475E06" w:rsidR="00622D30">
        <w:rPr>
          <w:color w:val="333333"/>
          <w:shd w:val="clear" w:color="auto" w:fill="FFFFFF"/>
        </w:rPr>
        <w:t>redundancy and</w:t>
      </w:r>
      <w:r w:rsidRPr="00475E06" w:rsidR="009A1894">
        <w:rPr>
          <w:color w:val="333333"/>
          <w:shd w:val="clear" w:color="auto" w:fill="FFFFFF"/>
        </w:rPr>
        <w:t xml:space="preserve"> promote use of consistent </w:t>
      </w:r>
      <w:r w:rsidR="009A1894">
        <w:rPr>
          <w:color w:val="333333"/>
          <w:shd w:val="clear" w:color="auto" w:fill="FFFFFF"/>
        </w:rPr>
        <w:t xml:space="preserve">messaging and </w:t>
      </w:r>
      <w:r w:rsidRPr="00475E06" w:rsidR="009A1894">
        <w:rPr>
          <w:color w:val="333333"/>
          <w:shd w:val="clear" w:color="auto" w:fill="FFFFFF"/>
        </w:rPr>
        <w:t xml:space="preserve">measures of </w:t>
      </w:r>
      <w:r w:rsidR="009A1894">
        <w:rPr>
          <w:color w:val="333333"/>
          <w:shd w:val="clear" w:color="auto" w:fill="FFFFFF"/>
        </w:rPr>
        <w:t xml:space="preserve">campaign </w:t>
      </w:r>
      <w:r w:rsidRPr="00475E06" w:rsidR="009A1894">
        <w:rPr>
          <w:color w:val="333333"/>
          <w:shd w:val="clear" w:color="auto" w:fill="FFFFFF"/>
        </w:rPr>
        <w:t>effectiveness.</w:t>
      </w:r>
    </w:p>
    <w:p w:rsidR="00D41746" w:rsidRPr="00F328BD" w:rsidP="00F328BD" w14:paraId="36B3158B" w14:textId="77777777">
      <w:pPr>
        <w:pStyle w:val="m-4824437483153403386msocommenttext"/>
        <w:shd w:val="clear" w:color="auto" w:fill="FFFFFF"/>
        <w:spacing w:before="0" w:beforeAutospacing="0" w:after="0" w:afterAutospacing="0" w:line="276" w:lineRule="auto"/>
        <w:rPr>
          <w:iCs/>
        </w:rPr>
      </w:pPr>
    </w:p>
    <w:p w:rsidR="00211A5A" w:rsidRPr="00D74B2C" w:rsidP="000B730C" w14:paraId="62E251F7" w14:textId="00E10539">
      <w:pPr>
        <w:pStyle w:val="ListParagraph"/>
        <w:numPr>
          <w:ilvl w:val="0"/>
          <w:numId w:val="5"/>
        </w:numPr>
        <w:rPr>
          <w:i/>
          <w:color w:val="000000" w:themeColor="text1"/>
        </w:rPr>
      </w:pPr>
      <w:r w:rsidRPr="00D74B2C">
        <w:t xml:space="preserve">No other governmental or institutional agencies are attempting to collect this data as this work is specific to evaluating the </w:t>
      </w:r>
      <w:r w:rsidR="00520862">
        <w:rPr>
          <w:i/>
          <w:iCs/>
        </w:rPr>
        <w:t>GAOS</w:t>
      </w:r>
      <w:r w:rsidRPr="00D74B2C">
        <w:t xml:space="preserve"> campaign.</w:t>
      </w:r>
    </w:p>
    <w:p w:rsidR="00211A5A" w:rsidRPr="00B626FF" w:rsidP="000B730C" w14:paraId="1F6F4C98" w14:textId="261B0737">
      <w:pPr>
        <w:pStyle w:val="ListParagraph"/>
        <w:numPr>
          <w:ilvl w:val="0"/>
          <w:numId w:val="5"/>
        </w:numPr>
        <w:rPr>
          <w:color w:val="000000" w:themeColor="text1"/>
          <w:sz w:val="22"/>
        </w:rPr>
      </w:pPr>
      <w:r w:rsidRPr="00D74B2C">
        <w:t>Because this evaluation work is specific to assessing the reach and impact of CDC’s</w:t>
      </w:r>
      <w:r w:rsidRPr="00D74B2C">
        <w:rPr>
          <w:i/>
          <w:iCs/>
        </w:rPr>
        <w:t xml:space="preserve"> </w:t>
      </w:r>
      <w:r w:rsidR="00520862">
        <w:rPr>
          <w:i/>
          <w:iCs/>
        </w:rPr>
        <w:t>GAOS</w:t>
      </w:r>
      <w:r w:rsidRPr="00D74B2C">
        <w:rPr>
          <w:i/>
          <w:iCs/>
        </w:rPr>
        <w:t xml:space="preserve"> </w:t>
      </w:r>
      <w:r w:rsidRPr="00D74B2C">
        <w:t xml:space="preserve">campaign, there are no other data sources applicable as no other agency has conducted this work. </w:t>
      </w:r>
    </w:p>
    <w:p w:rsidR="00884715" w:rsidRPr="00B626FF" w:rsidP="00884715" w14:paraId="563DCC2A" w14:textId="54CA7B01">
      <w:pPr>
        <w:rPr>
          <w:color w:val="000000" w:themeColor="text1"/>
          <w:sz w:val="22"/>
        </w:rPr>
      </w:pPr>
      <w:r>
        <w:rPr>
          <w:rStyle w:val="normaltextrun"/>
          <w:color w:val="000000" w:themeColor="text1"/>
          <w:shd w:val="clear" w:color="auto" w:fill="FFFFFF"/>
        </w:rPr>
        <w:t xml:space="preserve">CDC DHQP </w:t>
      </w:r>
      <w:r w:rsidRPr="00B626FF">
        <w:rPr>
          <w:rStyle w:val="normaltextrun"/>
          <w:color w:val="000000" w:themeColor="text1"/>
          <w:shd w:val="clear" w:color="auto" w:fill="FFFFFF"/>
        </w:rPr>
        <w:t>will plan to regularly share findings from our work with those partners whom we work closely with. </w:t>
      </w:r>
      <w:r w:rsidRPr="00B626FF">
        <w:rPr>
          <w:rStyle w:val="eop"/>
          <w:color w:val="000000" w:themeColor="text1"/>
          <w:shd w:val="clear" w:color="auto" w:fill="FFFFFF"/>
        </w:rPr>
        <w:t> </w:t>
      </w:r>
    </w:p>
    <w:p w:rsidR="00DC57CC" w:rsidP="004A13E8" w14:paraId="55FE17BF" w14:textId="77777777">
      <w:pPr>
        <w:pStyle w:val="Heading1"/>
      </w:pPr>
      <w:bookmarkStart w:id="11" w:name="_Toc112842527"/>
      <w:r>
        <w:t>Impact on Small Businesses or Other Small Entities</w:t>
      </w:r>
      <w:bookmarkEnd w:id="11"/>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12" w:name="_Toc112842528"/>
      <w:r>
        <w:t>Consequences of Collecting the Information Less Frequently</w:t>
      </w:r>
      <w:bookmarkEnd w:id="12"/>
    </w:p>
    <w:p w:rsidR="001523DF" w:rsidRPr="001523DF" w:rsidP="001523DF" w14:paraId="55FE17C5" w14:textId="64C31E42">
      <w:r>
        <w:t xml:space="preserve">This </w:t>
      </w:r>
      <w:r w:rsidR="004148B1">
        <w:t xml:space="preserve">request </w:t>
      </w:r>
      <w:r>
        <w:t xml:space="preserve">is </w:t>
      </w:r>
      <w:r w:rsidR="004148B1">
        <w:t xml:space="preserve">for </w:t>
      </w:r>
      <w:r>
        <w:t>a one-time information collection.</w:t>
      </w:r>
    </w:p>
    <w:p w:rsidR="004A13E8" w:rsidP="004A13E8" w14:paraId="55FE17C6" w14:textId="77777777">
      <w:pPr>
        <w:pStyle w:val="Heading1"/>
      </w:pPr>
      <w:bookmarkStart w:id="13" w:name="_Toc112842529"/>
      <w:r>
        <w:t>Special Circumstances Relating to the Guidelines of 5 CFR 1320.5</w:t>
      </w:r>
      <w:bookmarkEnd w:id="13"/>
    </w:p>
    <w:p w:rsidR="004A13E8" w:rsidRPr="004A13E8" w:rsidP="004A13E8" w14:paraId="55FE17C7" w14:textId="1000E5C1">
      <w:r>
        <w:t xml:space="preserve">There are no special circumstances with this data collection package. </w:t>
      </w:r>
      <w:r>
        <w:t>This request fully complies with the regulation 5 CFR 1320.5.</w:t>
      </w:r>
    </w:p>
    <w:p w:rsidR="004A13E8" w:rsidP="004A13E8" w14:paraId="55FE17C8" w14:textId="77777777">
      <w:pPr>
        <w:pStyle w:val="Heading1"/>
      </w:pPr>
      <w:bookmarkStart w:id="14" w:name="_Toc112842530"/>
      <w:r>
        <w:t>Comments in Response to the Federal Register Notice and Efforts to Consult Outside the Agency</w:t>
      </w:r>
      <w:bookmarkEnd w:id="14"/>
    </w:p>
    <w:p w:rsidR="004A13E8" w:rsidP="004A13E8" w14:paraId="55FE17C9" w14:textId="0EA17D32">
      <w:r>
        <w:t xml:space="preserve">A. A 60-day Federal Register Notice was published in the </w:t>
      </w:r>
      <w:r w:rsidRPr="004A13E8">
        <w:rPr>
          <w:i/>
        </w:rPr>
        <w:t>Federal Register</w:t>
      </w:r>
      <w:r>
        <w:rPr>
          <w:i/>
        </w:rPr>
        <w:t xml:space="preserve"> </w:t>
      </w:r>
      <w:r>
        <w:t xml:space="preserve">on </w:t>
      </w:r>
      <w:r w:rsidR="005F0108">
        <w:t>January 31, 2022</w:t>
      </w:r>
      <w:r>
        <w:t xml:space="preserve">, </w:t>
      </w:r>
      <w:r w:rsidR="005F0108">
        <w:t>V</w:t>
      </w:r>
      <w:r>
        <w:t xml:space="preserve">ol. </w:t>
      </w:r>
      <w:r w:rsidR="00CA3EF1">
        <w:t>87</w:t>
      </w:r>
      <w:r>
        <w:t xml:space="preserve">, No. </w:t>
      </w:r>
      <w:r w:rsidR="00CA3EF1">
        <w:t>20</w:t>
      </w:r>
      <w:r>
        <w:t xml:space="preserve">, pp. </w:t>
      </w:r>
      <w:r w:rsidR="00CA3EF1">
        <w:t>48</w:t>
      </w:r>
      <w:r w:rsidR="00680710">
        <w:t>90</w:t>
      </w:r>
      <w:r>
        <w:t xml:space="preserve"> </w:t>
      </w:r>
      <w:r w:rsidRPr="002763B0">
        <w:t xml:space="preserve">(Attachment </w:t>
      </w:r>
      <w:r w:rsidRPr="002763B0" w:rsidR="002763B0">
        <w:t>B</w:t>
      </w:r>
      <w:r w:rsidRPr="002763B0">
        <w:t>).</w:t>
      </w:r>
      <w:r>
        <w:t xml:space="preserve"> </w:t>
      </w:r>
      <w:r w:rsidR="00EB0D5B">
        <w:t>CDC received t</w:t>
      </w:r>
      <w:r w:rsidR="008D3C8C">
        <w:t>wo</w:t>
      </w:r>
      <w:r w:rsidRPr="0072224B">
        <w:t xml:space="preserve"> comment</w:t>
      </w:r>
      <w:r w:rsidR="008D3C8C">
        <w:t xml:space="preserve">s </w:t>
      </w:r>
      <w:r w:rsidR="00EB0D5B">
        <w:t>related to this notice and responded accord</w:t>
      </w:r>
      <w:r w:rsidR="00B14BEC">
        <w:t xml:space="preserve">ingly </w:t>
      </w:r>
      <w:r w:rsidRPr="002763B0" w:rsidR="000A5AD8">
        <w:t xml:space="preserve">(Attachment </w:t>
      </w:r>
      <w:r w:rsidRPr="002763B0" w:rsidR="002763B0">
        <w:t>B1</w:t>
      </w:r>
      <w:r w:rsidRPr="002763B0" w:rsidR="003E720B">
        <w:t>.)</w:t>
      </w:r>
      <w:r w:rsidRPr="002763B0">
        <w:t>.</w:t>
      </w:r>
      <w:r w:rsidR="00C32380">
        <w:t xml:space="preserve"> </w:t>
      </w:r>
    </w:p>
    <w:p w:rsidR="00DA5E72" w:rsidRPr="00DA5E72" w:rsidP="004A13E8" w14:paraId="420254CE" w14:textId="0CA87456">
      <w:pPr>
        <w:rPr>
          <w:color w:val="000000" w:themeColor="text1"/>
        </w:rPr>
      </w:pPr>
      <w:r>
        <w:t xml:space="preserve">B. </w:t>
      </w:r>
      <w:r w:rsidR="00B9325C">
        <w:rPr>
          <w:color w:val="000000" w:themeColor="text1"/>
        </w:rPr>
        <w:t xml:space="preserve">The data collection instruments </w:t>
      </w:r>
      <w:r w:rsidR="00B47609">
        <w:rPr>
          <w:color w:val="000000" w:themeColor="text1"/>
        </w:rPr>
        <w:t xml:space="preserve">were designed by CDC </w:t>
      </w:r>
      <w:r w:rsidR="00F70FCB">
        <w:rPr>
          <w:color w:val="000000" w:themeColor="text1"/>
        </w:rPr>
        <w:t xml:space="preserve">DHQP </w:t>
      </w:r>
      <w:r w:rsidR="00B47609">
        <w:rPr>
          <w:color w:val="000000" w:themeColor="text1"/>
        </w:rPr>
        <w:t xml:space="preserve">and CATMEDIA. </w:t>
      </w:r>
      <w:r w:rsidR="00E04C6A">
        <w:rPr>
          <w:color w:val="000000" w:themeColor="text1"/>
        </w:rPr>
        <w:t>No consultations</w:t>
      </w:r>
      <w:r w:rsidR="00364BF7">
        <w:rPr>
          <w:color w:val="000000" w:themeColor="text1"/>
        </w:rPr>
        <w:t xml:space="preserve"> </w:t>
      </w:r>
      <w:r w:rsidR="00E04C6A">
        <w:rPr>
          <w:color w:val="000000" w:themeColor="text1"/>
        </w:rPr>
        <w:t xml:space="preserve">outside of CDC </w:t>
      </w:r>
      <w:r w:rsidRPr="00423202" w:rsidR="00B95B26">
        <w:rPr>
          <w:rFonts w:cstheme="minorHAnsi"/>
          <w:color w:val="333333"/>
          <w:shd w:val="clear" w:color="auto" w:fill="FFFFFF"/>
        </w:rPr>
        <w:t xml:space="preserve">other than </w:t>
      </w:r>
      <w:r w:rsidR="00AF3C4C">
        <w:rPr>
          <w:rFonts w:cstheme="minorHAnsi"/>
          <w:color w:val="333333"/>
          <w:shd w:val="clear" w:color="auto" w:fill="FFFFFF"/>
        </w:rPr>
        <w:t xml:space="preserve">with </w:t>
      </w:r>
      <w:r w:rsidRPr="00423202" w:rsidR="00B95B26">
        <w:rPr>
          <w:rFonts w:cstheme="minorHAnsi"/>
          <w:color w:val="333333"/>
          <w:shd w:val="clear" w:color="auto" w:fill="FFFFFF"/>
        </w:rPr>
        <w:t>the contractor</w:t>
      </w:r>
      <w:r w:rsidR="00B95B26">
        <w:rPr>
          <w:color w:val="000000" w:themeColor="text1"/>
        </w:rPr>
        <w:t xml:space="preserve"> </w:t>
      </w:r>
      <w:r w:rsidR="00E04C6A">
        <w:rPr>
          <w:color w:val="000000" w:themeColor="text1"/>
        </w:rPr>
        <w:t xml:space="preserve">occurred. </w:t>
      </w:r>
    </w:p>
    <w:p w:rsidR="004A13E8" w:rsidP="004A13E8" w14:paraId="55FE17CB" w14:textId="77777777">
      <w:pPr>
        <w:pStyle w:val="Heading1"/>
      </w:pPr>
      <w:bookmarkStart w:id="15" w:name="_Toc112842531"/>
      <w:r>
        <w:t>Explanation of Any Payment or Gift to Respondents</w:t>
      </w:r>
      <w:bookmarkEnd w:id="15"/>
    </w:p>
    <w:p w:rsidR="00C6600F" w:rsidP="00C75C56" w14:paraId="39E6EB52" w14:textId="696B300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szCs w:val="24"/>
        </w:rPr>
      </w:pPr>
      <w:r w:rsidRPr="008C015B">
        <w:rPr>
          <w:color w:val="000000"/>
          <w:szCs w:val="24"/>
        </w:rPr>
        <w:t>Participants who complete either the pre-or post-</w:t>
      </w:r>
      <w:r>
        <w:rPr>
          <w:color w:val="000000"/>
          <w:szCs w:val="24"/>
        </w:rPr>
        <w:t xml:space="preserve">campaign </w:t>
      </w:r>
      <w:r w:rsidRPr="008C015B">
        <w:rPr>
          <w:color w:val="000000"/>
          <w:szCs w:val="24"/>
        </w:rPr>
        <w:t xml:space="preserve">survey will </w:t>
      </w:r>
      <w:r w:rsidR="005E5DC3">
        <w:rPr>
          <w:color w:val="000000"/>
          <w:szCs w:val="24"/>
        </w:rPr>
        <w:t xml:space="preserve">receive </w:t>
      </w:r>
      <w:r w:rsidRPr="008C015B">
        <w:rPr>
          <w:color w:val="000000"/>
          <w:szCs w:val="24"/>
        </w:rPr>
        <w:t>a</w:t>
      </w:r>
      <w:r>
        <w:rPr>
          <w:color w:val="000000"/>
          <w:szCs w:val="24"/>
        </w:rPr>
        <w:t xml:space="preserve"> t</w:t>
      </w:r>
      <w:r w:rsidRPr="008C015B">
        <w:rPr>
          <w:color w:val="000000"/>
          <w:szCs w:val="24"/>
        </w:rPr>
        <w:t>oken of appreciation for their participation</w:t>
      </w:r>
      <w:r w:rsidR="005E5DC3">
        <w:rPr>
          <w:color w:val="000000"/>
          <w:szCs w:val="24"/>
        </w:rPr>
        <w:t xml:space="preserve"> </w:t>
      </w:r>
      <w:r w:rsidR="005E5DC3">
        <w:rPr>
          <w:rFonts w:eastAsia="Arial"/>
          <w:color w:val="000000" w:themeColor="text1"/>
        </w:rPr>
        <w:t>within seven days of taking the survey</w:t>
      </w:r>
      <w:r w:rsidR="00E04FA7">
        <w:rPr>
          <w:rFonts w:eastAsia="Arial"/>
          <w:color w:val="000000" w:themeColor="text1"/>
        </w:rPr>
        <w:t xml:space="preserve">. </w:t>
      </w:r>
      <w:r w:rsidRPr="00903753" w:rsidR="005E5DC3">
        <w:rPr>
          <w:szCs w:val="24"/>
        </w:rPr>
        <w:t xml:space="preserve"> </w:t>
      </w:r>
      <w:r w:rsidRPr="00903753" w:rsidR="00903753">
        <w:rPr>
          <w:szCs w:val="24"/>
        </w:rPr>
        <w:t xml:space="preserve">Based on OMB’s guidance </w:t>
      </w:r>
      <w:r w:rsidR="00DB7929">
        <w:rPr>
          <w:szCs w:val="24"/>
        </w:rPr>
        <w:t xml:space="preserve">(OMB, 2016) </w:t>
      </w:r>
      <w:r w:rsidRPr="00903753" w:rsidR="00903753">
        <w:rPr>
          <w:szCs w:val="24"/>
        </w:rPr>
        <w:t>on factors that may justify provision of a token of appreciation, we have determined that the following reasons apply</w:t>
      </w:r>
      <w:r w:rsidR="00056DC0">
        <w:rPr>
          <w:szCs w:val="24"/>
        </w:rPr>
        <w:t xml:space="preserve">. </w:t>
      </w:r>
    </w:p>
    <w:p w:rsidR="0027200D" w:rsidP="0027200D" w14:paraId="2540C54F" w14:textId="69FA085B">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rFonts w:eastAsia="Arial"/>
          <w:color w:val="000000" w:themeColor="text1"/>
        </w:rPr>
      </w:pPr>
      <w:r w:rsidRPr="00903753">
        <w:rPr>
          <w:i/>
          <w:iCs/>
          <w:szCs w:val="24"/>
        </w:rPr>
        <w:t>Past Experience.</w:t>
      </w:r>
      <w:r w:rsidRPr="00C222F0">
        <w:t xml:space="preserve"> </w:t>
      </w:r>
      <w:r w:rsidRPr="002875F6" w:rsidR="002875F6">
        <w:rPr>
          <w:szCs w:val="24"/>
        </w:rPr>
        <w:t>Multiple studies using a variety of data collection methodologies have shown that offering incentives increases participation rates</w:t>
      </w:r>
      <w:r w:rsidR="002875F6">
        <w:rPr>
          <w:szCs w:val="24"/>
        </w:rPr>
        <w:t>.</w:t>
      </w:r>
      <w:r w:rsidRPr="00C222F0" w:rsidR="002875F6">
        <w:rPr>
          <w:rFonts w:eastAsia="Arial"/>
        </w:rPr>
        <w:t xml:space="preserve"> </w:t>
      </w:r>
      <w:r w:rsidRPr="00C222F0">
        <w:rPr>
          <w:rFonts w:eastAsia="Arial"/>
        </w:rPr>
        <w:t xml:space="preserve">When applied reasonably, incentives are not an unjust inducement, but rather an approach that acknowledges participants for their participation </w:t>
      </w:r>
      <w:r w:rsidRPr="00C222F0">
        <w:rPr>
          <w:rFonts w:eastAsia="Arial"/>
        </w:rPr>
        <w:fldChar w:fldCharType="begin"/>
      </w:r>
      <w:r>
        <w:rPr>
          <w:rFonts w:eastAsia="Arial"/>
        </w:rPr>
        <w:instrText xml:space="preserve"> ADDIN ZOTERO_ITEM CSL_CITATION {"citationID":"wmuYicC4","properties":{"formattedCitation":"(Halpern et al., 2004; Vellinga et al., 2020)","plainCitation":"(Halpern et al., 2004; Vellinga et al., 2020)","noteIndex":0},"citationItems":[{"id":642,"uris":["http://zotero.org/groups/4520086/items/YUJNVZCM"],"itemData":{"id":642,"type":"article-journal","abstract":"Paying patients to participate in clinical trials is ethically controversial. However, there has been no empirical documentation regarding whether payment represents an undue or unjust inducement.To evaluate these questions, we described hypothetical placebo-controlled trials of a new antihypertensive drug to 126 patients with mild-to-moderate hypertension recruited from hypertension and general medicine clinics at a university hospital. Using a 3 × 3, within-subjects design, we altered a risk to participation (either adverse effect rate or rate of randomization to placebo) and the payment participants would receive ($100, $1000, and $2000) and asked patients to indicate their willingness to participate (WTP) in each trial using a 6-point scale.Clustered ordinal logistic regression models revealed that patients' WTP decreased with higher risk of adverse effects (P&amp;lt;.001), higher risk of being assigned to placebo (P = .02), and lower payment level (P&amp;lt;.001). There were no significant interactions between payment level and either risk variable, suggesting that increasing payments do not alter peoples' perceptions of risk. There was a trend toward a positive interaction between income and the influence of payment on WTP (P = .09), suggesting that payment more strongly influences WTP among wealthier people. Wealthier patients were more likely to state that payment was important in their participation decision (37% vs 20%, P = .05).Although higher payment motivates research participation, we found no evidence that commonly used payment levels represent undue or unjust inducements.Arch Intern Med. 2004;164:801-803--&gt;","container-title":"Archives of Internal Medicine","DOI":"10.1001/archinte.164.7.801","ISSN":"0003-9926","issue":"7","journalAbbreviation":"Archives of Internal Medicine","page":"801-803","source":"Silverchair","title":"Empirical Assessment of Whether Moderate Payments Are Undue or Unjust Inducements for Participation in Clinical Trials","volume":"164","author":[{"family":"Halpern","given":"Scott D."},{"family":"Karlawish","given":"Jason H. T."},{"family":"Casarett","given":"David"},{"family":"Berlin","given":"Jesse A."},{"family":"Asch","given":"David A."}],"issued":{"date-parts":[["2004",4,12]]}},"label":"page"},{"id":649,"uris":["http://zotero.org/groups/4520086/items/TUU645BE"],"itemData":{"id":649,"type":"article-journal","abstract":"Incentivising has shown to improve participation in clinical trials. However, ethical concerns suggest that incentives may be coercive, obscure trial risks and encourage individuals to enrol in clinical trials for the wrong reasons. The aim of our study was to develop and pilot a discrete choice experiment (DCE) to explore and identify preferences for incentives. A DCE was designed by including following attributes (and levels) of incentives: value, method, and time involvement. To account for trial benefit and risk, each was included as an attribute with levels low, medium and high. For testing purposes, the DCE was administrated using SurveyMonkey in a population of third level students. A total of 245 students, representative of the general student population, participated in the online DCE. The results provide a template to assess and explore the use of different incentive methods in clinical trials. The template can be used in its current format or adapted to particular scenarios. This pilot study provides a feasible methodology to explore the use of incentives for participation in clinical trials and can be adapted to specific trial requirements to provide information for ethical applications or identify the most favourable incentive for participation in clinical trials.","container-title":"Research Ethics","DOI":"10.1177/1747016119898669","ISSN":"1747-0161","issue":"1-2","journalAbbreviation":"Research Ethics","note":"publisher: SAGE Publications Ltd","page":"1-12","source":"SAGE Journals","title":"What do patients value as incentives for participation in clinical trials? A pilot discrete choice experiment","title-short":"What do patients value as incentives for participation in clinical trials?","volume":"16","author":[{"family":"Vellinga","given":"Akke"},{"family":"Devine","given":"Colum"},{"family":"Ho","given":"Min Yun"},{"family":"Clarke","given":"Colin"},{"family":"Leahy","given":"Patrick"},{"family":"Bourke","given":"Jane"},{"family":"Devane","given":"Declan"},{"family":"Duane","given":"Sinead"},{"family":"Kearney","given":"Patricia"}],"issued":{"date-parts":[["2020",1,1]]}},"label":"page"}],"schema":"https://github.com/citation-style-language/schema/raw/master/csl-citation.json"} </w:instrText>
      </w:r>
      <w:r w:rsidRPr="00C222F0">
        <w:rPr>
          <w:rFonts w:eastAsia="Arial"/>
        </w:rPr>
        <w:fldChar w:fldCharType="separate"/>
      </w:r>
      <w:r w:rsidRPr="00C222F0">
        <w:t>(Halpern et al., 2004; Vellinga et al., 2020)</w:t>
      </w:r>
      <w:r w:rsidRPr="00C222F0">
        <w:rPr>
          <w:rFonts w:eastAsia="Arial"/>
        </w:rPr>
        <w:fldChar w:fldCharType="end"/>
      </w:r>
      <w:r w:rsidRPr="00C222F0">
        <w:rPr>
          <w:rFonts w:eastAsia="Arial"/>
        </w:rPr>
        <w:t xml:space="preserve">. </w:t>
      </w:r>
      <w:r w:rsidRPr="00C222F0">
        <w:rPr>
          <w:rFonts w:eastAsia="Arial"/>
          <w:color w:val="000000" w:themeColor="text1"/>
        </w:rPr>
        <w:t xml:space="preserve">Respondents will receive $25 (consumers) or $75 (HCPs) </w:t>
      </w:r>
      <w:r w:rsidRPr="00907DC5" w:rsidR="00736663">
        <w:rPr>
          <w:rFonts w:eastAsia="Arial"/>
          <w:color w:val="000000" w:themeColor="text1"/>
        </w:rPr>
        <w:t xml:space="preserve">in the form of </w:t>
      </w:r>
      <w:r w:rsidR="00691309">
        <w:rPr>
          <w:rFonts w:eastAsia="Arial"/>
          <w:color w:val="000000" w:themeColor="text1"/>
        </w:rPr>
        <w:t xml:space="preserve"> </w:t>
      </w:r>
      <w:r w:rsidRPr="00907DC5" w:rsidR="00736663">
        <w:rPr>
          <w:rFonts w:eastAsia="Arial"/>
          <w:color w:val="000000" w:themeColor="text1"/>
        </w:rPr>
        <w:t>Venmo or PayPal (electronic delivery) or a pre-paid gift card</w:t>
      </w:r>
      <w:r w:rsidR="00736663">
        <w:rPr>
          <w:rFonts w:eastAsia="Arial"/>
          <w:color w:val="000000" w:themeColor="text1"/>
        </w:rPr>
        <w:t xml:space="preserve"> </w:t>
      </w:r>
      <w:r w:rsidRPr="00C222F0">
        <w:rPr>
          <w:rFonts w:eastAsia="Arial"/>
          <w:color w:val="000000" w:themeColor="text1"/>
        </w:rPr>
        <w:t>as a token of appreciation for their time and efforts, an amount commensurate with other market surveys</w:t>
      </w:r>
      <w:r>
        <w:rPr>
          <w:rFonts w:eastAsia="Arial"/>
          <w:color w:val="000000" w:themeColor="text1"/>
        </w:rPr>
        <w:t xml:space="preserve"> </w:t>
      </w:r>
      <w:r w:rsidRPr="00142B17">
        <w:rPr>
          <w:rFonts w:eastAsia="Arial"/>
          <w:color w:val="000000" w:themeColor="text1"/>
        </w:rPr>
        <w:fldChar w:fldCharType="begin"/>
      </w:r>
      <w:r>
        <w:rPr>
          <w:rFonts w:eastAsia="Arial"/>
          <w:color w:val="000000" w:themeColor="text1"/>
        </w:rPr>
        <w:instrText xml:space="preserve"> ADDIN ZOTERO_ITEM CSL_CITATION {"citationID":"zLgOMGW8","properties":{"formattedCitation":"(\\uc0\\u8220{}7 Survey Incentives That Get Respondents Every Time,\\uc0\\u8221{} 2016; {\\i{}How Much Should You Pay Participants in Market Research?}, n.d.; \\uc0\\u8220{}The Best Survey Incentives to Increase Survey Participation,\\uc0\\u8221{} 2021)","plainCitation":"(“7 Survey Incentives That Get Respondents Every Time,” 2016; How Much Should You Pay Participants in Market Research?, n.d.; “The Best Survey Incentives to Increase Survey Participation,” 2021)","dontUpdate":true,"noteIndex":0},"citationItems":[{"id":1115,"uris":["http://zotero.org/groups/4529941/items/4CIWJAT9"],"itemData":{"id":1115,"type":"post-weblog","abstract":"Wondering how to get people to complete your survey? Here are seven survey incentives that get respondents every time. Let's get the best results.","container-title":"SurveyTown","language":"en-US","note":"section: Survey Tips","title":"7 Survey Incentives That Get Respondents Every Time","URL":"https://surveytown.com/7-survey-incentives-that-get-respondents-every-time/","author":[{"family":"Surveytown","given":""}],"accessed":{"date-parts":[["2022",6,6]]},"issued":{"date-parts":[["2016",8,23]]}},"label":"page"},{"id":1117,"uris":["http://zotero.org/groups/4529941/items/KQAY9ARL"],"itemData":{"id":1117,"type":"webpage","abstract":"The appropriate amount to pay market research participants depends on several factors. We’ll walk you through these factors below to help you understand if you should pay more to participants or less.","language":"en-us","title":"How Much Should You Pay Participants in Market Research?","URL":"https://www.driveresearch.com/market-research-company-blog/how-much-should-you-pay-participants-in-market-research/","author":[{"family":"Kuhn","given":"George"}],"accessed":{"date-parts":[["2022",6,6]]},"issued":{"date-parts":[["2020",3,9]]}},"label":"page"},{"id":1116,"uris":["http://zotero.org/groups/4529941/items/92BGG385"],"itemData":{"id":1116,"type":"post-weblog","abstract":"Discover the most effective survey incentives to boost participation and the survey response rate from Pollfish.","container-title":"Pollfish Resources","language":"en-US","title":"The Best Survey Incentives to Increase Survey Participation","URL":"https://resources.pollfish.com/market-research/the-best-survey-incentives-to-increase-survey-participation/","author":[{"family":"Pollfish","given":""}],"accessed":{"date-parts":[["2022",6,6]]},"issued":{"date-parts":[["2021",2,11]]}},"label":"page"}],"schema":"https://github.com/citation-style-language/schema/raw/master/csl-citation.json"} </w:instrText>
      </w:r>
      <w:r w:rsidRPr="00142B17">
        <w:rPr>
          <w:rFonts w:eastAsia="Arial"/>
          <w:color w:val="000000" w:themeColor="text1"/>
        </w:rPr>
        <w:fldChar w:fldCharType="separate"/>
      </w:r>
      <w:r w:rsidRPr="00142B17">
        <w:rPr>
          <w:color w:val="000000"/>
        </w:rPr>
        <w:t>(Kuhn, 2020; Pollfish, 2021; Surveytown, 2016)</w:t>
      </w:r>
      <w:r w:rsidRPr="00142B17">
        <w:rPr>
          <w:rFonts w:eastAsia="Arial"/>
          <w:color w:val="000000" w:themeColor="text1"/>
        </w:rPr>
        <w:fldChar w:fldCharType="end"/>
      </w:r>
      <w:r w:rsidRPr="00142B17">
        <w:rPr>
          <w:rFonts w:eastAsia="Arial"/>
          <w:color w:val="000000" w:themeColor="text1"/>
        </w:rPr>
        <w:t>.</w:t>
      </w:r>
      <w:r w:rsidRPr="00C222F0">
        <w:rPr>
          <w:rFonts w:eastAsia="Arial"/>
          <w:color w:val="000000" w:themeColor="text1"/>
        </w:rPr>
        <w:t xml:space="preserve"> </w:t>
      </w:r>
      <w:r w:rsidR="00D93F3C">
        <w:t>Furthermore,</w:t>
      </w:r>
      <w:r w:rsidRPr="00903753" w:rsidR="00D93F3C">
        <w:t xml:space="preserve"> </w:t>
      </w:r>
      <w:r w:rsidR="0020412C">
        <w:t xml:space="preserve">based on </w:t>
      </w:r>
      <w:r w:rsidR="00C377FE">
        <w:t>CATMEDIA’s experience</w:t>
      </w:r>
      <w:r w:rsidR="0020412C">
        <w:t xml:space="preserve"> and expertise </w:t>
      </w:r>
      <w:r w:rsidR="00B85A86">
        <w:t>with recruiting</w:t>
      </w:r>
      <w:r w:rsidR="00FC46C2">
        <w:t xml:space="preserve"> participants for this type of assessment, </w:t>
      </w:r>
      <w:r w:rsidR="005C7750">
        <w:t xml:space="preserve">they believe </w:t>
      </w:r>
      <w:r w:rsidR="00D93F3C">
        <w:t xml:space="preserve">that the incentives noted above will be adequate to recruit the maximum response from each </w:t>
      </w:r>
      <w:r w:rsidR="00EF36A9">
        <w:t>intended</w:t>
      </w:r>
      <w:r w:rsidR="00D93F3C">
        <w:t xml:space="preserve"> audience.</w:t>
      </w:r>
    </w:p>
    <w:p w:rsidR="00061F77" w:rsidRPr="00903753" w:rsidP="00061F77" w14:paraId="7B889128" w14:textId="63A2628A">
      <w:pPr>
        <w:pStyle w:val="Default"/>
        <w:spacing w:line="276" w:lineRule="auto"/>
        <w:rPr>
          <w:rFonts w:ascii="Times New Roman" w:hAnsi="Times New Roman" w:cs="Times New Roman"/>
        </w:rPr>
      </w:pPr>
      <w:r w:rsidRPr="00903753">
        <w:rPr>
          <w:rFonts w:ascii="Times New Roman" w:hAnsi="Times New Roman" w:cs="Times New Roman"/>
          <w:i/>
          <w:iCs/>
        </w:rPr>
        <w:t>Improved coverage of specialized respondents, rare groups, or minority populations</w:t>
      </w:r>
      <w:r w:rsidRPr="00903753">
        <w:rPr>
          <w:rFonts w:ascii="Times New Roman" w:hAnsi="Times New Roman" w:cs="Times New Roman"/>
        </w:rPr>
        <w:t xml:space="preserve">: </w:t>
      </w:r>
      <w:r w:rsidR="00BA7B34">
        <w:rPr>
          <w:rFonts w:ascii="Times New Roman" w:hAnsi="Times New Roman" w:cs="Times New Roman"/>
        </w:rPr>
        <w:t xml:space="preserve">Key audiences </w:t>
      </w:r>
      <w:r w:rsidRPr="00E66AA4" w:rsidR="00E66AA4">
        <w:rPr>
          <w:rFonts w:ascii="Times New Roman" w:hAnsi="Times New Roman" w:cs="Times New Roman"/>
        </w:rPr>
        <w:t xml:space="preserve">in this data collection include </w:t>
      </w:r>
      <w:r w:rsidR="00E66AA4">
        <w:rPr>
          <w:rFonts w:ascii="Times New Roman" w:hAnsi="Times New Roman" w:cs="Times New Roman"/>
        </w:rPr>
        <w:t>HCPs</w:t>
      </w:r>
      <w:r w:rsidR="002D1D3B">
        <w:rPr>
          <w:rFonts w:ascii="Times New Roman" w:hAnsi="Times New Roman" w:cs="Times New Roman"/>
        </w:rPr>
        <w:t xml:space="preserve"> </w:t>
      </w:r>
      <w:r w:rsidRPr="002D1D3B" w:rsidR="002D1D3B">
        <w:rPr>
          <w:rFonts w:ascii="Times New Roman" w:hAnsi="Times New Roman" w:cs="Times New Roman"/>
        </w:rPr>
        <w:t>who play a role in diagnosing and treating sepsis</w:t>
      </w:r>
      <w:r w:rsidRPr="00C63215" w:rsidR="0044210A">
        <w:rPr>
          <w:rFonts w:ascii="Times New Roman" w:hAnsi="Times New Roman" w:cs="Times New Roman"/>
        </w:rPr>
        <w:t xml:space="preserve">. </w:t>
      </w:r>
      <w:r w:rsidRPr="00903753">
        <w:rPr>
          <w:rFonts w:ascii="Times New Roman" w:hAnsi="Times New Roman" w:cs="Times New Roman"/>
        </w:rPr>
        <w:t>H</w:t>
      </w:r>
      <w:r w:rsidR="006B0050">
        <w:rPr>
          <w:rFonts w:ascii="Times New Roman" w:hAnsi="Times New Roman" w:cs="Times New Roman"/>
        </w:rPr>
        <w:t>CPs</w:t>
      </w:r>
      <w:r w:rsidRPr="00903753">
        <w:rPr>
          <w:rFonts w:ascii="Times New Roman" w:hAnsi="Times New Roman" w:cs="Times New Roman"/>
        </w:rPr>
        <w:t xml:space="preserve"> have been challenging to recruit for studies as they are a specialized, unique group of people whose time is limited and, thus, quite valuable</w:t>
      </w:r>
      <w:r w:rsidR="00EF7EB0">
        <w:rPr>
          <w:rFonts w:ascii="Times New Roman" w:hAnsi="Times New Roman" w:cs="Times New Roman"/>
        </w:rPr>
        <w:t xml:space="preserve"> (Pit et al., 2014)</w:t>
      </w:r>
      <w:r w:rsidRPr="00903753" w:rsidR="00EF7EB0">
        <w:rPr>
          <w:rFonts w:ascii="Times New Roman" w:hAnsi="Times New Roman" w:cs="Times New Roman"/>
        </w:rPr>
        <w:t>.</w:t>
      </w:r>
      <w:r w:rsidRPr="00903753">
        <w:rPr>
          <w:rFonts w:ascii="Times New Roman" w:hAnsi="Times New Roman" w:cs="Times New Roman"/>
        </w:rPr>
        <w:t xml:space="preserve"> A token of appreciation will ensure participation from </w:t>
      </w:r>
      <w:r w:rsidR="002D1D3B">
        <w:rPr>
          <w:rFonts w:ascii="Times New Roman" w:hAnsi="Times New Roman" w:cs="Times New Roman"/>
        </w:rPr>
        <w:t>HCPs</w:t>
      </w:r>
      <w:r w:rsidRPr="00903753">
        <w:rPr>
          <w:rFonts w:ascii="Times New Roman" w:hAnsi="Times New Roman" w:cs="Times New Roman"/>
        </w:rPr>
        <w:t xml:space="preserve"> which will improve data quality by improving validity and reliability. </w:t>
      </w:r>
    </w:p>
    <w:p w:rsidR="00D85D96" w:rsidP="00D9158E" w14:paraId="763D9456" w14:textId="77777777">
      <w:pPr>
        <w:pStyle w:val="BodyText20"/>
        <w:spacing w:after="0" w:line="276" w:lineRule="auto"/>
        <w:ind w:firstLine="0"/>
        <w:rPr>
          <w:i/>
          <w:sz w:val="24"/>
          <w:szCs w:val="24"/>
        </w:rPr>
      </w:pPr>
    </w:p>
    <w:p w:rsidR="00034BA0" w:rsidP="00D9158E" w14:paraId="7273838E" w14:textId="62A8963C">
      <w:pPr>
        <w:pStyle w:val="BodyText20"/>
        <w:spacing w:after="0" w:line="276" w:lineRule="auto"/>
        <w:ind w:firstLine="0"/>
        <w:rPr>
          <w:i/>
          <w:sz w:val="24"/>
          <w:szCs w:val="24"/>
        </w:rPr>
      </w:pPr>
      <w:r w:rsidRPr="00903753">
        <w:rPr>
          <w:i/>
          <w:sz w:val="24"/>
          <w:szCs w:val="24"/>
        </w:rPr>
        <w:t xml:space="preserve">Data quality: </w:t>
      </w:r>
      <w:r w:rsidRPr="00903753">
        <w:rPr>
          <w:sz w:val="24"/>
          <w:szCs w:val="24"/>
        </w:rPr>
        <w:t xml:space="preserve">If we are unable to recruit sufficient numbers of </w:t>
      </w:r>
      <w:r w:rsidR="00603780">
        <w:rPr>
          <w:sz w:val="24"/>
          <w:szCs w:val="24"/>
        </w:rPr>
        <w:t xml:space="preserve">respondents </w:t>
      </w:r>
      <w:r w:rsidRPr="00903753">
        <w:rPr>
          <w:sz w:val="24"/>
          <w:szCs w:val="24"/>
        </w:rPr>
        <w:t xml:space="preserve">to participate in the data collection, we will be unable to collect information to inform the development of new or revisions to existing </w:t>
      </w:r>
      <w:r w:rsidR="00520862">
        <w:rPr>
          <w:i/>
          <w:iCs/>
          <w:sz w:val="24"/>
          <w:szCs w:val="24"/>
        </w:rPr>
        <w:t>GAOS</w:t>
      </w:r>
      <w:r w:rsidR="009A35F7">
        <w:rPr>
          <w:sz w:val="24"/>
          <w:szCs w:val="24"/>
        </w:rPr>
        <w:t xml:space="preserve"> </w:t>
      </w:r>
      <w:r w:rsidRPr="00903753">
        <w:rPr>
          <w:sz w:val="24"/>
          <w:szCs w:val="24"/>
        </w:rPr>
        <w:t>messages, concepts, and materials which will limit our ability to determine if they are acceptable, understandable, motivating, etc. to the priority audiences, and avoid unintended negative consequences of messages/materials.</w:t>
      </w:r>
      <w:r w:rsidRPr="00903753">
        <w:rPr>
          <w:i/>
          <w:sz w:val="24"/>
          <w:szCs w:val="24"/>
        </w:rPr>
        <w:t xml:space="preserve"> </w:t>
      </w:r>
    </w:p>
    <w:p w:rsidR="00B213BF" w:rsidP="00B213BF" w14:paraId="48F81A5B" w14:textId="77777777">
      <w:pPr>
        <w:pStyle w:val="BodyText1"/>
        <w:spacing w:after="0" w:line="276" w:lineRule="auto"/>
        <w:ind w:firstLine="0"/>
        <w:rPr>
          <w:i/>
          <w:iCs/>
          <w:szCs w:val="24"/>
        </w:rPr>
      </w:pPr>
    </w:p>
    <w:p w:rsidR="00034BA0" w:rsidRPr="00903753" w:rsidP="00B213BF" w14:paraId="548AD0C7" w14:textId="4DB9327B">
      <w:pPr>
        <w:pStyle w:val="BodyText1"/>
        <w:spacing w:after="0" w:line="276" w:lineRule="auto"/>
        <w:ind w:firstLine="0"/>
        <w:rPr>
          <w:szCs w:val="24"/>
        </w:rPr>
      </w:pPr>
      <w:r w:rsidRPr="00903753">
        <w:rPr>
          <w:i/>
          <w:iCs/>
          <w:szCs w:val="24"/>
        </w:rPr>
        <w:t>Reduced data collection costs</w:t>
      </w:r>
      <w:r w:rsidRPr="00903753">
        <w:rPr>
          <w:szCs w:val="24"/>
        </w:rPr>
        <w:t>: We anticipate that without the token of appreciation, recruitment and data collection costs will be much higher because we will need to screen more people to achieve the desired cooperation rate and recruit additional participants to make up for a higher rate of no</w:t>
      </w:r>
      <w:r w:rsidR="00E53B21">
        <w:rPr>
          <w:szCs w:val="24"/>
        </w:rPr>
        <w:t>nresponses</w:t>
      </w:r>
      <w:r w:rsidRPr="00903753">
        <w:rPr>
          <w:szCs w:val="24"/>
        </w:rPr>
        <w:t xml:space="preserve">. </w:t>
      </w:r>
    </w:p>
    <w:p w:rsidR="00D26AAE" w:rsidP="00C75C56" w14:paraId="64610061" w14:textId="777777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b/>
          <w:bCs/>
        </w:rPr>
      </w:pPr>
    </w:p>
    <w:p w:rsidR="004A13E8" w:rsidRPr="000A3D7A" w:rsidP="00C75C56" w14:paraId="55FE17CD" w14:textId="3A36D39D">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b/>
          <w:bCs/>
        </w:rPr>
      </w:pPr>
      <w:r w:rsidRPr="000A3D7A">
        <w:rPr>
          <w:b/>
          <w:bCs/>
        </w:rPr>
        <w:t xml:space="preserve">10. </w:t>
      </w:r>
      <w:r w:rsidRPr="000A3D7A">
        <w:rPr>
          <w:b/>
          <w:bCs/>
        </w:rPr>
        <w:t>Protection of the Privacy and Confidentiality of Information Provided by Respondents</w:t>
      </w:r>
    </w:p>
    <w:p w:rsidR="00F800AB" w:rsidRPr="00F04BB0" w:rsidP="00F04BB0" w14:paraId="480962AA" w14:textId="2B49D0F9">
      <w:pPr>
        <w:pStyle w:val="paragraph"/>
        <w:spacing w:before="0" w:beforeAutospacing="0" w:after="200" w:afterAutospacing="0" w:line="276" w:lineRule="auto"/>
        <w:textAlignment w:val="baseline"/>
        <w:rPr>
          <w:rFonts w:ascii="Segoe UI" w:hAnsi="Segoe UI" w:cs="Segoe UI"/>
        </w:rPr>
      </w:pPr>
      <w:r w:rsidRPr="00F66735">
        <w:t>This information collection request has been reviewed by NCEZID’s Information Systems Security Officer who has determined that the Privacy Act does not apply</w:t>
      </w:r>
      <w:r>
        <w:t xml:space="preserve">. </w:t>
      </w:r>
      <w:r w:rsidRPr="00F04BB0" w:rsidR="004E6F35">
        <w:t>No personal identifying information</w:t>
      </w:r>
      <w:r w:rsidRPr="00F04BB0" w:rsidR="00277F2D">
        <w:t xml:space="preserve"> (PII)</w:t>
      </w:r>
      <w:r w:rsidRPr="00F04BB0" w:rsidR="004E6F35">
        <w:t xml:space="preserve">, such as names, addresses, or phone numbers, will be collected during the </w:t>
      </w:r>
      <w:r w:rsidRPr="00F04BB0" w:rsidR="00B16531">
        <w:t xml:space="preserve">data collection </w:t>
      </w:r>
      <w:r w:rsidRPr="00F04BB0" w:rsidR="004E6F35">
        <w:t>or maintained in any data files</w:t>
      </w:r>
      <w:r w:rsidRPr="00F04BB0" w:rsidR="00B16531">
        <w:t xml:space="preserve"> held by CDC or CATMEDIA</w:t>
      </w:r>
      <w:r w:rsidRPr="00F04BB0" w:rsidR="004E6F35">
        <w:t xml:space="preserve">. </w:t>
      </w:r>
      <w:r w:rsidRPr="00F04BB0" w:rsidR="006D0661">
        <w:t xml:space="preserve">The </w:t>
      </w:r>
      <w:r w:rsidR="006A757F">
        <w:t xml:space="preserve">online survey panel </w:t>
      </w:r>
      <w:r w:rsidRPr="00F04BB0" w:rsidR="006D0661">
        <w:t xml:space="preserve">vendor </w:t>
      </w:r>
      <w:r w:rsidRPr="00F04BB0" w:rsidR="001F094B">
        <w:t>maintains PII, such as</w:t>
      </w:r>
      <w:r w:rsidRPr="00F04BB0" w:rsidR="004E6F35">
        <w:t xml:space="preserve"> name, address, phone, and email</w:t>
      </w:r>
      <w:r w:rsidRPr="00F04BB0" w:rsidR="00BF46A4">
        <w:t xml:space="preserve"> addresses </w:t>
      </w:r>
      <w:r w:rsidRPr="00F04BB0" w:rsidR="009F1108">
        <w:t xml:space="preserve">in their </w:t>
      </w:r>
      <w:r w:rsidR="00B624AC">
        <w:t xml:space="preserve">database of </w:t>
      </w:r>
      <w:r w:rsidR="00E6055A">
        <w:t xml:space="preserve">registered panelist </w:t>
      </w:r>
      <w:r w:rsidRPr="00F04BB0" w:rsidR="004845F9">
        <w:t>to</w:t>
      </w:r>
      <w:r w:rsidRPr="00F04BB0" w:rsidR="000827CF">
        <w:t xml:space="preserve"> contact </w:t>
      </w:r>
      <w:r w:rsidRPr="00F04BB0" w:rsidR="000827CF">
        <w:t>individuals for participation and</w:t>
      </w:r>
      <w:r w:rsidRPr="00F04BB0" w:rsidR="0031179A">
        <w:t xml:space="preserve"> </w:t>
      </w:r>
      <w:r w:rsidR="00FF616D">
        <w:t>for following up with incentive</w:t>
      </w:r>
      <w:r w:rsidR="0095241D">
        <w:t xml:space="preserve"> payments</w:t>
      </w:r>
      <w:r w:rsidR="00FF616D">
        <w:t xml:space="preserve">. </w:t>
      </w:r>
      <w:r w:rsidR="00B829ED">
        <w:t xml:space="preserve">The </w:t>
      </w:r>
      <w:r w:rsidR="008769CC">
        <w:t>vendor’s</w:t>
      </w:r>
      <w:r w:rsidR="00B829ED">
        <w:t xml:space="preserve"> database </w:t>
      </w:r>
      <w:r w:rsidRPr="00F04BB0" w:rsidR="004E6F35">
        <w:t xml:space="preserve">is </w:t>
      </w:r>
      <w:r w:rsidRPr="00F04BB0" w:rsidR="00CE0F2F">
        <w:t>maintained according to privacy regulations</w:t>
      </w:r>
      <w:r w:rsidRPr="00F04BB0" w:rsidR="006A6C98">
        <w:t>.</w:t>
      </w:r>
      <w:r w:rsidRPr="00F04BB0" w:rsidR="001E2613">
        <w:t xml:space="preserve"> </w:t>
      </w:r>
      <w:r w:rsidRPr="00F04BB0" w:rsidR="00100AA0">
        <w:rPr>
          <w:color w:val="333333"/>
          <w:shd w:val="clear" w:color="auto" w:fill="FFFFFF"/>
        </w:rPr>
        <w:t xml:space="preserve">The PII is stored with the </w:t>
      </w:r>
      <w:r w:rsidRPr="00F04BB0" w:rsidR="00CD1F74">
        <w:rPr>
          <w:color w:val="333333"/>
          <w:shd w:val="clear" w:color="auto" w:fill="FFFFFF"/>
        </w:rPr>
        <w:t xml:space="preserve">vendor </w:t>
      </w:r>
      <w:r w:rsidRPr="00F04BB0" w:rsidR="00100AA0">
        <w:rPr>
          <w:color w:val="333333"/>
          <w:shd w:val="clear" w:color="auto" w:fill="FFFFFF"/>
        </w:rPr>
        <w:t xml:space="preserve">and </w:t>
      </w:r>
      <w:r w:rsidR="00A443C8">
        <w:rPr>
          <w:color w:val="333333"/>
          <w:shd w:val="clear" w:color="auto" w:fill="FFFFFF"/>
        </w:rPr>
        <w:t>will</w:t>
      </w:r>
      <w:r w:rsidRPr="00F04BB0" w:rsidR="00A10604">
        <w:rPr>
          <w:color w:val="333333"/>
          <w:shd w:val="clear" w:color="auto" w:fill="FFFFFF"/>
        </w:rPr>
        <w:t xml:space="preserve"> never </w:t>
      </w:r>
      <w:r w:rsidR="00A443C8">
        <w:rPr>
          <w:color w:val="333333"/>
          <w:shd w:val="clear" w:color="auto" w:fill="FFFFFF"/>
        </w:rPr>
        <w:t xml:space="preserve">be </w:t>
      </w:r>
      <w:r w:rsidRPr="00F04BB0" w:rsidR="00A10604">
        <w:rPr>
          <w:color w:val="333333"/>
          <w:shd w:val="clear" w:color="auto" w:fill="FFFFFF"/>
        </w:rPr>
        <w:t>share</w:t>
      </w:r>
      <w:r w:rsidR="00592636">
        <w:rPr>
          <w:color w:val="333333"/>
          <w:shd w:val="clear" w:color="auto" w:fill="FFFFFF"/>
        </w:rPr>
        <w:t>d</w:t>
      </w:r>
      <w:r w:rsidRPr="00F04BB0" w:rsidR="00A10604">
        <w:rPr>
          <w:color w:val="333333"/>
          <w:shd w:val="clear" w:color="auto" w:fill="FFFFFF"/>
        </w:rPr>
        <w:t xml:space="preserve"> with </w:t>
      </w:r>
      <w:r w:rsidRPr="00F04BB0" w:rsidR="00100AA0">
        <w:rPr>
          <w:color w:val="333333"/>
          <w:shd w:val="clear" w:color="auto" w:fill="FFFFFF"/>
        </w:rPr>
        <w:t xml:space="preserve">CDC </w:t>
      </w:r>
      <w:r w:rsidRPr="00F04BB0" w:rsidR="00A10604">
        <w:rPr>
          <w:color w:val="333333"/>
          <w:shd w:val="clear" w:color="auto" w:fill="FFFFFF"/>
        </w:rPr>
        <w:t>or CATMEDIA</w:t>
      </w:r>
      <w:r w:rsidRPr="00F04BB0" w:rsidR="00100AA0">
        <w:rPr>
          <w:color w:val="333333"/>
          <w:shd w:val="clear" w:color="auto" w:fill="FFFFFF"/>
        </w:rPr>
        <w:t>.</w:t>
      </w:r>
      <w:r w:rsidRPr="00F04BB0" w:rsidR="00265E7B">
        <w:t xml:space="preserve"> </w:t>
      </w:r>
    </w:p>
    <w:p w:rsidR="00E36DC9" w:rsidRPr="003472FA" w:rsidP="00D04038" w14:paraId="25EE8711" w14:textId="1AA7CF7F">
      <w:pPr>
        <w:pStyle w:val="paragraph"/>
        <w:spacing w:before="0" w:beforeAutospacing="0" w:after="200" w:afterAutospacing="0" w:line="276" w:lineRule="auto"/>
        <w:textAlignment w:val="baseline"/>
      </w:pPr>
      <w:r>
        <w:rPr>
          <w:color w:val="333333"/>
          <w:shd w:val="clear" w:color="auto" w:fill="FFFFFF"/>
        </w:rPr>
        <w:t>D</w:t>
      </w:r>
      <w:r w:rsidRPr="003472FA">
        <w:rPr>
          <w:color w:val="333333"/>
          <w:shd w:val="clear" w:color="auto" w:fill="FFFFFF"/>
        </w:rPr>
        <w:t xml:space="preserve">emographic information (e.g., age, gender, race/ethnicity, </w:t>
      </w:r>
      <w:r w:rsidR="00C26530">
        <w:rPr>
          <w:color w:val="333333"/>
          <w:shd w:val="clear" w:color="auto" w:fill="FFFFFF"/>
        </w:rPr>
        <w:t>e</w:t>
      </w:r>
      <w:r w:rsidRPr="003472FA">
        <w:rPr>
          <w:color w:val="333333"/>
          <w:shd w:val="clear" w:color="auto" w:fill="FFFFFF"/>
        </w:rPr>
        <w:t xml:space="preserve">tc.) </w:t>
      </w:r>
      <w:r w:rsidR="001074C1">
        <w:rPr>
          <w:color w:val="333333"/>
          <w:shd w:val="clear" w:color="auto" w:fill="FFFFFF"/>
        </w:rPr>
        <w:t>will</w:t>
      </w:r>
      <w:r w:rsidRPr="003472FA">
        <w:rPr>
          <w:color w:val="333333"/>
          <w:shd w:val="clear" w:color="auto" w:fill="FFFFFF"/>
        </w:rPr>
        <w:t xml:space="preserve"> be collected</w:t>
      </w:r>
      <w:r w:rsidR="00C26530">
        <w:rPr>
          <w:color w:val="333333"/>
          <w:shd w:val="clear" w:color="auto" w:fill="FFFFFF"/>
        </w:rPr>
        <w:t xml:space="preserve"> as part of the </w:t>
      </w:r>
      <w:r w:rsidR="00953C13">
        <w:rPr>
          <w:color w:val="333333"/>
          <w:shd w:val="clear" w:color="auto" w:fill="FFFFFF"/>
        </w:rPr>
        <w:t>screening to determine participant eligibility, however</w:t>
      </w:r>
      <w:r w:rsidRPr="003472FA">
        <w:rPr>
          <w:color w:val="333333"/>
          <w:shd w:val="clear" w:color="auto" w:fill="FFFFFF"/>
        </w:rPr>
        <w:t xml:space="preserve"> no direct personal identifiers (e.g., date of birth, full name, phone number, social security number, etc.) will be </w:t>
      </w:r>
      <w:r w:rsidR="0069781A">
        <w:rPr>
          <w:color w:val="333333"/>
          <w:shd w:val="clear" w:color="auto" w:fill="FFFFFF"/>
        </w:rPr>
        <w:t>collected or maintained</w:t>
      </w:r>
      <w:r w:rsidRPr="003472FA">
        <w:rPr>
          <w:color w:val="333333"/>
          <w:shd w:val="clear" w:color="auto" w:fill="FFFFFF"/>
        </w:rPr>
        <w:t xml:space="preserve">. </w:t>
      </w:r>
      <w:r w:rsidRPr="00F04BB0" w:rsidR="00D04038">
        <w:t>All PII will be kept separate from participant</w:t>
      </w:r>
      <w:r w:rsidR="001D17DE">
        <w:t>s</w:t>
      </w:r>
      <w:r w:rsidRPr="00F04BB0" w:rsidR="00D04038">
        <w:t xml:space="preserve"> responses</w:t>
      </w:r>
      <w:r w:rsidR="00D04038">
        <w:t xml:space="preserve"> to the surveys</w:t>
      </w:r>
      <w:r w:rsidRPr="00F04BB0" w:rsidR="00D04038">
        <w:t>.</w:t>
      </w:r>
      <w:r w:rsidR="00D04038">
        <w:t xml:space="preserve"> </w:t>
      </w:r>
      <w:r w:rsidR="000F7D1F">
        <w:rPr>
          <w:color w:val="333333"/>
          <w:shd w:val="clear" w:color="auto" w:fill="FFFFFF"/>
        </w:rPr>
        <w:t xml:space="preserve">The </w:t>
      </w:r>
      <w:r w:rsidR="00520862">
        <w:rPr>
          <w:i/>
          <w:iCs/>
          <w:color w:val="333333"/>
          <w:shd w:val="clear" w:color="auto" w:fill="FFFFFF"/>
        </w:rPr>
        <w:t>GAOS</w:t>
      </w:r>
      <w:r w:rsidR="00E315DE">
        <w:rPr>
          <w:color w:val="333333"/>
          <w:shd w:val="clear" w:color="auto" w:fill="FFFFFF"/>
        </w:rPr>
        <w:t xml:space="preserve"> </w:t>
      </w:r>
      <w:r w:rsidR="007B5A45">
        <w:rPr>
          <w:color w:val="333333"/>
          <w:shd w:val="clear" w:color="auto" w:fill="FFFFFF"/>
        </w:rPr>
        <w:t>surveys</w:t>
      </w:r>
      <w:r w:rsidR="00E315DE">
        <w:rPr>
          <w:color w:val="333333"/>
          <w:shd w:val="clear" w:color="auto" w:fill="FFFFFF"/>
        </w:rPr>
        <w:t xml:space="preserve"> do not collect additional PII. </w:t>
      </w:r>
    </w:p>
    <w:p w:rsidR="004A13E8" w:rsidP="00A329BF" w14:paraId="55FE17D0" w14:textId="0556386A">
      <w:pPr>
        <w:pStyle w:val="Heading1"/>
        <w:numPr>
          <w:ilvl w:val="0"/>
          <w:numId w:val="11"/>
        </w:numPr>
      </w:pPr>
      <w:bookmarkStart w:id="16" w:name="_Toc112842532"/>
      <w:r>
        <w:t>Institutional Review Board (IRB) and Justification for Sensitive Questions</w:t>
      </w:r>
      <w:bookmarkEnd w:id="16"/>
    </w:p>
    <w:p w:rsidR="004A13E8" w:rsidP="004A13E8" w14:paraId="55FE17D1" w14:textId="77777777">
      <w:pPr>
        <w:rPr>
          <w:u w:val="single"/>
        </w:rPr>
      </w:pPr>
      <w:r>
        <w:rPr>
          <w:u w:val="single"/>
        </w:rPr>
        <w:t>Institutional Review Board (IRB)</w:t>
      </w:r>
    </w:p>
    <w:p w:rsidR="004A13E8" w:rsidRPr="00940E87" w:rsidP="004A13E8" w14:paraId="55FE17D2" w14:textId="4792D0BC">
      <w:pPr>
        <w:rPr>
          <w:b/>
          <w:bCs/>
        </w:rPr>
      </w:pPr>
      <w:r>
        <w:t xml:space="preserve">NCEZID’s Human Subjects Advisor has determined that </w:t>
      </w:r>
      <w:r w:rsidR="007E1757">
        <w:t xml:space="preserve">this </w:t>
      </w:r>
      <w:r>
        <w:t xml:space="preserve">information collection is not research involving human subjects.  IRB approval </w:t>
      </w:r>
      <w:r w:rsidR="001E08A8">
        <w:t>is</w:t>
      </w:r>
      <w:r>
        <w:t xml:space="preserve"> not required.</w:t>
      </w:r>
      <w:r w:rsidRPr="002A02C2" w:rsidR="002A02C2">
        <w:rPr>
          <w:rFonts w:eastAsia="Times New Roman" w:cstheme="minorHAnsi"/>
          <w:color w:val="000000"/>
        </w:rPr>
        <w:t xml:space="preserve"> </w:t>
      </w:r>
      <w:r w:rsidR="002A02C2">
        <w:rPr>
          <w:rFonts w:eastAsia="Times New Roman" w:cstheme="minorHAnsi"/>
          <w:color w:val="000000"/>
        </w:rPr>
        <w:t xml:space="preserve">The IRB exemption determination for this study is included in </w:t>
      </w:r>
      <w:r w:rsidR="00DE24A1">
        <w:rPr>
          <w:rFonts w:eastAsia="Times New Roman" w:cstheme="minorHAnsi"/>
          <w:color w:val="000000"/>
        </w:rPr>
        <w:t>[</w:t>
      </w:r>
      <w:r w:rsidRPr="00DE24A1" w:rsidR="00DE24A1">
        <w:rPr>
          <w:rFonts w:eastAsia="Times New Roman" w:cstheme="minorHAnsi"/>
          <w:color w:val="000000"/>
          <w:highlight w:val="yellow"/>
        </w:rPr>
        <w:t xml:space="preserve">CDC DHQP to provide </w:t>
      </w:r>
      <w:r w:rsidRPr="00DE24A1" w:rsidR="002A02C2">
        <w:rPr>
          <w:rFonts w:eastAsia="Times New Roman" w:cstheme="minorHAnsi"/>
          <w:color w:val="000000"/>
          <w:highlight w:val="yellow"/>
        </w:rPr>
        <w:t xml:space="preserve">Attachment </w:t>
      </w:r>
      <w:r w:rsidRPr="009F0D30" w:rsidR="002763B0">
        <w:rPr>
          <w:rFonts w:eastAsia="Times New Roman" w:cstheme="minorHAnsi"/>
          <w:color w:val="000000"/>
          <w:highlight w:val="yellow"/>
        </w:rPr>
        <w:t>G</w:t>
      </w:r>
      <w:r w:rsidRPr="009F0D30" w:rsidR="00B05834">
        <w:rPr>
          <w:rFonts w:eastAsia="Times New Roman" w:cstheme="minorHAnsi"/>
          <w:color w:val="000000"/>
          <w:highlight w:val="yellow"/>
        </w:rPr>
        <w:t>.</w:t>
      </w:r>
    </w:p>
    <w:p w:rsidR="00670335" w:rsidRPr="0005699B" w:rsidP="004A13E8" w14:paraId="06406DF5" w14:textId="70C70E31">
      <w:r w:rsidRPr="00BE0EB2">
        <w:rPr>
          <w:rFonts w:cs="Times New Roman"/>
          <w:szCs w:val="24"/>
        </w:rPr>
        <w:t>Data to be collected is not sensitive in nature</w:t>
      </w:r>
    </w:p>
    <w:p w:rsidR="004A13E8" w:rsidP="00AF3C4C" w14:paraId="55FE17D7" w14:textId="77777777">
      <w:pPr>
        <w:pStyle w:val="Heading1"/>
      </w:pPr>
      <w:bookmarkStart w:id="17" w:name="_Toc112842533"/>
      <w:r>
        <w:t>Estimates of Annualized Burden Hours and Costs</w:t>
      </w:r>
      <w:bookmarkEnd w:id="17"/>
    </w:p>
    <w:p w:rsidR="00665B2B" w:rsidRPr="0063763D" w:rsidP="00665B2B" w14:paraId="413A8D42" w14:textId="77777777">
      <w:pPr>
        <w:pStyle w:val="ListParagraph"/>
        <w:numPr>
          <w:ilvl w:val="0"/>
          <w:numId w:val="13"/>
        </w:numPr>
        <w:rPr>
          <w:rFonts w:eastAsia="Arial Nova"/>
        </w:rPr>
      </w:pPr>
      <w:r w:rsidRPr="0063763D">
        <w:rPr>
          <w:b/>
          <w:bCs/>
        </w:rPr>
        <w:t>Estimated Annualized Burden (Hours)</w:t>
      </w:r>
    </w:p>
    <w:p w:rsidR="00422D64" w:rsidP="00422D64" w14:paraId="38170C13" w14:textId="34DDB9C3">
      <w:r w:rsidRPr="342C1F82">
        <w:rPr>
          <w:rFonts w:eastAsiaTheme="minorEastAsia"/>
        </w:rPr>
        <w:t>The annual burden hours requested (</w:t>
      </w:r>
      <w:r w:rsidRPr="342C1F82" w:rsidR="00A36AA7">
        <w:rPr>
          <w:rFonts w:eastAsiaTheme="minorEastAsia"/>
        </w:rPr>
        <w:t>1</w:t>
      </w:r>
      <w:r w:rsidR="0060720A">
        <w:rPr>
          <w:rFonts w:eastAsiaTheme="minorEastAsia"/>
        </w:rPr>
        <w:t>366</w:t>
      </w:r>
      <w:r w:rsidRPr="342C1F82">
        <w:rPr>
          <w:rFonts w:eastAsiaTheme="minorEastAsia"/>
        </w:rPr>
        <w:t xml:space="preserve">) are based on the number of completed responses we expect to collect over the requested period for this information collection. </w:t>
      </w:r>
      <w:r>
        <w:t>The survey, which will only be administered once</w:t>
      </w:r>
      <w:r w:rsidR="3D6A5544">
        <w:t xml:space="preserve"> to each participant</w:t>
      </w:r>
      <w:r>
        <w:t xml:space="preserve">, is estimated at no longer than 20 minutes per respondent. </w:t>
      </w:r>
      <w:r w:rsidRPr="342C1F82">
        <w:rPr>
          <w:rFonts w:eastAsia="Arial Nova"/>
        </w:rPr>
        <w:t xml:space="preserve">While participants will be screened, there will be a minimal time burden due to prior consent to participate in this study. </w:t>
      </w:r>
      <w:r>
        <w:t xml:space="preserve">The screener questions are included </w:t>
      </w:r>
      <w:r w:rsidRPr="00394831" w:rsidR="0032360D">
        <w:t>with</w:t>
      </w:r>
      <w:r>
        <w:t xml:space="preserve"> the </w:t>
      </w:r>
      <w:r w:rsidRPr="00394831" w:rsidR="0032360D">
        <w:t>Informed Consent in Attachment I</w:t>
      </w:r>
      <w:r w:rsidR="0032360D">
        <w:t>.</w:t>
      </w:r>
      <w:r w:rsidR="00527B8E">
        <w:t>, but participants will be sent the online screener survey link first, followed by the online cross-sectional survey link for those found eligible to participate</w:t>
      </w:r>
      <w:r w:rsidRPr="008F035F" w:rsidR="00527B8E">
        <w:t>.</w:t>
      </w:r>
    </w:p>
    <w:tbl>
      <w:tblPr>
        <w:tblStyle w:val="TableGrid"/>
        <w:tblCaption w:val="Example Table, Table A12: Estimated Annualized Burden Costs"/>
        <w:tblDescription w:val="Example Table, Table A12: Estimated Annualized Burden Costs"/>
        <w:tblW w:w="9630" w:type="dxa"/>
        <w:tblInd w:w="-95" w:type="dxa"/>
        <w:tblLook w:val="04A0"/>
      </w:tblPr>
      <w:tblGrid>
        <w:gridCol w:w="1527"/>
        <w:gridCol w:w="1983"/>
        <w:gridCol w:w="1651"/>
        <w:gridCol w:w="1525"/>
        <w:gridCol w:w="1606"/>
        <w:gridCol w:w="1338"/>
      </w:tblGrid>
      <w:tr w14:paraId="1923A1C7" w14:textId="77777777" w:rsidTr="00100BA2">
        <w:tblPrEx>
          <w:tblW w:w="9630" w:type="dxa"/>
          <w:tblInd w:w="-95" w:type="dxa"/>
          <w:tblLook w:val="04A0"/>
        </w:tblPrEx>
        <w:trPr>
          <w:trHeight w:val="1160"/>
          <w:tblHeader/>
        </w:trPr>
        <w:tc>
          <w:tcPr>
            <w:tcW w:w="1527" w:type="dxa"/>
            <w:shd w:val="clear" w:color="auto" w:fill="F2F2F2" w:themeFill="background1" w:themeFillShade="F2"/>
          </w:tcPr>
          <w:p w:rsidR="00CF4DFF" w:rsidRPr="005A6EE7" w:rsidP="0037523C" w14:paraId="4D0732D6" w14:textId="77777777">
            <w:pPr>
              <w:spacing w:line="276" w:lineRule="auto"/>
              <w:rPr>
                <w:b/>
                <w:bCs/>
                <w:sz w:val="22"/>
              </w:rPr>
            </w:pPr>
            <w:r w:rsidRPr="005A6EE7">
              <w:rPr>
                <w:b/>
                <w:bCs/>
                <w:sz w:val="22"/>
              </w:rPr>
              <w:t>Type of Respondents</w:t>
            </w:r>
          </w:p>
        </w:tc>
        <w:tc>
          <w:tcPr>
            <w:tcW w:w="1983" w:type="dxa"/>
            <w:shd w:val="clear" w:color="auto" w:fill="F2F2F2" w:themeFill="background1" w:themeFillShade="F2"/>
          </w:tcPr>
          <w:p w:rsidR="00CF4DFF" w:rsidRPr="005A6EE7" w:rsidP="0037523C" w14:paraId="28361762" w14:textId="77777777">
            <w:pPr>
              <w:spacing w:line="276" w:lineRule="auto"/>
              <w:rPr>
                <w:b/>
                <w:bCs/>
                <w:sz w:val="22"/>
              </w:rPr>
            </w:pPr>
            <w:r w:rsidRPr="005A6EE7">
              <w:rPr>
                <w:b/>
                <w:bCs/>
                <w:sz w:val="22"/>
              </w:rPr>
              <w:t>Form Name</w:t>
            </w:r>
          </w:p>
        </w:tc>
        <w:tc>
          <w:tcPr>
            <w:tcW w:w="1651" w:type="dxa"/>
            <w:shd w:val="clear" w:color="auto" w:fill="F2F2F2" w:themeFill="background1" w:themeFillShade="F2"/>
          </w:tcPr>
          <w:p w:rsidR="00CF4DFF" w:rsidRPr="005A6EE7" w:rsidP="0037523C" w14:paraId="3E2BC3B3" w14:textId="77777777">
            <w:pPr>
              <w:spacing w:line="276" w:lineRule="auto"/>
              <w:rPr>
                <w:b/>
                <w:bCs/>
                <w:sz w:val="22"/>
              </w:rPr>
            </w:pPr>
            <w:r w:rsidRPr="005A6EE7">
              <w:rPr>
                <w:b/>
                <w:bCs/>
                <w:sz w:val="22"/>
              </w:rPr>
              <w:t>No. of Respondents</w:t>
            </w:r>
          </w:p>
        </w:tc>
        <w:tc>
          <w:tcPr>
            <w:tcW w:w="1525" w:type="dxa"/>
            <w:shd w:val="clear" w:color="auto" w:fill="F2F2F2" w:themeFill="background1" w:themeFillShade="F2"/>
          </w:tcPr>
          <w:p w:rsidR="00CF4DFF" w:rsidRPr="005A6EE7" w:rsidP="0037523C" w14:paraId="2FFF6D3D" w14:textId="77777777">
            <w:pPr>
              <w:spacing w:line="276" w:lineRule="auto"/>
              <w:rPr>
                <w:b/>
                <w:bCs/>
                <w:sz w:val="22"/>
              </w:rPr>
            </w:pPr>
            <w:r w:rsidRPr="005A6EE7">
              <w:rPr>
                <w:b/>
                <w:bCs/>
                <w:sz w:val="22"/>
              </w:rPr>
              <w:t>No. of Responses per Respondent</w:t>
            </w:r>
          </w:p>
        </w:tc>
        <w:tc>
          <w:tcPr>
            <w:tcW w:w="1606" w:type="dxa"/>
            <w:shd w:val="clear" w:color="auto" w:fill="F2F2F2" w:themeFill="background1" w:themeFillShade="F2"/>
          </w:tcPr>
          <w:p w:rsidR="00CF4DFF" w:rsidRPr="005A6EE7" w:rsidP="0037523C" w14:paraId="750E9460" w14:textId="77777777">
            <w:pPr>
              <w:spacing w:line="276" w:lineRule="auto"/>
              <w:rPr>
                <w:b/>
                <w:bCs/>
                <w:sz w:val="22"/>
              </w:rPr>
            </w:pPr>
            <w:r w:rsidRPr="005A6EE7">
              <w:rPr>
                <w:b/>
                <w:bCs/>
                <w:sz w:val="22"/>
              </w:rPr>
              <w:t>Average Burden per Response (in hours)</w:t>
            </w:r>
          </w:p>
        </w:tc>
        <w:tc>
          <w:tcPr>
            <w:tcW w:w="1338" w:type="dxa"/>
            <w:shd w:val="clear" w:color="auto" w:fill="F2F2F2" w:themeFill="background1" w:themeFillShade="F2"/>
          </w:tcPr>
          <w:p w:rsidR="00CF4DFF" w:rsidRPr="005A6EE7" w:rsidP="0037523C" w14:paraId="4B5F1133" w14:textId="77777777">
            <w:pPr>
              <w:spacing w:line="276" w:lineRule="auto"/>
              <w:rPr>
                <w:b/>
                <w:bCs/>
                <w:sz w:val="22"/>
              </w:rPr>
            </w:pPr>
            <w:r w:rsidRPr="005A6EE7">
              <w:rPr>
                <w:b/>
                <w:bCs/>
                <w:sz w:val="22"/>
              </w:rPr>
              <w:t>Total Burden Hours</w:t>
            </w:r>
          </w:p>
        </w:tc>
      </w:tr>
      <w:tr w14:paraId="20E8C809" w14:textId="77777777" w:rsidTr="00100BA2">
        <w:tblPrEx>
          <w:tblW w:w="9630" w:type="dxa"/>
          <w:tblInd w:w="-95" w:type="dxa"/>
          <w:tblLook w:val="04A0"/>
        </w:tblPrEx>
        <w:tc>
          <w:tcPr>
            <w:tcW w:w="1527" w:type="dxa"/>
          </w:tcPr>
          <w:p w:rsidR="00CF4DFF" w:rsidRPr="00277A60" w:rsidP="0037523C" w14:paraId="07021761" w14:textId="6C1A3FFD">
            <w:pPr>
              <w:spacing w:line="276" w:lineRule="auto"/>
              <w:rPr>
                <w:sz w:val="22"/>
              </w:rPr>
            </w:pPr>
            <w:r w:rsidRPr="00277A60">
              <w:rPr>
                <w:sz w:val="22"/>
              </w:rPr>
              <w:t>Consumers</w:t>
            </w:r>
            <w:r w:rsidR="00731578">
              <w:rPr>
                <w:sz w:val="22"/>
              </w:rPr>
              <w:t xml:space="preserve"> </w:t>
            </w:r>
          </w:p>
        </w:tc>
        <w:tc>
          <w:tcPr>
            <w:tcW w:w="1983" w:type="dxa"/>
          </w:tcPr>
          <w:p w:rsidR="005A0D0B" w:rsidRPr="00277A60" w:rsidP="0037523C" w14:paraId="44430969" w14:textId="1A27FA25">
            <w:pPr>
              <w:spacing w:line="276" w:lineRule="auto"/>
              <w:rPr>
                <w:sz w:val="22"/>
              </w:rPr>
            </w:pPr>
            <w:r>
              <w:rPr>
                <w:i/>
                <w:iCs/>
                <w:sz w:val="22"/>
              </w:rPr>
              <w:t>GAOS</w:t>
            </w:r>
            <w:r w:rsidRPr="00277A60" w:rsidR="00CF4DFF">
              <w:rPr>
                <w:i/>
                <w:iCs/>
                <w:sz w:val="22"/>
              </w:rPr>
              <w:t xml:space="preserve"> </w:t>
            </w:r>
            <w:r w:rsidRPr="00277A60" w:rsidR="00CF4DFF">
              <w:rPr>
                <w:sz w:val="22"/>
              </w:rPr>
              <w:t xml:space="preserve">Consumer </w:t>
            </w:r>
          </w:p>
          <w:p w:rsidR="00CF4DFF" w:rsidRPr="00277A60" w:rsidP="0037523C" w14:paraId="76478DAC" w14:textId="00023855">
            <w:pPr>
              <w:spacing w:line="276" w:lineRule="auto"/>
              <w:rPr>
                <w:sz w:val="22"/>
              </w:rPr>
            </w:pPr>
            <w:r w:rsidRPr="00277A60">
              <w:rPr>
                <w:sz w:val="22"/>
              </w:rPr>
              <w:t>P</w:t>
            </w:r>
            <w:r w:rsidRPr="00277A60" w:rsidR="000C4935">
              <w:rPr>
                <w:sz w:val="22"/>
              </w:rPr>
              <w:t>re</w:t>
            </w:r>
            <w:r w:rsidR="00DA711A">
              <w:rPr>
                <w:sz w:val="22"/>
              </w:rPr>
              <w:t>-</w:t>
            </w:r>
            <w:r w:rsidRPr="00277A60">
              <w:rPr>
                <w:sz w:val="22"/>
              </w:rPr>
              <w:t xml:space="preserve">Campaign </w:t>
            </w:r>
            <w:r w:rsidRPr="00277A60">
              <w:rPr>
                <w:sz w:val="22"/>
              </w:rPr>
              <w:t>web survey</w:t>
            </w:r>
            <w:r w:rsidRPr="00277A60">
              <w:rPr>
                <w:sz w:val="22"/>
              </w:rPr>
              <w:t xml:space="preserve"> </w:t>
            </w:r>
            <w:r w:rsidR="00E368AE">
              <w:rPr>
                <w:sz w:val="22"/>
              </w:rPr>
              <w:t>1890</w:t>
            </w:r>
          </w:p>
        </w:tc>
        <w:tc>
          <w:tcPr>
            <w:tcW w:w="1651" w:type="dxa"/>
          </w:tcPr>
          <w:p w:rsidR="00CF4DFF" w:rsidRPr="00277A60" w:rsidP="0037523C" w14:paraId="3212EA7C" w14:textId="6D7479D1">
            <w:pPr>
              <w:spacing w:line="276" w:lineRule="auto"/>
              <w:rPr>
                <w:sz w:val="22"/>
              </w:rPr>
            </w:pPr>
            <w:r>
              <w:rPr>
                <w:sz w:val="22"/>
              </w:rPr>
              <w:t>945</w:t>
            </w:r>
          </w:p>
        </w:tc>
        <w:tc>
          <w:tcPr>
            <w:tcW w:w="1525" w:type="dxa"/>
          </w:tcPr>
          <w:p w:rsidR="00CF4DFF" w:rsidRPr="00277A60" w:rsidP="0037523C" w14:paraId="1ABA5936" w14:textId="77777777">
            <w:pPr>
              <w:spacing w:line="276" w:lineRule="auto"/>
              <w:rPr>
                <w:sz w:val="22"/>
              </w:rPr>
            </w:pPr>
            <w:r w:rsidRPr="00277A60">
              <w:rPr>
                <w:sz w:val="22"/>
              </w:rPr>
              <w:t>1</w:t>
            </w:r>
          </w:p>
        </w:tc>
        <w:tc>
          <w:tcPr>
            <w:tcW w:w="1606" w:type="dxa"/>
          </w:tcPr>
          <w:p w:rsidR="00CF4DFF" w:rsidRPr="00277A60" w:rsidP="0037523C" w14:paraId="79FD2F00" w14:textId="77777777">
            <w:pPr>
              <w:spacing w:line="276" w:lineRule="auto"/>
              <w:rPr>
                <w:sz w:val="22"/>
              </w:rPr>
            </w:pPr>
            <w:r w:rsidRPr="00277A60">
              <w:rPr>
                <w:sz w:val="22"/>
              </w:rPr>
              <w:t xml:space="preserve">20/60 </w:t>
            </w:r>
          </w:p>
        </w:tc>
        <w:tc>
          <w:tcPr>
            <w:tcW w:w="1338" w:type="dxa"/>
          </w:tcPr>
          <w:p w:rsidR="00CF4DFF" w:rsidRPr="00277A60" w:rsidP="0037523C" w14:paraId="010110A9" w14:textId="4F298331">
            <w:pPr>
              <w:spacing w:line="276" w:lineRule="auto"/>
              <w:rPr>
                <w:sz w:val="22"/>
              </w:rPr>
            </w:pPr>
            <w:r>
              <w:rPr>
                <w:sz w:val="22"/>
              </w:rPr>
              <w:t>315</w:t>
            </w:r>
          </w:p>
        </w:tc>
      </w:tr>
      <w:tr w14:paraId="4E8139FE" w14:textId="77777777" w:rsidTr="00100BA2">
        <w:tblPrEx>
          <w:tblW w:w="9630" w:type="dxa"/>
          <w:tblInd w:w="-95" w:type="dxa"/>
          <w:tblLook w:val="04A0"/>
        </w:tblPrEx>
        <w:tc>
          <w:tcPr>
            <w:tcW w:w="1527" w:type="dxa"/>
          </w:tcPr>
          <w:p w:rsidR="00A20542" w:rsidRPr="00277A60" w:rsidP="0037523C" w14:paraId="5755FF1E" w14:textId="23181624">
            <w:pPr>
              <w:rPr>
                <w:sz w:val="22"/>
              </w:rPr>
            </w:pPr>
            <w:r>
              <w:rPr>
                <w:sz w:val="22"/>
              </w:rPr>
              <w:t>Consumers</w:t>
            </w:r>
          </w:p>
        </w:tc>
        <w:tc>
          <w:tcPr>
            <w:tcW w:w="1983" w:type="dxa"/>
          </w:tcPr>
          <w:p w:rsidR="00A20542" w:rsidRPr="00277A60" w:rsidP="00A20542" w14:paraId="08956DFE" w14:textId="77777777">
            <w:pPr>
              <w:spacing w:line="276" w:lineRule="auto"/>
              <w:rPr>
                <w:sz w:val="22"/>
              </w:rPr>
            </w:pPr>
            <w:r>
              <w:rPr>
                <w:i/>
                <w:iCs/>
                <w:sz w:val="22"/>
              </w:rPr>
              <w:t>GAOS</w:t>
            </w:r>
            <w:r w:rsidRPr="00277A60">
              <w:rPr>
                <w:i/>
                <w:iCs/>
                <w:sz w:val="22"/>
              </w:rPr>
              <w:t xml:space="preserve"> </w:t>
            </w:r>
            <w:r w:rsidRPr="00277A60">
              <w:rPr>
                <w:sz w:val="22"/>
              </w:rPr>
              <w:t xml:space="preserve">Consumer </w:t>
            </w:r>
          </w:p>
          <w:p w:rsidR="00A20542" w:rsidP="00A20542" w14:paraId="19290D59" w14:textId="3B774D32">
            <w:pPr>
              <w:rPr>
                <w:i/>
                <w:iCs/>
                <w:sz w:val="22"/>
              </w:rPr>
            </w:pPr>
            <w:r>
              <w:rPr>
                <w:sz w:val="22"/>
              </w:rPr>
              <w:t>Post-</w:t>
            </w:r>
            <w:r w:rsidRPr="00277A60">
              <w:rPr>
                <w:sz w:val="22"/>
              </w:rPr>
              <w:t>Campaign web survey</w:t>
            </w:r>
          </w:p>
        </w:tc>
        <w:tc>
          <w:tcPr>
            <w:tcW w:w="1651" w:type="dxa"/>
          </w:tcPr>
          <w:p w:rsidR="00A20542" w:rsidP="0037523C" w14:paraId="56F1D4F0" w14:textId="2A458F06">
            <w:pPr>
              <w:rPr>
                <w:sz w:val="22"/>
              </w:rPr>
            </w:pPr>
            <w:r>
              <w:rPr>
                <w:sz w:val="22"/>
              </w:rPr>
              <w:t>945</w:t>
            </w:r>
          </w:p>
        </w:tc>
        <w:tc>
          <w:tcPr>
            <w:tcW w:w="1525" w:type="dxa"/>
          </w:tcPr>
          <w:p w:rsidR="00A20542" w:rsidRPr="00277A60" w:rsidP="0037523C" w14:paraId="1682F194" w14:textId="62004398">
            <w:pPr>
              <w:rPr>
                <w:sz w:val="22"/>
              </w:rPr>
            </w:pPr>
            <w:r>
              <w:rPr>
                <w:sz w:val="22"/>
              </w:rPr>
              <w:t>1</w:t>
            </w:r>
          </w:p>
        </w:tc>
        <w:tc>
          <w:tcPr>
            <w:tcW w:w="1606" w:type="dxa"/>
          </w:tcPr>
          <w:p w:rsidR="00A20542" w:rsidRPr="00277A60" w:rsidP="0037523C" w14:paraId="387A6DF1" w14:textId="522D2694">
            <w:pPr>
              <w:rPr>
                <w:sz w:val="22"/>
              </w:rPr>
            </w:pPr>
            <w:r w:rsidRPr="00277A60">
              <w:rPr>
                <w:sz w:val="22"/>
              </w:rPr>
              <w:t>20/60</w:t>
            </w:r>
          </w:p>
        </w:tc>
        <w:tc>
          <w:tcPr>
            <w:tcW w:w="1338" w:type="dxa"/>
          </w:tcPr>
          <w:p w:rsidR="00A20542" w:rsidP="0037523C" w14:paraId="4BD892B6" w14:textId="50884EAA">
            <w:pPr>
              <w:rPr>
                <w:sz w:val="22"/>
              </w:rPr>
            </w:pPr>
            <w:r>
              <w:rPr>
                <w:sz w:val="22"/>
              </w:rPr>
              <w:t>315</w:t>
            </w:r>
          </w:p>
        </w:tc>
      </w:tr>
      <w:tr w14:paraId="283E1BDE" w14:textId="77777777" w:rsidTr="00100BA2">
        <w:tblPrEx>
          <w:tblW w:w="9630" w:type="dxa"/>
          <w:tblInd w:w="-95" w:type="dxa"/>
          <w:tblLook w:val="04A0"/>
        </w:tblPrEx>
        <w:tc>
          <w:tcPr>
            <w:tcW w:w="1527" w:type="dxa"/>
          </w:tcPr>
          <w:p w:rsidR="00CF4DFF" w:rsidRPr="00277A60" w:rsidP="0037523C" w14:paraId="42B4F618" w14:textId="4615B403">
            <w:pPr>
              <w:spacing w:line="276" w:lineRule="auto"/>
              <w:rPr>
                <w:sz w:val="22"/>
              </w:rPr>
            </w:pPr>
            <w:r w:rsidRPr="00277A60">
              <w:rPr>
                <w:sz w:val="22"/>
              </w:rPr>
              <w:t>HCPs</w:t>
            </w:r>
            <w:r w:rsidR="00731578">
              <w:rPr>
                <w:sz w:val="22"/>
              </w:rPr>
              <w:t xml:space="preserve"> </w:t>
            </w:r>
          </w:p>
        </w:tc>
        <w:tc>
          <w:tcPr>
            <w:tcW w:w="1983" w:type="dxa"/>
          </w:tcPr>
          <w:p w:rsidR="009C09E7" w:rsidRPr="00277A60" w:rsidP="0037523C" w14:paraId="3B57E6A2" w14:textId="3CFEEABF">
            <w:pPr>
              <w:spacing w:line="276" w:lineRule="auto"/>
              <w:rPr>
                <w:rFonts w:eastAsia="Arial Nova"/>
                <w:sz w:val="22"/>
              </w:rPr>
            </w:pPr>
            <w:r>
              <w:rPr>
                <w:rFonts w:eastAsia="Arial Nova"/>
                <w:i/>
                <w:iCs/>
                <w:sz w:val="22"/>
              </w:rPr>
              <w:t>GAOS</w:t>
            </w:r>
            <w:r w:rsidRPr="00277A60" w:rsidR="00CF4DFF">
              <w:rPr>
                <w:rFonts w:eastAsia="Arial Nova"/>
                <w:sz w:val="22"/>
              </w:rPr>
              <w:t xml:space="preserve"> HCP</w:t>
            </w:r>
          </w:p>
          <w:p w:rsidR="00CF4DFF" w:rsidRPr="00277A60" w:rsidP="0037523C" w14:paraId="3351D295" w14:textId="3078E056">
            <w:pPr>
              <w:spacing w:line="276" w:lineRule="auto"/>
              <w:rPr>
                <w:i/>
                <w:iCs/>
                <w:sz w:val="22"/>
              </w:rPr>
            </w:pPr>
            <w:r w:rsidRPr="00277A60">
              <w:rPr>
                <w:rFonts w:eastAsia="Arial Nova"/>
                <w:sz w:val="22"/>
              </w:rPr>
              <w:t>P</w:t>
            </w:r>
            <w:r w:rsidRPr="00277A60" w:rsidR="000C4935">
              <w:rPr>
                <w:rFonts w:eastAsia="Arial Nova"/>
                <w:sz w:val="22"/>
              </w:rPr>
              <w:t>re-</w:t>
            </w:r>
            <w:r w:rsidRPr="00277A60">
              <w:rPr>
                <w:rFonts w:eastAsia="Arial Nova"/>
                <w:sz w:val="22"/>
              </w:rPr>
              <w:t xml:space="preserve">Campaign </w:t>
            </w:r>
            <w:r w:rsidRPr="00277A60" w:rsidR="005A0D0B">
              <w:rPr>
                <w:sz w:val="22"/>
              </w:rPr>
              <w:t>web survey</w:t>
            </w:r>
            <w:r w:rsidRPr="00277A60">
              <w:rPr>
                <w:rFonts w:eastAsia="Arial Nova"/>
                <w:sz w:val="22"/>
              </w:rPr>
              <w:t xml:space="preserve"> </w:t>
            </w:r>
          </w:p>
        </w:tc>
        <w:tc>
          <w:tcPr>
            <w:tcW w:w="1651" w:type="dxa"/>
          </w:tcPr>
          <w:p w:rsidR="00CF4DFF" w:rsidRPr="00277A60" w:rsidP="0037523C" w14:paraId="65086C21" w14:textId="1421AB35">
            <w:pPr>
              <w:spacing w:line="276" w:lineRule="auto"/>
              <w:rPr>
                <w:sz w:val="22"/>
              </w:rPr>
            </w:pPr>
            <w:r>
              <w:rPr>
                <w:sz w:val="22"/>
              </w:rPr>
              <w:t>1103</w:t>
            </w:r>
          </w:p>
        </w:tc>
        <w:tc>
          <w:tcPr>
            <w:tcW w:w="1525" w:type="dxa"/>
          </w:tcPr>
          <w:p w:rsidR="00CF4DFF" w:rsidRPr="00277A60" w:rsidP="0037523C" w14:paraId="0F290B34" w14:textId="77777777">
            <w:pPr>
              <w:spacing w:line="276" w:lineRule="auto"/>
              <w:rPr>
                <w:sz w:val="22"/>
              </w:rPr>
            </w:pPr>
            <w:r w:rsidRPr="00277A60">
              <w:rPr>
                <w:sz w:val="22"/>
              </w:rPr>
              <w:t>1</w:t>
            </w:r>
          </w:p>
        </w:tc>
        <w:tc>
          <w:tcPr>
            <w:tcW w:w="1606" w:type="dxa"/>
          </w:tcPr>
          <w:p w:rsidR="00CF4DFF" w:rsidRPr="00277A60" w:rsidP="0037523C" w14:paraId="349F7BDE" w14:textId="77777777">
            <w:pPr>
              <w:spacing w:line="276" w:lineRule="auto"/>
              <w:rPr>
                <w:sz w:val="22"/>
              </w:rPr>
            </w:pPr>
            <w:r w:rsidRPr="00277A60">
              <w:rPr>
                <w:sz w:val="22"/>
              </w:rPr>
              <w:t>20/60</w:t>
            </w:r>
          </w:p>
        </w:tc>
        <w:tc>
          <w:tcPr>
            <w:tcW w:w="1338" w:type="dxa"/>
          </w:tcPr>
          <w:p w:rsidR="00CF4DFF" w:rsidRPr="00277A60" w:rsidP="0037523C" w14:paraId="655FD368" w14:textId="07E84CD4">
            <w:pPr>
              <w:spacing w:line="276" w:lineRule="auto"/>
              <w:rPr>
                <w:sz w:val="22"/>
              </w:rPr>
            </w:pPr>
            <w:r>
              <w:rPr>
                <w:sz w:val="22"/>
              </w:rPr>
              <w:t>368</w:t>
            </w:r>
          </w:p>
        </w:tc>
      </w:tr>
      <w:tr w14:paraId="19282D99" w14:textId="77777777" w:rsidTr="00100BA2">
        <w:tblPrEx>
          <w:tblW w:w="9630" w:type="dxa"/>
          <w:tblInd w:w="-95" w:type="dxa"/>
          <w:tblLook w:val="04A0"/>
        </w:tblPrEx>
        <w:tc>
          <w:tcPr>
            <w:tcW w:w="1527" w:type="dxa"/>
          </w:tcPr>
          <w:p w:rsidR="00A20542" w:rsidRPr="00277A60" w:rsidP="0037523C" w14:paraId="1D15C70D" w14:textId="7D9142D2">
            <w:pPr>
              <w:rPr>
                <w:sz w:val="22"/>
              </w:rPr>
            </w:pPr>
            <w:r>
              <w:rPr>
                <w:sz w:val="22"/>
              </w:rPr>
              <w:t>HCPs</w:t>
            </w:r>
          </w:p>
        </w:tc>
        <w:tc>
          <w:tcPr>
            <w:tcW w:w="1983" w:type="dxa"/>
          </w:tcPr>
          <w:p w:rsidR="00A20542" w:rsidRPr="00277A60" w:rsidP="00A20542" w14:paraId="2D4080E5" w14:textId="77777777">
            <w:pPr>
              <w:spacing w:line="276" w:lineRule="auto"/>
              <w:rPr>
                <w:rFonts w:eastAsia="Arial Nova"/>
                <w:sz w:val="22"/>
              </w:rPr>
            </w:pPr>
            <w:r>
              <w:rPr>
                <w:rFonts w:eastAsia="Arial Nova"/>
                <w:i/>
                <w:iCs/>
                <w:sz w:val="22"/>
              </w:rPr>
              <w:t>GAOS</w:t>
            </w:r>
            <w:r w:rsidRPr="00277A60">
              <w:rPr>
                <w:rFonts w:eastAsia="Arial Nova"/>
                <w:sz w:val="22"/>
              </w:rPr>
              <w:t xml:space="preserve"> HCP</w:t>
            </w:r>
          </w:p>
          <w:p w:rsidR="00A20542" w:rsidP="00A20542" w14:paraId="6781F83D" w14:textId="72B6EC5C">
            <w:pPr>
              <w:rPr>
                <w:rFonts w:eastAsia="Arial Nova"/>
                <w:i/>
                <w:iCs/>
                <w:sz w:val="22"/>
              </w:rPr>
            </w:pPr>
            <w:r>
              <w:rPr>
                <w:rFonts w:eastAsia="Arial Nova"/>
                <w:sz w:val="22"/>
              </w:rPr>
              <w:t>Post-</w:t>
            </w:r>
            <w:r w:rsidRPr="00277A60">
              <w:rPr>
                <w:rFonts w:eastAsia="Arial Nova"/>
                <w:sz w:val="22"/>
              </w:rPr>
              <w:t xml:space="preserve">Campaign </w:t>
            </w:r>
            <w:r w:rsidRPr="00277A60">
              <w:rPr>
                <w:sz w:val="22"/>
              </w:rPr>
              <w:t>web survey</w:t>
            </w:r>
          </w:p>
        </w:tc>
        <w:tc>
          <w:tcPr>
            <w:tcW w:w="1651" w:type="dxa"/>
          </w:tcPr>
          <w:p w:rsidR="00A20542" w:rsidP="0037523C" w14:paraId="001D370C" w14:textId="6D136022">
            <w:pPr>
              <w:rPr>
                <w:sz w:val="22"/>
              </w:rPr>
            </w:pPr>
            <w:r>
              <w:rPr>
                <w:sz w:val="22"/>
              </w:rPr>
              <w:t>1103</w:t>
            </w:r>
          </w:p>
        </w:tc>
        <w:tc>
          <w:tcPr>
            <w:tcW w:w="1525" w:type="dxa"/>
          </w:tcPr>
          <w:p w:rsidR="00A20542" w:rsidRPr="00277A60" w:rsidP="0037523C" w14:paraId="7BD576A3" w14:textId="3F2E0F96">
            <w:pPr>
              <w:rPr>
                <w:sz w:val="22"/>
              </w:rPr>
            </w:pPr>
            <w:r>
              <w:rPr>
                <w:sz w:val="22"/>
              </w:rPr>
              <w:t>1</w:t>
            </w:r>
          </w:p>
        </w:tc>
        <w:tc>
          <w:tcPr>
            <w:tcW w:w="1606" w:type="dxa"/>
          </w:tcPr>
          <w:p w:rsidR="00A20542" w:rsidRPr="00277A60" w:rsidP="0037523C" w14:paraId="47353CA8" w14:textId="292DED95">
            <w:pPr>
              <w:rPr>
                <w:sz w:val="22"/>
              </w:rPr>
            </w:pPr>
            <w:r w:rsidRPr="00277A60">
              <w:rPr>
                <w:sz w:val="22"/>
              </w:rPr>
              <w:t>20/60</w:t>
            </w:r>
          </w:p>
        </w:tc>
        <w:tc>
          <w:tcPr>
            <w:tcW w:w="1338" w:type="dxa"/>
          </w:tcPr>
          <w:p w:rsidR="00A20542" w:rsidP="0037523C" w14:paraId="6064E168" w14:textId="0D609F9B">
            <w:pPr>
              <w:rPr>
                <w:sz w:val="22"/>
              </w:rPr>
            </w:pPr>
            <w:r>
              <w:rPr>
                <w:sz w:val="22"/>
              </w:rPr>
              <w:t>368</w:t>
            </w:r>
          </w:p>
        </w:tc>
      </w:tr>
      <w:tr w14:paraId="67311331" w14:textId="77777777" w:rsidTr="00100BA2">
        <w:tblPrEx>
          <w:tblW w:w="9630" w:type="dxa"/>
          <w:tblInd w:w="-95" w:type="dxa"/>
          <w:tblLook w:val="04A0"/>
        </w:tblPrEx>
        <w:tc>
          <w:tcPr>
            <w:tcW w:w="1527" w:type="dxa"/>
          </w:tcPr>
          <w:p w:rsidR="00F55792" w:rsidRPr="00277A60" w:rsidP="0037523C" w14:paraId="2A1575A9" w14:textId="5F203D12">
            <w:pPr>
              <w:rPr>
                <w:b/>
                <w:bCs/>
                <w:sz w:val="22"/>
              </w:rPr>
            </w:pPr>
            <w:r w:rsidRPr="00277A60">
              <w:rPr>
                <w:b/>
                <w:bCs/>
                <w:sz w:val="22"/>
              </w:rPr>
              <w:t>Total</w:t>
            </w:r>
          </w:p>
        </w:tc>
        <w:tc>
          <w:tcPr>
            <w:tcW w:w="6765" w:type="dxa"/>
            <w:gridSpan w:val="4"/>
          </w:tcPr>
          <w:p w:rsidR="00F55792" w:rsidRPr="00277A60" w:rsidP="0037523C" w14:paraId="492AB1B4" w14:textId="0A8B8D94">
            <w:pPr>
              <w:rPr>
                <w:sz w:val="22"/>
              </w:rPr>
            </w:pPr>
          </w:p>
        </w:tc>
        <w:tc>
          <w:tcPr>
            <w:tcW w:w="1338" w:type="dxa"/>
          </w:tcPr>
          <w:p w:rsidR="00F55792" w:rsidRPr="00277A60" w:rsidP="0037523C" w14:paraId="05F01A64" w14:textId="297966D7">
            <w:pPr>
              <w:rPr>
                <w:b/>
                <w:bCs/>
                <w:sz w:val="22"/>
              </w:rPr>
            </w:pPr>
            <w:r w:rsidRPr="00277A60">
              <w:rPr>
                <w:b/>
                <w:bCs/>
                <w:sz w:val="22"/>
              </w:rPr>
              <w:t xml:space="preserve"> </w:t>
            </w:r>
            <w:r w:rsidR="0060720A">
              <w:rPr>
                <w:b/>
                <w:bCs/>
                <w:sz w:val="22"/>
              </w:rPr>
              <w:t>1366</w:t>
            </w:r>
          </w:p>
        </w:tc>
      </w:tr>
    </w:tbl>
    <w:p w:rsidR="001F1F82" w:rsidP="009B0947" w14:paraId="704DCEBD" w14:textId="77777777"/>
    <w:p w:rsidR="00C553B7" w:rsidRPr="00665B2B" w:rsidP="004A13E8" w14:paraId="505C920E" w14:textId="20E63586">
      <w:pPr>
        <w:spacing w:before="240"/>
        <w:rPr>
          <w:b/>
          <w:bCs/>
        </w:rPr>
      </w:pPr>
      <w:r w:rsidRPr="00665B2B">
        <w:rPr>
          <w:b/>
          <w:bCs/>
        </w:rPr>
        <w:t>B.</w:t>
      </w:r>
      <w:r w:rsidRPr="00665B2B">
        <w:rPr>
          <w:b/>
          <w:bCs/>
        </w:rPr>
        <w:t xml:space="preserve"> Estimated Annualized Burden Costs</w:t>
      </w:r>
      <w:r w:rsidRPr="00665B2B" w:rsidR="009B0947">
        <w:rPr>
          <w:b/>
          <w:bCs/>
        </w:rPr>
        <w:t xml:space="preserve"> </w:t>
      </w:r>
    </w:p>
    <w:p w:rsidR="00785633" w:rsidRPr="00F04F42" w:rsidP="00905CD5" w14:paraId="1418D6E6" w14:textId="384AF571">
      <w:pPr>
        <w:rPr>
          <w:rFonts w:eastAsiaTheme="minorEastAsia"/>
          <w:szCs w:val="24"/>
        </w:rPr>
      </w:pPr>
      <w:r w:rsidRPr="00F04F42">
        <w:rPr>
          <w:rFonts w:eastAsiaTheme="minorEastAsia"/>
          <w:szCs w:val="24"/>
        </w:rPr>
        <w:t xml:space="preserve">The annualized </w:t>
      </w:r>
      <w:r w:rsidRPr="00F04F42" w:rsidR="00705CF8">
        <w:rPr>
          <w:rFonts w:eastAsiaTheme="minorEastAsia"/>
          <w:szCs w:val="24"/>
        </w:rPr>
        <w:t xml:space="preserve">costs </w:t>
      </w:r>
      <w:r w:rsidRPr="00F04F42" w:rsidR="008B710A">
        <w:rPr>
          <w:rFonts w:eastAsiaTheme="minorEastAsia"/>
          <w:szCs w:val="24"/>
        </w:rPr>
        <w:t xml:space="preserve">for respondents </w:t>
      </w:r>
      <w:r w:rsidRPr="00F04F42" w:rsidR="005E5955">
        <w:rPr>
          <w:rFonts w:eastAsiaTheme="minorEastAsia"/>
          <w:szCs w:val="24"/>
        </w:rPr>
        <w:t>are</w:t>
      </w:r>
      <w:r w:rsidRPr="00F04F42" w:rsidR="008B710A">
        <w:rPr>
          <w:rFonts w:eastAsiaTheme="minorEastAsia"/>
          <w:szCs w:val="24"/>
        </w:rPr>
        <w:t xml:space="preserve"> </w:t>
      </w:r>
      <w:r w:rsidRPr="00F04F42">
        <w:rPr>
          <w:rFonts w:eastAsiaTheme="minorEastAsia"/>
          <w:szCs w:val="24"/>
        </w:rPr>
        <w:t>based on data from the U</w:t>
      </w:r>
      <w:r w:rsidRPr="00F04F42" w:rsidR="00690EDB">
        <w:rPr>
          <w:rFonts w:eastAsiaTheme="minorEastAsia"/>
          <w:szCs w:val="24"/>
        </w:rPr>
        <w:t xml:space="preserve">.S. </w:t>
      </w:r>
      <w:r w:rsidRPr="00F04F42">
        <w:rPr>
          <w:rFonts w:eastAsiaTheme="minorEastAsia"/>
          <w:szCs w:val="24"/>
        </w:rPr>
        <w:t>Department of Labor</w:t>
      </w:r>
      <w:r w:rsidR="001F54C8">
        <w:rPr>
          <w:rFonts w:eastAsiaTheme="minorEastAsia"/>
          <w:szCs w:val="24"/>
        </w:rPr>
        <w:t xml:space="preserve"> (DOL)</w:t>
      </w:r>
      <w:r w:rsidRPr="00F04F42">
        <w:rPr>
          <w:rFonts w:eastAsiaTheme="minorEastAsia"/>
          <w:szCs w:val="24"/>
        </w:rPr>
        <w:t>, Bureau of Labor Statistics (202</w:t>
      </w:r>
      <w:r w:rsidRPr="00F04F42" w:rsidR="008C0BCA">
        <w:rPr>
          <w:rFonts w:eastAsiaTheme="minorEastAsia"/>
          <w:szCs w:val="24"/>
        </w:rPr>
        <w:t>2</w:t>
      </w:r>
      <w:r w:rsidRPr="00F04F42">
        <w:rPr>
          <w:rFonts w:eastAsiaTheme="minorEastAsia"/>
          <w:szCs w:val="24"/>
        </w:rPr>
        <w:t>)</w:t>
      </w:r>
      <w:r w:rsidRPr="00F04F42" w:rsidR="00443AB3">
        <w:rPr>
          <w:rFonts w:eastAsiaTheme="minorEastAsia"/>
          <w:szCs w:val="24"/>
        </w:rPr>
        <w:t xml:space="preserve">. </w:t>
      </w:r>
      <w:r w:rsidRPr="00F04F42" w:rsidR="00F44DBE">
        <w:rPr>
          <w:rFonts w:eastAsiaTheme="minorEastAsia"/>
          <w:szCs w:val="24"/>
        </w:rPr>
        <w:t xml:space="preserve">To calculate annualized costs to consumers, we used the mean hourly wage </w:t>
      </w:r>
      <w:r w:rsidRPr="00F04F42" w:rsidR="00121218">
        <w:rPr>
          <w:rFonts w:eastAsiaTheme="minorEastAsia"/>
          <w:szCs w:val="24"/>
        </w:rPr>
        <w:t xml:space="preserve">rate </w:t>
      </w:r>
      <w:r w:rsidRPr="00F04F42" w:rsidR="007047D2">
        <w:rPr>
          <w:rFonts w:eastAsiaTheme="minorEastAsia"/>
          <w:szCs w:val="24"/>
        </w:rPr>
        <w:t xml:space="preserve">of $28.01 </w:t>
      </w:r>
      <w:r w:rsidR="00B65886">
        <w:rPr>
          <w:rFonts w:eastAsiaTheme="minorEastAsia"/>
          <w:szCs w:val="24"/>
        </w:rPr>
        <w:t>which represents</w:t>
      </w:r>
      <w:r w:rsidR="001F54C8">
        <w:rPr>
          <w:rFonts w:eastAsiaTheme="minorEastAsia"/>
          <w:szCs w:val="24"/>
        </w:rPr>
        <w:t xml:space="preserve"> the DOL</w:t>
      </w:r>
      <w:r w:rsidR="0083474D">
        <w:rPr>
          <w:rFonts w:eastAsiaTheme="minorEastAsia"/>
          <w:szCs w:val="24"/>
        </w:rPr>
        <w:t xml:space="preserve"> estimated mean for state, local, and private industry </w:t>
      </w:r>
      <w:r w:rsidRPr="00E61FEB" w:rsidR="0083474D">
        <w:rPr>
          <w:rFonts w:eastAsiaTheme="minorEastAsia"/>
          <w:szCs w:val="24"/>
        </w:rPr>
        <w:t>earnings</w:t>
      </w:r>
      <w:r w:rsidRPr="00E61FEB" w:rsidR="00427B47">
        <w:rPr>
          <w:rFonts w:eastAsiaTheme="minorEastAsia"/>
          <w:szCs w:val="24"/>
        </w:rPr>
        <w:t xml:space="preserve"> and assumes an average hourly wage rate for respondents who work an estimated 40-hour work week</w:t>
      </w:r>
      <w:r w:rsidRPr="00E61FEB" w:rsidR="00E61FEB">
        <w:rPr>
          <w:rFonts w:eastAsiaTheme="minorEastAsia"/>
          <w:szCs w:val="24"/>
        </w:rPr>
        <w:t>.</w:t>
      </w:r>
      <w:r w:rsidR="00E61FEB">
        <w:rPr>
          <w:rFonts w:eastAsiaTheme="minorEastAsia"/>
          <w:sz w:val="22"/>
        </w:rPr>
        <w:t xml:space="preserve"> </w:t>
      </w:r>
      <w:r w:rsidR="00164D3A">
        <w:rPr>
          <w:rFonts w:eastAsiaTheme="minorEastAsia"/>
          <w:szCs w:val="24"/>
        </w:rPr>
        <w:t xml:space="preserve"> </w:t>
      </w:r>
      <w:r w:rsidRPr="00F04F42">
        <w:rPr>
          <w:szCs w:val="24"/>
        </w:rPr>
        <w:t>In calculating annualized costs to healthcare pro</w:t>
      </w:r>
      <w:r w:rsidR="004C5DA4">
        <w:rPr>
          <w:szCs w:val="24"/>
        </w:rPr>
        <w:t>fessionals</w:t>
      </w:r>
      <w:r w:rsidRPr="00F04F42">
        <w:rPr>
          <w:szCs w:val="24"/>
        </w:rPr>
        <w:t xml:space="preserve">, </w:t>
      </w:r>
      <w:r w:rsidRPr="00D33C85">
        <w:rPr>
          <w:szCs w:val="24"/>
        </w:rPr>
        <w:t>we used</w:t>
      </w:r>
      <w:r w:rsidRPr="00F04F42">
        <w:rPr>
          <w:szCs w:val="24"/>
        </w:rPr>
        <w:t xml:space="preserve"> $</w:t>
      </w:r>
      <w:r w:rsidR="008F324C">
        <w:rPr>
          <w:szCs w:val="24"/>
        </w:rPr>
        <w:t>4</w:t>
      </w:r>
      <w:r w:rsidR="006329BF">
        <w:rPr>
          <w:szCs w:val="24"/>
        </w:rPr>
        <w:t>3</w:t>
      </w:r>
      <w:r w:rsidR="00C87E72">
        <w:rPr>
          <w:szCs w:val="24"/>
        </w:rPr>
        <w:t>.80</w:t>
      </w:r>
      <w:r w:rsidRPr="00F04F42">
        <w:rPr>
          <w:szCs w:val="24"/>
        </w:rPr>
        <w:t xml:space="preserve"> per hour </w:t>
      </w:r>
      <w:r w:rsidR="00A53489">
        <w:rPr>
          <w:szCs w:val="24"/>
        </w:rPr>
        <w:t>which represents DOLs estimated mean</w:t>
      </w:r>
      <w:r w:rsidR="00E56E84">
        <w:rPr>
          <w:szCs w:val="24"/>
        </w:rPr>
        <w:t xml:space="preserve"> </w:t>
      </w:r>
      <w:r w:rsidRPr="00F04F42">
        <w:rPr>
          <w:szCs w:val="24"/>
        </w:rPr>
        <w:t xml:space="preserve">hourly wage for </w:t>
      </w:r>
      <w:r w:rsidR="00E56E84">
        <w:rPr>
          <w:szCs w:val="24"/>
        </w:rPr>
        <w:t>healthcare practitioners and technical occupations</w:t>
      </w:r>
      <w:r w:rsidR="00F1572A">
        <w:rPr>
          <w:szCs w:val="24"/>
        </w:rPr>
        <w:t xml:space="preserve"> (e.g.</w:t>
      </w:r>
      <w:r w:rsidR="00E63D4F">
        <w:rPr>
          <w:szCs w:val="24"/>
        </w:rPr>
        <w:t>,</w:t>
      </w:r>
      <w:r w:rsidR="00F1572A">
        <w:rPr>
          <w:szCs w:val="24"/>
        </w:rPr>
        <w:t xml:space="preserve"> </w:t>
      </w:r>
      <w:r w:rsidR="00B26340">
        <w:rPr>
          <w:szCs w:val="24"/>
        </w:rPr>
        <w:t xml:space="preserve">physicians, registered and licensed nurses, </w:t>
      </w:r>
      <w:r w:rsidR="008A0990">
        <w:rPr>
          <w:szCs w:val="24"/>
        </w:rPr>
        <w:t xml:space="preserve">advanced practice </w:t>
      </w:r>
      <w:r w:rsidR="00C455CC">
        <w:rPr>
          <w:szCs w:val="24"/>
        </w:rPr>
        <w:t>professionals</w:t>
      </w:r>
      <w:r w:rsidR="00B26340">
        <w:rPr>
          <w:szCs w:val="24"/>
        </w:rPr>
        <w:t xml:space="preserve">, </w:t>
      </w:r>
      <w:r w:rsidR="00F1572A">
        <w:rPr>
          <w:szCs w:val="24"/>
        </w:rPr>
        <w:t>EMS, medical technicians, etc.)</w:t>
      </w:r>
      <w:r w:rsidRPr="00F04F42">
        <w:rPr>
          <w:szCs w:val="24"/>
        </w:rPr>
        <w:t xml:space="preserve">. The estimated annual cost to </w:t>
      </w:r>
      <w:r w:rsidRPr="00F04F42" w:rsidR="00CC4CC4">
        <w:rPr>
          <w:szCs w:val="24"/>
        </w:rPr>
        <w:t xml:space="preserve">all </w:t>
      </w:r>
      <w:r w:rsidRPr="00F04F42">
        <w:rPr>
          <w:szCs w:val="24"/>
        </w:rPr>
        <w:t>participants will be $</w:t>
      </w:r>
      <w:r w:rsidR="00913AFA">
        <w:rPr>
          <w:szCs w:val="24"/>
        </w:rPr>
        <w:t>4</w:t>
      </w:r>
      <w:r w:rsidR="005D1B20">
        <w:rPr>
          <w:szCs w:val="24"/>
        </w:rPr>
        <w:t>9</w:t>
      </w:r>
      <w:r w:rsidR="00C455CC">
        <w:rPr>
          <w:szCs w:val="24"/>
        </w:rPr>
        <w:t>.</w:t>
      </w:r>
      <w:r w:rsidR="00913AFA">
        <w:rPr>
          <w:szCs w:val="24"/>
        </w:rPr>
        <w:t xml:space="preserve">882. </w:t>
      </w:r>
      <w:r w:rsidRPr="00F04F42" w:rsidR="00507E2E">
        <w:rPr>
          <w:szCs w:val="24"/>
        </w:rPr>
        <w:t xml:space="preserve"> </w:t>
      </w:r>
      <w:r w:rsidRPr="00F04F42">
        <w:rPr>
          <w:szCs w:val="24"/>
        </w:rPr>
        <w:t xml:space="preserve"> </w:t>
      </w:r>
    </w:p>
    <w:tbl>
      <w:tblPr>
        <w:tblStyle w:val="TableGrid"/>
        <w:tblW w:w="9895" w:type="dxa"/>
        <w:tblLook w:val="04A0"/>
      </w:tblPr>
      <w:tblGrid>
        <w:gridCol w:w="2015"/>
        <w:gridCol w:w="2015"/>
        <w:gridCol w:w="2015"/>
        <w:gridCol w:w="2015"/>
        <w:gridCol w:w="1835"/>
      </w:tblGrid>
      <w:tr w14:paraId="55FE17F2" w14:textId="77777777" w:rsidTr="00631B7C">
        <w:tblPrEx>
          <w:tblW w:w="9895" w:type="dxa"/>
          <w:tblLook w:val="04A0"/>
        </w:tblPrEx>
        <w:tc>
          <w:tcPr>
            <w:tcW w:w="2015" w:type="dxa"/>
            <w:shd w:val="clear" w:color="auto" w:fill="F2F2F2" w:themeFill="background1" w:themeFillShade="F2"/>
          </w:tcPr>
          <w:p w:rsidR="004A13E8" w:rsidRPr="00C0623F" w:rsidP="00612C0A" w14:paraId="55FE17ED" w14:textId="77777777">
            <w:pPr>
              <w:rPr>
                <w:sz w:val="22"/>
              </w:rPr>
            </w:pPr>
            <w:r w:rsidRPr="00C0623F">
              <w:rPr>
                <w:sz w:val="22"/>
              </w:rPr>
              <w:t>Type of Respondent</w:t>
            </w:r>
          </w:p>
        </w:tc>
        <w:tc>
          <w:tcPr>
            <w:tcW w:w="2015" w:type="dxa"/>
            <w:shd w:val="clear" w:color="auto" w:fill="F2F2F2" w:themeFill="background1" w:themeFillShade="F2"/>
          </w:tcPr>
          <w:p w:rsidR="004A13E8" w:rsidRPr="00C0623F" w:rsidP="00612C0A" w14:paraId="55FE17EE" w14:textId="77777777">
            <w:pPr>
              <w:rPr>
                <w:sz w:val="22"/>
              </w:rPr>
            </w:pPr>
            <w:r w:rsidRPr="00C0623F">
              <w:rPr>
                <w:sz w:val="22"/>
              </w:rPr>
              <w:t>Form Name</w:t>
            </w:r>
          </w:p>
        </w:tc>
        <w:tc>
          <w:tcPr>
            <w:tcW w:w="2015" w:type="dxa"/>
            <w:shd w:val="clear" w:color="auto" w:fill="F2F2F2" w:themeFill="background1" w:themeFillShade="F2"/>
          </w:tcPr>
          <w:p w:rsidR="004A13E8" w:rsidRPr="00C0623F" w:rsidP="00612C0A" w14:paraId="55FE17EF" w14:textId="77777777">
            <w:pPr>
              <w:rPr>
                <w:sz w:val="22"/>
              </w:rPr>
            </w:pPr>
            <w:r w:rsidRPr="00C0623F">
              <w:rPr>
                <w:sz w:val="22"/>
              </w:rPr>
              <w:t>Total Burden Hours</w:t>
            </w:r>
          </w:p>
        </w:tc>
        <w:tc>
          <w:tcPr>
            <w:tcW w:w="2015" w:type="dxa"/>
            <w:shd w:val="clear" w:color="auto" w:fill="F2F2F2" w:themeFill="background1" w:themeFillShade="F2"/>
          </w:tcPr>
          <w:p w:rsidR="004A13E8" w:rsidRPr="00C0623F" w:rsidP="00612C0A" w14:paraId="55FE17F0" w14:textId="77777777">
            <w:pPr>
              <w:rPr>
                <w:sz w:val="22"/>
              </w:rPr>
            </w:pPr>
            <w:r w:rsidRPr="00C0623F">
              <w:rPr>
                <w:sz w:val="22"/>
              </w:rPr>
              <w:t>Hourly Wage Rate</w:t>
            </w:r>
          </w:p>
        </w:tc>
        <w:tc>
          <w:tcPr>
            <w:tcW w:w="1835" w:type="dxa"/>
            <w:shd w:val="clear" w:color="auto" w:fill="F2F2F2" w:themeFill="background1" w:themeFillShade="F2"/>
          </w:tcPr>
          <w:p w:rsidR="004A13E8" w:rsidRPr="00C0623F" w:rsidP="00612C0A" w14:paraId="55FE17F1" w14:textId="77777777">
            <w:pPr>
              <w:rPr>
                <w:sz w:val="22"/>
              </w:rPr>
            </w:pPr>
            <w:r w:rsidRPr="00C0623F">
              <w:rPr>
                <w:sz w:val="22"/>
              </w:rPr>
              <w:t>Total Respondent Costs</w:t>
            </w:r>
          </w:p>
        </w:tc>
      </w:tr>
      <w:tr w14:paraId="59F02D9F" w14:textId="77777777" w:rsidTr="00631B7C">
        <w:tblPrEx>
          <w:tblW w:w="9895" w:type="dxa"/>
          <w:tblLook w:val="04A0"/>
        </w:tblPrEx>
        <w:tc>
          <w:tcPr>
            <w:tcW w:w="2015" w:type="dxa"/>
          </w:tcPr>
          <w:p w:rsidR="002967D2" w:rsidRPr="00C0623F" w:rsidP="002967D2" w14:paraId="665C8974" w14:textId="3D4DEF57">
            <w:pPr>
              <w:rPr>
                <w:sz w:val="22"/>
              </w:rPr>
            </w:pPr>
            <w:r w:rsidRPr="00C0623F">
              <w:rPr>
                <w:sz w:val="22"/>
              </w:rPr>
              <w:t>Consumers</w:t>
            </w:r>
          </w:p>
        </w:tc>
        <w:tc>
          <w:tcPr>
            <w:tcW w:w="2015" w:type="dxa"/>
          </w:tcPr>
          <w:p w:rsidR="002967D2" w:rsidRPr="00C0623F" w:rsidP="002967D2" w14:paraId="2A89A5DD" w14:textId="4B5250C8">
            <w:pPr>
              <w:spacing w:line="276" w:lineRule="auto"/>
              <w:rPr>
                <w:sz w:val="22"/>
              </w:rPr>
            </w:pPr>
            <w:r w:rsidRPr="00C0623F">
              <w:rPr>
                <w:i/>
                <w:iCs/>
                <w:sz w:val="22"/>
              </w:rPr>
              <w:t>GAOS</w:t>
            </w:r>
            <w:r w:rsidRPr="00C0623F">
              <w:rPr>
                <w:i/>
                <w:iCs/>
                <w:sz w:val="22"/>
              </w:rPr>
              <w:t xml:space="preserve"> </w:t>
            </w:r>
            <w:r w:rsidRPr="00C0623F">
              <w:rPr>
                <w:sz w:val="22"/>
              </w:rPr>
              <w:t xml:space="preserve">Consumer </w:t>
            </w:r>
          </w:p>
          <w:p w:rsidR="002967D2" w:rsidRPr="00C0623F" w:rsidP="002967D2" w14:paraId="07120CBF" w14:textId="6DC35EB3">
            <w:pPr>
              <w:rPr>
                <w:sz w:val="22"/>
              </w:rPr>
            </w:pPr>
            <w:r w:rsidRPr="00C0623F">
              <w:rPr>
                <w:sz w:val="22"/>
              </w:rPr>
              <w:t>Pre</w:t>
            </w:r>
            <w:r w:rsidRPr="00C0623F" w:rsidR="00663C77">
              <w:rPr>
                <w:sz w:val="22"/>
              </w:rPr>
              <w:t>-Campaign</w:t>
            </w:r>
            <w:r w:rsidRPr="00C0623F">
              <w:rPr>
                <w:sz w:val="22"/>
              </w:rPr>
              <w:t xml:space="preserve"> web survey </w:t>
            </w:r>
          </w:p>
        </w:tc>
        <w:tc>
          <w:tcPr>
            <w:tcW w:w="2015" w:type="dxa"/>
          </w:tcPr>
          <w:p w:rsidR="002967D2" w:rsidRPr="00C0623F" w:rsidP="002967D2" w14:paraId="5A7FBA8D" w14:textId="7C9897E0">
            <w:pPr>
              <w:rPr>
                <w:sz w:val="22"/>
              </w:rPr>
            </w:pPr>
            <w:r>
              <w:rPr>
                <w:sz w:val="22"/>
              </w:rPr>
              <w:t>315</w:t>
            </w:r>
          </w:p>
        </w:tc>
        <w:tc>
          <w:tcPr>
            <w:tcW w:w="2015" w:type="dxa"/>
          </w:tcPr>
          <w:p w:rsidR="002967D2" w:rsidRPr="00C0623F" w:rsidP="002967D2" w14:paraId="712491C8" w14:textId="2C62B479">
            <w:pPr>
              <w:rPr>
                <w:sz w:val="22"/>
              </w:rPr>
            </w:pPr>
            <w:r w:rsidRPr="00C0623F">
              <w:rPr>
                <w:sz w:val="22"/>
              </w:rPr>
              <w:t>$28.01</w:t>
            </w:r>
          </w:p>
        </w:tc>
        <w:tc>
          <w:tcPr>
            <w:tcW w:w="1835" w:type="dxa"/>
          </w:tcPr>
          <w:p w:rsidR="002967D2" w:rsidRPr="00C0623F" w:rsidP="002967D2" w14:paraId="22F98857" w14:textId="6E43B806">
            <w:pPr>
              <w:rPr>
                <w:sz w:val="22"/>
              </w:rPr>
            </w:pPr>
            <w:r w:rsidRPr="00C0623F">
              <w:rPr>
                <w:sz w:val="22"/>
              </w:rPr>
              <w:t>$</w:t>
            </w:r>
            <w:r w:rsidR="00CE19E6">
              <w:rPr>
                <w:sz w:val="22"/>
              </w:rPr>
              <w:t>8,823</w:t>
            </w:r>
          </w:p>
        </w:tc>
      </w:tr>
      <w:tr w14:paraId="575FB6BF" w14:textId="77777777" w:rsidTr="00631B7C">
        <w:tblPrEx>
          <w:tblW w:w="9895" w:type="dxa"/>
          <w:tblLook w:val="04A0"/>
        </w:tblPrEx>
        <w:tc>
          <w:tcPr>
            <w:tcW w:w="2015" w:type="dxa"/>
          </w:tcPr>
          <w:p w:rsidR="00631B7C" w:rsidRPr="00C0623F" w:rsidP="00631B7C" w14:paraId="79C5557C" w14:textId="4BE4FA84">
            <w:pPr>
              <w:rPr>
                <w:sz w:val="22"/>
              </w:rPr>
            </w:pPr>
            <w:r w:rsidRPr="00C0623F">
              <w:rPr>
                <w:sz w:val="22"/>
              </w:rPr>
              <w:t>Consumers</w:t>
            </w:r>
          </w:p>
        </w:tc>
        <w:tc>
          <w:tcPr>
            <w:tcW w:w="2015" w:type="dxa"/>
          </w:tcPr>
          <w:p w:rsidR="00631B7C" w:rsidRPr="00C0623F" w:rsidP="00631B7C" w14:paraId="7DA6AA59" w14:textId="77777777">
            <w:pPr>
              <w:spacing w:line="276" w:lineRule="auto"/>
              <w:rPr>
                <w:sz w:val="22"/>
              </w:rPr>
            </w:pPr>
            <w:r w:rsidRPr="00C0623F">
              <w:rPr>
                <w:i/>
                <w:iCs/>
                <w:sz w:val="22"/>
              </w:rPr>
              <w:t xml:space="preserve">GAOS </w:t>
            </w:r>
            <w:r w:rsidRPr="00C0623F">
              <w:rPr>
                <w:sz w:val="22"/>
              </w:rPr>
              <w:t xml:space="preserve">Consumer </w:t>
            </w:r>
          </w:p>
          <w:p w:rsidR="00631B7C" w:rsidRPr="00C0623F" w:rsidP="00631B7C" w14:paraId="226D7282" w14:textId="0E203B38">
            <w:pPr>
              <w:rPr>
                <w:i/>
                <w:iCs/>
                <w:sz w:val="22"/>
              </w:rPr>
            </w:pPr>
            <w:r w:rsidRPr="00C0623F">
              <w:rPr>
                <w:sz w:val="22"/>
              </w:rPr>
              <w:t>Post-Campaign web survey</w:t>
            </w:r>
          </w:p>
        </w:tc>
        <w:tc>
          <w:tcPr>
            <w:tcW w:w="2015" w:type="dxa"/>
          </w:tcPr>
          <w:p w:rsidR="00631B7C" w:rsidRPr="00C0623F" w:rsidP="00631B7C" w14:paraId="5BCEA464" w14:textId="290E446E">
            <w:pPr>
              <w:rPr>
                <w:sz w:val="22"/>
              </w:rPr>
            </w:pPr>
            <w:r>
              <w:rPr>
                <w:sz w:val="22"/>
              </w:rPr>
              <w:t>315</w:t>
            </w:r>
          </w:p>
        </w:tc>
        <w:tc>
          <w:tcPr>
            <w:tcW w:w="2015" w:type="dxa"/>
          </w:tcPr>
          <w:p w:rsidR="00631B7C" w:rsidRPr="00C0623F" w:rsidP="00631B7C" w14:paraId="21856EE4" w14:textId="1E89CDF5">
            <w:pPr>
              <w:rPr>
                <w:sz w:val="22"/>
              </w:rPr>
            </w:pPr>
            <w:r w:rsidRPr="00C0623F">
              <w:rPr>
                <w:sz w:val="22"/>
              </w:rPr>
              <w:t>$28.01</w:t>
            </w:r>
          </w:p>
        </w:tc>
        <w:tc>
          <w:tcPr>
            <w:tcW w:w="1835" w:type="dxa"/>
          </w:tcPr>
          <w:p w:rsidR="00631B7C" w:rsidRPr="00C0623F" w:rsidP="00631B7C" w14:paraId="16FBDD26" w14:textId="48B4E6A2">
            <w:pPr>
              <w:rPr>
                <w:sz w:val="22"/>
              </w:rPr>
            </w:pPr>
            <w:r>
              <w:rPr>
                <w:sz w:val="22"/>
              </w:rPr>
              <w:t>$</w:t>
            </w:r>
            <w:r w:rsidR="00406D59">
              <w:rPr>
                <w:sz w:val="22"/>
              </w:rPr>
              <w:t>8,823</w:t>
            </w:r>
          </w:p>
        </w:tc>
      </w:tr>
      <w:tr w14:paraId="138906CC" w14:textId="77777777" w:rsidTr="00631B7C">
        <w:tblPrEx>
          <w:tblW w:w="9895" w:type="dxa"/>
          <w:tblLook w:val="04A0"/>
        </w:tblPrEx>
        <w:tc>
          <w:tcPr>
            <w:tcW w:w="2015" w:type="dxa"/>
          </w:tcPr>
          <w:p w:rsidR="002967D2" w:rsidRPr="00C0623F" w:rsidP="002967D2" w14:paraId="46F5DADA" w14:textId="4567CE2A">
            <w:pPr>
              <w:rPr>
                <w:sz w:val="22"/>
              </w:rPr>
            </w:pPr>
            <w:r w:rsidRPr="00C0623F">
              <w:rPr>
                <w:sz w:val="22"/>
              </w:rPr>
              <w:t>HCPs</w:t>
            </w:r>
          </w:p>
        </w:tc>
        <w:tc>
          <w:tcPr>
            <w:tcW w:w="2015" w:type="dxa"/>
          </w:tcPr>
          <w:p w:rsidR="002967D2" w:rsidRPr="00C0623F" w:rsidP="002967D2" w14:paraId="24FC58EF" w14:textId="6C37C311">
            <w:pPr>
              <w:spacing w:line="276" w:lineRule="auto"/>
              <w:rPr>
                <w:rFonts w:eastAsia="Arial Nova"/>
                <w:sz w:val="22"/>
              </w:rPr>
            </w:pPr>
            <w:r w:rsidRPr="00C0623F">
              <w:rPr>
                <w:rFonts w:eastAsia="Arial Nova"/>
                <w:i/>
                <w:iCs/>
                <w:sz w:val="22"/>
              </w:rPr>
              <w:t>GAOS</w:t>
            </w:r>
            <w:r w:rsidRPr="00C0623F">
              <w:rPr>
                <w:rFonts w:eastAsia="Arial Nova"/>
                <w:sz w:val="22"/>
              </w:rPr>
              <w:t xml:space="preserve"> HCP</w:t>
            </w:r>
          </w:p>
          <w:p w:rsidR="002967D2" w:rsidRPr="00C0623F" w:rsidP="002967D2" w14:paraId="60D9B89B" w14:textId="22637063">
            <w:pPr>
              <w:rPr>
                <w:sz w:val="22"/>
              </w:rPr>
            </w:pPr>
            <w:r w:rsidRPr="00C0623F">
              <w:rPr>
                <w:rFonts w:eastAsia="Arial Nova"/>
                <w:sz w:val="22"/>
              </w:rPr>
              <w:t>P</w:t>
            </w:r>
            <w:r w:rsidRPr="00C0623F" w:rsidR="00C02B62">
              <w:rPr>
                <w:rFonts w:eastAsia="Arial Nova"/>
                <w:sz w:val="22"/>
              </w:rPr>
              <w:t>re</w:t>
            </w:r>
            <w:r w:rsidRPr="00C0623F" w:rsidR="00A24951">
              <w:rPr>
                <w:rFonts w:eastAsia="Arial Nova"/>
                <w:sz w:val="22"/>
              </w:rPr>
              <w:t>-</w:t>
            </w:r>
            <w:r w:rsidRPr="00C0623F">
              <w:rPr>
                <w:rFonts w:eastAsia="Arial Nova"/>
                <w:sz w:val="22"/>
              </w:rPr>
              <w:t xml:space="preserve">Campaign </w:t>
            </w:r>
            <w:r w:rsidRPr="00C0623F">
              <w:rPr>
                <w:sz w:val="22"/>
              </w:rPr>
              <w:t>web survey</w:t>
            </w:r>
          </w:p>
        </w:tc>
        <w:tc>
          <w:tcPr>
            <w:tcW w:w="2015" w:type="dxa"/>
          </w:tcPr>
          <w:p w:rsidR="002967D2" w:rsidRPr="00C0623F" w:rsidP="002967D2" w14:paraId="1B8C033A" w14:textId="3E027A1D">
            <w:pPr>
              <w:rPr>
                <w:sz w:val="22"/>
              </w:rPr>
            </w:pPr>
            <w:r>
              <w:rPr>
                <w:sz w:val="22"/>
              </w:rPr>
              <w:t>368</w:t>
            </w:r>
          </w:p>
        </w:tc>
        <w:tc>
          <w:tcPr>
            <w:tcW w:w="2015" w:type="dxa"/>
          </w:tcPr>
          <w:p w:rsidR="002967D2" w:rsidRPr="00C0623F" w:rsidP="002967D2" w14:paraId="656497A4" w14:textId="74D306EB">
            <w:pPr>
              <w:rPr>
                <w:sz w:val="22"/>
              </w:rPr>
            </w:pPr>
            <w:r w:rsidRPr="00C0623F">
              <w:rPr>
                <w:sz w:val="22"/>
              </w:rPr>
              <w:t>$</w:t>
            </w:r>
            <w:r w:rsidR="00697C36">
              <w:rPr>
                <w:sz w:val="22"/>
              </w:rPr>
              <w:t>43.80</w:t>
            </w:r>
          </w:p>
        </w:tc>
        <w:tc>
          <w:tcPr>
            <w:tcW w:w="1835" w:type="dxa"/>
          </w:tcPr>
          <w:p w:rsidR="002967D2" w:rsidRPr="00C0623F" w:rsidP="002967D2" w14:paraId="5F1A6B08" w14:textId="7D27F224">
            <w:pPr>
              <w:rPr>
                <w:sz w:val="22"/>
              </w:rPr>
            </w:pPr>
            <w:r w:rsidRPr="00C0623F">
              <w:rPr>
                <w:sz w:val="22"/>
              </w:rPr>
              <w:t>$</w:t>
            </w:r>
            <w:r w:rsidR="00532585">
              <w:rPr>
                <w:sz w:val="22"/>
              </w:rPr>
              <w:t>16,118</w:t>
            </w:r>
          </w:p>
        </w:tc>
      </w:tr>
      <w:tr w14:paraId="1B37009C" w14:textId="77777777" w:rsidTr="00631B7C">
        <w:tblPrEx>
          <w:tblW w:w="9895" w:type="dxa"/>
          <w:tblLook w:val="04A0"/>
        </w:tblPrEx>
        <w:tc>
          <w:tcPr>
            <w:tcW w:w="2015" w:type="dxa"/>
          </w:tcPr>
          <w:p w:rsidR="00631B7C" w:rsidRPr="00C0623F" w:rsidP="00631B7C" w14:paraId="31565EBB" w14:textId="487F322E">
            <w:pPr>
              <w:rPr>
                <w:sz w:val="22"/>
              </w:rPr>
            </w:pPr>
            <w:r w:rsidRPr="00C0623F">
              <w:rPr>
                <w:sz w:val="22"/>
              </w:rPr>
              <w:t>HCPs</w:t>
            </w:r>
          </w:p>
        </w:tc>
        <w:tc>
          <w:tcPr>
            <w:tcW w:w="2015" w:type="dxa"/>
          </w:tcPr>
          <w:p w:rsidR="00631B7C" w:rsidRPr="00C0623F" w:rsidP="00631B7C" w14:paraId="537C8683" w14:textId="77777777">
            <w:pPr>
              <w:spacing w:line="276" w:lineRule="auto"/>
              <w:rPr>
                <w:rFonts w:eastAsia="Arial Nova"/>
                <w:sz w:val="22"/>
              </w:rPr>
            </w:pPr>
            <w:r w:rsidRPr="00C0623F">
              <w:rPr>
                <w:rFonts w:eastAsia="Arial Nova"/>
                <w:i/>
                <w:iCs/>
                <w:sz w:val="22"/>
              </w:rPr>
              <w:t>GAOS</w:t>
            </w:r>
            <w:r w:rsidRPr="00C0623F">
              <w:rPr>
                <w:rFonts w:eastAsia="Arial Nova"/>
                <w:sz w:val="22"/>
              </w:rPr>
              <w:t xml:space="preserve"> HCP</w:t>
            </w:r>
          </w:p>
          <w:p w:rsidR="00631B7C" w:rsidRPr="00C0623F" w:rsidP="00631B7C" w14:paraId="597D059F" w14:textId="1782767F">
            <w:pPr>
              <w:rPr>
                <w:rFonts w:eastAsia="Arial Nova"/>
                <w:i/>
                <w:iCs/>
                <w:sz w:val="22"/>
              </w:rPr>
            </w:pPr>
            <w:r w:rsidRPr="00C0623F">
              <w:rPr>
                <w:rFonts w:eastAsia="Arial Nova"/>
                <w:sz w:val="22"/>
              </w:rPr>
              <w:t xml:space="preserve">Post-Campaign </w:t>
            </w:r>
            <w:r w:rsidRPr="00C0623F">
              <w:rPr>
                <w:sz w:val="22"/>
              </w:rPr>
              <w:t>web survey</w:t>
            </w:r>
          </w:p>
        </w:tc>
        <w:tc>
          <w:tcPr>
            <w:tcW w:w="2015" w:type="dxa"/>
          </w:tcPr>
          <w:p w:rsidR="00631B7C" w:rsidRPr="00C0623F" w:rsidP="00631B7C" w14:paraId="2C4D8EDD" w14:textId="62592256">
            <w:pPr>
              <w:rPr>
                <w:sz w:val="22"/>
              </w:rPr>
            </w:pPr>
            <w:r>
              <w:rPr>
                <w:sz w:val="22"/>
              </w:rPr>
              <w:t>368</w:t>
            </w:r>
          </w:p>
        </w:tc>
        <w:tc>
          <w:tcPr>
            <w:tcW w:w="2015" w:type="dxa"/>
          </w:tcPr>
          <w:p w:rsidR="00631B7C" w:rsidRPr="00C0623F" w:rsidP="00631B7C" w14:paraId="366E6F8E" w14:textId="72FB5A96">
            <w:pPr>
              <w:rPr>
                <w:sz w:val="22"/>
              </w:rPr>
            </w:pPr>
            <w:r w:rsidRPr="00C0623F">
              <w:rPr>
                <w:sz w:val="22"/>
              </w:rPr>
              <w:t>$</w:t>
            </w:r>
            <w:r w:rsidR="007A48F5">
              <w:rPr>
                <w:sz w:val="22"/>
              </w:rPr>
              <w:t>43.80</w:t>
            </w:r>
          </w:p>
        </w:tc>
        <w:tc>
          <w:tcPr>
            <w:tcW w:w="1835" w:type="dxa"/>
          </w:tcPr>
          <w:p w:rsidR="00631B7C" w:rsidRPr="00C0623F" w:rsidP="00631B7C" w14:paraId="45BA6810" w14:textId="5FE25317">
            <w:pPr>
              <w:rPr>
                <w:sz w:val="22"/>
              </w:rPr>
            </w:pPr>
            <w:r w:rsidRPr="00C0623F">
              <w:rPr>
                <w:sz w:val="22"/>
              </w:rPr>
              <w:t>$</w:t>
            </w:r>
            <w:r w:rsidR="00532585">
              <w:rPr>
                <w:sz w:val="22"/>
              </w:rPr>
              <w:t>16,118</w:t>
            </w:r>
          </w:p>
        </w:tc>
      </w:tr>
      <w:tr w14:paraId="55FE17FC" w14:textId="77777777" w:rsidTr="00631B7C">
        <w:tblPrEx>
          <w:tblW w:w="9895" w:type="dxa"/>
          <w:tblLook w:val="04A0"/>
        </w:tblPrEx>
        <w:tc>
          <w:tcPr>
            <w:tcW w:w="2015" w:type="dxa"/>
          </w:tcPr>
          <w:p w:rsidR="002967D2" w:rsidRPr="00C0623F" w:rsidP="002967D2" w14:paraId="55FE17F9" w14:textId="77777777">
            <w:pPr>
              <w:rPr>
                <w:b/>
                <w:sz w:val="22"/>
              </w:rPr>
            </w:pPr>
            <w:r w:rsidRPr="00C0623F">
              <w:rPr>
                <w:b/>
                <w:sz w:val="22"/>
              </w:rPr>
              <w:t>Total</w:t>
            </w:r>
          </w:p>
        </w:tc>
        <w:tc>
          <w:tcPr>
            <w:tcW w:w="6045" w:type="dxa"/>
            <w:gridSpan w:val="3"/>
          </w:tcPr>
          <w:p w:rsidR="002967D2" w:rsidRPr="00C0623F" w:rsidP="002967D2" w14:paraId="55FE17FA" w14:textId="77777777">
            <w:pPr>
              <w:rPr>
                <w:sz w:val="22"/>
              </w:rPr>
            </w:pPr>
          </w:p>
        </w:tc>
        <w:tc>
          <w:tcPr>
            <w:tcW w:w="1835" w:type="dxa"/>
          </w:tcPr>
          <w:p w:rsidR="002967D2" w:rsidRPr="00C0623F" w:rsidP="002967D2" w14:paraId="55FE17FB" w14:textId="437B3C8C">
            <w:pPr>
              <w:rPr>
                <w:b/>
                <w:bCs/>
                <w:sz w:val="22"/>
              </w:rPr>
            </w:pPr>
            <w:r w:rsidRPr="00C0623F">
              <w:rPr>
                <w:b/>
                <w:bCs/>
                <w:sz w:val="22"/>
              </w:rPr>
              <w:t>$</w:t>
            </w:r>
            <w:r w:rsidR="00913AFA">
              <w:rPr>
                <w:b/>
                <w:bCs/>
                <w:sz w:val="22"/>
              </w:rPr>
              <w:t>4</w:t>
            </w:r>
            <w:r w:rsidR="005D1B20">
              <w:rPr>
                <w:b/>
                <w:bCs/>
                <w:sz w:val="22"/>
              </w:rPr>
              <w:t>9</w:t>
            </w:r>
            <w:r w:rsidR="00913AFA">
              <w:rPr>
                <w:b/>
                <w:bCs/>
                <w:sz w:val="22"/>
              </w:rPr>
              <w:t>,882</w:t>
            </w:r>
          </w:p>
        </w:tc>
      </w:tr>
    </w:tbl>
    <w:p w:rsidR="004A13E8" w:rsidP="00AF3C4C" w14:paraId="55FE17FE" w14:textId="77777777">
      <w:pPr>
        <w:pStyle w:val="Heading1"/>
        <w:spacing w:before="240"/>
      </w:pPr>
      <w:bookmarkStart w:id="18" w:name="_Toc112842534"/>
      <w:r>
        <w:t>Estimates of Other Total Annual Cost Burden to Respondents or Record Keepers</w:t>
      </w:r>
      <w:bookmarkEnd w:id="18"/>
    </w:p>
    <w:p w:rsidR="004A13E8" w:rsidRPr="004A13E8" w:rsidP="004A13E8" w14:paraId="55FE1800" w14:textId="23C27505">
      <w:r>
        <w:t>There are no costs to respondents other than their time to participate.</w:t>
      </w:r>
      <w:r w:rsidRPr="00523F3C" w:rsidR="00523F3C">
        <w:rPr>
          <w:color w:val="000000"/>
          <w:shd w:val="clear" w:color="auto" w:fill="FFFFFF"/>
        </w:rPr>
        <w:t xml:space="preserve"> </w:t>
      </w:r>
    </w:p>
    <w:p w:rsidR="004A13E8" w:rsidP="00AF3C4C" w14:paraId="55FE1801" w14:textId="77777777">
      <w:pPr>
        <w:pStyle w:val="Heading1"/>
      </w:pPr>
      <w:bookmarkStart w:id="19" w:name="_Toc112842535"/>
      <w:r>
        <w:t>Annualized Cost to the Government</w:t>
      </w:r>
      <w:bookmarkEnd w:id="19"/>
    </w:p>
    <w:p w:rsidR="00FE0398" w:rsidRPr="006012ED" w:rsidP="00810E01" w14:paraId="55FE1803" w14:textId="1F909404">
      <w:pPr>
        <w:rPr>
          <w:color w:val="000000"/>
          <w:szCs w:val="24"/>
        </w:rPr>
      </w:pPr>
      <w:r w:rsidRPr="006012ED">
        <w:rPr>
          <w:szCs w:val="24"/>
        </w:rPr>
        <w:t xml:space="preserve">Total estimated </w:t>
      </w:r>
      <w:r w:rsidRPr="006012ED" w:rsidR="00FE47B8">
        <w:rPr>
          <w:szCs w:val="24"/>
        </w:rPr>
        <w:t>annual</w:t>
      </w:r>
      <w:r w:rsidRPr="006012ED" w:rsidR="00E07783">
        <w:rPr>
          <w:szCs w:val="24"/>
        </w:rPr>
        <w:t xml:space="preserve">ized </w:t>
      </w:r>
      <w:r w:rsidRPr="006012ED">
        <w:rPr>
          <w:szCs w:val="24"/>
        </w:rPr>
        <w:t xml:space="preserve">cost to the government is </w:t>
      </w:r>
      <w:r w:rsidRPr="00DE24A1" w:rsidR="00DE24A1">
        <w:rPr>
          <w:szCs w:val="24"/>
          <w:highlight w:val="yellow"/>
        </w:rPr>
        <w:t>[CDC DHQP to provide</w:t>
      </w:r>
      <w:r w:rsidR="00DE24A1">
        <w:rPr>
          <w:szCs w:val="24"/>
        </w:rPr>
        <w:t xml:space="preserve"> </w:t>
      </w:r>
      <w:r w:rsidRPr="006012ED">
        <w:rPr>
          <w:szCs w:val="24"/>
          <w:highlight w:val="yellow"/>
        </w:rPr>
        <w:t>$XXX</w:t>
      </w:r>
      <w:r w:rsidR="00DE24A1">
        <w:rPr>
          <w:szCs w:val="24"/>
        </w:rPr>
        <w:t>]</w:t>
      </w:r>
      <w:r w:rsidRPr="006012ED">
        <w:rPr>
          <w:szCs w:val="24"/>
        </w:rPr>
        <w:t xml:space="preserve"> based </w:t>
      </w:r>
      <w:r w:rsidR="00475567">
        <w:rPr>
          <w:szCs w:val="24"/>
        </w:rPr>
        <w:t xml:space="preserve">on </w:t>
      </w:r>
      <w:r w:rsidR="00FD100F">
        <w:rPr>
          <w:szCs w:val="24"/>
        </w:rPr>
        <w:t xml:space="preserve">expenses </w:t>
      </w:r>
      <w:r w:rsidR="00C34762">
        <w:rPr>
          <w:szCs w:val="24"/>
        </w:rPr>
        <w:t>incurred in the following categories: salary</w:t>
      </w:r>
      <w:r w:rsidR="00475567">
        <w:rPr>
          <w:szCs w:val="24"/>
        </w:rPr>
        <w:t xml:space="preserve"> o</w:t>
      </w:r>
      <w:r w:rsidRPr="006012ED">
        <w:rPr>
          <w:szCs w:val="24"/>
        </w:rPr>
        <w:t xml:space="preserve">f </w:t>
      </w:r>
      <w:r w:rsidRPr="006012ED" w:rsidR="00144CA9">
        <w:rPr>
          <w:szCs w:val="24"/>
        </w:rPr>
        <w:t xml:space="preserve">CDC staff who are </w:t>
      </w:r>
      <w:r w:rsidRPr="006012ED" w:rsidR="006637EC">
        <w:rPr>
          <w:color w:val="000000"/>
          <w:szCs w:val="24"/>
        </w:rPr>
        <w:t xml:space="preserve">responsible for the </w:t>
      </w:r>
      <w:r w:rsidRPr="006012ED" w:rsidR="00DD762F">
        <w:rPr>
          <w:color w:val="000000"/>
          <w:szCs w:val="24"/>
        </w:rPr>
        <w:t xml:space="preserve">overall </w:t>
      </w:r>
      <w:r w:rsidRPr="006012ED" w:rsidR="006637EC">
        <w:rPr>
          <w:color w:val="000000"/>
          <w:szCs w:val="24"/>
        </w:rPr>
        <w:t>project design</w:t>
      </w:r>
      <w:r w:rsidR="00AD0726">
        <w:rPr>
          <w:color w:val="000000"/>
          <w:szCs w:val="24"/>
        </w:rPr>
        <w:t xml:space="preserve"> </w:t>
      </w:r>
      <w:r w:rsidR="007A10DA">
        <w:rPr>
          <w:color w:val="000000"/>
          <w:szCs w:val="24"/>
        </w:rPr>
        <w:t xml:space="preserve">and </w:t>
      </w:r>
      <w:r w:rsidRPr="006012ED" w:rsidR="006637EC">
        <w:rPr>
          <w:color w:val="000000"/>
          <w:szCs w:val="24"/>
        </w:rPr>
        <w:t xml:space="preserve">project oversight, </w:t>
      </w:r>
      <w:r w:rsidR="004F67C2">
        <w:rPr>
          <w:color w:val="000000"/>
          <w:szCs w:val="24"/>
        </w:rPr>
        <w:t xml:space="preserve">and </w:t>
      </w:r>
      <w:r w:rsidR="00906306">
        <w:rPr>
          <w:color w:val="000000"/>
          <w:szCs w:val="24"/>
        </w:rPr>
        <w:t>c</w:t>
      </w:r>
      <w:r w:rsidRPr="006012ED" w:rsidR="006637EC">
        <w:rPr>
          <w:color w:val="000000"/>
          <w:szCs w:val="24"/>
        </w:rPr>
        <w:t xml:space="preserve">ontractor costs </w:t>
      </w:r>
      <w:r w:rsidR="00906306">
        <w:rPr>
          <w:color w:val="000000"/>
          <w:szCs w:val="24"/>
        </w:rPr>
        <w:t xml:space="preserve">associated with </w:t>
      </w:r>
      <w:r w:rsidR="00BA42FC">
        <w:rPr>
          <w:color w:val="000000"/>
          <w:szCs w:val="24"/>
        </w:rPr>
        <w:t xml:space="preserve">data </w:t>
      </w:r>
      <w:r w:rsidR="00245B2F">
        <w:rPr>
          <w:color w:val="000000"/>
          <w:szCs w:val="24"/>
        </w:rPr>
        <w:t xml:space="preserve">collection </w:t>
      </w:r>
      <w:r w:rsidR="008F7CBB">
        <w:rPr>
          <w:color w:val="000000"/>
          <w:szCs w:val="24"/>
        </w:rPr>
        <w:t xml:space="preserve">and analysis </w:t>
      </w:r>
      <w:r w:rsidR="00BA42FC">
        <w:rPr>
          <w:color w:val="000000"/>
          <w:szCs w:val="24"/>
        </w:rPr>
        <w:t xml:space="preserve">activities. </w:t>
      </w:r>
      <w:r w:rsidRPr="006012ED" w:rsidR="006637EC">
        <w:rPr>
          <w:color w:val="000000"/>
          <w:szCs w:val="24"/>
        </w:rPr>
        <w:t xml:space="preserve"> </w:t>
      </w:r>
    </w:p>
    <w:p w:rsidR="004A13E8" w:rsidP="00AF3C4C" w14:paraId="55FE1810" w14:textId="77777777">
      <w:pPr>
        <w:pStyle w:val="Heading1"/>
        <w:spacing w:before="240"/>
      </w:pPr>
      <w:bookmarkStart w:id="20" w:name="_Toc112842536"/>
      <w:r>
        <w:t>Explanation for Program Changes or Adjustments</w:t>
      </w:r>
      <w:bookmarkEnd w:id="20"/>
    </w:p>
    <w:p w:rsidR="004A13E8" w:rsidRPr="004A13E8" w:rsidP="004A13E8" w14:paraId="55FE1811" w14:textId="3BD1C96D">
      <w:r>
        <w:t>This is a new information collection.</w:t>
      </w:r>
    </w:p>
    <w:p w:rsidR="004A13E8" w:rsidP="00AF3C4C" w14:paraId="55FE1812" w14:textId="77777777">
      <w:pPr>
        <w:pStyle w:val="Heading1"/>
      </w:pPr>
      <w:bookmarkStart w:id="21" w:name="_Toc112842537"/>
      <w:r>
        <w:t>Plans for Tabulation and Publication and Project Time Schedule</w:t>
      </w:r>
      <w:bookmarkEnd w:id="21"/>
    </w:p>
    <w:p w:rsidR="00CC40C4" w:rsidP="00CC40C4" w14:paraId="2E69C6C3" w14:textId="1EFBE36E">
      <w:pPr>
        <w:spacing w:line="240" w:lineRule="auto"/>
        <w:rPr>
          <w:rFonts w:cs="ITCFranklinGothicStd-Book"/>
          <w:szCs w:val="24"/>
        </w:rPr>
      </w:pPr>
      <w:r w:rsidRPr="4A96638A">
        <w:rPr>
          <w:rFonts w:cs="ITCFranklinGothicStd-Book"/>
        </w:rPr>
        <w:t>The following is th</w:t>
      </w:r>
      <w:r w:rsidRPr="4A96638A" w:rsidR="00EA7BC2">
        <w:rPr>
          <w:rFonts w:cs="ITCFranklinGothicStd-Book"/>
        </w:rPr>
        <w:t>e estimated</w:t>
      </w:r>
      <w:r w:rsidRPr="4A96638A" w:rsidR="000E505B">
        <w:rPr>
          <w:rFonts w:cs="ITCFranklinGothicStd-Book"/>
        </w:rPr>
        <w:t xml:space="preserve"> project schedule</w:t>
      </w:r>
      <w:r w:rsidRPr="4A96638A">
        <w:rPr>
          <w:rFonts w:cs="ITCFranklinGothicStd-Book"/>
        </w:rPr>
        <w:t xml:space="preserve"> anticipated for this study. </w:t>
      </w:r>
    </w:p>
    <w:tbl>
      <w:tblPr>
        <w:tblStyle w:val="TableGrid"/>
        <w:tblW w:w="0" w:type="auto"/>
        <w:tblLayout w:type="fixed"/>
        <w:tblLook w:val="04A0"/>
      </w:tblPr>
      <w:tblGrid>
        <w:gridCol w:w="4680"/>
        <w:gridCol w:w="4680"/>
      </w:tblGrid>
      <w:tr w14:paraId="7CEFE785" w14:textId="77777777" w:rsidTr="4A96638A">
        <w:tblPrEx>
          <w:tblW w:w="0" w:type="auto"/>
          <w:tblLayout w:type="fixed"/>
          <w:tblLook w:val="04A0"/>
        </w:tblPrEx>
        <w:tc>
          <w:tcPr>
            <w:tcW w:w="936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4A96638A" w:rsidP="4A96638A" w14:paraId="690EBCAE" w14:textId="2ABFD0BA">
            <w:pPr>
              <w:spacing w:line="276" w:lineRule="auto"/>
              <w:jc w:val="center"/>
            </w:pPr>
            <w:r w:rsidRPr="4A96638A">
              <w:rPr>
                <w:rFonts w:eastAsia="Times New Roman" w:cs="Times New Roman"/>
                <w:b/>
                <w:bCs/>
                <w:color w:val="000000" w:themeColor="text1"/>
                <w:szCs w:val="24"/>
              </w:rPr>
              <w:t>Estimated Project Schedule</w:t>
            </w:r>
          </w:p>
        </w:tc>
      </w:tr>
      <w:tr w14:paraId="608CB9C9"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7AA202CD" w14:textId="4E6ADEC2">
            <w:pPr>
              <w:spacing w:line="276" w:lineRule="auto"/>
              <w:jc w:val="center"/>
            </w:pPr>
            <w:r w:rsidRPr="4A96638A">
              <w:rPr>
                <w:rFonts w:eastAsia="Times New Roman" w:cs="Times New Roman"/>
                <w:b/>
                <w:bCs/>
                <w:szCs w:val="24"/>
              </w:rPr>
              <w:t>Activity</w:t>
            </w:r>
          </w:p>
        </w:tc>
        <w:tc>
          <w:tcPr>
            <w:tcW w:w="4680" w:type="dxa"/>
            <w:tcBorders>
              <w:top w:val="nil"/>
              <w:left w:val="single" w:sz="8" w:space="0" w:color="auto"/>
              <w:bottom w:val="single" w:sz="8" w:space="0" w:color="auto"/>
              <w:right w:val="single" w:sz="8" w:space="0" w:color="auto"/>
            </w:tcBorders>
          </w:tcPr>
          <w:p w:rsidR="4A96638A" w:rsidP="4A96638A" w14:paraId="58C32C4E" w14:textId="0381EFE1">
            <w:pPr>
              <w:spacing w:line="276" w:lineRule="auto"/>
              <w:jc w:val="center"/>
            </w:pPr>
            <w:r w:rsidRPr="4A96638A">
              <w:rPr>
                <w:rFonts w:eastAsia="Times New Roman" w:cs="Times New Roman"/>
                <w:b/>
                <w:bCs/>
                <w:szCs w:val="24"/>
              </w:rPr>
              <w:t>Estimated Time Schedule</w:t>
            </w:r>
          </w:p>
        </w:tc>
      </w:tr>
      <w:tr w14:paraId="6D4BEAE2"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3CD432DC" w14:textId="7F19F315">
            <w:pPr>
              <w:spacing w:line="276" w:lineRule="auto"/>
            </w:pPr>
            <w:r w:rsidRPr="4A96638A">
              <w:rPr>
                <w:rFonts w:eastAsia="Times New Roman" w:cs="Times New Roman"/>
                <w:szCs w:val="24"/>
              </w:rPr>
              <w:t>Formal pilot test with intended audiences</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099565E6" w14:textId="1F7BD016">
            <w:pPr>
              <w:spacing w:line="276" w:lineRule="auto"/>
            </w:pPr>
            <w:r w:rsidRPr="4A96638A">
              <w:rPr>
                <w:rFonts w:eastAsia="Times New Roman" w:cs="Times New Roman"/>
                <w:szCs w:val="24"/>
              </w:rPr>
              <w:t>2—3 months after OMB approval</w:t>
            </w:r>
          </w:p>
        </w:tc>
      </w:tr>
      <w:tr w14:paraId="29D48548"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40846D46" w14:textId="642851E2">
            <w:pPr>
              <w:spacing w:line="276" w:lineRule="auto"/>
            </w:pPr>
            <w:r w:rsidRPr="4A96638A">
              <w:rPr>
                <w:rFonts w:eastAsia="Times New Roman" w:cs="Times New Roman"/>
                <w:szCs w:val="24"/>
              </w:rPr>
              <w:t xml:space="preserve">Pre-campaign survey recruitment </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028BB929" w14:textId="1BBC539A">
            <w:pPr>
              <w:spacing w:line="276" w:lineRule="auto"/>
            </w:pPr>
            <w:r w:rsidRPr="4A96638A">
              <w:rPr>
                <w:rFonts w:eastAsia="Times New Roman" w:cs="Times New Roman"/>
                <w:szCs w:val="24"/>
              </w:rPr>
              <w:t>3—4 months after OMB approval</w:t>
            </w:r>
          </w:p>
        </w:tc>
      </w:tr>
      <w:tr w14:paraId="1D074CB3"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24C9C200" w14:textId="6F56DB20">
            <w:pPr>
              <w:spacing w:line="276" w:lineRule="auto"/>
            </w:pPr>
            <w:r w:rsidRPr="4A96638A">
              <w:rPr>
                <w:rFonts w:eastAsia="Times New Roman" w:cs="Times New Roman"/>
                <w:szCs w:val="24"/>
              </w:rPr>
              <w:t>Pre-campaign information/data collection</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37568A96" w14:textId="09B2B644">
            <w:pPr>
              <w:spacing w:line="276" w:lineRule="auto"/>
            </w:pPr>
            <w:r w:rsidRPr="4A96638A">
              <w:rPr>
                <w:rFonts w:eastAsia="Times New Roman" w:cs="Times New Roman"/>
                <w:szCs w:val="24"/>
              </w:rPr>
              <w:t>3—4 months after OMB approval</w:t>
            </w:r>
          </w:p>
        </w:tc>
      </w:tr>
      <w:tr w14:paraId="6119EEAB"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3F88B430" w14:textId="0A5CA953">
            <w:pPr>
              <w:spacing w:line="276" w:lineRule="auto"/>
            </w:pPr>
            <w:r w:rsidRPr="4A96638A">
              <w:rPr>
                <w:rFonts w:eastAsia="Times New Roman" w:cs="Times New Roman"/>
                <w:szCs w:val="24"/>
              </w:rPr>
              <w:t>Media campaign and partner outreach</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4154FA78" w14:textId="12C3EC93">
            <w:pPr>
              <w:spacing w:line="276" w:lineRule="auto"/>
            </w:pPr>
            <w:r w:rsidRPr="4A96638A">
              <w:rPr>
                <w:rFonts w:eastAsia="Times New Roman" w:cs="Times New Roman"/>
                <w:szCs w:val="24"/>
              </w:rPr>
              <w:t>4—7 months after OMB approval</w:t>
            </w:r>
          </w:p>
        </w:tc>
      </w:tr>
      <w:tr w14:paraId="55AE3E53"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25F97483" w14:textId="7178C09F">
            <w:pPr>
              <w:spacing w:line="276" w:lineRule="auto"/>
            </w:pPr>
            <w:r w:rsidRPr="4A96638A">
              <w:rPr>
                <w:rFonts w:eastAsia="Times New Roman" w:cs="Times New Roman"/>
                <w:szCs w:val="24"/>
              </w:rPr>
              <w:t xml:space="preserve">Post-campaign survey recruitment </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627506E5" w14:textId="62D31FC6">
            <w:pPr>
              <w:spacing w:line="276" w:lineRule="auto"/>
            </w:pPr>
            <w:r w:rsidRPr="4A96638A">
              <w:rPr>
                <w:rFonts w:eastAsia="Times New Roman" w:cs="Times New Roman"/>
                <w:szCs w:val="24"/>
              </w:rPr>
              <w:t>7—8 months after OMB approval</w:t>
            </w:r>
          </w:p>
        </w:tc>
      </w:tr>
      <w:tr w14:paraId="74B23F80"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115F03D1" w14:textId="7CE2959D">
            <w:pPr>
              <w:spacing w:line="276" w:lineRule="auto"/>
            </w:pPr>
            <w:r w:rsidRPr="4A96638A">
              <w:rPr>
                <w:rFonts w:eastAsia="Times New Roman" w:cs="Times New Roman"/>
                <w:szCs w:val="24"/>
              </w:rPr>
              <w:t>Post-campaign information/data collection</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0D190946" w14:textId="335C94C4">
            <w:pPr>
              <w:spacing w:line="276" w:lineRule="auto"/>
            </w:pPr>
            <w:r w:rsidRPr="4A96638A">
              <w:rPr>
                <w:rFonts w:eastAsia="Times New Roman" w:cs="Times New Roman"/>
                <w:szCs w:val="24"/>
              </w:rPr>
              <w:t>7—8 months after OMB approval</w:t>
            </w:r>
          </w:p>
        </w:tc>
      </w:tr>
      <w:tr w14:paraId="45B571C9"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4A68AE8A" w14:textId="0C0833C2">
            <w:pPr>
              <w:spacing w:line="276" w:lineRule="auto"/>
            </w:pPr>
            <w:r w:rsidRPr="4A96638A">
              <w:rPr>
                <w:rFonts w:eastAsia="Times New Roman" w:cs="Times New Roman"/>
                <w:szCs w:val="24"/>
              </w:rPr>
              <w:t>Data cleaning and analyses</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6B476AFE" w14:textId="659D46D4">
            <w:pPr>
              <w:spacing w:line="276" w:lineRule="auto"/>
            </w:pPr>
            <w:r w:rsidRPr="4A96638A">
              <w:rPr>
                <w:rFonts w:eastAsia="Times New Roman" w:cs="Times New Roman"/>
                <w:szCs w:val="24"/>
              </w:rPr>
              <w:t>8—9 months after OMB approval</w:t>
            </w:r>
          </w:p>
        </w:tc>
      </w:tr>
      <w:tr w14:paraId="6C089BBA"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61369D18" w14:textId="7F8E6918">
            <w:pPr>
              <w:spacing w:line="276" w:lineRule="auto"/>
            </w:pPr>
            <w:r w:rsidRPr="4A96638A">
              <w:rPr>
                <w:rFonts w:eastAsia="Times New Roman" w:cs="Times New Roman"/>
                <w:szCs w:val="24"/>
              </w:rPr>
              <w:t>Final report</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14EC9EE5" w14:textId="236CD95D">
            <w:pPr>
              <w:spacing w:line="276" w:lineRule="auto"/>
            </w:pPr>
            <w:r w:rsidRPr="4A96638A">
              <w:rPr>
                <w:rFonts w:eastAsia="Times New Roman" w:cs="Times New Roman"/>
                <w:szCs w:val="24"/>
              </w:rPr>
              <w:t>9—11 months after OMB approval</w:t>
            </w:r>
          </w:p>
        </w:tc>
      </w:tr>
      <w:tr w14:paraId="6B0EAD85" w14:textId="77777777" w:rsidTr="4A96638A">
        <w:tblPrEx>
          <w:tblW w:w="0" w:type="auto"/>
          <w:tblLayout w:type="fixed"/>
          <w:tblLook w:val="04A0"/>
        </w:tblPrEx>
        <w:tc>
          <w:tcPr>
            <w:tcW w:w="4680" w:type="dxa"/>
            <w:tcBorders>
              <w:top w:val="single" w:sz="8" w:space="0" w:color="auto"/>
              <w:left w:val="single" w:sz="8" w:space="0" w:color="auto"/>
              <w:bottom w:val="single" w:sz="8" w:space="0" w:color="auto"/>
              <w:right w:val="single" w:sz="8" w:space="0" w:color="auto"/>
            </w:tcBorders>
          </w:tcPr>
          <w:p w:rsidR="4A96638A" w:rsidP="4A96638A" w14:paraId="34B6E7F1" w14:textId="78A8DB5E">
            <w:pPr>
              <w:spacing w:line="276" w:lineRule="auto"/>
            </w:pPr>
            <w:r w:rsidRPr="4A96638A">
              <w:rPr>
                <w:rFonts w:eastAsia="Times New Roman" w:cs="Times New Roman"/>
                <w:szCs w:val="24"/>
              </w:rPr>
              <w:t>Dissemination of findings</w:t>
            </w:r>
          </w:p>
        </w:tc>
        <w:tc>
          <w:tcPr>
            <w:tcW w:w="4680" w:type="dxa"/>
            <w:tcBorders>
              <w:top w:val="single" w:sz="8" w:space="0" w:color="auto"/>
              <w:left w:val="single" w:sz="8" w:space="0" w:color="auto"/>
              <w:bottom w:val="single" w:sz="8" w:space="0" w:color="auto"/>
              <w:right w:val="single" w:sz="8" w:space="0" w:color="auto"/>
            </w:tcBorders>
          </w:tcPr>
          <w:p w:rsidR="4A96638A" w:rsidP="4A96638A" w14:paraId="53633671" w14:textId="5460FAF2">
            <w:pPr>
              <w:spacing w:line="276" w:lineRule="auto"/>
            </w:pPr>
            <w:r w:rsidRPr="4A96638A">
              <w:rPr>
                <w:rFonts w:eastAsia="Times New Roman" w:cs="Times New Roman"/>
                <w:szCs w:val="24"/>
              </w:rPr>
              <w:t>12 months onward after OMB approval</w:t>
            </w:r>
          </w:p>
        </w:tc>
      </w:tr>
    </w:tbl>
    <w:p w:rsidR="00CC40C4" w:rsidRPr="008F1415" w:rsidP="4A96638A" w14:paraId="5E2AE395" w14:textId="41E15708">
      <w:pPr>
        <w:rPr>
          <w:rFonts w:eastAsia="Calibri"/>
          <w:szCs w:val="24"/>
        </w:rPr>
      </w:pPr>
    </w:p>
    <w:p w:rsidR="004A13E8" w:rsidP="00AF3C4C" w14:paraId="55FE1826" w14:textId="77777777">
      <w:pPr>
        <w:pStyle w:val="Heading1"/>
        <w:spacing w:before="240"/>
      </w:pPr>
      <w:bookmarkStart w:id="22" w:name="_Toc112842538"/>
      <w:r>
        <w:t>Reason(s) Display of OMB Expiration Date is Inappropriate</w:t>
      </w:r>
      <w:bookmarkEnd w:id="22"/>
    </w:p>
    <w:p w:rsidR="004A13E8" w:rsidRPr="004A13E8" w:rsidP="004A13E8" w14:paraId="55FE1827" w14:textId="77777777">
      <w:r>
        <w:t>The display of the OMB Expiration date is not inappropriate.</w:t>
      </w:r>
    </w:p>
    <w:p w:rsidR="004A13E8" w:rsidP="00AF3C4C" w14:paraId="55FE1828" w14:textId="77777777">
      <w:pPr>
        <w:pStyle w:val="Heading1"/>
      </w:pPr>
      <w:bookmarkStart w:id="23" w:name="_Toc112842539"/>
      <w:r>
        <w:t>Exceptions to Certification for Paperwork Reduction Act Submissions</w:t>
      </w:r>
      <w:bookmarkEnd w:id="23"/>
    </w:p>
    <w:p w:rsidR="004A13E8" w:rsidRPr="004A13E8" w:rsidP="004A13E8" w14:paraId="55FE1829" w14:textId="77777777">
      <w:r>
        <w:t>There are no exceptions to the certification.</w:t>
      </w:r>
    </w:p>
    <w:p w:rsidR="004A13E8" w:rsidRPr="004A13E8" w:rsidP="004A13E8" w14:paraId="55FE182A" w14:textId="212D3C72">
      <w:pPr>
        <w:pStyle w:val="Heading1"/>
        <w:numPr>
          <w:ilvl w:val="0"/>
          <w:numId w:val="0"/>
        </w:numPr>
      </w:pPr>
      <w:bookmarkStart w:id="24" w:name="_Toc112842540"/>
      <w:r>
        <w:t xml:space="preserve">List of </w:t>
      </w:r>
      <w:r>
        <w:t>Attachments</w:t>
      </w:r>
      <w:bookmarkEnd w:id="24"/>
    </w:p>
    <w:p w:rsidR="00F81619" w:rsidP="00F81619" w14:paraId="5545E8B3" w14:textId="1DC486B7">
      <w:r>
        <w:t>A. Authorizing Legislation</w:t>
      </w:r>
      <w:r w:rsidR="00CB6874">
        <w:t xml:space="preserve"> </w:t>
      </w:r>
    </w:p>
    <w:p w:rsidR="00F81619" w:rsidP="00F81619" w14:paraId="75FCF563" w14:textId="79BAB820">
      <w:r>
        <w:t xml:space="preserve">B. </w:t>
      </w:r>
      <w:r w:rsidR="00FF643C">
        <w:t>GAOS</w:t>
      </w:r>
      <w:r>
        <w:t xml:space="preserve"> 60-Day FRN</w:t>
      </w:r>
      <w:r w:rsidR="00980461">
        <w:t xml:space="preserve"> Published</w:t>
      </w:r>
    </w:p>
    <w:p w:rsidR="00F81619" w:rsidP="00F81619" w14:paraId="045ED96B" w14:textId="79CA517E">
      <w:pPr>
        <w:ind w:left="720"/>
      </w:pPr>
      <w:r>
        <w:t>B1. Comment</w:t>
      </w:r>
      <w:r w:rsidR="00117011">
        <w:t>s</w:t>
      </w:r>
      <w:r>
        <w:t xml:space="preserve"> Received to 60-Day FRN</w:t>
      </w:r>
    </w:p>
    <w:p w:rsidR="00F81619" w:rsidP="00F81619" w14:paraId="45C79A7D" w14:textId="63C81C0C">
      <w:r>
        <w:t xml:space="preserve">C. </w:t>
      </w:r>
      <w:r w:rsidR="00FF643C">
        <w:t>GAOS</w:t>
      </w:r>
      <w:r>
        <w:t xml:space="preserve"> Consumer Pre-Campaign </w:t>
      </w:r>
      <w:r w:rsidR="009C602F">
        <w:t xml:space="preserve">Screener and </w:t>
      </w:r>
      <w:r>
        <w:t>Survey</w:t>
      </w:r>
    </w:p>
    <w:p w:rsidR="00D87C08" w:rsidP="00D87C08" w14:paraId="5B312440" w14:textId="77777777">
      <w:r>
        <w:t xml:space="preserve">D. </w:t>
      </w:r>
      <w:r>
        <w:t>GAOS Consumer Post-Campaign Screener and Survey</w:t>
      </w:r>
    </w:p>
    <w:p w:rsidR="00DC50FC" w:rsidP="00DC50FC" w14:paraId="1B3E02CD" w14:textId="76FE64ED">
      <w:r>
        <w:t xml:space="preserve">E. </w:t>
      </w:r>
      <w:r>
        <w:t>GAOS HCP P</w:t>
      </w:r>
      <w:r>
        <w:t>re</w:t>
      </w:r>
      <w:r>
        <w:t>-Campaign Screener and Survey</w:t>
      </w:r>
    </w:p>
    <w:p w:rsidR="00F81619" w:rsidP="00F81619" w14:paraId="31C9D76A" w14:textId="3B9555FB">
      <w:r>
        <w:t>F</w:t>
      </w:r>
      <w:r w:rsidR="00DC50FC">
        <w:t xml:space="preserve">. </w:t>
      </w:r>
      <w:r w:rsidR="00FF643C">
        <w:t>GAOS</w:t>
      </w:r>
      <w:r>
        <w:t xml:space="preserve"> HCP P</w:t>
      </w:r>
      <w:r w:rsidR="00A1400F">
        <w:t>ost</w:t>
      </w:r>
      <w:r>
        <w:t xml:space="preserve">-Campaign </w:t>
      </w:r>
      <w:r w:rsidR="009C602F">
        <w:t xml:space="preserve">Screener and </w:t>
      </w:r>
      <w:r>
        <w:t>Survey</w:t>
      </w:r>
    </w:p>
    <w:p w:rsidR="00F81619" w:rsidP="00F81619" w14:paraId="3C036A60" w14:textId="36D332A3">
      <w:r>
        <w:t>G.</w:t>
      </w:r>
      <w:r>
        <w:t xml:space="preserve"> </w:t>
      </w:r>
      <w:r w:rsidR="00D22382">
        <w:t xml:space="preserve">GAOS </w:t>
      </w:r>
      <w:r w:rsidR="00980461">
        <w:t>IRB</w:t>
      </w:r>
      <w:r>
        <w:t xml:space="preserve"> Determination </w:t>
      </w:r>
    </w:p>
    <w:p w:rsidR="00F649CF" w:rsidP="00F81619" w14:paraId="46DCD332" w14:textId="6184D228">
      <w:r>
        <w:t xml:space="preserve">H. </w:t>
      </w:r>
      <w:r w:rsidR="00D22382">
        <w:t xml:space="preserve">GAOS </w:t>
      </w:r>
      <w:r w:rsidR="00A9363C">
        <w:t xml:space="preserve">Recruitment Invitation </w:t>
      </w:r>
    </w:p>
    <w:p w:rsidR="00E454DB" w:rsidP="00E454DB" w14:paraId="021514E2" w14:textId="1898838F">
      <w:r>
        <w:t xml:space="preserve">I. </w:t>
      </w:r>
      <w:r w:rsidR="00D22382">
        <w:t xml:space="preserve">GAOS </w:t>
      </w:r>
      <w:r>
        <w:t>Informed Consent Form</w:t>
      </w:r>
    </w:p>
    <w:p w:rsidR="00A9363C" w:rsidP="00A9363C" w14:paraId="65D56594" w14:textId="3597B82E">
      <w:r>
        <w:t>J</w:t>
      </w:r>
      <w:r w:rsidR="00F81619">
        <w:t xml:space="preserve">. </w:t>
      </w:r>
      <w:r w:rsidR="00D22382">
        <w:t xml:space="preserve">GAOS </w:t>
      </w:r>
      <w:r w:rsidR="00E454DB">
        <w:t>Reminder email</w:t>
      </w:r>
    </w:p>
    <w:p w:rsidR="00F81619" w:rsidP="00F81619" w14:paraId="5C21F953" w14:textId="13FEE86C"/>
    <w:p w:rsidR="00FF643C" w14:paraId="0CA08343" w14:textId="78D2D21B">
      <w:r>
        <w:br w:type="page"/>
      </w:r>
    </w:p>
    <w:p w:rsidR="006F062E" w:rsidP="00F81619" w14:paraId="4AD359E8" w14:textId="77777777">
      <w:pPr>
        <w:spacing w:line="240" w:lineRule="auto"/>
      </w:pPr>
    </w:p>
    <w:p w:rsidR="00747B41" w:rsidP="00747B41" w14:paraId="3AAF963A" w14:textId="77777777">
      <w:pPr>
        <w:spacing w:after="0" w:line="240" w:lineRule="auto"/>
        <w:contextualSpacing/>
        <w:jc w:val="center"/>
        <w:rPr>
          <w:b/>
        </w:rPr>
      </w:pPr>
      <w:r>
        <w:rPr>
          <w:b/>
        </w:rPr>
        <w:t>References</w:t>
      </w:r>
    </w:p>
    <w:p w:rsidR="00747B41" w:rsidP="00747B41" w14:paraId="7D22F533" w14:textId="77777777">
      <w:pPr>
        <w:spacing w:after="0" w:line="240" w:lineRule="auto"/>
        <w:contextualSpacing/>
        <w:jc w:val="center"/>
        <w:rPr>
          <w:b/>
        </w:rPr>
      </w:pPr>
    </w:p>
    <w:p w:rsidR="00747B41" w:rsidP="00673BE7" w14:paraId="4125A654" w14:textId="77777777">
      <w:pPr>
        <w:pStyle w:val="Bibliography"/>
        <w:spacing w:after="0"/>
        <w:ind w:left="630" w:hanging="630"/>
        <w:contextualSpacing/>
      </w:pPr>
      <w:r w:rsidRPr="00692BEA">
        <w:t xml:space="preserve">Buchman, T. G., Simpson, S. Q., Sciarretta, K. L., Finne, K. P., Sowers, N., Collier, M., Chavan, S., Oke, I., Pennini, M. E., Santhosh, A., Wax, M., Woodbury, R., Chu, S., Merkeley, T. G., Disbrow, G. L., Bright, R. A., MaCurdy, T. E., &amp; Kelman, J. A. (2020). Sepsis </w:t>
      </w:r>
      <w:r>
        <w:t>a</w:t>
      </w:r>
      <w:r w:rsidRPr="00692BEA">
        <w:t xml:space="preserve">mong </w:t>
      </w:r>
      <w:r>
        <w:t>M</w:t>
      </w:r>
      <w:r w:rsidRPr="00692BEA">
        <w:t xml:space="preserve">edicare </w:t>
      </w:r>
      <w:r>
        <w:t>b</w:t>
      </w:r>
      <w:r w:rsidRPr="00692BEA">
        <w:t xml:space="preserve">eneficiaries: The </w:t>
      </w:r>
      <w:r>
        <w:t>m</w:t>
      </w:r>
      <w:r w:rsidRPr="00692BEA">
        <w:t xml:space="preserve">ethods, </w:t>
      </w:r>
      <w:r>
        <w:t>m</w:t>
      </w:r>
      <w:r w:rsidRPr="00692BEA">
        <w:t xml:space="preserve">odels, and </w:t>
      </w:r>
      <w:r>
        <w:t>f</w:t>
      </w:r>
      <w:r w:rsidRPr="00692BEA">
        <w:t xml:space="preserve">orecasts of </w:t>
      </w:r>
      <w:r>
        <w:t>s</w:t>
      </w:r>
      <w:r w:rsidRPr="00692BEA">
        <w:t xml:space="preserve">epsis, 2012–2018. </w:t>
      </w:r>
      <w:r w:rsidRPr="00692BEA">
        <w:rPr>
          <w:i/>
          <w:iCs/>
        </w:rPr>
        <w:t>Critical Care Medicine</w:t>
      </w:r>
      <w:r w:rsidRPr="00692BEA">
        <w:t xml:space="preserve">, </w:t>
      </w:r>
      <w:r w:rsidRPr="00692BEA">
        <w:rPr>
          <w:i/>
          <w:iCs/>
        </w:rPr>
        <w:t>48</w:t>
      </w:r>
      <w:r w:rsidRPr="00692BEA">
        <w:t xml:space="preserve">(3), 302–318. </w:t>
      </w:r>
      <w:hyperlink r:id="rId10" w:history="1">
        <w:r w:rsidRPr="00213922">
          <w:rPr>
            <w:rStyle w:val="Hyperlink"/>
          </w:rPr>
          <w:t>https://doi.org/10.1097/CCM.0000000000004225</w:t>
        </w:r>
      </w:hyperlink>
    </w:p>
    <w:p w:rsidR="00747B41" w:rsidRPr="00647887" w:rsidP="00673BE7" w14:paraId="5C6AC7A5" w14:textId="77777777">
      <w:pPr>
        <w:spacing w:after="0"/>
      </w:pPr>
    </w:p>
    <w:p w:rsidR="00747B41" w:rsidP="00673BE7" w14:paraId="0779EAB3" w14:textId="77777777">
      <w:pPr>
        <w:pStyle w:val="Bibliography"/>
        <w:spacing w:after="0"/>
        <w:ind w:left="630" w:hanging="630"/>
        <w:contextualSpacing/>
      </w:pPr>
      <w:r>
        <w:t xml:space="preserve">Centers for Disease Control and Prevention. </w:t>
      </w:r>
      <w:r w:rsidRPr="009D76CD">
        <w:t>(2021</w:t>
      </w:r>
      <w:r>
        <w:t>a</w:t>
      </w:r>
      <w:r w:rsidRPr="009D76CD">
        <w:t xml:space="preserve">, August 10). </w:t>
      </w:r>
      <w:r w:rsidRPr="009D76CD">
        <w:rPr>
          <w:i/>
          <w:iCs/>
        </w:rPr>
        <w:t>Sepsis Educational Materials</w:t>
      </w:r>
      <w:r w:rsidRPr="009A47B9">
        <w:t>.</w:t>
      </w:r>
      <w:r>
        <w:t xml:space="preserve"> Retrieved August 26, 2022, from</w:t>
      </w:r>
      <w:r w:rsidRPr="009A47B9">
        <w:t xml:space="preserve"> </w:t>
      </w:r>
      <w:hyperlink r:id="rId11" w:history="1">
        <w:r w:rsidRPr="00213922">
          <w:rPr>
            <w:rStyle w:val="Hyperlink"/>
          </w:rPr>
          <w:t>https://www.cdc.gov/sepsis/education/index.html</w:t>
        </w:r>
      </w:hyperlink>
    </w:p>
    <w:p w:rsidR="00747B41" w:rsidRPr="00FE7A17" w:rsidP="00673BE7" w14:paraId="6B2D7BC3" w14:textId="77777777">
      <w:pPr>
        <w:spacing w:after="0"/>
      </w:pPr>
    </w:p>
    <w:p w:rsidR="00747B41" w:rsidP="00673BE7" w14:paraId="4AF1E485" w14:textId="77777777">
      <w:pPr>
        <w:pStyle w:val="Bibliography"/>
        <w:spacing w:after="0"/>
        <w:ind w:left="630" w:hanging="630"/>
        <w:contextualSpacing/>
        <w:rPr>
          <w:rStyle w:val="Hyperlink"/>
        </w:rPr>
      </w:pPr>
      <w:r>
        <w:t xml:space="preserve">Centers for Disease Control and Prevention (2021b, September 30). </w:t>
      </w:r>
      <w:r w:rsidRPr="00677CDA">
        <w:rPr>
          <w:i/>
          <w:iCs/>
        </w:rPr>
        <w:t>Protect your patients from sepsis</w:t>
      </w:r>
      <w:r>
        <w:t xml:space="preserve">. Retrieved August 25, 2022, from </w:t>
      </w:r>
      <w:hyperlink r:id="rId12" w:history="1">
        <w:r w:rsidRPr="00A91B70">
          <w:rPr>
            <w:rStyle w:val="Hyperlink"/>
          </w:rPr>
          <w:t>https://www.cdc.gov/sepsis/pdfs/hcp/HCP_infographic_protect-your-patients-from-sepsis-P.pdf</w:t>
        </w:r>
      </w:hyperlink>
    </w:p>
    <w:p w:rsidR="00747B41" w:rsidRPr="00FE7A17" w:rsidP="00673BE7" w14:paraId="3CD8A5BF" w14:textId="77777777">
      <w:pPr>
        <w:spacing w:after="0"/>
      </w:pPr>
    </w:p>
    <w:p w:rsidR="00747B41" w:rsidP="00673BE7" w14:paraId="5E5B6BA6" w14:textId="77777777">
      <w:pPr>
        <w:pStyle w:val="Bibliography"/>
        <w:spacing w:after="0"/>
        <w:ind w:left="630" w:hanging="630"/>
        <w:contextualSpacing/>
      </w:pPr>
      <w:r>
        <w:t xml:space="preserve">Centers for Disease Control and Prevention. </w:t>
      </w:r>
      <w:r w:rsidRPr="009D76CD">
        <w:t xml:space="preserve">(2022, April 29). </w:t>
      </w:r>
      <w:r w:rsidRPr="009D76CD">
        <w:rPr>
          <w:i/>
          <w:iCs/>
        </w:rPr>
        <w:t>Sepsis is a medical emergency. ACT FAST</w:t>
      </w:r>
      <w:r>
        <w:rPr>
          <w:i/>
          <w:iCs/>
        </w:rPr>
        <w:t xml:space="preserve">. </w:t>
      </w:r>
      <w:r w:rsidRPr="009D76CD">
        <w:t xml:space="preserve"> </w:t>
      </w:r>
      <w:hyperlink r:id="rId13" w:history="1">
        <w:r w:rsidRPr="00213922">
          <w:rPr>
            <w:rStyle w:val="Hyperlink"/>
          </w:rPr>
          <w:t>https://www.cdc.gov/sepsis/what-is-sepsis.html</w:t>
        </w:r>
      </w:hyperlink>
    </w:p>
    <w:p w:rsidR="00747B41" w:rsidRPr="00FE7A17" w:rsidP="00673BE7" w14:paraId="743DA248" w14:textId="77777777">
      <w:pPr>
        <w:spacing w:after="0"/>
      </w:pPr>
    </w:p>
    <w:p w:rsidR="00747B41" w:rsidP="00673BE7" w14:paraId="7B87A255" w14:textId="77777777">
      <w:pPr>
        <w:pStyle w:val="Bibliography"/>
        <w:spacing w:after="0"/>
        <w:contextualSpacing/>
        <w:rPr>
          <w:rStyle w:val="Hyperlink"/>
          <w:rFonts w:cs="Times New Roman"/>
          <w:color w:val="000099"/>
          <w:szCs w:val="24"/>
          <w:shd w:val="clear" w:color="auto" w:fill="FFFFFF"/>
        </w:rPr>
      </w:pPr>
      <w:r>
        <w:t xml:space="preserve">Dante, R.B., &amp; Epstein, L. (2018). Combating sepsis: A public health perspective. </w:t>
      </w:r>
      <w:r w:rsidRPr="005A1F19">
        <w:rPr>
          <w:i/>
          <w:iCs/>
        </w:rPr>
        <w:t xml:space="preserve">Clinical Infectious </w:t>
      </w:r>
      <w:r>
        <w:rPr>
          <w:i/>
          <w:iCs/>
        </w:rPr>
        <w:tab/>
      </w:r>
      <w:r w:rsidRPr="005A1F19">
        <w:rPr>
          <w:i/>
          <w:iCs/>
        </w:rPr>
        <w:t>Diseases 67</w:t>
      </w:r>
      <w:r>
        <w:t>(8):1300-1302</w:t>
      </w:r>
      <w:r w:rsidRPr="005A1F19">
        <w:rPr>
          <w:rFonts w:cs="Times New Roman"/>
          <w:szCs w:val="24"/>
        </w:rPr>
        <w:t xml:space="preserve">. </w:t>
      </w:r>
      <w:hyperlink r:id="rId14" w:history="1">
        <w:r w:rsidRPr="005A1F19">
          <w:rPr>
            <w:rStyle w:val="Hyperlink"/>
            <w:rFonts w:cs="Times New Roman"/>
            <w:color w:val="000099"/>
            <w:szCs w:val="24"/>
            <w:shd w:val="clear" w:color="auto" w:fill="FFFFFF"/>
          </w:rPr>
          <w:t>http://doi.org/10.1093/cid/ciy342</w:t>
        </w:r>
      </w:hyperlink>
    </w:p>
    <w:p w:rsidR="00747B41" w:rsidRPr="00FE7A17" w:rsidP="00673BE7" w14:paraId="1D6B9297" w14:textId="77777777">
      <w:pPr>
        <w:spacing w:after="0"/>
      </w:pPr>
    </w:p>
    <w:p w:rsidR="00747B41" w:rsidP="00673BE7" w14:paraId="42E35A23" w14:textId="77777777">
      <w:pPr>
        <w:pStyle w:val="Bibliography"/>
        <w:spacing w:after="0"/>
        <w:ind w:left="720" w:hanging="720"/>
        <w:contextualSpacing/>
      </w:pPr>
      <w:r w:rsidRPr="00692BEA">
        <w:t xml:space="preserve">Fitzpatrick, F., Tarrant, C., Hamilton, V., Kiernan, F. M., Jenkins, D., &amp; Krockow, E. M. (2019). Sepsis and antimicrobial stewardship: Two sides of the same coin. </w:t>
      </w:r>
      <w:r w:rsidRPr="00692BEA">
        <w:rPr>
          <w:i/>
          <w:iCs/>
        </w:rPr>
        <w:t>BMJ Quality &amp; Safety</w:t>
      </w:r>
      <w:r w:rsidRPr="00692BEA">
        <w:t xml:space="preserve">, </w:t>
      </w:r>
      <w:r w:rsidRPr="00692BEA">
        <w:rPr>
          <w:i/>
          <w:iCs/>
        </w:rPr>
        <w:t>28</w:t>
      </w:r>
      <w:r w:rsidRPr="00692BEA">
        <w:t xml:space="preserve">(9), 758–761. </w:t>
      </w:r>
      <w:hyperlink r:id="rId15" w:history="1">
        <w:r w:rsidRPr="00213922">
          <w:rPr>
            <w:rStyle w:val="Hyperlink"/>
          </w:rPr>
          <w:t>https://doi.org/10.1136/bmjqs-2019-009445</w:t>
        </w:r>
      </w:hyperlink>
    </w:p>
    <w:p w:rsidR="00747B41" w:rsidRPr="00FE7A17" w:rsidP="00673BE7" w14:paraId="2705BBCB" w14:textId="77777777">
      <w:pPr>
        <w:spacing w:after="0"/>
      </w:pPr>
    </w:p>
    <w:p w:rsidR="00747B41" w:rsidP="00673BE7" w14:paraId="220234BD" w14:textId="77777777">
      <w:pPr>
        <w:spacing w:after="0"/>
        <w:ind w:left="630" w:hanging="630"/>
        <w:contextualSpacing/>
      </w:pPr>
      <w:r>
        <w:t xml:space="preserve">Halpern, S.D., Karlawish, J.H.T., Casarett, D., Berlin, J.A., &amp; Asch, D.A. (2004). Empirical assessment of whether payments are undue or unjust inducements for participation in clinical trials. </w:t>
      </w:r>
      <w:r w:rsidRPr="00875C64">
        <w:rPr>
          <w:i/>
          <w:iCs/>
        </w:rPr>
        <w:t>Archives of Internal Medicine,</w:t>
      </w:r>
      <w:r>
        <w:t xml:space="preserve"> </w:t>
      </w:r>
      <w:r w:rsidRPr="00A903DB">
        <w:rPr>
          <w:i/>
          <w:iCs/>
        </w:rPr>
        <w:t>164</w:t>
      </w:r>
      <w:r>
        <w:t xml:space="preserve">(7), 801-803. </w:t>
      </w:r>
      <w:hyperlink r:id="rId16" w:history="1">
        <w:r w:rsidRPr="00213922">
          <w:rPr>
            <w:rStyle w:val="Hyperlink"/>
          </w:rPr>
          <w:t>https://doi.org/10.1001/archinte.164.7.801</w:t>
        </w:r>
      </w:hyperlink>
    </w:p>
    <w:p w:rsidR="00747B41" w:rsidP="00673BE7" w14:paraId="49ADEFE8" w14:textId="77777777">
      <w:pPr>
        <w:spacing w:after="0"/>
        <w:ind w:left="630" w:hanging="630"/>
        <w:contextualSpacing/>
      </w:pPr>
    </w:p>
    <w:p w:rsidR="00747B41" w:rsidP="00673BE7" w14:paraId="30D9686E" w14:textId="77777777">
      <w:pPr>
        <w:pStyle w:val="Bibliography"/>
        <w:spacing w:after="0"/>
        <w:ind w:left="630" w:hanging="630"/>
        <w:contextualSpacing/>
      </w:pPr>
      <w:r w:rsidRPr="009F03E7">
        <w:t xml:space="preserve">Kuhn, G. (2020, March 9). </w:t>
      </w:r>
      <w:r w:rsidRPr="007D7C42">
        <w:rPr>
          <w:i/>
          <w:iCs/>
        </w:rPr>
        <w:t xml:space="preserve">How much should you pay participants in market research? </w:t>
      </w:r>
      <w:r>
        <w:t xml:space="preserve">Market Research, N.Y. </w:t>
      </w:r>
      <w:hyperlink r:id="rId17" w:history="1">
        <w:r w:rsidRPr="00213922">
          <w:rPr>
            <w:rStyle w:val="Hyperlink"/>
          </w:rPr>
          <w:t>https://www.driveresearch.com/market-research-company-blog/how-much-should-you-pay-participants-in-market-research/</w:t>
        </w:r>
      </w:hyperlink>
    </w:p>
    <w:p w:rsidR="00747B41" w:rsidRPr="00FE7A17" w:rsidP="00673BE7" w14:paraId="1F8812F0" w14:textId="77777777">
      <w:pPr>
        <w:spacing w:after="0"/>
      </w:pPr>
    </w:p>
    <w:p w:rsidR="00747B41" w:rsidP="00673BE7" w14:paraId="424B45E6" w14:textId="77777777">
      <w:pPr>
        <w:pStyle w:val="Bibliography"/>
        <w:spacing w:after="0"/>
        <w:ind w:left="630" w:hanging="630"/>
        <w:contextualSpacing/>
      </w:pPr>
      <w:r w:rsidRPr="00692BEA">
        <w:t xml:space="preserve">Liu, V., Escobar, G. J., Greene, J. D., Soule, J., Whippy, A., Angus, D. C., &amp; Iwashyna, T. J. (2014). </w:t>
      </w:r>
      <w:r w:rsidRPr="00321132">
        <w:t>Hospital</w:t>
      </w:r>
      <w:r w:rsidRPr="00692BEA">
        <w:t xml:space="preserve"> </w:t>
      </w:r>
      <w:r>
        <w:t>d</w:t>
      </w:r>
      <w:r w:rsidRPr="00692BEA">
        <w:t xml:space="preserve">eaths in </w:t>
      </w:r>
      <w:r>
        <w:t>p</w:t>
      </w:r>
      <w:r w:rsidRPr="00692BEA">
        <w:t xml:space="preserve">atients </w:t>
      </w:r>
      <w:r>
        <w:t>w</w:t>
      </w:r>
      <w:r w:rsidRPr="00692BEA">
        <w:t xml:space="preserve">ith </w:t>
      </w:r>
      <w:r>
        <w:t>s</w:t>
      </w:r>
      <w:r w:rsidRPr="00692BEA">
        <w:t xml:space="preserve">epsis </w:t>
      </w:r>
      <w:r>
        <w:t>f</w:t>
      </w:r>
      <w:r w:rsidRPr="00692BEA">
        <w:t xml:space="preserve">rom 2 </w:t>
      </w:r>
      <w:r>
        <w:t>i</w:t>
      </w:r>
      <w:r w:rsidRPr="00692BEA">
        <w:t xml:space="preserve">ndependent </w:t>
      </w:r>
      <w:r>
        <w:t>c</w:t>
      </w:r>
      <w:r w:rsidRPr="00692BEA">
        <w:t xml:space="preserve">ohorts. </w:t>
      </w:r>
      <w:r w:rsidRPr="00692BEA">
        <w:rPr>
          <w:i/>
          <w:iCs/>
        </w:rPr>
        <w:t>JAMA</w:t>
      </w:r>
      <w:r w:rsidRPr="00692BEA">
        <w:t xml:space="preserve">, </w:t>
      </w:r>
      <w:r w:rsidRPr="00692BEA">
        <w:rPr>
          <w:i/>
          <w:iCs/>
        </w:rPr>
        <w:t>312</w:t>
      </w:r>
      <w:r w:rsidRPr="00692BEA">
        <w:t xml:space="preserve">(1), 90–92. </w:t>
      </w:r>
      <w:hyperlink r:id="rId18" w:history="1">
        <w:r w:rsidRPr="00213922">
          <w:rPr>
            <w:rStyle w:val="Hyperlink"/>
          </w:rPr>
          <w:t>https://doi.org/10.1001/jama.2014.5804</w:t>
        </w:r>
      </w:hyperlink>
    </w:p>
    <w:p w:rsidR="00747B41" w:rsidRPr="00FE7A17" w:rsidP="00673BE7" w14:paraId="5CC551AF" w14:textId="77777777">
      <w:pPr>
        <w:spacing w:after="0"/>
      </w:pPr>
    </w:p>
    <w:p w:rsidR="00747B41" w:rsidP="00673BE7" w14:paraId="18DB8B35" w14:textId="77777777">
      <w:pPr>
        <w:pStyle w:val="Bibliography"/>
        <w:spacing w:after="0"/>
        <w:ind w:left="630" w:hanging="630"/>
        <w:contextualSpacing/>
      </w:pPr>
      <w:r w:rsidRPr="00692BEA">
        <w:t xml:space="preserve">Martin, A. B., Hartman, M., Benson, J., Catlin, A., &amp; the National Health Expenditure Accounts Team. (2016). National </w:t>
      </w:r>
      <w:r>
        <w:t>h</w:t>
      </w:r>
      <w:r w:rsidRPr="00692BEA">
        <w:t xml:space="preserve">ealth </w:t>
      </w:r>
      <w:r>
        <w:t>s</w:t>
      </w:r>
      <w:r w:rsidRPr="00692BEA">
        <w:t>pending</w:t>
      </w:r>
      <w:r>
        <w:t xml:space="preserve"> i</w:t>
      </w:r>
      <w:r w:rsidRPr="00692BEA">
        <w:t xml:space="preserve">n 2014: </w:t>
      </w:r>
      <w:r w:rsidRPr="00AC7752">
        <w:t xml:space="preserve">Faster </w:t>
      </w:r>
      <w:r>
        <w:t>g</w:t>
      </w:r>
      <w:r w:rsidRPr="00AC7752">
        <w:t xml:space="preserve">rowth </w:t>
      </w:r>
      <w:r>
        <w:t>d</w:t>
      </w:r>
      <w:r w:rsidRPr="00AC7752">
        <w:t xml:space="preserve">riven </w:t>
      </w:r>
      <w:r>
        <w:t>b</w:t>
      </w:r>
      <w:r w:rsidRPr="00AC7752">
        <w:t>y</w:t>
      </w:r>
      <w:r w:rsidRPr="00692BEA">
        <w:t xml:space="preserve"> </w:t>
      </w:r>
      <w:r>
        <w:t>c</w:t>
      </w:r>
      <w:r w:rsidRPr="00692BEA">
        <w:t xml:space="preserve">overage </w:t>
      </w:r>
      <w:r>
        <w:t>e</w:t>
      </w:r>
      <w:r w:rsidRPr="00692BEA">
        <w:t xml:space="preserve">xpansion </w:t>
      </w:r>
      <w:r>
        <w:t>a</w:t>
      </w:r>
      <w:r w:rsidRPr="00692BEA">
        <w:t xml:space="preserve">nd </w:t>
      </w:r>
      <w:r>
        <w:t>p</w:t>
      </w:r>
      <w:r w:rsidRPr="00692BEA">
        <w:t xml:space="preserve">rescription </w:t>
      </w:r>
      <w:r>
        <w:t>d</w:t>
      </w:r>
      <w:r w:rsidRPr="00692BEA">
        <w:t xml:space="preserve">rug </w:t>
      </w:r>
      <w:r>
        <w:t>s</w:t>
      </w:r>
      <w:r w:rsidRPr="00692BEA">
        <w:t xml:space="preserve">pending. </w:t>
      </w:r>
      <w:r w:rsidRPr="00692BEA">
        <w:rPr>
          <w:i/>
          <w:iCs/>
        </w:rPr>
        <w:t>Health Affairs</w:t>
      </w:r>
      <w:r w:rsidRPr="00692BEA">
        <w:t xml:space="preserve">, </w:t>
      </w:r>
      <w:r w:rsidRPr="00692BEA">
        <w:rPr>
          <w:i/>
          <w:iCs/>
        </w:rPr>
        <w:t>35</w:t>
      </w:r>
      <w:r w:rsidRPr="00692BEA">
        <w:t xml:space="preserve">(1), 150–160. </w:t>
      </w:r>
      <w:hyperlink r:id="rId19" w:history="1">
        <w:r w:rsidRPr="00213922">
          <w:rPr>
            <w:rStyle w:val="Hyperlink"/>
          </w:rPr>
          <w:t>https://doi.org/10.1377/hlthaff.2015.1194</w:t>
        </w:r>
      </w:hyperlink>
    </w:p>
    <w:p w:rsidR="00747B41" w:rsidRPr="00FE7A17" w:rsidP="00673BE7" w14:paraId="3978218F" w14:textId="77777777">
      <w:pPr>
        <w:spacing w:after="0"/>
      </w:pPr>
    </w:p>
    <w:p w:rsidR="00747B41" w:rsidP="00673BE7" w14:paraId="50AC325B" w14:textId="77777777">
      <w:pPr>
        <w:pStyle w:val="BodyText2"/>
        <w:numPr>
          <w:ilvl w:val="12"/>
          <w:numId w:val="0"/>
        </w:numPr>
        <w:spacing w:line="276" w:lineRule="auto"/>
        <w:ind w:left="630" w:hanging="630"/>
        <w:contextualSpacing/>
        <w:jc w:val="left"/>
        <w:rPr>
          <w:szCs w:val="24"/>
        </w:rPr>
      </w:pPr>
      <w:r>
        <w:t xml:space="preserve">Office of Management and Budget. (2016). </w:t>
      </w:r>
      <w:r w:rsidRPr="00244F25">
        <w:rPr>
          <w:i/>
          <w:iCs/>
        </w:rPr>
        <w:t>Question and answers when designing surveys for information collections.</w:t>
      </w:r>
      <w:r>
        <w:t xml:space="preserve"> </w:t>
      </w:r>
      <w:hyperlink r:id="rId20" w:history="1">
        <w:r w:rsidRPr="00213922">
          <w:rPr>
            <w:rStyle w:val="Hyperlink"/>
            <w:szCs w:val="24"/>
          </w:rPr>
          <w:t>https://obamawhitehouse.archives.gov/sites/default/files/omb/inforeg/pmc_survey_guidance_2006.pdf</w:t>
        </w:r>
      </w:hyperlink>
    </w:p>
    <w:p w:rsidR="00747B41" w:rsidP="00673BE7" w14:paraId="7914AADE" w14:textId="77777777">
      <w:pPr>
        <w:pStyle w:val="BodyText2"/>
        <w:numPr>
          <w:ilvl w:val="12"/>
          <w:numId w:val="0"/>
        </w:numPr>
        <w:spacing w:line="276" w:lineRule="auto"/>
        <w:ind w:left="630" w:hanging="630"/>
        <w:contextualSpacing/>
        <w:jc w:val="left"/>
        <w:rPr>
          <w:color w:val="000000"/>
          <w:szCs w:val="24"/>
        </w:rPr>
      </w:pPr>
    </w:p>
    <w:p w:rsidR="00747B41" w:rsidP="00673BE7" w14:paraId="28EBF060" w14:textId="77777777">
      <w:pPr>
        <w:pStyle w:val="Bibliography"/>
        <w:spacing w:after="0"/>
        <w:ind w:left="630" w:hanging="630"/>
        <w:contextualSpacing/>
      </w:pPr>
      <w:r w:rsidRPr="00692BEA">
        <w:t xml:space="preserve">Paoli, C. J., Reynolds, M. A., Sinha, M., Gitlin, M., &amp; Crouser, E. (2018). Epidemiology and </w:t>
      </w:r>
      <w:r>
        <w:t>c</w:t>
      </w:r>
      <w:r w:rsidRPr="00692BEA">
        <w:t xml:space="preserve">osts of </w:t>
      </w:r>
      <w:r>
        <w:t>s</w:t>
      </w:r>
      <w:r w:rsidRPr="00692BEA">
        <w:t xml:space="preserve">epsis in the United States—An </w:t>
      </w:r>
      <w:r>
        <w:t>a</w:t>
      </w:r>
      <w:r w:rsidRPr="00692BEA">
        <w:t xml:space="preserve">nalysis </w:t>
      </w:r>
      <w:r>
        <w:t>b</w:t>
      </w:r>
      <w:r w:rsidRPr="00692BEA">
        <w:t xml:space="preserve">ased on </w:t>
      </w:r>
      <w:r>
        <w:t>t</w:t>
      </w:r>
      <w:r w:rsidRPr="00692BEA">
        <w:t xml:space="preserve">iming of </w:t>
      </w:r>
      <w:r>
        <w:t>d</w:t>
      </w:r>
      <w:r w:rsidRPr="00692BEA">
        <w:t xml:space="preserve">iagnosis and </w:t>
      </w:r>
      <w:r>
        <w:t>s</w:t>
      </w:r>
      <w:r w:rsidRPr="00692BEA">
        <w:t xml:space="preserve">everity Level. </w:t>
      </w:r>
      <w:r w:rsidRPr="00692BEA">
        <w:rPr>
          <w:i/>
          <w:iCs/>
        </w:rPr>
        <w:t>Critical Care Medicine</w:t>
      </w:r>
      <w:r w:rsidRPr="00692BEA">
        <w:t xml:space="preserve">, </w:t>
      </w:r>
      <w:r w:rsidRPr="00692BEA">
        <w:rPr>
          <w:i/>
          <w:iCs/>
        </w:rPr>
        <w:t>46</w:t>
      </w:r>
      <w:r w:rsidRPr="00692BEA">
        <w:t xml:space="preserve">(12), 1889–1897. </w:t>
      </w:r>
      <w:hyperlink r:id="rId21" w:history="1">
        <w:r w:rsidRPr="00213922">
          <w:rPr>
            <w:rStyle w:val="Hyperlink"/>
          </w:rPr>
          <w:t>https://doi.org/10.1097/CCM.0000000000003342</w:t>
        </w:r>
      </w:hyperlink>
    </w:p>
    <w:p w:rsidR="00747B41" w:rsidP="00673BE7" w14:paraId="7E7151BD" w14:textId="77777777">
      <w:pPr>
        <w:spacing w:after="0"/>
      </w:pPr>
    </w:p>
    <w:p w:rsidR="00293502" w:rsidRPr="001B2540" w:rsidP="00293502" w14:paraId="05F29A8A" w14:textId="569FE6DD">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212121"/>
          <w:szCs w:val="24"/>
          <w:shd w:val="clear" w:color="auto" w:fill="FFFFFF"/>
        </w:rPr>
      </w:pPr>
      <w:r w:rsidRPr="001B2540">
        <w:rPr>
          <w:color w:val="000000"/>
          <w:szCs w:val="24"/>
        </w:rPr>
        <w:t xml:space="preserve">Pitt, S.W., Vo, T., Pyakurel, S. (2014). </w:t>
      </w:r>
      <w:r>
        <w:rPr>
          <w:color w:val="000000"/>
          <w:szCs w:val="24"/>
        </w:rPr>
        <w:t>T</w:t>
      </w:r>
      <w:r w:rsidRPr="001B2540">
        <w:rPr>
          <w:color w:val="000000"/>
          <w:szCs w:val="24"/>
        </w:rPr>
        <w:t xml:space="preserve">he effectiveness of recruitment strategies on general practitioner's survey response rates -- a systematic review. </w:t>
      </w:r>
      <w:r w:rsidRPr="001B2540">
        <w:rPr>
          <w:i/>
          <w:iCs/>
          <w:color w:val="000000"/>
          <w:szCs w:val="24"/>
        </w:rPr>
        <w:t>BMC Med Res Methodol</w:t>
      </w:r>
      <w:r w:rsidRPr="001B2540">
        <w:rPr>
          <w:color w:val="000000"/>
          <w:szCs w:val="24"/>
        </w:rPr>
        <w:t>, 14, 76.</w:t>
      </w:r>
      <w:r w:rsidRPr="001B2540">
        <w:rPr>
          <w:color w:val="212121"/>
          <w:szCs w:val="24"/>
          <w:shd w:val="clear" w:color="auto" w:fill="FFFFFF"/>
        </w:rPr>
        <w:t xml:space="preserve"> https://doi.org/10.1186/1471-2288-14-76</w:t>
      </w:r>
    </w:p>
    <w:p w:rsidR="00293502" w:rsidRPr="00C33064" w:rsidP="00673BE7" w14:paraId="0651A9FA" w14:textId="77777777">
      <w:pPr>
        <w:spacing w:after="0"/>
      </w:pPr>
    </w:p>
    <w:p w:rsidR="00747B41" w:rsidP="00673BE7" w14:paraId="5C59A8B5" w14:textId="77777777">
      <w:pPr>
        <w:pStyle w:val="Bibliography"/>
        <w:spacing w:after="0"/>
        <w:ind w:left="630" w:hanging="630"/>
        <w:contextualSpacing/>
      </w:pPr>
      <w:r w:rsidRPr="009F03E7">
        <w:t xml:space="preserve">Pollfish. (2021, February 11). </w:t>
      </w:r>
      <w:r w:rsidRPr="007F5B6E">
        <w:rPr>
          <w:i/>
          <w:iCs/>
        </w:rPr>
        <w:t xml:space="preserve">The best survey incentives to increase survey participation. </w:t>
      </w:r>
      <w:r w:rsidRPr="007F5B6E">
        <w:t xml:space="preserve">Pollfish </w:t>
      </w:r>
      <w:r>
        <w:t>Market Research, N.Y</w:t>
      </w:r>
      <w:r w:rsidRPr="007F5B6E">
        <w:t xml:space="preserve">. </w:t>
      </w:r>
      <w:hyperlink r:id="rId22" w:history="1">
        <w:r w:rsidRPr="00213922">
          <w:rPr>
            <w:rStyle w:val="Hyperlink"/>
          </w:rPr>
          <w:t>https://resources.pollfish.com/market-research/the-best-survey-incentives-to-increase-survey-participation/</w:t>
        </w:r>
      </w:hyperlink>
    </w:p>
    <w:p w:rsidR="00747B41" w:rsidRPr="00C33064" w:rsidP="00673BE7" w14:paraId="76AA1B11" w14:textId="77777777">
      <w:pPr>
        <w:spacing w:after="0"/>
      </w:pPr>
    </w:p>
    <w:p w:rsidR="00747B41" w:rsidP="00673BE7" w14:paraId="76DD49EB" w14:textId="77777777">
      <w:pPr>
        <w:pStyle w:val="Bibliography"/>
        <w:spacing w:after="0"/>
        <w:ind w:left="630" w:hanging="630"/>
        <w:contextualSpacing/>
      </w:pPr>
      <w:r w:rsidRPr="00692BEA">
        <w:t xml:space="preserve">Rhee, C., Dantes, R., Epstein, L., Murphy, D. J., Seymour, C. W., Iwashyna, T. J., Kadri, S. S., Angus, D. C., Danner, R. L., Fiore, A. E., Jernigan, J. A., Martin, G. S., Septimus, E., Warren, D. K., Karcz, A., Chan, C., Menchaca, J. T., Wang, R., Gruber, S., &amp; Klompas, M. (2017). Incidence and </w:t>
      </w:r>
      <w:r>
        <w:t>t</w:t>
      </w:r>
      <w:r w:rsidRPr="00692BEA">
        <w:t xml:space="preserve">rends of </w:t>
      </w:r>
      <w:r>
        <w:t>s</w:t>
      </w:r>
      <w:r w:rsidRPr="00692BEA">
        <w:t xml:space="preserve">epsis in US </w:t>
      </w:r>
      <w:r>
        <w:t>h</w:t>
      </w:r>
      <w:r w:rsidRPr="00692BEA">
        <w:t xml:space="preserve">ospitals </w:t>
      </w:r>
      <w:r>
        <w:t>u</w:t>
      </w:r>
      <w:r w:rsidRPr="00692BEA">
        <w:t xml:space="preserve">sing </w:t>
      </w:r>
      <w:r>
        <w:t>c</w:t>
      </w:r>
      <w:r w:rsidRPr="00692BEA">
        <w:t xml:space="preserve">linical vs </w:t>
      </w:r>
      <w:r>
        <w:t>c</w:t>
      </w:r>
      <w:r w:rsidRPr="00692BEA">
        <w:t xml:space="preserve">laims </w:t>
      </w:r>
      <w:r>
        <w:t>d</w:t>
      </w:r>
      <w:r w:rsidRPr="00692BEA">
        <w:t xml:space="preserve">ata, 2009-2014. </w:t>
      </w:r>
      <w:r w:rsidRPr="00692BEA">
        <w:rPr>
          <w:i/>
          <w:iCs/>
        </w:rPr>
        <w:t>JAMA</w:t>
      </w:r>
      <w:r w:rsidRPr="00692BEA">
        <w:t xml:space="preserve">, </w:t>
      </w:r>
      <w:r w:rsidRPr="00692BEA">
        <w:rPr>
          <w:i/>
          <w:iCs/>
        </w:rPr>
        <w:t>318</w:t>
      </w:r>
      <w:r w:rsidRPr="00692BEA">
        <w:t xml:space="preserve">(13), 1241–1249. </w:t>
      </w:r>
      <w:hyperlink r:id="rId23" w:history="1">
        <w:r w:rsidRPr="00213922">
          <w:rPr>
            <w:rStyle w:val="Hyperlink"/>
          </w:rPr>
          <w:t>https://doi.org/10.1001/jama.2017.13836</w:t>
        </w:r>
      </w:hyperlink>
    </w:p>
    <w:p w:rsidR="00747B41" w:rsidRPr="00C33064" w:rsidP="00673BE7" w14:paraId="2269A832" w14:textId="77777777">
      <w:pPr>
        <w:spacing w:after="0"/>
      </w:pPr>
    </w:p>
    <w:p w:rsidR="00747B41" w:rsidP="00673BE7" w14:paraId="4A664853" w14:textId="77777777">
      <w:pPr>
        <w:pStyle w:val="Bibliography"/>
        <w:spacing w:after="0"/>
        <w:ind w:left="630" w:hanging="630"/>
        <w:contextualSpacing/>
      </w:pPr>
      <w:r w:rsidRPr="00692BEA">
        <w:rPr>
          <w:i/>
          <w:iCs/>
        </w:rPr>
        <w:t>Sepsis a Leading Cause of Death in U.S. Hospitals but Many Deaths May Not be Preventable</w:t>
      </w:r>
      <w:r w:rsidRPr="00692BEA">
        <w:t xml:space="preserve">. (n.d.). Infection Control Today. Retrieved </w:t>
      </w:r>
      <w:r>
        <w:t>August 2</w:t>
      </w:r>
      <w:r w:rsidRPr="00692BEA">
        <w:t xml:space="preserve">5, 2022, from </w:t>
      </w:r>
      <w:hyperlink r:id="rId24" w:history="1">
        <w:r w:rsidRPr="00213922">
          <w:rPr>
            <w:rStyle w:val="Hyperlink"/>
          </w:rPr>
          <w:t>https://www.infectioncontroltoday.com/view/sepsis-leading-cause-death-us-hospitals-many-deaths-may-not-be-preventable</w:t>
        </w:r>
      </w:hyperlink>
    </w:p>
    <w:p w:rsidR="00747B41" w:rsidRPr="00C33064" w:rsidP="00673BE7" w14:paraId="50F180E7" w14:textId="77777777">
      <w:pPr>
        <w:spacing w:after="0"/>
      </w:pPr>
    </w:p>
    <w:p w:rsidR="00747B41" w:rsidP="00673BE7" w14:paraId="5BEAF535" w14:textId="77777777">
      <w:pPr>
        <w:pStyle w:val="Bibliography"/>
        <w:spacing w:after="0"/>
        <w:contextualSpacing/>
      </w:pPr>
      <w:r w:rsidRPr="00692BEA">
        <w:rPr>
          <w:i/>
          <w:iCs/>
        </w:rPr>
        <w:t>Sepsis Information Guide—Sepsis Fact Sheet</w:t>
      </w:r>
      <w:r w:rsidRPr="00692BEA">
        <w:t>. (2020). Sepsis Alliance.</w:t>
      </w:r>
    </w:p>
    <w:p w:rsidR="00673BE7" w:rsidRPr="00673BE7" w:rsidP="00673BE7" w14:paraId="5C63BE0F" w14:textId="77777777"/>
    <w:p w:rsidR="00747B41" w:rsidP="00673BE7" w14:paraId="5FCDE38B" w14:textId="77777777">
      <w:pPr>
        <w:pStyle w:val="Bibliography"/>
        <w:spacing w:after="0"/>
        <w:ind w:left="630" w:hanging="630"/>
        <w:contextualSpacing/>
      </w:pPr>
      <w:r w:rsidRPr="009F03E7">
        <w:t xml:space="preserve">Surveytown. (2016, August 23). </w:t>
      </w:r>
      <w:r w:rsidRPr="00B842CB">
        <w:rPr>
          <w:i/>
          <w:iCs/>
        </w:rPr>
        <w:t>7 Survey Incentives That Get Respondents Every Time</w:t>
      </w:r>
      <w:r w:rsidRPr="009F03E7">
        <w:t xml:space="preserve">. </w:t>
      </w:r>
      <w:r w:rsidRPr="00B842CB">
        <w:t>SurveyTown.</w:t>
      </w:r>
      <w:r>
        <w:t xml:space="preserve"> </w:t>
      </w:r>
      <w:hyperlink r:id="rId25" w:history="1">
        <w:r w:rsidRPr="00213922">
          <w:rPr>
            <w:rStyle w:val="Hyperlink"/>
          </w:rPr>
          <w:t>https://surveytown.com/7-survey-incentives-that-get-respondents-every-time/</w:t>
        </w:r>
      </w:hyperlink>
    </w:p>
    <w:p w:rsidR="00747B41" w:rsidRPr="00C33064" w:rsidP="00673BE7" w14:paraId="789F3DE9" w14:textId="77777777">
      <w:pPr>
        <w:spacing w:after="0"/>
      </w:pPr>
    </w:p>
    <w:p w:rsidR="00747B41" w:rsidP="00673BE7" w14:paraId="1016FB80" w14:textId="77777777">
      <w:pPr>
        <w:spacing w:after="0"/>
        <w:ind w:left="630" w:hanging="630"/>
        <w:contextualSpacing/>
        <w:rPr>
          <w:rStyle w:val="Hyperlink"/>
          <w:bCs/>
          <w:szCs w:val="24"/>
        </w:rPr>
      </w:pPr>
      <w:r w:rsidRPr="0095353F">
        <w:rPr>
          <w:bCs/>
          <w:szCs w:val="24"/>
        </w:rPr>
        <w:t xml:space="preserve">U.S. </w:t>
      </w:r>
      <w:r w:rsidRPr="0095353F">
        <w:rPr>
          <w:rFonts w:eastAsiaTheme="minorEastAsia"/>
          <w:szCs w:val="24"/>
        </w:rPr>
        <w:t>Department of Labor</w:t>
      </w:r>
      <w:r w:rsidRPr="0095353F">
        <w:rPr>
          <w:bCs/>
          <w:szCs w:val="24"/>
        </w:rPr>
        <w:t>, Bureau of Labor Statistics</w:t>
      </w:r>
      <w:r>
        <w:rPr>
          <w:bCs/>
          <w:szCs w:val="24"/>
        </w:rPr>
        <w:t xml:space="preserve">. (2022, March 31).  </w:t>
      </w:r>
      <w:r w:rsidRPr="0095353F">
        <w:rPr>
          <w:bCs/>
          <w:szCs w:val="24"/>
        </w:rPr>
        <w:t>May 2021</w:t>
      </w:r>
      <w:r>
        <w:rPr>
          <w:bCs/>
          <w:szCs w:val="24"/>
        </w:rPr>
        <w:t xml:space="preserve"> n</w:t>
      </w:r>
      <w:r w:rsidRPr="0095353F">
        <w:rPr>
          <w:bCs/>
          <w:szCs w:val="24"/>
        </w:rPr>
        <w:t xml:space="preserve">ational occupational employment and wage estimates: United States. Retrieved </w:t>
      </w:r>
      <w:r>
        <w:rPr>
          <w:bCs/>
          <w:szCs w:val="24"/>
        </w:rPr>
        <w:t xml:space="preserve">August 22, 2022, </w:t>
      </w:r>
      <w:r w:rsidRPr="0095353F">
        <w:rPr>
          <w:bCs/>
          <w:szCs w:val="24"/>
        </w:rPr>
        <w:t xml:space="preserve">from </w:t>
      </w:r>
      <w:hyperlink r:id="rId26" w:anchor="00-0000" w:history="1">
        <w:r w:rsidRPr="0095353F">
          <w:rPr>
            <w:rStyle w:val="Hyperlink"/>
            <w:bCs/>
            <w:szCs w:val="24"/>
          </w:rPr>
          <w:t>https://www.bls.gov/oes/current/oes_nat.htm#00-0000</w:t>
        </w:r>
      </w:hyperlink>
    </w:p>
    <w:p w:rsidR="00747B41" w:rsidP="00673BE7" w14:paraId="5CBB07AF" w14:textId="77777777">
      <w:pPr>
        <w:spacing w:after="0"/>
        <w:ind w:left="630" w:hanging="630"/>
        <w:contextualSpacing/>
        <w:rPr>
          <w:bCs/>
        </w:rPr>
      </w:pPr>
    </w:p>
    <w:p w:rsidR="00747B41" w:rsidP="00673BE7" w14:paraId="0E22A888" w14:textId="77777777">
      <w:pPr>
        <w:pStyle w:val="Bibliography"/>
        <w:spacing w:after="0"/>
        <w:ind w:left="630" w:hanging="630"/>
        <w:contextualSpacing/>
        <w:rPr>
          <w:rStyle w:val="Hyperlink"/>
        </w:rPr>
      </w:pPr>
      <w:r w:rsidRPr="009F03E7">
        <w:t xml:space="preserve">Vellinga, A., Devine, C., Ho, M. Y., Clarke, C., Leahy, P., Bourke, J., Devane, D., Duane, S., &amp; Kearney, P. (2020). What do patients value as incentives for participation in clinical trials? A pilot discrete choice experiment. </w:t>
      </w:r>
      <w:r w:rsidRPr="009F03E7">
        <w:rPr>
          <w:i/>
          <w:iCs/>
        </w:rPr>
        <w:t>Research Ethics</w:t>
      </w:r>
      <w:r w:rsidRPr="009F03E7">
        <w:t xml:space="preserve">, </w:t>
      </w:r>
      <w:r w:rsidRPr="009F03E7">
        <w:rPr>
          <w:i/>
          <w:iCs/>
        </w:rPr>
        <w:t>16</w:t>
      </w:r>
      <w:r w:rsidRPr="009F03E7">
        <w:t xml:space="preserve">(1–2), 1–12. </w:t>
      </w:r>
      <w:hyperlink r:id="rId27" w:history="1">
        <w:r w:rsidRPr="00965F4A">
          <w:rPr>
            <w:rStyle w:val="Hyperlink"/>
          </w:rPr>
          <w:t>https://doi.org/10.1177/1747016119898669</w:t>
        </w:r>
      </w:hyperlink>
    </w:p>
    <w:p w:rsidR="00747B41" w:rsidRPr="00C33064" w:rsidP="00673BE7" w14:paraId="62A828B8" w14:textId="77777777">
      <w:pPr>
        <w:spacing w:after="0"/>
      </w:pPr>
    </w:p>
    <w:p w:rsidR="00747B41" w:rsidP="00690EFE" w14:paraId="0965DC0E" w14:textId="591CBF57">
      <w:pPr>
        <w:pStyle w:val="Bibliography"/>
        <w:spacing w:after="0"/>
        <w:contextualSpacing/>
      </w:pPr>
      <w:r w:rsidRPr="00692BEA">
        <w:t xml:space="preserve">What Is Sepsis. (n.d.). </w:t>
      </w:r>
      <w:r w:rsidRPr="00692BEA">
        <w:rPr>
          <w:i/>
          <w:iCs/>
        </w:rPr>
        <w:t>Sepsis Alliance</w:t>
      </w:r>
      <w:r w:rsidRPr="00692BEA">
        <w:t xml:space="preserve">. Retrieved </w:t>
      </w:r>
      <w:r>
        <w:t>August 2</w:t>
      </w:r>
      <w:r w:rsidRPr="00692BEA">
        <w:t xml:space="preserve">5, 2022, from </w:t>
      </w:r>
      <w:hyperlink r:id="rId28" w:history="1">
        <w:r w:rsidRPr="00213922">
          <w:rPr>
            <w:rStyle w:val="Hyperlink"/>
          </w:rPr>
          <w:t>https://www.sepsis.org/sepsis-</w:t>
        </w:r>
      </w:hyperlink>
      <w:r>
        <w:tab/>
      </w:r>
      <w:r w:rsidRPr="00692BEA">
        <w:t>basics/what-is-sepsis/</w:t>
      </w:r>
    </w:p>
    <w:p w:rsidR="00690EFE" w:rsidRPr="00690EFE" w:rsidP="00690EFE" w14:paraId="7BBE213D" w14:textId="77777777"/>
    <w:sectPr w:rsidSect="006C6578">
      <w:headerReference w:type="default" r:id="rId29"/>
      <w:footerReference w:type="default" r:id="rId3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453" w14:paraId="3F251A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B0159"/>
    <w:multiLevelType w:val="hybridMultilevel"/>
    <w:tmpl w:val="31D62F46"/>
    <w:lvl w:ilvl="0">
      <w:start w:val="1"/>
      <w:numFmt w:val="upperLetter"/>
      <w:lvlText w:val="%1."/>
      <w:lvlJc w:val="left"/>
      <w:pPr>
        <w:ind w:left="360" w:hanging="360"/>
      </w:pPr>
      <w:rPr>
        <w:rFonts w:eastAsiaTheme="minorHAnsi"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88179A"/>
    <w:multiLevelType w:val="hybridMultilevel"/>
    <w:tmpl w:val="C408F0F0"/>
    <w:lvl w:ilvl="0">
      <w:start w:val="1"/>
      <w:numFmt w:val="bullet"/>
      <w:lvlText w:val=""/>
      <w:lvlJc w:val="left"/>
      <w:pPr>
        <w:tabs>
          <w:tab w:val="num" w:pos="1350"/>
        </w:tabs>
        <w:ind w:left="1350" w:hanging="360"/>
      </w:pPr>
      <w:rPr>
        <w:rFonts w:ascii="Symbol" w:hAnsi="Symbol"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2F4763E3"/>
    <w:multiLevelType w:val="hybridMultilevel"/>
    <w:tmpl w:val="B52026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F82414"/>
    <w:multiLevelType w:val="hybridMultilevel"/>
    <w:tmpl w:val="E32A6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E9DEA038"/>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6FB5722"/>
    <w:multiLevelType w:val="hybridMultilevel"/>
    <w:tmpl w:val="F26476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9B4F09"/>
    <w:multiLevelType w:val="hybridMultilevel"/>
    <w:tmpl w:val="3E4E8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0217A0"/>
    <w:multiLevelType w:val="hybridMultilevel"/>
    <w:tmpl w:val="0758F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8E72CC"/>
    <w:multiLevelType w:val="hybridMultilevel"/>
    <w:tmpl w:val="89448B98"/>
    <w:lvl w:ilvl="0">
      <w:start w:val="1"/>
      <w:numFmt w:val="decimal"/>
      <w:lvlText w:val="%1."/>
      <w:lvlJc w:val="left"/>
      <w:pPr>
        <w:ind w:left="360" w:hanging="360"/>
      </w:pPr>
      <w:rPr>
        <w:rFonts w:ascii="Times New Roman" w:hAnsi="Times New Roman" w:eastAsia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A00C88"/>
    <w:multiLevelType w:val="hybridMultilevel"/>
    <w:tmpl w:val="4E600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FC7686D"/>
    <w:multiLevelType w:val="hybridMultilevel"/>
    <w:tmpl w:val="0E66A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07B670C"/>
    <w:multiLevelType w:val="hybridMultilevel"/>
    <w:tmpl w:val="8A4E4DC6"/>
    <w:lvl w:ilvl="0">
      <w:start w:val="1"/>
      <w:numFmt w:val="decimal"/>
      <w:lvlText w:val="%1."/>
      <w:lvlJc w:val="left"/>
      <w:pPr>
        <w:ind w:left="36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B376E7"/>
    <w:multiLevelType w:val="hybridMultilevel"/>
    <w:tmpl w:val="ED8CBA26"/>
    <w:lvl w:ilvl="0">
      <w:start w:val="1"/>
      <w:numFmt w:val="bullet"/>
      <w:pStyle w:val="bullets0"/>
      <w:lvlText w:val=""/>
      <w:lvlJc w:val="left"/>
      <w:pPr>
        <w:ind w:left="360" w:hanging="360"/>
      </w:pPr>
      <w:rPr>
        <w:rFonts w:ascii="Symbol" w:hAnsi="Symbol" w:cs="Times New Roman"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3B4732"/>
    <w:multiLevelType w:val="hybridMultilevel"/>
    <w:tmpl w:val="B5F05C2A"/>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BD2B23"/>
    <w:multiLevelType w:val="hybridMultilevel"/>
    <w:tmpl w:val="4BFA26A2"/>
    <w:lvl w:ilvl="0">
      <w:start w:val="1"/>
      <w:numFmt w:val="decimal"/>
      <w:lvlText w:val="%1."/>
      <w:lvlJc w:val="left"/>
      <w:pPr>
        <w:ind w:left="36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9088277">
    <w:abstractNumId w:val="16"/>
  </w:num>
  <w:num w:numId="2" w16cid:durableId="1932619315">
    <w:abstractNumId w:val="4"/>
  </w:num>
  <w:num w:numId="3" w16cid:durableId="1529683956">
    <w:abstractNumId w:val="12"/>
  </w:num>
  <w:num w:numId="4" w16cid:durableId="1620915335">
    <w:abstractNumId w:val="11"/>
  </w:num>
  <w:num w:numId="5" w16cid:durableId="1710837166">
    <w:abstractNumId w:val="14"/>
  </w:num>
  <w:num w:numId="6" w16cid:durableId="8214377">
    <w:abstractNumId w:val="13"/>
  </w:num>
  <w:num w:numId="7" w16cid:durableId="1753045097">
    <w:abstractNumId w:val="10"/>
  </w:num>
  <w:num w:numId="8" w16cid:durableId="264197126">
    <w:abstractNumId w:val="7"/>
  </w:num>
  <w:num w:numId="9" w16cid:durableId="1440372112">
    <w:abstractNumId w:val="2"/>
  </w:num>
  <w:num w:numId="10" w16cid:durableId="1458135948">
    <w:abstractNumId w:val="1"/>
  </w:num>
  <w:num w:numId="11" w16cid:durableId="1993943975">
    <w:abstractNumId w:val="4"/>
    <w:lvlOverride w:ilvl="0">
      <w:startOverride w:val="11"/>
    </w:lvlOverride>
  </w:num>
  <w:num w:numId="12" w16cid:durableId="688138899">
    <w:abstractNumId w:val="3"/>
  </w:num>
  <w:num w:numId="13" w16cid:durableId="2053726108">
    <w:abstractNumId w:val="0"/>
  </w:num>
  <w:num w:numId="14" w16cid:durableId="729228475">
    <w:abstractNumId w:val="6"/>
  </w:num>
  <w:num w:numId="15" w16cid:durableId="316342423">
    <w:abstractNumId w:val="15"/>
  </w:num>
  <w:num w:numId="16" w16cid:durableId="1005667783">
    <w:abstractNumId w:val="9"/>
  </w:num>
  <w:num w:numId="17" w16cid:durableId="1036124486">
    <w:abstractNumId w:val="5"/>
  </w:num>
  <w:num w:numId="18" w16cid:durableId="5796789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mmase Adams">
    <w15:presenceInfo w15:providerId="AD" w15:userId="S::Emma.Adams@catmedia.com::785e800e-ddfb-4208-a82d-b4a14b5c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87"/>
    <w:rsid w:val="000000A4"/>
    <w:rsid w:val="000000C8"/>
    <w:rsid w:val="000010F7"/>
    <w:rsid w:val="00001BEE"/>
    <w:rsid w:val="00001EB0"/>
    <w:rsid w:val="00001F53"/>
    <w:rsid w:val="00002977"/>
    <w:rsid w:val="00002C36"/>
    <w:rsid w:val="00004109"/>
    <w:rsid w:val="000042EA"/>
    <w:rsid w:val="0000438C"/>
    <w:rsid w:val="00005818"/>
    <w:rsid w:val="00005DA5"/>
    <w:rsid w:val="00007593"/>
    <w:rsid w:val="000077C4"/>
    <w:rsid w:val="00010A25"/>
    <w:rsid w:val="0001151A"/>
    <w:rsid w:val="000115AD"/>
    <w:rsid w:val="00012003"/>
    <w:rsid w:val="000120B6"/>
    <w:rsid w:val="000121AD"/>
    <w:rsid w:val="00012BDB"/>
    <w:rsid w:val="00012CAE"/>
    <w:rsid w:val="00012CC1"/>
    <w:rsid w:val="00013B29"/>
    <w:rsid w:val="00013C4B"/>
    <w:rsid w:val="00013DC8"/>
    <w:rsid w:val="00014D3E"/>
    <w:rsid w:val="00015C1E"/>
    <w:rsid w:val="00020A18"/>
    <w:rsid w:val="00021600"/>
    <w:rsid w:val="00023412"/>
    <w:rsid w:val="00027210"/>
    <w:rsid w:val="000272AB"/>
    <w:rsid w:val="00027FB3"/>
    <w:rsid w:val="000300F1"/>
    <w:rsid w:val="00030D8B"/>
    <w:rsid w:val="00030E53"/>
    <w:rsid w:val="00031C42"/>
    <w:rsid w:val="0003214F"/>
    <w:rsid w:val="00033B40"/>
    <w:rsid w:val="00034383"/>
    <w:rsid w:val="00034B3D"/>
    <w:rsid w:val="00034BA0"/>
    <w:rsid w:val="00035D69"/>
    <w:rsid w:val="000360D7"/>
    <w:rsid w:val="00037931"/>
    <w:rsid w:val="00040DE3"/>
    <w:rsid w:val="000415E0"/>
    <w:rsid w:val="00042F07"/>
    <w:rsid w:val="00043750"/>
    <w:rsid w:val="00043A50"/>
    <w:rsid w:val="00045034"/>
    <w:rsid w:val="000450D6"/>
    <w:rsid w:val="000467DF"/>
    <w:rsid w:val="00047BEF"/>
    <w:rsid w:val="0005195A"/>
    <w:rsid w:val="00051F37"/>
    <w:rsid w:val="00052356"/>
    <w:rsid w:val="000526AA"/>
    <w:rsid w:val="00052B07"/>
    <w:rsid w:val="00052E52"/>
    <w:rsid w:val="00054325"/>
    <w:rsid w:val="00054A70"/>
    <w:rsid w:val="00055A2B"/>
    <w:rsid w:val="0005699B"/>
    <w:rsid w:val="00056DC0"/>
    <w:rsid w:val="0005755C"/>
    <w:rsid w:val="00061DC9"/>
    <w:rsid w:val="00061F77"/>
    <w:rsid w:val="00062EBF"/>
    <w:rsid w:val="0006317B"/>
    <w:rsid w:val="000637B5"/>
    <w:rsid w:val="00063C20"/>
    <w:rsid w:val="00064D2D"/>
    <w:rsid w:val="00064F6D"/>
    <w:rsid w:val="000671D5"/>
    <w:rsid w:val="000678EB"/>
    <w:rsid w:val="00070151"/>
    <w:rsid w:val="000722B1"/>
    <w:rsid w:val="00072DAD"/>
    <w:rsid w:val="00072ECB"/>
    <w:rsid w:val="000734A2"/>
    <w:rsid w:val="00073AD1"/>
    <w:rsid w:val="00073DFB"/>
    <w:rsid w:val="0007433B"/>
    <w:rsid w:val="00075C77"/>
    <w:rsid w:val="00076A68"/>
    <w:rsid w:val="00077429"/>
    <w:rsid w:val="00077456"/>
    <w:rsid w:val="00077A77"/>
    <w:rsid w:val="00077BB0"/>
    <w:rsid w:val="00080268"/>
    <w:rsid w:val="000810FF"/>
    <w:rsid w:val="0008114F"/>
    <w:rsid w:val="00081934"/>
    <w:rsid w:val="00081951"/>
    <w:rsid w:val="0008250A"/>
    <w:rsid w:val="000827CF"/>
    <w:rsid w:val="00083AE1"/>
    <w:rsid w:val="0008447E"/>
    <w:rsid w:val="00084961"/>
    <w:rsid w:val="00085B64"/>
    <w:rsid w:val="00085D71"/>
    <w:rsid w:val="00085EA3"/>
    <w:rsid w:val="00086725"/>
    <w:rsid w:val="00087175"/>
    <w:rsid w:val="000878B5"/>
    <w:rsid w:val="000909CE"/>
    <w:rsid w:val="00092D28"/>
    <w:rsid w:val="00093713"/>
    <w:rsid w:val="00093A4E"/>
    <w:rsid w:val="00094B1B"/>
    <w:rsid w:val="0009593E"/>
    <w:rsid w:val="00096785"/>
    <w:rsid w:val="000972D6"/>
    <w:rsid w:val="000A06FF"/>
    <w:rsid w:val="000A0A6E"/>
    <w:rsid w:val="000A1007"/>
    <w:rsid w:val="000A118E"/>
    <w:rsid w:val="000A1E51"/>
    <w:rsid w:val="000A2CCA"/>
    <w:rsid w:val="000A3AAE"/>
    <w:rsid w:val="000A3D7A"/>
    <w:rsid w:val="000A3EA9"/>
    <w:rsid w:val="000A481E"/>
    <w:rsid w:val="000A4B22"/>
    <w:rsid w:val="000A5AD8"/>
    <w:rsid w:val="000A5BCD"/>
    <w:rsid w:val="000A6E06"/>
    <w:rsid w:val="000B0499"/>
    <w:rsid w:val="000B0E87"/>
    <w:rsid w:val="000B121D"/>
    <w:rsid w:val="000B135A"/>
    <w:rsid w:val="000B21C0"/>
    <w:rsid w:val="000B59AA"/>
    <w:rsid w:val="000B5E58"/>
    <w:rsid w:val="000B67B1"/>
    <w:rsid w:val="000B6CA3"/>
    <w:rsid w:val="000B70F7"/>
    <w:rsid w:val="000B730C"/>
    <w:rsid w:val="000B78A4"/>
    <w:rsid w:val="000B7936"/>
    <w:rsid w:val="000B79E1"/>
    <w:rsid w:val="000B7E43"/>
    <w:rsid w:val="000C02C2"/>
    <w:rsid w:val="000C06AC"/>
    <w:rsid w:val="000C1277"/>
    <w:rsid w:val="000C1760"/>
    <w:rsid w:val="000C2149"/>
    <w:rsid w:val="000C3EDF"/>
    <w:rsid w:val="000C4935"/>
    <w:rsid w:val="000C6004"/>
    <w:rsid w:val="000C6560"/>
    <w:rsid w:val="000C6B72"/>
    <w:rsid w:val="000C704E"/>
    <w:rsid w:val="000C7B3D"/>
    <w:rsid w:val="000D02F5"/>
    <w:rsid w:val="000D0BF7"/>
    <w:rsid w:val="000D0C4F"/>
    <w:rsid w:val="000D11E6"/>
    <w:rsid w:val="000D1243"/>
    <w:rsid w:val="000D1B4E"/>
    <w:rsid w:val="000D32D4"/>
    <w:rsid w:val="000D3C94"/>
    <w:rsid w:val="000D4AA4"/>
    <w:rsid w:val="000D55D2"/>
    <w:rsid w:val="000D56FF"/>
    <w:rsid w:val="000D5D3D"/>
    <w:rsid w:val="000D64DB"/>
    <w:rsid w:val="000D7A6C"/>
    <w:rsid w:val="000D7FE8"/>
    <w:rsid w:val="000E0487"/>
    <w:rsid w:val="000E0CAF"/>
    <w:rsid w:val="000E134D"/>
    <w:rsid w:val="000E3F82"/>
    <w:rsid w:val="000E4192"/>
    <w:rsid w:val="000E4DDB"/>
    <w:rsid w:val="000E505B"/>
    <w:rsid w:val="000E570B"/>
    <w:rsid w:val="000E598D"/>
    <w:rsid w:val="000E634E"/>
    <w:rsid w:val="000E7195"/>
    <w:rsid w:val="000F0302"/>
    <w:rsid w:val="000F032F"/>
    <w:rsid w:val="000F1216"/>
    <w:rsid w:val="000F133F"/>
    <w:rsid w:val="000F3E10"/>
    <w:rsid w:val="000F4A04"/>
    <w:rsid w:val="000F6E50"/>
    <w:rsid w:val="000F7329"/>
    <w:rsid w:val="000F7501"/>
    <w:rsid w:val="000F79AF"/>
    <w:rsid w:val="000F7D1F"/>
    <w:rsid w:val="00100396"/>
    <w:rsid w:val="001005DF"/>
    <w:rsid w:val="00100AA0"/>
    <w:rsid w:val="00100BA2"/>
    <w:rsid w:val="00100C8B"/>
    <w:rsid w:val="001011A6"/>
    <w:rsid w:val="00101AB2"/>
    <w:rsid w:val="00102743"/>
    <w:rsid w:val="00105190"/>
    <w:rsid w:val="00106FDB"/>
    <w:rsid w:val="001074C1"/>
    <w:rsid w:val="00107FFD"/>
    <w:rsid w:val="00110C0F"/>
    <w:rsid w:val="00111260"/>
    <w:rsid w:val="00114FA5"/>
    <w:rsid w:val="00115210"/>
    <w:rsid w:val="00115898"/>
    <w:rsid w:val="00115C07"/>
    <w:rsid w:val="00115D56"/>
    <w:rsid w:val="00117011"/>
    <w:rsid w:val="00117693"/>
    <w:rsid w:val="00117D54"/>
    <w:rsid w:val="00120052"/>
    <w:rsid w:val="00121218"/>
    <w:rsid w:val="00121BE2"/>
    <w:rsid w:val="00123F4A"/>
    <w:rsid w:val="001240A5"/>
    <w:rsid w:val="00124128"/>
    <w:rsid w:val="00125831"/>
    <w:rsid w:val="00125F72"/>
    <w:rsid w:val="0012646D"/>
    <w:rsid w:val="00127785"/>
    <w:rsid w:val="001314C2"/>
    <w:rsid w:val="0013230B"/>
    <w:rsid w:val="00133071"/>
    <w:rsid w:val="00133609"/>
    <w:rsid w:val="00133C67"/>
    <w:rsid w:val="00133E18"/>
    <w:rsid w:val="001345B2"/>
    <w:rsid w:val="001369BB"/>
    <w:rsid w:val="0013748F"/>
    <w:rsid w:val="001400EC"/>
    <w:rsid w:val="001401E3"/>
    <w:rsid w:val="001414BA"/>
    <w:rsid w:val="00142390"/>
    <w:rsid w:val="00142B17"/>
    <w:rsid w:val="0014331D"/>
    <w:rsid w:val="001434A1"/>
    <w:rsid w:val="00143989"/>
    <w:rsid w:val="00144364"/>
    <w:rsid w:val="00144CA9"/>
    <w:rsid w:val="00145219"/>
    <w:rsid w:val="00147315"/>
    <w:rsid w:val="00151A6C"/>
    <w:rsid w:val="001523DF"/>
    <w:rsid w:val="00152A99"/>
    <w:rsid w:val="00153669"/>
    <w:rsid w:val="00153B0E"/>
    <w:rsid w:val="00153B65"/>
    <w:rsid w:val="00154E77"/>
    <w:rsid w:val="001550B3"/>
    <w:rsid w:val="00155B5F"/>
    <w:rsid w:val="0015721C"/>
    <w:rsid w:val="00157C73"/>
    <w:rsid w:val="001604A8"/>
    <w:rsid w:val="001617B6"/>
    <w:rsid w:val="00162A17"/>
    <w:rsid w:val="00163722"/>
    <w:rsid w:val="00163F17"/>
    <w:rsid w:val="0016468F"/>
    <w:rsid w:val="001647E1"/>
    <w:rsid w:val="00164B2A"/>
    <w:rsid w:val="00164D3A"/>
    <w:rsid w:val="00165A07"/>
    <w:rsid w:val="00165A7E"/>
    <w:rsid w:val="00166370"/>
    <w:rsid w:val="001665E2"/>
    <w:rsid w:val="001679DE"/>
    <w:rsid w:val="00167B51"/>
    <w:rsid w:val="001701DE"/>
    <w:rsid w:val="001705A9"/>
    <w:rsid w:val="00170A7E"/>
    <w:rsid w:val="001710F4"/>
    <w:rsid w:val="001717BF"/>
    <w:rsid w:val="00173170"/>
    <w:rsid w:val="00173528"/>
    <w:rsid w:val="001746C9"/>
    <w:rsid w:val="001746D8"/>
    <w:rsid w:val="001748BB"/>
    <w:rsid w:val="001749CC"/>
    <w:rsid w:val="00175652"/>
    <w:rsid w:val="001758B6"/>
    <w:rsid w:val="00177AC5"/>
    <w:rsid w:val="00180AE5"/>
    <w:rsid w:val="00180C5C"/>
    <w:rsid w:val="00181657"/>
    <w:rsid w:val="00181C79"/>
    <w:rsid w:val="00181DB5"/>
    <w:rsid w:val="00182280"/>
    <w:rsid w:val="00184378"/>
    <w:rsid w:val="001845A5"/>
    <w:rsid w:val="0018480F"/>
    <w:rsid w:val="00184C77"/>
    <w:rsid w:val="00187817"/>
    <w:rsid w:val="00190F2B"/>
    <w:rsid w:val="0019196B"/>
    <w:rsid w:val="00191B4C"/>
    <w:rsid w:val="00193A58"/>
    <w:rsid w:val="00193AE4"/>
    <w:rsid w:val="00194693"/>
    <w:rsid w:val="00194795"/>
    <w:rsid w:val="00194DC2"/>
    <w:rsid w:val="001958B4"/>
    <w:rsid w:val="00196120"/>
    <w:rsid w:val="001963A6"/>
    <w:rsid w:val="0019653A"/>
    <w:rsid w:val="001969AA"/>
    <w:rsid w:val="001969DD"/>
    <w:rsid w:val="001A08A4"/>
    <w:rsid w:val="001A23E5"/>
    <w:rsid w:val="001A2AFE"/>
    <w:rsid w:val="001A3411"/>
    <w:rsid w:val="001A4199"/>
    <w:rsid w:val="001A535E"/>
    <w:rsid w:val="001A58BE"/>
    <w:rsid w:val="001A62A6"/>
    <w:rsid w:val="001A69A3"/>
    <w:rsid w:val="001A6A79"/>
    <w:rsid w:val="001A6B0E"/>
    <w:rsid w:val="001A6BC7"/>
    <w:rsid w:val="001A6F04"/>
    <w:rsid w:val="001B0886"/>
    <w:rsid w:val="001B1627"/>
    <w:rsid w:val="001B21F0"/>
    <w:rsid w:val="001B2540"/>
    <w:rsid w:val="001B3C6F"/>
    <w:rsid w:val="001B6D9B"/>
    <w:rsid w:val="001B759D"/>
    <w:rsid w:val="001B779C"/>
    <w:rsid w:val="001B7843"/>
    <w:rsid w:val="001C0382"/>
    <w:rsid w:val="001C075B"/>
    <w:rsid w:val="001C0B84"/>
    <w:rsid w:val="001C2972"/>
    <w:rsid w:val="001C3410"/>
    <w:rsid w:val="001C42B4"/>
    <w:rsid w:val="001C6377"/>
    <w:rsid w:val="001C6B86"/>
    <w:rsid w:val="001C77D3"/>
    <w:rsid w:val="001C7ACB"/>
    <w:rsid w:val="001D0FCC"/>
    <w:rsid w:val="001D17DE"/>
    <w:rsid w:val="001D19CA"/>
    <w:rsid w:val="001D2119"/>
    <w:rsid w:val="001D21DE"/>
    <w:rsid w:val="001D286F"/>
    <w:rsid w:val="001D2D44"/>
    <w:rsid w:val="001D3261"/>
    <w:rsid w:val="001D402F"/>
    <w:rsid w:val="001D51D3"/>
    <w:rsid w:val="001D5385"/>
    <w:rsid w:val="001D6EF0"/>
    <w:rsid w:val="001D74B8"/>
    <w:rsid w:val="001E08A8"/>
    <w:rsid w:val="001E0D1A"/>
    <w:rsid w:val="001E1541"/>
    <w:rsid w:val="001E2613"/>
    <w:rsid w:val="001E2C5D"/>
    <w:rsid w:val="001E4941"/>
    <w:rsid w:val="001E5231"/>
    <w:rsid w:val="001E5999"/>
    <w:rsid w:val="001E5FFD"/>
    <w:rsid w:val="001E6F74"/>
    <w:rsid w:val="001E704E"/>
    <w:rsid w:val="001E72F9"/>
    <w:rsid w:val="001E730E"/>
    <w:rsid w:val="001E7501"/>
    <w:rsid w:val="001E753F"/>
    <w:rsid w:val="001E77CA"/>
    <w:rsid w:val="001E791C"/>
    <w:rsid w:val="001F0136"/>
    <w:rsid w:val="001F094B"/>
    <w:rsid w:val="001F1DCF"/>
    <w:rsid w:val="001F1F82"/>
    <w:rsid w:val="001F2B6A"/>
    <w:rsid w:val="001F2C88"/>
    <w:rsid w:val="001F4015"/>
    <w:rsid w:val="001F429C"/>
    <w:rsid w:val="001F490B"/>
    <w:rsid w:val="001F54C8"/>
    <w:rsid w:val="001F6F79"/>
    <w:rsid w:val="00200DC3"/>
    <w:rsid w:val="002027DA"/>
    <w:rsid w:val="0020412C"/>
    <w:rsid w:val="00204670"/>
    <w:rsid w:val="00204BEA"/>
    <w:rsid w:val="0020547A"/>
    <w:rsid w:val="00205955"/>
    <w:rsid w:val="00205B7A"/>
    <w:rsid w:val="00206EB8"/>
    <w:rsid w:val="002074EB"/>
    <w:rsid w:val="002102B2"/>
    <w:rsid w:val="002110F4"/>
    <w:rsid w:val="0021185A"/>
    <w:rsid w:val="00211A5A"/>
    <w:rsid w:val="00212935"/>
    <w:rsid w:val="00213144"/>
    <w:rsid w:val="0021371F"/>
    <w:rsid w:val="00213922"/>
    <w:rsid w:val="00213B4C"/>
    <w:rsid w:val="00213FAE"/>
    <w:rsid w:val="00215AF4"/>
    <w:rsid w:val="00215FDD"/>
    <w:rsid w:val="00216195"/>
    <w:rsid w:val="00216310"/>
    <w:rsid w:val="00216C48"/>
    <w:rsid w:val="00217461"/>
    <w:rsid w:val="00220180"/>
    <w:rsid w:val="00220518"/>
    <w:rsid w:val="00220A8E"/>
    <w:rsid w:val="002218B5"/>
    <w:rsid w:val="00221907"/>
    <w:rsid w:val="002242DD"/>
    <w:rsid w:val="00225599"/>
    <w:rsid w:val="002255A3"/>
    <w:rsid w:val="00225750"/>
    <w:rsid w:val="002266E0"/>
    <w:rsid w:val="00230F2C"/>
    <w:rsid w:val="0023138A"/>
    <w:rsid w:val="00232152"/>
    <w:rsid w:val="0023250E"/>
    <w:rsid w:val="00232F00"/>
    <w:rsid w:val="0023371D"/>
    <w:rsid w:val="00234536"/>
    <w:rsid w:val="00235668"/>
    <w:rsid w:val="00237AC1"/>
    <w:rsid w:val="00237BB7"/>
    <w:rsid w:val="0024035B"/>
    <w:rsid w:val="00242453"/>
    <w:rsid w:val="002441B9"/>
    <w:rsid w:val="00244AA9"/>
    <w:rsid w:val="00244F25"/>
    <w:rsid w:val="002451EA"/>
    <w:rsid w:val="0024572C"/>
    <w:rsid w:val="00245800"/>
    <w:rsid w:val="00245869"/>
    <w:rsid w:val="00245B2F"/>
    <w:rsid w:val="0024615A"/>
    <w:rsid w:val="00246771"/>
    <w:rsid w:val="002467B3"/>
    <w:rsid w:val="002468F6"/>
    <w:rsid w:val="0024700F"/>
    <w:rsid w:val="00250041"/>
    <w:rsid w:val="0025156B"/>
    <w:rsid w:val="00251E0E"/>
    <w:rsid w:val="002529C6"/>
    <w:rsid w:val="00252E6F"/>
    <w:rsid w:val="00254602"/>
    <w:rsid w:val="00254FD3"/>
    <w:rsid w:val="002555D1"/>
    <w:rsid w:val="00256D0A"/>
    <w:rsid w:val="00256DEC"/>
    <w:rsid w:val="0025718C"/>
    <w:rsid w:val="00257395"/>
    <w:rsid w:val="0025751D"/>
    <w:rsid w:val="002601FB"/>
    <w:rsid w:val="00261C81"/>
    <w:rsid w:val="00261CD9"/>
    <w:rsid w:val="00262388"/>
    <w:rsid w:val="00262A00"/>
    <w:rsid w:val="002639C3"/>
    <w:rsid w:val="00263EC0"/>
    <w:rsid w:val="00263FC6"/>
    <w:rsid w:val="00264B59"/>
    <w:rsid w:val="00265E7B"/>
    <w:rsid w:val="00266022"/>
    <w:rsid w:val="00266CF7"/>
    <w:rsid w:val="0026747D"/>
    <w:rsid w:val="00270979"/>
    <w:rsid w:val="00271E0D"/>
    <w:rsid w:val="0027200D"/>
    <w:rsid w:val="00272087"/>
    <w:rsid w:val="00275E1E"/>
    <w:rsid w:val="002763B0"/>
    <w:rsid w:val="00276C50"/>
    <w:rsid w:val="00276F00"/>
    <w:rsid w:val="002775B9"/>
    <w:rsid w:val="00277A60"/>
    <w:rsid w:val="00277CB0"/>
    <w:rsid w:val="00277F2D"/>
    <w:rsid w:val="002805E6"/>
    <w:rsid w:val="00281579"/>
    <w:rsid w:val="00281D75"/>
    <w:rsid w:val="002827A9"/>
    <w:rsid w:val="002828F8"/>
    <w:rsid w:val="00284B87"/>
    <w:rsid w:val="002860EB"/>
    <w:rsid w:val="002875F6"/>
    <w:rsid w:val="002878E2"/>
    <w:rsid w:val="00291F50"/>
    <w:rsid w:val="00293502"/>
    <w:rsid w:val="00293B97"/>
    <w:rsid w:val="00293FB7"/>
    <w:rsid w:val="00294ABC"/>
    <w:rsid w:val="00294DDD"/>
    <w:rsid w:val="002952D2"/>
    <w:rsid w:val="00295CC1"/>
    <w:rsid w:val="002967D2"/>
    <w:rsid w:val="002970B4"/>
    <w:rsid w:val="002979F3"/>
    <w:rsid w:val="002A02C2"/>
    <w:rsid w:val="002A0905"/>
    <w:rsid w:val="002A1471"/>
    <w:rsid w:val="002A15BE"/>
    <w:rsid w:val="002A1E78"/>
    <w:rsid w:val="002A24E9"/>
    <w:rsid w:val="002A39D0"/>
    <w:rsid w:val="002A52E0"/>
    <w:rsid w:val="002A53C3"/>
    <w:rsid w:val="002A57C1"/>
    <w:rsid w:val="002A57E8"/>
    <w:rsid w:val="002A61BD"/>
    <w:rsid w:val="002A75D6"/>
    <w:rsid w:val="002A78C8"/>
    <w:rsid w:val="002A796F"/>
    <w:rsid w:val="002B0121"/>
    <w:rsid w:val="002B06BE"/>
    <w:rsid w:val="002B161D"/>
    <w:rsid w:val="002B2E40"/>
    <w:rsid w:val="002B3157"/>
    <w:rsid w:val="002B3A2C"/>
    <w:rsid w:val="002B3E82"/>
    <w:rsid w:val="002B45C8"/>
    <w:rsid w:val="002B48A5"/>
    <w:rsid w:val="002B4D83"/>
    <w:rsid w:val="002B5A8B"/>
    <w:rsid w:val="002B6693"/>
    <w:rsid w:val="002B77FE"/>
    <w:rsid w:val="002C0602"/>
    <w:rsid w:val="002C0D14"/>
    <w:rsid w:val="002C0F88"/>
    <w:rsid w:val="002C12E1"/>
    <w:rsid w:val="002C2016"/>
    <w:rsid w:val="002C28A8"/>
    <w:rsid w:val="002C2FB5"/>
    <w:rsid w:val="002C369A"/>
    <w:rsid w:val="002C44F5"/>
    <w:rsid w:val="002C559F"/>
    <w:rsid w:val="002C58FB"/>
    <w:rsid w:val="002C5E1B"/>
    <w:rsid w:val="002C605C"/>
    <w:rsid w:val="002C74E3"/>
    <w:rsid w:val="002C76A4"/>
    <w:rsid w:val="002C7D85"/>
    <w:rsid w:val="002D1A34"/>
    <w:rsid w:val="002D1D3B"/>
    <w:rsid w:val="002D2897"/>
    <w:rsid w:val="002D3BB1"/>
    <w:rsid w:val="002D4A08"/>
    <w:rsid w:val="002D53B2"/>
    <w:rsid w:val="002D53D0"/>
    <w:rsid w:val="002D6379"/>
    <w:rsid w:val="002D6549"/>
    <w:rsid w:val="002D6E61"/>
    <w:rsid w:val="002D6F80"/>
    <w:rsid w:val="002E0930"/>
    <w:rsid w:val="002E1304"/>
    <w:rsid w:val="002E24A0"/>
    <w:rsid w:val="002E5876"/>
    <w:rsid w:val="002E6B64"/>
    <w:rsid w:val="002E7545"/>
    <w:rsid w:val="002F02AE"/>
    <w:rsid w:val="002F0E65"/>
    <w:rsid w:val="002F12BF"/>
    <w:rsid w:val="002F1560"/>
    <w:rsid w:val="002F1B39"/>
    <w:rsid w:val="002F28C2"/>
    <w:rsid w:val="002F35B5"/>
    <w:rsid w:val="002F4EA3"/>
    <w:rsid w:val="002F73EF"/>
    <w:rsid w:val="002F7B56"/>
    <w:rsid w:val="00300659"/>
    <w:rsid w:val="00300CCB"/>
    <w:rsid w:val="0030190B"/>
    <w:rsid w:val="00302AC1"/>
    <w:rsid w:val="00303FC0"/>
    <w:rsid w:val="0030408C"/>
    <w:rsid w:val="00304BBB"/>
    <w:rsid w:val="00305E39"/>
    <w:rsid w:val="0030604B"/>
    <w:rsid w:val="003068F0"/>
    <w:rsid w:val="00307165"/>
    <w:rsid w:val="003075FE"/>
    <w:rsid w:val="0031157D"/>
    <w:rsid w:val="0031179A"/>
    <w:rsid w:val="00311BED"/>
    <w:rsid w:val="00312B34"/>
    <w:rsid w:val="00312EAB"/>
    <w:rsid w:val="00314CE7"/>
    <w:rsid w:val="00315044"/>
    <w:rsid w:val="00315CF7"/>
    <w:rsid w:val="00315EE4"/>
    <w:rsid w:val="003164EB"/>
    <w:rsid w:val="003167DA"/>
    <w:rsid w:val="00316874"/>
    <w:rsid w:val="00317A4E"/>
    <w:rsid w:val="00317B90"/>
    <w:rsid w:val="00317C0C"/>
    <w:rsid w:val="00321132"/>
    <w:rsid w:val="00321643"/>
    <w:rsid w:val="003219F9"/>
    <w:rsid w:val="0032360D"/>
    <w:rsid w:val="00323D60"/>
    <w:rsid w:val="00324EB3"/>
    <w:rsid w:val="0032769D"/>
    <w:rsid w:val="0032770B"/>
    <w:rsid w:val="00327B80"/>
    <w:rsid w:val="00330046"/>
    <w:rsid w:val="00331CD5"/>
    <w:rsid w:val="003321A7"/>
    <w:rsid w:val="0033268C"/>
    <w:rsid w:val="00332EC7"/>
    <w:rsid w:val="003343DA"/>
    <w:rsid w:val="00334539"/>
    <w:rsid w:val="003357CF"/>
    <w:rsid w:val="003357EC"/>
    <w:rsid w:val="00336072"/>
    <w:rsid w:val="00336081"/>
    <w:rsid w:val="00336951"/>
    <w:rsid w:val="00336A54"/>
    <w:rsid w:val="00336B48"/>
    <w:rsid w:val="003370E6"/>
    <w:rsid w:val="0033757C"/>
    <w:rsid w:val="00337593"/>
    <w:rsid w:val="00337D7A"/>
    <w:rsid w:val="003406F6"/>
    <w:rsid w:val="0034086A"/>
    <w:rsid w:val="003410EB"/>
    <w:rsid w:val="0034189F"/>
    <w:rsid w:val="003419B3"/>
    <w:rsid w:val="00342A2E"/>
    <w:rsid w:val="00342F00"/>
    <w:rsid w:val="00343BF4"/>
    <w:rsid w:val="00343EF3"/>
    <w:rsid w:val="00344143"/>
    <w:rsid w:val="00344354"/>
    <w:rsid w:val="003453DB"/>
    <w:rsid w:val="003454F8"/>
    <w:rsid w:val="00345E22"/>
    <w:rsid w:val="003472FA"/>
    <w:rsid w:val="00347852"/>
    <w:rsid w:val="0035089A"/>
    <w:rsid w:val="00350A38"/>
    <w:rsid w:val="00350A70"/>
    <w:rsid w:val="00351117"/>
    <w:rsid w:val="003516F1"/>
    <w:rsid w:val="003525F9"/>
    <w:rsid w:val="00352C69"/>
    <w:rsid w:val="003532A1"/>
    <w:rsid w:val="00353517"/>
    <w:rsid w:val="00353E25"/>
    <w:rsid w:val="003547A1"/>
    <w:rsid w:val="00356B2B"/>
    <w:rsid w:val="00360175"/>
    <w:rsid w:val="003611CD"/>
    <w:rsid w:val="00361489"/>
    <w:rsid w:val="00361D38"/>
    <w:rsid w:val="003621A8"/>
    <w:rsid w:val="00362333"/>
    <w:rsid w:val="003633D2"/>
    <w:rsid w:val="003642BC"/>
    <w:rsid w:val="003642FD"/>
    <w:rsid w:val="00364BF7"/>
    <w:rsid w:val="00364CB5"/>
    <w:rsid w:val="003675FD"/>
    <w:rsid w:val="00367B0E"/>
    <w:rsid w:val="00371128"/>
    <w:rsid w:val="0037380B"/>
    <w:rsid w:val="00373D40"/>
    <w:rsid w:val="00373EDD"/>
    <w:rsid w:val="00374973"/>
    <w:rsid w:val="00374B69"/>
    <w:rsid w:val="0037523C"/>
    <w:rsid w:val="00375522"/>
    <w:rsid w:val="003763D6"/>
    <w:rsid w:val="0037684A"/>
    <w:rsid w:val="00376A56"/>
    <w:rsid w:val="00380805"/>
    <w:rsid w:val="00381500"/>
    <w:rsid w:val="003836F3"/>
    <w:rsid w:val="00383BE8"/>
    <w:rsid w:val="003870B1"/>
    <w:rsid w:val="00387D14"/>
    <w:rsid w:val="00390DCF"/>
    <w:rsid w:val="00391794"/>
    <w:rsid w:val="003922D0"/>
    <w:rsid w:val="00392EDC"/>
    <w:rsid w:val="00392FB9"/>
    <w:rsid w:val="00393669"/>
    <w:rsid w:val="00394831"/>
    <w:rsid w:val="00394850"/>
    <w:rsid w:val="00395064"/>
    <w:rsid w:val="0039685E"/>
    <w:rsid w:val="00397278"/>
    <w:rsid w:val="003A0087"/>
    <w:rsid w:val="003A0FBE"/>
    <w:rsid w:val="003A1046"/>
    <w:rsid w:val="003A111F"/>
    <w:rsid w:val="003A12BB"/>
    <w:rsid w:val="003A2355"/>
    <w:rsid w:val="003A2574"/>
    <w:rsid w:val="003A2B5B"/>
    <w:rsid w:val="003A3C2B"/>
    <w:rsid w:val="003A5BB7"/>
    <w:rsid w:val="003A5EB4"/>
    <w:rsid w:val="003A66D2"/>
    <w:rsid w:val="003A707F"/>
    <w:rsid w:val="003B146D"/>
    <w:rsid w:val="003B1A12"/>
    <w:rsid w:val="003B1CC4"/>
    <w:rsid w:val="003B264B"/>
    <w:rsid w:val="003B2E2C"/>
    <w:rsid w:val="003B2FB4"/>
    <w:rsid w:val="003B2FC4"/>
    <w:rsid w:val="003B3636"/>
    <w:rsid w:val="003B5D73"/>
    <w:rsid w:val="003B62BF"/>
    <w:rsid w:val="003B76D0"/>
    <w:rsid w:val="003B7F36"/>
    <w:rsid w:val="003C01D0"/>
    <w:rsid w:val="003C055A"/>
    <w:rsid w:val="003C0BC4"/>
    <w:rsid w:val="003C1841"/>
    <w:rsid w:val="003C1AC1"/>
    <w:rsid w:val="003C1E74"/>
    <w:rsid w:val="003C228E"/>
    <w:rsid w:val="003C2918"/>
    <w:rsid w:val="003C2DE4"/>
    <w:rsid w:val="003C40E5"/>
    <w:rsid w:val="003C46C9"/>
    <w:rsid w:val="003C4A91"/>
    <w:rsid w:val="003C4BC4"/>
    <w:rsid w:val="003C5176"/>
    <w:rsid w:val="003C5515"/>
    <w:rsid w:val="003C73F2"/>
    <w:rsid w:val="003C7CE9"/>
    <w:rsid w:val="003D0682"/>
    <w:rsid w:val="003D0864"/>
    <w:rsid w:val="003D08BD"/>
    <w:rsid w:val="003D0F1B"/>
    <w:rsid w:val="003D18E9"/>
    <w:rsid w:val="003D2FD0"/>
    <w:rsid w:val="003D3B0E"/>
    <w:rsid w:val="003D431E"/>
    <w:rsid w:val="003D5FA2"/>
    <w:rsid w:val="003D7849"/>
    <w:rsid w:val="003D7B36"/>
    <w:rsid w:val="003E069D"/>
    <w:rsid w:val="003E06A2"/>
    <w:rsid w:val="003E233A"/>
    <w:rsid w:val="003E2736"/>
    <w:rsid w:val="003E37D9"/>
    <w:rsid w:val="003E3D9F"/>
    <w:rsid w:val="003E4176"/>
    <w:rsid w:val="003E4465"/>
    <w:rsid w:val="003E469A"/>
    <w:rsid w:val="003E5102"/>
    <w:rsid w:val="003E6647"/>
    <w:rsid w:val="003E6E6A"/>
    <w:rsid w:val="003E720B"/>
    <w:rsid w:val="003E7961"/>
    <w:rsid w:val="003F02D0"/>
    <w:rsid w:val="003F0AD1"/>
    <w:rsid w:val="003F0E59"/>
    <w:rsid w:val="003F1949"/>
    <w:rsid w:val="003F1E41"/>
    <w:rsid w:val="003F2B06"/>
    <w:rsid w:val="003F3668"/>
    <w:rsid w:val="003F38E6"/>
    <w:rsid w:val="003F5A1E"/>
    <w:rsid w:val="003F5C4F"/>
    <w:rsid w:val="003F5CA8"/>
    <w:rsid w:val="003F60CF"/>
    <w:rsid w:val="003F6ED9"/>
    <w:rsid w:val="003F6FBE"/>
    <w:rsid w:val="003F70E1"/>
    <w:rsid w:val="003F73AD"/>
    <w:rsid w:val="003F7A1B"/>
    <w:rsid w:val="004026BB"/>
    <w:rsid w:val="00403CBA"/>
    <w:rsid w:val="00406186"/>
    <w:rsid w:val="00406D59"/>
    <w:rsid w:val="0040769C"/>
    <w:rsid w:val="00407C0F"/>
    <w:rsid w:val="00407DFD"/>
    <w:rsid w:val="00410311"/>
    <w:rsid w:val="004112F3"/>
    <w:rsid w:val="004114D9"/>
    <w:rsid w:val="00411AFB"/>
    <w:rsid w:val="004120F6"/>
    <w:rsid w:val="00412716"/>
    <w:rsid w:val="0041376F"/>
    <w:rsid w:val="004148B1"/>
    <w:rsid w:val="00415004"/>
    <w:rsid w:val="004159CC"/>
    <w:rsid w:val="0041611E"/>
    <w:rsid w:val="0041680F"/>
    <w:rsid w:val="00416D0E"/>
    <w:rsid w:val="00420049"/>
    <w:rsid w:val="0042051C"/>
    <w:rsid w:val="004211A6"/>
    <w:rsid w:val="004221EA"/>
    <w:rsid w:val="004226D1"/>
    <w:rsid w:val="00422D64"/>
    <w:rsid w:val="00423202"/>
    <w:rsid w:val="0042360A"/>
    <w:rsid w:val="00423C53"/>
    <w:rsid w:val="00423FFD"/>
    <w:rsid w:val="004240BA"/>
    <w:rsid w:val="00425BDA"/>
    <w:rsid w:val="00425CDB"/>
    <w:rsid w:val="00425D1E"/>
    <w:rsid w:val="00425EDD"/>
    <w:rsid w:val="004264E7"/>
    <w:rsid w:val="004266DF"/>
    <w:rsid w:val="004272D0"/>
    <w:rsid w:val="004273B6"/>
    <w:rsid w:val="004277ED"/>
    <w:rsid w:val="00427B47"/>
    <w:rsid w:val="0043000B"/>
    <w:rsid w:val="00430370"/>
    <w:rsid w:val="00430A53"/>
    <w:rsid w:val="00431466"/>
    <w:rsid w:val="00432694"/>
    <w:rsid w:val="00432B9A"/>
    <w:rsid w:val="00433493"/>
    <w:rsid w:val="00433735"/>
    <w:rsid w:val="00433B74"/>
    <w:rsid w:val="0043440D"/>
    <w:rsid w:val="00435CD0"/>
    <w:rsid w:val="00435DD6"/>
    <w:rsid w:val="00436BFD"/>
    <w:rsid w:val="00436EF2"/>
    <w:rsid w:val="00441706"/>
    <w:rsid w:val="0044210A"/>
    <w:rsid w:val="0044231F"/>
    <w:rsid w:val="00442A88"/>
    <w:rsid w:val="00442ADD"/>
    <w:rsid w:val="00443871"/>
    <w:rsid w:val="00443AB3"/>
    <w:rsid w:val="0044551F"/>
    <w:rsid w:val="00445E1C"/>
    <w:rsid w:val="00446A7C"/>
    <w:rsid w:val="00446B9A"/>
    <w:rsid w:val="00447431"/>
    <w:rsid w:val="0044789B"/>
    <w:rsid w:val="00450C12"/>
    <w:rsid w:val="00450DB3"/>
    <w:rsid w:val="004526F8"/>
    <w:rsid w:val="00452984"/>
    <w:rsid w:val="00452C16"/>
    <w:rsid w:val="0045650C"/>
    <w:rsid w:val="00456F7C"/>
    <w:rsid w:val="0045718D"/>
    <w:rsid w:val="00457614"/>
    <w:rsid w:val="00457C04"/>
    <w:rsid w:val="00457DFA"/>
    <w:rsid w:val="00457E0D"/>
    <w:rsid w:val="00460ABC"/>
    <w:rsid w:val="0046184C"/>
    <w:rsid w:val="0046305B"/>
    <w:rsid w:val="004633FD"/>
    <w:rsid w:val="00463E57"/>
    <w:rsid w:val="004649DE"/>
    <w:rsid w:val="00467B33"/>
    <w:rsid w:val="00470CCE"/>
    <w:rsid w:val="004723C1"/>
    <w:rsid w:val="004726EF"/>
    <w:rsid w:val="00472BEE"/>
    <w:rsid w:val="00472E04"/>
    <w:rsid w:val="00473241"/>
    <w:rsid w:val="0047338F"/>
    <w:rsid w:val="0047432D"/>
    <w:rsid w:val="00474B56"/>
    <w:rsid w:val="0047546B"/>
    <w:rsid w:val="00475567"/>
    <w:rsid w:val="004758C9"/>
    <w:rsid w:val="00475D23"/>
    <w:rsid w:val="00475E06"/>
    <w:rsid w:val="004779B7"/>
    <w:rsid w:val="00477FA9"/>
    <w:rsid w:val="0048036D"/>
    <w:rsid w:val="00480874"/>
    <w:rsid w:val="00480B29"/>
    <w:rsid w:val="00480C8F"/>
    <w:rsid w:val="004812D5"/>
    <w:rsid w:val="00481E47"/>
    <w:rsid w:val="0048216B"/>
    <w:rsid w:val="004841D1"/>
    <w:rsid w:val="004845F9"/>
    <w:rsid w:val="00484DF7"/>
    <w:rsid w:val="00485AD1"/>
    <w:rsid w:val="004865C5"/>
    <w:rsid w:val="00490FE7"/>
    <w:rsid w:val="004916E3"/>
    <w:rsid w:val="00491BE5"/>
    <w:rsid w:val="00493676"/>
    <w:rsid w:val="00493B63"/>
    <w:rsid w:val="00493E59"/>
    <w:rsid w:val="00494408"/>
    <w:rsid w:val="00494EED"/>
    <w:rsid w:val="00496C08"/>
    <w:rsid w:val="0049705C"/>
    <w:rsid w:val="004977F7"/>
    <w:rsid w:val="00497D97"/>
    <w:rsid w:val="00497E3C"/>
    <w:rsid w:val="004A0034"/>
    <w:rsid w:val="004A0F29"/>
    <w:rsid w:val="004A1157"/>
    <w:rsid w:val="004A13E8"/>
    <w:rsid w:val="004A25CD"/>
    <w:rsid w:val="004A26A9"/>
    <w:rsid w:val="004A2A07"/>
    <w:rsid w:val="004A2CEC"/>
    <w:rsid w:val="004A2D6F"/>
    <w:rsid w:val="004A3473"/>
    <w:rsid w:val="004A59EA"/>
    <w:rsid w:val="004A603F"/>
    <w:rsid w:val="004A67EA"/>
    <w:rsid w:val="004A6D86"/>
    <w:rsid w:val="004A7D41"/>
    <w:rsid w:val="004B0F75"/>
    <w:rsid w:val="004B1066"/>
    <w:rsid w:val="004B2EB3"/>
    <w:rsid w:val="004B35DA"/>
    <w:rsid w:val="004B3684"/>
    <w:rsid w:val="004B3D48"/>
    <w:rsid w:val="004B50BA"/>
    <w:rsid w:val="004B5539"/>
    <w:rsid w:val="004B5931"/>
    <w:rsid w:val="004B5B4F"/>
    <w:rsid w:val="004B7B67"/>
    <w:rsid w:val="004C24FD"/>
    <w:rsid w:val="004C4201"/>
    <w:rsid w:val="004C43E9"/>
    <w:rsid w:val="004C4C2C"/>
    <w:rsid w:val="004C4E3B"/>
    <w:rsid w:val="004C4F93"/>
    <w:rsid w:val="004C5DA4"/>
    <w:rsid w:val="004D0CD2"/>
    <w:rsid w:val="004D1681"/>
    <w:rsid w:val="004D16F2"/>
    <w:rsid w:val="004D1BC3"/>
    <w:rsid w:val="004D3586"/>
    <w:rsid w:val="004D3FD1"/>
    <w:rsid w:val="004D4594"/>
    <w:rsid w:val="004D4F55"/>
    <w:rsid w:val="004D6268"/>
    <w:rsid w:val="004E1171"/>
    <w:rsid w:val="004E14BC"/>
    <w:rsid w:val="004E15FC"/>
    <w:rsid w:val="004E1740"/>
    <w:rsid w:val="004E36CB"/>
    <w:rsid w:val="004E4B2F"/>
    <w:rsid w:val="004E53F3"/>
    <w:rsid w:val="004E5D8F"/>
    <w:rsid w:val="004E5E82"/>
    <w:rsid w:val="004E6E5C"/>
    <w:rsid w:val="004E6F35"/>
    <w:rsid w:val="004E6F41"/>
    <w:rsid w:val="004E78CA"/>
    <w:rsid w:val="004E7BDC"/>
    <w:rsid w:val="004F0F9D"/>
    <w:rsid w:val="004F2CEF"/>
    <w:rsid w:val="004F4AB7"/>
    <w:rsid w:val="004F5F7D"/>
    <w:rsid w:val="004F67C2"/>
    <w:rsid w:val="004F762C"/>
    <w:rsid w:val="00500CA6"/>
    <w:rsid w:val="00502152"/>
    <w:rsid w:val="0050353C"/>
    <w:rsid w:val="00504714"/>
    <w:rsid w:val="00504832"/>
    <w:rsid w:val="00506609"/>
    <w:rsid w:val="00507E2E"/>
    <w:rsid w:val="00511079"/>
    <w:rsid w:val="005138CF"/>
    <w:rsid w:val="005142A9"/>
    <w:rsid w:val="00514E47"/>
    <w:rsid w:val="005153FF"/>
    <w:rsid w:val="00515DC6"/>
    <w:rsid w:val="00517069"/>
    <w:rsid w:val="00517326"/>
    <w:rsid w:val="00517376"/>
    <w:rsid w:val="00517AF2"/>
    <w:rsid w:val="005203E3"/>
    <w:rsid w:val="0052046D"/>
    <w:rsid w:val="0052061D"/>
    <w:rsid w:val="005207C4"/>
    <w:rsid w:val="00520862"/>
    <w:rsid w:val="00522A63"/>
    <w:rsid w:val="0052329C"/>
    <w:rsid w:val="00523686"/>
    <w:rsid w:val="00523F3C"/>
    <w:rsid w:val="005268D9"/>
    <w:rsid w:val="005269C6"/>
    <w:rsid w:val="00527B8E"/>
    <w:rsid w:val="00530A85"/>
    <w:rsid w:val="00530BE7"/>
    <w:rsid w:val="00530EB5"/>
    <w:rsid w:val="00531CF6"/>
    <w:rsid w:val="0053242F"/>
    <w:rsid w:val="00532585"/>
    <w:rsid w:val="00533DB0"/>
    <w:rsid w:val="00534554"/>
    <w:rsid w:val="00536CC7"/>
    <w:rsid w:val="005371FB"/>
    <w:rsid w:val="005377EC"/>
    <w:rsid w:val="005416B5"/>
    <w:rsid w:val="005428DE"/>
    <w:rsid w:val="005429AD"/>
    <w:rsid w:val="00542CDB"/>
    <w:rsid w:val="00543A9C"/>
    <w:rsid w:val="00544025"/>
    <w:rsid w:val="005445C8"/>
    <w:rsid w:val="00547F20"/>
    <w:rsid w:val="00550714"/>
    <w:rsid w:val="005508A4"/>
    <w:rsid w:val="0055112D"/>
    <w:rsid w:val="005527E4"/>
    <w:rsid w:val="00553CDC"/>
    <w:rsid w:val="005552DE"/>
    <w:rsid w:val="00556156"/>
    <w:rsid w:val="005576DC"/>
    <w:rsid w:val="0055783D"/>
    <w:rsid w:val="00557FBA"/>
    <w:rsid w:val="005622BC"/>
    <w:rsid w:val="005630B9"/>
    <w:rsid w:val="00563971"/>
    <w:rsid w:val="00563A6F"/>
    <w:rsid w:val="00564380"/>
    <w:rsid w:val="00565584"/>
    <w:rsid w:val="00566DB5"/>
    <w:rsid w:val="00570D01"/>
    <w:rsid w:val="005714F2"/>
    <w:rsid w:val="0057162E"/>
    <w:rsid w:val="00572111"/>
    <w:rsid w:val="005735FA"/>
    <w:rsid w:val="005736D7"/>
    <w:rsid w:val="00574369"/>
    <w:rsid w:val="00574452"/>
    <w:rsid w:val="00574A40"/>
    <w:rsid w:val="00575FD2"/>
    <w:rsid w:val="00576879"/>
    <w:rsid w:val="005769B4"/>
    <w:rsid w:val="00577928"/>
    <w:rsid w:val="00577A44"/>
    <w:rsid w:val="00577DA4"/>
    <w:rsid w:val="00580FC4"/>
    <w:rsid w:val="005837A1"/>
    <w:rsid w:val="0058511F"/>
    <w:rsid w:val="00585DC0"/>
    <w:rsid w:val="00586B0F"/>
    <w:rsid w:val="00587AA5"/>
    <w:rsid w:val="0059134A"/>
    <w:rsid w:val="00591668"/>
    <w:rsid w:val="00592636"/>
    <w:rsid w:val="00592D10"/>
    <w:rsid w:val="00592FDF"/>
    <w:rsid w:val="0059306B"/>
    <w:rsid w:val="005937EB"/>
    <w:rsid w:val="00593CD7"/>
    <w:rsid w:val="00593DEF"/>
    <w:rsid w:val="00595D09"/>
    <w:rsid w:val="00595D73"/>
    <w:rsid w:val="005974C3"/>
    <w:rsid w:val="005974E2"/>
    <w:rsid w:val="005976C2"/>
    <w:rsid w:val="0059789E"/>
    <w:rsid w:val="005A0D0B"/>
    <w:rsid w:val="005A14FD"/>
    <w:rsid w:val="005A1639"/>
    <w:rsid w:val="005A1AA5"/>
    <w:rsid w:val="005A1F19"/>
    <w:rsid w:val="005A25C6"/>
    <w:rsid w:val="005A3A35"/>
    <w:rsid w:val="005A3DA7"/>
    <w:rsid w:val="005A55A0"/>
    <w:rsid w:val="005A5E45"/>
    <w:rsid w:val="005A68A0"/>
    <w:rsid w:val="005A6EE7"/>
    <w:rsid w:val="005A6F5F"/>
    <w:rsid w:val="005A75C1"/>
    <w:rsid w:val="005A7754"/>
    <w:rsid w:val="005B0095"/>
    <w:rsid w:val="005B0294"/>
    <w:rsid w:val="005B056E"/>
    <w:rsid w:val="005B1975"/>
    <w:rsid w:val="005B220F"/>
    <w:rsid w:val="005B22AB"/>
    <w:rsid w:val="005B3258"/>
    <w:rsid w:val="005B36D7"/>
    <w:rsid w:val="005B4944"/>
    <w:rsid w:val="005B4AC1"/>
    <w:rsid w:val="005B6501"/>
    <w:rsid w:val="005B7B03"/>
    <w:rsid w:val="005B7C85"/>
    <w:rsid w:val="005B7E3D"/>
    <w:rsid w:val="005C0B99"/>
    <w:rsid w:val="005C0E53"/>
    <w:rsid w:val="005C1235"/>
    <w:rsid w:val="005C1AFC"/>
    <w:rsid w:val="005C2DB2"/>
    <w:rsid w:val="005C59D4"/>
    <w:rsid w:val="005C627A"/>
    <w:rsid w:val="005C6B4B"/>
    <w:rsid w:val="005C7181"/>
    <w:rsid w:val="005C7750"/>
    <w:rsid w:val="005D05E0"/>
    <w:rsid w:val="005D0A20"/>
    <w:rsid w:val="005D1258"/>
    <w:rsid w:val="005D1B20"/>
    <w:rsid w:val="005D1B58"/>
    <w:rsid w:val="005D1BD1"/>
    <w:rsid w:val="005D1F8A"/>
    <w:rsid w:val="005D386C"/>
    <w:rsid w:val="005D3AC3"/>
    <w:rsid w:val="005D4074"/>
    <w:rsid w:val="005D4646"/>
    <w:rsid w:val="005D5057"/>
    <w:rsid w:val="005D5C50"/>
    <w:rsid w:val="005D63B7"/>
    <w:rsid w:val="005D75D8"/>
    <w:rsid w:val="005D7E9D"/>
    <w:rsid w:val="005E023F"/>
    <w:rsid w:val="005E0AC9"/>
    <w:rsid w:val="005E121A"/>
    <w:rsid w:val="005E199D"/>
    <w:rsid w:val="005E2B26"/>
    <w:rsid w:val="005E3E56"/>
    <w:rsid w:val="005E5151"/>
    <w:rsid w:val="005E5955"/>
    <w:rsid w:val="005E5DC3"/>
    <w:rsid w:val="005E611A"/>
    <w:rsid w:val="005E6A68"/>
    <w:rsid w:val="005E7365"/>
    <w:rsid w:val="005E7D7E"/>
    <w:rsid w:val="005F0108"/>
    <w:rsid w:val="005F17ED"/>
    <w:rsid w:val="005F1E81"/>
    <w:rsid w:val="005F1EB7"/>
    <w:rsid w:val="005F1EDD"/>
    <w:rsid w:val="005F238F"/>
    <w:rsid w:val="005F3342"/>
    <w:rsid w:val="005F3F30"/>
    <w:rsid w:val="005F4AB6"/>
    <w:rsid w:val="005F5059"/>
    <w:rsid w:val="005F518A"/>
    <w:rsid w:val="005F51A3"/>
    <w:rsid w:val="005F5299"/>
    <w:rsid w:val="005F5E37"/>
    <w:rsid w:val="005F5F83"/>
    <w:rsid w:val="005F6061"/>
    <w:rsid w:val="005F7EED"/>
    <w:rsid w:val="006004BB"/>
    <w:rsid w:val="006012ED"/>
    <w:rsid w:val="006032A2"/>
    <w:rsid w:val="0060359E"/>
    <w:rsid w:val="006036CC"/>
    <w:rsid w:val="00603780"/>
    <w:rsid w:val="00605A93"/>
    <w:rsid w:val="006060FD"/>
    <w:rsid w:val="00606434"/>
    <w:rsid w:val="0060720A"/>
    <w:rsid w:val="00607E0B"/>
    <w:rsid w:val="00612C0A"/>
    <w:rsid w:val="006140F6"/>
    <w:rsid w:val="00614386"/>
    <w:rsid w:val="00614458"/>
    <w:rsid w:val="006144DC"/>
    <w:rsid w:val="006145CC"/>
    <w:rsid w:val="00615AED"/>
    <w:rsid w:val="006165C4"/>
    <w:rsid w:val="0061783E"/>
    <w:rsid w:val="00617D92"/>
    <w:rsid w:val="00621548"/>
    <w:rsid w:val="00622193"/>
    <w:rsid w:val="00622437"/>
    <w:rsid w:val="00622465"/>
    <w:rsid w:val="0062280A"/>
    <w:rsid w:val="00622BF1"/>
    <w:rsid w:val="00622D30"/>
    <w:rsid w:val="006233FC"/>
    <w:rsid w:val="00625BE1"/>
    <w:rsid w:val="00626123"/>
    <w:rsid w:val="00626251"/>
    <w:rsid w:val="006270C3"/>
    <w:rsid w:val="00627B3D"/>
    <w:rsid w:val="00630B2B"/>
    <w:rsid w:val="00631B7C"/>
    <w:rsid w:val="00631E56"/>
    <w:rsid w:val="006328EE"/>
    <w:rsid w:val="006329BF"/>
    <w:rsid w:val="00632C87"/>
    <w:rsid w:val="0063341B"/>
    <w:rsid w:val="0063410D"/>
    <w:rsid w:val="00635B67"/>
    <w:rsid w:val="00636190"/>
    <w:rsid w:val="0063684A"/>
    <w:rsid w:val="00636A58"/>
    <w:rsid w:val="00636F0F"/>
    <w:rsid w:val="0063763D"/>
    <w:rsid w:val="0064063E"/>
    <w:rsid w:val="00640728"/>
    <w:rsid w:val="00640C7E"/>
    <w:rsid w:val="006415C2"/>
    <w:rsid w:val="0064189E"/>
    <w:rsid w:val="00641A4D"/>
    <w:rsid w:val="00643F75"/>
    <w:rsid w:val="006442E3"/>
    <w:rsid w:val="00644746"/>
    <w:rsid w:val="00645A55"/>
    <w:rsid w:val="00645DEC"/>
    <w:rsid w:val="00647887"/>
    <w:rsid w:val="006504C8"/>
    <w:rsid w:val="00650715"/>
    <w:rsid w:val="00651F33"/>
    <w:rsid w:val="00652D55"/>
    <w:rsid w:val="00653FB3"/>
    <w:rsid w:val="00654DF6"/>
    <w:rsid w:val="00654FE6"/>
    <w:rsid w:val="00657A1E"/>
    <w:rsid w:val="0066057E"/>
    <w:rsid w:val="00660E60"/>
    <w:rsid w:val="00661013"/>
    <w:rsid w:val="0066101B"/>
    <w:rsid w:val="0066113F"/>
    <w:rsid w:val="006621B8"/>
    <w:rsid w:val="00662553"/>
    <w:rsid w:val="006637EC"/>
    <w:rsid w:val="006639D7"/>
    <w:rsid w:val="00663C77"/>
    <w:rsid w:val="00663E58"/>
    <w:rsid w:val="0066417C"/>
    <w:rsid w:val="00665B2B"/>
    <w:rsid w:val="0066618D"/>
    <w:rsid w:val="006661BE"/>
    <w:rsid w:val="00666691"/>
    <w:rsid w:val="00666C3D"/>
    <w:rsid w:val="00666EA8"/>
    <w:rsid w:val="0066751B"/>
    <w:rsid w:val="0067012A"/>
    <w:rsid w:val="00670335"/>
    <w:rsid w:val="00671201"/>
    <w:rsid w:val="00671484"/>
    <w:rsid w:val="006716AA"/>
    <w:rsid w:val="00672466"/>
    <w:rsid w:val="00672C5E"/>
    <w:rsid w:val="0067312A"/>
    <w:rsid w:val="0067336C"/>
    <w:rsid w:val="00673BE7"/>
    <w:rsid w:val="00674026"/>
    <w:rsid w:val="006761D4"/>
    <w:rsid w:val="006765DB"/>
    <w:rsid w:val="00677CDA"/>
    <w:rsid w:val="00680710"/>
    <w:rsid w:val="006814E1"/>
    <w:rsid w:val="00681571"/>
    <w:rsid w:val="00681A97"/>
    <w:rsid w:val="00682F9A"/>
    <w:rsid w:val="00683319"/>
    <w:rsid w:val="006841E2"/>
    <w:rsid w:val="0068451F"/>
    <w:rsid w:val="00684BAE"/>
    <w:rsid w:val="00686396"/>
    <w:rsid w:val="00686A10"/>
    <w:rsid w:val="006904C0"/>
    <w:rsid w:val="00690EDB"/>
    <w:rsid w:val="00690EFE"/>
    <w:rsid w:val="00691309"/>
    <w:rsid w:val="0069261A"/>
    <w:rsid w:val="00692BEA"/>
    <w:rsid w:val="00693645"/>
    <w:rsid w:val="00694A94"/>
    <w:rsid w:val="0069547F"/>
    <w:rsid w:val="00695623"/>
    <w:rsid w:val="006968A0"/>
    <w:rsid w:val="0069781A"/>
    <w:rsid w:val="00697C36"/>
    <w:rsid w:val="006A2CEF"/>
    <w:rsid w:val="006A313D"/>
    <w:rsid w:val="006A314D"/>
    <w:rsid w:val="006A3221"/>
    <w:rsid w:val="006A3708"/>
    <w:rsid w:val="006A388B"/>
    <w:rsid w:val="006A4D43"/>
    <w:rsid w:val="006A4EF6"/>
    <w:rsid w:val="006A5169"/>
    <w:rsid w:val="006A5A1E"/>
    <w:rsid w:val="006A6C98"/>
    <w:rsid w:val="006A747A"/>
    <w:rsid w:val="006A757F"/>
    <w:rsid w:val="006A7C76"/>
    <w:rsid w:val="006B0050"/>
    <w:rsid w:val="006B0090"/>
    <w:rsid w:val="006B00B0"/>
    <w:rsid w:val="006B267E"/>
    <w:rsid w:val="006B2886"/>
    <w:rsid w:val="006B2AC2"/>
    <w:rsid w:val="006B3CC8"/>
    <w:rsid w:val="006B5BA3"/>
    <w:rsid w:val="006B763E"/>
    <w:rsid w:val="006B7774"/>
    <w:rsid w:val="006B7E50"/>
    <w:rsid w:val="006C1763"/>
    <w:rsid w:val="006C20F4"/>
    <w:rsid w:val="006C24B9"/>
    <w:rsid w:val="006C2BC9"/>
    <w:rsid w:val="006C2EDD"/>
    <w:rsid w:val="006C415E"/>
    <w:rsid w:val="006C6578"/>
    <w:rsid w:val="006C6580"/>
    <w:rsid w:val="006C76BD"/>
    <w:rsid w:val="006D0564"/>
    <w:rsid w:val="006D0661"/>
    <w:rsid w:val="006D19CC"/>
    <w:rsid w:val="006D20E7"/>
    <w:rsid w:val="006D46FB"/>
    <w:rsid w:val="006D4D1D"/>
    <w:rsid w:val="006D4FC5"/>
    <w:rsid w:val="006D6157"/>
    <w:rsid w:val="006D6391"/>
    <w:rsid w:val="006D68B4"/>
    <w:rsid w:val="006D7E8F"/>
    <w:rsid w:val="006E034D"/>
    <w:rsid w:val="006E3D4E"/>
    <w:rsid w:val="006E4EAF"/>
    <w:rsid w:val="006E6FA9"/>
    <w:rsid w:val="006F062E"/>
    <w:rsid w:val="006F183B"/>
    <w:rsid w:val="006F36D9"/>
    <w:rsid w:val="006F3D24"/>
    <w:rsid w:val="006F43F4"/>
    <w:rsid w:val="006F445E"/>
    <w:rsid w:val="006F4A72"/>
    <w:rsid w:val="006F4F0C"/>
    <w:rsid w:val="006F5532"/>
    <w:rsid w:val="006F6017"/>
    <w:rsid w:val="006F6488"/>
    <w:rsid w:val="006F72C7"/>
    <w:rsid w:val="006F78F9"/>
    <w:rsid w:val="007004B6"/>
    <w:rsid w:val="007015AB"/>
    <w:rsid w:val="0070219E"/>
    <w:rsid w:val="00702AB1"/>
    <w:rsid w:val="00702BED"/>
    <w:rsid w:val="007042B9"/>
    <w:rsid w:val="0070464B"/>
    <w:rsid w:val="00704677"/>
    <w:rsid w:val="007047D2"/>
    <w:rsid w:val="00704B10"/>
    <w:rsid w:val="00705202"/>
    <w:rsid w:val="00705B10"/>
    <w:rsid w:val="00705CF8"/>
    <w:rsid w:val="0070654A"/>
    <w:rsid w:val="00706758"/>
    <w:rsid w:val="00711BFA"/>
    <w:rsid w:val="00711C20"/>
    <w:rsid w:val="00711ED5"/>
    <w:rsid w:val="0071238C"/>
    <w:rsid w:val="00713C81"/>
    <w:rsid w:val="007145FE"/>
    <w:rsid w:val="007152FE"/>
    <w:rsid w:val="0071626C"/>
    <w:rsid w:val="0071662B"/>
    <w:rsid w:val="00716C98"/>
    <w:rsid w:val="00716F59"/>
    <w:rsid w:val="00717281"/>
    <w:rsid w:val="00717706"/>
    <w:rsid w:val="00717AA0"/>
    <w:rsid w:val="00720074"/>
    <w:rsid w:val="0072023C"/>
    <w:rsid w:val="00721282"/>
    <w:rsid w:val="0072224B"/>
    <w:rsid w:val="007224A3"/>
    <w:rsid w:val="00722A3F"/>
    <w:rsid w:val="00722D19"/>
    <w:rsid w:val="00723B64"/>
    <w:rsid w:val="00724CDB"/>
    <w:rsid w:val="00724EFB"/>
    <w:rsid w:val="00725F11"/>
    <w:rsid w:val="0072768C"/>
    <w:rsid w:val="00727831"/>
    <w:rsid w:val="00727DE9"/>
    <w:rsid w:val="00730734"/>
    <w:rsid w:val="00731578"/>
    <w:rsid w:val="00731908"/>
    <w:rsid w:val="007322EB"/>
    <w:rsid w:val="00732769"/>
    <w:rsid w:val="00732CFB"/>
    <w:rsid w:val="00733056"/>
    <w:rsid w:val="00733143"/>
    <w:rsid w:val="007335B2"/>
    <w:rsid w:val="007353EB"/>
    <w:rsid w:val="0073582C"/>
    <w:rsid w:val="00735925"/>
    <w:rsid w:val="0073593C"/>
    <w:rsid w:val="00735D59"/>
    <w:rsid w:val="00736262"/>
    <w:rsid w:val="00736663"/>
    <w:rsid w:val="0073697C"/>
    <w:rsid w:val="0074022E"/>
    <w:rsid w:val="00741359"/>
    <w:rsid w:val="00741E99"/>
    <w:rsid w:val="00743438"/>
    <w:rsid w:val="007434B5"/>
    <w:rsid w:val="0074432D"/>
    <w:rsid w:val="007464FD"/>
    <w:rsid w:val="00747B41"/>
    <w:rsid w:val="00747E1E"/>
    <w:rsid w:val="00750F59"/>
    <w:rsid w:val="00752153"/>
    <w:rsid w:val="0075352E"/>
    <w:rsid w:val="00753532"/>
    <w:rsid w:val="00753887"/>
    <w:rsid w:val="00753F43"/>
    <w:rsid w:val="007579DF"/>
    <w:rsid w:val="00757C1C"/>
    <w:rsid w:val="00757F04"/>
    <w:rsid w:val="0076147C"/>
    <w:rsid w:val="00761A5A"/>
    <w:rsid w:val="00761B2E"/>
    <w:rsid w:val="00762224"/>
    <w:rsid w:val="00762CB8"/>
    <w:rsid w:val="00765A62"/>
    <w:rsid w:val="00765D90"/>
    <w:rsid w:val="00765D9E"/>
    <w:rsid w:val="00766172"/>
    <w:rsid w:val="00766392"/>
    <w:rsid w:val="00766B83"/>
    <w:rsid w:val="00770546"/>
    <w:rsid w:val="00771B5A"/>
    <w:rsid w:val="00772809"/>
    <w:rsid w:val="00773DF7"/>
    <w:rsid w:val="00773FF8"/>
    <w:rsid w:val="00774D6C"/>
    <w:rsid w:val="00774DF7"/>
    <w:rsid w:val="00776745"/>
    <w:rsid w:val="00776846"/>
    <w:rsid w:val="00777C78"/>
    <w:rsid w:val="0078032C"/>
    <w:rsid w:val="00780DC1"/>
    <w:rsid w:val="0078105C"/>
    <w:rsid w:val="007811DA"/>
    <w:rsid w:val="0078266F"/>
    <w:rsid w:val="00782DC4"/>
    <w:rsid w:val="00784728"/>
    <w:rsid w:val="00785633"/>
    <w:rsid w:val="007857BC"/>
    <w:rsid w:val="00785EE9"/>
    <w:rsid w:val="00792049"/>
    <w:rsid w:val="00792742"/>
    <w:rsid w:val="0079373A"/>
    <w:rsid w:val="00794181"/>
    <w:rsid w:val="00794424"/>
    <w:rsid w:val="00796279"/>
    <w:rsid w:val="0079684E"/>
    <w:rsid w:val="00797C58"/>
    <w:rsid w:val="007A03D6"/>
    <w:rsid w:val="007A10DA"/>
    <w:rsid w:val="007A114B"/>
    <w:rsid w:val="007A324F"/>
    <w:rsid w:val="007A3760"/>
    <w:rsid w:val="007A3FD9"/>
    <w:rsid w:val="007A48F5"/>
    <w:rsid w:val="007A5232"/>
    <w:rsid w:val="007A55AF"/>
    <w:rsid w:val="007A5DEB"/>
    <w:rsid w:val="007A78C4"/>
    <w:rsid w:val="007B10A4"/>
    <w:rsid w:val="007B1374"/>
    <w:rsid w:val="007B138C"/>
    <w:rsid w:val="007B1444"/>
    <w:rsid w:val="007B1E4B"/>
    <w:rsid w:val="007B3C63"/>
    <w:rsid w:val="007B3D58"/>
    <w:rsid w:val="007B4360"/>
    <w:rsid w:val="007B511B"/>
    <w:rsid w:val="007B5A45"/>
    <w:rsid w:val="007C035C"/>
    <w:rsid w:val="007C1080"/>
    <w:rsid w:val="007C1D60"/>
    <w:rsid w:val="007C1EF5"/>
    <w:rsid w:val="007C2ADF"/>
    <w:rsid w:val="007C4B9F"/>
    <w:rsid w:val="007C5DA4"/>
    <w:rsid w:val="007C5DA5"/>
    <w:rsid w:val="007C639A"/>
    <w:rsid w:val="007C67C0"/>
    <w:rsid w:val="007C7560"/>
    <w:rsid w:val="007D1A9D"/>
    <w:rsid w:val="007D1FC6"/>
    <w:rsid w:val="007D2657"/>
    <w:rsid w:val="007D2723"/>
    <w:rsid w:val="007D28B0"/>
    <w:rsid w:val="007D33CA"/>
    <w:rsid w:val="007D3A58"/>
    <w:rsid w:val="007D4CA0"/>
    <w:rsid w:val="007D545B"/>
    <w:rsid w:val="007D5914"/>
    <w:rsid w:val="007D688C"/>
    <w:rsid w:val="007D7A5D"/>
    <w:rsid w:val="007D7C42"/>
    <w:rsid w:val="007D7E04"/>
    <w:rsid w:val="007E0286"/>
    <w:rsid w:val="007E1681"/>
    <w:rsid w:val="007E1757"/>
    <w:rsid w:val="007E1F6B"/>
    <w:rsid w:val="007E42A1"/>
    <w:rsid w:val="007E42AF"/>
    <w:rsid w:val="007E43A3"/>
    <w:rsid w:val="007E4E8E"/>
    <w:rsid w:val="007E54F4"/>
    <w:rsid w:val="007E5714"/>
    <w:rsid w:val="007E5AA9"/>
    <w:rsid w:val="007E5D03"/>
    <w:rsid w:val="007E661B"/>
    <w:rsid w:val="007E78DB"/>
    <w:rsid w:val="007F0588"/>
    <w:rsid w:val="007F1105"/>
    <w:rsid w:val="007F21E0"/>
    <w:rsid w:val="007F2299"/>
    <w:rsid w:val="007F30C3"/>
    <w:rsid w:val="007F378F"/>
    <w:rsid w:val="007F3A31"/>
    <w:rsid w:val="007F46E9"/>
    <w:rsid w:val="007F5847"/>
    <w:rsid w:val="007F5B6E"/>
    <w:rsid w:val="007F62B4"/>
    <w:rsid w:val="007F656E"/>
    <w:rsid w:val="007F7193"/>
    <w:rsid w:val="007F7D5D"/>
    <w:rsid w:val="0080088D"/>
    <w:rsid w:val="00801775"/>
    <w:rsid w:val="008036BB"/>
    <w:rsid w:val="00804C6C"/>
    <w:rsid w:val="00804F39"/>
    <w:rsid w:val="00805081"/>
    <w:rsid w:val="00807AC8"/>
    <w:rsid w:val="00810E01"/>
    <w:rsid w:val="008118B1"/>
    <w:rsid w:val="0081326E"/>
    <w:rsid w:val="00814029"/>
    <w:rsid w:val="008143B9"/>
    <w:rsid w:val="00814899"/>
    <w:rsid w:val="0081586D"/>
    <w:rsid w:val="008158C5"/>
    <w:rsid w:val="00815E32"/>
    <w:rsid w:val="008169D8"/>
    <w:rsid w:val="0082009F"/>
    <w:rsid w:val="0082144B"/>
    <w:rsid w:val="00821D51"/>
    <w:rsid w:val="0082239D"/>
    <w:rsid w:val="0082308B"/>
    <w:rsid w:val="00823C47"/>
    <w:rsid w:val="008245B6"/>
    <w:rsid w:val="008247F9"/>
    <w:rsid w:val="008258FF"/>
    <w:rsid w:val="0082625E"/>
    <w:rsid w:val="00826C4F"/>
    <w:rsid w:val="00827309"/>
    <w:rsid w:val="008273D2"/>
    <w:rsid w:val="00827F0C"/>
    <w:rsid w:val="0083038E"/>
    <w:rsid w:val="00831AE6"/>
    <w:rsid w:val="00833B91"/>
    <w:rsid w:val="0083435F"/>
    <w:rsid w:val="0083474D"/>
    <w:rsid w:val="00834BBC"/>
    <w:rsid w:val="008351F2"/>
    <w:rsid w:val="00835B34"/>
    <w:rsid w:val="00836055"/>
    <w:rsid w:val="008363CC"/>
    <w:rsid w:val="008371AB"/>
    <w:rsid w:val="00837535"/>
    <w:rsid w:val="00837E89"/>
    <w:rsid w:val="00840572"/>
    <w:rsid w:val="00841E8A"/>
    <w:rsid w:val="008446F8"/>
    <w:rsid w:val="00845BA2"/>
    <w:rsid w:val="00847875"/>
    <w:rsid w:val="0084798C"/>
    <w:rsid w:val="00847EB7"/>
    <w:rsid w:val="008535CE"/>
    <w:rsid w:val="00853660"/>
    <w:rsid w:val="00854281"/>
    <w:rsid w:val="008545AF"/>
    <w:rsid w:val="00854CFF"/>
    <w:rsid w:val="00855114"/>
    <w:rsid w:val="008560CB"/>
    <w:rsid w:val="0085798C"/>
    <w:rsid w:val="00860892"/>
    <w:rsid w:val="0086140C"/>
    <w:rsid w:val="00861895"/>
    <w:rsid w:val="00861DE8"/>
    <w:rsid w:val="00862FEB"/>
    <w:rsid w:val="00863384"/>
    <w:rsid w:val="008635D7"/>
    <w:rsid w:val="00863728"/>
    <w:rsid w:val="00864F12"/>
    <w:rsid w:val="008653D5"/>
    <w:rsid w:val="00866ED1"/>
    <w:rsid w:val="008673FC"/>
    <w:rsid w:val="00870667"/>
    <w:rsid w:val="008718DA"/>
    <w:rsid w:val="00872E43"/>
    <w:rsid w:val="00872E5A"/>
    <w:rsid w:val="008735A6"/>
    <w:rsid w:val="0087385D"/>
    <w:rsid w:val="00873EDA"/>
    <w:rsid w:val="00873FA6"/>
    <w:rsid w:val="00874056"/>
    <w:rsid w:val="0087455E"/>
    <w:rsid w:val="0087470F"/>
    <w:rsid w:val="0087471A"/>
    <w:rsid w:val="008758C6"/>
    <w:rsid w:val="00875C64"/>
    <w:rsid w:val="00876843"/>
    <w:rsid w:val="008769CC"/>
    <w:rsid w:val="00876F72"/>
    <w:rsid w:val="00877A4C"/>
    <w:rsid w:val="00877D1D"/>
    <w:rsid w:val="00880493"/>
    <w:rsid w:val="008813DA"/>
    <w:rsid w:val="00881582"/>
    <w:rsid w:val="00882BF4"/>
    <w:rsid w:val="00882F27"/>
    <w:rsid w:val="00884715"/>
    <w:rsid w:val="00887060"/>
    <w:rsid w:val="0088714C"/>
    <w:rsid w:val="00887CA0"/>
    <w:rsid w:val="00887F61"/>
    <w:rsid w:val="00890001"/>
    <w:rsid w:val="00890DA0"/>
    <w:rsid w:val="00891086"/>
    <w:rsid w:val="008911B6"/>
    <w:rsid w:val="008932CF"/>
    <w:rsid w:val="008938AB"/>
    <w:rsid w:val="00893A95"/>
    <w:rsid w:val="00893FD8"/>
    <w:rsid w:val="00895F38"/>
    <w:rsid w:val="00896253"/>
    <w:rsid w:val="008962B5"/>
    <w:rsid w:val="008965CE"/>
    <w:rsid w:val="008973A8"/>
    <w:rsid w:val="008A0990"/>
    <w:rsid w:val="008A0C12"/>
    <w:rsid w:val="008A22B4"/>
    <w:rsid w:val="008A233B"/>
    <w:rsid w:val="008A39E0"/>
    <w:rsid w:val="008A66F2"/>
    <w:rsid w:val="008A6843"/>
    <w:rsid w:val="008A7B0F"/>
    <w:rsid w:val="008B0F5D"/>
    <w:rsid w:val="008B122D"/>
    <w:rsid w:val="008B15CE"/>
    <w:rsid w:val="008B19A3"/>
    <w:rsid w:val="008B1DE6"/>
    <w:rsid w:val="008B2B41"/>
    <w:rsid w:val="008B3178"/>
    <w:rsid w:val="008B3272"/>
    <w:rsid w:val="008B36E8"/>
    <w:rsid w:val="008B5D54"/>
    <w:rsid w:val="008B710A"/>
    <w:rsid w:val="008C015B"/>
    <w:rsid w:val="008C0BCA"/>
    <w:rsid w:val="008C0C0A"/>
    <w:rsid w:val="008C11FE"/>
    <w:rsid w:val="008C1354"/>
    <w:rsid w:val="008C186E"/>
    <w:rsid w:val="008C1F7B"/>
    <w:rsid w:val="008C28A6"/>
    <w:rsid w:val="008C2A1E"/>
    <w:rsid w:val="008C401E"/>
    <w:rsid w:val="008C511B"/>
    <w:rsid w:val="008C7C75"/>
    <w:rsid w:val="008D3045"/>
    <w:rsid w:val="008D3C8C"/>
    <w:rsid w:val="008D465D"/>
    <w:rsid w:val="008D4DB9"/>
    <w:rsid w:val="008D55C2"/>
    <w:rsid w:val="008D5AEA"/>
    <w:rsid w:val="008D5CAB"/>
    <w:rsid w:val="008D7411"/>
    <w:rsid w:val="008D753F"/>
    <w:rsid w:val="008D7592"/>
    <w:rsid w:val="008D7DF8"/>
    <w:rsid w:val="008E029D"/>
    <w:rsid w:val="008E07D6"/>
    <w:rsid w:val="008E1FA1"/>
    <w:rsid w:val="008E26C7"/>
    <w:rsid w:val="008E286B"/>
    <w:rsid w:val="008E36EB"/>
    <w:rsid w:val="008E3B67"/>
    <w:rsid w:val="008E3C11"/>
    <w:rsid w:val="008E488E"/>
    <w:rsid w:val="008E48CC"/>
    <w:rsid w:val="008E4CD2"/>
    <w:rsid w:val="008E5413"/>
    <w:rsid w:val="008E6D2D"/>
    <w:rsid w:val="008E79C8"/>
    <w:rsid w:val="008E7A68"/>
    <w:rsid w:val="008F035F"/>
    <w:rsid w:val="008F0FC4"/>
    <w:rsid w:val="008F1181"/>
    <w:rsid w:val="008F1415"/>
    <w:rsid w:val="008F324C"/>
    <w:rsid w:val="008F3B92"/>
    <w:rsid w:val="008F3BC2"/>
    <w:rsid w:val="008F4912"/>
    <w:rsid w:val="008F4917"/>
    <w:rsid w:val="008F55A5"/>
    <w:rsid w:val="008F56AD"/>
    <w:rsid w:val="008F58B5"/>
    <w:rsid w:val="008F5A7B"/>
    <w:rsid w:val="008F6F71"/>
    <w:rsid w:val="008F72A2"/>
    <w:rsid w:val="008F77D4"/>
    <w:rsid w:val="008F7CBB"/>
    <w:rsid w:val="00900E1B"/>
    <w:rsid w:val="00903753"/>
    <w:rsid w:val="00904F3A"/>
    <w:rsid w:val="00904FC5"/>
    <w:rsid w:val="00905164"/>
    <w:rsid w:val="00905CD5"/>
    <w:rsid w:val="00905D14"/>
    <w:rsid w:val="00906306"/>
    <w:rsid w:val="00907631"/>
    <w:rsid w:val="00907946"/>
    <w:rsid w:val="00907DC5"/>
    <w:rsid w:val="0091121E"/>
    <w:rsid w:val="00912FEA"/>
    <w:rsid w:val="00913007"/>
    <w:rsid w:val="0091350F"/>
    <w:rsid w:val="00913876"/>
    <w:rsid w:val="00913AFA"/>
    <w:rsid w:val="00916201"/>
    <w:rsid w:val="00916703"/>
    <w:rsid w:val="00916D2A"/>
    <w:rsid w:val="0091784D"/>
    <w:rsid w:val="00920084"/>
    <w:rsid w:val="00921399"/>
    <w:rsid w:val="00921629"/>
    <w:rsid w:val="00921C31"/>
    <w:rsid w:val="0092467F"/>
    <w:rsid w:val="00924858"/>
    <w:rsid w:val="00925BE3"/>
    <w:rsid w:val="009263A5"/>
    <w:rsid w:val="00927C8B"/>
    <w:rsid w:val="00930878"/>
    <w:rsid w:val="00930D3B"/>
    <w:rsid w:val="009311F6"/>
    <w:rsid w:val="00931399"/>
    <w:rsid w:val="00931F0E"/>
    <w:rsid w:val="0093252E"/>
    <w:rsid w:val="00934241"/>
    <w:rsid w:val="00935333"/>
    <w:rsid w:val="00935367"/>
    <w:rsid w:val="00935434"/>
    <w:rsid w:val="00935B1D"/>
    <w:rsid w:val="00936AD8"/>
    <w:rsid w:val="00937802"/>
    <w:rsid w:val="00937D6B"/>
    <w:rsid w:val="009403EF"/>
    <w:rsid w:val="00940E87"/>
    <w:rsid w:val="009443C9"/>
    <w:rsid w:val="0094454C"/>
    <w:rsid w:val="00944B38"/>
    <w:rsid w:val="00944C60"/>
    <w:rsid w:val="00945214"/>
    <w:rsid w:val="00945AC3"/>
    <w:rsid w:val="0094655C"/>
    <w:rsid w:val="0094694D"/>
    <w:rsid w:val="00946E10"/>
    <w:rsid w:val="00947081"/>
    <w:rsid w:val="009472A1"/>
    <w:rsid w:val="0095073F"/>
    <w:rsid w:val="009511BE"/>
    <w:rsid w:val="0095139E"/>
    <w:rsid w:val="00952108"/>
    <w:rsid w:val="0095241D"/>
    <w:rsid w:val="00953274"/>
    <w:rsid w:val="00953327"/>
    <w:rsid w:val="00953458"/>
    <w:rsid w:val="0095353F"/>
    <w:rsid w:val="0095360D"/>
    <w:rsid w:val="00953C13"/>
    <w:rsid w:val="00953C97"/>
    <w:rsid w:val="00954AFB"/>
    <w:rsid w:val="009550AB"/>
    <w:rsid w:val="00955638"/>
    <w:rsid w:val="009606D2"/>
    <w:rsid w:val="00960B2A"/>
    <w:rsid w:val="00961E2B"/>
    <w:rsid w:val="00963407"/>
    <w:rsid w:val="009638C6"/>
    <w:rsid w:val="00963E7C"/>
    <w:rsid w:val="00964F6A"/>
    <w:rsid w:val="00965C34"/>
    <w:rsid w:val="00965F4A"/>
    <w:rsid w:val="00967601"/>
    <w:rsid w:val="00967F46"/>
    <w:rsid w:val="00971861"/>
    <w:rsid w:val="00973B7C"/>
    <w:rsid w:val="009746D8"/>
    <w:rsid w:val="00974C12"/>
    <w:rsid w:val="00975154"/>
    <w:rsid w:val="00975B8D"/>
    <w:rsid w:val="00975DCC"/>
    <w:rsid w:val="009769F7"/>
    <w:rsid w:val="0097733E"/>
    <w:rsid w:val="00980461"/>
    <w:rsid w:val="0098083D"/>
    <w:rsid w:val="00980A96"/>
    <w:rsid w:val="00983E04"/>
    <w:rsid w:val="00984FE5"/>
    <w:rsid w:val="009854E7"/>
    <w:rsid w:val="00985B16"/>
    <w:rsid w:val="00987991"/>
    <w:rsid w:val="00987C45"/>
    <w:rsid w:val="00987F10"/>
    <w:rsid w:val="00990F37"/>
    <w:rsid w:val="00991952"/>
    <w:rsid w:val="00991B50"/>
    <w:rsid w:val="00993CD7"/>
    <w:rsid w:val="0099447D"/>
    <w:rsid w:val="0099483D"/>
    <w:rsid w:val="00994935"/>
    <w:rsid w:val="00994EC1"/>
    <w:rsid w:val="0099588B"/>
    <w:rsid w:val="00997D0E"/>
    <w:rsid w:val="009A0B0F"/>
    <w:rsid w:val="009A1894"/>
    <w:rsid w:val="009A1A63"/>
    <w:rsid w:val="009A3204"/>
    <w:rsid w:val="009A328E"/>
    <w:rsid w:val="009A35F7"/>
    <w:rsid w:val="009A46D7"/>
    <w:rsid w:val="009A47B9"/>
    <w:rsid w:val="009A4AFF"/>
    <w:rsid w:val="009A5048"/>
    <w:rsid w:val="009A5A99"/>
    <w:rsid w:val="009A600D"/>
    <w:rsid w:val="009A6236"/>
    <w:rsid w:val="009A65AB"/>
    <w:rsid w:val="009A6E6D"/>
    <w:rsid w:val="009A75D3"/>
    <w:rsid w:val="009A79E1"/>
    <w:rsid w:val="009A7BD5"/>
    <w:rsid w:val="009A7E60"/>
    <w:rsid w:val="009B0403"/>
    <w:rsid w:val="009B0947"/>
    <w:rsid w:val="009B1222"/>
    <w:rsid w:val="009B1375"/>
    <w:rsid w:val="009B246A"/>
    <w:rsid w:val="009B2843"/>
    <w:rsid w:val="009B2921"/>
    <w:rsid w:val="009B3199"/>
    <w:rsid w:val="009B34B2"/>
    <w:rsid w:val="009B3851"/>
    <w:rsid w:val="009B3BA0"/>
    <w:rsid w:val="009B4773"/>
    <w:rsid w:val="009B4997"/>
    <w:rsid w:val="009B5544"/>
    <w:rsid w:val="009B5DCF"/>
    <w:rsid w:val="009B6746"/>
    <w:rsid w:val="009B7588"/>
    <w:rsid w:val="009C01F1"/>
    <w:rsid w:val="009C09E7"/>
    <w:rsid w:val="009C13FB"/>
    <w:rsid w:val="009C161C"/>
    <w:rsid w:val="009C18F4"/>
    <w:rsid w:val="009C2050"/>
    <w:rsid w:val="009C4633"/>
    <w:rsid w:val="009C5921"/>
    <w:rsid w:val="009C5926"/>
    <w:rsid w:val="009C5FE9"/>
    <w:rsid w:val="009C602F"/>
    <w:rsid w:val="009C6111"/>
    <w:rsid w:val="009D04AF"/>
    <w:rsid w:val="009D0C52"/>
    <w:rsid w:val="009D0CD1"/>
    <w:rsid w:val="009D1009"/>
    <w:rsid w:val="009D1AAB"/>
    <w:rsid w:val="009D1D43"/>
    <w:rsid w:val="009D22BF"/>
    <w:rsid w:val="009D23FD"/>
    <w:rsid w:val="009D4048"/>
    <w:rsid w:val="009D42F2"/>
    <w:rsid w:val="009D431F"/>
    <w:rsid w:val="009D483D"/>
    <w:rsid w:val="009D53A3"/>
    <w:rsid w:val="009D6586"/>
    <w:rsid w:val="009D73BF"/>
    <w:rsid w:val="009D76CD"/>
    <w:rsid w:val="009D7DA5"/>
    <w:rsid w:val="009E0040"/>
    <w:rsid w:val="009E1103"/>
    <w:rsid w:val="009E2194"/>
    <w:rsid w:val="009E26DE"/>
    <w:rsid w:val="009E2EFB"/>
    <w:rsid w:val="009E2FEA"/>
    <w:rsid w:val="009E324B"/>
    <w:rsid w:val="009E3CFE"/>
    <w:rsid w:val="009E3D74"/>
    <w:rsid w:val="009E3F7F"/>
    <w:rsid w:val="009E5924"/>
    <w:rsid w:val="009E783D"/>
    <w:rsid w:val="009F03E7"/>
    <w:rsid w:val="009F0D30"/>
    <w:rsid w:val="009F0EF9"/>
    <w:rsid w:val="009F1108"/>
    <w:rsid w:val="009F20FD"/>
    <w:rsid w:val="009F2733"/>
    <w:rsid w:val="009F28B2"/>
    <w:rsid w:val="009F3786"/>
    <w:rsid w:val="009F3CED"/>
    <w:rsid w:val="009F4222"/>
    <w:rsid w:val="009F4A20"/>
    <w:rsid w:val="009F4F71"/>
    <w:rsid w:val="009F4FDE"/>
    <w:rsid w:val="009F538D"/>
    <w:rsid w:val="009F6DF2"/>
    <w:rsid w:val="009F71FD"/>
    <w:rsid w:val="00A0134E"/>
    <w:rsid w:val="00A0302C"/>
    <w:rsid w:val="00A033C6"/>
    <w:rsid w:val="00A037BB"/>
    <w:rsid w:val="00A03B4A"/>
    <w:rsid w:val="00A03C03"/>
    <w:rsid w:val="00A044BF"/>
    <w:rsid w:val="00A06F2B"/>
    <w:rsid w:val="00A076C1"/>
    <w:rsid w:val="00A10604"/>
    <w:rsid w:val="00A10758"/>
    <w:rsid w:val="00A11EF6"/>
    <w:rsid w:val="00A129A4"/>
    <w:rsid w:val="00A1400F"/>
    <w:rsid w:val="00A143B4"/>
    <w:rsid w:val="00A147E5"/>
    <w:rsid w:val="00A14829"/>
    <w:rsid w:val="00A15906"/>
    <w:rsid w:val="00A16A13"/>
    <w:rsid w:val="00A1791B"/>
    <w:rsid w:val="00A20542"/>
    <w:rsid w:val="00A20790"/>
    <w:rsid w:val="00A20A06"/>
    <w:rsid w:val="00A214D3"/>
    <w:rsid w:val="00A21659"/>
    <w:rsid w:val="00A21A05"/>
    <w:rsid w:val="00A21A81"/>
    <w:rsid w:val="00A227DB"/>
    <w:rsid w:val="00A23C7D"/>
    <w:rsid w:val="00A246C2"/>
    <w:rsid w:val="00A24847"/>
    <w:rsid w:val="00A24951"/>
    <w:rsid w:val="00A2505F"/>
    <w:rsid w:val="00A256E1"/>
    <w:rsid w:val="00A25F1F"/>
    <w:rsid w:val="00A27382"/>
    <w:rsid w:val="00A274A5"/>
    <w:rsid w:val="00A2781F"/>
    <w:rsid w:val="00A27BD0"/>
    <w:rsid w:val="00A309C3"/>
    <w:rsid w:val="00A3145A"/>
    <w:rsid w:val="00A32578"/>
    <w:rsid w:val="00A329BF"/>
    <w:rsid w:val="00A32A1B"/>
    <w:rsid w:val="00A332E4"/>
    <w:rsid w:val="00A33AC2"/>
    <w:rsid w:val="00A33C76"/>
    <w:rsid w:val="00A34F36"/>
    <w:rsid w:val="00A36AA7"/>
    <w:rsid w:val="00A37555"/>
    <w:rsid w:val="00A379D5"/>
    <w:rsid w:val="00A40116"/>
    <w:rsid w:val="00A405D6"/>
    <w:rsid w:val="00A40746"/>
    <w:rsid w:val="00A41DFA"/>
    <w:rsid w:val="00A42496"/>
    <w:rsid w:val="00A42548"/>
    <w:rsid w:val="00A42687"/>
    <w:rsid w:val="00A42DF6"/>
    <w:rsid w:val="00A43277"/>
    <w:rsid w:val="00A443C8"/>
    <w:rsid w:val="00A448E7"/>
    <w:rsid w:val="00A44C10"/>
    <w:rsid w:val="00A44E06"/>
    <w:rsid w:val="00A450D7"/>
    <w:rsid w:val="00A450F9"/>
    <w:rsid w:val="00A46581"/>
    <w:rsid w:val="00A46BCC"/>
    <w:rsid w:val="00A478FA"/>
    <w:rsid w:val="00A47E8B"/>
    <w:rsid w:val="00A505B5"/>
    <w:rsid w:val="00A509EC"/>
    <w:rsid w:val="00A51D11"/>
    <w:rsid w:val="00A52244"/>
    <w:rsid w:val="00A53489"/>
    <w:rsid w:val="00A53A0F"/>
    <w:rsid w:val="00A545A5"/>
    <w:rsid w:val="00A5464B"/>
    <w:rsid w:val="00A54D89"/>
    <w:rsid w:val="00A552A4"/>
    <w:rsid w:val="00A55397"/>
    <w:rsid w:val="00A55E0E"/>
    <w:rsid w:val="00A56381"/>
    <w:rsid w:val="00A56CBF"/>
    <w:rsid w:val="00A60183"/>
    <w:rsid w:val="00A603E6"/>
    <w:rsid w:val="00A6141A"/>
    <w:rsid w:val="00A616BC"/>
    <w:rsid w:val="00A6181E"/>
    <w:rsid w:val="00A63242"/>
    <w:rsid w:val="00A632A2"/>
    <w:rsid w:val="00A64F0F"/>
    <w:rsid w:val="00A66376"/>
    <w:rsid w:val="00A67086"/>
    <w:rsid w:val="00A67987"/>
    <w:rsid w:val="00A703C8"/>
    <w:rsid w:val="00A70890"/>
    <w:rsid w:val="00A725E1"/>
    <w:rsid w:val="00A72674"/>
    <w:rsid w:val="00A72730"/>
    <w:rsid w:val="00A7311A"/>
    <w:rsid w:val="00A73749"/>
    <w:rsid w:val="00A74B3D"/>
    <w:rsid w:val="00A75575"/>
    <w:rsid w:val="00A75A61"/>
    <w:rsid w:val="00A765C5"/>
    <w:rsid w:val="00A770BF"/>
    <w:rsid w:val="00A772E3"/>
    <w:rsid w:val="00A77C3A"/>
    <w:rsid w:val="00A80162"/>
    <w:rsid w:val="00A810C3"/>
    <w:rsid w:val="00A811D4"/>
    <w:rsid w:val="00A8170B"/>
    <w:rsid w:val="00A8305B"/>
    <w:rsid w:val="00A856D3"/>
    <w:rsid w:val="00A85BA1"/>
    <w:rsid w:val="00A85CBD"/>
    <w:rsid w:val="00A8661C"/>
    <w:rsid w:val="00A86F4A"/>
    <w:rsid w:val="00A8793D"/>
    <w:rsid w:val="00A87C1B"/>
    <w:rsid w:val="00A87D3C"/>
    <w:rsid w:val="00A903DB"/>
    <w:rsid w:val="00A9174B"/>
    <w:rsid w:val="00A91B70"/>
    <w:rsid w:val="00A92709"/>
    <w:rsid w:val="00A9363C"/>
    <w:rsid w:val="00A943CE"/>
    <w:rsid w:val="00A945FF"/>
    <w:rsid w:val="00AA02CE"/>
    <w:rsid w:val="00AA0BA3"/>
    <w:rsid w:val="00AA116D"/>
    <w:rsid w:val="00AA124D"/>
    <w:rsid w:val="00AA1E25"/>
    <w:rsid w:val="00AA3EB1"/>
    <w:rsid w:val="00AA47D2"/>
    <w:rsid w:val="00AA4FEB"/>
    <w:rsid w:val="00AA54C6"/>
    <w:rsid w:val="00AA5C35"/>
    <w:rsid w:val="00AA651D"/>
    <w:rsid w:val="00AA6A4F"/>
    <w:rsid w:val="00AA6AC8"/>
    <w:rsid w:val="00AA6CED"/>
    <w:rsid w:val="00AA6F60"/>
    <w:rsid w:val="00AA7110"/>
    <w:rsid w:val="00AA796E"/>
    <w:rsid w:val="00AB03F1"/>
    <w:rsid w:val="00AB04C5"/>
    <w:rsid w:val="00AB0A6E"/>
    <w:rsid w:val="00AB162E"/>
    <w:rsid w:val="00AB2378"/>
    <w:rsid w:val="00AB27DC"/>
    <w:rsid w:val="00AB360E"/>
    <w:rsid w:val="00AB3ACF"/>
    <w:rsid w:val="00AB4734"/>
    <w:rsid w:val="00AB4F51"/>
    <w:rsid w:val="00AB5590"/>
    <w:rsid w:val="00AB5CE5"/>
    <w:rsid w:val="00AB69C5"/>
    <w:rsid w:val="00AB71E1"/>
    <w:rsid w:val="00AB754E"/>
    <w:rsid w:val="00AB76F3"/>
    <w:rsid w:val="00AB7CD6"/>
    <w:rsid w:val="00AB7DBB"/>
    <w:rsid w:val="00AC02B0"/>
    <w:rsid w:val="00AC0AF0"/>
    <w:rsid w:val="00AC2359"/>
    <w:rsid w:val="00AC3E82"/>
    <w:rsid w:val="00AC4481"/>
    <w:rsid w:val="00AC6392"/>
    <w:rsid w:val="00AC71B8"/>
    <w:rsid w:val="00AC7752"/>
    <w:rsid w:val="00AD0726"/>
    <w:rsid w:val="00AD0EEA"/>
    <w:rsid w:val="00AD178E"/>
    <w:rsid w:val="00AD2F36"/>
    <w:rsid w:val="00AD3785"/>
    <w:rsid w:val="00AD3869"/>
    <w:rsid w:val="00AD3C00"/>
    <w:rsid w:val="00AD4236"/>
    <w:rsid w:val="00AD47A8"/>
    <w:rsid w:val="00AD6AE8"/>
    <w:rsid w:val="00AD6FC2"/>
    <w:rsid w:val="00AD73A6"/>
    <w:rsid w:val="00AD78DF"/>
    <w:rsid w:val="00AE0046"/>
    <w:rsid w:val="00AE1076"/>
    <w:rsid w:val="00AE1713"/>
    <w:rsid w:val="00AE2E40"/>
    <w:rsid w:val="00AE37F3"/>
    <w:rsid w:val="00AE3AC5"/>
    <w:rsid w:val="00AE3EC4"/>
    <w:rsid w:val="00AE3F61"/>
    <w:rsid w:val="00AE4E73"/>
    <w:rsid w:val="00AE4FBC"/>
    <w:rsid w:val="00AE5734"/>
    <w:rsid w:val="00AE5C67"/>
    <w:rsid w:val="00AE624F"/>
    <w:rsid w:val="00AE7932"/>
    <w:rsid w:val="00AF0764"/>
    <w:rsid w:val="00AF0FA0"/>
    <w:rsid w:val="00AF1945"/>
    <w:rsid w:val="00AF28FA"/>
    <w:rsid w:val="00AF33BC"/>
    <w:rsid w:val="00AF3B97"/>
    <w:rsid w:val="00AF3C4C"/>
    <w:rsid w:val="00AF48A8"/>
    <w:rsid w:val="00AF593F"/>
    <w:rsid w:val="00AF5B6C"/>
    <w:rsid w:val="00AF5F2E"/>
    <w:rsid w:val="00AF6199"/>
    <w:rsid w:val="00AF622D"/>
    <w:rsid w:val="00AF66E0"/>
    <w:rsid w:val="00AF6BA3"/>
    <w:rsid w:val="00AF7325"/>
    <w:rsid w:val="00B0029B"/>
    <w:rsid w:val="00B008F3"/>
    <w:rsid w:val="00B01940"/>
    <w:rsid w:val="00B028ED"/>
    <w:rsid w:val="00B02A7C"/>
    <w:rsid w:val="00B03D18"/>
    <w:rsid w:val="00B046F6"/>
    <w:rsid w:val="00B04B8A"/>
    <w:rsid w:val="00B04BB9"/>
    <w:rsid w:val="00B0505D"/>
    <w:rsid w:val="00B05208"/>
    <w:rsid w:val="00B05834"/>
    <w:rsid w:val="00B05DC7"/>
    <w:rsid w:val="00B0713E"/>
    <w:rsid w:val="00B07904"/>
    <w:rsid w:val="00B07B81"/>
    <w:rsid w:val="00B105BE"/>
    <w:rsid w:val="00B10B3D"/>
    <w:rsid w:val="00B10C56"/>
    <w:rsid w:val="00B10E4C"/>
    <w:rsid w:val="00B11B46"/>
    <w:rsid w:val="00B12821"/>
    <w:rsid w:val="00B12D3B"/>
    <w:rsid w:val="00B13602"/>
    <w:rsid w:val="00B136D2"/>
    <w:rsid w:val="00B14088"/>
    <w:rsid w:val="00B14AB4"/>
    <w:rsid w:val="00B14BEC"/>
    <w:rsid w:val="00B152B7"/>
    <w:rsid w:val="00B15899"/>
    <w:rsid w:val="00B162F2"/>
    <w:rsid w:val="00B16531"/>
    <w:rsid w:val="00B16CBA"/>
    <w:rsid w:val="00B17B9E"/>
    <w:rsid w:val="00B20AC2"/>
    <w:rsid w:val="00B213BF"/>
    <w:rsid w:val="00B220DF"/>
    <w:rsid w:val="00B22168"/>
    <w:rsid w:val="00B25A98"/>
    <w:rsid w:val="00B2611C"/>
    <w:rsid w:val="00B261D0"/>
    <w:rsid w:val="00B26340"/>
    <w:rsid w:val="00B26D7B"/>
    <w:rsid w:val="00B27830"/>
    <w:rsid w:val="00B27EEE"/>
    <w:rsid w:val="00B30C8E"/>
    <w:rsid w:val="00B30CE9"/>
    <w:rsid w:val="00B30EE4"/>
    <w:rsid w:val="00B31756"/>
    <w:rsid w:val="00B318C7"/>
    <w:rsid w:val="00B31B41"/>
    <w:rsid w:val="00B320BB"/>
    <w:rsid w:val="00B33B2F"/>
    <w:rsid w:val="00B33E1D"/>
    <w:rsid w:val="00B34BFE"/>
    <w:rsid w:val="00B350AA"/>
    <w:rsid w:val="00B35197"/>
    <w:rsid w:val="00B358C7"/>
    <w:rsid w:val="00B35FD5"/>
    <w:rsid w:val="00B36704"/>
    <w:rsid w:val="00B36D47"/>
    <w:rsid w:val="00B373B2"/>
    <w:rsid w:val="00B408BB"/>
    <w:rsid w:val="00B40A9A"/>
    <w:rsid w:val="00B40BA8"/>
    <w:rsid w:val="00B41109"/>
    <w:rsid w:val="00B4223E"/>
    <w:rsid w:val="00B42F6C"/>
    <w:rsid w:val="00B441B7"/>
    <w:rsid w:val="00B44E6C"/>
    <w:rsid w:val="00B4566D"/>
    <w:rsid w:val="00B4569F"/>
    <w:rsid w:val="00B46779"/>
    <w:rsid w:val="00B46825"/>
    <w:rsid w:val="00B47609"/>
    <w:rsid w:val="00B5008C"/>
    <w:rsid w:val="00B50199"/>
    <w:rsid w:val="00B51097"/>
    <w:rsid w:val="00B517DB"/>
    <w:rsid w:val="00B51836"/>
    <w:rsid w:val="00B52228"/>
    <w:rsid w:val="00B52529"/>
    <w:rsid w:val="00B53897"/>
    <w:rsid w:val="00B538D0"/>
    <w:rsid w:val="00B53D17"/>
    <w:rsid w:val="00B55735"/>
    <w:rsid w:val="00B561C8"/>
    <w:rsid w:val="00B56A9D"/>
    <w:rsid w:val="00B56C41"/>
    <w:rsid w:val="00B600AF"/>
    <w:rsid w:val="00B608AC"/>
    <w:rsid w:val="00B60CBE"/>
    <w:rsid w:val="00B624AC"/>
    <w:rsid w:val="00B625DA"/>
    <w:rsid w:val="00B626FF"/>
    <w:rsid w:val="00B63C78"/>
    <w:rsid w:val="00B640DA"/>
    <w:rsid w:val="00B64180"/>
    <w:rsid w:val="00B64558"/>
    <w:rsid w:val="00B64760"/>
    <w:rsid w:val="00B64B9E"/>
    <w:rsid w:val="00B64DFE"/>
    <w:rsid w:val="00B651D4"/>
    <w:rsid w:val="00B65886"/>
    <w:rsid w:val="00B65F95"/>
    <w:rsid w:val="00B6714A"/>
    <w:rsid w:val="00B67381"/>
    <w:rsid w:val="00B726DB"/>
    <w:rsid w:val="00B72BF3"/>
    <w:rsid w:val="00B73C37"/>
    <w:rsid w:val="00B746CB"/>
    <w:rsid w:val="00B74B89"/>
    <w:rsid w:val="00B74BB0"/>
    <w:rsid w:val="00B74F8E"/>
    <w:rsid w:val="00B75D78"/>
    <w:rsid w:val="00B75FB7"/>
    <w:rsid w:val="00B762B2"/>
    <w:rsid w:val="00B7673B"/>
    <w:rsid w:val="00B772B1"/>
    <w:rsid w:val="00B7785F"/>
    <w:rsid w:val="00B81EC5"/>
    <w:rsid w:val="00B829ED"/>
    <w:rsid w:val="00B82CE5"/>
    <w:rsid w:val="00B82F05"/>
    <w:rsid w:val="00B83C22"/>
    <w:rsid w:val="00B842CB"/>
    <w:rsid w:val="00B842F7"/>
    <w:rsid w:val="00B85A86"/>
    <w:rsid w:val="00B85CA1"/>
    <w:rsid w:val="00B85F5D"/>
    <w:rsid w:val="00B86FDB"/>
    <w:rsid w:val="00B91400"/>
    <w:rsid w:val="00B91CCE"/>
    <w:rsid w:val="00B91DD0"/>
    <w:rsid w:val="00B924A1"/>
    <w:rsid w:val="00B92BE2"/>
    <w:rsid w:val="00B93099"/>
    <w:rsid w:val="00B9325C"/>
    <w:rsid w:val="00B9427E"/>
    <w:rsid w:val="00B946E7"/>
    <w:rsid w:val="00B95B26"/>
    <w:rsid w:val="00B95BFE"/>
    <w:rsid w:val="00B95E70"/>
    <w:rsid w:val="00B97034"/>
    <w:rsid w:val="00B97B8D"/>
    <w:rsid w:val="00B97BF5"/>
    <w:rsid w:val="00BA025D"/>
    <w:rsid w:val="00BA078B"/>
    <w:rsid w:val="00BA184F"/>
    <w:rsid w:val="00BA2C91"/>
    <w:rsid w:val="00BA2F08"/>
    <w:rsid w:val="00BA36FD"/>
    <w:rsid w:val="00BA42FC"/>
    <w:rsid w:val="00BA4FDC"/>
    <w:rsid w:val="00BA6154"/>
    <w:rsid w:val="00BA6B1A"/>
    <w:rsid w:val="00BA7B34"/>
    <w:rsid w:val="00BB178F"/>
    <w:rsid w:val="00BB197D"/>
    <w:rsid w:val="00BB1A47"/>
    <w:rsid w:val="00BB2287"/>
    <w:rsid w:val="00BB230A"/>
    <w:rsid w:val="00BB270B"/>
    <w:rsid w:val="00BB2FBB"/>
    <w:rsid w:val="00BB2FC5"/>
    <w:rsid w:val="00BB474C"/>
    <w:rsid w:val="00BB4AB7"/>
    <w:rsid w:val="00BB4E8F"/>
    <w:rsid w:val="00BB4EA5"/>
    <w:rsid w:val="00BB662E"/>
    <w:rsid w:val="00BB6B21"/>
    <w:rsid w:val="00BB6FDA"/>
    <w:rsid w:val="00BB72BD"/>
    <w:rsid w:val="00BB745D"/>
    <w:rsid w:val="00BC011B"/>
    <w:rsid w:val="00BC02D6"/>
    <w:rsid w:val="00BC0A05"/>
    <w:rsid w:val="00BC0AD6"/>
    <w:rsid w:val="00BC2C92"/>
    <w:rsid w:val="00BC30D3"/>
    <w:rsid w:val="00BC425A"/>
    <w:rsid w:val="00BC5300"/>
    <w:rsid w:val="00BC7BBC"/>
    <w:rsid w:val="00BD0413"/>
    <w:rsid w:val="00BD05C8"/>
    <w:rsid w:val="00BD1C5B"/>
    <w:rsid w:val="00BD2372"/>
    <w:rsid w:val="00BD2380"/>
    <w:rsid w:val="00BD3378"/>
    <w:rsid w:val="00BD3E9E"/>
    <w:rsid w:val="00BD3FC6"/>
    <w:rsid w:val="00BD4391"/>
    <w:rsid w:val="00BD4AD4"/>
    <w:rsid w:val="00BD5AE0"/>
    <w:rsid w:val="00BD6B8D"/>
    <w:rsid w:val="00BD75AB"/>
    <w:rsid w:val="00BD7BE0"/>
    <w:rsid w:val="00BD7F5C"/>
    <w:rsid w:val="00BE00DC"/>
    <w:rsid w:val="00BE0459"/>
    <w:rsid w:val="00BE0494"/>
    <w:rsid w:val="00BE0EB2"/>
    <w:rsid w:val="00BE1807"/>
    <w:rsid w:val="00BE1AA9"/>
    <w:rsid w:val="00BE24AC"/>
    <w:rsid w:val="00BE2F9B"/>
    <w:rsid w:val="00BE417A"/>
    <w:rsid w:val="00BE4714"/>
    <w:rsid w:val="00BE7F72"/>
    <w:rsid w:val="00BF0420"/>
    <w:rsid w:val="00BF044A"/>
    <w:rsid w:val="00BF0DC5"/>
    <w:rsid w:val="00BF0E7E"/>
    <w:rsid w:val="00BF2790"/>
    <w:rsid w:val="00BF2B80"/>
    <w:rsid w:val="00BF3A6B"/>
    <w:rsid w:val="00BF3B76"/>
    <w:rsid w:val="00BF45DB"/>
    <w:rsid w:val="00BF46A4"/>
    <w:rsid w:val="00BF4707"/>
    <w:rsid w:val="00BF55D1"/>
    <w:rsid w:val="00BF6933"/>
    <w:rsid w:val="00BF798F"/>
    <w:rsid w:val="00C005E7"/>
    <w:rsid w:val="00C00812"/>
    <w:rsid w:val="00C00CA4"/>
    <w:rsid w:val="00C00F81"/>
    <w:rsid w:val="00C019D8"/>
    <w:rsid w:val="00C01D28"/>
    <w:rsid w:val="00C02B62"/>
    <w:rsid w:val="00C03E3C"/>
    <w:rsid w:val="00C03EE4"/>
    <w:rsid w:val="00C059AC"/>
    <w:rsid w:val="00C05AEB"/>
    <w:rsid w:val="00C05E03"/>
    <w:rsid w:val="00C0623F"/>
    <w:rsid w:val="00C06856"/>
    <w:rsid w:val="00C07646"/>
    <w:rsid w:val="00C076F5"/>
    <w:rsid w:val="00C079B3"/>
    <w:rsid w:val="00C1033F"/>
    <w:rsid w:val="00C10D07"/>
    <w:rsid w:val="00C11358"/>
    <w:rsid w:val="00C11841"/>
    <w:rsid w:val="00C122C9"/>
    <w:rsid w:val="00C124E2"/>
    <w:rsid w:val="00C15264"/>
    <w:rsid w:val="00C17E03"/>
    <w:rsid w:val="00C20254"/>
    <w:rsid w:val="00C211B0"/>
    <w:rsid w:val="00C21208"/>
    <w:rsid w:val="00C2121E"/>
    <w:rsid w:val="00C21541"/>
    <w:rsid w:val="00C2199E"/>
    <w:rsid w:val="00C222F0"/>
    <w:rsid w:val="00C22304"/>
    <w:rsid w:val="00C24049"/>
    <w:rsid w:val="00C247E7"/>
    <w:rsid w:val="00C24A32"/>
    <w:rsid w:val="00C26530"/>
    <w:rsid w:val="00C27174"/>
    <w:rsid w:val="00C300E5"/>
    <w:rsid w:val="00C304F2"/>
    <w:rsid w:val="00C30553"/>
    <w:rsid w:val="00C31A94"/>
    <w:rsid w:val="00C31B4B"/>
    <w:rsid w:val="00C31ED6"/>
    <w:rsid w:val="00C320C5"/>
    <w:rsid w:val="00C32380"/>
    <w:rsid w:val="00C32BD4"/>
    <w:rsid w:val="00C33064"/>
    <w:rsid w:val="00C3358B"/>
    <w:rsid w:val="00C33A4E"/>
    <w:rsid w:val="00C342CF"/>
    <w:rsid w:val="00C34762"/>
    <w:rsid w:val="00C3661D"/>
    <w:rsid w:val="00C36753"/>
    <w:rsid w:val="00C36EA5"/>
    <w:rsid w:val="00C377FE"/>
    <w:rsid w:val="00C40C85"/>
    <w:rsid w:val="00C44623"/>
    <w:rsid w:val="00C4529C"/>
    <w:rsid w:val="00C45521"/>
    <w:rsid w:val="00C455CC"/>
    <w:rsid w:val="00C459AB"/>
    <w:rsid w:val="00C471FB"/>
    <w:rsid w:val="00C47777"/>
    <w:rsid w:val="00C47DDE"/>
    <w:rsid w:val="00C503BD"/>
    <w:rsid w:val="00C50708"/>
    <w:rsid w:val="00C50FBC"/>
    <w:rsid w:val="00C51827"/>
    <w:rsid w:val="00C5207E"/>
    <w:rsid w:val="00C52ABE"/>
    <w:rsid w:val="00C52ADB"/>
    <w:rsid w:val="00C52FCC"/>
    <w:rsid w:val="00C53FB5"/>
    <w:rsid w:val="00C553B7"/>
    <w:rsid w:val="00C55B77"/>
    <w:rsid w:val="00C56236"/>
    <w:rsid w:val="00C566E1"/>
    <w:rsid w:val="00C56D57"/>
    <w:rsid w:val="00C56EC6"/>
    <w:rsid w:val="00C57552"/>
    <w:rsid w:val="00C610EE"/>
    <w:rsid w:val="00C63215"/>
    <w:rsid w:val="00C63AA2"/>
    <w:rsid w:val="00C643DC"/>
    <w:rsid w:val="00C65C47"/>
    <w:rsid w:val="00C6600F"/>
    <w:rsid w:val="00C6623C"/>
    <w:rsid w:val="00C6679E"/>
    <w:rsid w:val="00C67823"/>
    <w:rsid w:val="00C7026A"/>
    <w:rsid w:val="00C71E46"/>
    <w:rsid w:val="00C71FF5"/>
    <w:rsid w:val="00C73D30"/>
    <w:rsid w:val="00C74ABF"/>
    <w:rsid w:val="00C74E1C"/>
    <w:rsid w:val="00C75BCE"/>
    <w:rsid w:val="00C75C56"/>
    <w:rsid w:val="00C768E2"/>
    <w:rsid w:val="00C76C29"/>
    <w:rsid w:val="00C77500"/>
    <w:rsid w:val="00C77E08"/>
    <w:rsid w:val="00C8080F"/>
    <w:rsid w:val="00C813AF"/>
    <w:rsid w:val="00C816CF"/>
    <w:rsid w:val="00C82440"/>
    <w:rsid w:val="00C8262E"/>
    <w:rsid w:val="00C8346A"/>
    <w:rsid w:val="00C839E5"/>
    <w:rsid w:val="00C83C3C"/>
    <w:rsid w:val="00C8458C"/>
    <w:rsid w:val="00C84F5F"/>
    <w:rsid w:val="00C85686"/>
    <w:rsid w:val="00C857B2"/>
    <w:rsid w:val="00C85C22"/>
    <w:rsid w:val="00C85C78"/>
    <w:rsid w:val="00C85D5C"/>
    <w:rsid w:val="00C8613C"/>
    <w:rsid w:val="00C861AB"/>
    <w:rsid w:val="00C87E72"/>
    <w:rsid w:val="00C90B13"/>
    <w:rsid w:val="00C913E5"/>
    <w:rsid w:val="00C91462"/>
    <w:rsid w:val="00C922C7"/>
    <w:rsid w:val="00C9288B"/>
    <w:rsid w:val="00C9537C"/>
    <w:rsid w:val="00C96099"/>
    <w:rsid w:val="00C961EE"/>
    <w:rsid w:val="00C974A0"/>
    <w:rsid w:val="00C976EA"/>
    <w:rsid w:val="00C97F0A"/>
    <w:rsid w:val="00CA114D"/>
    <w:rsid w:val="00CA12F5"/>
    <w:rsid w:val="00CA2990"/>
    <w:rsid w:val="00CA316F"/>
    <w:rsid w:val="00CA37B7"/>
    <w:rsid w:val="00CA3B45"/>
    <w:rsid w:val="00CA3EF1"/>
    <w:rsid w:val="00CA4DC6"/>
    <w:rsid w:val="00CA5724"/>
    <w:rsid w:val="00CA5821"/>
    <w:rsid w:val="00CA58A6"/>
    <w:rsid w:val="00CA6274"/>
    <w:rsid w:val="00CA668C"/>
    <w:rsid w:val="00CA6EBF"/>
    <w:rsid w:val="00CA71B0"/>
    <w:rsid w:val="00CA71FF"/>
    <w:rsid w:val="00CA76DB"/>
    <w:rsid w:val="00CA7857"/>
    <w:rsid w:val="00CB1405"/>
    <w:rsid w:val="00CB25A0"/>
    <w:rsid w:val="00CB3A24"/>
    <w:rsid w:val="00CB43D3"/>
    <w:rsid w:val="00CB4413"/>
    <w:rsid w:val="00CB4847"/>
    <w:rsid w:val="00CB4D45"/>
    <w:rsid w:val="00CB4F24"/>
    <w:rsid w:val="00CB5A78"/>
    <w:rsid w:val="00CB6874"/>
    <w:rsid w:val="00CB6963"/>
    <w:rsid w:val="00CB6E76"/>
    <w:rsid w:val="00CB6EB9"/>
    <w:rsid w:val="00CB75D0"/>
    <w:rsid w:val="00CC02B9"/>
    <w:rsid w:val="00CC098C"/>
    <w:rsid w:val="00CC0BB2"/>
    <w:rsid w:val="00CC10E6"/>
    <w:rsid w:val="00CC3C49"/>
    <w:rsid w:val="00CC40C4"/>
    <w:rsid w:val="00CC4CC4"/>
    <w:rsid w:val="00CC5150"/>
    <w:rsid w:val="00CC642B"/>
    <w:rsid w:val="00CC6AFE"/>
    <w:rsid w:val="00CC6F9E"/>
    <w:rsid w:val="00CC7DDF"/>
    <w:rsid w:val="00CD1F74"/>
    <w:rsid w:val="00CD1FC9"/>
    <w:rsid w:val="00CD23E3"/>
    <w:rsid w:val="00CD2AA4"/>
    <w:rsid w:val="00CD2E48"/>
    <w:rsid w:val="00CD2F19"/>
    <w:rsid w:val="00CD2F70"/>
    <w:rsid w:val="00CD3914"/>
    <w:rsid w:val="00CD48A7"/>
    <w:rsid w:val="00CE048C"/>
    <w:rsid w:val="00CE0F2F"/>
    <w:rsid w:val="00CE14C8"/>
    <w:rsid w:val="00CE1598"/>
    <w:rsid w:val="00CE189D"/>
    <w:rsid w:val="00CE1935"/>
    <w:rsid w:val="00CE19E6"/>
    <w:rsid w:val="00CE244B"/>
    <w:rsid w:val="00CE27A7"/>
    <w:rsid w:val="00CE324C"/>
    <w:rsid w:val="00CE3562"/>
    <w:rsid w:val="00CE3ABD"/>
    <w:rsid w:val="00CE4697"/>
    <w:rsid w:val="00CE671C"/>
    <w:rsid w:val="00CE7467"/>
    <w:rsid w:val="00CF0CA6"/>
    <w:rsid w:val="00CF1534"/>
    <w:rsid w:val="00CF17DD"/>
    <w:rsid w:val="00CF1CB4"/>
    <w:rsid w:val="00CF2E9F"/>
    <w:rsid w:val="00CF359E"/>
    <w:rsid w:val="00CF3FB4"/>
    <w:rsid w:val="00CF42FF"/>
    <w:rsid w:val="00CF4D06"/>
    <w:rsid w:val="00CF4DFF"/>
    <w:rsid w:val="00CF5642"/>
    <w:rsid w:val="00CF590B"/>
    <w:rsid w:val="00CF6BDD"/>
    <w:rsid w:val="00CF6BE8"/>
    <w:rsid w:val="00CF7698"/>
    <w:rsid w:val="00CF7E96"/>
    <w:rsid w:val="00D00020"/>
    <w:rsid w:val="00D00583"/>
    <w:rsid w:val="00D0077B"/>
    <w:rsid w:val="00D018C5"/>
    <w:rsid w:val="00D025A6"/>
    <w:rsid w:val="00D028C9"/>
    <w:rsid w:val="00D02AB4"/>
    <w:rsid w:val="00D02DD3"/>
    <w:rsid w:val="00D02E2F"/>
    <w:rsid w:val="00D034C8"/>
    <w:rsid w:val="00D03F9F"/>
    <w:rsid w:val="00D04038"/>
    <w:rsid w:val="00D05804"/>
    <w:rsid w:val="00D06C9D"/>
    <w:rsid w:val="00D1206F"/>
    <w:rsid w:val="00D12188"/>
    <w:rsid w:val="00D122F3"/>
    <w:rsid w:val="00D12779"/>
    <w:rsid w:val="00D130A0"/>
    <w:rsid w:val="00D130A3"/>
    <w:rsid w:val="00D13269"/>
    <w:rsid w:val="00D13BF8"/>
    <w:rsid w:val="00D13EA1"/>
    <w:rsid w:val="00D16AAB"/>
    <w:rsid w:val="00D1702D"/>
    <w:rsid w:val="00D205F0"/>
    <w:rsid w:val="00D20631"/>
    <w:rsid w:val="00D209FD"/>
    <w:rsid w:val="00D222B8"/>
    <w:rsid w:val="00D22382"/>
    <w:rsid w:val="00D22407"/>
    <w:rsid w:val="00D22656"/>
    <w:rsid w:val="00D23972"/>
    <w:rsid w:val="00D2568E"/>
    <w:rsid w:val="00D25B92"/>
    <w:rsid w:val="00D26AAE"/>
    <w:rsid w:val="00D305B7"/>
    <w:rsid w:val="00D307BA"/>
    <w:rsid w:val="00D3099C"/>
    <w:rsid w:val="00D314B7"/>
    <w:rsid w:val="00D3177A"/>
    <w:rsid w:val="00D31AD4"/>
    <w:rsid w:val="00D3207F"/>
    <w:rsid w:val="00D32D49"/>
    <w:rsid w:val="00D333D8"/>
    <w:rsid w:val="00D33C85"/>
    <w:rsid w:val="00D34751"/>
    <w:rsid w:val="00D35266"/>
    <w:rsid w:val="00D35948"/>
    <w:rsid w:val="00D365B3"/>
    <w:rsid w:val="00D369B1"/>
    <w:rsid w:val="00D3756F"/>
    <w:rsid w:val="00D41746"/>
    <w:rsid w:val="00D42969"/>
    <w:rsid w:val="00D42B23"/>
    <w:rsid w:val="00D43098"/>
    <w:rsid w:val="00D43744"/>
    <w:rsid w:val="00D43AB6"/>
    <w:rsid w:val="00D43F0C"/>
    <w:rsid w:val="00D44529"/>
    <w:rsid w:val="00D4528B"/>
    <w:rsid w:val="00D45E96"/>
    <w:rsid w:val="00D45F49"/>
    <w:rsid w:val="00D4656B"/>
    <w:rsid w:val="00D46C12"/>
    <w:rsid w:val="00D46FD7"/>
    <w:rsid w:val="00D472A8"/>
    <w:rsid w:val="00D47552"/>
    <w:rsid w:val="00D475D7"/>
    <w:rsid w:val="00D475E8"/>
    <w:rsid w:val="00D47AC4"/>
    <w:rsid w:val="00D50A23"/>
    <w:rsid w:val="00D50C70"/>
    <w:rsid w:val="00D517B3"/>
    <w:rsid w:val="00D52387"/>
    <w:rsid w:val="00D52BE4"/>
    <w:rsid w:val="00D52CF1"/>
    <w:rsid w:val="00D53A6D"/>
    <w:rsid w:val="00D54B5F"/>
    <w:rsid w:val="00D54ED7"/>
    <w:rsid w:val="00D5547A"/>
    <w:rsid w:val="00D5593D"/>
    <w:rsid w:val="00D56F2D"/>
    <w:rsid w:val="00D57791"/>
    <w:rsid w:val="00D57EE1"/>
    <w:rsid w:val="00D61105"/>
    <w:rsid w:val="00D61A1D"/>
    <w:rsid w:val="00D63E12"/>
    <w:rsid w:val="00D6403B"/>
    <w:rsid w:val="00D6428E"/>
    <w:rsid w:val="00D65435"/>
    <w:rsid w:val="00D65913"/>
    <w:rsid w:val="00D662FE"/>
    <w:rsid w:val="00D66896"/>
    <w:rsid w:val="00D66D00"/>
    <w:rsid w:val="00D67AFF"/>
    <w:rsid w:val="00D70CC2"/>
    <w:rsid w:val="00D71863"/>
    <w:rsid w:val="00D73FF2"/>
    <w:rsid w:val="00D74438"/>
    <w:rsid w:val="00D74535"/>
    <w:rsid w:val="00D74B2C"/>
    <w:rsid w:val="00D767F1"/>
    <w:rsid w:val="00D76953"/>
    <w:rsid w:val="00D774BA"/>
    <w:rsid w:val="00D80061"/>
    <w:rsid w:val="00D80637"/>
    <w:rsid w:val="00D807D1"/>
    <w:rsid w:val="00D80E91"/>
    <w:rsid w:val="00D81AE9"/>
    <w:rsid w:val="00D81F61"/>
    <w:rsid w:val="00D8237C"/>
    <w:rsid w:val="00D825A2"/>
    <w:rsid w:val="00D830D8"/>
    <w:rsid w:val="00D83E28"/>
    <w:rsid w:val="00D83E6B"/>
    <w:rsid w:val="00D84A49"/>
    <w:rsid w:val="00D85D96"/>
    <w:rsid w:val="00D86DC5"/>
    <w:rsid w:val="00D87C08"/>
    <w:rsid w:val="00D90729"/>
    <w:rsid w:val="00D90C5B"/>
    <w:rsid w:val="00D9158E"/>
    <w:rsid w:val="00D93211"/>
    <w:rsid w:val="00D935D2"/>
    <w:rsid w:val="00D93960"/>
    <w:rsid w:val="00D93A48"/>
    <w:rsid w:val="00D93F3C"/>
    <w:rsid w:val="00D94FD3"/>
    <w:rsid w:val="00D952DF"/>
    <w:rsid w:val="00D955EF"/>
    <w:rsid w:val="00D957F8"/>
    <w:rsid w:val="00D95C0D"/>
    <w:rsid w:val="00D972A2"/>
    <w:rsid w:val="00D975EF"/>
    <w:rsid w:val="00DA0D9A"/>
    <w:rsid w:val="00DA1CF9"/>
    <w:rsid w:val="00DA2542"/>
    <w:rsid w:val="00DA3D97"/>
    <w:rsid w:val="00DA4EE9"/>
    <w:rsid w:val="00DA56AE"/>
    <w:rsid w:val="00DA5E72"/>
    <w:rsid w:val="00DA6948"/>
    <w:rsid w:val="00DA6D74"/>
    <w:rsid w:val="00DA7012"/>
    <w:rsid w:val="00DA711A"/>
    <w:rsid w:val="00DA7305"/>
    <w:rsid w:val="00DA7A00"/>
    <w:rsid w:val="00DB0445"/>
    <w:rsid w:val="00DB0605"/>
    <w:rsid w:val="00DB1307"/>
    <w:rsid w:val="00DB184F"/>
    <w:rsid w:val="00DB2068"/>
    <w:rsid w:val="00DB3605"/>
    <w:rsid w:val="00DB4056"/>
    <w:rsid w:val="00DB4D3F"/>
    <w:rsid w:val="00DB4F1B"/>
    <w:rsid w:val="00DB6044"/>
    <w:rsid w:val="00DB7006"/>
    <w:rsid w:val="00DB747D"/>
    <w:rsid w:val="00DB7929"/>
    <w:rsid w:val="00DC028E"/>
    <w:rsid w:val="00DC0E8F"/>
    <w:rsid w:val="00DC1D50"/>
    <w:rsid w:val="00DC1EC3"/>
    <w:rsid w:val="00DC2847"/>
    <w:rsid w:val="00DC2A38"/>
    <w:rsid w:val="00DC2FC1"/>
    <w:rsid w:val="00DC360A"/>
    <w:rsid w:val="00DC3E13"/>
    <w:rsid w:val="00DC4EF3"/>
    <w:rsid w:val="00DC4FA4"/>
    <w:rsid w:val="00DC50FC"/>
    <w:rsid w:val="00DC57CC"/>
    <w:rsid w:val="00DC6162"/>
    <w:rsid w:val="00DC6D33"/>
    <w:rsid w:val="00DC72FE"/>
    <w:rsid w:val="00DC72FF"/>
    <w:rsid w:val="00DC74EE"/>
    <w:rsid w:val="00DC7848"/>
    <w:rsid w:val="00DC7DDB"/>
    <w:rsid w:val="00DD0168"/>
    <w:rsid w:val="00DD19FC"/>
    <w:rsid w:val="00DD1A92"/>
    <w:rsid w:val="00DD20CC"/>
    <w:rsid w:val="00DD27D0"/>
    <w:rsid w:val="00DD5B5E"/>
    <w:rsid w:val="00DD646B"/>
    <w:rsid w:val="00DD660B"/>
    <w:rsid w:val="00DD6AFF"/>
    <w:rsid w:val="00DD762F"/>
    <w:rsid w:val="00DE05C5"/>
    <w:rsid w:val="00DE0CD4"/>
    <w:rsid w:val="00DE194E"/>
    <w:rsid w:val="00DE24A1"/>
    <w:rsid w:val="00DE3AE6"/>
    <w:rsid w:val="00DE3EC6"/>
    <w:rsid w:val="00DE4833"/>
    <w:rsid w:val="00DF0603"/>
    <w:rsid w:val="00DF0684"/>
    <w:rsid w:val="00DF0AF3"/>
    <w:rsid w:val="00DF2BB6"/>
    <w:rsid w:val="00DF3574"/>
    <w:rsid w:val="00DF3923"/>
    <w:rsid w:val="00DF4489"/>
    <w:rsid w:val="00DF5F26"/>
    <w:rsid w:val="00DF637E"/>
    <w:rsid w:val="00DF673A"/>
    <w:rsid w:val="00DF7206"/>
    <w:rsid w:val="00E008A0"/>
    <w:rsid w:val="00E0107B"/>
    <w:rsid w:val="00E01D64"/>
    <w:rsid w:val="00E02955"/>
    <w:rsid w:val="00E02F3A"/>
    <w:rsid w:val="00E03235"/>
    <w:rsid w:val="00E04521"/>
    <w:rsid w:val="00E04834"/>
    <w:rsid w:val="00E04C6A"/>
    <w:rsid w:val="00E04FA7"/>
    <w:rsid w:val="00E050A2"/>
    <w:rsid w:val="00E054EE"/>
    <w:rsid w:val="00E05ECC"/>
    <w:rsid w:val="00E065A7"/>
    <w:rsid w:val="00E07783"/>
    <w:rsid w:val="00E07B7E"/>
    <w:rsid w:val="00E07D7F"/>
    <w:rsid w:val="00E102AD"/>
    <w:rsid w:val="00E106F9"/>
    <w:rsid w:val="00E1183A"/>
    <w:rsid w:val="00E12528"/>
    <w:rsid w:val="00E127F1"/>
    <w:rsid w:val="00E12F26"/>
    <w:rsid w:val="00E15BD4"/>
    <w:rsid w:val="00E16F5A"/>
    <w:rsid w:val="00E16F92"/>
    <w:rsid w:val="00E204DF"/>
    <w:rsid w:val="00E20CFE"/>
    <w:rsid w:val="00E20EAF"/>
    <w:rsid w:val="00E227C2"/>
    <w:rsid w:val="00E25F1E"/>
    <w:rsid w:val="00E26C24"/>
    <w:rsid w:val="00E315DE"/>
    <w:rsid w:val="00E32E15"/>
    <w:rsid w:val="00E32F62"/>
    <w:rsid w:val="00E3388B"/>
    <w:rsid w:val="00E33B2E"/>
    <w:rsid w:val="00E36297"/>
    <w:rsid w:val="00E362C7"/>
    <w:rsid w:val="00E368AE"/>
    <w:rsid w:val="00E36AA4"/>
    <w:rsid w:val="00E36DC9"/>
    <w:rsid w:val="00E41946"/>
    <w:rsid w:val="00E41B68"/>
    <w:rsid w:val="00E41C4D"/>
    <w:rsid w:val="00E42463"/>
    <w:rsid w:val="00E42BDF"/>
    <w:rsid w:val="00E42FE1"/>
    <w:rsid w:val="00E454DB"/>
    <w:rsid w:val="00E51021"/>
    <w:rsid w:val="00E51203"/>
    <w:rsid w:val="00E516A6"/>
    <w:rsid w:val="00E52254"/>
    <w:rsid w:val="00E5380F"/>
    <w:rsid w:val="00E53AF3"/>
    <w:rsid w:val="00E53B21"/>
    <w:rsid w:val="00E5584B"/>
    <w:rsid w:val="00E55C10"/>
    <w:rsid w:val="00E566DF"/>
    <w:rsid w:val="00E56872"/>
    <w:rsid w:val="00E56E84"/>
    <w:rsid w:val="00E56F92"/>
    <w:rsid w:val="00E5763C"/>
    <w:rsid w:val="00E6055A"/>
    <w:rsid w:val="00E60F5F"/>
    <w:rsid w:val="00E614A0"/>
    <w:rsid w:val="00E615A0"/>
    <w:rsid w:val="00E61B24"/>
    <w:rsid w:val="00E61FEB"/>
    <w:rsid w:val="00E626F4"/>
    <w:rsid w:val="00E63D4F"/>
    <w:rsid w:val="00E63E8B"/>
    <w:rsid w:val="00E64050"/>
    <w:rsid w:val="00E642EB"/>
    <w:rsid w:val="00E64A77"/>
    <w:rsid w:val="00E64C9F"/>
    <w:rsid w:val="00E66AA4"/>
    <w:rsid w:val="00E66D1A"/>
    <w:rsid w:val="00E70970"/>
    <w:rsid w:val="00E72565"/>
    <w:rsid w:val="00E728DF"/>
    <w:rsid w:val="00E743A1"/>
    <w:rsid w:val="00E74954"/>
    <w:rsid w:val="00E74B0A"/>
    <w:rsid w:val="00E74D75"/>
    <w:rsid w:val="00E75106"/>
    <w:rsid w:val="00E760F4"/>
    <w:rsid w:val="00E7756B"/>
    <w:rsid w:val="00E80496"/>
    <w:rsid w:val="00E80D2C"/>
    <w:rsid w:val="00E81151"/>
    <w:rsid w:val="00E81B28"/>
    <w:rsid w:val="00E828CE"/>
    <w:rsid w:val="00E82C59"/>
    <w:rsid w:val="00E82CEE"/>
    <w:rsid w:val="00E85B9E"/>
    <w:rsid w:val="00E85ED4"/>
    <w:rsid w:val="00E86111"/>
    <w:rsid w:val="00E861D0"/>
    <w:rsid w:val="00E87F13"/>
    <w:rsid w:val="00E90709"/>
    <w:rsid w:val="00E90862"/>
    <w:rsid w:val="00E91A19"/>
    <w:rsid w:val="00E91D03"/>
    <w:rsid w:val="00E938D8"/>
    <w:rsid w:val="00E93FBB"/>
    <w:rsid w:val="00E946F0"/>
    <w:rsid w:val="00E96338"/>
    <w:rsid w:val="00E97018"/>
    <w:rsid w:val="00E9745B"/>
    <w:rsid w:val="00E974B8"/>
    <w:rsid w:val="00E97C0F"/>
    <w:rsid w:val="00EA0FCA"/>
    <w:rsid w:val="00EA1C27"/>
    <w:rsid w:val="00EA36B0"/>
    <w:rsid w:val="00EA45EB"/>
    <w:rsid w:val="00EA4C80"/>
    <w:rsid w:val="00EA4D58"/>
    <w:rsid w:val="00EA5097"/>
    <w:rsid w:val="00EA5E06"/>
    <w:rsid w:val="00EA5E90"/>
    <w:rsid w:val="00EA66A5"/>
    <w:rsid w:val="00EA6A5F"/>
    <w:rsid w:val="00EA7409"/>
    <w:rsid w:val="00EA762D"/>
    <w:rsid w:val="00EA781E"/>
    <w:rsid w:val="00EA7BC2"/>
    <w:rsid w:val="00EB0D5B"/>
    <w:rsid w:val="00EB12F5"/>
    <w:rsid w:val="00EB17E0"/>
    <w:rsid w:val="00EB1839"/>
    <w:rsid w:val="00EB253D"/>
    <w:rsid w:val="00EB2A98"/>
    <w:rsid w:val="00EB2AA7"/>
    <w:rsid w:val="00EB42CB"/>
    <w:rsid w:val="00EB4D66"/>
    <w:rsid w:val="00EB4FA6"/>
    <w:rsid w:val="00EB5D11"/>
    <w:rsid w:val="00EB6D97"/>
    <w:rsid w:val="00EB6FCA"/>
    <w:rsid w:val="00EB7CD6"/>
    <w:rsid w:val="00EC09F5"/>
    <w:rsid w:val="00EC1402"/>
    <w:rsid w:val="00EC2973"/>
    <w:rsid w:val="00EC309D"/>
    <w:rsid w:val="00EC4AA3"/>
    <w:rsid w:val="00EC4C90"/>
    <w:rsid w:val="00EC65DE"/>
    <w:rsid w:val="00EC6C60"/>
    <w:rsid w:val="00EC6FC3"/>
    <w:rsid w:val="00EC76DE"/>
    <w:rsid w:val="00EC7BCE"/>
    <w:rsid w:val="00EC7CDC"/>
    <w:rsid w:val="00ED000E"/>
    <w:rsid w:val="00ED0DE9"/>
    <w:rsid w:val="00ED1AD4"/>
    <w:rsid w:val="00ED2DA7"/>
    <w:rsid w:val="00ED334F"/>
    <w:rsid w:val="00ED3AF3"/>
    <w:rsid w:val="00ED486B"/>
    <w:rsid w:val="00ED4970"/>
    <w:rsid w:val="00ED5942"/>
    <w:rsid w:val="00ED65F8"/>
    <w:rsid w:val="00ED7E44"/>
    <w:rsid w:val="00EE1CA8"/>
    <w:rsid w:val="00EE1CAD"/>
    <w:rsid w:val="00EE3D1A"/>
    <w:rsid w:val="00EE3DDF"/>
    <w:rsid w:val="00EE4412"/>
    <w:rsid w:val="00EE5B9C"/>
    <w:rsid w:val="00EE65EF"/>
    <w:rsid w:val="00EF0BDF"/>
    <w:rsid w:val="00EF1B12"/>
    <w:rsid w:val="00EF1FB9"/>
    <w:rsid w:val="00EF2086"/>
    <w:rsid w:val="00EF36A9"/>
    <w:rsid w:val="00EF37F1"/>
    <w:rsid w:val="00EF4EE7"/>
    <w:rsid w:val="00EF6E91"/>
    <w:rsid w:val="00EF72BC"/>
    <w:rsid w:val="00EF7735"/>
    <w:rsid w:val="00EF7EB0"/>
    <w:rsid w:val="00F00200"/>
    <w:rsid w:val="00F00226"/>
    <w:rsid w:val="00F02B07"/>
    <w:rsid w:val="00F04BB0"/>
    <w:rsid w:val="00F04F42"/>
    <w:rsid w:val="00F052DF"/>
    <w:rsid w:val="00F06053"/>
    <w:rsid w:val="00F1033A"/>
    <w:rsid w:val="00F1134B"/>
    <w:rsid w:val="00F119DA"/>
    <w:rsid w:val="00F11B1B"/>
    <w:rsid w:val="00F122ED"/>
    <w:rsid w:val="00F141D0"/>
    <w:rsid w:val="00F14882"/>
    <w:rsid w:val="00F14FB7"/>
    <w:rsid w:val="00F15397"/>
    <w:rsid w:val="00F1572A"/>
    <w:rsid w:val="00F15F4F"/>
    <w:rsid w:val="00F15FC6"/>
    <w:rsid w:val="00F16366"/>
    <w:rsid w:val="00F164E9"/>
    <w:rsid w:val="00F1684E"/>
    <w:rsid w:val="00F16A6E"/>
    <w:rsid w:val="00F176FA"/>
    <w:rsid w:val="00F17E82"/>
    <w:rsid w:val="00F20D9D"/>
    <w:rsid w:val="00F21817"/>
    <w:rsid w:val="00F22666"/>
    <w:rsid w:val="00F22FB0"/>
    <w:rsid w:val="00F23B50"/>
    <w:rsid w:val="00F2588C"/>
    <w:rsid w:val="00F25938"/>
    <w:rsid w:val="00F26A1B"/>
    <w:rsid w:val="00F301DE"/>
    <w:rsid w:val="00F306E5"/>
    <w:rsid w:val="00F313F7"/>
    <w:rsid w:val="00F31DA1"/>
    <w:rsid w:val="00F32762"/>
    <w:rsid w:val="00F328BD"/>
    <w:rsid w:val="00F330B0"/>
    <w:rsid w:val="00F33201"/>
    <w:rsid w:val="00F3357E"/>
    <w:rsid w:val="00F34146"/>
    <w:rsid w:val="00F34D1E"/>
    <w:rsid w:val="00F35D32"/>
    <w:rsid w:val="00F36468"/>
    <w:rsid w:val="00F365BB"/>
    <w:rsid w:val="00F367AC"/>
    <w:rsid w:val="00F379F4"/>
    <w:rsid w:val="00F40AD4"/>
    <w:rsid w:val="00F40DA4"/>
    <w:rsid w:val="00F41992"/>
    <w:rsid w:val="00F41B9F"/>
    <w:rsid w:val="00F423CD"/>
    <w:rsid w:val="00F42963"/>
    <w:rsid w:val="00F42C77"/>
    <w:rsid w:val="00F42E51"/>
    <w:rsid w:val="00F4308E"/>
    <w:rsid w:val="00F44B31"/>
    <w:rsid w:val="00F44DBE"/>
    <w:rsid w:val="00F453D6"/>
    <w:rsid w:val="00F457E5"/>
    <w:rsid w:val="00F45DFE"/>
    <w:rsid w:val="00F45FB1"/>
    <w:rsid w:val="00F462C9"/>
    <w:rsid w:val="00F5095F"/>
    <w:rsid w:val="00F50A2C"/>
    <w:rsid w:val="00F511B3"/>
    <w:rsid w:val="00F513D4"/>
    <w:rsid w:val="00F51A8B"/>
    <w:rsid w:val="00F538A6"/>
    <w:rsid w:val="00F53ABF"/>
    <w:rsid w:val="00F53F46"/>
    <w:rsid w:val="00F548DB"/>
    <w:rsid w:val="00F55420"/>
    <w:rsid w:val="00F55792"/>
    <w:rsid w:val="00F56C86"/>
    <w:rsid w:val="00F61823"/>
    <w:rsid w:val="00F62AC6"/>
    <w:rsid w:val="00F62AF5"/>
    <w:rsid w:val="00F6318C"/>
    <w:rsid w:val="00F634BB"/>
    <w:rsid w:val="00F63566"/>
    <w:rsid w:val="00F63578"/>
    <w:rsid w:val="00F637DA"/>
    <w:rsid w:val="00F63915"/>
    <w:rsid w:val="00F63EA1"/>
    <w:rsid w:val="00F649CF"/>
    <w:rsid w:val="00F6649C"/>
    <w:rsid w:val="00F66735"/>
    <w:rsid w:val="00F66923"/>
    <w:rsid w:val="00F67171"/>
    <w:rsid w:val="00F674BA"/>
    <w:rsid w:val="00F675E1"/>
    <w:rsid w:val="00F706CE"/>
    <w:rsid w:val="00F70FCB"/>
    <w:rsid w:val="00F720BF"/>
    <w:rsid w:val="00F7249A"/>
    <w:rsid w:val="00F73B5D"/>
    <w:rsid w:val="00F743DA"/>
    <w:rsid w:val="00F74FFB"/>
    <w:rsid w:val="00F75181"/>
    <w:rsid w:val="00F75DED"/>
    <w:rsid w:val="00F761C4"/>
    <w:rsid w:val="00F76422"/>
    <w:rsid w:val="00F77AD6"/>
    <w:rsid w:val="00F800AB"/>
    <w:rsid w:val="00F809C0"/>
    <w:rsid w:val="00F81619"/>
    <w:rsid w:val="00F82967"/>
    <w:rsid w:val="00F82B03"/>
    <w:rsid w:val="00F82B86"/>
    <w:rsid w:val="00F82FB8"/>
    <w:rsid w:val="00F8327F"/>
    <w:rsid w:val="00F90B7E"/>
    <w:rsid w:val="00F91076"/>
    <w:rsid w:val="00F91541"/>
    <w:rsid w:val="00F9174E"/>
    <w:rsid w:val="00F93FF7"/>
    <w:rsid w:val="00F95392"/>
    <w:rsid w:val="00F95415"/>
    <w:rsid w:val="00F96003"/>
    <w:rsid w:val="00F96509"/>
    <w:rsid w:val="00F96C83"/>
    <w:rsid w:val="00FA1CC4"/>
    <w:rsid w:val="00FA3488"/>
    <w:rsid w:val="00FA3807"/>
    <w:rsid w:val="00FA3B4A"/>
    <w:rsid w:val="00FA3E26"/>
    <w:rsid w:val="00FA43FA"/>
    <w:rsid w:val="00FA5FC9"/>
    <w:rsid w:val="00FA7375"/>
    <w:rsid w:val="00FA77FD"/>
    <w:rsid w:val="00FA7F8D"/>
    <w:rsid w:val="00FB03AF"/>
    <w:rsid w:val="00FB0655"/>
    <w:rsid w:val="00FB13C7"/>
    <w:rsid w:val="00FB3061"/>
    <w:rsid w:val="00FB3B3A"/>
    <w:rsid w:val="00FB3E10"/>
    <w:rsid w:val="00FB42EB"/>
    <w:rsid w:val="00FB44CF"/>
    <w:rsid w:val="00FB4722"/>
    <w:rsid w:val="00FB4860"/>
    <w:rsid w:val="00FB7594"/>
    <w:rsid w:val="00FB762E"/>
    <w:rsid w:val="00FC05F8"/>
    <w:rsid w:val="00FC0E60"/>
    <w:rsid w:val="00FC1504"/>
    <w:rsid w:val="00FC2BCF"/>
    <w:rsid w:val="00FC2CA6"/>
    <w:rsid w:val="00FC2EB1"/>
    <w:rsid w:val="00FC37C4"/>
    <w:rsid w:val="00FC3AB5"/>
    <w:rsid w:val="00FC3D70"/>
    <w:rsid w:val="00FC44F0"/>
    <w:rsid w:val="00FC46C2"/>
    <w:rsid w:val="00FC5B6D"/>
    <w:rsid w:val="00FC5CED"/>
    <w:rsid w:val="00FC5D30"/>
    <w:rsid w:val="00FC6FDC"/>
    <w:rsid w:val="00FC760B"/>
    <w:rsid w:val="00FD0036"/>
    <w:rsid w:val="00FD04A0"/>
    <w:rsid w:val="00FD0BE5"/>
    <w:rsid w:val="00FD0C2A"/>
    <w:rsid w:val="00FD100F"/>
    <w:rsid w:val="00FD13A5"/>
    <w:rsid w:val="00FD1631"/>
    <w:rsid w:val="00FD190A"/>
    <w:rsid w:val="00FD3158"/>
    <w:rsid w:val="00FD361D"/>
    <w:rsid w:val="00FD3B4E"/>
    <w:rsid w:val="00FD4997"/>
    <w:rsid w:val="00FD4F39"/>
    <w:rsid w:val="00FD62AB"/>
    <w:rsid w:val="00FD791A"/>
    <w:rsid w:val="00FE0398"/>
    <w:rsid w:val="00FE0799"/>
    <w:rsid w:val="00FE0CCA"/>
    <w:rsid w:val="00FE0DF5"/>
    <w:rsid w:val="00FE1CD8"/>
    <w:rsid w:val="00FE2CC0"/>
    <w:rsid w:val="00FE3B0A"/>
    <w:rsid w:val="00FE3C5E"/>
    <w:rsid w:val="00FE4044"/>
    <w:rsid w:val="00FE41FE"/>
    <w:rsid w:val="00FE42E6"/>
    <w:rsid w:val="00FE47B8"/>
    <w:rsid w:val="00FE481F"/>
    <w:rsid w:val="00FE507A"/>
    <w:rsid w:val="00FE508D"/>
    <w:rsid w:val="00FE51D9"/>
    <w:rsid w:val="00FE6403"/>
    <w:rsid w:val="00FE7A17"/>
    <w:rsid w:val="00FE7C6F"/>
    <w:rsid w:val="00FE7CBE"/>
    <w:rsid w:val="00FE7DD9"/>
    <w:rsid w:val="00FF1941"/>
    <w:rsid w:val="00FF2A1A"/>
    <w:rsid w:val="00FF40BC"/>
    <w:rsid w:val="00FF5669"/>
    <w:rsid w:val="00FF616D"/>
    <w:rsid w:val="00FF643C"/>
    <w:rsid w:val="00FF64BF"/>
    <w:rsid w:val="00FF6F6D"/>
    <w:rsid w:val="00FF7304"/>
    <w:rsid w:val="00FF73BC"/>
    <w:rsid w:val="04524006"/>
    <w:rsid w:val="342C1F82"/>
    <w:rsid w:val="3D6A5544"/>
    <w:rsid w:val="4A966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qFormat/>
    <w:rsid w:val="004A13E8"/>
    <w:pPr>
      <w:spacing w:after="0" w:line="240" w:lineRule="auto"/>
    </w:pPr>
  </w:style>
  <w:style w:type="character" w:customStyle="1" w:styleId="SubtitleChar">
    <w:name w:val="Subtitle Char"/>
    <w:basedOn w:val="DefaultParagraphFont"/>
    <w:link w:val="Subtitle"/>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normaltextrun">
    <w:name w:val="normaltextrun"/>
    <w:basedOn w:val="DefaultParagraphFont"/>
    <w:rsid w:val="00A55397"/>
  </w:style>
  <w:style w:type="character" w:customStyle="1" w:styleId="eop">
    <w:name w:val="eop"/>
    <w:basedOn w:val="DefaultParagraphFont"/>
    <w:rsid w:val="00A55397"/>
  </w:style>
  <w:style w:type="paragraph" w:customStyle="1" w:styleId="Default">
    <w:name w:val="Default"/>
    <w:link w:val="DefaultChar"/>
    <w:rsid w:val="00BB270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m-4824437483153403386msocommenttext">
    <w:name w:val="m_-4824437483153403386msocommenttext"/>
    <w:basedOn w:val="Normal"/>
    <w:rsid w:val="00463E57"/>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115210"/>
    <w:rPr>
      <w:rFonts w:ascii="Melior" w:hAnsi="Melior" w:hint="default"/>
      <w:b w:val="0"/>
      <w:bCs w:val="0"/>
      <w:i w:val="0"/>
      <w:iCs w:val="0"/>
      <w:color w:val="000000"/>
      <w:sz w:val="18"/>
      <w:szCs w:val="18"/>
    </w:rPr>
  </w:style>
  <w:style w:type="character" w:customStyle="1" w:styleId="fontstyle21">
    <w:name w:val="fontstyle21"/>
    <w:basedOn w:val="DefaultParagraphFont"/>
    <w:rsid w:val="00115210"/>
    <w:rPr>
      <w:rFonts w:ascii="Melior-Italic" w:hAnsi="Melior-Italic" w:hint="default"/>
      <w:b w:val="0"/>
      <w:bCs w:val="0"/>
      <w:i/>
      <w:iCs/>
      <w:color w:val="000000"/>
      <w:sz w:val="18"/>
      <w:szCs w:val="18"/>
    </w:rPr>
  </w:style>
  <w:style w:type="paragraph" w:customStyle="1" w:styleId="bullets0">
    <w:name w:val="bullets"/>
    <w:basedOn w:val="Normal"/>
    <w:rsid w:val="005B220F"/>
    <w:pPr>
      <w:numPr>
        <w:numId w:val="6"/>
      </w:numPr>
      <w:spacing w:after="120" w:line="240" w:lineRule="exact"/>
    </w:pPr>
    <w:rPr>
      <w:rFonts w:eastAsia="Times New Roman" w:cs="Times New Roman"/>
      <w:color w:val="000000"/>
      <w:szCs w:val="24"/>
    </w:rPr>
  </w:style>
  <w:style w:type="paragraph" w:styleId="Bibliography">
    <w:name w:val="Bibliography"/>
    <w:basedOn w:val="Normal"/>
    <w:next w:val="Normal"/>
    <w:uiPriority w:val="37"/>
    <w:unhideWhenUsed/>
    <w:rsid w:val="00AB04C5"/>
  </w:style>
  <w:style w:type="paragraph" w:customStyle="1" w:styleId="paragraph">
    <w:name w:val="paragraph"/>
    <w:basedOn w:val="Normal"/>
    <w:rsid w:val="001C075B"/>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1C075B"/>
    <w:rPr>
      <w:sz w:val="16"/>
      <w:szCs w:val="16"/>
    </w:rPr>
  </w:style>
  <w:style w:type="paragraph" w:styleId="CommentText">
    <w:name w:val="annotation text"/>
    <w:basedOn w:val="Normal"/>
    <w:link w:val="CommentTextChar"/>
    <w:uiPriority w:val="99"/>
    <w:unhideWhenUsed/>
    <w:rsid w:val="001C075B"/>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1C075B"/>
    <w:rPr>
      <w:sz w:val="20"/>
      <w:szCs w:val="20"/>
    </w:rPr>
  </w:style>
  <w:style w:type="character" w:styleId="Emphasis">
    <w:name w:val="Emphasis"/>
    <w:basedOn w:val="DefaultParagraphFont"/>
    <w:uiPriority w:val="20"/>
    <w:qFormat/>
    <w:rsid w:val="00C7026A"/>
    <w:rPr>
      <w:i/>
      <w:iCs/>
    </w:rPr>
  </w:style>
  <w:style w:type="paragraph" w:styleId="FootnoteText">
    <w:name w:val="footnote text"/>
    <w:aliases w:val="F1"/>
    <w:basedOn w:val="Normal"/>
    <w:link w:val="FootnoteTextChar"/>
    <w:uiPriority w:val="99"/>
    <w:unhideWhenUsed/>
    <w:rsid w:val="00154E7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154E77"/>
    <w:rPr>
      <w:rFonts w:ascii="Times New Roman" w:hAnsi="Times New Roman"/>
      <w:sz w:val="20"/>
      <w:szCs w:val="20"/>
    </w:rPr>
  </w:style>
  <w:style w:type="character" w:styleId="FootnoteReference">
    <w:name w:val="footnote reference"/>
    <w:basedOn w:val="DefaultParagraphFont"/>
    <w:uiPriority w:val="99"/>
    <w:unhideWhenUsed/>
    <w:rsid w:val="00154E77"/>
    <w:rPr>
      <w:vertAlign w:val="superscript"/>
    </w:rPr>
  </w:style>
  <w:style w:type="paragraph" w:customStyle="1" w:styleId="Tabletext">
    <w:name w:val="Table text"/>
    <w:basedOn w:val="Normal"/>
    <w:link w:val="TabletextChar"/>
    <w:qFormat/>
    <w:rsid w:val="006233FC"/>
    <w:pPr>
      <w:autoSpaceDE w:val="0"/>
      <w:autoSpaceDN w:val="0"/>
      <w:adjustRightInd w:val="0"/>
      <w:spacing w:after="0" w:line="240" w:lineRule="auto"/>
    </w:pPr>
    <w:rPr>
      <w:rFonts w:asciiTheme="minorHAnsi" w:hAnsiTheme="minorHAnsi" w:cs="Calibri"/>
      <w:color w:val="000000"/>
      <w:kern w:val="24"/>
      <w:sz w:val="20"/>
      <w:szCs w:val="20"/>
    </w:rPr>
  </w:style>
  <w:style w:type="character" w:customStyle="1" w:styleId="TabletextChar">
    <w:name w:val="Table text Char"/>
    <w:basedOn w:val="DefaultParagraphFont"/>
    <w:link w:val="Tabletext"/>
    <w:rsid w:val="006233FC"/>
    <w:rPr>
      <w:rFonts w:cs="Calibri"/>
      <w:color w:val="000000"/>
      <w:kern w:val="24"/>
      <w:sz w:val="20"/>
      <w:szCs w:val="20"/>
    </w:rPr>
  </w:style>
  <w:style w:type="paragraph" w:customStyle="1" w:styleId="BodyText1">
    <w:name w:val="Body Text1"/>
    <w:aliases w:val="body 4,body text Char1,body tx,body tx Char1,bt,bt Char1,flush,flush Char Char Char Char Char Char Char Char Char Char Char Char Char,indent,indent Char,indent Char1 Char,memo body text,memo body text Char"/>
    <w:basedOn w:val="Normal"/>
    <w:link w:val="bodytextChar"/>
    <w:uiPriority w:val="99"/>
    <w:rsid w:val="00AE7932"/>
    <w:pPr>
      <w:spacing w:after="120" w:line="360" w:lineRule="auto"/>
      <w:ind w:firstLine="720"/>
    </w:pPr>
    <w:rPr>
      <w:rFonts w:eastAsia="Times New Roman" w:cs="Times New Roman"/>
      <w:szCs w:val="20"/>
    </w:rPr>
  </w:style>
  <w:style w:type="paragraph" w:styleId="BodyText2">
    <w:name w:val="Body Text 2"/>
    <w:basedOn w:val="Normal"/>
    <w:link w:val="BodyText2Char"/>
    <w:semiHidden/>
    <w:rsid w:val="00D63E12"/>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D63E12"/>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921629"/>
    <w:pPr>
      <w:spacing w:line="240" w:lineRule="auto"/>
    </w:pPr>
    <w:rPr>
      <w:rFonts w:eastAsia="Times New Roman" w:cs="Times New Roman"/>
      <w:i/>
      <w:iCs/>
      <w:color w:val="1F497D" w:themeColor="text2"/>
      <w:sz w:val="18"/>
      <w:szCs w:val="18"/>
    </w:rPr>
  </w:style>
  <w:style w:type="paragraph" w:styleId="TableofFigures">
    <w:name w:val="table of figures"/>
    <w:basedOn w:val="Normal"/>
    <w:next w:val="Normal"/>
    <w:uiPriority w:val="99"/>
    <w:unhideWhenUsed/>
    <w:rsid w:val="004A3473"/>
    <w:pPr>
      <w:spacing w:after="0" w:line="240" w:lineRule="auto"/>
    </w:pPr>
    <w:rPr>
      <w:rFonts w:eastAsia="Times New Roman" w:cs="Times New Roman"/>
      <w:szCs w:val="24"/>
    </w:rPr>
  </w:style>
  <w:style w:type="table" w:styleId="GridTable4Accent1">
    <w:name w:val="Grid Table 4 Accent 1"/>
    <w:basedOn w:val="TableNormal"/>
    <w:uiPriority w:val="49"/>
    <w:rsid w:val="00DC78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FB762E"/>
    <w:rPr>
      <w:b/>
      <w:bCs/>
    </w:rPr>
  </w:style>
  <w:style w:type="character" w:customStyle="1" w:styleId="bodytextChar">
    <w:name w:val="body text Char"/>
    <w:aliases w:val="body text Char1 Char,body tx Char,body tx Char Char,body tx Char2,bt Char,bt Char Char,bt Char2,flush Char,flush Char Char,indent Char Char,indent Char1,memo body text Char Char,memo body text Char1"/>
    <w:link w:val="BodyText1"/>
    <w:uiPriority w:val="99"/>
    <w:rsid w:val="00034BA0"/>
    <w:rPr>
      <w:rFonts w:ascii="Times New Roman" w:eastAsia="Times New Roman" w:hAnsi="Times New Roman" w:cs="Times New Roman"/>
      <w:sz w:val="24"/>
      <w:szCs w:val="20"/>
    </w:rPr>
  </w:style>
  <w:style w:type="paragraph" w:customStyle="1" w:styleId="BodyText20">
    <w:name w:val="Body Text2"/>
    <w:basedOn w:val="Normal"/>
    <w:rsid w:val="00034BA0"/>
    <w:pPr>
      <w:spacing w:after="240" w:line="300" w:lineRule="exact"/>
      <w:ind w:firstLine="720"/>
    </w:pPr>
    <w:rPr>
      <w:rFonts w:eastAsia="Times New Roman" w:cs="Times New Roman"/>
      <w:sz w:val="22"/>
      <w:szCs w:val="20"/>
    </w:rPr>
  </w:style>
  <w:style w:type="character" w:customStyle="1" w:styleId="DefaultChar">
    <w:name w:val="Default Char"/>
    <w:link w:val="Default"/>
    <w:rsid w:val="00770546"/>
    <w:rPr>
      <w:rFonts w:ascii="ITC Franklin Gothic Std Book" w:hAnsi="ITC Franklin Gothic Std Book" w:cs="ITC Franklin Gothic Std Book"/>
      <w:color w:val="000000"/>
      <w:sz w:val="24"/>
      <w:szCs w:val="24"/>
    </w:rPr>
  </w:style>
  <w:style w:type="character" w:customStyle="1" w:styleId="biblioChar">
    <w:name w:val="biblio Char"/>
    <w:link w:val="biblio"/>
    <w:locked/>
    <w:rsid w:val="00622465"/>
    <w:rPr>
      <w:rFonts w:cs="Times New Roman"/>
      <w:sz w:val="24"/>
    </w:rPr>
  </w:style>
  <w:style w:type="paragraph" w:customStyle="1" w:styleId="biblio">
    <w:name w:val="biblio"/>
    <w:basedOn w:val="Normal"/>
    <w:link w:val="biblioChar"/>
    <w:rsid w:val="00622465"/>
    <w:pPr>
      <w:keepLines/>
      <w:spacing w:after="240" w:line="240" w:lineRule="auto"/>
      <w:ind w:left="720" w:hanging="720"/>
    </w:pPr>
    <w:rPr>
      <w:rFonts w:asciiTheme="minorHAnsi" w:hAnsiTheme="minorHAnsi" w:cs="Times New Roman"/>
    </w:rPr>
  </w:style>
  <w:style w:type="character" w:styleId="UnresolvedMention">
    <w:name w:val="Unresolved Mention"/>
    <w:basedOn w:val="DefaultParagraphFont"/>
    <w:uiPriority w:val="99"/>
    <w:semiHidden/>
    <w:unhideWhenUsed/>
    <w:rsid w:val="00345E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B80"/>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327B80"/>
    <w:rPr>
      <w:rFonts w:ascii="Times New Roman" w:hAnsi="Times New Roman"/>
      <w:b/>
      <w:bCs/>
      <w:sz w:val="20"/>
      <w:szCs w:val="20"/>
    </w:rPr>
  </w:style>
  <w:style w:type="character" w:customStyle="1" w:styleId="mixed-citation">
    <w:name w:val="mixed-citation"/>
    <w:basedOn w:val="DefaultParagraphFont"/>
    <w:rsid w:val="00C3358B"/>
  </w:style>
  <w:style w:type="character" w:customStyle="1" w:styleId="nowrap">
    <w:name w:val="nowrap"/>
    <w:basedOn w:val="DefaultParagraphFont"/>
    <w:rsid w:val="00C3358B"/>
  </w:style>
  <w:style w:type="character" w:customStyle="1" w:styleId="sr-only">
    <w:name w:val="sr-only"/>
    <w:basedOn w:val="DefaultParagraphFont"/>
    <w:rsid w:val="00F31DA1"/>
  </w:style>
  <w:style w:type="paragraph" w:styleId="NormalWeb">
    <w:name w:val="Normal (Web)"/>
    <w:basedOn w:val="Normal"/>
    <w:uiPriority w:val="99"/>
    <w:unhideWhenUsed/>
    <w:rsid w:val="007F30C3"/>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08193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97/CCM.0000000000004225" TargetMode="External" /><Relationship Id="rId11" Type="http://schemas.openxmlformats.org/officeDocument/2006/relationships/hyperlink" Target="https://www.cdc.gov/sepsis/education/index.html" TargetMode="External" /><Relationship Id="rId12" Type="http://schemas.openxmlformats.org/officeDocument/2006/relationships/hyperlink" Target="https://www.cdc.gov/sepsis/pdfs/hcp/HCP_infographic_protect-your-patients-from-sepsis-P.pdf" TargetMode="External" /><Relationship Id="rId13" Type="http://schemas.openxmlformats.org/officeDocument/2006/relationships/hyperlink" Target="https://www.cdc.gov/sepsis/what-is-sepsis.html" TargetMode="External" /><Relationship Id="rId14" Type="http://schemas.openxmlformats.org/officeDocument/2006/relationships/hyperlink" Target="http://doi.org/10.1093/cid/ciy342" TargetMode="External" /><Relationship Id="rId15" Type="http://schemas.openxmlformats.org/officeDocument/2006/relationships/hyperlink" Target="https://doi.org/10.1136/bmjqs-2019-009445" TargetMode="External" /><Relationship Id="rId16" Type="http://schemas.openxmlformats.org/officeDocument/2006/relationships/hyperlink" Target="https://doi.org/10.1001/archinte.164.7.801" TargetMode="External" /><Relationship Id="rId17" Type="http://schemas.openxmlformats.org/officeDocument/2006/relationships/hyperlink" Target="https://www.driveresearch.com/market-research-company-blog/how-much-should-you-pay-participants-in-market-research/" TargetMode="External" /><Relationship Id="rId18" Type="http://schemas.openxmlformats.org/officeDocument/2006/relationships/hyperlink" Target="https://doi.org/10.1001/jama.2014.5804" TargetMode="External" /><Relationship Id="rId19" Type="http://schemas.openxmlformats.org/officeDocument/2006/relationships/hyperlink" Target="https://doi.org/10.1377/hlthaff.2015.1194" TargetMode="External" /><Relationship Id="rId2" Type="http://schemas.openxmlformats.org/officeDocument/2006/relationships/webSettings" Target="webSettings.xml" /><Relationship Id="rId20" Type="http://schemas.openxmlformats.org/officeDocument/2006/relationships/hyperlink" Target="https://obamawhitehouse.archives.gov/sites/default/files/omb/inforeg/pmc_survey_guidance_2006.pdf" TargetMode="External" /><Relationship Id="rId21" Type="http://schemas.openxmlformats.org/officeDocument/2006/relationships/hyperlink" Target="https://doi.org/10.1097/CCM.0000000000003342" TargetMode="External" /><Relationship Id="rId22" Type="http://schemas.openxmlformats.org/officeDocument/2006/relationships/hyperlink" Target="https://resources.pollfish.com/market-research/the-best-survey-incentives-to-increase-survey-participation/" TargetMode="External" /><Relationship Id="rId23" Type="http://schemas.openxmlformats.org/officeDocument/2006/relationships/hyperlink" Target="https://doi.org/10.1001/jama.2017.13836" TargetMode="External" /><Relationship Id="rId24" Type="http://schemas.openxmlformats.org/officeDocument/2006/relationships/hyperlink" Target="https://www.infectioncontroltoday.com/view/sepsis-leading-cause-death-us-hospitals-many-deaths-may-not-be-preventable" TargetMode="External" /><Relationship Id="rId25" Type="http://schemas.openxmlformats.org/officeDocument/2006/relationships/hyperlink" Target="https://surveytown.com/7-survey-incentives-that-get-respondents-every-time/" TargetMode="External" /><Relationship Id="rId26" Type="http://schemas.openxmlformats.org/officeDocument/2006/relationships/hyperlink" Target="https://www.bls.gov/oes/current/oes_nat.htm" TargetMode="External" /><Relationship Id="rId27" Type="http://schemas.openxmlformats.org/officeDocument/2006/relationships/hyperlink" Target="https://doi.org/10.1177/1747016119898669" TargetMode="External" /><Relationship Id="rId28" Type="http://schemas.openxmlformats.org/officeDocument/2006/relationships/hyperlink" Target="https://www.sepsis.org/sepsis-"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34"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https://www.cdc.gov/ncezid/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71619d29-8857-4204-a792-d3c57c12719b"/>
  </ds:schemaRefs>
</ds:datastoreItem>
</file>

<file path=customXml/itemProps2.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3.xml><?xml version="1.0" encoding="utf-8"?>
<ds:datastoreItem xmlns:ds="http://schemas.openxmlformats.org/officeDocument/2006/customXml" ds:itemID="{CE948515-45CD-4100-9BC3-D974C741F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8789</Words>
  <Characters>50101</Characters>
  <Application>Microsoft Office Word</Application>
  <DocSecurity>0</DocSecurity>
  <Lines>417</Lines>
  <Paragraphs>117</Paragraphs>
  <ScaleCrop>false</ScaleCrop>
  <Company>Centers for Disease Control and Prevention</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Mincoya Crenshaw</cp:lastModifiedBy>
  <cp:revision>1</cp:revision>
  <cp:lastPrinted>2022-08-17T15:33:00Z</cp:lastPrinted>
  <dcterms:created xsi:type="dcterms:W3CDTF">2022-09-08T00:29:00Z</dcterms:created>
  <dcterms:modified xsi:type="dcterms:W3CDTF">2023-06-16T13:08:00Z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Order">
    <vt:r8>304100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56ba26d7-ed93-4a08-9b28-f3085665eb2b</vt:lpwstr>
  </property>
  <property fmtid="{D5CDD505-2E9C-101B-9397-08002B2CF9AE}" pid="11" name="_ExtendedDescription">
    <vt:lpwstr/>
  </property>
</Properties>
</file>