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80F28" w14:paraId="5AC504CB" w14:textId="7712CEAF">
      <w:pPr>
        <w:rPr>
          <w:rFonts w:cstheme="minorHAnsi"/>
        </w:rPr>
      </w:pPr>
      <w:r>
        <w:rPr>
          <w:noProof/>
        </w:rPr>
        <w:drawing>
          <wp:inline distT="0" distB="0" distL="0" distR="0">
            <wp:extent cx="6756858" cy="8742045"/>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6766223" cy="8754161"/>
                    </a:xfrm>
                    <a:prstGeom prst="rect">
                      <a:avLst/>
                    </a:prstGeom>
                    <a:noFill/>
                    <a:ln>
                      <a:noFill/>
                    </a:ln>
                  </pic:spPr>
                </pic:pic>
              </a:graphicData>
            </a:graphic>
          </wp:inline>
        </w:drawing>
      </w:r>
    </w:p>
    <w:p w:rsidR="00002E2E" w:rsidP="00002E2E" w14:paraId="718BAB76" w14:textId="77777777">
      <w:pPr>
        <w:pBdr>
          <w:bottom w:val="single" w:sz="6" w:space="1" w:color="auto"/>
        </w:pBdr>
        <w:spacing w:after="0"/>
        <w:ind w:left="2520" w:hanging="2520"/>
        <w:jc w:val="center"/>
        <w:rPr>
          <w:rFonts w:cstheme="minorHAnsi"/>
        </w:rPr>
      </w:pPr>
    </w:p>
    <w:p w:rsidR="00002E2E" w:rsidP="00002E2E" w14:paraId="5355B371" w14:textId="77777777">
      <w:pPr>
        <w:pBdr>
          <w:bottom w:val="single" w:sz="6" w:space="1" w:color="auto"/>
        </w:pBdr>
        <w:spacing w:after="0"/>
        <w:ind w:left="2520" w:hanging="2520"/>
        <w:jc w:val="center"/>
        <w:rPr>
          <w:rFonts w:cstheme="minorHAnsi"/>
        </w:rPr>
      </w:pPr>
      <w:r>
        <w:rPr>
          <w:noProof/>
          <w:lang w:eastAsia="en-US"/>
        </w:rPr>
        <w:drawing>
          <wp:inline distT="0" distB="0" distL="0" distR="0">
            <wp:extent cx="3333115" cy="69532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3333115" cy="695325"/>
                    </a:xfrm>
                    <a:prstGeom prst="rect">
                      <a:avLst/>
                    </a:prstGeom>
                  </pic:spPr>
                </pic:pic>
              </a:graphicData>
            </a:graphic>
          </wp:inline>
        </w:drawing>
      </w:r>
    </w:p>
    <w:p w:rsidR="00002E2E" w:rsidP="00002E2E" w14:paraId="19D1CBC5" w14:textId="77777777">
      <w:pPr>
        <w:pBdr>
          <w:bottom w:val="single" w:sz="6" w:space="1" w:color="auto"/>
        </w:pBdr>
        <w:spacing w:after="0"/>
        <w:ind w:left="2520" w:hanging="2520"/>
        <w:jc w:val="center"/>
        <w:rPr>
          <w:rFonts w:cstheme="minorHAnsi"/>
        </w:rPr>
      </w:pPr>
    </w:p>
    <w:p w:rsidR="00002E2E" w:rsidP="00002E2E" w14:paraId="2083169D" w14:textId="77777777">
      <w:pPr>
        <w:pBdr>
          <w:bottom w:val="single" w:sz="6" w:space="1" w:color="auto"/>
        </w:pBdr>
        <w:spacing w:after="0"/>
        <w:rPr>
          <w:rFonts w:cstheme="minorHAnsi"/>
        </w:rPr>
      </w:pPr>
    </w:p>
    <w:p w:rsidR="00002E2E" w:rsidP="00002E2E" w14:paraId="60075AE7" w14:textId="77777777">
      <w:pPr>
        <w:pBdr>
          <w:bottom w:val="single" w:sz="6" w:space="1" w:color="auto"/>
        </w:pBdr>
        <w:spacing w:after="0"/>
        <w:ind w:left="2520" w:hanging="2520"/>
        <w:jc w:val="center"/>
        <w:rPr>
          <w:rFonts w:cstheme="minorHAnsi"/>
        </w:rPr>
      </w:pPr>
    </w:p>
    <w:p w:rsidR="00002E2E" w:rsidRPr="005053F4" w:rsidP="00002E2E" w14:paraId="15372FE7" w14:textId="47FE54C0">
      <w:pPr>
        <w:pBdr>
          <w:bottom w:val="single" w:sz="6" w:space="1" w:color="auto"/>
        </w:pBdr>
        <w:spacing w:after="0"/>
        <w:ind w:left="2520" w:hanging="2520"/>
        <w:jc w:val="center"/>
        <w:rPr>
          <w:rFonts w:cstheme="minorHAnsi"/>
        </w:rPr>
      </w:pPr>
      <w:r>
        <w:rPr>
          <w:rFonts w:cstheme="minorHAnsi"/>
        </w:rPr>
        <w:t>Front of Pack</w:t>
      </w:r>
      <w:r w:rsidR="00E7349F">
        <w:rPr>
          <w:rFonts w:cstheme="minorHAnsi"/>
        </w:rPr>
        <w:t>age Labeling</w:t>
      </w:r>
      <w:r w:rsidRPr="005053F4">
        <w:rPr>
          <w:rFonts w:cstheme="minorHAnsi"/>
        </w:rPr>
        <w:t xml:space="preserve"> Literature Review</w:t>
      </w:r>
    </w:p>
    <w:p w:rsidR="00002E2E" w:rsidRPr="005053F4" w:rsidP="00002E2E" w14:paraId="6A384D04" w14:textId="77777777">
      <w:pPr>
        <w:pBdr>
          <w:bottom w:val="single" w:sz="6" w:space="1" w:color="auto"/>
        </w:pBdr>
        <w:spacing w:after="0"/>
        <w:ind w:left="2520" w:hanging="2520"/>
        <w:rPr>
          <w:rFonts w:cstheme="minorHAnsi"/>
        </w:rPr>
      </w:pPr>
    </w:p>
    <w:p w:rsidR="00002E2E" w:rsidRPr="005053F4" w:rsidP="00002E2E" w14:paraId="0CEF7BE1" w14:textId="77777777">
      <w:pPr>
        <w:pBdr>
          <w:bottom w:val="single" w:sz="6" w:space="1" w:color="auto"/>
        </w:pBdr>
        <w:spacing w:after="0"/>
        <w:ind w:left="2520" w:hanging="2520"/>
        <w:rPr>
          <w:rFonts w:cstheme="minorHAnsi"/>
          <w:b/>
        </w:rPr>
      </w:pPr>
    </w:p>
    <w:p w:rsidR="00002E2E" w:rsidRPr="005053F4" w:rsidP="00002E2E" w14:paraId="5A703004" w14:textId="77777777">
      <w:pPr>
        <w:spacing w:after="0"/>
        <w:rPr>
          <w:rFonts w:cstheme="minorHAnsi"/>
          <w:b/>
        </w:rPr>
      </w:pPr>
    </w:p>
    <w:p w:rsidR="00002E2E" w:rsidRPr="005053F4" w:rsidP="00002E2E" w14:paraId="1CEEFC05" w14:textId="77777777">
      <w:pPr>
        <w:spacing w:after="0"/>
        <w:rPr>
          <w:rFonts w:cstheme="minorHAnsi"/>
          <w:b/>
        </w:rPr>
      </w:pPr>
    </w:p>
    <w:p w:rsidR="00002E2E" w:rsidRPr="005053F4" w:rsidP="00002E2E" w14:paraId="17471B3E" w14:textId="77777777">
      <w:pPr>
        <w:spacing w:after="0"/>
        <w:rPr>
          <w:rFonts w:cstheme="minorHAnsi"/>
          <w:b/>
        </w:rPr>
      </w:pPr>
    </w:p>
    <w:p w:rsidR="00002E2E" w:rsidRPr="005053F4" w:rsidP="00002E2E" w14:paraId="1DECE1AF" w14:textId="77777777">
      <w:pPr>
        <w:spacing w:after="0"/>
        <w:rPr>
          <w:rFonts w:cstheme="minorHAnsi"/>
          <w:b/>
        </w:rPr>
      </w:pPr>
    </w:p>
    <w:p w:rsidR="00002E2E" w:rsidRPr="005053F4" w:rsidP="00002E2E" w14:paraId="1A8ADD8B" w14:textId="77777777">
      <w:pPr>
        <w:spacing w:after="0"/>
        <w:rPr>
          <w:rFonts w:cstheme="minorHAnsi"/>
        </w:rPr>
      </w:pPr>
    </w:p>
    <w:p w:rsidR="00002E2E" w:rsidRPr="005053F4" w:rsidP="00002E2E" w14:paraId="5C61E041" w14:textId="77777777">
      <w:pPr>
        <w:spacing w:after="0"/>
        <w:ind w:left="2520" w:hanging="2520"/>
        <w:jc w:val="center"/>
        <w:rPr>
          <w:rFonts w:cstheme="minorHAnsi"/>
        </w:rPr>
      </w:pPr>
      <w:r w:rsidRPr="005053F4">
        <w:rPr>
          <w:rFonts w:cstheme="minorHAnsi"/>
        </w:rPr>
        <w:t>Authors and Contributors</w:t>
      </w:r>
    </w:p>
    <w:p w:rsidR="00B83F27" w:rsidP="00002E2E" w14:paraId="2F1112CC" w14:textId="04DB59B6">
      <w:pPr>
        <w:spacing w:after="0"/>
        <w:ind w:left="2520" w:hanging="2520"/>
        <w:jc w:val="center"/>
        <w:rPr>
          <w:rFonts w:cstheme="minorHAnsi"/>
        </w:rPr>
      </w:pPr>
      <w:r w:rsidRPr="005053F4">
        <w:rPr>
          <w:rFonts w:cstheme="minorHAnsi"/>
        </w:rPr>
        <w:t>Linda Verrill</w:t>
      </w:r>
      <w:r w:rsidRPr="006D61E2" w:rsidR="006D61E2">
        <w:rPr>
          <w:rFonts w:cstheme="minorHAnsi"/>
          <w:vertAlign w:val="superscript"/>
        </w:rPr>
        <w:t>1</w:t>
      </w:r>
      <w:r w:rsidRPr="005053F4">
        <w:rPr>
          <w:rFonts w:cstheme="minorHAnsi"/>
        </w:rPr>
        <w:t>, Fanfan Wu</w:t>
      </w:r>
      <w:r w:rsidRPr="006D61E2" w:rsidR="006D61E2">
        <w:rPr>
          <w:rFonts w:cstheme="minorHAnsi"/>
          <w:vertAlign w:val="superscript"/>
        </w:rPr>
        <w:t>1</w:t>
      </w:r>
      <w:r w:rsidRPr="005053F4">
        <w:rPr>
          <w:rFonts w:cstheme="minorHAnsi"/>
        </w:rPr>
        <w:t>, David Weingaertner</w:t>
      </w:r>
      <w:r w:rsidRPr="006D61E2" w:rsidR="006D61E2">
        <w:rPr>
          <w:rFonts w:cstheme="minorHAnsi"/>
          <w:vertAlign w:val="superscript"/>
        </w:rPr>
        <w:t>1</w:t>
      </w:r>
      <w:r w:rsidRPr="005053F4">
        <w:rPr>
          <w:rFonts w:cstheme="minorHAnsi"/>
        </w:rPr>
        <w:t>, Taiye Oladipo</w:t>
      </w:r>
      <w:r w:rsidRPr="006D61E2" w:rsidR="006D61E2">
        <w:rPr>
          <w:rFonts w:cstheme="minorHAnsi"/>
          <w:vertAlign w:val="superscript"/>
        </w:rPr>
        <w:t>1</w:t>
      </w:r>
      <w:r w:rsidRPr="005053F4">
        <w:rPr>
          <w:rFonts w:cstheme="minorHAnsi"/>
        </w:rPr>
        <w:t>, Lisa Lubin</w:t>
      </w:r>
      <w:r w:rsidRPr="006D61E2" w:rsidR="006D61E2">
        <w:rPr>
          <w:rFonts w:cstheme="minorHAnsi"/>
          <w:vertAlign w:val="superscript"/>
        </w:rPr>
        <w:t>1</w:t>
      </w:r>
      <w:r>
        <w:rPr>
          <w:rFonts w:cstheme="minorHAnsi"/>
        </w:rPr>
        <w:t>,</w:t>
      </w:r>
    </w:p>
    <w:p w:rsidR="00002E2E" w:rsidRPr="005053F4" w:rsidP="00002E2E" w14:paraId="31E517BF" w14:textId="48CA55FA">
      <w:pPr>
        <w:spacing w:after="0"/>
        <w:ind w:left="2520" w:hanging="2520"/>
        <w:jc w:val="center"/>
        <w:rPr>
          <w:rFonts w:cstheme="minorHAnsi"/>
        </w:rPr>
      </w:pPr>
      <w:r>
        <w:rPr>
          <w:rFonts w:cstheme="minorHAnsi"/>
        </w:rPr>
        <w:t>Roshni Devchand</w:t>
      </w:r>
      <w:r w:rsidRPr="006D61E2" w:rsidR="006D61E2">
        <w:rPr>
          <w:rFonts w:cstheme="minorHAnsi"/>
          <w:vertAlign w:val="superscript"/>
        </w:rPr>
        <w:t>1</w:t>
      </w:r>
      <w:r>
        <w:rPr>
          <w:rFonts w:cstheme="minorHAnsi"/>
        </w:rPr>
        <w:t xml:space="preserve">, </w:t>
      </w:r>
      <w:r w:rsidRPr="006D61E2" w:rsidR="006D61E2">
        <w:rPr>
          <w:rFonts w:cstheme="minorHAnsi"/>
          <w:vertAlign w:val="superscript"/>
        </w:rPr>
        <w:t>2</w:t>
      </w:r>
      <w:r w:rsidR="00EA18D4">
        <w:rPr>
          <w:rFonts w:cstheme="minorHAnsi"/>
        </w:rPr>
        <w:t xml:space="preserve">Laura Koehler, </w:t>
      </w:r>
      <w:r w:rsidRPr="006D61E2" w:rsidR="006D61E2">
        <w:rPr>
          <w:rFonts w:cstheme="minorHAnsi"/>
          <w:vertAlign w:val="superscript"/>
        </w:rPr>
        <w:t>2</w:t>
      </w:r>
      <w:r w:rsidR="00EA18D4">
        <w:rPr>
          <w:rFonts w:cstheme="minorHAnsi"/>
        </w:rPr>
        <w:t>Lauren Prowse</w:t>
      </w:r>
      <w:r w:rsidR="005F6E6B">
        <w:rPr>
          <w:rFonts w:cstheme="minorHAnsi"/>
        </w:rPr>
        <w:t xml:space="preserve">, </w:t>
      </w:r>
      <w:r w:rsidRPr="006D61E2" w:rsidR="006D61E2">
        <w:rPr>
          <w:rFonts w:cstheme="minorHAnsi"/>
          <w:vertAlign w:val="superscript"/>
        </w:rPr>
        <w:t>2</w:t>
      </w:r>
      <w:r w:rsidR="007E355F">
        <w:rPr>
          <w:rFonts w:cstheme="minorHAnsi"/>
        </w:rPr>
        <w:t>Caroline P. Martin</w:t>
      </w:r>
      <w:r w:rsidR="006D61E2">
        <w:rPr>
          <w:rFonts w:cstheme="minorHAnsi"/>
        </w:rPr>
        <w:t xml:space="preserve">, and </w:t>
      </w:r>
      <w:r w:rsidRPr="006D61E2" w:rsidR="006D61E2">
        <w:rPr>
          <w:rFonts w:cstheme="minorHAnsi"/>
          <w:vertAlign w:val="superscript"/>
        </w:rPr>
        <w:t>3</w:t>
      </w:r>
      <w:r w:rsidR="006D61E2">
        <w:rPr>
          <w:rFonts w:cstheme="minorHAnsi"/>
        </w:rPr>
        <w:t>Thea Zimmerman</w:t>
      </w:r>
    </w:p>
    <w:p w:rsidR="00002E2E" w:rsidRPr="005053F4" w:rsidP="00002E2E" w14:paraId="3CCCD713" w14:textId="77777777">
      <w:pPr>
        <w:spacing w:after="0"/>
        <w:ind w:left="2520" w:hanging="2520"/>
        <w:rPr>
          <w:rFonts w:cstheme="minorHAnsi"/>
        </w:rPr>
      </w:pPr>
    </w:p>
    <w:p w:rsidR="00002E2E" w:rsidRPr="005053F4" w:rsidP="00002E2E" w14:paraId="1963C1D5" w14:textId="77777777">
      <w:pPr>
        <w:spacing w:after="0"/>
        <w:rPr>
          <w:rFonts w:cstheme="minorHAnsi"/>
          <w:b/>
        </w:rPr>
      </w:pPr>
    </w:p>
    <w:p w:rsidR="00002E2E" w:rsidP="006D61E2" w14:paraId="230FB843" w14:textId="4E808A60">
      <w:pPr>
        <w:pBdr>
          <w:bottom w:val="single" w:sz="6" w:space="1" w:color="auto"/>
        </w:pBdr>
        <w:spacing w:after="0"/>
        <w:ind w:left="2520" w:hanging="2520"/>
        <w:jc w:val="center"/>
        <w:rPr>
          <w:rFonts w:cstheme="minorHAnsi"/>
        </w:rPr>
      </w:pPr>
      <w:r w:rsidRPr="006D61E2">
        <w:rPr>
          <w:rFonts w:cstheme="minorHAnsi"/>
          <w:vertAlign w:val="superscript"/>
        </w:rPr>
        <w:t>1</w:t>
      </w:r>
      <w:r>
        <w:rPr>
          <w:rFonts w:cstheme="minorHAnsi"/>
        </w:rPr>
        <w:t xml:space="preserve">FDA; </w:t>
      </w:r>
      <w:r w:rsidRPr="006D61E2">
        <w:rPr>
          <w:rFonts w:cstheme="minorHAnsi"/>
          <w:vertAlign w:val="superscript"/>
        </w:rPr>
        <w:t>2</w:t>
      </w:r>
      <w:r>
        <w:rPr>
          <w:rFonts w:cstheme="minorHAnsi"/>
        </w:rPr>
        <w:t xml:space="preserve">Hager Sharp; </w:t>
      </w:r>
      <w:r w:rsidRPr="006D61E2">
        <w:rPr>
          <w:rFonts w:cstheme="minorHAnsi"/>
          <w:vertAlign w:val="superscript"/>
        </w:rPr>
        <w:t>3</w:t>
      </w:r>
      <w:r>
        <w:rPr>
          <w:rFonts w:cstheme="minorHAnsi"/>
        </w:rPr>
        <w:t>Westat</w:t>
      </w:r>
    </w:p>
    <w:p w:rsidR="00002E2E" w:rsidP="00002E2E" w14:paraId="2D1C9871" w14:textId="77777777">
      <w:pPr>
        <w:pBdr>
          <w:bottom w:val="single" w:sz="6" w:space="1" w:color="auto"/>
        </w:pBdr>
        <w:spacing w:after="0"/>
        <w:ind w:left="2520" w:hanging="2520"/>
        <w:rPr>
          <w:rFonts w:cstheme="minorHAnsi"/>
        </w:rPr>
      </w:pPr>
    </w:p>
    <w:p w:rsidR="00002E2E" w:rsidP="00002E2E" w14:paraId="3D10E012" w14:textId="77777777">
      <w:pPr>
        <w:pBdr>
          <w:bottom w:val="single" w:sz="6" w:space="1" w:color="auto"/>
        </w:pBdr>
        <w:spacing w:after="0"/>
        <w:ind w:left="2520" w:hanging="2520"/>
        <w:rPr>
          <w:rFonts w:cstheme="minorHAnsi"/>
        </w:rPr>
      </w:pPr>
    </w:p>
    <w:p w:rsidR="00002E2E" w:rsidP="00002E2E" w14:paraId="4B70F525" w14:textId="77777777">
      <w:pPr>
        <w:pBdr>
          <w:bottom w:val="single" w:sz="6" w:space="1" w:color="auto"/>
        </w:pBdr>
        <w:spacing w:after="0"/>
        <w:ind w:left="2520" w:hanging="2520"/>
        <w:rPr>
          <w:rFonts w:cstheme="minorHAnsi"/>
        </w:rPr>
      </w:pPr>
    </w:p>
    <w:p w:rsidR="00002E2E" w:rsidP="00002E2E" w14:paraId="477967C7" w14:textId="77777777">
      <w:pPr>
        <w:pBdr>
          <w:bottom w:val="single" w:sz="6" w:space="1" w:color="auto"/>
        </w:pBdr>
        <w:spacing w:after="0"/>
        <w:ind w:left="2520" w:hanging="2520"/>
        <w:rPr>
          <w:rFonts w:cstheme="minorHAnsi"/>
        </w:rPr>
      </w:pPr>
    </w:p>
    <w:p w:rsidR="00175E4A" w:rsidP="00002E2E" w14:paraId="71D8CD57" w14:textId="3D0AAB2C">
      <w:pPr>
        <w:pBdr>
          <w:bottom w:val="single" w:sz="6" w:space="1" w:color="auto"/>
        </w:pBdr>
        <w:spacing w:after="0"/>
        <w:ind w:left="2520" w:hanging="2520"/>
        <w:jc w:val="center"/>
      </w:pPr>
      <w:r>
        <w:t>April 2023</w:t>
      </w:r>
    </w:p>
    <w:p w:rsidR="00002E2E" w:rsidP="00002E2E" w14:paraId="69E14937" w14:textId="77777777">
      <w:pPr>
        <w:pBdr>
          <w:bottom w:val="single" w:sz="6" w:space="1" w:color="auto"/>
        </w:pBdr>
        <w:spacing w:after="0"/>
        <w:ind w:left="2520" w:hanging="2520"/>
        <w:jc w:val="center"/>
        <w:rPr>
          <w:rFonts w:cstheme="minorHAnsi"/>
        </w:rPr>
      </w:pPr>
    </w:p>
    <w:p w:rsidR="00002E2E" w:rsidP="00002E2E" w14:paraId="02C2BF11" w14:textId="77777777">
      <w:pPr>
        <w:pBdr>
          <w:bottom w:val="single" w:sz="6" w:space="1" w:color="auto"/>
        </w:pBdr>
        <w:spacing w:after="0"/>
        <w:ind w:left="2520" w:hanging="2520"/>
        <w:jc w:val="center"/>
        <w:rPr>
          <w:rFonts w:cstheme="minorHAnsi"/>
        </w:rPr>
      </w:pPr>
    </w:p>
    <w:p w:rsidR="00002E2E" w:rsidP="00002E2E" w14:paraId="04289ADD" w14:textId="77777777">
      <w:pPr>
        <w:pBdr>
          <w:bottom w:val="single" w:sz="6" w:space="1" w:color="auto"/>
        </w:pBdr>
        <w:spacing w:after="0"/>
        <w:ind w:left="2520" w:hanging="2520"/>
        <w:jc w:val="center"/>
        <w:rPr>
          <w:rFonts w:cstheme="minorHAnsi"/>
        </w:rPr>
      </w:pPr>
    </w:p>
    <w:p w:rsidR="00002E2E" w:rsidP="00002E2E" w14:paraId="24C9BFCB" w14:textId="77777777">
      <w:pPr>
        <w:pBdr>
          <w:bottom w:val="single" w:sz="6" w:space="1" w:color="auto"/>
        </w:pBdr>
        <w:spacing w:after="0"/>
        <w:ind w:left="2520" w:hanging="2520"/>
        <w:jc w:val="center"/>
        <w:rPr>
          <w:rFonts w:cstheme="minorHAnsi"/>
        </w:rPr>
      </w:pPr>
    </w:p>
    <w:p w:rsidR="00002E2E" w:rsidP="00002E2E" w14:paraId="6ACF9F5B" w14:textId="77777777">
      <w:pPr>
        <w:pBdr>
          <w:bottom w:val="single" w:sz="6" w:space="1" w:color="auto"/>
        </w:pBdr>
        <w:spacing w:after="0"/>
        <w:ind w:left="2520" w:hanging="2520"/>
        <w:jc w:val="center"/>
        <w:rPr>
          <w:rFonts w:cstheme="minorHAnsi"/>
        </w:rPr>
      </w:pPr>
    </w:p>
    <w:p w:rsidR="00002E2E" w14:paraId="3A216819" w14:textId="77777777">
      <w:pPr>
        <w:sectPr w:rsidSect="000F48E2">
          <w:footerReference w:type="default" r:id="rId10"/>
          <w:pgSz w:w="12240" w:h="15840"/>
          <w:pgMar w:top="1440" w:right="1440" w:bottom="1440" w:left="1440" w:header="720" w:footer="720" w:gutter="0"/>
          <w:cols w:space="720"/>
          <w:titlePg/>
          <w:docGrid w:linePitch="360"/>
        </w:sectPr>
      </w:pPr>
    </w:p>
    <w:p w:rsidR="006003CC" w:rsidP="009F7D30" w14:paraId="2EA356E2" w14:textId="273ACFD4">
      <w:pPr>
        <w:rPr>
          <w:b/>
          <w:sz w:val="24"/>
          <w:szCs w:val="24"/>
        </w:rPr>
      </w:pPr>
      <w:r w:rsidRPr="223BA617">
        <w:rPr>
          <w:b/>
          <w:sz w:val="24"/>
          <w:szCs w:val="24"/>
        </w:rPr>
        <w:t xml:space="preserve">TABLE OF </w:t>
      </w:r>
      <w:r w:rsidRPr="001939BB">
        <w:rPr>
          <w:b/>
          <w:sz w:val="24"/>
          <w:szCs w:val="24"/>
        </w:rPr>
        <w:t>CONTENTS</w:t>
      </w:r>
    </w:p>
    <w:sdt>
      <w:sdtPr>
        <w:rPr>
          <w:rFonts w:asciiTheme="minorHAnsi" w:eastAsiaTheme="minorEastAsia" w:hAnsiTheme="minorHAnsi" w:cstheme="minorBidi"/>
          <w:color w:val="auto"/>
          <w:sz w:val="22"/>
          <w:szCs w:val="22"/>
          <w:lang w:eastAsia="zh-CN"/>
        </w:rPr>
        <w:id w:val="-394665765"/>
        <w:docPartObj>
          <w:docPartGallery w:val="Table of Contents"/>
          <w:docPartUnique/>
        </w:docPartObj>
      </w:sdtPr>
      <w:sdtEndPr>
        <w:rPr>
          <w:b/>
          <w:bCs/>
          <w:noProof/>
        </w:rPr>
      </w:sdtEndPr>
      <w:sdtContent>
        <w:p w:rsidR="00B2673F" w14:paraId="4B48E0BC" w14:textId="77777777">
          <w:pPr>
            <w:pStyle w:val="TOCHeading"/>
          </w:pPr>
        </w:p>
        <w:p w:rsidR="008A700D" w:rsidP="00361A99" w14:paraId="5B124C24" w14:textId="319220B9">
          <w:pPr>
            <w:pStyle w:val="TOC1"/>
            <w:rPr>
              <w:noProof/>
              <w:lang w:eastAsia="en-US"/>
            </w:rPr>
          </w:pPr>
          <w:r>
            <w:fldChar w:fldCharType="begin"/>
          </w:r>
          <w:r>
            <w:instrText xml:space="preserve"> TOC \o "1-3" \h \z \u </w:instrText>
          </w:r>
          <w:r>
            <w:fldChar w:fldCharType="separate"/>
          </w:r>
          <w:hyperlink w:anchor="_Toc115261517" w:history="1">
            <w:r w:rsidRPr="00600990">
              <w:rPr>
                <w:rStyle w:val="Hyperlink"/>
                <w:noProof/>
              </w:rPr>
              <w:t>BACKGROUND AND CONTENTS</w:t>
            </w:r>
            <w:r>
              <w:rPr>
                <w:noProof/>
                <w:webHidden/>
              </w:rPr>
              <w:tab/>
            </w:r>
            <w:r>
              <w:rPr>
                <w:noProof/>
                <w:webHidden/>
              </w:rPr>
              <w:fldChar w:fldCharType="begin"/>
            </w:r>
            <w:r>
              <w:rPr>
                <w:noProof/>
                <w:webHidden/>
              </w:rPr>
              <w:instrText xml:space="preserve"> PAGEREF _Toc115261517 \h </w:instrText>
            </w:r>
            <w:r>
              <w:rPr>
                <w:noProof/>
                <w:webHidden/>
              </w:rPr>
              <w:fldChar w:fldCharType="separate"/>
            </w:r>
            <w:r>
              <w:rPr>
                <w:noProof/>
                <w:webHidden/>
              </w:rPr>
              <w:t>4</w:t>
            </w:r>
            <w:r>
              <w:rPr>
                <w:noProof/>
                <w:webHidden/>
              </w:rPr>
              <w:fldChar w:fldCharType="end"/>
            </w:r>
          </w:hyperlink>
        </w:p>
        <w:p w:rsidR="008A700D" w:rsidP="00361A99" w14:paraId="67FFE302" w14:textId="066E88F8">
          <w:pPr>
            <w:pStyle w:val="TOC1"/>
            <w:rPr>
              <w:noProof/>
              <w:lang w:eastAsia="en-US"/>
            </w:rPr>
          </w:pPr>
          <w:hyperlink w:anchor="_Toc115261518" w:history="1">
            <w:r w:rsidRPr="00600990">
              <w:rPr>
                <w:rStyle w:val="Hyperlink"/>
                <w:noProof/>
              </w:rPr>
              <w:t>LITERATURE REVIEW</w:t>
            </w:r>
            <w:r>
              <w:rPr>
                <w:noProof/>
                <w:webHidden/>
              </w:rPr>
              <w:tab/>
            </w:r>
            <w:r>
              <w:rPr>
                <w:noProof/>
                <w:webHidden/>
              </w:rPr>
              <w:fldChar w:fldCharType="begin"/>
            </w:r>
            <w:r>
              <w:rPr>
                <w:noProof/>
                <w:webHidden/>
              </w:rPr>
              <w:instrText xml:space="preserve"> PAGEREF _Toc115261518 \h </w:instrText>
            </w:r>
            <w:r>
              <w:rPr>
                <w:noProof/>
                <w:webHidden/>
              </w:rPr>
              <w:fldChar w:fldCharType="separate"/>
            </w:r>
            <w:r>
              <w:rPr>
                <w:noProof/>
                <w:webHidden/>
              </w:rPr>
              <w:t>4</w:t>
            </w:r>
            <w:r>
              <w:rPr>
                <w:noProof/>
                <w:webHidden/>
              </w:rPr>
              <w:fldChar w:fldCharType="end"/>
            </w:r>
          </w:hyperlink>
        </w:p>
        <w:p w:rsidR="008A700D" w:rsidP="0013439B" w14:paraId="5EB4AD13" w14:textId="0462D9A3">
          <w:pPr>
            <w:pStyle w:val="TOC2"/>
            <w:rPr>
              <w:noProof/>
              <w:lang w:eastAsia="en-US"/>
            </w:rPr>
          </w:pPr>
          <w:hyperlink w:anchor="_Toc115261519" w:history="1">
            <w:r w:rsidRPr="00600990">
              <w:rPr>
                <w:rStyle w:val="Hyperlink"/>
                <w:noProof/>
              </w:rPr>
              <w:t>General Findings</w:t>
            </w:r>
            <w:r>
              <w:rPr>
                <w:noProof/>
                <w:webHidden/>
              </w:rPr>
              <w:tab/>
            </w:r>
            <w:r>
              <w:rPr>
                <w:noProof/>
                <w:webHidden/>
              </w:rPr>
              <w:fldChar w:fldCharType="begin"/>
            </w:r>
            <w:r>
              <w:rPr>
                <w:noProof/>
                <w:webHidden/>
              </w:rPr>
              <w:instrText xml:space="preserve"> PAGEREF _Toc115261519 \h </w:instrText>
            </w:r>
            <w:r>
              <w:rPr>
                <w:noProof/>
                <w:webHidden/>
              </w:rPr>
              <w:fldChar w:fldCharType="separate"/>
            </w:r>
            <w:r>
              <w:rPr>
                <w:noProof/>
                <w:webHidden/>
              </w:rPr>
              <w:t>4</w:t>
            </w:r>
            <w:r>
              <w:rPr>
                <w:noProof/>
                <w:webHidden/>
              </w:rPr>
              <w:fldChar w:fldCharType="end"/>
            </w:r>
          </w:hyperlink>
        </w:p>
        <w:p w:rsidR="008A700D" w:rsidP="0013439B" w14:paraId="54609A94" w14:textId="0D7FF2D2">
          <w:pPr>
            <w:pStyle w:val="TOC2"/>
            <w:rPr>
              <w:noProof/>
              <w:lang w:eastAsia="en-US"/>
            </w:rPr>
          </w:pPr>
          <w:hyperlink w:anchor="_Toc115261520" w:history="1">
            <w:r w:rsidRPr="00600990">
              <w:rPr>
                <w:rStyle w:val="Hyperlink"/>
                <w:noProof/>
              </w:rPr>
              <w:t>Introduction</w:t>
            </w:r>
            <w:r>
              <w:rPr>
                <w:noProof/>
                <w:webHidden/>
              </w:rPr>
              <w:tab/>
            </w:r>
            <w:r>
              <w:rPr>
                <w:noProof/>
                <w:webHidden/>
              </w:rPr>
              <w:fldChar w:fldCharType="begin"/>
            </w:r>
            <w:r>
              <w:rPr>
                <w:noProof/>
                <w:webHidden/>
              </w:rPr>
              <w:instrText xml:space="preserve"> PAGEREF _Toc115261520 \h </w:instrText>
            </w:r>
            <w:r>
              <w:rPr>
                <w:noProof/>
                <w:webHidden/>
              </w:rPr>
              <w:fldChar w:fldCharType="separate"/>
            </w:r>
            <w:r>
              <w:rPr>
                <w:noProof/>
                <w:webHidden/>
              </w:rPr>
              <w:t>4</w:t>
            </w:r>
            <w:r>
              <w:rPr>
                <w:noProof/>
                <w:webHidden/>
              </w:rPr>
              <w:fldChar w:fldCharType="end"/>
            </w:r>
          </w:hyperlink>
        </w:p>
        <w:p w:rsidR="008A700D" w:rsidP="0013439B" w14:paraId="1916F017" w14:textId="465AACBD">
          <w:pPr>
            <w:pStyle w:val="TOC2"/>
            <w:rPr>
              <w:noProof/>
              <w:lang w:eastAsia="en-US"/>
            </w:rPr>
          </w:pPr>
          <w:hyperlink w:anchor="_Toc115261521" w:history="1">
            <w:r w:rsidRPr="00600990">
              <w:rPr>
                <w:rStyle w:val="Hyperlink"/>
                <w:noProof/>
              </w:rPr>
              <w:t xml:space="preserve">Results of Key Systematic Reviews (2005 </w:t>
            </w:r>
            <w:r w:rsidR="003E3882">
              <w:rPr>
                <w:rStyle w:val="Hyperlink"/>
                <w:noProof/>
              </w:rPr>
              <w:t>-</w:t>
            </w:r>
            <w:r w:rsidRPr="00600990">
              <w:rPr>
                <w:rStyle w:val="Hyperlink"/>
                <w:noProof/>
              </w:rPr>
              <w:t xml:space="preserve"> 2016)</w:t>
            </w:r>
            <w:r>
              <w:rPr>
                <w:noProof/>
                <w:webHidden/>
              </w:rPr>
              <w:tab/>
            </w:r>
            <w:r>
              <w:rPr>
                <w:noProof/>
                <w:webHidden/>
              </w:rPr>
              <w:fldChar w:fldCharType="begin"/>
            </w:r>
            <w:r>
              <w:rPr>
                <w:noProof/>
                <w:webHidden/>
              </w:rPr>
              <w:instrText xml:space="preserve"> PAGEREF _Toc115261521 \h </w:instrText>
            </w:r>
            <w:r>
              <w:rPr>
                <w:noProof/>
                <w:webHidden/>
              </w:rPr>
              <w:fldChar w:fldCharType="separate"/>
            </w:r>
            <w:r>
              <w:rPr>
                <w:noProof/>
                <w:webHidden/>
              </w:rPr>
              <w:t>5</w:t>
            </w:r>
            <w:r>
              <w:rPr>
                <w:noProof/>
                <w:webHidden/>
              </w:rPr>
              <w:fldChar w:fldCharType="end"/>
            </w:r>
          </w:hyperlink>
        </w:p>
        <w:p w:rsidR="008A700D" w:rsidP="0013439B" w14:paraId="20057168" w14:textId="1FA1A056">
          <w:pPr>
            <w:pStyle w:val="TOC2"/>
            <w:rPr>
              <w:noProof/>
              <w:lang w:eastAsia="en-US"/>
            </w:rPr>
          </w:pPr>
          <w:hyperlink w:anchor="_Toc115261522" w:history="1">
            <w:r w:rsidRPr="00600990">
              <w:rPr>
                <w:rStyle w:val="Hyperlink"/>
                <w:noProof/>
              </w:rPr>
              <w:t xml:space="preserve">Results of Key Systematic Reviews (2016 </w:t>
            </w:r>
            <w:r w:rsidR="003E3882">
              <w:rPr>
                <w:rStyle w:val="Hyperlink"/>
                <w:noProof/>
              </w:rPr>
              <w:t>-</w:t>
            </w:r>
            <w:r w:rsidRPr="00600990">
              <w:rPr>
                <w:rStyle w:val="Hyperlink"/>
                <w:noProof/>
              </w:rPr>
              <w:t xml:space="preserve"> 2018)</w:t>
            </w:r>
            <w:r>
              <w:rPr>
                <w:noProof/>
                <w:webHidden/>
              </w:rPr>
              <w:tab/>
            </w:r>
            <w:r>
              <w:rPr>
                <w:noProof/>
                <w:webHidden/>
              </w:rPr>
              <w:fldChar w:fldCharType="begin"/>
            </w:r>
            <w:r>
              <w:rPr>
                <w:noProof/>
                <w:webHidden/>
              </w:rPr>
              <w:instrText xml:space="preserve"> PAGEREF _Toc115261522 \h </w:instrText>
            </w:r>
            <w:r>
              <w:rPr>
                <w:noProof/>
                <w:webHidden/>
              </w:rPr>
              <w:fldChar w:fldCharType="separate"/>
            </w:r>
            <w:r>
              <w:rPr>
                <w:noProof/>
                <w:webHidden/>
              </w:rPr>
              <w:t>6</w:t>
            </w:r>
            <w:r>
              <w:rPr>
                <w:noProof/>
                <w:webHidden/>
              </w:rPr>
              <w:fldChar w:fldCharType="end"/>
            </w:r>
          </w:hyperlink>
        </w:p>
        <w:p w:rsidR="008A700D" w:rsidP="0013439B" w14:paraId="0BDC6E76" w14:textId="6A721D88">
          <w:pPr>
            <w:pStyle w:val="TOC2"/>
            <w:rPr>
              <w:noProof/>
              <w:lang w:eastAsia="en-US"/>
            </w:rPr>
          </w:pPr>
          <w:hyperlink w:anchor="_Toc115261523" w:history="1">
            <w:r w:rsidRPr="00600990">
              <w:rPr>
                <w:rStyle w:val="Hyperlink"/>
                <w:noProof/>
              </w:rPr>
              <w:t>Results of Key Systematic Reviews (2018 - 2021)</w:t>
            </w:r>
            <w:r>
              <w:rPr>
                <w:noProof/>
                <w:webHidden/>
              </w:rPr>
              <w:tab/>
            </w:r>
            <w:r>
              <w:rPr>
                <w:noProof/>
                <w:webHidden/>
              </w:rPr>
              <w:fldChar w:fldCharType="begin"/>
            </w:r>
            <w:r>
              <w:rPr>
                <w:noProof/>
                <w:webHidden/>
              </w:rPr>
              <w:instrText xml:space="preserve"> PAGEREF _Toc115261523 \h </w:instrText>
            </w:r>
            <w:r>
              <w:rPr>
                <w:noProof/>
                <w:webHidden/>
              </w:rPr>
              <w:fldChar w:fldCharType="separate"/>
            </w:r>
            <w:r>
              <w:rPr>
                <w:noProof/>
                <w:webHidden/>
              </w:rPr>
              <w:t>10</w:t>
            </w:r>
            <w:r>
              <w:rPr>
                <w:noProof/>
                <w:webHidden/>
              </w:rPr>
              <w:fldChar w:fldCharType="end"/>
            </w:r>
          </w:hyperlink>
        </w:p>
        <w:p w:rsidR="008A700D" w:rsidP="00361A99" w14:paraId="19989B62" w14:textId="7068A21E">
          <w:pPr>
            <w:pStyle w:val="TOC1"/>
            <w:rPr>
              <w:noProof/>
              <w:lang w:eastAsia="en-US"/>
            </w:rPr>
          </w:pPr>
          <w:hyperlink w:anchor="_Toc115261524" w:history="1">
            <w:r>
              <w:rPr>
                <w:noProof/>
                <w:webHidden/>
              </w:rPr>
              <w:fldChar w:fldCharType="begin"/>
            </w:r>
            <w:r>
              <w:rPr>
                <w:noProof/>
                <w:webHidden/>
              </w:rPr>
              <w:instrText xml:space="preserve"> PAGEREF _Toc115261524 \h </w:instrText>
            </w:r>
            <w:r>
              <w:rPr>
                <w:noProof/>
                <w:webHidden/>
              </w:rPr>
              <w:fldChar w:fldCharType="separate"/>
            </w:r>
            <w:r>
              <w:rPr>
                <w:noProof/>
                <w:webHidden/>
              </w:rPr>
              <w:fldChar w:fldCharType="end"/>
            </w:r>
          </w:hyperlink>
          <w:hyperlink w:anchor="_Toc115261525" w:history="1">
            <w:r w:rsidRPr="00600990">
              <w:rPr>
                <w:rStyle w:val="Hyperlink"/>
                <w:noProof/>
              </w:rPr>
              <w:t xml:space="preserve">Results of Key Systematic Reviews (2021 - </w:t>
            </w:r>
            <w:r w:rsidRPr="00600990" w:rsidR="00D5418C">
              <w:rPr>
                <w:rStyle w:val="Hyperlink"/>
                <w:noProof/>
              </w:rPr>
              <w:t xml:space="preserve"> </w:t>
            </w:r>
            <w:r w:rsidRPr="00600990">
              <w:rPr>
                <w:rStyle w:val="Hyperlink"/>
                <w:noProof/>
              </w:rPr>
              <w:t>2022)</w:t>
            </w:r>
            <w:r>
              <w:rPr>
                <w:noProof/>
                <w:webHidden/>
              </w:rPr>
              <w:tab/>
            </w:r>
            <w:r>
              <w:rPr>
                <w:noProof/>
                <w:webHidden/>
              </w:rPr>
              <w:fldChar w:fldCharType="begin"/>
            </w:r>
            <w:r>
              <w:rPr>
                <w:noProof/>
                <w:webHidden/>
              </w:rPr>
              <w:instrText xml:space="preserve"> PAGEREF _Toc115261525 \h </w:instrText>
            </w:r>
            <w:r>
              <w:rPr>
                <w:noProof/>
                <w:webHidden/>
              </w:rPr>
              <w:fldChar w:fldCharType="separate"/>
            </w:r>
            <w:r>
              <w:rPr>
                <w:noProof/>
                <w:webHidden/>
              </w:rPr>
              <w:t>1</w:t>
            </w:r>
            <w:r w:rsidR="00DD4E1A">
              <w:rPr>
                <w:noProof/>
                <w:webHidden/>
              </w:rPr>
              <w:t>6</w:t>
            </w:r>
            <w:r>
              <w:rPr>
                <w:noProof/>
                <w:webHidden/>
              </w:rPr>
              <w:fldChar w:fldCharType="end"/>
            </w:r>
          </w:hyperlink>
        </w:p>
        <w:p w:rsidR="008A700D" w:rsidP="0013439B" w14:paraId="0E8DAC63" w14:textId="0EFDF453">
          <w:pPr>
            <w:pStyle w:val="TOC2"/>
            <w:rPr>
              <w:noProof/>
              <w:lang w:eastAsia="en-US"/>
            </w:rPr>
          </w:pPr>
          <w:hyperlink w:anchor="_Toc115261526" w:history="1">
            <w:r w:rsidRPr="003022CD">
              <w:rPr>
                <w:rStyle w:val="Hyperlink"/>
                <w:noProof/>
              </w:rPr>
              <w:t xml:space="preserve">Appendix A: </w:t>
            </w:r>
            <w:r w:rsidRPr="003022CD" w:rsidR="003022CD">
              <w:rPr>
                <w:rStyle w:val="Hyperlink"/>
                <w:noProof/>
              </w:rPr>
              <w:t>Front of Pack Nutrition Labeling Schemes and Symbols Available Online and in the Scientific Literature in 2018</w:t>
            </w:r>
            <w:r w:rsidRPr="003022CD">
              <w:rPr>
                <w:rStyle w:val="Hyperlink"/>
                <w:noProof/>
                <w:webHidden/>
              </w:rPr>
              <w:tab/>
            </w:r>
            <w:r w:rsidRPr="003022CD">
              <w:rPr>
                <w:rStyle w:val="Hyperlink"/>
                <w:noProof/>
                <w:webHidden/>
              </w:rPr>
              <w:fldChar w:fldCharType="begin"/>
            </w:r>
            <w:r w:rsidRPr="003022CD">
              <w:rPr>
                <w:rStyle w:val="Hyperlink"/>
                <w:noProof/>
                <w:webHidden/>
              </w:rPr>
              <w:instrText xml:space="preserve"> PAGEREF _Toc115261526 \h </w:instrText>
            </w:r>
            <w:r w:rsidRPr="003022CD">
              <w:rPr>
                <w:rStyle w:val="Hyperlink"/>
                <w:noProof/>
                <w:webHidden/>
              </w:rPr>
              <w:fldChar w:fldCharType="separate"/>
            </w:r>
            <w:r w:rsidRPr="003022CD">
              <w:rPr>
                <w:rStyle w:val="Hyperlink"/>
                <w:noProof/>
                <w:webHidden/>
              </w:rPr>
              <w:t>23</w:t>
            </w:r>
            <w:r w:rsidRPr="003022CD">
              <w:rPr>
                <w:rStyle w:val="Hyperlink"/>
                <w:noProof/>
                <w:webHidden/>
              </w:rPr>
              <w:fldChar w:fldCharType="end"/>
            </w:r>
          </w:hyperlink>
        </w:p>
        <w:p w:rsidR="008A700D" w:rsidP="00361A99" w14:paraId="6C1B04C4" w14:textId="482315DF">
          <w:pPr>
            <w:pStyle w:val="TOC1"/>
            <w:rPr>
              <w:noProof/>
              <w:lang w:eastAsia="en-US"/>
            </w:rPr>
          </w:pPr>
          <w:hyperlink w:anchor="_Toc115261527" w:history="1">
            <w:r w:rsidRPr="00600990">
              <w:rPr>
                <w:rStyle w:val="Hyperlink"/>
                <w:noProof/>
              </w:rPr>
              <w:t>Appendix B: Methods Report for Systematic Review of Literature on F</w:t>
            </w:r>
            <w:r w:rsidR="001939BB">
              <w:rPr>
                <w:rStyle w:val="Hyperlink"/>
                <w:noProof/>
              </w:rPr>
              <w:t>ront of Package</w:t>
            </w:r>
            <w:r w:rsidRPr="00600990">
              <w:rPr>
                <w:rStyle w:val="Hyperlink"/>
                <w:noProof/>
              </w:rPr>
              <w:t xml:space="preserve"> Labeling Including Study Protocol</w:t>
            </w:r>
            <w:r>
              <w:rPr>
                <w:noProof/>
                <w:webHidden/>
              </w:rPr>
              <w:tab/>
            </w:r>
            <w:r>
              <w:rPr>
                <w:noProof/>
                <w:webHidden/>
              </w:rPr>
              <w:fldChar w:fldCharType="begin"/>
            </w:r>
            <w:r>
              <w:rPr>
                <w:noProof/>
                <w:webHidden/>
              </w:rPr>
              <w:instrText xml:space="preserve"> PAGEREF _Toc115261527 \h </w:instrText>
            </w:r>
            <w:r>
              <w:rPr>
                <w:noProof/>
                <w:webHidden/>
              </w:rPr>
              <w:fldChar w:fldCharType="separate"/>
            </w:r>
            <w:r>
              <w:rPr>
                <w:noProof/>
                <w:webHidden/>
              </w:rPr>
              <w:t>28</w:t>
            </w:r>
            <w:r>
              <w:rPr>
                <w:noProof/>
                <w:webHidden/>
              </w:rPr>
              <w:fldChar w:fldCharType="end"/>
            </w:r>
          </w:hyperlink>
        </w:p>
        <w:p w:rsidR="008A700D" w:rsidP="0013439B" w14:paraId="6392B2E2" w14:textId="13BC981C">
          <w:pPr>
            <w:pStyle w:val="TOC2"/>
            <w:rPr>
              <w:noProof/>
              <w:lang w:eastAsia="en-US"/>
            </w:rPr>
          </w:pPr>
          <w:hyperlink w:anchor="_Toc115261528" w:history="1">
            <w:r w:rsidRPr="00600990">
              <w:rPr>
                <w:rStyle w:val="Hyperlink"/>
                <w:noProof/>
              </w:rPr>
              <w:t>Introduction</w:t>
            </w:r>
            <w:r>
              <w:rPr>
                <w:noProof/>
                <w:webHidden/>
              </w:rPr>
              <w:tab/>
            </w:r>
            <w:r>
              <w:rPr>
                <w:noProof/>
                <w:webHidden/>
              </w:rPr>
              <w:fldChar w:fldCharType="begin"/>
            </w:r>
            <w:r>
              <w:rPr>
                <w:noProof/>
                <w:webHidden/>
              </w:rPr>
              <w:instrText xml:space="preserve"> PAGEREF _Toc115261528 \h </w:instrText>
            </w:r>
            <w:r>
              <w:rPr>
                <w:noProof/>
                <w:webHidden/>
              </w:rPr>
              <w:fldChar w:fldCharType="separate"/>
            </w:r>
            <w:r>
              <w:rPr>
                <w:noProof/>
                <w:webHidden/>
              </w:rPr>
              <w:t>28</w:t>
            </w:r>
            <w:r>
              <w:rPr>
                <w:noProof/>
                <w:webHidden/>
              </w:rPr>
              <w:fldChar w:fldCharType="end"/>
            </w:r>
          </w:hyperlink>
        </w:p>
        <w:p w:rsidR="008A700D" w:rsidP="0013439B" w14:paraId="0DE586A9" w14:textId="7F879641">
          <w:pPr>
            <w:pStyle w:val="TOC2"/>
            <w:rPr>
              <w:noProof/>
              <w:lang w:eastAsia="en-US"/>
            </w:rPr>
          </w:pPr>
          <w:hyperlink w:anchor="_Toc115261529" w:history="1">
            <w:r w:rsidRPr="00600990">
              <w:rPr>
                <w:rStyle w:val="Hyperlink"/>
                <w:noProof/>
              </w:rPr>
              <w:t>Objective</w:t>
            </w:r>
            <w:r>
              <w:rPr>
                <w:noProof/>
                <w:webHidden/>
              </w:rPr>
              <w:tab/>
            </w:r>
            <w:r>
              <w:rPr>
                <w:noProof/>
                <w:webHidden/>
              </w:rPr>
              <w:fldChar w:fldCharType="begin"/>
            </w:r>
            <w:r>
              <w:rPr>
                <w:noProof/>
                <w:webHidden/>
              </w:rPr>
              <w:instrText xml:space="preserve"> PAGEREF _Toc115261529 \h </w:instrText>
            </w:r>
            <w:r>
              <w:rPr>
                <w:noProof/>
                <w:webHidden/>
              </w:rPr>
              <w:fldChar w:fldCharType="separate"/>
            </w:r>
            <w:r>
              <w:rPr>
                <w:noProof/>
                <w:webHidden/>
              </w:rPr>
              <w:t>28</w:t>
            </w:r>
            <w:r>
              <w:rPr>
                <w:noProof/>
                <w:webHidden/>
              </w:rPr>
              <w:fldChar w:fldCharType="end"/>
            </w:r>
          </w:hyperlink>
        </w:p>
        <w:p w:rsidR="008A700D" w:rsidP="0013439B" w14:paraId="396BACDB" w14:textId="1620DDD7">
          <w:pPr>
            <w:pStyle w:val="TOC2"/>
            <w:rPr>
              <w:noProof/>
              <w:lang w:eastAsia="en-US"/>
            </w:rPr>
          </w:pPr>
          <w:hyperlink w:anchor="_Toc115261530" w:history="1">
            <w:r w:rsidRPr="00600990">
              <w:rPr>
                <w:rStyle w:val="Hyperlink"/>
                <w:noProof/>
              </w:rPr>
              <w:t>Methods</w:t>
            </w:r>
            <w:r>
              <w:rPr>
                <w:noProof/>
                <w:webHidden/>
              </w:rPr>
              <w:tab/>
            </w:r>
            <w:r>
              <w:rPr>
                <w:noProof/>
                <w:webHidden/>
              </w:rPr>
              <w:fldChar w:fldCharType="begin"/>
            </w:r>
            <w:r>
              <w:rPr>
                <w:noProof/>
                <w:webHidden/>
              </w:rPr>
              <w:instrText xml:space="preserve"> PAGEREF _Toc115261530 \h </w:instrText>
            </w:r>
            <w:r>
              <w:rPr>
                <w:noProof/>
                <w:webHidden/>
              </w:rPr>
              <w:fldChar w:fldCharType="separate"/>
            </w:r>
            <w:r>
              <w:rPr>
                <w:noProof/>
                <w:webHidden/>
              </w:rPr>
              <w:t>28</w:t>
            </w:r>
            <w:r>
              <w:rPr>
                <w:noProof/>
                <w:webHidden/>
              </w:rPr>
              <w:fldChar w:fldCharType="end"/>
            </w:r>
          </w:hyperlink>
        </w:p>
        <w:p w:rsidR="008A700D" w:rsidP="0013439B" w14:paraId="72D30E85" w14:textId="2CFE8A10">
          <w:pPr>
            <w:pStyle w:val="TOC2"/>
            <w:rPr>
              <w:noProof/>
              <w:lang w:eastAsia="en-US"/>
            </w:rPr>
          </w:pPr>
          <w:hyperlink w:anchor="_Toc115261531" w:history="1">
            <w:r w:rsidRPr="00600990">
              <w:rPr>
                <w:rStyle w:val="Hyperlink"/>
                <w:noProof/>
              </w:rPr>
              <w:t>Search Strategy</w:t>
            </w:r>
            <w:r>
              <w:rPr>
                <w:noProof/>
                <w:webHidden/>
              </w:rPr>
              <w:tab/>
            </w:r>
            <w:r>
              <w:rPr>
                <w:noProof/>
                <w:webHidden/>
              </w:rPr>
              <w:fldChar w:fldCharType="begin"/>
            </w:r>
            <w:r>
              <w:rPr>
                <w:noProof/>
                <w:webHidden/>
              </w:rPr>
              <w:instrText xml:space="preserve"> PAGEREF _Toc115261531 \h </w:instrText>
            </w:r>
            <w:r>
              <w:rPr>
                <w:noProof/>
                <w:webHidden/>
              </w:rPr>
              <w:fldChar w:fldCharType="separate"/>
            </w:r>
            <w:r>
              <w:rPr>
                <w:noProof/>
                <w:webHidden/>
              </w:rPr>
              <w:t>28</w:t>
            </w:r>
            <w:r>
              <w:rPr>
                <w:noProof/>
                <w:webHidden/>
              </w:rPr>
              <w:fldChar w:fldCharType="end"/>
            </w:r>
          </w:hyperlink>
        </w:p>
        <w:p w:rsidR="008A700D" w:rsidP="0013439B" w14:paraId="25E0F0AA" w14:textId="708A721E">
          <w:pPr>
            <w:pStyle w:val="TOC2"/>
            <w:rPr>
              <w:noProof/>
              <w:lang w:eastAsia="en-US"/>
            </w:rPr>
          </w:pPr>
          <w:hyperlink w:anchor="_Toc115261532" w:history="1">
            <w:r w:rsidRPr="00600990">
              <w:rPr>
                <w:rStyle w:val="Hyperlink"/>
                <w:noProof/>
              </w:rPr>
              <w:t>Mechanism Used to Manage the Review</w:t>
            </w:r>
            <w:r>
              <w:rPr>
                <w:noProof/>
                <w:webHidden/>
              </w:rPr>
              <w:tab/>
            </w:r>
            <w:r>
              <w:rPr>
                <w:noProof/>
                <w:webHidden/>
              </w:rPr>
              <w:fldChar w:fldCharType="begin"/>
            </w:r>
            <w:r>
              <w:rPr>
                <w:noProof/>
                <w:webHidden/>
              </w:rPr>
              <w:instrText xml:space="preserve"> PAGEREF _Toc115261532 \h </w:instrText>
            </w:r>
            <w:r>
              <w:rPr>
                <w:noProof/>
                <w:webHidden/>
              </w:rPr>
              <w:fldChar w:fldCharType="separate"/>
            </w:r>
            <w:r>
              <w:rPr>
                <w:noProof/>
                <w:webHidden/>
              </w:rPr>
              <w:t>36</w:t>
            </w:r>
            <w:r>
              <w:rPr>
                <w:noProof/>
                <w:webHidden/>
              </w:rPr>
              <w:fldChar w:fldCharType="end"/>
            </w:r>
          </w:hyperlink>
        </w:p>
        <w:p w:rsidR="008A700D" w:rsidP="0013439B" w14:paraId="417D7669" w14:textId="7C8B9EB7">
          <w:pPr>
            <w:pStyle w:val="TOC2"/>
            <w:rPr>
              <w:noProof/>
              <w:lang w:eastAsia="en-US"/>
            </w:rPr>
          </w:pPr>
          <w:hyperlink w:anchor="_Toc115261533" w:history="1">
            <w:r w:rsidRPr="00600990">
              <w:rPr>
                <w:rStyle w:val="Hyperlink"/>
                <w:noProof/>
              </w:rPr>
              <w:t>Selection Process</w:t>
            </w:r>
            <w:r>
              <w:rPr>
                <w:noProof/>
                <w:webHidden/>
              </w:rPr>
              <w:tab/>
            </w:r>
            <w:r>
              <w:rPr>
                <w:noProof/>
                <w:webHidden/>
              </w:rPr>
              <w:fldChar w:fldCharType="begin"/>
            </w:r>
            <w:r>
              <w:rPr>
                <w:noProof/>
                <w:webHidden/>
              </w:rPr>
              <w:instrText xml:space="preserve"> PAGEREF _Toc115261533 \h </w:instrText>
            </w:r>
            <w:r>
              <w:rPr>
                <w:noProof/>
                <w:webHidden/>
              </w:rPr>
              <w:fldChar w:fldCharType="separate"/>
            </w:r>
            <w:r>
              <w:rPr>
                <w:noProof/>
                <w:webHidden/>
              </w:rPr>
              <w:t>36</w:t>
            </w:r>
            <w:r>
              <w:rPr>
                <w:noProof/>
                <w:webHidden/>
              </w:rPr>
              <w:fldChar w:fldCharType="end"/>
            </w:r>
          </w:hyperlink>
        </w:p>
        <w:p w:rsidR="008A700D" w:rsidP="00361A99" w14:paraId="05346D05" w14:textId="06305A66">
          <w:pPr>
            <w:pStyle w:val="TOC1"/>
            <w:rPr>
              <w:noProof/>
              <w:lang w:eastAsia="en-US"/>
            </w:rPr>
          </w:pPr>
          <w:hyperlink w:anchor="_Toc115261534" w:history="1">
            <w:r w:rsidRPr="00600990">
              <w:rPr>
                <w:rStyle w:val="Hyperlink"/>
                <w:noProof/>
              </w:rPr>
              <w:t>Appendix C: Summary of Articles in</w:t>
            </w:r>
            <w:r w:rsidR="0013439B">
              <w:rPr>
                <w:rStyle w:val="Hyperlink"/>
                <w:noProof/>
              </w:rPr>
              <w:t>cluded in</w:t>
            </w:r>
            <w:r w:rsidRPr="00600990">
              <w:rPr>
                <w:rStyle w:val="Hyperlink"/>
                <w:noProof/>
              </w:rPr>
              <w:t xml:space="preserve"> </w:t>
            </w:r>
            <w:r w:rsidR="0013439B">
              <w:rPr>
                <w:rStyle w:val="Hyperlink"/>
                <w:noProof/>
              </w:rPr>
              <w:t>the FDA Healthy Symbol</w:t>
            </w:r>
            <w:r w:rsidRPr="00600990">
              <w:rPr>
                <w:rStyle w:val="Hyperlink"/>
                <w:noProof/>
              </w:rPr>
              <w:t xml:space="preserve"> Literature Review</w:t>
            </w:r>
            <w:r>
              <w:rPr>
                <w:noProof/>
                <w:webHidden/>
              </w:rPr>
              <w:tab/>
            </w:r>
            <w:r>
              <w:rPr>
                <w:noProof/>
                <w:webHidden/>
              </w:rPr>
              <w:fldChar w:fldCharType="begin"/>
            </w:r>
            <w:r>
              <w:rPr>
                <w:noProof/>
                <w:webHidden/>
              </w:rPr>
              <w:instrText xml:space="preserve"> PAGEREF _Toc115261534 \h </w:instrText>
            </w:r>
            <w:r>
              <w:rPr>
                <w:noProof/>
                <w:webHidden/>
              </w:rPr>
              <w:fldChar w:fldCharType="separate"/>
            </w:r>
            <w:r>
              <w:rPr>
                <w:noProof/>
                <w:webHidden/>
              </w:rPr>
              <w:t>37</w:t>
            </w:r>
            <w:r>
              <w:rPr>
                <w:noProof/>
                <w:webHidden/>
              </w:rPr>
              <w:fldChar w:fldCharType="end"/>
            </w:r>
          </w:hyperlink>
        </w:p>
        <w:p w:rsidR="008A700D" w:rsidP="00361A99" w14:paraId="4747083F" w14:textId="761C9EA7">
          <w:pPr>
            <w:pStyle w:val="TOC1"/>
            <w:rPr>
              <w:noProof/>
              <w:lang w:eastAsia="en-US"/>
            </w:rPr>
          </w:pPr>
          <w:hyperlink w:anchor="_Toc115261535" w:history="1">
            <w:r w:rsidRPr="00600990">
              <w:rPr>
                <w:rStyle w:val="Hyperlink"/>
                <w:noProof/>
              </w:rPr>
              <w:t>Appendix D: Citations for Studies in the Literature Review</w:t>
            </w:r>
            <w:r>
              <w:rPr>
                <w:noProof/>
                <w:webHidden/>
              </w:rPr>
              <w:tab/>
            </w:r>
            <w:r>
              <w:rPr>
                <w:noProof/>
                <w:webHidden/>
              </w:rPr>
              <w:fldChar w:fldCharType="begin"/>
            </w:r>
            <w:r>
              <w:rPr>
                <w:noProof/>
                <w:webHidden/>
              </w:rPr>
              <w:instrText xml:space="preserve"> PAGEREF _Toc115261535 \h </w:instrText>
            </w:r>
            <w:r>
              <w:rPr>
                <w:noProof/>
                <w:webHidden/>
              </w:rPr>
              <w:fldChar w:fldCharType="separate"/>
            </w:r>
            <w:r>
              <w:rPr>
                <w:noProof/>
                <w:webHidden/>
              </w:rPr>
              <w:t>58</w:t>
            </w:r>
            <w:r>
              <w:rPr>
                <w:noProof/>
                <w:webHidden/>
              </w:rPr>
              <w:fldChar w:fldCharType="end"/>
            </w:r>
          </w:hyperlink>
        </w:p>
        <w:p w:rsidR="008A700D" w:rsidP="0013439B" w14:paraId="0B1431E8" w14:textId="14EC24B5">
          <w:pPr>
            <w:pStyle w:val="TOC2"/>
            <w:rPr>
              <w:noProof/>
              <w:lang w:eastAsia="en-US"/>
            </w:rPr>
          </w:pPr>
          <w:hyperlink w:anchor="_Toc115261536" w:history="1"/>
        </w:p>
        <w:p w:rsidR="00B2673F" w14:paraId="4396CBE4" w14:textId="5ACBD3A6">
          <w:r>
            <w:rPr>
              <w:b/>
              <w:bCs/>
              <w:noProof/>
            </w:rPr>
            <w:fldChar w:fldCharType="end"/>
          </w:r>
        </w:p>
      </w:sdtContent>
    </w:sdt>
    <w:p w:rsidR="009F7D30" w:rsidP="009F7D30" w14:paraId="0B18C312" w14:textId="77777777">
      <w:pPr>
        <w:rPr>
          <w:rFonts w:cstheme="minorHAnsi"/>
          <w:b/>
          <w:sz w:val="24"/>
          <w:szCs w:val="24"/>
        </w:rPr>
      </w:pPr>
    </w:p>
    <w:p w:rsidR="009F7D30" w:rsidP="009F7D30" w14:paraId="500049D4" w14:textId="77777777">
      <w:pPr>
        <w:rPr>
          <w:rFonts w:cstheme="minorHAnsi"/>
          <w:b/>
          <w:sz w:val="24"/>
          <w:szCs w:val="24"/>
        </w:rPr>
      </w:pPr>
    </w:p>
    <w:p w:rsidR="009F7D30" w14:paraId="361D1E03" w14:textId="77777777">
      <w:pPr>
        <w:rPr>
          <w:rFonts w:cstheme="minorHAnsi"/>
          <w:b/>
          <w:sz w:val="24"/>
          <w:szCs w:val="24"/>
        </w:rPr>
      </w:pPr>
      <w:r>
        <w:br w:type="page"/>
      </w:r>
    </w:p>
    <w:p w:rsidR="00FE6351" w:rsidRPr="00D605B9" w:rsidP="006003CC" w14:paraId="16152452" w14:textId="77777777">
      <w:pPr>
        <w:pStyle w:val="Heading1"/>
      </w:pPr>
      <w:bookmarkStart w:id="0" w:name="_Toc115261517"/>
      <w:r w:rsidRPr="00D605B9">
        <w:t>BACKGROUND</w:t>
      </w:r>
      <w:r w:rsidRPr="009C5286">
        <w:t xml:space="preserve"> AND CONTENTS</w:t>
      </w:r>
      <w:bookmarkEnd w:id="0"/>
    </w:p>
    <w:p w:rsidR="00EA3C59" w:rsidRPr="0082653C" w:rsidP="00EA3C59" w14:paraId="40B0FAB9" w14:textId="6947A870">
      <w:pPr>
        <w:shd w:val="clear" w:color="auto" w:fill="FFFFFF"/>
        <w:spacing w:after="165" w:line="240" w:lineRule="auto"/>
        <w:rPr>
          <w:rFonts w:eastAsia="Times New Roman" w:cstheme="minorHAnsi"/>
          <w:color w:val="333333"/>
        </w:rPr>
      </w:pPr>
      <w:r w:rsidRPr="26C474FA">
        <w:rPr>
          <w:rFonts w:eastAsia="Times New Roman"/>
          <w:color w:val="333333"/>
        </w:rPr>
        <w:t>FDA is prioritizing its nutrition initiatives to ensure people in the United States have greater access to healthier foods and nutrition information we can all use to identify healthier choices more easily. Increasing the availability of healthier foods could improve eating patterns and, as a result, improve everyone’s health and wellness.</w:t>
      </w:r>
    </w:p>
    <w:p w:rsidR="00EA3C59" w:rsidRPr="0082653C" w:rsidP="00EA3C59" w14:paraId="770D7B93" w14:textId="761474EE">
      <w:pPr>
        <w:shd w:val="clear" w:color="auto" w:fill="FFFFFF"/>
        <w:spacing w:after="165" w:line="240" w:lineRule="auto"/>
        <w:rPr>
          <w:rFonts w:eastAsia="Times New Roman" w:cstheme="minorHAnsi"/>
          <w:color w:val="333333"/>
        </w:rPr>
      </w:pPr>
      <w:r w:rsidRPr="0082653C">
        <w:rPr>
          <w:rFonts w:eastAsia="Times New Roman" w:cstheme="minorHAnsi"/>
          <w:color w:val="333333"/>
        </w:rPr>
        <w:t>Claims and symbols can act as quick signals on the front of food packages to help consumers better understand nutrition information and select foods that are part of healthy eating patterns. Other aspects of food labels can provide consumers with further valuable information to help them to identify healthier foods.</w:t>
      </w:r>
    </w:p>
    <w:p w:rsidR="00212961" w:rsidP="00EA3C59" w14:paraId="49EBB6F3" w14:textId="0FCDE5C8">
      <w:pPr>
        <w:shd w:val="clear" w:color="auto" w:fill="FFFFFF"/>
        <w:spacing w:after="165" w:line="240" w:lineRule="auto"/>
      </w:pPr>
      <w:r w:rsidRPr="0082653C">
        <w:rPr>
          <w:rFonts w:cstheme="minorHAnsi"/>
          <w:color w:val="333333"/>
        </w:rPr>
        <w:t>To help consumers easily identify packaged foods that would meet an updated definition for the “healthy” claim, FDA is conducting consumer research to develop a “healthy” symbol that could appear on food packages.</w:t>
      </w:r>
      <w:r w:rsidRPr="0082653C">
        <w:t xml:space="preserve"> </w:t>
      </w:r>
    </w:p>
    <w:p w:rsidR="004F114A" w:rsidP="00352F01" w14:paraId="3EA8B3CB" w14:textId="13177D72">
      <w:pPr>
        <w:shd w:val="clear" w:color="auto" w:fill="FFFFFF" w:themeFill="background1"/>
        <w:spacing w:after="165" w:line="240" w:lineRule="auto"/>
      </w:pPr>
      <w:r>
        <w:t xml:space="preserve">FDA is </w:t>
      </w:r>
      <w:r w:rsidR="1B9C635A">
        <w:t>also</w:t>
      </w:r>
      <w:r>
        <w:t xml:space="preserve"> exploring </w:t>
      </w:r>
      <w:r w:rsidR="774DA271">
        <w:t>the development of a nutrition labeling scheme referred to as front</w:t>
      </w:r>
      <w:r w:rsidR="6AD7A0E7">
        <w:t xml:space="preserve"> </w:t>
      </w:r>
      <w:r w:rsidR="774DA271">
        <w:t>of</w:t>
      </w:r>
      <w:r w:rsidR="6AD7A0E7">
        <w:t xml:space="preserve"> </w:t>
      </w:r>
      <w:r w:rsidR="774DA271">
        <w:t>pack</w:t>
      </w:r>
      <w:r w:rsidR="6AD7A0E7">
        <w:t>age</w:t>
      </w:r>
      <w:r w:rsidR="774DA271">
        <w:t xml:space="preserve"> (FOP) labels displaying a summary of the product’s healthfulness or nutrient content. </w:t>
      </w:r>
      <w:r>
        <w:t>To support th</w:t>
      </w:r>
      <w:r w:rsidR="2A043336">
        <w:t>ese</w:t>
      </w:r>
      <w:r>
        <w:t xml:space="preserve"> effort</w:t>
      </w:r>
      <w:r w:rsidR="2A043336">
        <w:t>s</w:t>
      </w:r>
      <w:r>
        <w:t xml:space="preserve">, </w:t>
      </w:r>
      <w:r w:rsidR="33A0A595">
        <w:t>FDA</w:t>
      </w:r>
      <w:r>
        <w:t xml:space="preserve"> conducted </w:t>
      </w:r>
      <w:r w:rsidR="47364629">
        <w:t xml:space="preserve">and updated </w:t>
      </w:r>
      <w:r w:rsidR="32D285CF">
        <w:t>review</w:t>
      </w:r>
      <w:r w:rsidR="55739117">
        <w:t>s of the literature</w:t>
      </w:r>
      <w:r>
        <w:t xml:space="preserve"> to summarize what is currently known and understood about </w:t>
      </w:r>
      <w:r w:rsidR="774DA271">
        <w:t>FOP</w:t>
      </w:r>
      <w:r w:rsidR="16A8E438">
        <w:t xml:space="preserve"> labeling</w:t>
      </w:r>
      <w:r w:rsidR="774DA271">
        <w:t>.</w:t>
      </w:r>
    </w:p>
    <w:p w:rsidR="00FE6351" w:rsidRPr="008051C7" w:rsidP="008F5E9D" w14:paraId="736A12B5" w14:textId="731468C4">
      <w:pPr>
        <w:spacing w:after="0"/>
      </w:pPr>
      <w:r w:rsidRPr="00352F01">
        <w:t xml:space="preserve">Pages </w:t>
      </w:r>
      <w:r w:rsidRPr="00352F01" w:rsidR="668A857B">
        <w:t xml:space="preserve">4 to </w:t>
      </w:r>
      <w:r w:rsidRPr="00352F01" w:rsidR="0D3CB4D2">
        <w:t>1</w:t>
      </w:r>
      <w:r w:rsidRPr="00352F01" w:rsidR="0025768C">
        <w:t>0</w:t>
      </w:r>
      <w:r w:rsidRPr="00352F01" w:rsidR="21B2D723">
        <w:t xml:space="preserve"> </w:t>
      </w:r>
      <w:r w:rsidRPr="00352F01">
        <w:t>of this</w:t>
      </w:r>
      <w:r w:rsidRPr="008051C7">
        <w:t xml:space="preserve"> report are the body of the review – the body encompasses 1) a summary of key systematic reviews on </w:t>
      </w:r>
      <w:r w:rsidRPr="008051C7" w:rsidR="33DCD164">
        <w:t>FOP</w:t>
      </w:r>
      <w:r w:rsidRPr="008051C7">
        <w:t xml:space="preserve"> symbols, 2) an updated </w:t>
      </w:r>
      <w:r w:rsidRPr="008051C7" w:rsidR="32D285CF">
        <w:t>review</w:t>
      </w:r>
      <w:r w:rsidRPr="008051C7">
        <w:t xml:space="preserve"> of the </w:t>
      </w:r>
      <w:r w:rsidRPr="008051C7" w:rsidR="33DCD164">
        <w:t>FOP</w:t>
      </w:r>
      <w:r w:rsidRPr="008051C7">
        <w:t xml:space="preserve"> scientific literature, and 3) summar</w:t>
      </w:r>
      <w:r w:rsidRPr="008051C7" w:rsidR="1F4654AD">
        <w:t>ies</w:t>
      </w:r>
      <w:r w:rsidRPr="008051C7">
        <w:t xml:space="preserve"> from guide</w:t>
      </w:r>
      <w:r w:rsidRPr="008051C7" w:rsidR="1F4654AD">
        <w:t>s</w:t>
      </w:r>
      <w:r w:rsidRPr="008051C7">
        <w:t xml:space="preserve"> on government implementation of </w:t>
      </w:r>
      <w:r w:rsidRPr="008051C7" w:rsidR="33DCD164">
        <w:t>FOP</w:t>
      </w:r>
      <w:r w:rsidRPr="008051C7">
        <w:t xml:space="preserve"> labels. The Appendices contain: A) a table of </w:t>
      </w:r>
      <w:r w:rsidRPr="008051C7" w:rsidR="33DCD164">
        <w:t>FOP</w:t>
      </w:r>
      <w:r w:rsidRPr="008051C7">
        <w:t xml:space="preserve"> </w:t>
      </w:r>
      <w:r w:rsidR="005E4F85">
        <w:t>labeling s</w:t>
      </w:r>
      <w:r w:rsidR="006C275B">
        <w:t xml:space="preserve">chemes and </w:t>
      </w:r>
      <w:r w:rsidR="005E4F85">
        <w:t>s</w:t>
      </w:r>
      <w:r w:rsidR="006C275B">
        <w:t xml:space="preserve">ymbols </w:t>
      </w:r>
      <w:r w:rsidR="005E4F85">
        <w:t>a</w:t>
      </w:r>
      <w:r w:rsidR="006C275B">
        <w:t xml:space="preserve">vailable </w:t>
      </w:r>
      <w:r w:rsidR="005E4F85">
        <w:t>o</w:t>
      </w:r>
      <w:r w:rsidR="006C275B">
        <w:t xml:space="preserve">nline and in the </w:t>
      </w:r>
      <w:r w:rsidR="005E4F85">
        <w:t>s</w:t>
      </w:r>
      <w:r w:rsidR="006C275B">
        <w:t xml:space="preserve">cientific </w:t>
      </w:r>
      <w:r w:rsidR="005E4F85">
        <w:t>l</w:t>
      </w:r>
      <w:r w:rsidR="006C275B">
        <w:t>iterature in 2018</w:t>
      </w:r>
      <w:r w:rsidRPr="008051C7">
        <w:t xml:space="preserve">; B) the methods report including </w:t>
      </w:r>
      <w:r w:rsidRPr="008051C7" w:rsidR="32D285CF">
        <w:t>the</w:t>
      </w:r>
      <w:r w:rsidRPr="008051C7">
        <w:t xml:space="preserve"> study protocol; C) a summary of each article in the updated review; D) citations for articles in the updated review.</w:t>
      </w:r>
    </w:p>
    <w:p w:rsidR="00FE6351" w:rsidRPr="008051C7" w:rsidP="00FE6351" w14:paraId="475C9820" w14:textId="77777777">
      <w:pPr>
        <w:spacing w:after="0"/>
        <w:rPr>
          <w:rFonts w:cstheme="minorHAnsi"/>
          <w:sz w:val="24"/>
          <w:szCs w:val="24"/>
        </w:rPr>
      </w:pPr>
    </w:p>
    <w:p w:rsidR="00FE6351" w:rsidRPr="008051C7" w:rsidP="00D605B9" w14:paraId="4644CC88" w14:textId="77777777">
      <w:pPr>
        <w:pStyle w:val="Heading1"/>
      </w:pPr>
      <w:bookmarkStart w:id="1" w:name="_Toc115261518"/>
      <w:r w:rsidRPr="008051C7">
        <w:t>LITERATURE REVIEW</w:t>
      </w:r>
      <w:bookmarkEnd w:id="1"/>
      <w:r w:rsidRPr="008051C7">
        <w:t xml:space="preserve"> </w:t>
      </w:r>
    </w:p>
    <w:p w:rsidR="00FE6351" w:rsidRPr="008051C7" w:rsidP="008F5E9D" w14:paraId="58674D21" w14:textId="77777777">
      <w:pPr>
        <w:pStyle w:val="Heading2"/>
      </w:pPr>
      <w:bookmarkStart w:id="2" w:name="_Toc115261519"/>
      <w:r w:rsidRPr="008051C7">
        <w:t>General Findings</w:t>
      </w:r>
      <w:bookmarkEnd w:id="2"/>
    </w:p>
    <w:p w:rsidR="00FE6351" w:rsidRPr="008051C7" w:rsidP="00FE6351" w14:paraId="0E06CF05" w14:textId="353B6426">
      <w:pPr>
        <w:spacing w:after="0"/>
        <w:rPr>
          <w:rFonts w:cstheme="minorHAnsi"/>
        </w:rPr>
      </w:pPr>
      <w:r w:rsidRPr="008051C7">
        <w:rPr>
          <w:rFonts w:cstheme="minorHAnsi"/>
        </w:rPr>
        <w:t xml:space="preserve">While the </w:t>
      </w:r>
      <w:r w:rsidRPr="008051C7" w:rsidR="00F638F1">
        <w:rPr>
          <w:rFonts w:cstheme="minorHAnsi"/>
        </w:rPr>
        <w:t>FOP</w:t>
      </w:r>
      <w:r w:rsidRPr="008051C7">
        <w:rPr>
          <w:rFonts w:cstheme="minorHAnsi"/>
        </w:rPr>
        <w:t xml:space="preserve"> scientific literature is nuanced, </w:t>
      </w:r>
      <w:r w:rsidRPr="008051C7" w:rsidR="003A7A5B">
        <w:rPr>
          <w:rFonts w:cstheme="minorHAnsi"/>
        </w:rPr>
        <w:t>the following themes emerged</w:t>
      </w:r>
      <w:r w:rsidRPr="008051C7">
        <w:rPr>
          <w:rFonts w:cstheme="minorHAnsi"/>
        </w:rPr>
        <w:t>:</w:t>
      </w:r>
    </w:p>
    <w:p w:rsidR="00FE6351" w:rsidRPr="008051C7" w:rsidP="00FE6351" w14:paraId="3640B91A" w14:textId="6E843671">
      <w:pPr>
        <w:pStyle w:val="CommentText"/>
        <w:numPr>
          <w:ilvl w:val="0"/>
          <w:numId w:val="6"/>
        </w:numPr>
        <w:spacing w:after="0"/>
        <w:rPr>
          <w:sz w:val="22"/>
          <w:szCs w:val="22"/>
        </w:rPr>
      </w:pPr>
      <w:r w:rsidRPr="008051C7">
        <w:rPr>
          <w:rFonts w:cs="Helvetica"/>
          <w:sz w:val="22"/>
          <w:szCs w:val="22"/>
        </w:rPr>
        <w:t xml:space="preserve">A </w:t>
      </w:r>
      <w:r w:rsidRPr="008051C7" w:rsidR="00F638F1">
        <w:rPr>
          <w:rFonts w:cs="Helvetica"/>
          <w:sz w:val="22"/>
          <w:szCs w:val="22"/>
        </w:rPr>
        <w:t>FOP</w:t>
      </w:r>
      <w:r w:rsidRPr="008051C7">
        <w:rPr>
          <w:rFonts w:cs="Helvetica"/>
          <w:sz w:val="22"/>
          <w:szCs w:val="22"/>
        </w:rPr>
        <w:t xml:space="preserve"> rating system or symbol can help consumers identify and select healthy </w:t>
      </w:r>
      <w:r w:rsidRPr="008051C7" w:rsidR="00777A1C">
        <w:rPr>
          <w:rFonts w:cs="Helvetica"/>
          <w:sz w:val="22"/>
          <w:szCs w:val="22"/>
        </w:rPr>
        <w:t>foods.</w:t>
      </w:r>
    </w:p>
    <w:p w:rsidR="00FE6351" w:rsidRPr="008051C7" w:rsidP="00FE6351" w14:paraId="6C09DC74" w14:textId="157C76D5">
      <w:pPr>
        <w:pStyle w:val="CommentText"/>
        <w:numPr>
          <w:ilvl w:val="0"/>
          <w:numId w:val="6"/>
        </w:numPr>
        <w:spacing w:after="0"/>
        <w:rPr>
          <w:sz w:val="22"/>
          <w:szCs w:val="22"/>
        </w:rPr>
      </w:pPr>
      <w:r w:rsidRPr="008051C7">
        <w:rPr>
          <w:rFonts w:cstheme="minorHAnsi"/>
          <w:bCs/>
          <w:sz w:val="22"/>
          <w:szCs w:val="22"/>
        </w:rPr>
        <w:t>Consumers generally prefer simple labels (such as the ones using a summary system)</w:t>
      </w:r>
      <w:r w:rsidRPr="008051C7" w:rsidR="00777A1C">
        <w:rPr>
          <w:rFonts w:cstheme="minorHAnsi"/>
          <w:bCs/>
          <w:sz w:val="22"/>
          <w:szCs w:val="22"/>
        </w:rPr>
        <w:t>.</w:t>
      </w:r>
    </w:p>
    <w:p w:rsidR="00FE6351" w:rsidRPr="008051C7" w:rsidP="00FE6351" w14:paraId="515B4F51" w14:textId="5D44739C">
      <w:pPr>
        <w:pStyle w:val="CommentText"/>
        <w:numPr>
          <w:ilvl w:val="0"/>
          <w:numId w:val="6"/>
        </w:numPr>
        <w:spacing w:after="0"/>
        <w:rPr>
          <w:sz w:val="22"/>
          <w:szCs w:val="22"/>
        </w:rPr>
      </w:pPr>
      <w:r w:rsidRPr="008051C7">
        <w:rPr>
          <w:rFonts w:cstheme="minorHAnsi"/>
          <w:bCs/>
          <w:sz w:val="22"/>
          <w:szCs w:val="22"/>
        </w:rPr>
        <w:t xml:space="preserve">While more recent studies have examined </w:t>
      </w:r>
      <w:r w:rsidRPr="008051C7">
        <w:rPr>
          <w:rFonts w:cstheme="minorHAnsi"/>
          <w:bCs/>
          <w:sz w:val="22"/>
          <w:szCs w:val="22"/>
        </w:rPr>
        <w:t xml:space="preserve">which type of </w:t>
      </w:r>
      <w:r w:rsidRPr="008051C7" w:rsidR="00A9747F">
        <w:rPr>
          <w:rFonts w:cstheme="minorHAnsi"/>
          <w:bCs/>
          <w:sz w:val="22"/>
          <w:szCs w:val="22"/>
        </w:rPr>
        <w:t>labels (</w:t>
      </w:r>
      <w:r w:rsidRPr="008051C7">
        <w:rPr>
          <w:rFonts w:cstheme="minorHAnsi"/>
          <w:bCs/>
          <w:sz w:val="22"/>
          <w:szCs w:val="22"/>
        </w:rPr>
        <w:t>summary system</w:t>
      </w:r>
      <w:r w:rsidRPr="008051C7" w:rsidR="00A9747F">
        <w:rPr>
          <w:rFonts w:cstheme="minorHAnsi"/>
          <w:bCs/>
          <w:sz w:val="22"/>
          <w:szCs w:val="22"/>
        </w:rPr>
        <w:t xml:space="preserve"> or nutrient specific)</w:t>
      </w:r>
      <w:r w:rsidRPr="008051C7">
        <w:rPr>
          <w:rFonts w:cstheme="minorHAnsi"/>
          <w:bCs/>
          <w:sz w:val="22"/>
          <w:szCs w:val="22"/>
        </w:rPr>
        <w:t xml:space="preserve"> wor</w:t>
      </w:r>
      <w:r w:rsidRPr="008051C7" w:rsidR="00A9747F">
        <w:rPr>
          <w:rFonts w:cstheme="minorHAnsi"/>
          <w:bCs/>
          <w:sz w:val="22"/>
          <w:szCs w:val="22"/>
        </w:rPr>
        <w:t>k</w:t>
      </w:r>
      <w:r w:rsidRPr="008051C7">
        <w:rPr>
          <w:rFonts w:cstheme="minorHAnsi"/>
          <w:bCs/>
          <w:sz w:val="22"/>
          <w:szCs w:val="22"/>
        </w:rPr>
        <w:t xml:space="preserve"> best</w:t>
      </w:r>
      <w:r w:rsidRPr="008051C7" w:rsidR="00A9747F">
        <w:rPr>
          <w:rFonts w:cstheme="minorHAnsi"/>
          <w:bCs/>
          <w:sz w:val="22"/>
          <w:szCs w:val="22"/>
        </w:rPr>
        <w:t xml:space="preserve">, additional research is needed </w:t>
      </w:r>
      <w:r w:rsidRPr="008051C7" w:rsidR="00F4091F">
        <w:rPr>
          <w:rFonts w:cstheme="minorHAnsi"/>
          <w:bCs/>
          <w:sz w:val="22"/>
          <w:szCs w:val="22"/>
        </w:rPr>
        <w:t xml:space="preserve">to understand </w:t>
      </w:r>
      <w:r w:rsidRPr="008051C7">
        <w:rPr>
          <w:rFonts w:cstheme="minorHAnsi"/>
          <w:bCs/>
          <w:sz w:val="22"/>
          <w:szCs w:val="22"/>
        </w:rPr>
        <w:t xml:space="preserve">whether consumers’ use of </w:t>
      </w:r>
      <w:r w:rsidRPr="008051C7" w:rsidR="00F4091F">
        <w:rPr>
          <w:rFonts w:cstheme="minorHAnsi"/>
          <w:bCs/>
          <w:sz w:val="22"/>
          <w:szCs w:val="22"/>
        </w:rPr>
        <w:t>these labels</w:t>
      </w:r>
      <w:r w:rsidRPr="008051C7">
        <w:rPr>
          <w:rFonts w:cstheme="minorHAnsi"/>
          <w:bCs/>
          <w:sz w:val="22"/>
          <w:szCs w:val="22"/>
        </w:rPr>
        <w:t xml:space="preserve"> result in </w:t>
      </w:r>
      <w:r w:rsidRPr="008051C7" w:rsidR="00F4091F">
        <w:rPr>
          <w:rFonts w:cstheme="minorHAnsi"/>
          <w:bCs/>
          <w:sz w:val="22"/>
          <w:szCs w:val="22"/>
        </w:rPr>
        <w:t>healthier diets and better health outcomes.</w:t>
      </w:r>
    </w:p>
    <w:p w:rsidR="00FE6351" w:rsidRPr="008051C7" w:rsidP="00FE6351" w14:paraId="36FEB5F6" w14:textId="16851778">
      <w:pPr>
        <w:pStyle w:val="CommentText"/>
        <w:numPr>
          <w:ilvl w:val="0"/>
          <w:numId w:val="6"/>
        </w:numPr>
        <w:spacing w:after="0"/>
        <w:rPr>
          <w:sz w:val="22"/>
          <w:szCs w:val="22"/>
        </w:rPr>
      </w:pPr>
      <w:r w:rsidRPr="008051C7">
        <w:rPr>
          <w:sz w:val="22"/>
          <w:szCs w:val="22"/>
        </w:rPr>
        <w:t xml:space="preserve">Some manufacturers have reformulated products following the implementation of </w:t>
      </w:r>
      <w:r w:rsidRPr="008051C7" w:rsidR="00F638F1">
        <w:rPr>
          <w:sz w:val="22"/>
          <w:szCs w:val="22"/>
        </w:rPr>
        <w:t>FOP</w:t>
      </w:r>
      <w:r w:rsidRPr="008051C7">
        <w:rPr>
          <w:sz w:val="22"/>
          <w:szCs w:val="22"/>
        </w:rPr>
        <w:t xml:space="preserve"> nutrition symbols; some evidence </w:t>
      </w:r>
      <w:r w:rsidRPr="008051C7" w:rsidR="00B6002D">
        <w:rPr>
          <w:sz w:val="22"/>
          <w:szCs w:val="22"/>
        </w:rPr>
        <w:t>suggests</w:t>
      </w:r>
      <w:r w:rsidRPr="008051C7">
        <w:rPr>
          <w:sz w:val="22"/>
          <w:szCs w:val="22"/>
        </w:rPr>
        <w:t xml:space="preserve"> increased sales of products bearing a </w:t>
      </w:r>
      <w:r w:rsidRPr="008051C7" w:rsidR="00F638F1">
        <w:rPr>
          <w:sz w:val="22"/>
          <w:szCs w:val="22"/>
        </w:rPr>
        <w:t>FOP</w:t>
      </w:r>
      <w:r w:rsidRPr="008051C7">
        <w:rPr>
          <w:sz w:val="22"/>
          <w:szCs w:val="22"/>
        </w:rPr>
        <w:t xml:space="preserve"> symbol.</w:t>
      </w:r>
    </w:p>
    <w:p w:rsidR="00FE6351" w:rsidRPr="008051C7" w:rsidP="00FE6351" w14:paraId="6497688B" w14:textId="77777777">
      <w:pPr>
        <w:pStyle w:val="CommentText"/>
        <w:numPr>
          <w:ilvl w:val="0"/>
          <w:numId w:val="6"/>
        </w:numPr>
        <w:spacing w:after="0"/>
        <w:rPr>
          <w:sz w:val="22"/>
          <w:szCs w:val="22"/>
        </w:rPr>
      </w:pPr>
      <w:r w:rsidRPr="008051C7">
        <w:rPr>
          <w:rFonts w:cstheme="minorHAnsi"/>
          <w:bCs/>
          <w:sz w:val="22"/>
          <w:szCs w:val="22"/>
        </w:rPr>
        <w:t>Institutional endorsement of logos may be related to greater confidence in the label.</w:t>
      </w:r>
    </w:p>
    <w:p w:rsidR="00FE6351" w:rsidRPr="008051C7" w:rsidP="00FE6351" w14:paraId="1F9295F5" w14:textId="77777777">
      <w:pPr>
        <w:spacing w:after="0"/>
        <w:rPr>
          <w:rFonts w:cstheme="minorHAnsi"/>
          <w:b/>
        </w:rPr>
      </w:pPr>
    </w:p>
    <w:p w:rsidR="00FE6351" w:rsidRPr="008051C7" w:rsidP="008F5E9D" w14:paraId="558F9C56" w14:textId="77777777">
      <w:pPr>
        <w:pStyle w:val="Heading2"/>
      </w:pPr>
      <w:bookmarkStart w:id="3" w:name="_Toc115261520"/>
      <w:r w:rsidRPr="008051C7">
        <w:t>Introduction</w:t>
      </w:r>
      <w:bookmarkEnd w:id="3"/>
    </w:p>
    <w:p w:rsidR="00FE6351" w:rsidRPr="008051C7" w:rsidP="008F5E9D" w14:paraId="016D8243" w14:textId="1D8C3BFF">
      <w:pPr>
        <w:spacing w:after="0"/>
        <w:rPr>
          <w:rFonts w:cstheme="minorHAnsi"/>
        </w:rPr>
      </w:pPr>
      <w:r w:rsidRPr="008051C7">
        <w:rPr>
          <w:rFonts w:cstheme="minorHAnsi"/>
        </w:rPr>
        <w:t>Consumers</w:t>
      </w:r>
      <w:r w:rsidRPr="008051C7">
        <w:rPr>
          <w:rFonts w:cstheme="minorHAnsi"/>
        </w:rPr>
        <w:t xml:space="preserve"> can use the Nutrition Facts label (NFL) to learn about the product’s nutrients and how a serving of that product fits into the context of their daily diet. In recent years, the market has seen a plethora of nutrition indicators on the front panel of the food label, highlighting nutrients that consumers might want to consume more of or those they might want to limit. These </w:t>
      </w:r>
      <w:r w:rsidRPr="008051C7" w:rsidR="00F638F1">
        <w:rPr>
          <w:rFonts w:cstheme="minorHAnsi"/>
        </w:rPr>
        <w:t>FOP</w:t>
      </w:r>
      <w:r w:rsidRPr="008051C7">
        <w:rPr>
          <w:rFonts w:cstheme="minorHAnsi"/>
        </w:rPr>
        <w:t xml:space="preserve"> nutrient </w:t>
      </w:r>
      <w:r w:rsidRPr="008051C7">
        <w:rPr>
          <w:rFonts w:cstheme="minorHAnsi"/>
        </w:rPr>
        <w:t>representations can most easily be grouped into two types: 1) Summary and 2) Nutrient-specific [Andrews et al</w:t>
      </w:r>
      <w:r w:rsidRPr="008051C7" w:rsidR="00861A36">
        <w:rPr>
          <w:rFonts w:cstheme="minorHAnsi"/>
        </w:rPr>
        <w:t>.</w:t>
      </w:r>
      <w:r w:rsidRPr="008051C7">
        <w:rPr>
          <w:rFonts w:cstheme="minorHAnsi"/>
        </w:rPr>
        <w:t xml:space="preserve"> 2014]</w:t>
      </w:r>
      <w:r w:rsidRPr="008051C7" w:rsidR="00861A36">
        <w:rPr>
          <w:rFonts w:cstheme="minorHAnsi"/>
        </w:rPr>
        <w:t xml:space="preserve"> </w:t>
      </w:r>
      <w:r w:rsidRPr="008051C7">
        <w:rPr>
          <w:rFonts w:cstheme="minorHAnsi"/>
        </w:rPr>
        <w:t xml:space="preserve">(See Appendix A, Table 1 for examples). Summary indicators are evaluative; that is, they provide an overall interpretive assessment of the healthfulness of a serving of the food, based on a proprietary algorithm. Nutrient-specific indicators, on the other hand, also called “reductive” indicators, are so called because they present a ‘reduced amount’ of the product’s nutrient content on the front of the package.  </w:t>
      </w:r>
    </w:p>
    <w:p w:rsidR="008F5E9D" w:rsidRPr="008051C7" w:rsidP="00FE6351" w14:paraId="612AF0D8" w14:textId="77777777">
      <w:pPr>
        <w:spacing w:after="0"/>
        <w:ind w:firstLine="360"/>
        <w:rPr>
          <w:rFonts w:cstheme="minorHAnsi"/>
        </w:rPr>
      </w:pPr>
    </w:p>
    <w:p w:rsidR="00FE6351" w:rsidRPr="008051C7" w:rsidP="008F5E9D" w14:paraId="47668AA0" w14:textId="4DD83DF8">
      <w:pPr>
        <w:spacing w:after="0"/>
        <w:rPr>
          <w:rFonts w:cstheme="minorHAnsi"/>
        </w:rPr>
      </w:pPr>
      <w:r w:rsidRPr="008051C7">
        <w:rPr>
          <w:rFonts w:cstheme="minorHAnsi"/>
        </w:rPr>
        <w:t xml:space="preserve">The scientific literature on </w:t>
      </w:r>
      <w:r w:rsidRPr="008051C7" w:rsidR="00F638F1">
        <w:rPr>
          <w:rFonts w:cstheme="minorHAnsi"/>
        </w:rPr>
        <w:t>FOP</w:t>
      </w:r>
      <w:r w:rsidRPr="008051C7">
        <w:rPr>
          <w:rFonts w:cstheme="minorHAnsi"/>
        </w:rPr>
        <w:t xml:space="preserve"> nutrition labeling has been the subject of several reviews and reports</w:t>
      </w:r>
      <w:r w:rsidRPr="008051C7" w:rsidR="00DD13FB">
        <w:rPr>
          <w:rFonts w:cstheme="minorHAnsi"/>
        </w:rPr>
        <w:t xml:space="preserve">; </w:t>
      </w:r>
      <w:r w:rsidRPr="008051C7" w:rsidR="002C74BF">
        <w:rPr>
          <w:rFonts w:cstheme="minorHAnsi"/>
        </w:rPr>
        <w:t xml:space="preserve">we </w:t>
      </w:r>
      <w:r w:rsidRPr="008051C7">
        <w:rPr>
          <w:rFonts w:cstheme="minorHAnsi"/>
        </w:rPr>
        <w:t>review</w:t>
      </w:r>
      <w:r w:rsidRPr="008051C7" w:rsidR="00DD13FB">
        <w:rPr>
          <w:rFonts w:cstheme="minorHAnsi"/>
        </w:rPr>
        <w:t xml:space="preserve"> and </w:t>
      </w:r>
      <w:r w:rsidRPr="008051C7" w:rsidR="002C74BF">
        <w:rPr>
          <w:rFonts w:cstheme="minorHAnsi"/>
        </w:rPr>
        <w:t>summarize them</w:t>
      </w:r>
      <w:r w:rsidRPr="008051C7" w:rsidR="00DD13FB">
        <w:rPr>
          <w:rFonts w:cstheme="minorHAnsi"/>
        </w:rPr>
        <w:t xml:space="preserve"> below</w:t>
      </w:r>
      <w:r w:rsidRPr="008051C7" w:rsidR="002C74BF">
        <w:rPr>
          <w:rFonts w:cstheme="minorHAnsi"/>
        </w:rPr>
        <w:t xml:space="preserve">, </w:t>
      </w:r>
      <w:r w:rsidRPr="008051C7">
        <w:rPr>
          <w:rFonts w:cstheme="minorHAnsi"/>
        </w:rPr>
        <w:t>and then provide an update</w:t>
      </w:r>
      <w:r w:rsidRPr="008051C7" w:rsidR="00A85259">
        <w:rPr>
          <w:rFonts w:cstheme="minorHAnsi"/>
        </w:rPr>
        <w:t xml:space="preserve"> </w:t>
      </w:r>
      <w:r w:rsidRPr="008051C7">
        <w:rPr>
          <w:rFonts w:cstheme="minorHAnsi"/>
        </w:rPr>
        <w:t xml:space="preserve">of the </w:t>
      </w:r>
      <w:r w:rsidRPr="008051C7" w:rsidR="00DD13FB">
        <w:rPr>
          <w:rFonts w:cstheme="minorHAnsi"/>
        </w:rPr>
        <w:t>recent</w:t>
      </w:r>
      <w:r w:rsidRPr="008051C7">
        <w:rPr>
          <w:rFonts w:cstheme="minorHAnsi"/>
        </w:rPr>
        <w:t xml:space="preserve"> literature</w:t>
      </w:r>
      <w:r w:rsidRPr="008051C7" w:rsidR="00DD13FB">
        <w:rPr>
          <w:rFonts w:cstheme="minorHAnsi"/>
        </w:rPr>
        <w:t xml:space="preserve"> (2016 to 2019)</w:t>
      </w:r>
      <w:r w:rsidRPr="008051C7">
        <w:rPr>
          <w:rFonts w:cstheme="minorHAnsi"/>
        </w:rPr>
        <w:t xml:space="preserve">. </w:t>
      </w:r>
    </w:p>
    <w:p w:rsidR="00D605B9" w:rsidRPr="008051C7" w:rsidP="00391282" w14:paraId="0CA47E38" w14:textId="77777777">
      <w:pPr>
        <w:spacing w:after="0"/>
        <w:rPr>
          <w:rFonts w:cstheme="minorHAnsi"/>
        </w:rPr>
      </w:pPr>
    </w:p>
    <w:p w:rsidR="00FE6351" w:rsidRPr="008051C7" w:rsidP="008F5E9D" w14:paraId="1D8AF4C0" w14:textId="77777777">
      <w:pPr>
        <w:pStyle w:val="Heading2"/>
      </w:pPr>
      <w:bookmarkStart w:id="4" w:name="_Toc115261521"/>
      <w:r w:rsidRPr="008051C7">
        <w:t>Results of Key Systematic Reviews (2005 to 2016)</w:t>
      </w:r>
      <w:bookmarkEnd w:id="4"/>
    </w:p>
    <w:p w:rsidR="00FE6351" w:rsidRPr="008051C7" w:rsidP="008F5E9D" w14:paraId="76DC2B62" w14:textId="31CF2547">
      <w:pPr>
        <w:spacing w:after="0"/>
      </w:pPr>
      <w:r w:rsidRPr="008051C7">
        <w:rPr>
          <w:rFonts w:cstheme="minorHAnsi"/>
        </w:rPr>
        <w:t xml:space="preserve">A 2005 literature review on consumer understanding and use of nutrition labeling summarized more than 100 studies on NFL usage and </w:t>
      </w:r>
      <w:r w:rsidRPr="008051C7" w:rsidR="00F638F1">
        <w:rPr>
          <w:rFonts w:cstheme="minorHAnsi"/>
        </w:rPr>
        <w:t>FOP</w:t>
      </w:r>
      <w:r w:rsidRPr="008051C7">
        <w:rPr>
          <w:rFonts w:cstheme="minorHAnsi"/>
        </w:rPr>
        <w:t xml:space="preserve"> nutrition information [Cowburn and Stockley, 2005]. </w:t>
      </w:r>
      <w:r w:rsidRPr="008051C7">
        <w:t xml:space="preserve">This review was one of the first to conclude that, although consumers report high usage of the NFL, actual usage is likely much lower. The studies reviewed showed that consumers could perform information retrieval tasks and simple calculations using the </w:t>
      </w:r>
      <w:r w:rsidRPr="008051C7">
        <w:t>NFL</w:t>
      </w:r>
      <w:r w:rsidRPr="008051C7">
        <w:t xml:space="preserve"> but it was difficult for them to fully interpret nutrition information on the food label. The review concluded that interpretational aids could contribute to consumers making healthy point-of-purchase choices and moreover, that these aids could help consumers interpret the contribution of the food to the overall diet.</w:t>
      </w:r>
    </w:p>
    <w:p w:rsidR="008F5E9D" w:rsidRPr="008051C7" w:rsidP="008F5E9D" w14:paraId="7779534C" w14:textId="77777777">
      <w:pPr>
        <w:spacing w:after="0"/>
        <w:rPr>
          <w:rFonts w:cstheme="minorHAnsi"/>
        </w:rPr>
      </w:pPr>
    </w:p>
    <w:p w:rsidR="00FE6351" w:rsidRPr="008051C7" w:rsidP="008F5E9D" w14:paraId="047D7ED4" w14:textId="279D9C3D">
      <w:pPr>
        <w:spacing w:after="0"/>
      </w:pPr>
      <w:r w:rsidRPr="008051C7">
        <w:rPr>
          <w:rFonts w:cstheme="minorHAnsi"/>
        </w:rPr>
        <w:t xml:space="preserve">The first large systematic review of </w:t>
      </w:r>
      <w:r w:rsidRPr="008051C7" w:rsidR="00F638F1">
        <w:rPr>
          <w:rFonts w:cstheme="minorHAnsi"/>
        </w:rPr>
        <w:t>FOP</w:t>
      </w:r>
      <w:r w:rsidRPr="008051C7">
        <w:rPr>
          <w:rFonts w:cstheme="minorHAnsi"/>
        </w:rPr>
        <w:t xml:space="preserve"> nutrient indicators was conducted by the National Academies of </w:t>
      </w:r>
      <w:r w:rsidRPr="008051C7" w:rsidR="005E4B5A">
        <w:rPr>
          <w:rFonts w:cstheme="minorHAnsi"/>
        </w:rPr>
        <w:t xml:space="preserve">Sciences, Engineering, and Medicine (NASEM, formerly the Institute of Medicine (IOM) IOMa, 2010). </w:t>
      </w:r>
      <w:r w:rsidRPr="008051C7">
        <w:rPr>
          <w:rFonts w:cstheme="minorHAnsi"/>
        </w:rPr>
        <w:t xml:space="preserve">This report, requested by the U.S. Congress, evaluated the international landscape on </w:t>
      </w:r>
      <w:r w:rsidRPr="008051C7" w:rsidR="00F638F1">
        <w:rPr>
          <w:rFonts w:cstheme="minorHAnsi"/>
        </w:rPr>
        <w:t>FOP</w:t>
      </w:r>
      <w:r w:rsidRPr="008051C7">
        <w:rPr>
          <w:rFonts w:cstheme="minorHAnsi"/>
        </w:rPr>
        <w:t xml:space="preserve"> </w:t>
      </w:r>
      <w:r w:rsidRPr="008051C7">
        <w:rPr>
          <w:rFonts w:eastAsia="Times New Roman" w:cs="Arial"/>
          <w:lang w:val="en"/>
        </w:rPr>
        <w:t xml:space="preserve">nutrition symbols generated by manufacturers, supermarkets, organizations, and governments. The report discusses three types of </w:t>
      </w:r>
      <w:r w:rsidRPr="008051C7" w:rsidR="00F638F1">
        <w:rPr>
          <w:rFonts w:eastAsia="Times New Roman" w:cs="Arial"/>
          <w:lang w:val="en"/>
        </w:rPr>
        <w:t>FOP</w:t>
      </w:r>
      <w:r w:rsidRPr="008051C7">
        <w:rPr>
          <w:rFonts w:eastAsia="Times New Roman" w:cs="Arial"/>
          <w:lang w:val="en"/>
        </w:rPr>
        <w:t xml:space="preserve"> symbols: 1) </w:t>
      </w:r>
      <w:r w:rsidRPr="008051C7">
        <w:rPr>
          <w:rFonts w:cs="Helvetica"/>
        </w:rPr>
        <w:t xml:space="preserve">Nutrient-Specific Systems; 2) Summary Indicator Systems; and 3) Food Group Information Systems. The overall conclusion was that a </w:t>
      </w:r>
      <w:r w:rsidRPr="008051C7" w:rsidR="00F638F1">
        <w:rPr>
          <w:rFonts w:cs="Helvetica"/>
        </w:rPr>
        <w:t>FOP</w:t>
      </w:r>
      <w:r w:rsidRPr="008051C7">
        <w:rPr>
          <w:rFonts w:cs="Helvetica"/>
        </w:rPr>
        <w:t xml:space="preserve"> rating system or symbol could help consumers identify and select healthy foods, that calories and serving size would be helpful to include in the symbol, and that further testing of consumer use and understanding of “nutrient-specific information” or a “summary indicator” would be necessary. The </w:t>
      </w:r>
      <w:r w:rsidRPr="008051C7" w:rsidR="005E4B5A">
        <w:rPr>
          <w:rFonts w:cs="Helvetica"/>
        </w:rPr>
        <w:t>NASEM</w:t>
      </w:r>
      <w:r w:rsidRPr="008051C7">
        <w:rPr>
          <w:rFonts w:cs="Helvetica"/>
        </w:rPr>
        <w:t xml:space="preserve"> report also concluded that a </w:t>
      </w:r>
      <w:r w:rsidRPr="008051C7" w:rsidR="00F638F1">
        <w:rPr>
          <w:rFonts w:cs="Helvetica"/>
        </w:rPr>
        <w:t>FOP</w:t>
      </w:r>
      <w:r w:rsidRPr="008051C7">
        <w:rPr>
          <w:rFonts w:cs="Helvetica"/>
        </w:rPr>
        <w:t xml:space="preserve"> symbol should be geared toward the general population.</w:t>
      </w:r>
    </w:p>
    <w:p w:rsidR="008F5E9D" w:rsidRPr="008051C7" w:rsidP="008F5E9D" w14:paraId="5D773400" w14:textId="77777777">
      <w:pPr>
        <w:spacing w:after="0"/>
        <w:rPr>
          <w:rFonts w:cstheme="minorHAnsi"/>
        </w:rPr>
      </w:pPr>
    </w:p>
    <w:p w:rsidR="00FE6351" w:rsidRPr="008051C7" w:rsidP="008F5E9D" w14:paraId="4112CB8D" w14:textId="567182E4">
      <w:pPr>
        <w:spacing w:after="0"/>
        <w:rPr>
          <w:rFonts w:cstheme="minorHAnsi"/>
        </w:rPr>
      </w:pPr>
      <w:r w:rsidRPr="008051C7">
        <w:rPr>
          <w:rFonts w:cstheme="minorHAnsi"/>
        </w:rPr>
        <w:t xml:space="preserve">The </w:t>
      </w:r>
      <w:r w:rsidRPr="008051C7" w:rsidR="005E4B5A">
        <w:rPr>
          <w:rFonts w:cstheme="minorHAnsi"/>
        </w:rPr>
        <w:t>NASEM</w:t>
      </w:r>
      <w:r w:rsidRPr="008051C7">
        <w:rPr>
          <w:rFonts w:cstheme="minorHAnsi"/>
        </w:rPr>
        <w:t xml:space="preserve"> followed up the report with a Phase II report (IOMb, 2012), focused on consumers’ use of </w:t>
      </w:r>
      <w:r w:rsidRPr="008051C7" w:rsidR="00F638F1">
        <w:rPr>
          <w:rFonts w:cstheme="minorHAnsi"/>
        </w:rPr>
        <w:t>FOP</w:t>
      </w:r>
      <w:r w:rsidRPr="008051C7">
        <w:rPr>
          <w:rFonts w:cstheme="minorHAnsi"/>
        </w:rPr>
        <w:t xml:space="preserve"> symbols. The Phase II report concluded that, for a </w:t>
      </w:r>
      <w:r w:rsidRPr="008051C7" w:rsidR="00F638F1">
        <w:rPr>
          <w:rFonts w:cstheme="minorHAnsi"/>
        </w:rPr>
        <w:t>FOP</w:t>
      </w:r>
      <w:r w:rsidRPr="008051C7">
        <w:rPr>
          <w:rFonts w:cstheme="minorHAnsi"/>
        </w:rPr>
        <w:t xml:space="preserve"> symbol to encourage healthier food choices, a simple </w:t>
      </w:r>
      <w:r w:rsidRPr="008051C7" w:rsidR="00F638F1">
        <w:rPr>
          <w:rFonts w:cstheme="minorHAnsi"/>
        </w:rPr>
        <w:t>FOP</w:t>
      </w:r>
      <w:r w:rsidRPr="008051C7">
        <w:rPr>
          <w:rFonts w:cstheme="minorHAnsi"/>
        </w:rPr>
        <w:t xml:space="preserve"> summary symbol “…that serves as a signal or cue…” would be better than detailed information about nutrient content; the Phase II report recommended “…shifting from an informational approach to an interpretive one…,” and asserted that a successful symbol system would encourage product reformulation or development of products that meet the criteria.</w:t>
      </w:r>
    </w:p>
    <w:p w:rsidR="008F5E9D" w:rsidRPr="008051C7" w:rsidP="008F5E9D" w14:paraId="0917BB1D" w14:textId="77777777">
      <w:pPr>
        <w:spacing w:after="0"/>
        <w:rPr>
          <w:rFonts w:cstheme="minorHAnsi"/>
        </w:rPr>
      </w:pPr>
    </w:p>
    <w:p w:rsidR="00FE6351" w:rsidRPr="008051C7" w:rsidP="008F5E9D" w14:paraId="6E7207AC" w14:textId="0CD37584">
      <w:pPr>
        <w:spacing w:after="0"/>
      </w:pPr>
      <w:r w:rsidRPr="008051C7">
        <w:rPr>
          <w:rFonts w:cstheme="minorHAnsi"/>
        </w:rPr>
        <w:t>Meanwhile, FDA commissioned a literature review to update the 2005 literature review discussed above. The 2011 FDA review (published by Hersey, et al</w:t>
      </w:r>
      <w:r w:rsidRPr="008051C7" w:rsidR="001F6E34">
        <w:rPr>
          <w:rFonts w:cstheme="minorHAnsi"/>
        </w:rPr>
        <w:t>.</w:t>
      </w:r>
      <w:r w:rsidRPr="008051C7">
        <w:rPr>
          <w:rFonts w:cstheme="minorHAnsi"/>
        </w:rPr>
        <w:t xml:space="preserve"> 2013) consisted solely of scientific studies on </w:t>
      </w:r>
      <w:r w:rsidRPr="008051C7" w:rsidR="00F638F1">
        <w:rPr>
          <w:rFonts w:cstheme="minorHAnsi"/>
        </w:rPr>
        <w:t>FOP</w:t>
      </w:r>
      <w:r w:rsidRPr="008051C7">
        <w:rPr>
          <w:rFonts w:cstheme="minorHAnsi"/>
        </w:rPr>
        <w:t xml:space="preserve"> and Shelf Label Nutrition Systems - </w:t>
      </w:r>
      <w:r w:rsidRPr="008051C7">
        <w:t xml:space="preserve">to learn which types of </w:t>
      </w:r>
      <w:r w:rsidRPr="008051C7" w:rsidR="00F638F1">
        <w:t>FOP</w:t>
      </w:r>
      <w:r w:rsidRPr="008051C7">
        <w:t xml:space="preserve"> systems are most effective for influencing healthy food choices. Analysts searched 17 literature databases (e.g., PubMed, Web of </w:t>
      </w:r>
      <w:r w:rsidRPr="008051C7">
        <w:t xml:space="preserve">Science, ScienceDirect) using a targeted search algorithm. Thirty-eight out of 111 articles were retained for inclusion in the review. This literature review found that summary systems incorporating text and color worked better than those using only numeric information in attracting consumer attention and getting them to make healthier food choices - but that the nutrient-specific systems (the reductive indicators) worked better than the single summaries for providing consumers with details about what made the food healthy. </w:t>
      </w:r>
    </w:p>
    <w:p w:rsidR="008F5E9D" w:rsidRPr="008051C7" w:rsidP="008F5E9D" w14:paraId="279D3DE8" w14:textId="77777777">
      <w:pPr>
        <w:spacing w:after="0"/>
        <w:rPr>
          <w:rFonts w:cstheme="minorHAnsi"/>
        </w:rPr>
      </w:pPr>
    </w:p>
    <w:p w:rsidR="00FE6351" w:rsidRPr="008051C7" w:rsidP="00FE6351" w14:paraId="565CC0D3" w14:textId="1CF52EC2">
      <w:pPr>
        <w:spacing w:after="0"/>
        <w:rPr>
          <w:rFonts w:cstheme="minorHAnsi"/>
          <w:b/>
        </w:rPr>
      </w:pPr>
      <w:r w:rsidRPr="008051C7">
        <w:rPr>
          <w:rFonts w:cstheme="minorHAnsi"/>
        </w:rPr>
        <w:t xml:space="preserve">In 2016, FDA commissioned an update to the 2011 literature review discussed in the previous paragraph. This update captured the scientific literature on </w:t>
      </w:r>
      <w:r w:rsidRPr="008051C7" w:rsidR="00F638F1">
        <w:rPr>
          <w:rFonts w:cstheme="minorHAnsi"/>
        </w:rPr>
        <w:t>FOP</w:t>
      </w:r>
      <w:r w:rsidRPr="008051C7">
        <w:rPr>
          <w:rFonts w:cstheme="minorHAnsi"/>
        </w:rPr>
        <w:t xml:space="preserve"> from 2010 to August 2016 (RTI, 2016). Following the format of the previous literature reviews, the Addendum examined 79 articles and summarized them using the same categories identified in earlier reviews. Similar to previous reviews, the Addendum reported that 1) the literature suggests that graphic elements help consumers with food purchase decisions; 2) consumers – especially diverse subpopulations - prefer simple labels over those that have numerical information; 3) color coding with some text leads to better understanding of the nutrition information; 4) there is not enough evidence to indicate exactly which type of </w:t>
      </w:r>
      <w:r w:rsidRPr="008051C7" w:rsidR="00F638F1">
        <w:rPr>
          <w:rFonts w:cstheme="minorHAnsi"/>
        </w:rPr>
        <w:t>FOP</w:t>
      </w:r>
      <w:r w:rsidRPr="008051C7">
        <w:rPr>
          <w:rFonts w:cstheme="minorHAnsi"/>
        </w:rPr>
        <w:t xml:space="preserve"> label most influences consumers behavior; and 5) there is some evidence that </w:t>
      </w:r>
      <w:r w:rsidRPr="008051C7" w:rsidR="00F638F1">
        <w:rPr>
          <w:rFonts w:cstheme="minorHAnsi"/>
        </w:rPr>
        <w:t>FOP</w:t>
      </w:r>
      <w:r w:rsidRPr="008051C7">
        <w:rPr>
          <w:rFonts w:cstheme="minorHAnsi"/>
        </w:rPr>
        <w:t xml:space="preserve"> labels influence sales but no evidence on whether they lead to decreasing consumption of nutrients to limit or increasing consumption of nutrients to get enough of.</w:t>
      </w:r>
    </w:p>
    <w:p w:rsidR="00FE6351" w:rsidRPr="008051C7" w:rsidP="00FE6351" w14:paraId="3F5E4CCC" w14:textId="77777777">
      <w:pPr>
        <w:spacing w:after="0"/>
        <w:rPr>
          <w:rFonts w:cstheme="minorHAnsi"/>
          <w:b/>
        </w:rPr>
      </w:pPr>
    </w:p>
    <w:p w:rsidR="00FE6351" w:rsidRPr="008051C7" w:rsidP="008F5E9D" w14:paraId="1FB50866" w14:textId="55AA4E98">
      <w:pPr>
        <w:pStyle w:val="Heading2"/>
      </w:pPr>
      <w:bookmarkStart w:id="5" w:name="_Toc115261522"/>
      <w:r w:rsidRPr="008051C7">
        <w:t xml:space="preserve">Results of Key Systematic Reviews </w:t>
      </w:r>
      <w:r w:rsidRPr="008051C7">
        <w:t xml:space="preserve">(2016 to </w:t>
      </w:r>
      <w:r w:rsidRPr="008051C7" w:rsidR="007139B5">
        <w:t>201</w:t>
      </w:r>
      <w:r w:rsidRPr="008051C7" w:rsidR="001C0C66">
        <w:t>8</w:t>
      </w:r>
      <w:r w:rsidRPr="008051C7">
        <w:t>)</w:t>
      </w:r>
      <w:bookmarkEnd w:id="5"/>
    </w:p>
    <w:p w:rsidR="00FE6351" w:rsidRPr="008051C7" w:rsidP="008F5E9D" w14:paraId="7F10062B" w14:textId="6F61901F">
      <w:pPr>
        <w:spacing w:after="0"/>
        <w:rPr>
          <w:rFonts w:cstheme="minorHAnsi"/>
        </w:rPr>
      </w:pPr>
      <w:r w:rsidRPr="008051C7">
        <w:rPr>
          <w:rFonts w:cstheme="minorHAnsi"/>
        </w:rPr>
        <w:t xml:space="preserve">The FDA updated the 2016 </w:t>
      </w:r>
      <w:r w:rsidRPr="008051C7" w:rsidR="00F638F1">
        <w:rPr>
          <w:rFonts w:cstheme="minorHAnsi"/>
        </w:rPr>
        <w:t>FOP</w:t>
      </w:r>
      <w:r w:rsidRPr="008051C7">
        <w:rPr>
          <w:rFonts w:cstheme="minorHAnsi"/>
        </w:rPr>
        <w:t xml:space="preserve"> literature review by reviewing the scientific literature on </w:t>
      </w:r>
      <w:r w:rsidRPr="008051C7" w:rsidR="00F638F1">
        <w:rPr>
          <w:rFonts w:cstheme="minorHAnsi"/>
        </w:rPr>
        <w:t>FOP</w:t>
      </w:r>
      <w:r w:rsidRPr="008051C7">
        <w:rPr>
          <w:rFonts w:cstheme="minorHAnsi"/>
        </w:rPr>
        <w:t xml:space="preserve"> from August 2016 to October 2018, using the same targeted database search algorithm and the analytical categories used in earlier reviews. Fifty-one scientific articles on </w:t>
      </w:r>
      <w:r w:rsidRPr="008051C7" w:rsidR="00F638F1">
        <w:rPr>
          <w:rFonts w:cstheme="minorHAnsi"/>
        </w:rPr>
        <w:t>FOP</w:t>
      </w:r>
      <w:r w:rsidRPr="008051C7">
        <w:rPr>
          <w:rFonts w:cstheme="minorHAnsi"/>
        </w:rPr>
        <w:t xml:space="preserve"> were analyzed for this </w:t>
      </w:r>
      <w:r w:rsidRPr="008051C7" w:rsidR="00F638F1">
        <w:rPr>
          <w:rFonts w:cstheme="minorHAnsi"/>
        </w:rPr>
        <w:t>FOP</w:t>
      </w:r>
      <w:r w:rsidRPr="008051C7">
        <w:rPr>
          <w:rFonts w:cstheme="minorHAnsi"/>
        </w:rPr>
        <w:t xml:space="preserve"> literature update. Table 1 below presents the highlights and conclusions of this literature review by analytical category.  </w:t>
      </w:r>
    </w:p>
    <w:p w:rsidR="00FE6351" w:rsidRPr="008051C7" w:rsidP="00FE6351" w14:paraId="24C9AD03" w14:textId="77777777">
      <w:pPr>
        <w:spacing w:after="0"/>
        <w:rPr>
          <w:rFonts w:cstheme="minorHAnsi"/>
          <w:sz w:val="24"/>
          <w:szCs w:val="24"/>
        </w:rPr>
      </w:pPr>
    </w:p>
    <w:p w:rsidR="00FE6351" w:rsidRPr="008051C7" w:rsidP="00FE6351" w14:paraId="67FF1CA3" w14:textId="7934D075">
      <w:pPr>
        <w:spacing w:after="0"/>
        <w:rPr>
          <w:rFonts w:cstheme="minorHAnsi"/>
        </w:rPr>
      </w:pPr>
      <w:r w:rsidRPr="008051C7">
        <w:rPr>
          <w:rFonts w:cstheme="minorHAnsi"/>
        </w:rPr>
        <w:t xml:space="preserve">Table 1. Highlights and Conclusions of updated </w:t>
      </w:r>
      <w:r w:rsidRPr="008051C7" w:rsidR="00F638F1">
        <w:rPr>
          <w:rFonts w:cstheme="minorHAnsi"/>
        </w:rPr>
        <w:t>FOP</w:t>
      </w:r>
      <w:r w:rsidRPr="008051C7">
        <w:rPr>
          <w:rFonts w:cstheme="minorHAnsi"/>
        </w:rPr>
        <w:t xml:space="preserve"> nutrition labeling literature by analytical category (August 2016 to October 2018)</w:t>
      </w:r>
    </w:p>
    <w:p w:rsidR="00D605B9" w:rsidRPr="008051C7" w:rsidP="00FE6351" w14:paraId="40FA7D2B" w14:textId="77777777">
      <w:pPr>
        <w:spacing w:after="0"/>
        <w:rPr>
          <w:rFonts w:cstheme="minorHAnsi"/>
        </w:rPr>
      </w:pPr>
    </w:p>
    <w:tbl>
      <w:tblPr>
        <w:tblStyle w:val="TableGrid"/>
        <w:tblW w:w="0" w:type="auto"/>
        <w:tblInd w:w="-5" w:type="dxa"/>
        <w:tblLook w:val="04A0"/>
      </w:tblPr>
      <w:tblGrid>
        <w:gridCol w:w="1710"/>
        <w:gridCol w:w="7645"/>
      </w:tblGrid>
      <w:tr w14:paraId="7EBCB63E" w14:textId="77777777" w:rsidTr="4C9BFAA2">
        <w:tblPrEx>
          <w:tblW w:w="0" w:type="auto"/>
          <w:tblInd w:w="-5" w:type="dxa"/>
          <w:tblLook w:val="04A0"/>
        </w:tblPrEx>
        <w:trPr>
          <w:tblHeader/>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FE6351" w:rsidRPr="008051C7" w:rsidP="009C5286" w14:paraId="64A0C04C" w14:textId="12A0D9AC">
            <w:pPr>
              <w:jc w:val="center"/>
              <w:rPr>
                <w:rFonts w:asciiTheme="minorHAnsi" w:hAnsiTheme="minorHAnsi" w:cstheme="minorHAnsi"/>
                <w:b/>
                <w:caps/>
                <w:sz w:val="24"/>
                <w:szCs w:val="24"/>
              </w:rPr>
            </w:pPr>
            <w:r w:rsidRPr="008051C7">
              <w:rPr>
                <w:rFonts w:asciiTheme="minorHAnsi" w:hAnsiTheme="minorHAnsi" w:cstheme="minorHAnsi"/>
                <w:b/>
                <w:caps/>
                <w:sz w:val="24"/>
                <w:szCs w:val="24"/>
              </w:rPr>
              <w:t>A</w:t>
            </w:r>
            <w:r w:rsidRPr="008051C7">
              <w:rPr>
                <w:rFonts w:cstheme="minorHAnsi"/>
                <w:b/>
                <w:caps/>
                <w:sz w:val="24"/>
                <w:szCs w:val="24"/>
              </w:rPr>
              <w:t>nalytical category</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FE6351" w:rsidRPr="008051C7" w:rsidP="009C5286" w14:paraId="05FE101C" w14:textId="77777777">
            <w:pPr>
              <w:jc w:val="center"/>
              <w:rPr>
                <w:rFonts w:asciiTheme="minorHAnsi" w:hAnsiTheme="minorHAnsi" w:cstheme="minorHAnsi"/>
                <w:b/>
                <w:caps/>
                <w:sz w:val="24"/>
                <w:szCs w:val="24"/>
              </w:rPr>
            </w:pPr>
            <w:r w:rsidRPr="008051C7">
              <w:rPr>
                <w:rFonts w:asciiTheme="minorHAnsi" w:hAnsiTheme="minorHAnsi" w:cstheme="minorHAnsi"/>
                <w:b/>
                <w:caps/>
                <w:sz w:val="24"/>
                <w:szCs w:val="24"/>
              </w:rPr>
              <w:t>Highlights and conclusions</w:t>
            </w:r>
          </w:p>
        </w:tc>
      </w:tr>
      <w:tr w14:paraId="55C3C0AA" w14:textId="77777777" w:rsidTr="4C9BFAA2">
        <w:tblPrEx>
          <w:tblW w:w="0" w:type="auto"/>
          <w:tblInd w:w="-5" w:type="dxa"/>
          <w:tblLook w:val="04A0"/>
        </w:tblPrEx>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351" w:rsidRPr="00C165B3" w:rsidP="009C5286" w14:paraId="28A871F2" w14:textId="77777777">
            <w:pPr>
              <w:rPr>
                <w:b/>
                <w:sz w:val="24"/>
                <w:szCs w:val="24"/>
              </w:rPr>
            </w:pPr>
          </w:p>
          <w:p w:rsidR="00FE6351" w:rsidRPr="00C165B3" w:rsidP="009C5286" w14:paraId="6128097C" w14:textId="77777777">
            <w:pPr>
              <w:rPr>
                <w:rFonts w:asciiTheme="minorHAnsi" w:hAnsiTheme="minorHAnsi" w:cstheme="minorHAnsi"/>
                <w:b/>
                <w:sz w:val="24"/>
                <w:szCs w:val="24"/>
              </w:rPr>
            </w:pPr>
            <w:r w:rsidRPr="00C165B3">
              <w:rPr>
                <w:b/>
                <w:sz w:val="24"/>
                <w:szCs w:val="24"/>
              </w:rPr>
              <w:t>Attention and Processing</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351" w:rsidRPr="00C165B3" w:rsidP="009C5286" w14:paraId="5800B934" w14:textId="12DB077B">
            <w:pPr>
              <w:pStyle w:val="ListParagraph"/>
              <w:numPr>
                <w:ilvl w:val="0"/>
                <w:numId w:val="2"/>
              </w:numPr>
              <w:rPr>
                <w:rFonts w:asciiTheme="minorHAnsi" w:hAnsiTheme="minorHAnsi" w:cstheme="minorHAnsi"/>
                <w:sz w:val="22"/>
              </w:rPr>
            </w:pPr>
            <w:r w:rsidRPr="00C165B3">
              <w:rPr>
                <w:rFonts w:asciiTheme="minorHAnsi" w:hAnsiTheme="minorHAnsi" w:cstheme="minorHAnsi"/>
                <w:sz w:val="22"/>
              </w:rPr>
              <w:t xml:space="preserve">Multiple </w:t>
            </w:r>
            <w:r w:rsidRPr="00C165B3" w:rsidR="00F638F1">
              <w:rPr>
                <w:rFonts w:asciiTheme="minorHAnsi" w:hAnsiTheme="minorHAnsi" w:cstheme="minorHAnsi"/>
                <w:sz w:val="22"/>
              </w:rPr>
              <w:t>FOP</w:t>
            </w:r>
            <w:r w:rsidRPr="00C165B3">
              <w:rPr>
                <w:rFonts w:asciiTheme="minorHAnsi" w:hAnsiTheme="minorHAnsi" w:cstheme="minorHAnsi"/>
                <w:sz w:val="22"/>
              </w:rPr>
              <w:t xml:space="preserve"> labeling systems were examined in the identified studies, including: Multiple Traffic Light, Guideline Daily Amounts, 5-Color Nutrition Label (a summary system proposed to France Health Minister, which later was updated to Nutri</w:t>
            </w:r>
            <w:r w:rsidRPr="00C165B3" w:rsidR="004B6E26">
              <w:rPr>
                <w:rFonts w:asciiTheme="minorHAnsi" w:hAnsiTheme="minorHAnsi" w:cstheme="minorHAnsi"/>
                <w:sz w:val="22"/>
              </w:rPr>
              <w:t>-Sc</w:t>
            </w:r>
            <w:r w:rsidRPr="00C165B3">
              <w:rPr>
                <w:rFonts w:asciiTheme="minorHAnsi" w:hAnsiTheme="minorHAnsi" w:cstheme="minorHAnsi"/>
                <w:sz w:val="22"/>
              </w:rPr>
              <w:t xml:space="preserve">ore), Guiding Stars, Health Star Rating, Health checks, NuVal, Logos, and warning signs. </w:t>
            </w:r>
          </w:p>
          <w:p w:rsidR="00FE6351" w:rsidRPr="00C165B3" w:rsidP="009C5286" w14:paraId="2ECDF3F5" w14:textId="20A274FE">
            <w:pPr>
              <w:pStyle w:val="ListParagraph"/>
              <w:numPr>
                <w:ilvl w:val="0"/>
                <w:numId w:val="2"/>
              </w:numPr>
              <w:spacing w:after="200" w:line="276" w:lineRule="auto"/>
              <w:rPr>
                <w:rFonts w:asciiTheme="minorHAnsi" w:hAnsiTheme="minorHAnsi" w:cstheme="minorHAnsi"/>
                <w:sz w:val="22"/>
              </w:rPr>
            </w:pPr>
            <w:r w:rsidRPr="00C165B3">
              <w:rPr>
                <w:rFonts w:asciiTheme="minorHAnsi" w:hAnsiTheme="minorHAnsi" w:cstheme="minorHAnsi"/>
                <w:sz w:val="22"/>
              </w:rPr>
              <w:t xml:space="preserve">Studies have shown that </w:t>
            </w:r>
            <w:r w:rsidRPr="00C165B3" w:rsidR="00F638F1">
              <w:rPr>
                <w:rFonts w:asciiTheme="minorHAnsi" w:hAnsiTheme="minorHAnsi" w:cstheme="minorHAnsi"/>
                <w:sz w:val="22"/>
              </w:rPr>
              <w:t>FOP</w:t>
            </w:r>
            <w:r w:rsidRPr="00C165B3">
              <w:rPr>
                <w:rFonts w:asciiTheme="minorHAnsi" w:hAnsiTheme="minorHAnsi" w:cstheme="minorHAnsi"/>
                <w:sz w:val="22"/>
              </w:rPr>
              <w:t xml:space="preserve">s, health claims, and warnings all drew consumers’ attention. Whether consumers noticed </w:t>
            </w:r>
            <w:r w:rsidRPr="00C165B3" w:rsidR="00F638F1">
              <w:rPr>
                <w:rFonts w:asciiTheme="minorHAnsi" w:hAnsiTheme="minorHAnsi" w:cstheme="minorHAnsi"/>
                <w:sz w:val="22"/>
              </w:rPr>
              <w:t>FOP</w:t>
            </w:r>
            <w:r w:rsidRPr="00C165B3">
              <w:rPr>
                <w:rFonts w:asciiTheme="minorHAnsi" w:hAnsiTheme="minorHAnsi" w:cstheme="minorHAnsi"/>
                <w:sz w:val="22"/>
              </w:rPr>
              <w:t xml:space="preserve">s and how much attention consumers attribute to </w:t>
            </w:r>
            <w:r w:rsidRPr="00C165B3" w:rsidR="00F638F1">
              <w:rPr>
                <w:rFonts w:asciiTheme="minorHAnsi" w:hAnsiTheme="minorHAnsi" w:cstheme="minorHAnsi"/>
                <w:sz w:val="22"/>
              </w:rPr>
              <w:t>FOP</w:t>
            </w:r>
            <w:r w:rsidRPr="00C165B3">
              <w:rPr>
                <w:rFonts w:asciiTheme="minorHAnsi" w:hAnsiTheme="minorHAnsi" w:cstheme="minorHAnsi"/>
                <w:sz w:val="22"/>
              </w:rPr>
              <w:t xml:space="preserve">s varied by different factors (such as the type of </w:t>
            </w:r>
            <w:r w:rsidRPr="00C165B3" w:rsidR="00F638F1">
              <w:rPr>
                <w:rFonts w:asciiTheme="minorHAnsi" w:hAnsiTheme="minorHAnsi" w:cstheme="minorHAnsi"/>
                <w:sz w:val="22"/>
              </w:rPr>
              <w:t>FOP</w:t>
            </w:r>
            <w:r w:rsidRPr="00C165B3">
              <w:rPr>
                <w:rFonts w:asciiTheme="minorHAnsi" w:hAnsiTheme="minorHAnsi" w:cstheme="minorHAnsi"/>
                <w:sz w:val="22"/>
              </w:rPr>
              <w:t xml:space="preserve">, the design of </w:t>
            </w:r>
            <w:r w:rsidRPr="00C165B3" w:rsidR="00F638F1">
              <w:rPr>
                <w:rFonts w:asciiTheme="minorHAnsi" w:hAnsiTheme="minorHAnsi" w:cstheme="minorHAnsi"/>
                <w:sz w:val="22"/>
              </w:rPr>
              <w:t>FOP</w:t>
            </w:r>
            <w:r w:rsidRPr="00C165B3">
              <w:rPr>
                <w:rFonts w:asciiTheme="minorHAnsi" w:hAnsiTheme="minorHAnsi" w:cstheme="minorHAnsi"/>
                <w:sz w:val="22"/>
              </w:rPr>
              <w:t xml:space="preserve">, and the presence of educational effort). Furthermore, the interaction between </w:t>
            </w:r>
            <w:r w:rsidRPr="00C165B3" w:rsidR="00F638F1">
              <w:rPr>
                <w:rFonts w:asciiTheme="minorHAnsi" w:hAnsiTheme="minorHAnsi" w:cstheme="minorHAnsi"/>
                <w:sz w:val="22"/>
              </w:rPr>
              <w:t>FOP</w:t>
            </w:r>
            <w:r w:rsidRPr="00C165B3">
              <w:rPr>
                <w:rFonts w:asciiTheme="minorHAnsi" w:hAnsiTheme="minorHAnsi" w:cstheme="minorHAnsi"/>
                <w:sz w:val="22"/>
              </w:rPr>
              <w:t xml:space="preserve">s and other marketing components on the package was emphasized. </w:t>
            </w:r>
          </w:p>
          <w:p w:rsidR="00FE6351" w:rsidRPr="00C165B3" w:rsidP="009C5286" w14:paraId="2E14BF58" w14:textId="4ABC84FC">
            <w:pPr>
              <w:pStyle w:val="ListParagraph"/>
              <w:numPr>
                <w:ilvl w:val="0"/>
                <w:numId w:val="2"/>
              </w:numPr>
              <w:spacing w:after="200" w:line="276" w:lineRule="auto"/>
              <w:rPr>
                <w:rFonts w:asciiTheme="minorHAnsi" w:hAnsiTheme="minorHAnsi" w:cstheme="minorBidi"/>
                <w:sz w:val="22"/>
                <w:szCs w:val="22"/>
              </w:rPr>
            </w:pPr>
            <w:r w:rsidRPr="00C165B3">
              <w:rPr>
                <w:rFonts w:asciiTheme="minorHAnsi" w:hAnsiTheme="minorHAnsi" w:cstheme="minorBidi"/>
                <w:sz w:val="22"/>
                <w:szCs w:val="22"/>
              </w:rPr>
              <w:t>One study (De la Cruz-Gongora et al.</w:t>
            </w:r>
            <w:r w:rsidRPr="00C165B3" w:rsidR="00307B93">
              <w:rPr>
                <w:rFonts w:asciiTheme="minorHAnsi" w:hAnsiTheme="minorHAnsi" w:cstheme="minorBidi"/>
                <w:sz w:val="22"/>
                <w:szCs w:val="22"/>
              </w:rPr>
              <w:t xml:space="preserve"> 2017</w:t>
            </w:r>
            <w:r w:rsidRPr="00C165B3">
              <w:rPr>
                <w:rFonts w:asciiTheme="minorHAnsi" w:hAnsiTheme="minorHAnsi" w:cstheme="minorBidi"/>
                <w:sz w:val="22"/>
                <w:szCs w:val="22"/>
              </w:rPr>
              <w:t xml:space="preserve">) found that </w:t>
            </w:r>
            <w:r w:rsidRPr="00C165B3" w:rsidR="50434C8E">
              <w:rPr>
                <w:rFonts w:asciiTheme="minorHAnsi" w:hAnsiTheme="minorHAnsi" w:cstheme="minorBidi"/>
                <w:sz w:val="22"/>
                <w:szCs w:val="22"/>
              </w:rPr>
              <w:t>FOP symbols</w:t>
            </w:r>
            <w:r w:rsidRPr="00C165B3" w:rsidR="0A2E4B6D">
              <w:rPr>
                <w:rFonts w:asciiTheme="minorHAnsi" w:hAnsiTheme="minorHAnsi" w:cstheme="minorBidi"/>
                <w:sz w:val="22"/>
                <w:szCs w:val="22"/>
              </w:rPr>
              <w:t xml:space="preserve"> </w:t>
            </w:r>
            <w:r w:rsidRPr="00C165B3">
              <w:rPr>
                <w:rFonts w:asciiTheme="minorHAnsi" w:hAnsiTheme="minorHAnsi" w:cstheme="minorBidi"/>
                <w:sz w:val="22"/>
                <w:szCs w:val="22"/>
              </w:rPr>
              <w:t>were perceived as easy to understand, highly acceptable, and useful for decision making, compared to Rating Stars, Guideline Daily A</w:t>
            </w:r>
            <w:r w:rsidRPr="00C165B3" w:rsidR="004B6E26">
              <w:rPr>
                <w:rFonts w:asciiTheme="minorHAnsi" w:hAnsiTheme="minorHAnsi" w:cstheme="minorBidi"/>
                <w:sz w:val="22"/>
                <w:szCs w:val="22"/>
              </w:rPr>
              <w:t>mounts</w:t>
            </w:r>
            <w:r w:rsidRPr="00C165B3">
              <w:rPr>
                <w:rFonts w:asciiTheme="minorHAnsi" w:hAnsiTheme="minorHAnsi" w:cstheme="minorBidi"/>
                <w:sz w:val="22"/>
                <w:szCs w:val="22"/>
              </w:rPr>
              <w:t>,</w:t>
            </w:r>
            <w:r w:rsidRPr="008051C7">
              <w:rPr>
                <w:rFonts w:asciiTheme="minorHAnsi" w:hAnsiTheme="minorHAnsi" w:cstheme="minorBidi"/>
                <w:sz w:val="22"/>
                <w:szCs w:val="22"/>
              </w:rPr>
              <w:t xml:space="preserve"> </w:t>
            </w:r>
            <w:r w:rsidRPr="00C165B3">
              <w:rPr>
                <w:rFonts w:asciiTheme="minorHAnsi" w:hAnsiTheme="minorHAnsi" w:cstheme="minorBidi"/>
                <w:sz w:val="22"/>
                <w:szCs w:val="22"/>
              </w:rPr>
              <w:t xml:space="preserve">and Multiple Traffic Light. </w:t>
            </w:r>
          </w:p>
          <w:p w:rsidR="00FE6351" w:rsidRPr="00C165B3" w:rsidP="009C5286" w14:paraId="6CFD556D" w14:textId="21459515">
            <w:pPr>
              <w:pStyle w:val="ListParagraph"/>
              <w:numPr>
                <w:ilvl w:val="0"/>
                <w:numId w:val="2"/>
              </w:numPr>
              <w:spacing w:after="200" w:line="276" w:lineRule="auto"/>
              <w:rPr>
                <w:rFonts w:asciiTheme="minorHAnsi" w:hAnsiTheme="minorHAnsi" w:cstheme="minorHAnsi"/>
                <w:sz w:val="22"/>
              </w:rPr>
            </w:pPr>
            <w:r w:rsidRPr="00C165B3">
              <w:rPr>
                <w:rFonts w:asciiTheme="minorHAnsi" w:hAnsiTheme="minorHAnsi" w:cstheme="minorHAnsi"/>
                <w:sz w:val="22"/>
              </w:rPr>
              <w:t>FOP</w:t>
            </w:r>
            <w:r w:rsidRPr="00C165B3">
              <w:rPr>
                <w:rFonts w:asciiTheme="minorHAnsi" w:hAnsiTheme="minorHAnsi" w:cstheme="minorHAnsi"/>
                <w:sz w:val="22"/>
              </w:rPr>
              <w:t xml:space="preserve"> labels are used differently depending on time pressure. One study (Reis et al.</w:t>
            </w:r>
            <w:r w:rsidRPr="00C165B3" w:rsidR="009530EC">
              <w:rPr>
                <w:rFonts w:asciiTheme="minorHAnsi" w:hAnsiTheme="minorHAnsi" w:cstheme="minorHAnsi"/>
                <w:sz w:val="22"/>
              </w:rPr>
              <w:t xml:space="preserve"> 2016</w:t>
            </w:r>
            <w:r w:rsidRPr="00C165B3">
              <w:rPr>
                <w:rFonts w:asciiTheme="minorHAnsi" w:hAnsiTheme="minorHAnsi" w:cstheme="minorHAnsi"/>
                <w:sz w:val="22"/>
              </w:rPr>
              <w:t>) looked at how time-constraint plays a role in consumers’ attention process and found that while time-constraint did not largely change the way consumers visually processed images of bottled products, it was linked to more fixating time on the information that differentiates among labels (</w:t>
            </w:r>
            <w:r w:rsidRPr="00C165B3">
              <w:rPr>
                <w:rFonts w:asciiTheme="minorHAnsi" w:hAnsiTheme="minorHAnsi" w:cstheme="minorHAnsi"/>
                <w:sz w:val="22"/>
              </w:rPr>
              <w:t>FOP</w:t>
            </w:r>
            <w:r w:rsidRPr="00C165B3">
              <w:rPr>
                <w:rFonts w:asciiTheme="minorHAnsi" w:hAnsiTheme="minorHAnsi" w:cstheme="minorHAnsi"/>
                <w:sz w:val="22"/>
              </w:rPr>
              <w:t>, nutrition claim, and processing claim). Another study (Sanjari et al.</w:t>
            </w:r>
            <w:r w:rsidRPr="00C165B3" w:rsidR="00FB0DCC">
              <w:rPr>
                <w:rFonts w:asciiTheme="minorHAnsi" w:hAnsiTheme="minorHAnsi" w:cstheme="minorHAnsi"/>
                <w:sz w:val="22"/>
              </w:rPr>
              <w:t xml:space="preserve"> 2017</w:t>
            </w:r>
            <w:r w:rsidRPr="00C165B3">
              <w:rPr>
                <w:rFonts w:asciiTheme="minorHAnsi" w:hAnsiTheme="minorHAnsi" w:cstheme="minorHAnsi"/>
                <w:sz w:val="22"/>
              </w:rPr>
              <w:t xml:space="preserve">) found that time pressure interacts on consumers’ processing mode. </w:t>
            </w:r>
          </w:p>
          <w:p w:rsidR="00FE6351" w:rsidRPr="00C165B3" w:rsidP="009C5286" w14:paraId="4DC33B38" w14:textId="6C8908DB">
            <w:pPr>
              <w:spacing w:after="200" w:line="276" w:lineRule="auto"/>
              <w:rPr>
                <w:sz w:val="22"/>
                <w:szCs w:val="22"/>
              </w:rPr>
            </w:pPr>
            <w:r w:rsidRPr="00C165B3">
              <w:rPr>
                <w:rFonts w:asciiTheme="minorHAnsi" w:hAnsiTheme="minorHAnsi" w:cstheme="minorHAnsi"/>
                <w:b/>
                <w:sz w:val="22"/>
                <w:szCs w:val="22"/>
              </w:rPr>
              <w:t>Conclusion:</w:t>
            </w:r>
            <w:r w:rsidRPr="00C165B3">
              <w:rPr>
                <w:bCs/>
                <w:sz w:val="22"/>
                <w:szCs w:val="22"/>
              </w:rPr>
              <w:t xml:space="preserve"> These studies extend the findings of the 2016 RTI Addendum which found that </w:t>
            </w:r>
            <w:r w:rsidRPr="00C165B3" w:rsidR="00F638F1">
              <w:rPr>
                <w:bCs/>
                <w:sz w:val="22"/>
                <w:szCs w:val="22"/>
              </w:rPr>
              <w:t>FOP</w:t>
            </w:r>
            <w:r w:rsidRPr="00C165B3">
              <w:rPr>
                <w:bCs/>
                <w:sz w:val="22"/>
                <w:szCs w:val="22"/>
              </w:rPr>
              <w:t xml:space="preserve"> labels catch consumers’ attention; the newer studies highlighted interactions among a) </w:t>
            </w:r>
            <w:r w:rsidRPr="00C165B3" w:rsidR="00F638F1">
              <w:rPr>
                <w:bCs/>
                <w:sz w:val="22"/>
                <w:szCs w:val="22"/>
              </w:rPr>
              <w:t>FOP</w:t>
            </w:r>
            <w:r w:rsidRPr="00C165B3">
              <w:rPr>
                <w:bCs/>
                <w:sz w:val="22"/>
                <w:szCs w:val="22"/>
              </w:rPr>
              <w:t xml:space="preserve">s, b) other marketing components on the package, and c) time pressure. </w:t>
            </w:r>
          </w:p>
        </w:tc>
      </w:tr>
      <w:tr w14:paraId="73FE783B" w14:textId="77777777" w:rsidTr="4C9BFAA2">
        <w:tblPrEx>
          <w:tblW w:w="0" w:type="auto"/>
          <w:tblInd w:w="-5" w:type="dxa"/>
          <w:tblLook w:val="04A0"/>
        </w:tblPrEx>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351" w:rsidRPr="00C165B3" w:rsidP="009C5286" w14:paraId="51C3141F" w14:textId="77777777">
            <w:pPr>
              <w:rPr>
                <w:b/>
                <w:sz w:val="24"/>
                <w:szCs w:val="24"/>
              </w:rPr>
            </w:pPr>
          </w:p>
          <w:p w:rsidR="00FE6351" w:rsidRPr="00C165B3" w:rsidP="009C5286" w14:paraId="43E7C559" w14:textId="77777777">
            <w:pPr>
              <w:rPr>
                <w:b/>
                <w:sz w:val="24"/>
                <w:szCs w:val="24"/>
              </w:rPr>
            </w:pPr>
            <w:r w:rsidRPr="00C165B3">
              <w:rPr>
                <w:b/>
                <w:sz w:val="24"/>
                <w:szCs w:val="24"/>
              </w:rPr>
              <w:t>Liking, Satisfaction, and Label Preference</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351" w:rsidRPr="00C165B3" w:rsidP="009C5286" w14:paraId="2D8ACA3D" w14:textId="77777777">
            <w:pPr>
              <w:pStyle w:val="ListParagraph"/>
              <w:numPr>
                <w:ilvl w:val="0"/>
                <w:numId w:val="1"/>
              </w:numPr>
              <w:ind w:hanging="270"/>
              <w:rPr>
                <w:rFonts w:asciiTheme="minorHAnsi" w:hAnsiTheme="minorHAnsi" w:cstheme="minorHAnsi"/>
                <w:bCs/>
                <w:sz w:val="22"/>
                <w:szCs w:val="22"/>
              </w:rPr>
            </w:pPr>
            <w:r w:rsidRPr="00C165B3">
              <w:rPr>
                <w:rFonts w:asciiTheme="minorHAnsi" w:hAnsiTheme="minorHAnsi" w:cstheme="minorHAnsi"/>
                <w:bCs/>
                <w:sz w:val="22"/>
                <w:szCs w:val="22"/>
              </w:rPr>
              <w:t xml:space="preserve">Our review identified nine studies in this category, with three experimental studies, three cross-sectional surveys, two focus group studies, and one systematic review. </w:t>
            </w:r>
          </w:p>
          <w:p w:rsidR="00FE6351" w:rsidRPr="00C165B3" w:rsidP="009C5286" w14:paraId="407D5702" w14:textId="0E3D62B2">
            <w:pPr>
              <w:pStyle w:val="ListParagraph"/>
              <w:numPr>
                <w:ilvl w:val="0"/>
                <w:numId w:val="1"/>
              </w:numPr>
              <w:ind w:hanging="270"/>
              <w:rPr>
                <w:rFonts w:asciiTheme="minorHAnsi" w:hAnsiTheme="minorHAnsi" w:cstheme="minorHAnsi"/>
                <w:bCs/>
                <w:sz w:val="22"/>
                <w:szCs w:val="22"/>
              </w:rPr>
            </w:pPr>
            <w:r w:rsidRPr="00C165B3">
              <w:rPr>
                <w:rFonts w:asciiTheme="minorHAnsi" w:hAnsiTheme="minorHAnsi" w:cstheme="minorHAnsi"/>
                <w:bCs/>
                <w:sz w:val="22"/>
                <w:szCs w:val="22"/>
              </w:rPr>
              <w:t xml:space="preserve">These studies were conducted in different countries, </w:t>
            </w:r>
            <w:r w:rsidRPr="00C165B3" w:rsidR="0075045C">
              <w:rPr>
                <w:rFonts w:asciiTheme="minorHAnsi" w:hAnsiTheme="minorHAnsi" w:cstheme="minorHAnsi"/>
                <w:bCs/>
                <w:sz w:val="22"/>
                <w:szCs w:val="22"/>
              </w:rPr>
              <w:t>includin</w:t>
            </w:r>
            <w:r w:rsidRPr="00C165B3" w:rsidR="0075045C">
              <w:rPr>
                <w:rFonts w:asciiTheme="minorHAnsi" w:hAnsiTheme="minorHAnsi" w:cstheme="minorHAnsi"/>
                <w:bCs/>
                <w:sz w:val="22"/>
              </w:rPr>
              <w:t>g</w:t>
            </w:r>
            <w:r w:rsidRPr="00C165B3">
              <w:rPr>
                <w:rFonts w:asciiTheme="minorHAnsi" w:hAnsiTheme="minorHAnsi" w:cstheme="minorHAnsi"/>
                <w:bCs/>
                <w:sz w:val="22"/>
                <w:szCs w:val="22"/>
              </w:rPr>
              <w:t xml:space="preserve"> Australia, France, Uruguay, Germany, and Canada. </w:t>
            </w:r>
          </w:p>
          <w:p w:rsidR="00FE6351" w:rsidRPr="00C165B3" w:rsidP="009C5286" w14:paraId="237FC131" w14:textId="26B418C4">
            <w:pPr>
              <w:pStyle w:val="ListParagraph"/>
              <w:numPr>
                <w:ilvl w:val="0"/>
                <w:numId w:val="1"/>
              </w:numPr>
              <w:ind w:hanging="270"/>
              <w:rPr>
                <w:rFonts w:asciiTheme="minorHAnsi" w:hAnsiTheme="minorHAnsi" w:cstheme="minorHAnsi"/>
                <w:bCs/>
                <w:sz w:val="22"/>
                <w:szCs w:val="22"/>
              </w:rPr>
            </w:pPr>
            <w:r w:rsidRPr="00C165B3">
              <w:rPr>
                <w:rFonts w:asciiTheme="minorHAnsi" w:hAnsiTheme="minorHAnsi" w:cstheme="minorHAnsi"/>
                <w:bCs/>
                <w:sz w:val="22"/>
                <w:szCs w:val="22"/>
              </w:rPr>
              <w:t xml:space="preserve">Multiple </w:t>
            </w:r>
            <w:r w:rsidRPr="00C165B3" w:rsidR="00F638F1">
              <w:rPr>
                <w:rFonts w:asciiTheme="minorHAnsi" w:hAnsiTheme="minorHAnsi" w:cstheme="minorHAnsi"/>
                <w:bCs/>
                <w:sz w:val="22"/>
                <w:szCs w:val="22"/>
              </w:rPr>
              <w:t>FOP</w:t>
            </w:r>
            <w:r w:rsidRPr="00C165B3">
              <w:rPr>
                <w:rFonts w:asciiTheme="minorHAnsi" w:hAnsiTheme="minorHAnsi" w:cstheme="minorHAnsi"/>
                <w:bCs/>
                <w:sz w:val="22"/>
                <w:szCs w:val="22"/>
              </w:rPr>
              <w:t xml:space="preserve"> labeling systems were examined in the identified studies, including: Daily Intake Guide, Multiple Traffic Light, Health Star Rating, Nutri</w:t>
            </w:r>
            <w:r w:rsidRPr="00C165B3" w:rsidR="004B6E26">
              <w:rPr>
                <w:rFonts w:asciiTheme="minorHAnsi" w:hAnsiTheme="minorHAnsi" w:cstheme="minorHAnsi"/>
                <w:bCs/>
                <w:sz w:val="22"/>
                <w:szCs w:val="22"/>
              </w:rPr>
              <w:t>-S</w:t>
            </w:r>
            <w:r w:rsidRPr="00C165B3">
              <w:rPr>
                <w:rFonts w:asciiTheme="minorHAnsi" w:hAnsiTheme="minorHAnsi" w:cstheme="minorHAnsi"/>
                <w:bCs/>
                <w:sz w:val="22"/>
                <w:szCs w:val="22"/>
              </w:rPr>
              <w:t xml:space="preserve">core (a summary </w:t>
            </w:r>
            <w:r w:rsidRPr="00C165B3" w:rsidR="00F638F1">
              <w:rPr>
                <w:rFonts w:asciiTheme="minorHAnsi" w:hAnsiTheme="minorHAnsi" w:cstheme="minorHAnsi"/>
                <w:bCs/>
                <w:sz w:val="22"/>
                <w:szCs w:val="22"/>
              </w:rPr>
              <w:t>FOP</w:t>
            </w:r>
            <w:r w:rsidRPr="00C165B3">
              <w:rPr>
                <w:rFonts w:asciiTheme="minorHAnsi" w:hAnsiTheme="minorHAnsi" w:cstheme="minorHAnsi"/>
                <w:bCs/>
                <w:sz w:val="22"/>
                <w:szCs w:val="22"/>
              </w:rPr>
              <w:t xml:space="preserve"> system proposed to the French Health Minister), SENS (a summary </w:t>
            </w:r>
            <w:r w:rsidRPr="00C165B3" w:rsidR="00F638F1">
              <w:rPr>
                <w:rFonts w:asciiTheme="minorHAnsi" w:hAnsiTheme="minorHAnsi" w:cstheme="minorHAnsi"/>
                <w:bCs/>
                <w:sz w:val="22"/>
                <w:szCs w:val="22"/>
              </w:rPr>
              <w:t>FOP</w:t>
            </w:r>
            <w:r w:rsidRPr="00C165B3">
              <w:rPr>
                <w:rFonts w:asciiTheme="minorHAnsi" w:hAnsiTheme="minorHAnsi" w:cstheme="minorHAnsi"/>
                <w:bCs/>
                <w:sz w:val="22"/>
                <w:szCs w:val="22"/>
              </w:rPr>
              <w:t xml:space="preserve"> system proposed by the French retailers), Modified Reference Intakes, and warnings.</w:t>
            </w:r>
          </w:p>
          <w:p w:rsidR="009031C0" w:rsidRPr="00C165B3" w:rsidP="009C5286" w14:paraId="772349FE" w14:textId="6626E247">
            <w:pPr>
              <w:pStyle w:val="ListParagraph"/>
              <w:numPr>
                <w:ilvl w:val="0"/>
                <w:numId w:val="1"/>
              </w:numPr>
              <w:ind w:hanging="270"/>
              <w:rPr>
                <w:rFonts w:asciiTheme="minorHAnsi" w:hAnsiTheme="minorHAnsi" w:cstheme="minorHAnsi"/>
                <w:bCs/>
                <w:sz w:val="22"/>
                <w:szCs w:val="22"/>
              </w:rPr>
            </w:pPr>
            <w:r w:rsidRPr="00C165B3">
              <w:rPr>
                <w:rFonts w:asciiTheme="minorHAnsi" w:hAnsiTheme="minorHAnsi" w:cstheme="minorHAnsi"/>
                <w:bCs/>
                <w:sz w:val="22"/>
                <w:szCs w:val="22"/>
              </w:rPr>
              <w:t xml:space="preserve">Results from these studies suggest that consumers think </w:t>
            </w:r>
            <w:r w:rsidRPr="00C165B3" w:rsidR="00F638F1">
              <w:rPr>
                <w:rFonts w:asciiTheme="minorHAnsi" w:hAnsiTheme="minorHAnsi" w:cstheme="minorHAnsi"/>
                <w:bCs/>
                <w:sz w:val="22"/>
                <w:szCs w:val="22"/>
              </w:rPr>
              <w:t>FOP</w:t>
            </w:r>
            <w:r w:rsidRPr="00C165B3">
              <w:rPr>
                <w:rFonts w:asciiTheme="minorHAnsi" w:hAnsiTheme="minorHAnsi" w:cstheme="minorHAnsi"/>
                <w:bCs/>
                <w:sz w:val="22"/>
                <w:szCs w:val="22"/>
              </w:rPr>
              <w:t xml:space="preserve"> labels are more useful than health claims or warnings, and they prefer simple to use and interpretive </w:t>
            </w:r>
            <w:r w:rsidRPr="00C165B3" w:rsidR="00F638F1">
              <w:rPr>
                <w:rFonts w:asciiTheme="minorHAnsi" w:hAnsiTheme="minorHAnsi" w:cstheme="minorHAnsi"/>
                <w:bCs/>
                <w:sz w:val="22"/>
                <w:szCs w:val="22"/>
              </w:rPr>
              <w:t>FOP</w:t>
            </w:r>
            <w:r w:rsidRPr="00C165B3">
              <w:rPr>
                <w:rFonts w:asciiTheme="minorHAnsi" w:hAnsiTheme="minorHAnsi" w:cstheme="minorHAnsi"/>
                <w:bCs/>
                <w:sz w:val="22"/>
                <w:szCs w:val="22"/>
              </w:rPr>
              <w:t xml:space="preserve"> labels (such as Health Star Rating and </w:t>
            </w:r>
            <w:r w:rsidRPr="00C165B3" w:rsidR="004B6E26">
              <w:rPr>
                <w:rFonts w:asciiTheme="minorHAnsi" w:hAnsiTheme="minorHAnsi" w:cstheme="minorHAnsi"/>
                <w:bCs/>
                <w:sz w:val="22"/>
                <w:szCs w:val="22"/>
              </w:rPr>
              <w:t>Nutri-Score</w:t>
            </w:r>
            <w:r w:rsidRPr="00C165B3">
              <w:rPr>
                <w:rFonts w:asciiTheme="minorHAnsi" w:hAnsiTheme="minorHAnsi" w:cstheme="minorHAnsi"/>
                <w:bCs/>
                <w:sz w:val="22"/>
                <w:szCs w:val="22"/>
              </w:rPr>
              <w:t>) over others.</w:t>
            </w:r>
          </w:p>
          <w:p w:rsidR="00FE6351" w:rsidRPr="00C165B3" w:rsidP="009031C0" w14:paraId="1FDA8345" w14:textId="77777777">
            <w:pPr>
              <w:pStyle w:val="ListParagraph"/>
              <w:ind w:left="270"/>
              <w:rPr>
                <w:rFonts w:asciiTheme="minorHAnsi" w:hAnsiTheme="minorHAnsi" w:cstheme="minorHAnsi"/>
                <w:bCs/>
                <w:sz w:val="22"/>
                <w:szCs w:val="22"/>
              </w:rPr>
            </w:pPr>
            <w:r w:rsidRPr="00C165B3">
              <w:rPr>
                <w:rFonts w:asciiTheme="minorHAnsi" w:hAnsiTheme="minorHAnsi" w:cstheme="minorHAnsi"/>
                <w:bCs/>
                <w:sz w:val="22"/>
                <w:szCs w:val="22"/>
              </w:rPr>
              <w:t xml:space="preserve"> </w:t>
            </w:r>
          </w:p>
          <w:p w:rsidR="00FE6351" w:rsidRPr="00C165B3" w:rsidP="009C5286" w14:paraId="1CEABA6C" w14:textId="70D2FB92">
            <w:pPr>
              <w:rPr>
                <w:rFonts w:asciiTheme="minorHAnsi" w:hAnsiTheme="minorHAnsi" w:cstheme="minorHAnsi"/>
                <w:bCs/>
                <w:sz w:val="22"/>
                <w:szCs w:val="22"/>
              </w:rPr>
            </w:pPr>
            <w:r w:rsidRPr="00C165B3">
              <w:rPr>
                <w:rFonts w:asciiTheme="minorHAnsi" w:hAnsiTheme="minorHAnsi" w:cstheme="minorHAnsi"/>
                <w:b/>
                <w:bCs/>
                <w:sz w:val="22"/>
                <w:szCs w:val="22"/>
              </w:rPr>
              <w:t>Conclusion:</w:t>
            </w:r>
            <w:r w:rsidRPr="00C165B3">
              <w:rPr>
                <w:rFonts w:asciiTheme="minorHAnsi" w:hAnsiTheme="minorHAnsi" w:cstheme="minorHAnsi"/>
                <w:bCs/>
                <w:sz w:val="22"/>
                <w:szCs w:val="22"/>
              </w:rPr>
              <w:t xml:space="preserve"> Consistent with 2016 RTI Addendum, results from these recent studies reveal that despite some varied preferences, consumers prefer simple labels</w:t>
            </w:r>
            <w:r w:rsidRPr="00C165B3" w:rsidR="00265570">
              <w:rPr>
                <w:rFonts w:asciiTheme="minorHAnsi" w:hAnsiTheme="minorHAnsi" w:cstheme="minorHAnsi"/>
                <w:bCs/>
                <w:sz w:val="22"/>
                <w:szCs w:val="22"/>
              </w:rPr>
              <w:t xml:space="preserve">, </w:t>
            </w:r>
            <w:r w:rsidRPr="00C165B3">
              <w:rPr>
                <w:rFonts w:asciiTheme="minorHAnsi" w:hAnsiTheme="minorHAnsi" w:cstheme="minorHAnsi"/>
                <w:bCs/>
                <w:sz w:val="22"/>
                <w:szCs w:val="22"/>
              </w:rPr>
              <w:t>such as the ones using a summary system</w:t>
            </w:r>
            <w:r w:rsidRPr="00C165B3" w:rsidR="00803C87">
              <w:rPr>
                <w:rFonts w:asciiTheme="minorHAnsi" w:hAnsiTheme="minorHAnsi" w:cstheme="minorHAnsi"/>
                <w:bCs/>
                <w:sz w:val="22"/>
                <w:szCs w:val="22"/>
              </w:rPr>
              <w:t xml:space="preserve"> (e.g</w:t>
            </w:r>
            <w:r w:rsidRPr="00C165B3" w:rsidR="00265570">
              <w:rPr>
                <w:rFonts w:asciiTheme="minorHAnsi" w:hAnsiTheme="minorHAnsi" w:cstheme="minorHAnsi"/>
                <w:bCs/>
                <w:sz w:val="22"/>
                <w:szCs w:val="22"/>
              </w:rPr>
              <w:t>.</w:t>
            </w:r>
            <w:r w:rsidRPr="00C165B3" w:rsidR="00803C87">
              <w:rPr>
                <w:rFonts w:asciiTheme="minorHAnsi" w:hAnsiTheme="minorHAnsi" w:cstheme="minorHAnsi"/>
                <w:bCs/>
                <w:sz w:val="22"/>
                <w:szCs w:val="22"/>
              </w:rPr>
              <w:t>, SENS)</w:t>
            </w:r>
            <w:r w:rsidRPr="00C165B3">
              <w:rPr>
                <w:rFonts w:asciiTheme="minorHAnsi" w:hAnsiTheme="minorHAnsi" w:cstheme="minorHAnsi"/>
                <w:bCs/>
                <w:sz w:val="22"/>
                <w:szCs w:val="22"/>
              </w:rPr>
              <w:t xml:space="preserve">. </w:t>
            </w:r>
          </w:p>
        </w:tc>
      </w:tr>
      <w:tr w14:paraId="23E6130D" w14:textId="77777777" w:rsidTr="4C9BFAA2">
        <w:tblPrEx>
          <w:tblW w:w="0" w:type="auto"/>
          <w:tblInd w:w="-5" w:type="dxa"/>
          <w:tblLook w:val="04A0"/>
        </w:tblPrEx>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351" w:rsidRPr="00C165B3" w:rsidP="009C5286" w14:paraId="045755B7" w14:textId="77777777">
            <w:pPr>
              <w:rPr>
                <w:b/>
                <w:sz w:val="24"/>
                <w:szCs w:val="24"/>
              </w:rPr>
            </w:pPr>
          </w:p>
          <w:p w:rsidR="00FE6351" w:rsidRPr="00C165B3" w:rsidP="009C5286" w14:paraId="257FFEB6" w14:textId="77777777">
            <w:pPr>
              <w:rPr>
                <w:b/>
                <w:sz w:val="24"/>
                <w:szCs w:val="24"/>
              </w:rPr>
            </w:pPr>
            <w:r w:rsidRPr="00C165B3">
              <w:rPr>
                <w:b/>
                <w:sz w:val="24"/>
                <w:szCs w:val="24"/>
              </w:rPr>
              <w:t>Understanding</w:t>
            </w:r>
          </w:p>
          <w:p w:rsidR="00FE6351" w:rsidRPr="00C165B3" w:rsidP="009C5286" w14:paraId="3A5B4C8E" w14:textId="77777777">
            <w:pPr>
              <w:rPr>
                <w:b/>
                <w:sz w:val="24"/>
                <w:szCs w:val="24"/>
              </w:rPr>
            </w:pPr>
          </w:p>
          <w:p w:rsidR="00FE6351" w:rsidRPr="00C165B3" w:rsidP="009C5286" w14:paraId="5B94C584" w14:textId="77777777">
            <w:pPr>
              <w:rPr>
                <w:rFonts w:asciiTheme="minorHAnsi" w:hAnsiTheme="minorHAnsi" w:cstheme="minorHAnsi"/>
                <w:b/>
                <w:sz w:val="24"/>
                <w:szCs w:val="24"/>
              </w:rPr>
            </w:pP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351" w:rsidRPr="00C165B3" w:rsidP="009C5286" w14:paraId="756A424D" w14:textId="77777777">
            <w:pPr>
              <w:pStyle w:val="ListParagraph"/>
              <w:numPr>
                <w:ilvl w:val="0"/>
                <w:numId w:val="3"/>
              </w:numPr>
              <w:rPr>
                <w:rFonts w:asciiTheme="minorHAnsi" w:hAnsiTheme="minorHAnsi" w:cstheme="minorHAnsi"/>
                <w:sz w:val="22"/>
              </w:rPr>
            </w:pPr>
            <w:r w:rsidRPr="00C165B3">
              <w:rPr>
                <w:rFonts w:asciiTheme="minorHAnsi" w:hAnsiTheme="minorHAnsi" w:cstheme="minorHAnsi"/>
                <w:sz w:val="22"/>
              </w:rPr>
              <w:t xml:space="preserve">Our review identified 16 studies in this category, with 11 experimental studies, two quasi-experimental study, one focus group study, and one study using sales data and convenience sample survey. </w:t>
            </w:r>
          </w:p>
          <w:p w:rsidR="00FE6351" w:rsidRPr="00C165B3" w:rsidP="009C5286" w14:paraId="087E6CA7" w14:textId="7023121E">
            <w:pPr>
              <w:pStyle w:val="ListParagraph"/>
              <w:numPr>
                <w:ilvl w:val="0"/>
                <w:numId w:val="3"/>
              </w:numPr>
              <w:rPr>
                <w:rFonts w:asciiTheme="minorHAnsi" w:hAnsiTheme="minorHAnsi" w:cstheme="minorHAnsi"/>
              </w:rPr>
            </w:pPr>
            <w:r w:rsidRPr="00C165B3">
              <w:rPr>
                <w:rFonts w:asciiTheme="minorHAnsi" w:hAnsiTheme="minorHAnsi" w:cstheme="minorHAnsi"/>
                <w:sz w:val="22"/>
              </w:rPr>
              <w:t xml:space="preserve">These studies were conducted in different countries, </w:t>
            </w:r>
            <w:r w:rsidRPr="00C165B3" w:rsidR="0075045C">
              <w:rPr>
                <w:rFonts w:asciiTheme="minorHAnsi" w:hAnsiTheme="minorHAnsi" w:cstheme="minorHAnsi"/>
                <w:sz w:val="22"/>
              </w:rPr>
              <w:t>including</w:t>
            </w:r>
            <w:r w:rsidRPr="00C165B3">
              <w:rPr>
                <w:rFonts w:asciiTheme="minorHAnsi" w:hAnsiTheme="minorHAnsi" w:cstheme="minorHAnsi"/>
                <w:sz w:val="22"/>
              </w:rPr>
              <w:t xml:space="preserve"> US, France, Norway, Mexico, Australia, Germany, Brazil, Uruguay, and Canada.</w:t>
            </w:r>
          </w:p>
          <w:p w:rsidR="00FE6351" w:rsidRPr="00C165B3" w:rsidP="009C5286" w14:paraId="751AECB3" w14:textId="7F7F0DC7">
            <w:pPr>
              <w:pStyle w:val="ListParagraph"/>
              <w:numPr>
                <w:ilvl w:val="0"/>
                <w:numId w:val="3"/>
              </w:numPr>
              <w:rPr>
                <w:rFonts w:asciiTheme="minorHAnsi" w:hAnsiTheme="minorHAnsi" w:cstheme="minorHAnsi"/>
              </w:rPr>
            </w:pPr>
            <w:r w:rsidRPr="00C165B3">
              <w:rPr>
                <w:rFonts w:asciiTheme="minorHAnsi" w:hAnsiTheme="minorHAnsi" w:cstheme="minorHAnsi"/>
                <w:sz w:val="22"/>
              </w:rPr>
              <w:t xml:space="preserve">Multiple </w:t>
            </w:r>
            <w:r w:rsidRPr="00C165B3" w:rsidR="00F638F1">
              <w:rPr>
                <w:rFonts w:asciiTheme="minorHAnsi" w:hAnsiTheme="minorHAnsi" w:cstheme="minorHAnsi"/>
                <w:sz w:val="22"/>
              </w:rPr>
              <w:t>FOP</w:t>
            </w:r>
            <w:r w:rsidRPr="00C165B3">
              <w:rPr>
                <w:rFonts w:asciiTheme="minorHAnsi" w:hAnsiTheme="minorHAnsi" w:cstheme="minorHAnsi"/>
                <w:sz w:val="22"/>
              </w:rPr>
              <w:t xml:space="preserve"> labeling systems were examined in the identified studies, including: Single and Multiple Traffic Light, Keyhole, Guideline Daily Amounts, 5-Color Nutrition Label (a summary system proposed to France Health </w:t>
            </w:r>
            <w:r w:rsidRPr="00C165B3">
              <w:rPr>
                <w:rFonts w:asciiTheme="minorHAnsi" w:hAnsiTheme="minorHAnsi" w:cstheme="minorHAnsi"/>
                <w:sz w:val="22"/>
              </w:rPr>
              <w:t xml:space="preserve">Minister, which later was updated to </w:t>
            </w:r>
            <w:r w:rsidRPr="00C165B3" w:rsidR="004B6E26">
              <w:rPr>
                <w:rFonts w:asciiTheme="minorHAnsi" w:hAnsiTheme="minorHAnsi" w:cstheme="minorHAnsi"/>
                <w:sz w:val="22"/>
              </w:rPr>
              <w:t>Nutri-Score</w:t>
            </w:r>
            <w:r w:rsidRPr="00C165B3">
              <w:rPr>
                <w:rFonts w:asciiTheme="minorHAnsi" w:hAnsiTheme="minorHAnsi" w:cstheme="minorHAnsi"/>
                <w:sz w:val="22"/>
              </w:rPr>
              <w:t xml:space="preserve">), Guiding Stars, Health Star Rating, binary check, NuVal, Facts Up Front, logos, </w:t>
            </w:r>
            <w:r w:rsidRPr="00C165B3">
              <w:rPr>
                <w:rFonts w:asciiTheme="minorHAnsi" w:hAnsiTheme="minorHAnsi" w:cstheme="minorHAnsi"/>
                <w:bCs/>
                <w:sz w:val="22"/>
              </w:rPr>
              <w:t>and warnings.</w:t>
            </w:r>
          </w:p>
          <w:p w:rsidR="00FE6351" w:rsidRPr="00C165B3" w:rsidP="009C5286" w14:paraId="24F78B69" w14:textId="484096BC">
            <w:pPr>
              <w:pStyle w:val="ListParagraph"/>
              <w:numPr>
                <w:ilvl w:val="0"/>
                <w:numId w:val="3"/>
              </w:numPr>
              <w:rPr>
                <w:rFonts w:asciiTheme="minorHAnsi" w:hAnsiTheme="minorHAnsi" w:cstheme="minorHAnsi"/>
              </w:rPr>
            </w:pPr>
            <w:r w:rsidRPr="00C165B3">
              <w:rPr>
                <w:rFonts w:asciiTheme="minorHAnsi" w:hAnsiTheme="minorHAnsi" w:cstheme="minorHAnsi"/>
                <w:bCs/>
                <w:sz w:val="22"/>
              </w:rPr>
              <w:t xml:space="preserve">Studies found that consumers’ ability to understand different </w:t>
            </w:r>
            <w:r w:rsidRPr="00C165B3" w:rsidR="00F638F1">
              <w:rPr>
                <w:rFonts w:asciiTheme="minorHAnsi" w:hAnsiTheme="minorHAnsi" w:cstheme="minorHAnsi"/>
                <w:bCs/>
                <w:sz w:val="22"/>
              </w:rPr>
              <w:t>FOP</w:t>
            </w:r>
            <w:r w:rsidRPr="00C165B3">
              <w:rPr>
                <w:rFonts w:asciiTheme="minorHAnsi" w:hAnsiTheme="minorHAnsi" w:cstheme="minorHAnsi"/>
                <w:bCs/>
                <w:sz w:val="22"/>
              </w:rPr>
              <w:t>s differed. In general, summary systems (Keyhole, binary check symbol, logos, and rating stars) were easier to understand compared to nutrient specific systems (such as G</w:t>
            </w:r>
            <w:r w:rsidRPr="00C165B3" w:rsidR="004B6E26">
              <w:rPr>
                <w:rFonts w:asciiTheme="minorHAnsi" w:hAnsiTheme="minorHAnsi" w:cstheme="minorHAnsi"/>
                <w:bCs/>
                <w:sz w:val="22"/>
              </w:rPr>
              <w:t>uideline Daily Amounts</w:t>
            </w:r>
            <w:r w:rsidRPr="00C165B3">
              <w:rPr>
                <w:rFonts w:asciiTheme="minorHAnsi" w:hAnsiTheme="minorHAnsi" w:cstheme="minorHAnsi"/>
                <w:bCs/>
                <w:sz w:val="22"/>
              </w:rPr>
              <w:t>). However, one study (Cook et al., 2017) suggested that while a symbol-based (Stars) label helps consumers understand and choose a product in a comparative setting when they elaborate on the importance of nutrition information, the more complex label (Facts Up Front) helps consumers to interpret it when distracted.</w:t>
            </w:r>
          </w:p>
          <w:p w:rsidR="00FE6351" w:rsidRPr="00C165B3" w:rsidP="009C5286" w14:paraId="47AC02B3" w14:textId="76793D01">
            <w:pPr>
              <w:pStyle w:val="ListParagraph"/>
              <w:numPr>
                <w:ilvl w:val="0"/>
                <w:numId w:val="3"/>
              </w:numPr>
              <w:rPr>
                <w:rFonts w:asciiTheme="minorHAnsi" w:hAnsiTheme="minorHAnsi" w:cstheme="minorHAnsi"/>
              </w:rPr>
            </w:pPr>
            <w:r w:rsidRPr="00C165B3">
              <w:rPr>
                <w:rFonts w:asciiTheme="minorHAnsi" w:hAnsiTheme="minorHAnsi" w:cstheme="minorHAnsi"/>
                <w:bCs/>
                <w:sz w:val="22"/>
              </w:rPr>
              <w:t xml:space="preserve">Consumers in general lack understanding of various </w:t>
            </w:r>
            <w:r w:rsidRPr="00C165B3" w:rsidR="00F638F1">
              <w:rPr>
                <w:rFonts w:asciiTheme="minorHAnsi" w:hAnsiTheme="minorHAnsi" w:cstheme="minorHAnsi"/>
                <w:bCs/>
                <w:sz w:val="22"/>
              </w:rPr>
              <w:t>FOP</w:t>
            </w:r>
            <w:r w:rsidRPr="00C165B3">
              <w:rPr>
                <w:rFonts w:asciiTheme="minorHAnsi" w:hAnsiTheme="minorHAnsi" w:cstheme="minorHAnsi"/>
                <w:bCs/>
                <w:sz w:val="22"/>
              </w:rPr>
              <w:t xml:space="preserve">s. </w:t>
            </w:r>
            <w:r w:rsidRPr="00C165B3" w:rsidR="001E479D">
              <w:rPr>
                <w:rFonts w:asciiTheme="minorHAnsi" w:hAnsiTheme="minorHAnsi" w:cstheme="minorHAnsi"/>
                <w:bCs/>
                <w:sz w:val="22"/>
              </w:rPr>
              <w:t>However,</w:t>
            </w:r>
            <w:r w:rsidRPr="00C165B3">
              <w:rPr>
                <w:rFonts w:asciiTheme="minorHAnsi" w:hAnsiTheme="minorHAnsi" w:cstheme="minorHAnsi"/>
                <w:bCs/>
                <w:sz w:val="22"/>
              </w:rPr>
              <w:t xml:space="preserve"> one study (Julia et al., 2016) showed that when the </w:t>
            </w:r>
            <w:r w:rsidRPr="00C165B3" w:rsidR="00F638F1">
              <w:rPr>
                <w:rFonts w:asciiTheme="minorHAnsi" w:hAnsiTheme="minorHAnsi" w:cstheme="minorHAnsi"/>
                <w:bCs/>
                <w:sz w:val="22"/>
              </w:rPr>
              <w:t>FOP</w:t>
            </w:r>
            <w:r w:rsidRPr="00C165B3">
              <w:rPr>
                <w:rFonts w:asciiTheme="minorHAnsi" w:hAnsiTheme="minorHAnsi" w:cstheme="minorHAnsi"/>
                <w:bCs/>
                <w:sz w:val="22"/>
              </w:rPr>
              <w:t xml:space="preserve"> label was presented with educational information, understanding was improved.  </w:t>
            </w:r>
          </w:p>
          <w:p w:rsidR="009031C0" w:rsidRPr="00C165B3" w:rsidP="009031C0" w14:paraId="2CF078C7" w14:textId="77777777">
            <w:pPr>
              <w:pStyle w:val="ListParagraph"/>
              <w:ind w:left="360"/>
              <w:rPr>
                <w:rFonts w:asciiTheme="minorHAnsi" w:hAnsiTheme="minorHAnsi" w:cstheme="minorHAnsi"/>
              </w:rPr>
            </w:pPr>
          </w:p>
          <w:p w:rsidR="00FE6351" w:rsidRPr="00C165B3" w:rsidP="009C5286" w14:paraId="2056256A" w14:textId="570BB18C">
            <w:pPr>
              <w:rPr>
                <w:rFonts w:asciiTheme="minorHAnsi" w:hAnsiTheme="minorHAnsi" w:cstheme="minorHAnsi"/>
                <w:bCs/>
                <w:sz w:val="22"/>
                <w:szCs w:val="22"/>
              </w:rPr>
            </w:pPr>
            <w:r w:rsidRPr="00C165B3">
              <w:rPr>
                <w:rFonts w:asciiTheme="minorHAnsi" w:hAnsiTheme="minorHAnsi" w:cstheme="minorHAnsi"/>
                <w:b/>
                <w:bCs/>
                <w:sz w:val="22"/>
                <w:szCs w:val="22"/>
              </w:rPr>
              <w:t>Conclusion:</w:t>
            </w:r>
            <w:r w:rsidRPr="00C165B3">
              <w:rPr>
                <w:rFonts w:asciiTheme="minorHAnsi" w:hAnsiTheme="minorHAnsi" w:cstheme="minorHAnsi"/>
                <w:bCs/>
                <w:sz w:val="22"/>
                <w:szCs w:val="22"/>
              </w:rPr>
              <w:t xml:space="preserve"> T</w:t>
            </w:r>
            <w:r w:rsidRPr="00C165B3">
              <w:rPr>
                <w:rFonts w:asciiTheme="minorHAnsi" w:hAnsiTheme="minorHAnsi" w:cstheme="minorHAnsi"/>
                <w:sz w:val="22"/>
                <w:szCs w:val="22"/>
              </w:rPr>
              <w:t xml:space="preserve">he updated literature review confirms the 2016 RTI findings. Studies indicate </w:t>
            </w:r>
            <w:r w:rsidRPr="00C165B3" w:rsidR="00F638F1">
              <w:rPr>
                <w:rFonts w:asciiTheme="minorHAnsi" w:hAnsiTheme="minorHAnsi" w:cstheme="minorHAnsi"/>
                <w:sz w:val="22"/>
                <w:szCs w:val="22"/>
              </w:rPr>
              <w:t>FOP</w:t>
            </w:r>
            <w:r w:rsidRPr="00C165B3">
              <w:rPr>
                <w:rFonts w:asciiTheme="minorHAnsi" w:hAnsiTheme="minorHAnsi" w:cstheme="minorHAnsi"/>
                <w:sz w:val="22"/>
                <w:szCs w:val="22"/>
              </w:rPr>
              <w:t>s in general can help consumers to understand nutrition information, but to different extents</w:t>
            </w:r>
            <w:r w:rsidRPr="00C165B3" w:rsidR="002651A9">
              <w:rPr>
                <w:rFonts w:asciiTheme="minorHAnsi" w:hAnsiTheme="minorHAnsi" w:cstheme="minorHAnsi"/>
                <w:sz w:val="22"/>
                <w:szCs w:val="22"/>
              </w:rPr>
              <w:t xml:space="preserve"> and suggests that t</w:t>
            </w:r>
            <w:r w:rsidRPr="00C165B3">
              <w:rPr>
                <w:rFonts w:asciiTheme="minorHAnsi" w:hAnsiTheme="minorHAnsi" w:cstheme="minorHAnsi"/>
                <w:sz w:val="22"/>
                <w:szCs w:val="22"/>
              </w:rPr>
              <w:t xml:space="preserve">he more simplified </w:t>
            </w:r>
            <w:r w:rsidRPr="00C165B3" w:rsidR="00F638F1">
              <w:rPr>
                <w:rFonts w:asciiTheme="minorHAnsi" w:hAnsiTheme="minorHAnsi" w:cstheme="minorHAnsi"/>
                <w:sz w:val="22"/>
                <w:szCs w:val="22"/>
              </w:rPr>
              <w:t>FOP</w:t>
            </w:r>
            <w:r w:rsidRPr="00C165B3">
              <w:rPr>
                <w:rFonts w:asciiTheme="minorHAnsi" w:hAnsiTheme="minorHAnsi" w:cstheme="minorHAnsi"/>
                <w:sz w:val="22"/>
                <w:szCs w:val="22"/>
              </w:rPr>
              <w:t xml:space="preserve">s are easier for consumers to understand. </w:t>
            </w:r>
          </w:p>
        </w:tc>
      </w:tr>
      <w:tr w14:paraId="0FAB7E22" w14:textId="77777777" w:rsidTr="4C9BFAA2">
        <w:tblPrEx>
          <w:tblW w:w="0" w:type="auto"/>
          <w:tblInd w:w="-5" w:type="dxa"/>
          <w:tblLook w:val="04A0"/>
        </w:tblPrEx>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351" w:rsidRPr="00C165B3" w:rsidP="009C5286" w14:paraId="4C758E66" w14:textId="77777777">
            <w:pPr>
              <w:rPr>
                <w:b/>
                <w:sz w:val="24"/>
                <w:szCs w:val="24"/>
              </w:rPr>
            </w:pPr>
          </w:p>
          <w:p w:rsidR="00FE6351" w:rsidRPr="00C165B3" w:rsidP="009C5286" w14:paraId="54E4AD21" w14:textId="2DCD96CF">
            <w:pPr>
              <w:rPr>
                <w:b/>
                <w:sz w:val="24"/>
                <w:szCs w:val="24"/>
              </w:rPr>
            </w:pPr>
            <w:r w:rsidRPr="00C165B3">
              <w:rPr>
                <w:b/>
                <w:sz w:val="24"/>
                <w:szCs w:val="24"/>
              </w:rPr>
              <w:t xml:space="preserve">Effects on </w:t>
            </w:r>
            <w:r w:rsidRPr="00C165B3" w:rsidR="005355A2">
              <w:rPr>
                <w:b/>
                <w:sz w:val="24"/>
                <w:szCs w:val="24"/>
              </w:rPr>
              <w:t>U</w:t>
            </w:r>
            <w:r w:rsidRPr="00C165B3">
              <w:rPr>
                <w:b/>
                <w:sz w:val="24"/>
                <w:szCs w:val="24"/>
              </w:rPr>
              <w:t xml:space="preserve">se and </w:t>
            </w:r>
            <w:r w:rsidRPr="00C165B3" w:rsidR="005355A2">
              <w:rPr>
                <w:b/>
                <w:sz w:val="24"/>
                <w:szCs w:val="24"/>
              </w:rPr>
              <w:t>L</w:t>
            </w:r>
            <w:r w:rsidRPr="00C165B3">
              <w:rPr>
                <w:b/>
                <w:sz w:val="24"/>
                <w:szCs w:val="24"/>
              </w:rPr>
              <w:t xml:space="preserve">ikely </w:t>
            </w:r>
            <w:r w:rsidRPr="00C165B3" w:rsidR="005355A2">
              <w:rPr>
                <w:b/>
                <w:sz w:val="24"/>
                <w:szCs w:val="24"/>
              </w:rPr>
              <w:t>P</w:t>
            </w:r>
            <w:r w:rsidRPr="00C165B3">
              <w:rPr>
                <w:b/>
                <w:sz w:val="24"/>
                <w:szCs w:val="24"/>
              </w:rPr>
              <w:t xml:space="preserve">urchase </w:t>
            </w:r>
            <w:r w:rsidRPr="00C165B3" w:rsidR="005355A2">
              <w:rPr>
                <w:b/>
                <w:sz w:val="24"/>
                <w:szCs w:val="24"/>
              </w:rPr>
              <w:t>B</w:t>
            </w:r>
            <w:r w:rsidRPr="00C165B3">
              <w:rPr>
                <w:b/>
                <w:sz w:val="24"/>
                <w:szCs w:val="24"/>
              </w:rPr>
              <w:t>ehavior</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351" w:rsidRPr="00C165B3" w:rsidP="009C5286" w14:paraId="63D2AF2A" w14:textId="77777777">
            <w:pPr>
              <w:pStyle w:val="ListParagraph"/>
              <w:numPr>
                <w:ilvl w:val="0"/>
                <w:numId w:val="4"/>
              </w:numPr>
              <w:rPr>
                <w:rFonts w:asciiTheme="minorHAnsi" w:hAnsiTheme="minorHAnsi" w:cstheme="minorHAnsi"/>
                <w:sz w:val="22"/>
              </w:rPr>
            </w:pPr>
            <w:r w:rsidRPr="00C165B3">
              <w:rPr>
                <w:rFonts w:asciiTheme="minorHAnsi" w:hAnsiTheme="minorHAnsi" w:cstheme="minorHAnsi"/>
                <w:sz w:val="22"/>
              </w:rPr>
              <w:t xml:space="preserve">Our review identified 23 studies in this category, with 19 experimental studies, two quasi-experimental study, one set of open interviews, and one study using sales data and convenience sample survey. </w:t>
            </w:r>
          </w:p>
          <w:p w:rsidR="00FE6351" w:rsidRPr="00C165B3" w:rsidP="009C5286" w14:paraId="2496D8D8" w14:textId="77777777">
            <w:pPr>
              <w:pStyle w:val="ListParagraph"/>
              <w:numPr>
                <w:ilvl w:val="0"/>
                <w:numId w:val="4"/>
              </w:numPr>
              <w:rPr>
                <w:rFonts w:asciiTheme="minorHAnsi" w:hAnsiTheme="minorHAnsi" w:cstheme="minorHAnsi"/>
              </w:rPr>
            </w:pPr>
            <w:r w:rsidRPr="00C165B3">
              <w:rPr>
                <w:rFonts w:asciiTheme="minorHAnsi" w:hAnsiTheme="minorHAnsi" w:cstheme="minorHAnsi"/>
                <w:sz w:val="22"/>
              </w:rPr>
              <w:t>These studies were conducted in the US, France, Australia, New Zealand, Uruguay, and Canada.</w:t>
            </w:r>
          </w:p>
          <w:p w:rsidR="00FE6351" w:rsidRPr="00C165B3" w:rsidP="009C5286" w14:paraId="4A09903D" w14:textId="70E3857B">
            <w:pPr>
              <w:pStyle w:val="ListParagraph"/>
              <w:numPr>
                <w:ilvl w:val="0"/>
                <w:numId w:val="4"/>
              </w:numPr>
              <w:rPr>
                <w:rFonts w:asciiTheme="minorHAnsi" w:hAnsiTheme="minorHAnsi" w:cstheme="minorHAnsi"/>
              </w:rPr>
            </w:pPr>
            <w:r w:rsidRPr="00C165B3">
              <w:rPr>
                <w:rFonts w:asciiTheme="minorHAnsi" w:hAnsiTheme="minorHAnsi" w:cstheme="minorHAnsi"/>
                <w:sz w:val="22"/>
              </w:rPr>
              <w:t>The labels examined include the NuVal, 5-NCL, Keyhole Symbol, Traffic light, Daily Intake Guide, Health Star Rating, Guideline Daily Amounts, Guiding Stars, Facts-up-Front.</w:t>
            </w:r>
          </w:p>
          <w:p w:rsidR="00FE6351" w:rsidRPr="00C165B3" w:rsidP="009C5286" w14:paraId="6BEF4FB8" w14:textId="77F0EA46">
            <w:pPr>
              <w:pStyle w:val="ListParagraph"/>
              <w:numPr>
                <w:ilvl w:val="0"/>
                <w:numId w:val="4"/>
              </w:numPr>
              <w:rPr>
                <w:rFonts w:asciiTheme="minorHAnsi" w:hAnsiTheme="minorHAnsi" w:cstheme="minorHAnsi"/>
              </w:rPr>
            </w:pPr>
            <w:r w:rsidRPr="00C165B3">
              <w:rPr>
                <w:rFonts w:asciiTheme="minorHAnsi" w:hAnsiTheme="minorHAnsi" w:cstheme="minorHAnsi"/>
                <w:sz w:val="22"/>
              </w:rPr>
              <w:t xml:space="preserve">Several studies showed that </w:t>
            </w:r>
            <w:r w:rsidRPr="00C165B3" w:rsidR="00F638F1">
              <w:rPr>
                <w:rFonts w:asciiTheme="minorHAnsi" w:hAnsiTheme="minorHAnsi" w:cstheme="minorHAnsi"/>
                <w:sz w:val="22"/>
              </w:rPr>
              <w:t>FOP</w:t>
            </w:r>
            <w:r w:rsidRPr="00C165B3">
              <w:rPr>
                <w:rFonts w:asciiTheme="minorHAnsi" w:hAnsiTheme="minorHAnsi" w:cstheme="minorHAnsi"/>
                <w:sz w:val="22"/>
              </w:rPr>
              <w:t xml:space="preserve"> labels </w:t>
            </w:r>
            <w:r w:rsidRPr="00C165B3" w:rsidR="004614CC">
              <w:rPr>
                <w:rFonts w:asciiTheme="minorHAnsi" w:hAnsiTheme="minorHAnsi" w:cstheme="minorHAnsi"/>
                <w:sz w:val="22"/>
              </w:rPr>
              <w:t xml:space="preserve">led to selections of “mock” foods with better nutrition profiles. </w:t>
            </w:r>
          </w:p>
          <w:p w:rsidR="00FE6351" w:rsidRPr="00C165B3" w:rsidP="009C5286" w14:paraId="56D244B2" w14:textId="59C89394">
            <w:pPr>
              <w:pStyle w:val="ListParagraph"/>
              <w:numPr>
                <w:ilvl w:val="0"/>
                <w:numId w:val="4"/>
              </w:numPr>
              <w:rPr>
                <w:rFonts w:asciiTheme="minorHAnsi" w:hAnsiTheme="minorHAnsi" w:cstheme="minorHAnsi"/>
              </w:rPr>
            </w:pPr>
            <w:r w:rsidRPr="00C165B3">
              <w:rPr>
                <w:rFonts w:asciiTheme="minorHAnsi" w:hAnsiTheme="minorHAnsi" w:cstheme="minorHAnsi"/>
                <w:sz w:val="22"/>
              </w:rPr>
              <w:t xml:space="preserve">Several studies showed greater purchase intention for products with </w:t>
            </w:r>
            <w:r w:rsidRPr="00C165B3" w:rsidR="00F638F1">
              <w:rPr>
                <w:rFonts w:asciiTheme="minorHAnsi" w:hAnsiTheme="minorHAnsi" w:cstheme="minorHAnsi"/>
                <w:sz w:val="22"/>
              </w:rPr>
              <w:t>FOP</w:t>
            </w:r>
            <w:r w:rsidRPr="00C165B3">
              <w:rPr>
                <w:rFonts w:asciiTheme="minorHAnsi" w:hAnsiTheme="minorHAnsi" w:cstheme="minorHAnsi"/>
                <w:sz w:val="22"/>
              </w:rPr>
              <w:t xml:space="preserve"> symbols versus those without a symbol but one study on willingness to pay found no effects. Some studies found no purchase intention effects.</w:t>
            </w:r>
          </w:p>
          <w:p w:rsidR="00FE6351" w:rsidRPr="00C165B3" w:rsidP="009C5286" w14:paraId="5BA24E6F" w14:textId="6CBE6163">
            <w:pPr>
              <w:pStyle w:val="ListParagraph"/>
              <w:numPr>
                <w:ilvl w:val="0"/>
                <w:numId w:val="4"/>
              </w:numPr>
              <w:rPr>
                <w:rFonts w:asciiTheme="minorHAnsi" w:hAnsiTheme="minorHAnsi" w:cstheme="minorHAnsi"/>
              </w:rPr>
            </w:pPr>
            <w:r w:rsidRPr="00C165B3">
              <w:rPr>
                <w:rFonts w:asciiTheme="minorHAnsi" w:hAnsiTheme="minorHAnsi" w:cstheme="minorHAnsi"/>
                <w:sz w:val="22"/>
              </w:rPr>
              <w:t>FOP</w:t>
            </w:r>
            <w:r w:rsidRPr="00C165B3">
              <w:rPr>
                <w:rFonts w:asciiTheme="minorHAnsi" w:hAnsiTheme="minorHAnsi" w:cstheme="minorHAnsi"/>
                <w:sz w:val="22"/>
              </w:rPr>
              <w:t xml:space="preserve"> symbol rated third behind bottle design and general claims in purchase intention effects. In another study (Georgina, et al, 2017) Health Stars had significant effects (more stars versus fewer) for purchase intentions but the image of the product had a greater effect than the Health Stars.</w:t>
            </w:r>
          </w:p>
          <w:p w:rsidR="009031C0" w:rsidRPr="00C165B3" w:rsidP="009031C0" w14:paraId="7CA7D622" w14:textId="77777777">
            <w:pPr>
              <w:pStyle w:val="ListParagraph"/>
              <w:ind w:left="360"/>
              <w:rPr>
                <w:rFonts w:asciiTheme="minorHAnsi" w:hAnsiTheme="minorHAnsi" w:cstheme="minorHAnsi"/>
                <w:sz w:val="22"/>
                <w:szCs w:val="22"/>
              </w:rPr>
            </w:pPr>
          </w:p>
          <w:p w:rsidR="00FE6351" w:rsidRPr="00C165B3" w:rsidP="009C5286" w14:paraId="4DCEC013" w14:textId="6384C20F">
            <w:pPr>
              <w:rPr>
                <w:rFonts w:asciiTheme="minorHAnsi" w:hAnsiTheme="minorHAnsi" w:cstheme="minorHAnsi"/>
              </w:rPr>
            </w:pPr>
            <w:r w:rsidRPr="00C165B3">
              <w:rPr>
                <w:rFonts w:asciiTheme="minorHAnsi" w:hAnsiTheme="minorHAnsi" w:cstheme="minorHAnsi"/>
                <w:b/>
                <w:bCs/>
                <w:sz w:val="22"/>
                <w:szCs w:val="22"/>
              </w:rPr>
              <w:t xml:space="preserve">Conclusion: </w:t>
            </w:r>
            <w:r w:rsidRPr="00C165B3" w:rsidR="00524B13">
              <w:rPr>
                <w:rFonts w:asciiTheme="minorHAnsi" w:hAnsiTheme="minorHAnsi" w:cstheme="minorHAnsi"/>
                <w:bCs/>
                <w:sz w:val="22"/>
                <w:szCs w:val="22"/>
              </w:rPr>
              <w:t xml:space="preserve">Studies suggest that </w:t>
            </w:r>
            <w:r w:rsidRPr="00C165B3" w:rsidR="00F638F1">
              <w:rPr>
                <w:rFonts w:asciiTheme="minorHAnsi" w:hAnsiTheme="minorHAnsi" w:cstheme="minorHAnsi"/>
                <w:bCs/>
                <w:sz w:val="22"/>
                <w:szCs w:val="22"/>
              </w:rPr>
              <w:t>FOP</w:t>
            </w:r>
            <w:r w:rsidRPr="00C165B3">
              <w:rPr>
                <w:rFonts w:asciiTheme="minorHAnsi" w:hAnsiTheme="minorHAnsi" w:cstheme="minorHAnsi"/>
                <w:bCs/>
                <w:sz w:val="22"/>
                <w:szCs w:val="22"/>
              </w:rPr>
              <w:t xml:space="preserve"> nutrition symbols lead to mock ‘purchase’ of foods with better overall </w:t>
            </w:r>
            <w:r w:rsidRPr="00C165B3" w:rsidR="004614CC">
              <w:rPr>
                <w:rFonts w:asciiTheme="minorHAnsi" w:hAnsiTheme="minorHAnsi" w:cstheme="minorHAnsi"/>
                <w:bCs/>
                <w:sz w:val="22"/>
                <w:szCs w:val="22"/>
              </w:rPr>
              <w:t xml:space="preserve">nutrition </w:t>
            </w:r>
            <w:r w:rsidRPr="00C165B3" w:rsidR="004B6E26">
              <w:rPr>
                <w:rFonts w:asciiTheme="minorHAnsi" w:hAnsiTheme="minorHAnsi" w:cstheme="minorHAnsi"/>
                <w:bCs/>
                <w:sz w:val="22"/>
                <w:szCs w:val="22"/>
              </w:rPr>
              <w:t>profiles</w:t>
            </w:r>
            <w:r w:rsidRPr="00C165B3" w:rsidR="004B6E26">
              <w:rPr>
                <w:rFonts w:cstheme="minorHAnsi"/>
                <w:bCs/>
              </w:rPr>
              <w:t>,</w:t>
            </w:r>
            <w:r w:rsidRPr="00C165B3">
              <w:rPr>
                <w:rFonts w:asciiTheme="minorHAnsi" w:hAnsiTheme="minorHAnsi" w:cstheme="minorHAnsi"/>
                <w:bCs/>
                <w:sz w:val="22"/>
                <w:szCs w:val="22"/>
              </w:rPr>
              <w:t xml:space="preserve"> but results </w:t>
            </w:r>
            <w:r w:rsidRPr="00C165B3" w:rsidR="00A31F57">
              <w:rPr>
                <w:rFonts w:asciiTheme="minorHAnsi" w:hAnsiTheme="minorHAnsi" w:cstheme="minorHAnsi"/>
                <w:bCs/>
                <w:sz w:val="22"/>
                <w:szCs w:val="22"/>
              </w:rPr>
              <w:t xml:space="preserve">appear to be </w:t>
            </w:r>
            <w:r w:rsidRPr="00C165B3">
              <w:rPr>
                <w:rFonts w:asciiTheme="minorHAnsi" w:hAnsiTheme="minorHAnsi" w:cstheme="minorHAnsi"/>
                <w:bCs/>
                <w:sz w:val="22"/>
                <w:szCs w:val="22"/>
              </w:rPr>
              <w:t xml:space="preserve">mixed on experimental and self-assessed purchase intentions; some studies showed significant </w:t>
            </w:r>
            <w:r w:rsidRPr="00C165B3" w:rsidR="00F638F1">
              <w:rPr>
                <w:rFonts w:asciiTheme="minorHAnsi" w:hAnsiTheme="minorHAnsi" w:cstheme="minorHAnsi"/>
                <w:bCs/>
                <w:sz w:val="22"/>
                <w:szCs w:val="22"/>
              </w:rPr>
              <w:t>FOP</w:t>
            </w:r>
            <w:r w:rsidRPr="00C165B3">
              <w:rPr>
                <w:rFonts w:asciiTheme="minorHAnsi" w:hAnsiTheme="minorHAnsi" w:cstheme="minorHAnsi"/>
                <w:bCs/>
                <w:sz w:val="22"/>
                <w:szCs w:val="22"/>
              </w:rPr>
              <w:t xml:space="preserve"> effects and others did not.</w:t>
            </w:r>
          </w:p>
        </w:tc>
      </w:tr>
      <w:tr w14:paraId="4845B0DA" w14:textId="77777777" w:rsidTr="4C9BFAA2">
        <w:tblPrEx>
          <w:tblW w:w="0" w:type="auto"/>
          <w:tblInd w:w="-5" w:type="dxa"/>
          <w:tblLook w:val="04A0"/>
        </w:tblPrEx>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351" w:rsidRPr="00C165B3" w:rsidP="009C5286" w14:paraId="4112A10A" w14:textId="77777777">
            <w:pPr>
              <w:rPr>
                <w:b/>
                <w:sz w:val="24"/>
                <w:szCs w:val="24"/>
              </w:rPr>
            </w:pPr>
          </w:p>
          <w:p w:rsidR="00FE6351" w:rsidRPr="00C165B3" w:rsidP="009C5286" w14:paraId="02B8C970" w14:textId="20139665">
            <w:pPr>
              <w:rPr>
                <w:b/>
                <w:sz w:val="24"/>
                <w:szCs w:val="24"/>
              </w:rPr>
            </w:pPr>
            <w:r w:rsidRPr="00C165B3">
              <w:rPr>
                <w:b/>
                <w:sz w:val="24"/>
                <w:szCs w:val="24"/>
              </w:rPr>
              <w:t xml:space="preserve">Effects on </w:t>
            </w:r>
            <w:r w:rsidRPr="00C165B3" w:rsidR="005355A2">
              <w:rPr>
                <w:b/>
                <w:sz w:val="24"/>
                <w:szCs w:val="24"/>
              </w:rPr>
              <w:t>S</w:t>
            </w:r>
            <w:r w:rsidRPr="00C165B3">
              <w:rPr>
                <w:b/>
                <w:sz w:val="24"/>
                <w:szCs w:val="24"/>
              </w:rPr>
              <w:t>ales (</w:t>
            </w:r>
            <w:r w:rsidRPr="00C165B3" w:rsidR="005355A2">
              <w:rPr>
                <w:b/>
                <w:sz w:val="24"/>
                <w:szCs w:val="24"/>
              </w:rPr>
              <w:t>P</w:t>
            </w:r>
            <w:r w:rsidRPr="00C165B3">
              <w:rPr>
                <w:b/>
                <w:sz w:val="24"/>
                <w:szCs w:val="24"/>
              </w:rPr>
              <w:t xml:space="preserve">urchases) </w:t>
            </w:r>
            <w:r w:rsidRPr="00C165B3">
              <w:rPr>
                <w:b/>
                <w:sz w:val="24"/>
                <w:szCs w:val="24"/>
              </w:rPr>
              <w:t xml:space="preserve">and </w:t>
            </w:r>
            <w:r w:rsidRPr="00C165B3" w:rsidR="005355A2">
              <w:rPr>
                <w:b/>
                <w:sz w:val="24"/>
                <w:szCs w:val="24"/>
              </w:rPr>
              <w:t>C</w:t>
            </w:r>
            <w:r w:rsidRPr="00C165B3">
              <w:rPr>
                <w:b/>
                <w:sz w:val="24"/>
                <w:szCs w:val="24"/>
              </w:rPr>
              <w:t>onsumption</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351" w:rsidRPr="00C165B3" w:rsidP="009C5286" w14:paraId="06148823" w14:textId="3047940F">
            <w:pPr>
              <w:pStyle w:val="ListParagraph"/>
              <w:numPr>
                <w:ilvl w:val="0"/>
                <w:numId w:val="4"/>
              </w:numPr>
              <w:rPr>
                <w:rFonts w:asciiTheme="minorHAnsi" w:hAnsiTheme="minorHAnsi" w:cstheme="minorHAnsi"/>
                <w:sz w:val="22"/>
              </w:rPr>
            </w:pPr>
            <w:r w:rsidRPr="00C165B3">
              <w:rPr>
                <w:rFonts w:asciiTheme="minorHAnsi" w:hAnsiTheme="minorHAnsi" w:cstheme="minorHAnsi"/>
                <w:sz w:val="22"/>
              </w:rPr>
              <w:t xml:space="preserve">Our review identified 10 studies in this category, with 4 experimental studies, one quasi-experimental study, three </w:t>
            </w:r>
            <w:r w:rsidRPr="00C165B3" w:rsidR="001E3782">
              <w:rPr>
                <w:rFonts w:asciiTheme="minorHAnsi" w:hAnsiTheme="minorHAnsi" w:cstheme="minorHAnsi"/>
                <w:sz w:val="22"/>
              </w:rPr>
              <w:t xml:space="preserve">qualitative studies using </w:t>
            </w:r>
            <w:r w:rsidRPr="00C165B3">
              <w:rPr>
                <w:rFonts w:asciiTheme="minorHAnsi" w:hAnsiTheme="minorHAnsi" w:cstheme="minorHAnsi"/>
                <w:sz w:val="22"/>
              </w:rPr>
              <w:t>interview methods, two product content analyses, and one study using sales data and a convenience sample survey.</w:t>
            </w:r>
          </w:p>
          <w:p w:rsidR="00FE6351" w:rsidRPr="00C165B3" w:rsidP="009C5286" w14:paraId="5CB74DE7" w14:textId="77777777">
            <w:pPr>
              <w:pStyle w:val="ListParagraph"/>
              <w:numPr>
                <w:ilvl w:val="0"/>
                <w:numId w:val="4"/>
              </w:numPr>
              <w:rPr>
                <w:rFonts w:asciiTheme="minorHAnsi" w:hAnsiTheme="minorHAnsi" w:cstheme="minorHAnsi"/>
              </w:rPr>
            </w:pPr>
            <w:r w:rsidRPr="00C165B3">
              <w:rPr>
                <w:rFonts w:asciiTheme="minorHAnsi" w:hAnsiTheme="minorHAnsi" w:cstheme="minorHAnsi"/>
                <w:sz w:val="22"/>
              </w:rPr>
              <w:t>These studies were conducted in the US, Turkey, New Zealand, Uruguay, and Canada</w:t>
            </w:r>
          </w:p>
          <w:p w:rsidR="00FE6351" w:rsidRPr="00C165B3" w:rsidP="009C5286" w14:paraId="7F3487AC" w14:textId="0C50B09B">
            <w:pPr>
              <w:pStyle w:val="ListParagraph"/>
              <w:numPr>
                <w:ilvl w:val="0"/>
                <w:numId w:val="4"/>
              </w:numPr>
              <w:rPr>
                <w:rFonts w:asciiTheme="minorHAnsi" w:hAnsiTheme="minorHAnsi" w:cstheme="minorHAnsi"/>
                <w:sz w:val="22"/>
              </w:rPr>
            </w:pPr>
            <w:r w:rsidRPr="00C165B3">
              <w:rPr>
                <w:rFonts w:asciiTheme="minorHAnsi" w:hAnsiTheme="minorHAnsi" w:cstheme="minorHAnsi"/>
                <w:sz w:val="22"/>
              </w:rPr>
              <w:t>Lesser-known</w:t>
            </w:r>
            <w:r w:rsidRPr="00C165B3">
              <w:rPr>
                <w:rFonts w:asciiTheme="minorHAnsi" w:hAnsiTheme="minorHAnsi" w:cstheme="minorHAnsi"/>
                <w:sz w:val="22"/>
              </w:rPr>
              <w:t xml:space="preserve"> brands, versus brand leaders, showed positive sales effects when bearing </w:t>
            </w:r>
            <w:r w:rsidRPr="00C165B3" w:rsidR="00F638F1">
              <w:rPr>
                <w:rFonts w:asciiTheme="minorHAnsi" w:hAnsiTheme="minorHAnsi" w:cstheme="minorHAnsi"/>
                <w:sz w:val="22"/>
              </w:rPr>
              <w:t>FOP</w:t>
            </w:r>
            <w:r w:rsidRPr="00C165B3">
              <w:rPr>
                <w:rFonts w:asciiTheme="minorHAnsi" w:hAnsiTheme="minorHAnsi" w:cstheme="minorHAnsi"/>
                <w:sz w:val="22"/>
              </w:rPr>
              <w:t xml:space="preserve"> nutrition symbol.</w:t>
            </w:r>
          </w:p>
          <w:p w:rsidR="00FE6351" w:rsidRPr="00C165B3" w:rsidP="009C5286" w14:paraId="1D45D091" w14:textId="3728E779">
            <w:pPr>
              <w:pStyle w:val="ListParagraph"/>
              <w:numPr>
                <w:ilvl w:val="0"/>
                <w:numId w:val="4"/>
              </w:numPr>
              <w:rPr>
                <w:rFonts w:asciiTheme="minorHAnsi" w:hAnsiTheme="minorHAnsi" w:cstheme="minorHAnsi"/>
                <w:sz w:val="22"/>
              </w:rPr>
            </w:pPr>
            <w:r w:rsidRPr="00C165B3">
              <w:rPr>
                <w:rFonts w:asciiTheme="minorHAnsi" w:hAnsiTheme="minorHAnsi" w:cstheme="minorHAnsi"/>
                <w:sz w:val="22"/>
              </w:rPr>
              <w:t>A study on Guiding Stars</w:t>
            </w:r>
            <w:r w:rsidRPr="00C165B3" w:rsidR="00A6215A">
              <w:rPr>
                <w:rFonts w:asciiTheme="minorHAnsi" w:hAnsiTheme="minorHAnsi" w:cstheme="minorHAnsi"/>
                <w:sz w:val="22"/>
              </w:rPr>
              <w:t>™</w:t>
            </w:r>
            <w:r w:rsidRPr="00C165B3">
              <w:rPr>
                <w:rFonts w:asciiTheme="minorHAnsi" w:hAnsiTheme="minorHAnsi" w:cstheme="minorHAnsi"/>
                <w:sz w:val="22"/>
              </w:rPr>
              <w:t xml:space="preserve"> show an increase in product sales for products bearing the symbol.</w:t>
            </w:r>
          </w:p>
          <w:p w:rsidR="00FE6351" w:rsidRPr="00C165B3" w:rsidP="009C5286" w14:paraId="1A5F008D" w14:textId="2204C02A">
            <w:pPr>
              <w:pStyle w:val="ListParagraph"/>
              <w:numPr>
                <w:ilvl w:val="0"/>
                <w:numId w:val="4"/>
              </w:numPr>
              <w:rPr>
                <w:rFonts w:asciiTheme="minorHAnsi" w:hAnsiTheme="minorHAnsi" w:cstheme="minorHAnsi"/>
                <w:sz w:val="22"/>
              </w:rPr>
            </w:pPr>
            <w:r w:rsidRPr="00C165B3">
              <w:rPr>
                <w:rFonts w:asciiTheme="minorHAnsi" w:hAnsiTheme="minorHAnsi" w:cstheme="minorHAnsi"/>
                <w:sz w:val="22"/>
              </w:rPr>
              <w:t xml:space="preserve">Several studies showed evidence of product reformulation toward removal of sat-fat, </w:t>
            </w:r>
            <w:r w:rsidRPr="00C165B3">
              <w:rPr>
                <w:rFonts w:asciiTheme="minorHAnsi" w:hAnsiTheme="minorHAnsi" w:cstheme="minorHAnsi"/>
                <w:i/>
                <w:sz w:val="22"/>
              </w:rPr>
              <w:t>trans</w:t>
            </w:r>
            <w:r w:rsidRPr="00C165B3">
              <w:rPr>
                <w:rFonts w:asciiTheme="minorHAnsi" w:hAnsiTheme="minorHAnsi" w:cstheme="minorHAnsi"/>
                <w:sz w:val="22"/>
              </w:rPr>
              <w:t xml:space="preserve">-fat, and sodium with </w:t>
            </w:r>
            <w:r w:rsidRPr="00C165B3" w:rsidR="00F638F1">
              <w:rPr>
                <w:rFonts w:asciiTheme="minorHAnsi" w:hAnsiTheme="minorHAnsi" w:cstheme="minorHAnsi"/>
                <w:sz w:val="22"/>
              </w:rPr>
              <w:t>FOP</w:t>
            </w:r>
            <w:r w:rsidRPr="00C165B3">
              <w:rPr>
                <w:rFonts w:asciiTheme="minorHAnsi" w:hAnsiTheme="minorHAnsi" w:cstheme="minorHAnsi"/>
                <w:sz w:val="22"/>
              </w:rPr>
              <w:t xml:space="preserve"> implementation.</w:t>
            </w:r>
          </w:p>
          <w:p w:rsidR="00FE6351" w:rsidRPr="00C165B3" w:rsidP="009C5286" w14:paraId="49A4EBB3" w14:textId="77777777">
            <w:pPr>
              <w:rPr>
                <w:rFonts w:asciiTheme="minorHAnsi" w:hAnsiTheme="minorHAnsi" w:cstheme="minorHAnsi"/>
                <w:sz w:val="24"/>
                <w:szCs w:val="24"/>
              </w:rPr>
            </w:pPr>
          </w:p>
          <w:p w:rsidR="00FE6351" w:rsidRPr="00C165B3" w:rsidP="009C5286" w14:paraId="56F320FF" w14:textId="49E8BDE1">
            <w:pPr>
              <w:rPr>
                <w:rFonts w:asciiTheme="minorHAnsi" w:hAnsiTheme="minorHAnsi" w:cstheme="minorHAnsi"/>
                <w:sz w:val="22"/>
                <w:szCs w:val="22"/>
              </w:rPr>
            </w:pPr>
            <w:r w:rsidRPr="00C165B3">
              <w:rPr>
                <w:rFonts w:asciiTheme="minorHAnsi" w:hAnsiTheme="minorHAnsi" w:cstheme="minorHAnsi"/>
                <w:b/>
                <w:bCs/>
                <w:sz w:val="22"/>
                <w:szCs w:val="22"/>
              </w:rPr>
              <w:t xml:space="preserve">Conclusion: </w:t>
            </w:r>
            <w:r w:rsidRPr="00C165B3">
              <w:rPr>
                <w:rFonts w:asciiTheme="minorHAnsi" w:hAnsiTheme="minorHAnsi" w:cstheme="minorHAnsi"/>
                <w:bCs/>
                <w:sz w:val="22"/>
                <w:szCs w:val="22"/>
              </w:rPr>
              <w:t>The</w:t>
            </w:r>
            <w:r w:rsidRPr="00C165B3" w:rsidR="00B50B78">
              <w:rPr>
                <w:rFonts w:asciiTheme="minorHAnsi" w:hAnsiTheme="minorHAnsi" w:cstheme="minorHAnsi"/>
                <w:bCs/>
                <w:sz w:val="22"/>
                <w:szCs w:val="22"/>
              </w:rPr>
              <w:t xml:space="preserve"> studies suggest that</w:t>
            </w:r>
            <w:r w:rsidRPr="00C165B3">
              <w:rPr>
                <w:rFonts w:asciiTheme="minorHAnsi" w:hAnsiTheme="minorHAnsi" w:cstheme="minorHAnsi"/>
                <w:bCs/>
                <w:sz w:val="22"/>
                <w:szCs w:val="22"/>
              </w:rPr>
              <w:t xml:space="preserve"> implementation of </w:t>
            </w:r>
            <w:r w:rsidRPr="00C165B3" w:rsidR="00F638F1">
              <w:rPr>
                <w:rFonts w:asciiTheme="minorHAnsi" w:hAnsiTheme="minorHAnsi" w:cstheme="minorHAnsi"/>
                <w:bCs/>
                <w:sz w:val="22"/>
                <w:szCs w:val="22"/>
              </w:rPr>
              <w:t>FOP</w:t>
            </w:r>
            <w:r w:rsidRPr="00C165B3">
              <w:rPr>
                <w:rFonts w:asciiTheme="minorHAnsi" w:hAnsiTheme="minorHAnsi" w:cstheme="minorHAnsi"/>
                <w:bCs/>
                <w:sz w:val="22"/>
                <w:szCs w:val="22"/>
              </w:rPr>
              <w:t xml:space="preserve"> Nutrition symbols has led to product reformulations and there is some evidence of increases in sales of products bearing a </w:t>
            </w:r>
            <w:r w:rsidRPr="00C165B3" w:rsidR="00F638F1">
              <w:rPr>
                <w:rFonts w:asciiTheme="minorHAnsi" w:hAnsiTheme="minorHAnsi" w:cstheme="minorHAnsi"/>
                <w:bCs/>
                <w:sz w:val="22"/>
                <w:szCs w:val="22"/>
              </w:rPr>
              <w:t>FOP</w:t>
            </w:r>
            <w:r w:rsidRPr="00C165B3">
              <w:rPr>
                <w:rFonts w:asciiTheme="minorHAnsi" w:hAnsiTheme="minorHAnsi" w:cstheme="minorHAnsi"/>
                <w:bCs/>
                <w:sz w:val="22"/>
                <w:szCs w:val="22"/>
              </w:rPr>
              <w:t xml:space="preserve"> symbol.</w:t>
            </w:r>
          </w:p>
        </w:tc>
      </w:tr>
      <w:tr w14:paraId="49002E24" w14:textId="77777777" w:rsidTr="4C9BFAA2">
        <w:tblPrEx>
          <w:tblW w:w="0" w:type="auto"/>
          <w:tblInd w:w="-5" w:type="dxa"/>
          <w:tblLook w:val="04A0"/>
        </w:tblPrEx>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351" w:rsidRPr="00C165B3" w:rsidP="009C5286" w14:paraId="349E6959" w14:textId="77777777">
            <w:pPr>
              <w:rPr>
                <w:b/>
                <w:sz w:val="24"/>
                <w:szCs w:val="24"/>
              </w:rPr>
            </w:pPr>
            <w:r w:rsidRPr="00C165B3">
              <w:rPr>
                <w:b/>
                <w:sz w:val="24"/>
                <w:szCs w:val="24"/>
              </w:rPr>
              <w:t>Effects on Educational Differences</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351" w:rsidRPr="00C165B3" w:rsidP="009C5286" w14:paraId="3C3C401E" w14:textId="77777777">
            <w:pPr>
              <w:pStyle w:val="ListParagraph"/>
              <w:numPr>
                <w:ilvl w:val="0"/>
                <w:numId w:val="5"/>
              </w:numPr>
              <w:rPr>
                <w:rFonts w:asciiTheme="minorHAnsi" w:hAnsiTheme="minorHAnsi" w:cstheme="minorHAnsi"/>
                <w:sz w:val="22"/>
              </w:rPr>
            </w:pPr>
            <w:r w:rsidRPr="00C165B3">
              <w:rPr>
                <w:rFonts w:asciiTheme="minorHAnsi" w:hAnsiTheme="minorHAnsi" w:cstheme="minorHAnsi"/>
                <w:sz w:val="22"/>
              </w:rPr>
              <w:t>Our review identified 10 studies that measured effects on education, with 4 experimental studies, 5 surveys, 1 set of focus groups, and 1 literature review. (1 study was multi-modal.)</w:t>
            </w:r>
          </w:p>
          <w:p w:rsidR="00FE6351" w:rsidRPr="00C165B3" w:rsidP="009C5286" w14:paraId="6E748EFF" w14:textId="77777777">
            <w:pPr>
              <w:pStyle w:val="ListParagraph"/>
              <w:numPr>
                <w:ilvl w:val="0"/>
                <w:numId w:val="5"/>
              </w:numPr>
              <w:rPr>
                <w:rFonts w:asciiTheme="minorHAnsi" w:hAnsiTheme="minorHAnsi" w:cstheme="minorHAnsi"/>
                <w:sz w:val="22"/>
              </w:rPr>
            </w:pPr>
            <w:r w:rsidRPr="00C165B3">
              <w:rPr>
                <w:rFonts w:asciiTheme="minorHAnsi" w:hAnsiTheme="minorHAnsi" w:cstheme="minorHAnsi"/>
                <w:sz w:val="22"/>
              </w:rPr>
              <w:t>These studies were conducted in France, Mexico, Canada, Uruguay, Germany, Australia, and the USA.</w:t>
            </w:r>
          </w:p>
          <w:p w:rsidR="00FE6351" w:rsidRPr="00C165B3" w:rsidP="009C5286" w14:paraId="089EAD26" w14:textId="4507D5CC">
            <w:pPr>
              <w:pStyle w:val="ListParagraph"/>
              <w:numPr>
                <w:ilvl w:val="0"/>
                <w:numId w:val="5"/>
              </w:numPr>
              <w:rPr>
                <w:rFonts w:asciiTheme="minorHAnsi" w:hAnsiTheme="minorHAnsi" w:cstheme="minorHAnsi"/>
                <w:sz w:val="22"/>
              </w:rPr>
            </w:pPr>
            <w:r w:rsidRPr="00C165B3">
              <w:rPr>
                <w:rFonts w:asciiTheme="minorHAnsi" w:hAnsiTheme="minorHAnsi" w:cstheme="minorHAnsi"/>
                <w:sz w:val="22"/>
              </w:rPr>
              <w:t>Summary systems (versus nutrient-descriptive systems) worked best for those with a less deliberative style of making food selections</w:t>
            </w:r>
            <w:r w:rsidRPr="00C165B3" w:rsidR="001E3782">
              <w:rPr>
                <w:rFonts w:asciiTheme="minorHAnsi" w:hAnsiTheme="minorHAnsi" w:cstheme="minorHAnsi"/>
                <w:sz w:val="22"/>
              </w:rPr>
              <w:t xml:space="preserve">, </w:t>
            </w:r>
            <w:r w:rsidRPr="00C165B3">
              <w:rPr>
                <w:rFonts w:asciiTheme="minorHAnsi" w:hAnsiTheme="minorHAnsi"/>
                <w:sz w:val="22"/>
              </w:rPr>
              <w:t>i.e., those with high nutrition knowledge and those with low nutrition knowledge but high motivation.</w:t>
            </w:r>
          </w:p>
          <w:p w:rsidR="00FE6351" w:rsidRPr="00C165B3" w:rsidP="009C5286" w14:paraId="4A653C7B" w14:textId="205352F1">
            <w:pPr>
              <w:pStyle w:val="ListParagraph"/>
              <w:numPr>
                <w:ilvl w:val="0"/>
                <w:numId w:val="5"/>
              </w:numPr>
              <w:rPr>
                <w:rFonts w:asciiTheme="minorHAnsi" w:hAnsiTheme="minorHAnsi" w:cstheme="minorHAnsi"/>
                <w:sz w:val="22"/>
              </w:rPr>
            </w:pPr>
            <w:r w:rsidRPr="00C165B3">
              <w:rPr>
                <w:rFonts w:asciiTheme="minorHAnsi" w:hAnsiTheme="minorHAnsi" w:cstheme="minorHAnsi"/>
                <w:sz w:val="22"/>
              </w:rPr>
              <w:t>There were v</w:t>
            </w:r>
            <w:r w:rsidRPr="00C165B3">
              <w:rPr>
                <w:rFonts w:asciiTheme="minorHAnsi" w:hAnsiTheme="minorHAnsi" w:cstheme="minorHAnsi"/>
                <w:sz w:val="22"/>
              </w:rPr>
              <w:t>ery small differences in preference for certain labels by education; no difference in healthfulness of food choice; understanding, self-reported use, trust.</w:t>
            </w:r>
          </w:p>
          <w:p w:rsidR="009031C0" w:rsidRPr="00C165B3" w:rsidP="009031C0" w14:paraId="28CE24EF" w14:textId="77777777">
            <w:pPr>
              <w:pStyle w:val="ListParagraph"/>
              <w:ind w:left="360"/>
              <w:rPr>
                <w:rFonts w:asciiTheme="minorHAnsi" w:hAnsiTheme="minorHAnsi" w:cstheme="minorHAnsi"/>
                <w:sz w:val="22"/>
              </w:rPr>
            </w:pPr>
          </w:p>
          <w:p w:rsidR="00FE6351" w:rsidRPr="00C165B3" w:rsidP="009C5286" w14:paraId="076BAE08" w14:textId="45D2CF2B">
            <w:pPr>
              <w:rPr>
                <w:rFonts w:asciiTheme="minorHAnsi" w:hAnsiTheme="minorHAnsi" w:cstheme="minorHAnsi"/>
                <w:sz w:val="22"/>
                <w:szCs w:val="22"/>
              </w:rPr>
            </w:pPr>
            <w:r w:rsidRPr="00C165B3">
              <w:rPr>
                <w:rFonts w:asciiTheme="minorHAnsi" w:hAnsiTheme="minorHAnsi" w:cstheme="minorHAnsi"/>
                <w:b/>
                <w:bCs/>
                <w:sz w:val="22"/>
                <w:szCs w:val="22"/>
              </w:rPr>
              <w:t xml:space="preserve">Conclusion: </w:t>
            </w:r>
            <w:r w:rsidRPr="00C165B3">
              <w:rPr>
                <w:rFonts w:asciiTheme="minorHAnsi" w:hAnsiTheme="minorHAnsi" w:cstheme="minorHAnsi"/>
                <w:bCs/>
                <w:sz w:val="22"/>
                <w:szCs w:val="22"/>
              </w:rPr>
              <w:t xml:space="preserve">Although one study found differences in response to food labels by nutrition knowledge and motivation to eat healthfully, education-level was not revealed to be a significant factor in consumers’ differentiating of </w:t>
            </w:r>
            <w:r w:rsidRPr="00C165B3" w:rsidR="00F638F1">
              <w:rPr>
                <w:rFonts w:asciiTheme="minorHAnsi" w:hAnsiTheme="minorHAnsi" w:cstheme="minorHAnsi"/>
                <w:bCs/>
                <w:sz w:val="22"/>
                <w:szCs w:val="22"/>
              </w:rPr>
              <w:t>FOP</w:t>
            </w:r>
            <w:r w:rsidRPr="00C165B3">
              <w:rPr>
                <w:rFonts w:asciiTheme="minorHAnsi" w:hAnsiTheme="minorHAnsi" w:cstheme="minorHAnsi"/>
                <w:bCs/>
                <w:sz w:val="22"/>
                <w:szCs w:val="22"/>
              </w:rPr>
              <w:t xml:space="preserve"> labels.</w:t>
            </w:r>
          </w:p>
        </w:tc>
      </w:tr>
      <w:tr w14:paraId="6A38AD33" w14:textId="77777777" w:rsidTr="4C9BFAA2">
        <w:tblPrEx>
          <w:tblW w:w="0" w:type="auto"/>
          <w:tblInd w:w="-5" w:type="dxa"/>
          <w:tblLook w:val="04A0"/>
        </w:tblPrEx>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351" w:rsidRPr="00C165B3" w:rsidP="009C5286" w14:paraId="26F6EEA0" w14:textId="77777777">
            <w:pPr>
              <w:rPr>
                <w:b/>
                <w:sz w:val="24"/>
                <w:szCs w:val="24"/>
              </w:rPr>
            </w:pPr>
          </w:p>
          <w:p w:rsidR="00FE6351" w:rsidRPr="00C165B3" w:rsidP="009C5286" w14:paraId="6A2D37E7" w14:textId="77777777">
            <w:pPr>
              <w:rPr>
                <w:rFonts w:asciiTheme="minorHAnsi" w:hAnsiTheme="minorHAnsi" w:cstheme="minorHAnsi"/>
                <w:b/>
                <w:sz w:val="24"/>
                <w:szCs w:val="24"/>
              </w:rPr>
            </w:pPr>
            <w:r w:rsidRPr="00C165B3">
              <w:rPr>
                <w:b/>
                <w:sz w:val="24"/>
                <w:szCs w:val="24"/>
              </w:rPr>
              <w:t>Effects on Diverse Populations</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351" w:rsidRPr="00C165B3" w:rsidP="009C5286" w14:paraId="63C69991" w14:textId="77777777">
            <w:pPr>
              <w:pStyle w:val="ListParagraph"/>
              <w:numPr>
                <w:ilvl w:val="0"/>
                <w:numId w:val="5"/>
              </w:numPr>
              <w:rPr>
                <w:rFonts w:asciiTheme="minorHAnsi" w:hAnsiTheme="minorHAnsi" w:cstheme="minorHAnsi"/>
                <w:sz w:val="22"/>
                <w:szCs w:val="22"/>
              </w:rPr>
            </w:pPr>
            <w:r w:rsidRPr="00C165B3">
              <w:rPr>
                <w:rFonts w:asciiTheme="minorHAnsi" w:hAnsiTheme="minorHAnsi" w:cstheme="minorHAnsi"/>
                <w:sz w:val="22"/>
                <w:szCs w:val="22"/>
              </w:rPr>
              <w:t>Our review identified 7 studies in this category, with 4 experimental studies, one set of focus groups and two surveys.</w:t>
            </w:r>
          </w:p>
          <w:p w:rsidR="00FE6351" w:rsidRPr="00C165B3" w:rsidP="009C5286" w14:paraId="54FE4B28" w14:textId="4E30233C">
            <w:pPr>
              <w:pStyle w:val="ListParagraph"/>
              <w:numPr>
                <w:ilvl w:val="0"/>
                <w:numId w:val="5"/>
              </w:numPr>
              <w:rPr>
                <w:rFonts w:asciiTheme="minorHAnsi" w:hAnsiTheme="minorHAnsi" w:cstheme="minorHAnsi"/>
                <w:sz w:val="22"/>
                <w:szCs w:val="22"/>
              </w:rPr>
            </w:pPr>
            <w:r w:rsidRPr="00C165B3">
              <w:rPr>
                <w:rFonts w:asciiTheme="minorHAnsi" w:hAnsiTheme="minorHAnsi" w:cstheme="minorHAnsi"/>
                <w:sz w:val="22"/>
                <w:szCs w:val="22"/>
              </w:rPr>
              <w:t xml:space="preserve">These studies were conducted in Uruguay, Mexico, </w:t>
            </w:r>
            <w:r w:rsidRPr="00C165B3">
              <w:rPr>
                <w:rFonts w:asciiTheme="minorHAnsi" w:hAnsiTheme="minorHAnsi" w:cstheme="minorHAnsi"/>
                <w:sz w:val="22"/>
                <w:szCs w:val="22"/>
              </w:rPr>
              <w:t>France</w:t>
            </w:r>
            <w:r w:rsidRPr="00C165B3">
              <w:rPr>
                <w:rFonts w:asciiTheme="minorHAnsi" w:hAnsiTheme="minorHAnsi" w:cstheme="minorHAnsi"/>
                <w:sz w:val="22"/>
                <w:szCs w:val="22"/>
              </w:rPr>
              <w:t xml:space="preserve"> and Australia.</w:t>
            </w:r>
          </w:p>
          <w:p w:rsidR="00FE6351" w:rsidRPr="00C165B3" w:rsidP="009C5286" w14:paraId="3A96248F" w14:textId="31DA11B0">
            <w:pPr>
              <w:pStyle w:val="ListParagraph"/>
              <w:numPr>
                <w:ilvl w:val="0"/>
                <w:numId w:val="5"/>
              </w:numPr>
              <w:rPr>
                <w:rFonts w:asciiTheme="minorHAnsi" w:hAnsiTheme="minorHAnsi" w:cstheme="minorHAnsi"/>
                <w:sz w:val="22"/>
                <w:szCs w:val="22"/>
              </w:rPr>
            </w:pPr>
            <w:r w:rsidRPr="00C165B3">
              <w:rPr>
                <w:rFonts w:asciiTheme="minorHAnsi" w:hAnsiTheme="minorHAnsi" w:cstheme="minorHAnsi"/>
                <w:sz w:val="22"/>
                <w:szCs w:val="22"/>
              </w:rPr>
              <w:t>FOP</w:t>
            </w:r>
            <w:r w:rsidRPr="00C165B3">
              <w:rPr>
                <w:rFonts w:asciiTheme="minorHAnsi" w:hAnsiTheme="minorHAnsi" w:cstheme="minorHAnsi"/>
                <w:sz w:val="22"/>
                <w:szCs w:val="22"/>
              </w:rPr>
              <w:t xml:space="preserve"> effects seen for low-income children but not for middle and higher income.</w:t>
            </w:r>
          </w:p>
          <w:p w:rsidR="00FE6351" w:rsidRPr="00C165B3" w:rsidP="009C5286" w14:paraId="2D05526C" w14:textId="1D346B80">
            <w:pPr>
              <w:pStyle w:val="ListParagraph"/>
              <w:numPr>
                <w:ilvl w:val="0"/>
                <w:numId w:val="5"/>
              </w:numPr>
              <w:rPr>
                <w:rFonts w:asciiTheme="minorHAnsi" w:hAnsiTheme="minorHAnsi" w:cstheme="minorHAnsi"/>
                <w:sz w:val="22"/>
                <w:szCs w:val="22"/>
              </w:rPr>
            </w:pPr>
            <w:r w:rsidRPr="00C165B3">
              <w:rPr>
                <w:rFonts w:asciiTheme="minorHAnsi" w:hAnsiTheme="minorHAnsi" w:cstheme="minorHAnsi"/>
                <w:sz w:val="22"/>
                <w:szCs w:val="22"/>
              </w:rPr>
              <w:t xml:space="preserve">For children in general (Uruguay), claims and </w:t>
            </w:r>
            <w:r w:rsidRPr="00C165B3" w:rsidR="00F638F1">
              <w:rPr>
                <w:rFonts w:asciiTheme="minorHAnsi" w:hAnsiTheme="minorHAnsi" w:cstheme="minorHAnsi"/>
                <w:sz w:val="22"/>
                <w:szCs w:val="22"/>
              </w:rPr>
              <w:t>FOP</w:t>
            </w:r>
            <w:r w:rsidRPr="00C165B3">
              <w:rPr>
                <w:rFonts w:asciiTheme="minorHAnsi" w:hAnsiTheme="minorHAnsi" w:cstheme="minorHAnsi"/>
                <w:sz w:val="22"/>
                <w:szCs w:val="22"/>
              </w:rPr>
              <w:t xml:space="preserve"> symbols led to increases in understanding of product healthfulness.</w:t>
            </w:r>
          </w:p>
          <w:p w:rsidR="009031C0" w:rsidRPr="00C165B3" w:rsidP="009031C0" w14:paraId="4037D638" w14:textId="77777777">
            <w:pPr>
              <w:pStyle w:val="ListParagraph"/>
              <w:ind w:left="360"/>
              <w:rPr>
                <w:rFonts w:asciiTheme="minorHAnsi" w:hAnsiTheme="minorHAnsi" w:cstheme="minorHAnsi"/>
                <w:sz w:val="22"/>
                <w:szCs w:val="22"/>
              </w:rPr>
            </w:pPr>
          </w:p>
          <w:p w:rsidR="00FE6351" w:rsidRPr="00C165B3" w:rsidP="009C5286" w14:paraId="39220C25" w14:textId="2AE05FA0">
            <w:pPr>
              <w:rPr>
                <w:rFonts w:asciiTheme="minorHAnsi" w:hAnsiTheme="minorHAnsi" w:cstheme="minorHAnsi"/>
                <w:bCs/>
                <w:sz w:val="22"/>
                <w:szCs w:val="22"/>
              </w:rPr>
            </w:pPr>
            <w:r w:rsidRPr="00C165B3">
              <w:rPr>
                <w:rFonts w:asciiTheme="minorHAnsi" w:hAnsiTheme="minorHAnsi" w:cstheme="minorHAnsi"/>
                <w:b/>
                <w:bCs/>
                <w:sz w:val="22"/>
                <w:szCs w:val="22"/>
              </w:rPr>
              <w:t xml:space="preserve">Conclusion: </w:t>
            </w:r>
            <w:r w:rsidRPr="00C165B3" w:rsidR="00B50B78">
              <w:rPr>
                <w:rFonts w:asciiTheme="minorHAnsi" w:hAnsiTheme="minorHAnsi" w:cstheme="minorHAnsi"/>
                <w:bCs/>
                <w:sz w:val="22"/>
                <w:szCs w:val="22"/>
              </w:rPr>
              <w:t>While</w:t>
            </w:r>
            <w:r w:rsidRPr="00C165B3">
              <w:rPr>
                <w:rFonts w:asciiTheme="minorHAnsi" w:hAnsiTheme="minorHAnsi" w:cstheme="minorHAnsi"/>
                <w:bCs/>
                <w:sz w:val="22"/>
                <w:szCs w:val="22"/>
              </w:rPr>
              <w:t xml:space="preserve"> results </w:t>
            </w:r>
            <w:r w:rsidRPr="00C165B3" w:rsidR="007E2912">
              <w:rPr>
                <w:rFonts w:asciiTheme="minorHAnsi" w:hAnsiTheme="minorHAnsi" w:cstheme="minorHAnsi"/>
                <w:bCs/>
                <w:sz w:val="22"/>
                <w:szCs w:val="22"/>
              </w:rPr>
              <w:t xml:space="preserve">from the studies varied, </w:t>
            </w:r>
            <w:r w:rsidRPr="00C165B3" w:rsidR="001D018F">
              <w:rPr>
                <w:rFonts w:asciiTheme="minorHAnsi" w:hAnsiTheme="minorHAnsi" w:cstheme="minorHAnsi"/>
                <w:bCs/>
                <w:sz w:val="22"/>
                <w:szCs w:val="22"/>
              </w:rPr>
              <w:t xml:space="preserve">they </w:t>
            </w:r>
            <w:r w:rsidRPr="00C165B3">
              <w:rPr>
                <w:rFonts w:asciiTheme="minorHAnsi" w:hAnsiTheme="minorHAnsi" w:cstheme="minorHAnsi"/>
                <w:bCs/>
                <w:sz w:val="22"/>
                <w:szCs w:val="22"/>
              </w:rPr>
              <w:t xml:space="preserve">point toward positive comprehension effects of </w:t>
            </w:r>
            <w:r w:rsidRPr="00C165B3" w:rsidR="00F638F1">
              <w:rPr>
                <w:rFonts w:asciiTheme="minorHAnsi" w:hAnsiTheme="minorHAnsi" w:cstheme="minorHAnsi"/>
                <w:bCs/>
                <w:sz w:val="22"/>
                <w:szCs w:val="22"/>
              </w:rPr>
              <w:t>FOP</w:t>
            </w:r>
            <w:r w:rsidRPr="00C165B3">
              <w:rPr>
                <w:rFonts w:asciiTheme="minorHAnsi" w:hAnsiTheme="minorHAnsi" w:cstheme="minorHAnsi"/>
                <w:bCs/>
                <w:sz w:val="22"/>
                <w:szCs w:val="22"/>
              </w:rPr>
              <w:t xml:space="preserve"> nutrition information for </w:t>
            </w:r>
            <w:r w:rsidRPr="00C165B3" w:rsidR="00142626">
              <w:rPr>
                <w:rFonts w:asciiTheme="minorHAnsi" w:hAnsiTheme="minorHAnsi" w:cstheme="minorHAnsi"/>
                <w:bCs/>
                <w:sz w:val="22"/>
                <w:szCs w:val="22"/>
              </w:rPr>
              <w:t>low-income</w:t>
            </w:r>
            <w:r w:rsidRPr="00C165B3">
              <w:rPr>
                <w:rFonts w:asciiTheme="minorHAnsi" w:hAnsiTheme="minorHAnsi" w:cstheme="minorHAnsi"/>
                <w:bCs/>
                <w:sz w:val="22"/>
                <w:szCs w:val="22"/>
              </w:rPr>
              <w:t xml:space="preserve"> children. </w:t>
            </w:r>
          </w:p>
        </w:tc>
      </w:tr>
      <w:tr w14:paraId="1A1AA2D0" w14:textId="77777777" w:rsidTr="4C9BFAA2">
        <w:tblPrEx>
          <w:tblW w:w="0" w:type="auto"/>
          <w:tblInd w:w="-5" w:type="dxa"/>
          <w:tblLook w:val="04A0"/>
        </w:tblPrEx>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351" w:rsidRPr="00C165B3" w:rsidP="009C5286" w14:paraId="1B595B7D" w14:textId="77777777">
            <w:pPr>
              <w:rPr>
                <w:b/>
                <w:sz w:val="24"/>
                <w:szCs w:val="24"/>
              </w:rPr>
            </w:pPr>
          </w:p>
          <w:p w:rsidR="00FE6351" w:rsidRPr="00C165B3" w:rsidP="009C5286" w14:paraId="4E179BB5" w14:textId="2077104D">
            <w:pPr>
              <w:rPr>
                <w:b/>
                <w:sz w:val="24"/>
                <w:szCs w:val="24"/>
              </w:rPr>
            </w:pPr>
            <w:r w:rsidRPr="00C165B3">
              <w:rPr>
                <w:b/>
                <w:sz w:val="24"/>
                <w:szCs w:val="24"/>
              </w:rPr>
              <w:t xml:space="preserve">Evaluation of Government </w:t>
            </w:r>
            <w:r w:rsidRPr="00C165B3" w:rsidR="00F638F1">
              <w:rPr>
                <w:b/>
                <w:sz w:val="24"/>
                <w:szCs w:val="24"/>
              </w:rPr>
              <w:t>FOP</w:t>
            </w:r>
            <w:r w:rsidRPr="00C165B3">
              <w:rPr>
                <w:b/>
                <w:sz w:val="24"/>
                <w:szCs w:val="24"/>
              </w:rPr>
              <w:t xml:space="preserve"> Nutrition Symbols</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351" w:rsidRPr="00C165B3" w:rsidP="009C5286" w14:paraId="7ABD4BA9" w14:textId="77777777">
            <w:pPr>
              <w:pStyle w:val="ListParagraph"/>
              <w:numPr>
                <w:ilvl w:val="0"/>
                <w:numId w:val="4"/>
              </w:numPr>
              <w:rPr>
                <w:rFonts w:asciiTheme="minorHAnsi" w:hAnsiTheme="minorHAnsi" w:cstheme="minorHAnsi"/>
                <w:sz w:val="22"/>
                <w:szCs w:val="22"/>
              </w:rPr>
            </w:pPr>
            <w:r w:rsidRPr="00C165B3">
              <w:rPr>
                <w:rFonts w:asciiTheme="minorHAnsi" w:hAnsiTheme="minorHAnsi" w:cstheme="minorHAnsi"/>
                <w:bCs/>
                <w:sz w:val="22"/>
                <w:szCs w:val="22"/>
              </w:rPr>
              <w:t xml:space="preserve">One study (Acton, et al., 2018) revealed that when a government attribution was present on a health warning label, it increased the believability of the label and the possible influence on likelihood of purchase. </w:t>
            </w:r>
          </w:p>
          <w:p w:rsidR="00FE6351" w:rsidRPr="00C165B3" w:rsidP="009C5286" w14:paraId="4B0C9B96" w14:textId="16F2B12F">
            <w:pPr>
              <w:pStyle w:val="ListParagraph"/>
              <w:numPr>
                <w:ilvl w:val="0"/>
                <w:numId w:val="4"/>
              </w:numPr>
              <w:rPr>
                <w:rFonts w:asciiTheme="minorHAnsi" w:hAnsiTheme="minorHAnsi" w:cstheme="minorHAnsi"/>
                <w:sz w:val="22"/>
                <w:szCs w:val="22"/>
              </w:rPr>
            </w:pPr>
            <w:r w:rsidRPr="00C165B3">
              <w:rPr>
                <w:rFonts w:asciiTheme="minorHAnsi" w:hAnsiTheme="minorHAnsi" w:cstheme="minorHAnsi"/>
                <w:bCs/>
                <w:sz w:val="22"/>
                <w:szCs w:val="22"/>
              </w:rPr>
              <w:t xml:space="preserve">Another study (De la Cruz-Gongora et al., 2017) found that while </w:t>
            </w:r>
            <w:r w:rsidRPr="00C165B3" w:rsidR="00BC411F">
              <w:rPr>
                <w:rFonts w:asciiTheme="minorHAnsi" w:hAnsiTheme="minorHAnsi" w:cstheme="minorHAnsi"/>
                <w:bCs/>
                <w:sz w:val="22"/>
                <w:szCs w:val="22"/>
              </w:rPr>
              <w:t>symbol schemes</w:t>
            </w:r>
            <w:r w:rsidRPr="00C165B3">
              <w:rPr>
                <w:rFonts w:asciiTheme="minorHAnsi" w:hAnsiTheme="minorHAnsi" w:cstheme="minorHAnsi"/>
                <w:bCs/>
                <w:sz w:val="22"/>
                <w:szCs w:val="22"/>
              </w:rPr>
              <w:t xml:space="preserve"> in general were perceived as easy to understand, highly acceptable, and useful for decision-making, institutional endorsement of logos was related to greater confidence in the label. </w:t>
            </w:r>
          </w:p>
          <w:p w:rsidR="009031C0" w:rsidRPr="00C165B3" w:rsidP="009031C0" w14:paraId="3DB9B9CF" w14:textId="77777777">
            <w:pPr>
              <w:pStyle w:val="ListParagraph"/>
              <w:ind w:left="360"/>
              <w:rPr>
                <w:rFonts w:asciiTheme="minorHAnsi" w:hAnsiTheme="minorHAnsi" w:cstheme="minorHAnsi"/>
                <w:sz w:val="22"/>
                <w:szCs w:val="22"/>
              </w:rPr>
            </w:pPr>
          </w:p>
          <w:p w:rsidR="00FE6351" w:rsidRPr="00C165B3" w:rsidP="009C5286" w14:paraId="191A1EC1" w14:textId="7AF9EBBD">
            <w:pPr>
              <w:rPr>
                <w:rFonts w:asciiTheme="minorHAnsi" w:hAnsiTheme="minorHAnsi" w:cstheme="minorHAnsi"/>
                <w:sz w:val="22"/>
                <w:szCs w:val="22"/>
              </w:rPr>
            </w:pPr>
            <w:r w:rsidRPr="00C165B3">
              <w:rPr>
                <w:rFonts w:asciiTheme="minorHAnsi" w:hAnsiTheme="minorHAnsi" w:cstheme="minorHAnsi"/>
                <w:b/>
                <w:bCs/>
                <w:sz w:val="22"/>
                <w:szCs w:val="22"/>
              </w:rPr>
              <w:t>Conclusion:</w:t>
            </w:r>
            <w:r w:rsidRPr="00C165B3">
              <w:rPr>
                <w:rFonts w:asciiTheme="minorHAnsi" w:hAnsiTheme="minorHAnsi" w:cstheme="minorHAnsi"/>
                <w:bCs/>
                <w:sz w:val="22"/>
                <w:szCs w:val="22"/>
              </w:rPr>
              <w:t xml:space="preserve"> These studies</w:t>
            </w:r>
            <w:r w:rsidRPr="00C165B3" w:rsidR="001D018F">
              <w:rPr>
                <w:rFonts w:asciiTheme="minorHAnsi" w:hAnsiTheme="minorHAnsi" w:cstheme="minorHAnsi"/>
                <w:bCs/>
                <w:sz w:val="22"/>
                <w:szCs w:val="22"/>
              </w:rPr>
              <w:t xml:space="preserve"> </w:t>
            </w:r>
            <w:r w:rsidRPr="00C165B3">
              <w:rPr>
                <w:rFonts w:asciiTheme="minorHAnsi" w:hAnsiTheme="minorHAnsi" w:cstheme="minorHAnsi"/>
                <w:bCs/>
                <w:sz w:val="22"/>
                <w:szCs w:val="22"/>
              </w:rPr>
              <w:t xml:space="preserve">highlighted the potential benefits of having a government-created symbol. </w:t>
            </w:r>
          </w:p>
        </w:tc>
      </w:tr>
    </w:tbl>
    <w:p w:rsidR="008F5E9D" w:rsidRPr="00C165B3" w:rsidP="00D605B9" w14:paraId="0AE4D118" w14:textId="77777777">
      <w:pPr>
        <w:rPr>
          <w:rFonts w:cstheme="minorHAnsi"/>
        </w:rPr>
      </w:pPr>
    </w:p>
    <w:p w:rsidR="004F114A" w:rsidRPr="00C165B3" w:rsidP="004F114A" w14:paraId="23677D30" w14:textId="77159562">
      <w:pPr>
        <w:spacing w:after="0"/>
      </w:pPr>
      <w:r w:rsidRPr="00C165B3">
        <w:rPr>
          <w:rFonts w:cstheme="minorHAnsi"/>
        </w:rPr>
        <w:t xml:space="preserve">In January 2019, the World Cancer Research Fund released a report entitled “Building momentum: lessons on implementing a robust front-of-pack food label” that focuses on instructions for government implementation of FOP nutrition labels. Authors conducted a literature review on challenges to international, government implemented nutrition labels and interviewed </w:t>
      </w:r>
      <w:r w:rsidRPr="00C165B3">
        <w:t xml:space="preserve">23 international policymakers, academics, advocates. With a focus on interpretive FOP labels –which they prefer over nutrient-specific systems - the report contains recommendations for the development, design, implementation, defense, monitoring and evaluation of the </w:t>
      </w:r>
      <w:r w:rsidRPr="00C165B3" w:rsidR="004B6E26">
        <w:t>FOP</w:t>
      </w:r>
      <w:r w:rsidRPr="00C165B3">
        <w:t>. The report recommends governments institute mandatory FOP labels to overcome limited industry uptake but acknowledged that voluntary labels will also help to achieve public health goals by adhering to a process starting with clear policy objectives, knowledge of the legal context, cultivating partners and stakeholders, implementing well-designed public education, and evaluating the labels’ effectiveness post implementation. The report cited challenges to government FOP label implementation - specifically tactics to delay, divide, deflect, and deny.</w:t>
      </w:r>
    </w:p>
    <w:p w:rsidR="004F114A" w:rsidRPr="00C165B3" w:rsidP="004F114A" w14:paraId="543A60DF" w14:textId="77777777">
      <w:pPr>
        <w:spacing w:after="0"/>
      </w:pPr>
    </w:p>
    <w:p w:rsidR="004F114A" w:rsidRPr="00C165B3" w:rsidP="004F114A" w14:paraId="5EA31AF5" w14:textId="296C6911">
      <w:pPr>
        <w:spacing w:after="0"/>
      </w:pPr>
      <w:r w:rsidRPr="00C165B3">
        <w:t xml:space="preserve">Additionally, in 2019 the World Health Organization (WHO) released a manual entitled, “WHO guiding principles and framework manual for front-of-pack labelling for promoting healthy diets”. The document is meant to support countries in the development, implementation, and monitoring and evaluation of an appropriate </w:t>
      </w:r>
      <w:r w:rsidRPr="00C165B3" w:rsidR="004B6E26">
        <w:t>FOP</w:t>
      </w:r>
      <w:r w:rsidRPr="00C165B3">
        <w:t xml:space="preserve"> system to help improve dietary patterns and reduce the burden of diet-related noncommunicable diseases. The five overarching guiding principles for </w:t>
      </w:r>
      <w:r w:rsidRPr="00C165B3" w:rsidR="004B6E26">
        <w:t>FOP</w:t>
      </w:r>
      <w:r w:rsidRPr="00C165B3">
        <w:t xml:space="preserve"> that form the basis of the manual are as follows: </w:t>
      </w:r>
    </w:p>
    <w:p w:rsidR="004F114A" w:rsidRPr="00C165B3" w:rsidP="004F114A" w14:paraId="324E21F0" w14:textId="3F077177">
      <w:pPr>
        <w:pStyle w:val="ListParagraph"/>
        <w:numPr>
          <w:ilvl w:val="0"/>
          <w:numId w:val="94"/>
        </w:numPr>
        <w:rPr>
          <w:rFonts w:asciiTheme="minorHAnsi" w:hAnsiTheme="minorHAnsi" w:cstheme="minorHAnsi"/>
          <w:sz w:val="22"/>
        </w:rPr>
      </w:pPr>
      <w:r w:rsidRPr="00C165B3">
        <w:rPr>
          <w:rFonts w:asciiTheme="minorHAnsi" w:hAnsiTheme="minorHAnsi" w:cstheme="minorHAnsi"/>
          <w:sz w:val="22"/>
        </w:rPr>
        <w:t xml:space="preserve">Principle 1: The </w:t>
      </w:r>
      <w:r w:rsidRPr="00C165B3" w:rsidR="004B6E26">
        <w:rPr>
          <w:rFonts w:asciiTheme="minorHAnsi" w:hAnsiTheme="minorHAnsi" w:cstheme="minorHAnsi"/>
          <w:sz w:val="22"/>
        </w:rPr>
        <w:t>FOP</w:t>
      </w:r>
      <w:r w:rsidRPr="00C165B3">
        <w:rPr>
          <w:rFonts w:asciiTheme="minorHAnsi" w:hAnsiTheme="minorHAnsi" w:cstheme="minorHAnsi"/>
          <w:sz w:val="22"/>
        </w:rPr>
        <w:t xml:space="preserve"> system should be aligned with national public health and nutrition policies and food regulations, as well as with relevant WHO guidance and Codex guidelines. </w:t>
      </w:r>
    </w:p>
    <w:p w:rsidR="004F114A" w:rsidRPr="00C165B3" w:rsidP="004F114A" w14:paraId="7A78D478" w14:textId="1B98B63A">
      <w:pPr>
        <w:pStyle w:val="ListParagraph"/>
        <w:numPr>
          <w:ilvl w:val="0"/>
          <w:numId w:val="94"/>
        </w:numPr>
        <w:rPr>
          <w:rFonts w:asciiTheme="minorHAnsi" w:hAnsiTheme="minorHAnsi" w:cstheme="minorHAnsi"/>
          <w:sz w:val="22"/>
        </w:rPr>
      </w:pPr>
      <w:r w:rsidRPr="00C165B3">
        <w:rPr>
          <w:rFonts w:asciiTheme="minorHAnsi" w:hAnsiTheme="minorHAnsi" w:cstheme="minorHAnsi"/>
          <w:sz w:val="22"/>
        </w:rPr>
        <w:t xml:space="preserve">Principle 2: A single system should be developed to improve the impact of the </w:t>
      </w:r>
      <w:r w:rsidRPr="00C165B3" w:rsidR="004B6E26">
        <w:rPr>
          <w:rFonts w:asciiTheme="minorHAnsi" w:hAnsiTheme="minorHAnsi" w:cstheme="minorHAnsi"/>
          <w:sz w:val="22"/>
        </w:rPr>
        <w:t>FOP</w:t>
      </w:r>
      <w:r w:rsidRPr="00C165B3">
        <w:rPr>
          <w:rFonts w:asciiTheme="minorHAnsi" w:hAnsiTheme="minorHAnsi" w:cstheme="minorHAnsi"/>
          <w:sz w:val="22"/>
        </w:rPr>
        <w:t xml:space="preserve"> system. </w:t>
      </w:r>
    </w:p>
    <w:p w:rsidR="004F114A" w:rsidRPr="00C165B3" w:rsidP="004F114A" w14:paraId="087BE919" w14:textId="4C939A4C">
      <w:pPr>
        <w:pStyle w:val="ListParagraph"/>
        <w:numPr>
          <w:ilvl w:val="0"/>
          <w:numId w:val="94"/>
        </w:numPr>
        <w:rPr>
          <w:rFonts w:asciiTheme="minorHAnsi" w:hAnsiTheme="minorHAnsi" w:cstheme="minorHAnsi"/>
          <w:sz w:val="22"/>
        </w:rPr>
      </w:pPr>
      <w:r w:rsidRPr="00C165B3">
        <w:rPr>
          <w:rFonts w:asciiTheme="minorHAnsi" w:hAnsiTheme="minorHAnsi" w:cstheme="minorHAnsi"/>
          <w:sz w:val="22"/>
        </w:rPr>
        <w:t xml:space="preserve">Principle 3: Mandatory nutrient declarations on food packages are a prerequisite for </w:t>
      </w:r>
      <w:r w:rsidRPr="00C165B3" w:rsidR="004B6E26">
        <w:rPr>
          <w:rFonts w:asciiTheme="minorHAnsi" w:hAnsiTheme="minorHAnsi" w:cstheme="minorHAnsi"/>
          <w:sz w:val="22"/>
        </w:rPr>
        <w:t>FOP</w:t>
      </w:r>
      <w:r w:rsidRPr="00C165B3">
        <w:rPr>
          <w:rFonts w:asciiTheme="minorHAnsi" w:hAnsiTheme="minorHAnsi" w:cstheme="minorHAnsi"/>
          <w:sz w:val="22"/>
        </w:rPr>
        <w:t xml:space="preserve"> systems.</w:t>
      </w:r>
    </w:p>
    <w:p w:rsidR="004F114A" w:rsidRPr="00C165B3" w:rsidP="004F114A" w14:paraId="14AA0DF8" w14:textId="55933D89">
      <w:pPr>
        <w:pStyle w:val="ListParagraph"/>
        <w:numPr>
          <w:ilvl w:val="0"/>
          <w:numId w:val="94"/>
        </w:numPr>
        <w:rPr>
          <w:rFonts w:asciiTheme="minorHAnsi" w:hAnsiTheme="minorHAnsi" w:cstheme="minorHAnsi"/>
          <w:sz w:val="22"/>
        </w:rPr>
      </w:pPr>
      <w:r w:rsidRPr="00C165B3">
        <w:rPr>
          <w:rFonts w:asciiTheme="minorHAnsi" w:hAnsiTheme="minorHAnsi" w:cstheme="minorHAnsi"/>
          <w:sz w:val="22"/>
        </w:rPr>
        <w:t xml:space="preserve">Principle 4: A monitoring and review process should be developed as part of the overall </w:t>
      </w:r>
      <w:r w:rsidRPr="00C165B3" w:rsidR="004B6E26">
        <w:rPr>
          <w:rFonts w:asciiTheme="minorHAnsi" w:hAnsiTheme="minorHAnsi" w:cstheme="minorHAnsi"/>
          <w:sz w:val="22"/>
        </w:rPr>
        <w:t>FOP</w:t>
      </w:r>
      <w:r w:rsidRPr="00C165B3">
        <w:rPr>
          <w:rFonts w:asciiTheme="minorHAnsi" w:hAnsiTheme="minorHAnsi" w:cstheme="minorHAnsi"/>
          <w:sz w:val="22"/>
        </w:rPr>
        <w:t xml:space="preserve"> system for continuing improvements or adjustments, as required. </w:t>
      </w:r>
    </w:p>
    <w:p w:rsidR="004F114A" w:rsidRPr="00C165B3" w:rsidP="004F114A" w14:paraId="5AE6AB2C" w14:textId="0CAC8824">
      <w:pPr>
        <w:pStyle w:val="ListParagraph"/>
        <w:numPr>
          <w:ilvl w:val="0"/>
          <w:numId w:val="94"/>
        </w:numPr>
        <w:rPr>
          <w:rFonts w:asciiTheme="minorHAnsi" w:hAnsiTheme="minorHAnsi" w:cstheme="minorHAnsi"/>
          <w:sz w:val="22"/>
        </w:rPr>
      </w:pPr>
      <w:r w:rsidRPr="00C165B3">
        <w:rPr>
          <w:rFonts w:asciiTheme="minorHAnsi" w:hAnsiTheme="minorHAnsi" w:cstheme="minorHAnsi"/>
          <w:sz w:val="22"/>
        </w:rPr>
        <w:t xml:space="preserve">Principle 5: The aims, scope, and principles of the </w:t>
      </w:r>
      <w:r w:rsidRPr="00C165B3" w:rsidR="004B6E26">
        <w:rPr>
          <w:rFonts w:asciiTheme="minorHAnsi" w:hAnsiTheme="minorHAnsi" w:cstheme="minorHAnsi"/>
          <w:sz w:val="22"/>
        </w:rPr>
        <w:t>FOP</w:t>
      </w:r>
      <w:r w:rsidRPr="00C165B3">
        <w:rPr>
          <w:rFonts w:asciiTheme="minorHAnsi" w:hAnsiTheme="minorHAnsi" w:cstheme="minorHAnsi"/>
          <w:sz w:val="22"/>
        </w:rPr>
        <w:t xml:space="preserve"> system should be transparent and easily accessible</w:t>
      </w:r>
    </w:p>
    <w:p w:rsidR="004F114A" w:rsidRPr="009A538E" w:rsidP="009A538E" w14:paraId="3FA06436" w14:textId="195D78CA">
      <w:pPr>
        <w:pStyle w:val="Heading1"/>
      </w:pPr>
      <w:r>
        <w:t xml:space="preserve"> </w:t>
      </w:r>
    </w:p>
    <w:p w:rsidR="0080237D" w:rsidRPr="005313E5" w:rsidP="0080237D" w14:paraId="4EEEED27" w14:textId="2D7932EB">
      <w:pPr>
        <w:pStyle w:val="Heading2"/>
      </w:pPr>
      <w:bookmarkStart w:id="6" w:name="_Toc115261523"/>
      <w:r>
        <w:t>Results of Key Systematic Reviews (2018 - 2021)</w:t>
      </w:r>
      <w:bookmarkEnd w:id="6"/>
    </w:p>
    <w:p w:rsidR="0080237D" w:rsidRPr="000579B3" w:rsidP="0080237D" w14:paraId="3F0CE3BC" w14:textId="51EF789C">
      <w:pPr>
        <w:spacing w:after="0"/>
      </w:pPr>
      <w:r w:rsidRPr="17F7D0C9">
        <w:t xml:space="preserve">Mirroring methods discussed in the previous section, FDA </w:t>
      </w:r>
      <w:r w:rsidR="00D24AF6">
        <w:t xml:space="preserve">further </w:t>
      </w:r>
      <w:r w:rsidR="009E076D">
        <w:t xml:space="preserve">reviewed </w:t>
      </w:r>
      <w:r w:rsidRPr="17F7D0C9">
        <w:t>the literature, beginning where the last review</w:t>
      </w:r>
      <w:r w:rsidRPr="17F7D0C9" w:rsidR="00162D1F">
        <w:t>, conducted August 2016 - October 2018,</w:t>
      </w:r>
      <w:r w:rsidRPr="17F7D0C9">
        <w:t xml:space="preserve"> </w:t>
      </w:r>
      <w:r w:rsidRPr="17F7D0C9" w:rsidR="00162D1F">
        <w:t>was completed</w:t>
      </w:r>
      <w:r w:rsidRPr="17F7D0C9">
        <w:t xml:space="preserve">.  The review in this section covers the </w:t>
      </w:r>
      <w:r w:rsidRPr="17F7D0C9">
        <w:t xml:space="preserve">scientific literature on </w:t>
      </w:r>
      <w:r w:rsidRPr="17F7D0C9" w:rsidR="00F638F1">
        <w:t>FOP</w:t>
      </w:r>
      <w:r w:rsidRPr="17F7D0C9">
        <w:t xml:space="preserve"> from </w:t>
      </w:r>
      <w:r w:rsidRPr="17F7D0C9" w:rsidR="00043655">
        <w:t>November 2018 to August 2021</w:t>
      </w:r>
      <w:r w:rsidRPr="17F7D0C9">
        <w:t xml:space="preserve">, using the same targeted database search algorithm and the analytical categories used in earlier reviews. </w:t>
      </w:r>
      <w:r w:rsidRPr="17F7D0C9" w:rsidR="00162D1F">
        <w:t>We analyzed o</w:t>
      </w:r>
      <w:r w:rsidRPr="17F7D0C9" w:rsidR="0089031D">
        <w:t xml:space="preserve">ne hundred and </w:t>
      </w:r>
      <w:r w:rsidRPr="17F7D0C9" w:rsidR="00A46FAC">
        <w:t>eight</w:t>
      </w:r>
      <w:r w:rsidRPr="17F7D0C9">
        <w:t xml:space="preserve"> </w:t>
      </w:r>
      <w:r w:rsidR="00746EBD">
        <w:t>additional</w:t>
      </w:r>
      <w:r>
        <w:t xml:space="preserve"> </w:t>
      </w:r>
      <w:r w:rsidRPr="17F7D0C9">
        <w:t xml:space="preserve">scientific articles on </w:t>
      </w:r>
      <w:r w:rsidRPr="17F7D0C9" w:rsidR="00F638F1">
        <w:t>FOP</w:t>
      </w:r>
      <w:r w:rsidRPr="17F7D0C9">
        <w:t xml:space="preserve"> for this update. Table </w:t>
      </w:r>
      <w:r w:rsidRPr="17F7D0C9" w:rsidR="001E0DD7">
        <w:t>2</w:t>
      </w:r>
      <w:r w:rsidRPr="17F7D0C9">
        <w:t xml:space="preserve"> below presents the highlights and conclusions of this review by analytical category.  </w:t>
      </w:r>
    </w:p>
    <w:p w:rsidR="0080237D" w:rsidP="0080237D" w14:paraId="6C8972B8" w14:textId="77777777">
      <w:pPr>
        <w:spacing w:after="0"/>
        <w:rPr>
          <w:rFonts w:cstheme="minorHAnsi"/>
          <w:sz w:val="24"/>
          <w:szCs w:val="24"/>
        </w:rPr>
      </w:pPr>
    </w:p>
    <w:p w:rsidR="0080237D" w:rsidP="0080237D" w14:paraId="7002EB5C" w14:textId="304D59FC">
      <w:pPr>
        <w:spacing w:after="0"/>
      </w:pPr>
      <w:r w:rsidRPr="553E34CD">
        <w:t xml:space="preserve">Table </w:t>
      </w:r>
      <w:r w:rsidRPr="553E34CD" w:rsidR="001E0DD7">
        <w:t>2</w:t>
      </w:r>
      <w:r w:rsidRPr="553E34CD">
        <w:t xml:space="preserve">. Highlights and Conclusions of updated </w:t>
      </w:r>
      <w:r w:rsidRPr="553E34CD" w:rsidR="00F638F1">
        <w:t>FOP</w:t>
      </w:r>
      <w:r w:rsidRPr="553E34CD">
        <w:t xml:space="preserve"> nutrition labeling literature by analytical category (</w:t>
      </w:r>
      <w:r w:rsidRPr="553E34CD" w:rsidR="001E0DD7">
        <w:t>November 2018 – August 2021</w:t>
      </w:r>
      <w:r w:rsidRPr="553E34CD">
        <w:t>)</w:t>
      </w:r>
    </w:p>
    <w:p w:rsidR="0080237D" w:rsidRPr="008B29BE" w:rsidP="0080237D" w14:paraId="3B0C25A1" w14:textId="77777777">
      <w:pPr>
        <w:spacing w:after="0"/>
        <w:rPr>
          <w:rFonts w:cstheme="minorHAnsi"/>
        </w:rPr>
      </w:pPr>
    </w:p>
    <w:tbl>
      <w:tblPr>
        <w:tblStyle w:val="TableGrid"/>
        <w:tblW w:w="0" w:type="auto"/>
        <w:tblInd w:w="-5" w:type="dxa"/>
        <w:tblLook w:val="04A0"/>
      </w:tblPr>
      <w:tblGrid>
        <w:gridCol w:w="1710"/>
        <w:gridCol w:w="7645"/>
      </w:tblGrid>
      <w:tr w14:paraId="6360E881" w14:textId="77777777" w:rsidTr="223BA617">
        <w:tblPrEx>
          <w:tblW w:w="0" w:type="auto"/>
          <w:tblInd w:w="-5" w:type="dxa"/>
          <w:tblLook w:val="04A0"/>
        </w:tblPrEx>
        <w:trPr>
          <w:tblHeader/>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80237D" w:rsidRPr="00C35D56" w:rsidP="00174D66" w14:paraId="5C0C590B" w14:textId="6AF2E6F7">
            <w:pPr>
              <w:jc w:val="center"/>
              <w:rPr>
                <w:rFonts w:asciiTheme="minorHAnsi" w:hAnsiTheme="minorHAnsi" w:cstheme="minorHAnsi"/>
                <w:b/>
                <w:caps/>
                <w:sz w:val="24"/>
                <w:szCs w:val="24"/>
              </w:rPr>
            </w:pPr>
            <w:r>
              <w:rPr>
                <w:rFonts w:asciiTheme="minorHAnsi" w:hAnsiTheme="minorHAnsi" w:cstheme="minorHAnsi"/>
                <w:b/>
                <w:caps/>
                <w:sz w:val="24"/>
                <w:szCs w:val="24"/>
              </w:rPr>
              <w:t>Analytical Category</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80237D" w:rsidRPr="00C35D56" w:rsidP="00174D66" w14:paraId="60C0E6BE" w14:textId="77777777">
            <w:pPr>
              <w:jc w:val="center"/>
              <w:rPr>
                <w:rFonts w:asciiTheme="minorHAnsi" w:hAnsiTheme="minorHAnsi" w:cstheme="minorHAnsi"/>
                <w:b/>
                <w:caps/>
                <w:sz w:val="24"/>
                <w:szCs w:val="24"/>
              </w:rPr>
            </w:pPr>
            <w:r w:rsidRPr="00C35D56">
              <w:rPr>
                <w:rFonts w:asciiTheme="minorHAnsi" w:hAnsiTheme="minorHAnsi" w:cstheme="minorHAnsi"/>
                <w:b/>
                <w:caps/>
                <w:sz w:val="24"/>
                <w:szCs w:val="24"/>
              </w:rPr>
              <w:t>Highlights and conclusions</w:t>
            </w:r>
          </w:p>
        </w:tc>
      </w:tr>
      <w:tr w14:paraId="53D786FE" w14:textId="77777777" w:rsidTr="223BA617">
        <w:tblPrEx>
          <w:tblW w:w="0" w:type="auto"/>
          <w:tblInd w:w="-5" w:type="dxa"/>
          <w:tblLook w:val="04A0"/>
        </w:tblPrEx>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37D" w:rsidRPr="00C35D56" w:rsidP="00174D66" w14:paraId="17C482C5" w14:textId="77777777">
            <w:pPr>
              <w:rPr>
                <w:rFonts w:asciiTheme="minorHAnsi" w:hAnsiTheme="minorHAnsi" w:cstheme="minorHAnsi"/>
                <w:b/>
                <w:sz w:val="24"/>
                <w:szCs w:val="24"/>
              </w:rPr>
            </w:pPr>
          </w:p>
          <w:p w:rsidR="0080237D" w:rsidRPr="00C35D56" w:rsidP="00174D66" w14:paraId="68D9743D" w14:textId="77777777">
            <w:pPr>
              <w:rPr>
                <w:rFonts w:asciiTheme="minorHAnsi" w:hAnsiTheme="minorHAnsi" w:cstheme="minorHAnsi"/>
                <w:b/>
                <w:sz w:val="24"/>
                <w:szCs w:val="24"/>
              </w:rPr>
            </w:pPr>
            <w:r w:rsidRPr="00C35D56">
              <w:rPr>
                <w:rFonts w:asciiTheme="minorHAnsi" w:hAnsiTheme="minorHAnsi" w:cstheme="minorHAnsi"/>
                <w:b/>
                <w:sz w:val="24"/>
                <w:szCs w:val="24"/>
              </w:rPr>
              <w:t>Attention and Processing</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7CAF" w:rsidRPr="00C35D56" w:rsidP="00474A72" w14:paraId="7091F373" w14:textId="039379F6">
            <w:pPr>
              <w:pStyle w:val="ListParagraph"/>
              <w:numPr>
                <w:ilvl w:val="0"/>
                <w:numId w:val="2"/>
              </w:numPr>
              <w:rPr>
                <w:rFonts w:asciiTheme="minorHAnsi" w:hAnsiTheme="minorHAnsi" w:cstheme="minorBidi"/>
                <w:sz w:val="22"/>
                <w:szCs w:val="22"/>
              </w:rPr>
            </w:pPr>
            <w:r w:rsidRPr="553E34CD">
              <w:rPr>
                <w:rFonts w:asciiTheme="minorHAnsi" w:hAnsiTheme="minorHAnsi" w:cstheme="minorBidi"/>
                <w:sz w:val="22"/>
                <w:szCs w:val="22"/>
              </w:rPr>
              <w:t xml:space="preserve">Our review identified </w:t>
            </w:r>
            <w:r w:rsidRPr="553E34CD" w:rsidR="000D05BC">
              <w:rPr>
                <w:rFonts w:asciiTheme="minorHAnsi" w:hAnsiTheme="minorHAnsi" w:cstheme="minorBidi"/>
                <w:sz w:val="22"/>
                <w:szCs w:val="22"/>
              </w:rPr>
              <w:t>six</w:t>
            </w:r>
            <w:r w:rsidRPr="553E34CD">
              <w:rPr>
                <w:rFonts w:asciiTheme="minorHAnsi" w:hAnsiTheme="minorHAnsi" w:cstheme="minorBidi"/>
                <w:sz w:val="22"/>
                <w:szCs w:val="22"/>
              </w:rPr>
              <w:t xml:space="preserve"> studies in this category, </w:t>
            </w:r>
            <w:r w:rsidRPr="553E34CD" w:rsidR="3F3E8E48">
              <w:rPr>
                <w:rFonts w:asciiTheme="minorHAnsi" w:hAnsiTheme="minorHAnsi" w:cstheme="minorBidi"/>
                <w:sz w:val="22"/>
                <w:szCs w:val="22"/>
              </w:rPr>
              <w:t xml:space="preserve">including </w:t>
            </w:r>
            <w:r w:rsidRPr="553E34CD" w:rsidR="000E1B26">
              <w:rPr>
                <w:rFonts w:asciiTheme="minorHAnsi" w:hAnsiTheme="minorHAnsi" w:cstheme="minorBidi"/>
                <w:sz w:val="22"/>
                <w:szCs w:val="22"/>
              </w:rPr>
              <w:t>one</w:t>
            </w:r>
            <w:r w:rsidRPr="553E34CD">
              <w:rPr>
                <w:rFonts w:asciiTheme="minorHAnsi" w:hAnsiTheme="minorHAnsi" w:cstheme="minorBidi"/>
                <w:sz w:val="22"/>
                <w:szCs w:val="22"/>
              </w:rPr>
              <w:t xml:space="preserve"> experimental </w:t>
            </w:r>
            <w:r w:rsidRPr="553E34CD" w:rsidR="00E43971">
              <w:rPr>
                <w:rFonts w:asciiTheme="minorHAnsi" w:hAnsiTheme="minorHAnsi" w:cstheme="minorBidi"/>
                <w:sz w:val="22"/>
                <w:szCs w:val="22"/>
              </w:rPr>
              <w:t>study</w:t>
            </w:r>
            <w:r w:rsidRPr="553E34CD">
              <w:rPr>
                <w:rFonts w:asciiTheme="minorHAnsi" w:hAnsiTheme="minorHAnsi" w:cstheme="minorBidi"/>
                <w:sz w:val="22"/>
                <w:szCs w:val="22"/>
              </w:rPr>
              <w:t xml:space="preserve">, </w:t>
            </w:r>
            <w:r w:rsidRPr="553E34CD" w:rsidR="00BB3FB0">
              <w:rPr>
                <w:rFonts w:asciiTheme="minorHAnsi" w:hAnsiTheme="minorHAnsi" w:cstheme="minorBidi"/>
                <w:sz w:val="22"/>
                <w:szCs w:val="22"/>
              </w:rPr>
              <w:t xml:space="preserve">four </w:t>
            </w:r>
            <w:r w:rsidRPr="553E34CD">
              <w:rPr>
                <w:rFonts w:asciiTheme="minorHAnsi" w:hAnsiTheme="minorHAnsi" w:cstheme="minorBidi"/>
                <w:sz w:val="22"/>
                <w:szCs w:val="22"/>
              </w:rPr>
              <w:t xml:space="preserve">surveys, </w:t>
            </w:r>
            <w:r w:rsidRPr="553E34CD" w:rsidR="003C2405">
              <w:rPr>
                <w:rFonts w:asciiTheme="minorHAnsi" w:hAnsiTheme="minorHAnsi" w:cstheme="minorBidi"/>
                <w:sz w:val="22"/>
                <w:szCs w:val="22"/>
              </w:rPr>
              <w:t xml:space="preserve">and one narrative </w:t>
            </w:r>
            <w:r w:rsidRPr="553E34CD">
              <w:rPr>
                <w:rFonts w:asciiTheme="minorHAnsi" w:hAnsiTheme="minorHAnsi" w:cstheme="minorBidi"/>
                <w:sz w:val="22"/>
                <w:szCs w:val="22"/>
              </w:rPr>
              <w:t xml:space="preserve">review. </w:t>
            </w:r>
          </w:p>
          <w:p w:rsidR="00474A72" w:rsidRPr="00C35D56" w:rsidP="00474A72" w14:paraId="733C8918" w14:textId="34020D98">
            <w:pPr>
              <w:pStyle w:val="ListParagraph"/>
              <w:numPr>
                <w:ilvl w:val="0"/>
                <w:numId w:val="2"/>
              </w:numPr>
              <w:rPr>
                <w:rFonts w:asciiTheme="minorHAnsi" w:hAnsiTheme="minorHAnsi" w:cstheme="minorBidi"/>
                <w:sz w:val="22"/>
                <w:szCs w:val="22"/>
              </w:rPr>
            </w:pPr>
            <w:r w:rsidRPr="605CEB4F">
              <w:rPr>
                <w:rFonts w:asciiTheme="minorHAnsi" w:hAnsiTheme="minorHAnsi" w:cstheme="minorBidi"/>
                <w:sz w:val="22"/>
                <w:szCs w:val="22"/>
              </w:rPr>
              <w:t xml:space="preserve">These </w:t>
            </w:r>
            <w:r w:rsidR="00051326">
              <w:rPr>
                <w:rFonts w:asciiTheme="minorHAnsi" w:hAnsiTheme="minorHAnsi" w:cstheme="minorBidi"/>
                <w:sz w:val="22"/>
                <w:szCs w:val="22"/>
              </w:rPr>
              <w:t xml:space="preserve">six </w:t>
            </w:r>
            <w:r w:rsidRPr="605CEB4F">
              <w:rPr>
                <w:rFonts w:asciiTheme="minorHAnsi" w:hAnsiTheme="minorHAnsi" w:cstheme="minorBidi"/>
                <w:sz w:val="22"/>
                <w:szCs w:val="22"/>
              </w:rPr>
              <w:t xml:space="preserve">studies were conducted in </w:t>
            </w:r>
            <w:r w:rsidRPr="605CEB4F" w:rsidR="00F92DDA">
              <w:rPr>
                <w:rFonts w:asciiTheme="minorHAnsi" w:hAnsiTheme="minorHAnsi" w:cstheme="minorBidi"/>
                <w:sz w:val="22"/>
                <w:szCs w:val="22"/>
              </w:rPr>
              <w:t xml:space="preserve">Brazil, Italy, </w:t>
            </w:r>
            <w:r w:rsidRPr="605CEB4F" w:rsidR="002679B7">
              <w:rPr>
                <w:rFonts w:asciiTheme="minorHAnsi" w:hAnsiTheme="minorHAnsi" w:cstheme="minorBidi"/>
                <w:sz w:val="22"/>
                <w:szCs w:val="22"/>
              </w:rPr>
              <w:t xml:space="preserve">and </w:t>
            </w:r>
            <w:r w:rsidRPr="605CEB4F" w:rsidR="00F92DDA">
              <w:rPr>
                <w:rFonts w:asciiTheme="minorHAnsi" w:hAnsiTheme="minorHAnsi" w:cstheme="minorBidi"/>
                <w:sz w:val="22"/>
                <w:szCs w:val="22"/>
              </w:rPr>
              <w:t>Uruguay</w:t>
            </w:r>
            <w:r w:rsidRPr="605CEB4F">
              <w:rPr>
                <w:rFonts w:asciiTheme="minorHAnsi" w:hAnsiTheme="minorHAnsi" w:cstheme="minorBidi"/>
                <w:sz w:val="22"/>
                <w:szCs w:val="22"/>
              </w:rPr>
              <w:t xml:space="preserve">. </w:t>
            </w:r>
            <w:r w:rsidRPr="605CEB4F" w:rsidR="00F92DDA">
              <w:rPr>
                <w:rFonts w:asciiTheme="minorHAnsi" w:hAnsiTheme="minorHAnsi" w:cstheme="minorBidi"/>
                <w:sz w:val="22"/>
                <w:szCs w:val="22"/>
              </w:rPr>
              <w:t xml:space="preserve">Three studies </w:t>
            </w:r>
            <w:r w:rsidR="002C6968">
              <w:rPr>
                <w:rFonts w:asciiTheme="minorHAnsi" w:hAnsiTheme="minorHAnsi" w:cstheme="minorBidi"/>
                <w:sz w:val="22"/>
                <w:szCs w:val="22"/>
              </w:rPr>
              <w:t xml:space="preserve">examined each country respectively, while </w:t>
            </w:r>
            <w:r w:rsidR="007B0B5C">
              <w:rPr>
                <w:rFonts w:asciiTheme="minorHAnsi" w:hAnsiTheme="minorHAnsi" w:cstheme="minorBidi"/>
                <w:sz w:val="22"/>
                <w:szCs w:val="22"/>
              </w:rPr>
              <w:t>three others examined</w:t>
            </w:r>
            <w:r w:rsidR="000E5190">
              <w:rPr>
                <w:rFonts w:asciiTheme="minorHAnsi" w:hAnsiTheme="minorHAnsi" w:cstheme="minorBidi"/>
                <w:sz w:val="22"/>
                <w:szCs w:val="22"/>
              </w:rPr>
              <w:t xml:space="preserve"> FOP systems across</w:t>
            </w:r>
            <w:r w:rsidR="007B0B5C">
              <w:rPr>
                <w:rFonts w:asciiTheme="minorHAnsi" w:hAnsiTheme="minorHAnsi" w:cstheme="minorBidi"/>
                <w:sz w:val="22"/>
                <w:szCs w:val="22"/>
              </w:rPr>
              <w:t xml:space="preserve"> all three countries. </w:t>
            </w:r>
          </w:p>
          <w:p w:rsidR="00A11535" w:rsidRPr="00C35D56" w:rsidP="001D6DC2" w14:paraId="19A1804B" w14:textId="10321A1D">
            <w:pPr>
              <w:pStyle w:val="ListParagraph"/>
              <w:numPr>
                <w:ilvl w:val="0"/>
                <w:numId w:val="2"/>
              </w:numPr>
              <w:rPr>
                <w:rFonts w:asciiTheme="minorHAnsi" w:hAnsiTheme="minorHAnsi" w:cstheme="minorBidi"/>
                <w:sz w:val="22"/>
                <w:szCs w:val="22"/>
              </w:rPr>
            </w:pPr>
            <w:r w:rsidRPr="223BA617">
              <w:rPr>
                <w:rFonts w:asciiTheme="minorHAnsi" w:hAnsiTheme="minorHAnsi" w:cstheme="minorBidi"/>
                <w:sz w:val="22"/>
                <w:szCs w:val="22"/>
              </w:rPr>
              <w:t xml:space="preserve">Multiple </w:t>
            </w:r>
            <w:r w:rsidRPr="223BA617" w:rsidR="00F638F1">
              <w:rPr>
                <w:rFonts w:asciiTheme="minorHAnsi" w:hAnsiTheme="minorHAnsi" w:cstheme="minorBidi"/>
                <w:sz w:val="22"/>
                <w:szCs w:val="22"/>
              </w:rPr>
              <w:t>FOP</w:t>
            </w:r>
            <w:r w:rsidRPr="223BA617">
              <w:rPr>
                <w:rFonts w:asciiTheme="minorHAnsi" w:hAnsiTheme="minorHAnsi" w:cstheme="minorBidi"/>
                <w:sz w:val="22"/>
                <w:szCs w:val="22"/>
              </w:rPr>
              <w:t xml:space="preserve"> labeling systems were examined in the identified studies, including </w:t>
            </w:r>
            <w:r w:rsidRPr="223BA617" w:rsidR="00F47825">
              <w:rPr>
                <w:rFonts w:asciiTheme="minorHAnsi" w:hAnsiTheme="minorHAnsi" w:cstheme="minorBidi"/>
                <w:sz w:val="22"/>
                <w:szCs w:val="22"/>
              </w:rPr>
              <w:t>Multi</w:t>
            </w:r>
            <w:r w:rsidR="008B7A1E">
              <w:rPr>
                <w:rFonts w:asciiTheme="minorHAnsi" w:hAnsiTheme="minorHAnsi" w:cstheme="minorBidi"/>
                <w:sz w:val="22"/>
                <w:szCs w:val="22"/>
              </w:rPr>
              <w:t xml:space="preserve">ple </w:t>
            </w:r>
            <w:r w:rsidRPr="223BA617" w:rsidR="005D1349">
              <w:rPr>
                <w:rFonts w:asciiTheme="minorHAnsi" w:hAnsiTheme="minorHAnsi" w:cstheme="minorBidi"/>
                <w:sz w:val="22"/>
                <w:szCs w:val="22"/>
              </w:rPr>
              <w:t xml:space="preserve">Traffic Light, </w:t>
            </w:r>
            <w:r w:rsidR="004B6E26">
              <w:rPr>
                <w:rFonts w:asciiTheme="minorHAnsi" w:hAnsiTheme="minorHAnsi" w:cstheme="minorBidi"/>
                <w:sz w:val="22"/>
                <w:szCs w:val="22"/>
              </w:rPr>
              <w:t>Nutri-Score</w:t>
            </w:r>
            <w:r w:rsidRPr="223BA617" w:rsidR="005D1349">
              <w:rPr>
                <w:rFonts w:asciiTheme="minorHAnsi" w:hAnsiTheme="minorHAnsi" w:cstheme="minorBidi"/>
                <w:sz w:val="22"/>
                <w:szCs w:val="22"/>
              </w:rPr>
              <w:t xml:space="preserve">, </w:t>
            </w:r>
            <w:r w:rsidRPr="223BA617" w:rsidR="001D6DC2">
              <w:rPr>
                <w:rFonts w:asciiTheme="minorHAnsi" w:hAnsiTheme="minorHAnsi" w:cstheme="minorBidi"/>
                <w:sz w:val="22"/>
                <w:szCs w:val="22"/>
              </w:rPr>
              <w:t xml:space="preserve">Guidelines Daily Amounts, </w:t>
            </w:r>
            <w:r w:rsidRPr="223BA617" w:rsidR="00FA0FB4">
              <w:rPr>
                <w:rFonts w:asciiTheme="minorHAnsi" w:hAnsiTheme="minorHAnsi" w:cstheme="minorBidi"/>
                <w:sz w:val="22"/>
                <w:szCs w:val="22"/>
              </w:rPr>
              <w:t xml:space="preserve">Facts-up-front, </w:t>
            </w:r>
            <w:r w:rsidRPr="223BA617" w:rsidR="005D1349">
              <w:rPr>
                <w:rFonts w:asciiTheme="minorHAnsi" w:hAnsiTheme="minorHAnsi" w:cstheme="minorBidi"/>
                <w:sz w:val="22"/>
                <w:szCs w:val="22"/>
              </w:rPr>
              <w:t xml:space="preserve">Health Logos, </w:t>
            </w:r>
            <w:r w:rsidRPr="223BA617" w:rsidR="00FA0FB4">
              <w:rPr>
                <w:rFonts w:asciiTheme="minorHAnsi" w:hAnsiTheme="minorHAnsi" w:cstheme="minorBidi"/>
                <w:sz w:val="22"/>
                <w:szCs w:val="22"/>
              </w:rPr>
              <w:t xml:space="preserve">and </w:t>
            </w:r>
            <w:r w:rsidRPr="223BA617" w:rsidR="005D1349">
              <w:rPr>
                <w:rFonts w:asciiTheme="minorHAnsi" w:hAnsiTheme="minorHAnsi" w:cstheme="minorBidi"/>
                <w:sz w:val="22"/>
                <w:szCs w:val="22"/>
              </w:rPr>
              <w:t xml:space="preserve">Warning </w:t>
            </w:r>
            <w:r w:rsidRPr="223BA617" w:rsidR="00D43980">
              <w:rPr>
                <w:rFonts w:asciiTheme="minorHAnsi" w:hAnsiTheme="minorHAnsi" w:cstheme="minorBidi"/>
                <w:sz w:val="22"/>
                <w:szCs w:val="22"/>
              </w:rPr>
              <w:t xml:space="preserve">Labels </w:t>
            </w:r>
          </w:p>
          <w:p w:rsidR="00FD27AD" w:rsidRPr="00C35D56" w:rsidP="001D6DC2" w14:paraId="3FAD62B7" w14:textId="0E0AB7BB">
            <w:pPr>
              <w:pStyle w:val="ListParagraph"/>
              <w:numPr>
                <w:ilvl w:val="0"/>
                <w:numId w:val="2"/>
              </w:numPr>
              <w:rPr>
                <w:rFonts w:asciiTheme="minorHAnsi" w:hAnsiTheme="minorHAnsi" w:cstheme="minorHAnsi"/>
                <w:sz w:val="22"/>
              </w:rPr>
            </w:pPr>
            <w:r w:rsidRPr="00C35D56">
              <w:rPr>
                <w:rFonts w:asciiTheme="minorHAnsi" w:hAnsiTheme="minorHAnsi" w:cstheme="minorHAnsi"/>
                <w:sz w:val="22"/>
              </w:rPr>
              <w:t>The studies highlighted interactions among</w:t>
            </w:r>
            <w:r w:rsidR="0004087E">
              <w:rPr>
                <w:rFonts w:asciiTheme="minorHAnsi" w:hAnsiTheme="minorHAnsi" w:cstheme="minorHAnsi"/>
                <w:sz w:val="22"/>
              </w:rPr>
              <w:t>:</w:t>
            </w:r>
            <w:r w:rsidRPr="00C35D56">
              <w:rPr>
                <w:rFonts w:asciiTheme="minorHAnsi" w:hAnsiTheme="minorHAnsi" w:cstheme="minorHAnsi"/>
                <w:sz w:val="22"/>
              </w:rPr>
              <w:t xml:space="preserve"> a) </w:t>
            </w:r>
            <w:r w:rsidR="00F638F1">
              <w:rPr>
                <w:rFonts w:asciiTheme="minorHAnsi" w:hAnsiTheme="minorHAnsi" w:cstheme="minorHAnsi"/>
                <w:sz w:val="22"/>
              </w:rPr>
              <w:t>FOP</w:t>
            </w:r>
            <w:r w:rsidR="0004087E">
              <w:rPr>
                <w:rFonts w:asciiTheme="minorHAnsi" w:hAnsiTheme="minorHAnsi" w:cstheme="minorHAnsi"/>
                <w:sz w:val="22"/>
              </w:rPr>
              <w:t xml:space="preserve"> labeling </w:t>
            </w:r>
            <w:r w:rsidRPr="00C35D56">
              <w:rPr>
                <w:rFonts w:asciiTheme="minorHAnsi" w:hAnsiTheme="minorHAnsi" w:cstheme="minorHAnsi"/>
                <w:sz w:val="22"/>
              </w:rPr>
              <w:t>s</w:t>
            </w:r>
            <w:r w:rsidR="0004087E">
              <w:rPr>
                <w:rFonts w:asciiTheme="minorHAnsi" w:hAnsiTheme="minorHAnsi" w:cstheme="minorHAnsi"/>
                <w:sz w:val="22"/>
              </w:rPr>
              <w:t>ystems</w:t>
            </w:r>
            <w:r w:rsidRPr="00C35D56">
              <w:rPr>
                <w:rFonts w:asciiTheme="minorHAnsi" w:hAnsiTheme="minorHAnsi" w:cstheme="minorHAnsi"/>
                <w:sz w:val="22"/>
              </w:rPr>
              <w:t>, b) nutrition information panels on the back or side of packages, c) color and shape, and d)</w:t>
            </w:r>
            <w:r w:rsidR="004B6E26">
              <w:rPr>
                <w:rFonts w:asciiTheme="minorHAnsi" w:hAnsiTheme="minorHAnsi" w:cstheme="minorHAnsi"/>
                <w:sz w:val="22"/>
              </w:rPr>
              <w:t xml:space="preserve"> processing</w:t>
            </w:r>
            <w:r w:rsidRPr="00C35D56">
              <w:rPr>
                <w:rFonts w:asciiTheme="minorHAnsi" w:hAnsiTheme="minorHAnsi" w:cstheme="minorHAnsi"/>
                <w:sz w:val="22"/>
              </w:rPr>
              <w:t xml:space="preserve"> time.</w:t>
            </w:r>
          </w:p>
          <w:p w:rsidR="009C4D37" w:rsidRPr="00C35D56" w:rsidP="00AC0F2D" w14:paraId="0C64CB9A" w14:textId="54AB452D">
            <w:pPr>
              <w:pStyle w:val="ListParagraph"/>
              <w:numPr>
                <w:ilvl w:val="0"/>
                <w:numId w:val="2"/>
              </w:numPr>
              <w:rPr>
                <w:rFonts w:asciiTheme="minorHAnsi" w:hAnsiTheme="minorHAnsi" w:cstheme="minorBidi"/>
                <w:sz w:val="22"/>
                <w:szCs w:val="22"/>
              </w:rPr>
            </w:pPr>
            <w:r>
              <w:rPr>
                <w:rFonts w:asciiTheme="minorHAnsi" w:hAnsiTheme="minorHAnsi" w:cstheme="minorBidi"/>
                <w:sz w:val="22"/>
                <w:szCs w:val="22"/>
              </w:rPr>
              <w:t>Warning Labels</w:t>
            </w:r>
            <w:r w:rsidRPr="553E34CD" w:rsidR="00E52258">
              <w:rPr>
                <w:rFonts w:asciiTheme="minorHAnsi" w:hAnsiTheme="minorHAnsi" w:cstheme="minorBidi"/>
                <w:sz w:val="22"/>
                <w:szCs w:val="22"/>
              </w:rPr>
              <w:t xml:space="preserve"> were</w:t>
            </w:r>
            <w:r w:rsidRPr="553E34CD" w:rsidR="006D1DC7">
              <w:rPr>
                <w:rFonts w:asciiTheme="minorHAnsi" w:hAnsiTheme="minorHAnsi" w:cstheme="minorBidi"/>
                <w:sz w:val="22"/>
                <w:szCs w:val="22"/>
              </w:rPr>
              <w:t xml:space="preserve"> found to be efficient in attracting consumers’ attention and required less time to process than other </w:t>
            </w:r>
            <w:r w:rsidRPr="553E34CD" w:rsidR="00F638F1">
              <w:rPr>
                <w:rFonts w:asciiTheme="minorHAnsi" w:hAnsiTheme="minorHAnsi" w:cstheme="minorBidi"/>
                <w:sz w:val="22"/>
                <w:szCs w:val="22"/>
              </w:rPr>
              <w:t>FOP</w:t>
            </w:r>
            <w:r w:rsidRPr="553E34CD" w:rsidR="0004087E">
              <w:rPr>
                <w:rFonts w:asciiTheme="minorHAnsi" w:hAnsiTheme="minorHAnsi" w:cstheme="minorBidi"/>
                <w:sz w:val="22"/>
                <w:szCs w:val="22"/>
              </w:rPr>
              <w:t xml:space="preserve"> </w:t>
            </w:r>
            <w:r w:rsidRPr="553E34CD" w:rsidR="006D1DC7">
              <w:rPr>
                <w:rFonts w:asciiTheme="minorHAnsi" w:hAnsiTheme="minorHAnsi" w:cstheme="minorBidi"/>
                <w:sz w:val="22"/>
                <w:szCs w:val="22"/>
              </w:rPr>
              <w:t>s</w:t>
            </w:r>
            <w:r w:rsidRPr="553E34CD" w:rsidR="0004087E">
              <w:rPr>
                <w:rFonts w:asciiTheme="minorHAnsi" w:hAnsiTheme="minorHAnsi" w:cstheme="minorBidi"/>
                <w:sz w:val="22"/>
                <w:szCs w:val="22"/>
              </w:rPr>
              <w:t>chemes</w:t>
            </w:r>
            <w:r w:rsidRPr="553E34CD" w:rsidR="00F276DA">
              <w:rPr>
                <w:rFonts w:asciiTheme="minorHAnsi" w:hAnsiTheme="minorHAnsi" w:cstheme="minorBidi"/>
                <w:sz w:val="22"/>
                <w:szCs w:val="22"/>
              </w:rPr>
              <w:t xml:space="preserve"> </w:t>
            </w:r>
            <w:r w:rsidRPr="553E34CD" w:rsidR="003D4C0B">
              <w:rPr>
                <w:rFonts w:asciiTheme="minorHAnsi" w:hAnsiTheme="minorHAnsi" w:cstheme="minorBidi"/>
                <w:sz w:val="22"/>
                <w:szCs w:val="22"/>
              </w:rPr>
              <w:t>(Totor</w:t>
            </w:r>
            <w:r w:rsidRPr="553E34CD" w:rsidR="00F276DA">
              <w:rPr>
                <w:rFonts w:asciiTheme="minorHAnsi" w:hAnsiTheme="minorHAnsi" w:cstheme="minorBidi"/>
                <w:sz w:val="22"/>
                <w:szCs w:val="22"/>
              </w:rPr>
              <w:t>a, 2018).</w:t>
            </w:r>
            <w:r w:rsidRPr="553E34CD" w:rsidR="006D1DC7">
              <w:rPr>
                <w:rFonts w:asciiTheme="minorHAnsi" w:hAnsiTheme="minorHAnsi" w:cstheme="minorBidi"/>
                <w:sz w:val="22"/>
                <w:szCs w:val="22"/>
              </w:rPr>
              <w:t xml:space="preserve"> </w:t>
            </w:r>
            <w:r w:rsidRPr="553E34CD" w:rsidR="000F4926">
              <w:rPr>
                <w:rFonts w:asciiTheme="minorHAnsi" w:hAnsiTheme="minorHAnsi" w:cstheme="minorBidi"/>
                <w:sz w:val="22"/>
                <w:szCs w:val="22"/>
              </w:rPr>
              <w:t xml:space="preserve">One study </w:t>
            </w:r>
            <w:r w:rsidRPr="553E34CD" w:rsidR="000D5A7E">
              <w:rPr>
                <w:rFonts w:asciiTheme="minorHAnsi" w:hAnsiTheme="minorHAnsi" w:cstheme="minorBidi"/>
                <w:sz w:val="22"/>
                <w:szCs w:val="22"/>
              </w:rPr>
              <w:t xml:space="preserve">(Deliza, 2019) found </w:t>
            </w:r>
            <w:r w:rsidRPr="553E34CD" w:rsidR="003630F8">
              <w:rPr>
                <w:rFonts w:asciiTheme="minorHAnsi" w:hAnsiTheme="minorHAnsi" w:cstheme="minorBidi"/>
                <w:sz w:val="22"/>
                <w:szCs w:val="22"/>
              </w:rPr>
              <w:t>that</w:t>
            </w:r>
            <w:r w:rsidR="00CF6D7D">
              <w:rPr>
                <w:rFonts w:asciiTheme="minorHAnsi" w:hAnsiTheme="minorHAnsi" w:cstheme="minorBidi"/>
                <w:sz w:val="22"/>
                <w:szCs w:val="22"/>
              </w:rPr>
              <w:t>,</w:t>
            </w:r>
            <w:r w:rsidRPr="553E34CD" w:rsidR="003630F8">
              <w:rPr>
                <w:rFonts w:asciiTheme="minorHAnsi" w:hAnsiTheme="minorHAnsi" w:cstheme="minorBidi"/>
                <w:sz w:val="22"/>
                <w:szCs w:val="22"/>
              </w:rPr>
              <w:t xml:space="preserve"> although </w:t>
            </w:r>
            <w:r w:rsidRPr="553E34CD" w:rsidR="00D7416B">
              <w:rPr>
                <w:rFonts w:asciiTheme="minorHAnsi" w:hAnsiTheme="minorHAnsi" w:cstheme="minorBidi"/>
                <w:sz w:val="22"/>
                <w:szCs w:val="22"/>
              </w:rPr>
              <w:t xml:space="preserve">warning signs </w:t>
            </w:r>
            <w:r>
              <w:rPr>
                <w:rFonts w:asciiTheme="minorHAnsi" w:hAnsiTheme="minorHAnsi" w:cstheme="minorBidi"/>
                <w:sz w:val="22"/>
                <w:szCs w:val="22"/>
              </w:rPr>
              <w:t xml:space="preserve">(also called Warning Labels) </w:t>
            </w:r>
            <w:r w:rsidRPr="553E34CD" w:rsidR="00D7416B">
              <w:rPr>
                <w:rFonts w:asciiTheme="minorHAnsi" w:hAnsiTheme="minorHAnsi" w:cstheme="minorBidi"/>
                <w:sz w:val="22"/>
                <w:szCs w:val="22"/>
              </w:rPr>
              <w:t xml:space="preserve">are generally attended to by consumers, </w:t>
            </w:r>
            <w:r w:rsidRPr="553E34CD" w:rsidR="000B460B">
              <w:rPr>
                <w:rFonts w:asciiTheme="minorHAnsi" w:hAnsiTheme="minorHAnsi" w:cstheme="minorBidi"/>
                <w:sz w:val="22"/>
                <w:szCs w:val="22"/>
              </w:rPr>
              <w:t xml:space="preserve">the </w:t>
            </w:r>
            <w:r w:rsidRPr="553E34CD" w:rsidR="00F276DA">
              <w:rPr>
                <w:rFonts w:asciiTheme="minorHAnsi" w:hAnsiTheme="minorHAnsi" w:cstheme="minorBidi"/>
                <w:sz w:val="22"/>
                <w:szCs w:val="22"/>
              </w:rPr>
              <w:t>familiarity</w:t>
            </w:r>
            <w:r w:rsidRPr="553E34CD" w:rsidR="000B460B">
              <w:rPr>
                <w:rFonts w:asciiTheme="minorHAnsi" w:hAnsiTheme="minorHAnsi" w:cstheme="minorBidi"/>
                <w:sz w:val="22"/>
                <w:szCs w:val="22"/>
              </w:rPr>
              <w:t xml:space="preserve"> of signs</w:t>
            </w:r>
            <w:r w:rsidRPr="553E34CD" w:rsidR="003630F8">
              <w:rPr>
                <w:rFonts w:asciiTheme="minorHAnsi" w:hAnsiTheme="minorHAnsi" w:cstheme="minorBidi"/>
                <w:sz w:val="22"/>
                <w:szCs w:val="22"/>
              </w:rPr>
              <w:t xml:space="preserve"> matter</w:t>
            </w:r>
            <w:r w:rsidR="00EE18FC">
              <w:rPr>
                <w:rFonts w:asciiTheme="minorHAnsi" w:hAnsiTheme="minorHAnsi" w:cstheme="minorBidi"/>
                <w:sz w:val="22"/>
                <w:szCs w:val="22"/>
              </w:rPr>
              <w:t>s</w:t>
            </w:r>
            <w:r w:rsidRPr="553E34CD" w:rsidR="003630F8">
              <w:rPr>
                <w:rFonts w:asciiTheme="minorHAnsi" w:hAnsiTheme="minorHAnsi" w:cstheme="minorBidi"/>
                <w:sz w:val="22"/>
                <w:szCs w:val="22"/>
              </w:rPr>
              <w:t xml:space="preserve">.  </w:t>
            </w:r>
            <w:r w:rsidR="0070623F">
              <w:rPr>
                <w:rFonts w:asciiTheme="minorHAnsi" w:hAnsiTheme="minorHAnsi" w:cstheme="minorBidi"/>
                <w:sz w:val="22"/>
                <w:szCs w:val="22"/>
              </w:rPr>
              <w:t>Graphic w</w:t>
            </w:r>
            <w:r w:rsidRPr="553E34CD" w:rsidR="003630F8">
              <w:rPr>
                <w:rFonts w:asciiTheme="minorHAnsi" w:hAnsiTheme="minorHAnsi" w:cstheme="minorBidi"/>
                <w:sz w:val="22"/>
                <w:szCs w:val="22"/>
              </w:rPr>
              <w:t>arning signs</w:t>
            </w:r>
            <w:r w:rsidRPr="553E34CD" w:rsidR="00765B39">
              <w:rPr>
                <w:rFonts w:asciiTheme="minorHAnsi" w:hAnsiTheme="minorHAnsi" w:cstheme="minorBidi"/>
                <w:sz w:val="22"/>
                <w:szCs w:val="22"/>
              </w:rPr>
              <w:t xml:space="preserve"> that are</w:t>
            </w:r>
            <w:r w:rsidRPr="553E34CD">
              <w:rPr>
                <w:rFonts w:asciiTheme="minorHAnsi" w:hAnsiTheme="minorHAnsi" w:cstheme="minorBidi"/>
                <w:sz w:val="22"/>
                <w:szCs w:val="22"/>
              </w:rPr>
              <w:t xml:space="preserve"> </w:t>
            </w:r>
            <w:r w:rsidRPr="553E34CD" w:rsidR="00765B39">
              <w:rPr>
                <w:rFonts w:asciiTheme="minorHAnsi" w:hAnsiTheme="minorHAnsi" w:cstheme="minorBidi"/>
                <w:sz w:val="22"/>
                <w:szCs w:val="22"/>
              </w:rPr>
              <w:t xml:space="preserve">commonly </w:t>
            </w:r>
            <w:r w:rsidRPr="553E34CD">
              <w:rPr>
                <w:rFonts w:asciiTheme="minorHAnsi" w:hAnsiTheme="minorHAnsi" w:cstheme="minorBidi"/>
                <w:sz w:val="22"/>
                <w:szCs w:val="22"/>
              </w:rPr>
              <w:t xml:space="preserve">used to convey a ‘warning message’ outperformed other </w:t>
            </w:r>
            <w:r w:rsidRPr="008A0F5F" w:rsidR="0070623F">
              <w:rPr>
                <w:rFonts w:asciiTheme="minorHAnsi" w:hAnsiTheme="minorHAnsi" w:cstheme="minorBidi"/>
                <w:sz w:val="22"/>
              </w:rPr>
              <w:t xml:space="preserve">graphic </w:t>
            </w:r>
            <w:r w:rsidRPr="0070623F" w:rsidR="000B460B">
              <w:rPr>
                <w:rFonts w:asciiTheme="minorHAnsi" w:hAnsiTheme="minorHAnsi" w:cstheme="minorBidi"/>
                <w:sz w:val="22"/>
              </w:rPr>
              <w:t xml:space="preserve">warning </w:t>
            </w:r>
            <w:r w:rsidRPr="0070623F">
              <w:rPr>
                <w:rFonts w:asciiTheme="minorHAnsi" w:hAnsiTheme="minorHAnsi" w:cstheme="minorBidi"/>
                <w:sz w:val="22"/>
              </w:rPr>
              <w:t>signs</w:t>
            </w:r>
            <w:r w:rsidRPr="553E34CD">
              <w:rPr>
                <w:rFonts w:asciiTheme="minorHAnsi" w:hAnsiTheme="minorHAnsi" w:cstheme="minorBidi"/>
                <w:sz w:val="22"/>
                <w:szCs w:val="22"/>
              </w:rPr>
              <w:t xml:space="preserve"> in terms of their ability to facilitate the interpretation of nutrition information. </w:t>
            </w:r>
            <w:r w:rsidRPr="553E34CD" w:rsidR="00763CB9">
              <w:rPr>
                <w:rFonts w:asciiTheme="minorHAnsi" w:hAnsiTheme="minorHAnsi" w:cstheme="minorBidi"/>
                <w:sz w:val="22"/>
                <w:szCs w:val="22"/>
              </w:rPr>
              <w:t>Furthermore, black warning signs required significantly less time to be detected</w:t>
            </w:r>
            <w:r w:rsidRPr="553E34CD" w:rsidR="00B36B55">
              <w:rPr>
                <w:rFonts w:asciiTheme="minorHAnsi" w:hAnsiTheme="minorHAnsi" w:cstheme="minorBidi"/>
                <w:sz w:val="22"/>
                <w:szCs w:val="22"/>
              </w:rPr>
              <w:t>, compared to red signs, on color food labels.</w:t>
            </w:r>
          </w:p>
          <w:p w:rsidR="00DC35D8" w:rsidRPr="00C35D56" w:rsidP="00DC35D8" w14:paraId="6A32F5E7" w14:textId="079069DF">
            <w:pPr>
              <w:pStyle w:val="ListParagraph"/>
              <w:numPr>
                <w:ilvl w:val="0"/>
                <w:numId w:val="2"/>
              </w:numPr>
              <w:rPr>
                <w:rFonts w:asciiTheme="minorHAnsi" w:hAnsiTheme="minorHAnsi" w:cstheme="minorBidi"/>
                <w:sz w:val="22"/>
                <w:szCs w:val="22"/>
              </w:rPr>
            </w:pPr>
            <w:r w:rsidRPr="553E34CD">
              <w:rPr>
                <w:rFonts w:asciiTheme="minorHAnsi" w:hAnsiTheme="minorHAnsi" w:cstheme="minorBidi"/>
                <w:sz w:val="22"/>
                <w:szCs w:val="22"/>
              </w:rPr>
              <w:t xml:space="preserve">Studies indicate that </w:t>
            </w:r>
            <w:r w:rsidR="004B6E26">
              <w:rPr>
                <w:rFonts w:asciiTheme="minorHAnsi" w:hAnsiTheme="minorHAnsi" w:cstheme="minorBidi"/>
                <w:sz w:val="22"/>
                <w:szCs w:val="22"/>
              </w:rPr>
              <w:t>FOP</w:t>
            </w:r>
            <w:r w:rsidR="00EB409A">
              <w:rPr>
                <w:rFonts w:asciiTheme="minorHAnsi" w:hAnsiTheme="minorHAnsi" w:cstheme="minorBidi"/>
                <w:sz w:val="22"/>
                <w:szCs w:val="22"/>
              </w:rPr>
              <w:t xml:space="preserve"> </w:t>
            </w:r>
            <w:r w:rsidR="0012603D">
              <w:rPr>
                <w:rFonts w:asciiTheme="minorHAnsi" w:hAnsiTheme="minorHAnsi" w:cstheme="minorBidi"/>
                <w:sz w:val="22"/>
                <w:szCs w:val="22"/>
              </w:rPr>
              <w:t>l</w:t>
            </w:r>
            <w:r w:rsidRPr="004E46AF" w:rsidR="0012603D">
              <w:rPr>
                <w:rFonts w:asciiTheme="minorHAnsi" w:hAnsiTheme="minorHAnsi" w:cstheme="minorBidi"/>
                <w:sz w:val="22"/>
                <w:szCs w:val="22"/>
              </w:rPr>
              <w:t>abel</w:t>
            </w:r>
            <w:r w:rsidRPr="553E34CD">
              <w:rPr>
                <w:rFonts w:asciiTheme="minorHAnsi" w:hAnsiTheme="minorHAnsi" w:cstheme="minorBidi"/>
                <w:sz w:val="22"/>
                <w:szCs w:val="22"/>
              </w:rPr>
              <w:t>s help shoppers to distinguish between healthy and less healthy foods. One review (Temple, 2020) found the designs that appear to be most successful in this regard are M</w:t>
            </w:r>
            <w:r w:rsidR="008B7A1E">
              <w:rPr>
                <w:rFonts w:asciiTheme="minorHAnsi" w:hAnsiTheme="minorHAnsi" w:cstheme="minorBidi"/>
                <w:sz w:val="22"/>
                <w:szCs w:val="22"/>
              </w:rPr>
              <w:t>ultiple Traffic Light symbols</w:t>
            </w:r>
            <w:r w:rsidRPr="553E34CD">
              <w:rPr>
                <w:rFonts w:asciiTheme="minorHAnsi" w:hAnsiTheme="minorHAnsi" w:cstheme="minorBidi"/>
                <w:sz w:val="22"/>
                <w:szCs w:val="22"/>
              </w:rPr>
              <w:t xml:space="preserve">, </w:t>
            </w:r>
            <w:r w:rsidR="003658DF">
              <w:rPr>
                <w:rFonts w:asciiTheme="minorHAnsi" w:hAnsiTheme="minorHAnsi" w:cstheme="minorBidi"/>
                <w:sz w:val="22"/>
                <w:szCs w:val="22"/>
              </w:rPr>
              <w:t>W</w:t>
            </w:r>
            <w:r w:rsidRPr="553E34CD">
              <w:rPr>
                <w:rFonts w:asciiTheme="minorHAnsi" w:hAnsiTheme="minorHAnsi" w:cstheme="minorBidi"/>
                <w:sz w:val="22"/>
                <w:szCs w:val="22"/>
              </w:rPr>
              <w:t xml:space="preserve">arning </w:t>
            </w:r>
            <w:r w:rsidR="003658DF">
              <w:rPr>
                <w:rFonts w:asciiTheme="minorHAnsi" w:hAnsiTheme="minorHAnsi" w:cstheme="minorBidi"/>
                <w:sz w:val="22"/>
                <w:szCs w:val="22"/>
              </w:rPr>
              <w:t>L</w:t>
            </w:r>
            <w:r w:rsidRPr="553E34CD">
              <w:rPr>
                <w:rFonts w:asciiTheme="minorHAnsi" w:hAnsiTheme="minorHAnsi" w:cstheme="minorBidi"/>
                <w:sz w:val="22"/>
                <w:szCs w:val="22"/>
              </w:rPr>
              <w:t xml:space="preserve">abels, and </w:t>
            </w:r>
            <w:r w:rsidR="004B6E26">
              <w:rPr>
                <w:rFonts w:asciiTheme="minorHAnsi" w:hAnsiTheme="minorHAnsi" w:cstheme="minorBidi"/>
                <w:sz w:val="22"/>
                <w:szCs w:val="22"/>
              </w:rPr>
              <w:t>Nutri-Score</w:t>
            </w:r>
            <w:r w:rsidRPr="553E34CD">
              <w:rPr>
                <w:rFonts w:asciiTheme="minorHAnsi" w:hAnsiTheme="minorHAnsi" w:cstheme="minorBidi"/>
                <w:sz w:val="22"/>
                <w:szCs w:val="22"/>
              </w:rPr>
              <w:t xml:space="preserve">. Additionally, studies confirm the advantages of </w:t>
            </w:r>
            <w:r w:rsidR="003658DF">
              <w:rPr>
                <w:rFonts w:asciiTheme="minorHAnsi" w:hAnsiTheme="minorHAnsi" w:cstheme="minorBidi"/>
                <w:sz w:val="22"/>
                <w:szCs w:val="22"/>
              </w:rPr>
              <w:t>W</w:t>
            </w:r>
            <w:r w:rsidRPr="553E34CD">
              <w:rPr>
                <w:rFonts w:asciiTheme="minorHAnsi" w:hAnsiTheme="minorHAnsi" w:cstheme="minorBidi"/>
                <w:sz w:val="22"/>
                <w:szCs w:val="22"/>
              </w:rPr>
              <w:t>arning</w:t>
            </w:r>
            <w:r w:rsidRPr="553E34CD" w:rsidR="008936AB">
              <w:rPr>
                <w:rFonts w:asciiTheme="minorHAnsi" w:hAnsiTheme="minorHAnsi" w:cstheme="minorBidi"/>
                <w:sz w:val="22"/>
                <w:szCs w:val="22"/>
              </w:rPr>
              <w:t xml:space="preserve"> </w:t>
            </w:r>
            <w:r w:rsidR="003658DF">
              <w:rPr>
                <w:rFonts w:asciiTheme="minorHAnsi" w:hAnsiTheme="minorHAnsi" w:cstheme="minorBidi"/>
                <w:sz w:val="22"/>
                <w:szCs w:val="22"/>
              </w:rPr>
              <w:t>L</w:t>
            </w:r>
            <w:r w:rsidRPr="553E34CD" w:rsidR="008936AB">
              <w:rPr>
                <w:rFonts w:asciiTheme="minorHAnsi" w:hAnsiTheme="minorHAnsi" w:cstheme="minorBidi"/>
                <w:sz w:val="22"/>
                <w:szCs w:val="22"/>
              </w:rPr>
              <w:t>abel</w:t>
            </w:r>
            <w:r w:rsidRPr="553E34CD">
              <w:rPr>
                <w:rFonts w:asciiTheme="minorHAnsi" w:hAnsiTheme="minorHAnsi" w:cstheme="minorBidi"/>
                <w:sz w:val="22"/>
                <w:szCs w:val="22"/>
              </w:rPr>
              <w:t xml:space="preserve">s, </w:t>
            </w:r>
            <w:r w:rsidRPr="553E34CD" w:rsidR="008B7A1E">
              <w:rPr>
                <w:rFonts w:asciiTheme="minorHAnsi" w:hAnsiTheme="minorHAnsi" w:cstheme="minorBidi"/>
                <w:sz w:val="22"/>
                <w:szCs w:val="22"/>
              </w:rPr>
              <w:t>M</w:t>
            </w:r>
            <w:r w:rsidR="008B7A1E">
              <w:rPr>
                <w:rFonts w:asciiTheme="minorHAnsi" w:hAnsiTheme="minorHAnsi" w:cstheme="minorBidi"/>
                <w:sz w:val="22"/>
                <w:szCs w:val="22"/>
              </w:rPr>
              <w:t xml:space="preserve">ultiple Traffic Light </w:t>
            </w:r>
            <w:r w:rsidR="008B7A1E">
              <w:rPr>
                <w:rFonts w:asciiTheme="minorHAnsi" w:hAnsiTheme="minorHAnsi" w:cstheme="minorBidi"/>
                <w:sz w:val="22"/>
                <w:szCs w:val="22"/>
              </w:rPr>
              <w:t>symbols</w:t>
            </w:r>
            <w:r w:rsidRPr="553E34CD">
              <w:rPr>
                <w:rFonts w:asciiTheme="minorHAnsi" w:hAnsiTheme="minorHAnsi" w:cstheme="minorBidi"/>
                <w:sz w:val="22"/>
                <w:szCs w:val="22"/>
              </w:rPr>
              <w:t xml:space="preserve"> and </w:t>
            </w:r>
            <w:r w:rsidR="004B6E26">
              <w:rPr>
                <w:rFonts w:asciiTheme="minorHAnsi" w:hAnsiTheme="minorHAnsi" w:cstheme="minorBidi"/>
                <w:sz w:val="22"/>
                <w:szCs w:val="22"/>
              </w:rPr>
              <w:t>Nutri-Score</w:t>
            </w:r>
            <w:r w:rsidR="003658DF">
              <w:rPr>
                <w:rFonts w:asciiTheme="minorHAnsi" w:hAnsiTheme="minorHAnsi" w:cstheme="minorBidi"/>
                <w:sz w:val="22"/>
                <w:szCs w:val="22"/>
              </w:rPr>
              <w:t>,</w:t>
            </w:r>
            <w:r w:rsidRPr="553E34CD">
              <w:rPr>
                <w:rFonts w:asciiTheme="minorHAnsi" w:hAnsiTheme="minorHAnsi" w:cstheme="minorBidi"/>
                <w:sz w:val="22"/>
                <w:szCs w:val="22"/>
              </w:rPr>
              <w:t xml:space="preserve"> compared to the GDA</w:t>
            </w:r>
            <w:r w:rsidR="003658DF">
              <w:rPr>
                <w:rFonts w:asciiTheme="minorHAnsi" w:hAnsiTheme="minorHAnsi" w:cstheme="minorBidi"/>
                <w:sz w:val="22"/>
                <w:szCs w:val="22"/>
              </w:rPr>
              <w:t>,</w:t>
            </w:r>
            <w:r w:rsidRPr="553E34CD">
              <w:rPr>
                <w:rFonts w:asciiTheme="minorHAnsi" w:hAnsiTheme="minorHAnsi" w:cstheme="minorBidi"/>
                <w:sz w:val="22"/>
                <w:szCs w:val="22"/>
              </w:rPr>
              <w:t xml:space="preserve"> to facilitate the identification of products with high nutrient</w:t>
            </w:r>
            <w:r w:rsidRPr="553E34CD" w:rsidR="53554A63">
              <w:rPr>
                <w:rFonts w:asciiTheme="minorHAnsi" w:hAnsiTheme="minorHAnsi" w:cstheme="minorBidi"/>
                <w:sz w:val="22"/>
                <w:szCs w:val="22"/>
              </w:rPr>
              <w:t xml:space="preserve"> level</w:t>
            </w:r>
            <w:r w:rsidRPr="553E34CD">
              <w:rPr>
                <w:rFonts w:asciiTheme="minorHAnsi" w:hAnsiTheme="minorHAnsi" w:cstheme="minorBidi"/>
                <w:sz w:val="22"/>
                <w:szCs w:val="22"/>
              </w:rPr>
              <w:t>s.</w:t>
            </w:r>
          </w:p>
          <w:p w:rsidR="00DC35D8" w:rsidRPr="00C35D56" w:rsidP="00E43971" w14:paraId="2C984F9D" w14:textId="77777777">
            <w:pPr>
              <w:pStyle w:val="ListParagraph"/>
              <w:ind w:left="0"/>
              <w:rPr>
                <w:rFonts w:asciiTheme="minorHAnsi" w:hAnsiTheme="minorHAnsi" w:cstheme="minorHAnsi"/>
                <w:sz w:val="22"/>
                <w:szCs w:val="22"/>
              </w:rPr>
            </w:pPr>
          </w:p>
          <w:p w:rsidR="0080237D" w:rsidRPr="00977229" w:rsidP="00E43971" w14:paraId="104C2296" w14:textId="242A9023">
            <w:pPr>
              <w:rPr>
                <w:rFonts w:asciiTheme="minorHAnsi" w:hAnsiTheme="minorHAnsi" w:cstheme="minorBidi"/>
                <w:sz w:val="22"/>
                <w:szCs w:val="22"/>
              </w:rPr>
            </w:pPr>
            <w:r w:rsidRPr="223BA617">
              <w:rPr>
                <w:rFonts w:asciiTheme="minorHAnsi" w:hAnsiTheme="minorHAnsi" w:cstheme="minorBidi"/>
                <w:b/>
                <w:sz w:val="22"/>
                <w:szCs w:val="22"/>
              </w:rPr>
              <w:t>Conclusion:</w:t>
            </w:r>
            <w:r w:rsidRPr="223BA617">
              <w:rPr>
                <w:rFonts w:asciiTheme="minorHAnsi" w:hAnsiTheme="minorHAnsi" w:cstheme="minorBidi"/>
                <w:sz w:val="22"/>
                <w:szCs w:val="22"/>
              </w:rPr>
              <w:t xml:space="preserve"> These studies extend the findings of the 2016 RTI Addendum</w:t>
            </w:r>
            <w:r w:rsidRPr="223BA617" w:rsidR="004A4084">
              <w:rPr>
                <w:rFonts w:asciiTheme="minorHAnsi" w:hAnsiTheme="minorHAnsi" w:cstheme="minorBidi"/>
                <w:sz w:val="22"/>
                <w:szCs w:val="22"/>
              </w:rPr>
              <w:t>,</w:t>
            </w:r>
            <w:r w:rsidRPr="223BA617">
              <w:rPr>
                <w:rFonts w:asciiTheme="minorHAnsi" w:hAnsiTheme="minorHAnsi" w:cstheme="minorBidi"/>
                <w:sz w:val="22"/>
                <w:szCs w:val="22"/>
              </w:rPr>
              <w:t xml:space="preserve"> which found that </w:t>
            </w:r>
            <w:r w:rsidRPr="223BA617" w:rsidR="00F638F1">
              <w:rPr>
                <w:rFonts w:asciiTheme="minorHAnsi" w:hAnsiTheme="minorHAnsi" w:cstheme="minorBidi"/>
                <w:sz w:val="22"/>
                <w:szCs w:val="22"/>
              </w:rPr>
              <w:t>FOP</w:t>
            </w:r>
            <w:r w:rsidRPr="223BA617">
              <w:rPr>
                <w:rFonts w:asciiTheme="minorHAnsi" w:hAnsiTheme="minorHAnsi" w:cstheme="minorBidi"/>
                <w:sz w:val="22"/>
                <w:szCs w:val="22"/>
              </w:rPr>
              <w:t xml:space="preserve"> labels catch consumers’ attention</w:t>
            </w:r>
            <w:r w:rsidRPr="223BA617" w:rsidR="00C66B6E">
              <w:rPr>
                <w:rFonts w:asciiTheme="minorHAnsi" w:hAnsiTheme="minorHAnsi" w:cstheme="minorBidi"/>
                <w:sz w:val="22"/>
                <w:szCs w:val="22"/>
              </w:rPr>
              <w:t>.  Additionally</w:t>
            </w:r>
            <w:r w:rsidRPr="223BA617" w:rsidR="00EE49D1">
              <w:rPr>
                <w:rFonts w:asciiTheme="minorHAnsi" w:hAnsiTheme="minorHAnsi" w:cstheme="minorBidi"/>
                <w:sz w:val="22"/>
                <w:szCs w:val="22"/>
              </w:rPr>
              <w:t>,</w:t>
            </w:r>
            <w:r w:rsidRPr="223BA617" w:rsidR="00C66B6E">
              <w:rPr>
                <w:rFonts w:asciiTheme="minorHAnsi" w:hAnsiTheme="minorHAnsi" w:cstheme="minorBidi"/>
                <w:sz w:val="22"/>
                <w:szCs w:val="22"/>
              </w:rPr>
              <w:t xml:space="preserve"> </w:t>
            </w:r>
            <w:r w:rsidR="003658DF">
              <w:rPr>
                <w:rFonts w:asciiTheme="minorHAnsi" w:hAnsiTheme="minorHAnsi" w:cstheme="minorBidi"/>
                <w:sz w:val="22"/>
                <w:szCs w:val="22"/>
              </w:rPr>
              <w:t xml:space="preserve">one of the </w:t>
            </w:r>
            <w:r w:rsidRPr="223BA617" w:rsidR="00C66B6E">
              <w:rPr>
                <w:rFonts w:asciiTheme="minorHAnsi" w:hAnsiTheme="minorHAnsi" w:cstheme="minorBidi"/>
                <w:sz w:val="22"/>
                <w:szCs w:val="22"/>
              </w:rPr>
              <w:t xml:space="preserve">studies </w:t>
            </w:r>
            <w:r w:rsidR="003658DF">
              <w:rPr>
                <w:rFonts w:asciiTheme="minorHAnsi" w:hAnsiTheme="minorHAnsi" w:cstheme="minorBidi"/>
                <w:sz w:val="22"/>
                <w:szCs w:val="22"/>
              </w:rPr>
              <w:t xml:space="preserve">(Deliza, 2019) </w:t>
            </w:r>
            <w:r w:rsidRPr="223BA617" w:rsidR="00C15120">
              <w:rPr>
                <w:rFonts w:asciiTheme="minorHAnsi" w:hAnsiTheme="minorHAnsi" w:cstheme="minorBidi"/>
                <w:sz w:val="22"/>
                <w:szCs w:val="22"/>
              </w:rPr>
              <w:t>suggest</w:t>
            </w:r>
            <w:r w:rsidR="003658DF">
              <w:rPr>
                <w:rFonts w:asciiTheme="minorHAnsi" w:hAnsiTheme="minorHAnsi" w:cstheme="minorBidi"/>
                <w:sz w:val="22"/>
                <w:szCs w:val="22"/>
              </w:rPr>
              <w:t>s</w:t>
            </w:r>
            <w:r w:rsidRPr="223BA617" w:rsidR="00C15120">
              <w:rPr>
                <w:rFonts w:asciiTheme="minorHAnsi" w:hAnsiTheme="minorHAnsi" w:cstheme="minorBidi"/>
                <w:sz w:val="22"/>
                <w:szCs w:val="22"/>
              </w:rPr>
              <w:t xml:space="preserve"> that over time, as consumers become more familiar with </w:t>
            </w:r>
            <w:r w:rsidRPr="223BA617" w:rsidR="00F638F1">
              <w:rPr>
                <w:rFonts w:asciiTheme="minorHAnsi" w:hAnsiTheme="minorHAnsi" w:cstheme="minorBidi"/>
                <w:sz w:val="22"/>
                <w:szCs w:val="22"/>
              </w:rPr>
              <w:t>FOP</w:t>
            </w:r>
            <w:r w:rsidR="004E46AF">
              <w:rPr>
                <w:rFonts w:asciiTheme="minorHAnsi" w:hAnsiTheme="minorHAnsi" w:cstheme="minorBidi"/>
                <w:sz w:val="22"/>
                <w:szCs w:val="22"/>
              </w:rPr>
              <w:t xml:space="preserve"> </w:t>
            </w:r>
            <w:r w:rsidRPr="004E46AF" w:rsidR="004E46AF">
              <w:rPr>
                <w:rFonts w:asciiTheme="minorHAnsi" w:hAnsiTheme="minorHAnsi" w:cstheme="minorBidi"/>
                <w:sz w:val="22"/>
                <w:szCs w:val="22"/>
              </w:rPr>
              <w:t>label</w:t>
            </w:r>
            <w:r w:rsidRPr="223BA617" w:rsidR="00C15120">
              <w:rPr>
                <w:rFonts w:asciiTheme="minorHAnsi" w:hAnsiTheme="minorHAnsi" w:cstheme="minorBidi"/>
                <w:sz w:val="22"/>
                <w:szCs w:val="22"/>
              </w:rPr>
              <w:t>s</w:t>
            </w:r>
            <w:r w:rsidRPr="223BA617" w:rsidR="00C66B6E">
              <w:rPr>
                <w:rFonts w:asciiTheme="minorHAnsi" w:hAnsiTheme="minorHAnsi" w:cstheme="minorBidi"/>
                <w:sz w:val="22"/>
                <w:szCs w:val="22"/>
              </w:rPr>
              <w:t>,</w:t>
            </w:r>
            <w:r w:rsidRPr="223BA617" w:rsidR="00EE49D1">
              <w:rPr>
                <w:rFonts w:asciiTheme="minorHAnsi" w:hAnsiTheme="minorHAnsi" w:cstheme="minorBidi"/>
                <w:sz w:val="22"/>
                <w:szCs w:val="22"/>
              </w:rPr>
              <w:t xml:space="preserve"> </w:t>
            </w:r>
            <w:r w:rsidRPr="223BA617" w:rsidR="00C15120">
              <w:rPr>
                <w:rFonts w:asciiTheme="minorHAnsi" w:hAnsiTheme="minorHAnsi" w:cstheme="minorBidi"/>
                <w:sz w:val="22"/>
                <w:szCs w:val="22"/>
              </w:rPr>
              <w:t xml:space="preserve">they will become even more useful. </w:t>
            </w:r>
          </w:p>
        </w:tc>
      </w:tr>
    </w:tbl>
    <w:p w:rsidR="00CD7EEB" w14:paraId="40C7FE56" w14:textId="77777777">
      <w:r>
        <w:br w:type="page"/>
      </w:r>
    </w:p>
    <w:tbl>
      <w:tblPr>
        <w:tblStyle w:val="TableGrid"/>
        <w:tblW w:w="0" w:type="auto"/>
        <w:tblInd w:w="-5" w:type="dxa"/>
        <w:tblLook w:val="04A0"/>
      </w:tblPr>
      <w:tblGrid>
        <w:gridCol w:w="1729"/>
        <w:gridCol w:w="7626"/>
      </w:tblGrid>
      <w:tr w14:paraId="05452343" w14:textId="77777777" w:rsidTr="1D57B863">
        <w:tblPrEx>
          <w:tblW w:w="0" w:type="auto"/>
          <w:tblInd w:w="-5" w:type="dxa"/>
          <w:tblLook w:val="04A0"/>
        </w:tblPrEx>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37D" w:rsidP="00174D66" w14:paraId="0E62A873" w14:textId="62BB26AF">
            <w:pPr>
              <w:rPr>
                <w:b/>
                <w:sz w:val="24"/>
                <w:szCs w:val="24"/>
              </w:rPr>
            </w:pPr>
          </w:p>
          <w:p w:rsidR="0080237D" w:rsidRPr="00733627" w:rsidP="00174D66" w14:paraId="79E50603" w14:textId="77777777">
            <w:pPr>
              <w:rPr>
                <w:b/>
                <w:sz w:val="24"/>
                <w:szCs w:val="24"/>
              </w:rPr>
            </w:pPr>
            <w:r w:rsidRPr="009A7F34">
              <w:rPr>
                <w:b/>
                <w:sz w:val="24"/>
                <w:szCs w:val="24"/>
              </w:rPr>
              <w:t>Liking, Satisfaction, and Label Preference</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37D" w:rsidRPr="00C433D4" w:rsidP="00174D66" w14:paraId="622490CE" w14:textId="70DBA857">
            <w:pPr>
              <w:pStyle w:val="ListParagraph"/>
              <w:numPr>
                <w:ilvl w:val="0"/>
                <w:numId w:val="1"/>
              </w:numPr>
              <w:ind w:hanging="270"/>
              <w:rPr>
                <w:rFonts w:asciiTheme="minorHAnsi" w:hAnsiTheme="minorHAnsi" w:cstheme="minorBidi"/>
                <w:sz w:val="22"/>
                <w:szCs w:val="22"/>
              </w:rPr>
            </w:pPr>
            <w:r w:rsidRPr="553E34CD">
              <w:rPr>
                <w:rFonts w:asciiTheme="minorHAnsi" w:hAnsiTheme="minorHAnsi" w:cstheme="minorBidi"/>
                <w:sz w:val="22"/>
                <w:szCs w:val="22"/>
              </w:rPr>
              <w:t xml:space="preserve">Our review identified </w:t>
            </w:r>
            <w:r w:rsidRPr="553E34CD" w:rsidR="00C433D4">
              <w:rPr>
                <w:rFonts w:asciiTheme="minorHAnsi" w:hAnsiTheme="minorHAnsi" w:cstheme="minorBidi"/>
                <w:sz w:val="22"/>
                <w:szCs w:val="22"/>
              </w:rPr>
              <w:t>1</w:t>
            </w:r>
            <w:r w:rsidRPr="553E34CD" w:rsidR="00F642AF">
              <w:rPr>
                <w:rFonts w:asciiTheme="minorHAnsi" w:hAnsiTheme="minorHAnsi" w:cstheme="minorBidi"/>
                <w:sz w:val="22"/>
                <w:szCs w:val="22"/>
              </w:rPr>
              <w:t>2</w:t>
            </w:r>
            <w:r w:rsidRPr="553E34CD" w:rsidR="00C433D4">
              <w:rPr>
                <w:rFonts w:asciiTheme="minorHAnsi" w:hAnsiTheme="minorHAnsi" w:cstheme="minorBidi"/>
                <w:sz w:val="22"/>
                <w:szCs w:val="22"/>
              </w:rPr>
              <w:t xml:space="preserve"> </w:t>
            </w:r>
            <w:r w:rsidRPr="553E34CD">
              <w:rPr>
                <w:rFonts w:asciiTheme="minorHAnsi" w:hAnsiTheme="minorHAnsi" w:cstheme="minorBidi"/>
                <w:sz w:val="22"/>
                <w:szCs w:val="22"/>
              </w:rPr>
              <w:t xml:space="preserve">studies in this category, </w:t>
            </w:r>
            <w:r w:rsidRPr="553E34CD" w:rsidR="2614DE89">
              <w:rPr>
                <w:rFonts w:asciiTheme="minorHAnsi" w:hAnsiTheme="minorHAnsi" w:cstheme="minorBidi"/>
                <w:sz w:val="22"/>
                <w:szCs w:val="22"/>
              </w:rPr>
              <w:t>including</w:t>
            </w:r>
            <w:r w:rsidRPr="553E34CD">
              <w:rPr>
                <w:rFonts w:asciiTheme="minorHAnsi" w:hAnsiTheme="minorHAnsi" w:cstheme="minorBidi"/>
                <w:sz w:val="22"/>
                <w:szCs w:val="22"/>
              </w:rPr>
              <w:t xml:space="preserve"> </w:t>
            </w:r>
            <w:r w:rsidRPr="553E34CD" w:rsidR="00FA2E31">
              <w:rPr>
                <w:rFonts w:asciiTheme="minorHAnsi" w:hAnsiTheme="minorHAnsi" w:cstheme="minorBidi"/>
                <w:sz w:val="22"/>
                <w:szCs w:val="22"/>
              </w:rPr>
              <w:t>three</w:t>
            </w:r>
            <w:r w:rsidRPr="553E34CD">
              <w:rPr>
                <w:rFonts w:asciiTheme="minorHAnsi" w:hAnsiTheme="minorHAnsi" w:cstheme="minorBidi"/>
                <w:sz w:val="22"/>
                <w:szCs w:val="22"/>
              </w:rPr>
              <w:t xml:space="preserve"> experimental studies, </w:t>
            </w:r>
            <w:r w:rsidRPr="553E34CD" w:rsidR="005A3D7F">
              <w:rPr>
                <w:rFonts w:asciiTheme="minorHAnsi" w:hAnsiTheme="minorHAnsi" w:cstheme="minorBidi"/>
                <w:sz w:val="22"/>
                <w:szCs w:val="22"/>
              </w:rPr>
              <w:t>eight</w:t>
            </w:r>
            <w:r w:rsidRPr="553E34CD">
              <w:rPr>
                <w:rFonts w:asciiTheme="minorHAnsi" w:hAnsiTheme="minorHAnsi" w:cstheme="minorBidi"/>
                <w:sz w:val="22"/>
                <w:szCs w:val="22"/>
              </w:rPr>
              <w:t xml:space="preserve"> cross-sectional surveys, </w:t>
            </w:r>
            <w:r w:rsidRPr="553E34CD" w:rsidR="0012278F">
              <w:rPr>
                <w:rFonts w:asciiTheme="minorHAnsi" w:hAnsiTheme="minorHAnsi" w:cstheme="minorBidi"/>
                <w:sz w:val="22"/>
                <w:szCs w:val="22"/>
              </w:rPr>
              <w:t xml:space="preserve">and </w:t>
            </w:r>
            <w:r w:rsidRPr="553E34CD" w:rsidR="00A63C57">
              <w:rPr>
                <w:rFonts w:asciiTheme="minorHAnsi" w:hAnsiTheme="minorHAnsi" w:cstheme="minorBidi"/>
                <w:sz w:val="22"/>
                <w:szCs w:val="22"/>
              </w:rPr>
              <w:t>one</w:t>
            </w:r>
            <w:r w:rsidRPr="553E34CD">
              <w:rPr>
                <w:rFonts w:asciiTheme="minorHAnsi" w:hAnsiTheme="minorHAnsi" w:cstheme="minorBidi"/>
                <w:sz w:val="22"/>
                <w:szCs w:val="22"/>
              </w:rPr>
              <w:t xml:space="preserve"> focus group stud</w:t>
            </w:r>
            <w:r w:rsidRPr="553E34CD" w:rsidR="0012278F">
              <w:rPr>
                <w:rFonts w:asciiTheme="minorHAnsi" w:hAnsiTheme="minorHAnsi" w:cstheme="minorBidi"/>
                <w:sz w:val="22"/>
                <w:szCs w:val="22"/>
              </w:rPr>
              <w:t>y.</w:t>
            </w:r>
            <w:r w:rsidRPr="553E34CD">
              <w:rPr>
                <w:rFonts w:asciiTheme="minorHAnsi" w:hAnsiTheme="minorHAnsi" w:cstheme="minorBidi"/>
                <w:sz w:val="22"/>
                <w:szCs w:val="22"/>
              </w:rPr>
              <w:t xml:space="preserve"> </w:t>
            </w:r>
          </w:p>
          <w:p w:rsidR="0080237D" w:rsidRPr="00C433D4" w:rsidP="00174D66" w14:paraId="2FD42872" w14:textId="7BA3A8CA">
            <w:pPr>
              <w:pStyle w:val="ListParagraph"/>
              <w:numPr>
                <w:ilvl w:val="0"/>
                <w:numId w:val="1"/>
              </w:numPr>
              <w:ind w:hanging="270"/>
              <w:rPr>
                <w:rFonts w:asciiTheme="minorHAnsi" w:hAnsiTheme="minorHAnsi" w:cstheme="minorBidi"/>
                <w:sz w:val="22"/>
                <w:szCs w:val="22"/>
              </w:rPr>
            </w:pPr>
            <w:r w:rsidRPr="553E34CD">
              <w:rPr>
                <w:rFonts w:asciiTheme="minorHAnsi" w:hAnsiTheme="minorHAnsi" w:cstheme="minorBidi"/>
                <w:sz w:val="22"/>
                <w:szCs w:val="22"/>
              </w:rPr>
              <w:t xml:space="preserve">These studies were conducted in </w:t>
            </w:r>
            <w:r w:rsidR="004A73A0">
              <w:rPr>
                <w:rFonts w:asciiTheme="minorHAnsi" w:hAnsiTheme="minorHAnsi" w:cstheme="minorBidi"/>
                <w:sz w:val="22"/>
                <w:szCs w:val="22"/>
              </w:rPr>
              <w:t xml:space="preserve">eight </w:t>
            </w:r>
            <w:r w:rsidR="004B6E26">
              <w:rPr>
                <w:rFonts w:asciiTheme="minorHAnsi" w:hAnsiTheme="minorHAnsi" w:cstheme="minorBidi"/>
                <w:sz w:val="22"/>
                <w:szCs w:val="22"/>
              </w:rPr>
              <w:t xml:space="preserve">different </w:t>
            </w:r>
            <w:r w:rsidRPr="553E34CD">
              <w:rPr>
                <w:rFonts w:asciiTheme="minorHAnsi" w:hAnsiTheme="minorHAnsi" w:cstheme="minorBidi"/>
                <w:sz w:val="22"/>
                <w:szCs w:val="22"/>
              </w:rPr>
              <w:t>countries</w:t>
            </w:r>
            <w:r w:rsidR="004B6E26">
              <w:rPr>
                <w:rFonts w:asciiTheme="minorHAnsi" w:hAnsiTheme="minorHAnsi" w:cstheme="minorBidi"/>
                <w:sz w:val="22"/>
                <w:szCs w:val="22"/>
              </w:rPr>
              <w:t>:</w:t>
            </w:r>
            <w:r w:rsidRPr="553E34CD">
              <w:rPr>
                <w:rFonts w:asciiTheme="minorHAnsi" w:hAnsiTheme="minorHAnsi" w:cstheme="minorBidi"/>
                <w:sz w:val="22"/>
                <w:szCs w:val="22"/>
              </w:rPr>
              <w:t xml:space="preserve"> Australia, </w:t>
            </w:r>
            <w:r w:rsidRPr="553E34CD" w:rsidR="00507FFC">
              <w:rPr>
                <w:rFonts w:asciiTheme="minorHAnsi" w:hAnsiTheme="minorHAnsi" w:cstheme="minorBidi"/>
                <w:sz w:val="22"/>
                <w:szCs w:val="22"/>
              </w:rPr>
              <w:t xml:space="preserve">Brazil, Canada, Colombia, Portugal, Spain, the UK, </w:t>
            </w:r>
            <w:r w:rsidRPr="553E34CD" w:rsidR="007A0B2B">
              <w:rPr>
                <w:rFonts w:asciiTheme="minorHAnsi" w:hAnsiTheme="minorHAnsi" w:cstheme="minorBidi"/>
                <w:sz w:val="22"/>
                <w:szCs w:val="22"/>
              </w:rPr>
              <w:t xml:space="preserve">and </w:t>
            </w:r>
            <w:r w:rsidRPr="553E34CD" w:rsidR="00507FFC">
              <w:rPr>
                <w:rFonts w:asciiTheme="minorHAnsi" w:hAnsiTheme="minorHAnsi" w:cstheme="minorBidi"/>
                <w:sz w:val="22"/>
                <w:szCs w:val="22"/>
              </w:rPr>
              <w:t>Uruguay</w:t>
            </w:r>
            <w:r w:rsidRPr="553E34CD" w:rsidR="00A2256D">
              <w:rPr>
                <w:rFonts w:asciiTheme="minorHAnsi" w:hAnsiTheme="minorHAnsi" w:cstheme="minorBidi"/>
                <w:sz w:val="22"/>
                <w:szCs w:val="22"/>
              </w:rPr>
              <w:t>.  T</w:t>
            </w:r>
            <w:r w:rsidRPr="553E34CD" w:rsidR="00EB1D5A">
              <w:rPr>
                <w:rFonts w:asciiTheme="minorHAnsi" w:hAnsiTheme="minorHAnsi" w:cstheme="minorBidi"/>
                <w:sz w:val="22"/>
                <w:szCs w:val="22"/>
              </w:rPr>
              <w:t>wo</w:t>
            </w:r>
            <w:r w:rsidRPr="553E34CD" w:rsidR="00A2256D">
              <w:rPr>
                <w:rFonts w:asciiTheme="minorHAnsi" w:hAnsiTheme="minorHAnsi" w:cstheme="minorBidi"/>
                <w:sz w:val="22"/>
                <w:szCs w:val="22"/>
              </w:rPr>
              <w:t xml:space="preserve"> of the studies </w:t>
            </w:r>
            <w:r w:rsidRPr="553E34CD" w:rsidR="008936AB">
              <w:rPr>
                <w:rFonts w:asciiTheme="minorHAnsi" w:hAnsiTheme="minorHAnsi" w:cstheme="minorBidi"/>
                <w:sz w:val="22"/>
                <w:szCs w:val="22"/>
              </w:rPr>
              <w:t>evaluated multiple countries</w:t>
            </w:r>
            <w:r w:rsidRPr="553E34CD" w:rsidR="00A2256D">
              <w:rPr>
                <w:rFonts w:asciiTheme="minorHAnsi" w:hAnsiTheme="minorHAnsi" w:cstheme="minorBidi"/>
                <w:sz w:val="22"/>
                <w:szCs w:val="22"/>
              </w:rPr>
              <w:t>.</w:t>
            </w:r>
          </w:p>
          <w:p w:rsidR="0080237D" w:rsidP="00174D66" w14:paraId="79206FAF" w14:textId="400AF53C">
            <w:pPr>
              <w:pStyle w:val="ListParagraph"/>
              <w:numPr>
                <w:ilvl w:val="0"/>
                <w:numId w:val="1"/>
              </w:numPr>
              <w:ind w:hanging="270"/>
              <w:rPr>
                <w:rFonts w:asciiTheme="minorHAnsi" w:hAnsiTheme="minorHAnsi" w:cstheme="minorBidi"/>
                <w:sz w:val="22"/>
                <w:szCs w:val="22"/>
              </w:rPr>
            </w:pPr>
            <w:r w:rsidRPr="553E34CD">
              <w:rPr>
                <w:rFonts w:asciiTheme="minorHAnsi" w:hAnsiTheme="minorHAnsi" w:cstheme="minorBidi"/>
                <w:sz w:val="22"/>
                <w:szCs w:val="22"/>
              </w:rPr>
              <w:t xml:space="preserve">Multiple </w:t>
            </w:r>
            <w:r w:rsidRPr="553E34CD" w:rsidR="00F638F1">
              <w:rPr>
                <w:rFonts w:asciiTheme="minorHAnsi" w:hAnsiTheme="minorHAnsi" w:cstheme="minorBidi"/>
                <w:sz w:val="22"/>
                <w:szCs w:val="22"/>
              </w:rPr>
              <w:t>FOP</w:t>
            </w:r>
            <w:r w:rsidRPr="553E34CD">
              <w:rPr>
                <w:rFonts w:asciiTheme="minorHAnsi" w:hAnsiTheme="minorHAnsi" w:cstheme="minorBidi"/>
                <w:sz w:val="22"/>
                <w:szCs w:val="22"/>
              </w:rPr>
              <w:t xml:space="preserve"> labeling systems were examined in the identified studies, </w:t>
            </w:r>
            <w:r w:rsidRPr="553E34CD" w:rsidR="00142626">
              <w:rPr>
                <w:rFonts w:asciiTheme="minorHAnsi" w:hAnsiTheme="minorHAnsi" w:cstheme="minorBidi"/>
                <w:sz w:val="22"/>
                <w:szCs w:val="22"/>
              </w:rPr>
              <w:t>including</w:t>
            </w:r>
            <w:r w:rsidRPr="553E34CD">
              <w:rPr>
                <w:rFonts w:asciiTheme="minorHAnsi" w:hAnsiTheme="minorHAnsi" w:cstheme="minorBidi"/>
                <w:sz w:val="22"/>
                <w:szCs w:val="22"/>
              </w:rPr>
              <w:t xml:space="preserve"> Multiple Traffic Light</w:t>
            </w:r>
            <w:r w:rsidR="004B6E26">
              <w:rPr>
                <w:rFonts w:asciiTheme="minorHAnsi" w:hAnsiTheme="minorHAnsi" w:cstheme="minorBidi"/>
                <w:sz w:val="22"/>
                <w:szCs w:val="22"/>
              </w:rPr>
              <w:t>,</w:t>
            </w:r>
            <w:r w:rsidRPr="553E34CD">
              <w:rPr>
                <w:rFonts w:asciiTheme="minorHAnsi" w:hAnsiTheme="minorHAnsi" w:cstheme="minorBidi"/>
                <w:sz w:val="22"/>
                <w:szCs w:val="22"/>
              </w:rPr>
              <w:t xml:space="preserve"> Health Star Rating, </w:t>
            </w:r>
            <w:r w:rsidR="004B6E26">
              <w:rPr>
                <w:rFonts w:asciiTheme="minorHAnsi" w:hAnsiTheme="minorHAnsi" w:cstheme="minorBidi"/>
                <w:sz w:val="22"/>
                <w:szCs w:val="22"/>
              </w:rPr>
              <w:t>Nutri-Score</w:t>
            </w:r>
            <w:r w:rsidRPr="553E34CD">
              <w:rPr>
                <w:rFonts w:asciiTheme="minorHAnsi" w:hAnsiTheme="minorHAnsi" w:cstheme="minorBidi"/>
                <w:sz w:val="22"/>
                <w:szCs w:val="22"/>
              </w:rPr>
              <w:t xml:space="preserve">, </w:t>
            </w:r>
            <w:r w:rsidRPr="553E34CD" w:rsidR="00AE21C7">
              <w:rPr>
                <w:rFonts w:asciiTheme="minorHAnsi" w:hAnsiTheme="minorHAnsi" w:cstheme="minorBidi"/>
                <w:sz w:val="22"/>
                <w:szCs w:val="22"/>
              </w:rPr>
              <w:t>Guidelines Daily Amounts</w:t>
            </w:r>
            <w:r w:rsidR="004B6E26">
              <w:rPr>
                <w:rFonts w:asciiTheme="minorHAnsi" w:hAnsiTheme="minorHAnsi" w:cstheme="minorBidi"/>
                <w:sz w:val="22"/>
                <w:szCs w:val="22"/>
              </w:rPr>
              <w:t xml:space="preserve">, </w:t>
            </w:r>
            <w:r w:rsidRPr="553E34CD" w:rsidR="00AE21C7">
              <w:rPr>
                <w:rFonts w:asciiTheme="minorHAnsi" w:hAnsiTheme="minorHAnsi" w:cstheme="minorBidi"/>
                <w:sz w:val="22"/>
                <w:szCs w:val="22"/>
              </w:rPr>
              <w:t xml:space="preserve">Warning </w:t>
            </w:r>
            <w:r w:rsidRPr="553E34CD" w:rsidR="00612B92">
              <w:rPr>
                <w:rFonts w:asciiTheme="minorHAnsi" w:hAnsiTheme="minorHAnsi" w:cstheme="minorBidi"/>
                <w:sz w:val="22"/>
                <w:szCs w:val="22"/>
              </w:rPr>
              <w:t>Labels</w:t>
            </w:r>
            <w:r w:rsidRPr="553E34CD" w:rsidR="005F0A0D">
              <w:rPr>
                <w:rFonts w:asciiTheme="minorHAnsi" w:hAnsiTheme="minorHAnsi" w:cstheme="minorBidi"/>
                <w:sz w:val="22"/>
                <w:szCs w:val="22"/>
              </w:rPr>
              <w:t xml:space="preserve">, </w:t>
            </w:r>
            <w:r w:rsidRPr="553E34CD">
              <w:rPr>
                <w:rFonts w:asciiTheme="minorHAnsi" w:hAnsiTheme="minorHAnsi" w:cstheme="minorBidi"/>
                <w:sz w:val="22"/>
                <w:szCs w:val="22"/>
              </w:rPr>
              <w:t>Modified Reference Intakes</w:t>
            </w:r>
            <w:r w:rsidR="004B6E26">
              <w:rPr>
                <w:rFonts w:asciiTheme="minorHAnsi" w:hAnsiTheme="minorHAnsi" w:cstheme="minorBidi"/>
                <w:sz w:val="22"/>
                <w:szCs w:val="22"/>
              </w:rPr>
              <w:t xml:space="preserve">, </w:t>
            </w:r>
            <w:r w:rsidRPr="553E34CD" w:rsidR="005F0A0D">
              <w:rPr>
                <w:rFonts w:asciiTheme="minorHAnsi" w:hAnsiTheme="minorHAnsi" w:cstheme="minorBidi"/>
                <w:sz w:val="22"/>
                <w:szCs w:val="22"/>
              </w:rPr>
              <w:t>and logos.</w:t>
            </w:r>
          </w:p>
          <w:p w:rsidR="005D64AC" w:rsidP="00F67F2D" w14:paraId="5903A585" w14:textId="416F171A">
            <w:pPr>
              <w:pStyle w:val="ListParagraph"/>
              <w:numPr>
                <w:ilvl w:val="0"/>
                <w:numId w:val="1"/>
              </w:numPr>
              <w:rPr>
                <w:rFonts w:asciiTheme="minorHAnsi" w:hAnsiTheme="minorHAnsi" w:cstheme="minorBidi"/>
                <w:sz w:val="22"/>
                <w:szCs w:val="22"/>
              </w:rPr>
            </w:pPr>
            <w:r w:rsidRPr="605CEB4F">
              <w:rPr>
                <w:rFonts w:asciiTheme="minorHAnsi" w:hAnsiTheme="minorHAnsi" w:cstheme="minorBidi"/>
                <w:sz w:val="22"/>
                <w:szCs w:val="22"/>
              </w:rPr>
              <w:t xml:space="preserve">Few studies have been conducted to compare </w:t>
            </w:r>
            <w:r w:rsidRPr="605CEB4F" w:rsidR="00203EF8">
              <w:rPr>
                <w:rFonts w:asciiTheme="minorHAnsi" w:hAnsiTheme="minorHAnsi" w:cstheme="minorBidi"/>
                <w:sz w:val="22"/>
                <w:szCs w:val="22"/>
              </w:rPr>
              <w:t>participant</w:t>
            </w:r>
            <w:r w:rsidRPr="605CEB4F" w:rsidR="004E350C">
              <w:rPr>
                <w:rFonts w:asciiTheme="minorHAnsi" w:hAnsiTheme="minorHAnsi" w:cstheme="minorBidi"/>
                <w:sz w:val="22"/>
                <w:szCs w:val="22"/>
              </w:rPr>
              <w:t>s</w:t>
            </w:r>
            <w:r w:rsidRPr="605CEB4F" w:rsidR="00203EF8">
              <w:rPr>
                <w:rFonts w:asciiTheme="minorHAnsi" w:hAnsiTheme="minorHAnsi" w:cstheme="minorBidi"/>
                <w:sz w:val="22"/>
                <w:szCs w:val="22"/>
              </w:rPr>
              <w:t>’</w:t>
            </w:r>
            <w:r w:rsidRPr="605CEB4F">
              <w:rPr>
                <w:rFonts w:asciiTheme="minorHAnsi" w:hAnsiTheme="minorHAnsi" w:cstheme="minorBidi"/>
                <w:sz w:val="22"/>
                <w:szCs w:val="22"/>
              </w:rPr>
              <w:t xml:space="preserve"> </w:t>
            </w:r>
            <w:r w:rsidRPr="605CEB4F" w:rsidR="00203EF8">
              <w:rPr>
                <w:rFonts w:asciiTheme="minorHAnsi" w:hAnsiTheme="minorHAnsi" w:cstheme="minorBidi"/>
                <w:sz w:val="22"/>
                <w:szCs w:val="22"/>
              </w:rPr>
              <w:t xml:space="preserve">preferences </w:t>
            </w:r>
            <w:r w:rsidRPr="605CEB4F" w:rsidR="00423CE0">
              <w:rPr>
                <w:rFonts w:asciiTheme="minorHAnsi" w:hAnsiTheme="minorHAnsi" w:cstheme="minorBidi"/>
                <w:sz w:val="22"/>
                <w:szCs w:val="22"/>
              </w:rPr>
              <w:t xml:space="preserve">for one type of </w:t>
            </w:r>
            <w:r w:rsidR="004B6E26">
              <w:rPr>
                <w:rFonts w:asciiTheme="minorHAnsi" w:hAnsiTheme="minorHAnsi" w:cstheme="minorBidi"/>
                <w:sz w:val="22"/>
                <w:szCs w:val="22"/>
              </w:rPr>
              <w:t>FOP</w:t>
            </w:r>
            <w:r w:rsidRPr="605CEB4F" w:rsidR="004010F8">
              <w:rPr>
                <w:rFonts w:asciiTheme="minorHAnsi" w:hAnsiTheme="minorHAnsi" w:cstheme="minorBidi"/>
                <w:sz w:val="22"/>
                <w:szCs w:val="22"/>
              </w:rPr>
              <w:t xml:space="preserve"> </w:t>
            </w:r>
            <w:r w:rsidR="00126DEE">
              <w:rPr>
                <w:rFonts w:asciiTheme="minorHAnsi" w:hAnsiTheme="minorHAnsi" w:cstheme="minorBidi"/>
                <w:sz w:val="22"/>
                <w:szCs w:val="22"/>
              </w:rPr>
              <w:t>l</w:t>
            </w:r>
            <w:r w:rsidRPr="00126DEE" w:rsidR="00126DEE">
              <w:rPr>
                <w:rFonts w:asciiTheme="minorHAnsi" w:hAnsiTheme="minorHAnsi" w:cstheme="minorBidi"/>
                <w:sz w:val="22"/>
                <w:szCs w:val="22"/>
              </w:rPr>
              <w:t>abel</w:t>
            </w:r>
            <w:r w:rsidR="00126DEE">
              <w:t xml:space="preserve"> </w:t>
            </w:r>
            <w:r w:rsidRPr="605CEB4F" w:rsidR="79109806">
              <w:rPr>
                <w:rFonts w:asciiTheme="minorHAnsi" w:hAnsiTheme="minorHAnsi" w:cstheme="minorBidi"/>
                <w:sz w:val="22"/>
                <w:szCs w:val="22"/>
              </w:rPr>
              <w:t>over others</w:t>
            </w:r>
            <w:r w:rsidRPr="605CEB4F" w:rsidR="27201807">
              <w:rPr>
                <w:rFonts w:asciiTheme="minorHAnsi" w:hAnsiTheme="minorHAnsi" w:cstheme="minorBidi"/>
                <w:sz w:val="22"/>
                <w:szCs w:val="22"/>
              </w:rPr>
              <w:t>.</w:t>
            </w:r>
            <w:r w:rsidRPr="605CEB4F" w:rsidR="004010F8">
              <w:rPr>
                <w:rFonts w:asciiTheme="minorHAnsi" w:hAnsiTheme="minorHAnsi" w:cstheme="minorBidi"/>
                <w:sz w:val="22"/>
                <w:szCs w:val="22"/>
              </w:rPr>
              <w:t xml:space="preserve"> </w:t>
            </w:r>
            <w:r w:rsidRPr="605CEB4F" w:rsidR="00CB5D55">
              <w:rPr>
                <w:rFonts w:asciiTheme="minorHAnsi" w:hAnsiTheme="minorHAnsi" w:cstheme="minorBidi"/>
                <w:sz w:val="22"/>
                <w:szCs w:val="22"/>
              </w:rPr>
              <w:t>One study (Ares, 20</w:t>
            </w:r>
            <w:r w:rsidRPr="605CEB4F" w:rsidR="00AE18A9">
              <w:rPr>
                <w:rFonts w:asciiTheme="minorHAnsi" w:hAnsiTheme="minorHAnsi" w:cstheme="minorBidi"/>
                <w:sz w:val="22"/>
                <w:szCs w:val="22"/>
              </w:rPr>
              <w:t>20</w:t>
            </w:r>
            <w:r w:rsidRPr="605CEB4F" w:rsidR="00CB5D55">
              <w:rPr>
                <w:rFonts w:asciiTheme="minorHAnsi" w:hAnsiTheme="minorHAnsi" w:cstheme="minorBidi"/>
                <w:sz w:val="22"/>
                <w:szCs w:val="22"/>
              </w:rPr>
              <w:t>)</w:t>
            </w:r>
            <w:r w:rsidRPr="605CEB4F" w:rsidR="004A41B0">
              <w:rPr>
                <w:rFonts w:asciiTheme="minorHAnsi" w:hAnsiTheme="minorHAnsi" w:cstheme="minorBidi"/>
                <w:sz w:val="22"/>
                <w:szCs w:val="22"/>
              </w:rPr>
              <w:t xml:space="preserve"> </w:t>
            </w:r>
            <w:r w:rsidRPr="605CEB4F" w:rsidR="0032027C">
              <w:rPr>
                <w:rFonts w:asciiTheme="minorHAnsi" w:hAnsiTheme="minorHAnsi" w:cstheme="minorBidi"/>
                <w:sz w:val="22"/>
                <w:szCs w:val="22"/>
              </w:rPr>
              <w:t xml:space="preserve">found </w:t>
            </w:r>
            <w:r w:rsidRPr="605CEB4F" w:rsidR="0081327F">
              <w:rPr>
                <w:rFonts w:asciiTheme="minorHAnsi" w:hAnsiTheme="minorHAnsi" w:cstheme="minorBidi"/>
                <w:sz w:val="22"/>
                <w:szCs w:val="22"/>
              </w:rPr>
              <w:t xml:space="preserve">consumers have positive attitudes toward </w:t>
            </w:r>
            <w:r w:rsidRPr="605CEB4F" w:rsidR="00CB5D55">
              <w:rPr>
                <w:rFonts w:asciiTheme="minorHAnsi" w:hAnsiTheme="minorHAnsi" w:cstheme="minorBidi"/>
                <w:sz w:val="22"/>
                <w:szCs w:val="22"/>
              </w:rPr>
              <w:t>nutritional</w:t>
            </w:r>
            <w:r w:rsidRPr="605CEB4F" w:rsidR="0081327F">
              <w:rPr>
                <w:rFonts w:asciiTheme="minorHAnsi" w:hAnsiTheme="minorHAnsi" w:cstheme="minorBidi"/>
                <w:sz w:val="22"/>
                <w:szCs w:val="22"/>
              </w:rPr>
              <w:t xml:space="preserve"> warnings.  They were regarded as easy to understand and </w:t>
            </w:r>
            <w:r w:rsidRPr="605CEB4F" w:rsidR="00CB5D55">
              <w:rPr>
                <w:rFonts w:asciiTheme="minorHAnsi" w:hAnsiTheme="minorHAnsi" w:cstheme="minorBidi"/>
                <w:sz w:val="22"/>
                <w:szCs w:val="22"/>
              </w:rPr>
              <w:t>identify</w:t>
            </w:r>
            <w:r w:rsidRPr="605CEB4F" w:rsidR="00DB5136">
              <w:rPr>
                <w:rFonts w:asciiTheme="minorHAnsi" w:hAnsiTheme="minorHAnsi" w:cstheme="minorBidi"/>
                <w:sz w:val="22"/>
                <w:szCs w:val="22"/>
              </w:rPr>
              <w:t xml:space="preserve">, compared </w:t>
            </w:r>
            <w:r w:rsidRPr="605CEB4F" w:rsidR="00476646">
              <w:rPr>
                <w:rFonts w:asciiTheme="minorHAnsi" w:hAnsiTheme="minorHAnsi" w:cstheme="minorBidi"/>
                <w:sz w:val="22"/>
                <w:szCs w:val="22"/>
              </w:rPr>
              <w:t xml:space="preserve">to summary </w:t>
            </w:r>
            <w:r w:rsidRPr="605CEB4F" w:rsidR="000773D5">
              <w:rPr>
                <w:rFonts w:asciiTheme="minorHAnsi" w:hAnsiTheme="minorHAnsi" w:cstheme="minorBidi"/>
                <w:sz w:val="22"/>
                <w:szCs w:val="22"/>
              </w:rPr>
              <w:t xml:space="preserve">labels (i.e., </w:t>
            </w:r>
            <w:r w:rsidRPr="553E34CD" w:rsidR="008B7A1E">
              <w:rPr>
                <w:rFonts w:asciiTheme="minorHAnsi" w:hAnsiTheme="minorHAnsi" w:cstheme="minorBidi"/>
                <w:sz w:val="22"/>
                <w:szCs w:val="22"/>
              </w:rPr>
              <w:t>M</w:t>
            </w:r>
            <w:r w:rsidR="008B7A1E">
              <w:rPr>
                <w:rFonts w:asciiTheme="minorHAnsi" w:hAnsiTheme="minorHAnsi" w:cstheme="minorBidi"/>
                <w:sz w:val="22"/>
                <w:szCs w:val="22"/>
              </w:rPr>
              <w:t>ultiple Traffic Light symbols</w:t>
            </w:r>
            <w:r w:rsidRPr="605CEB4F" w:rsidR="00423CE0">
              <w:rPr>
                <w:rFonts w:asciiTheme="minorHAnsi" w:hAnsiTheme="minorHAnsi" w:cstheme="minorBidi"/>
                <w:sz w:val="22"/>
                <w:szCs w:val="22"/>
              </w:rPr>
              <w:t xml:space="preserve"> or </w:t>
            </w:r>
            <w:r w:rsidRPr="553E34CD" w:rsidR="004B6E26">
              <w:rPr>
                <w:rFonts w:asciiTheme="minorHAnsi" w:hAnsiTheme="minorHAnsi" w:cstheme="minorBidi"/>
                <w:sz w:val="22"/>
                <w:szCs w:val="22"/>
              </w:rPr>
              <w:t>Health Star Rating</w:t>
            </w:r>
            <w:r w:rsidRPr="605CEB4F" w:rsidR="00423CE0">
              <w:rPr>
                <w:rFonts w:asciiTheme="minorHAnsi" w:hAnsiTheme="minorHAnsi" w:cstheme="minorBidi"/>
                <w:sz w:val="22"/>
                <w:szCs w:val="22"/>
              </w:rPr>
              <w:t xml:space="preserve">).  </w:t>
            </w:r>
          </w:p>
          <w:p w:rsidR="00035FA3" w:rsidRPr="00F67F2D" w:rsidP="00F67F2D" w14:paraId="75C4FA33" w14:textId="4FB43A47">
            <w:pPr>
              <w:pStyle w:val="ListParagraph"/>
              <w:numPr>
                <w:ilvl w:val="0"/>
                <w:numId w:val="1"/>
              </w:numPr>
              <w:rPr>
                <w:rFonts w:asciiTheme="minorHAnsi" w:hAnsiTheme="minorHAnsi" w:cstheme="minorBidi"/>
                <w:sz w:val="22"/>
                <w:szCs w:val="22"/>
              </w:rPr>
            </w:pPr>
            <w:r w:rsidRPr="605CEB4F">
              <w:rPr>
                <w:rFonts w:asciiTheme="minorHAnsi" w:hAnsiTheme="minorHAnsi" w:cstheme="minorBidi"/>
                <w:sz w:val="22"/>
                <w:szCs w:val="22"/>
              </w:rPr>
              <w:t>A</w:t>
            </w:r>
            <w:r w:rsidRPr="605CEB4F" w:rsidR="00CB5D55">
              <w:rPr>
                <w:rFonts w:asciiTheme="minorHAnsi" w:hAnsiTheme="minorHAnsi" w:cstheme="minorBidi"/>
                <w:sz w:val="22"/>
                <w:szCs w:val="22"/>
              </w:rPr>
              <w:t>nother</w:t>
            </w:r>
            <w:r w:rsidRPr="605CEB4F" w:rsidR="000654E9">
              <w:rPr>
                <w:rFonts w:asciiTheme="minorHAnsi" w:hAnsiTheme="minorHAnsi" w:cstheme="minorBidi"/>
                <w:sz w:val="22"/>
                <w:szCs w:val="22"/>
              </w:rPr>
              <w:t xml:space="preserve"> study (Talati, 2018)</w:t>
            </w:r>
            <w:r w:rsidRPr="605CEB4F" w:rsidR="00154F6B">
              <w:rPr>
                <w:rFonts w:asciiTheme="minorHAnsi" w:hAnsiTheme="minorHAnsi" w:cstheme="minorBidi"/>
                <w:sz w:val="22"/>
                <w:szCs w:val="22"/>
              </w:rPr>
              <w:t xml:space="preserve"> </w:t>
            </w:r>
            <w:r w:rsidRPr="605CEB4F" w:rsidR="00CB5D55">
              <w:rPr>
                <w:rFonts w:asciiTheme="minorHAnsi" w:hAnsiTheme="minorHAnsi" w:cstheme="minorBidi"/>
                <w:sz w:val="22"/>
                <w:szCs w:val="22"/>
              </w:rPr>
              <w:t xml:space="preserve">that </w:t>
            </w:r>
            <w:r w:rsidRPr="605CEB4F" w:rsidR="00154F6B">
              <w:rPr>
                <w:rFonts w:asciiTheme="minorHAnsi" w:hAnsiTheme="minorHAnsi" w:cstheme="minorBidi"/>
                <w:sz w:val="22"/>
                <w:szCs w:val="22"/>
              </w:rPr>
              <w:t xml:space="preserve">compared five summary labels across </w:t>
            </w:r>
            <w:r w:rsidRPr="605CEB4F" w:rsidR="002B4841">
              <w:rPr>
                <w:rFonts w:asciiTheme="minorHAnsi" w:hAnsiTheme="minorHAnsi" w:cstheme="minorBidi"/>
                <w:sz w:val="22"/>
                <w:szCs w:val="22"/>
              </w:rPr>
              <w:t>12 countries</w:t>
            </w:r>
            <w:r w:rsidRPr="605CEB4F" w:rsidR="176C8BE9">
              <w:rPr>
                <w:rFonts w:asciiTheme="minorHAnsi" w:hAnsiTheme="minorHAnsi" w:cstheme="minorBidi"/>
                <w:sz w:val="22"/>
                <w:szCs w:val="22"/>
              </w:rPr>
              <w:t xml:space="preserve"> suggested </w:t>
            </w:r>
            <w:r w:rsidRPr="605CEB4F" w:rsidR="002B4841">
              <w:rPr>
                <w:rFonts w:asciiTheme="minorHAnsi" w:hAnsiTheme="minorHAnsi" w:cstheme="minorBidi"/>
                <w:sz w:val="22"/>
                <w:szCs w:val="22"/>
              </w:rPr>
              <w:t xml:space="preserve">that </w:t>
            </w:r>
            <w:r w:rsidRPr="605CEB4F" w:rsidR="00133E82">
              <w:rPr>
                <w:rFonts w:asciiTheme="minorHAnsi" w:hAnsiTheme="minorHAnsi" w:cstheme="minorBidi"/>
                <w:sz w:val="22"/>
                <w:szCs w:val="22"/>
              </w:rPr>
              <w:t>participants</w:t>
            </w:r>
            <w:r w:rsidRPr="605CEB4F" w:rsidR="002B4841">
              <w:rPr>
                <w:rFonts w:asciiTheme="minorHAnsi" w:hAnsiTheme="minorHAnsi" w:cstheme="minorBidi"/>
                <w:sz w:val="22"/>
                <w:szCs w:val="22"/>
              </w:rPr>
              <w:t xml:space="preserve"> </w:t>
            </w:r>
            <w:r w:rsidRPr="605CEB4F" w:rsidR="2301EB29">
              <w:rPr>
                <w:rFonts w:asciiTheme="minorHAnsi" w:hAnsiTheme="minorHAnsi" w:cstheme="minorBidi"/>
                <w:sz w:val="22"/>
                <w:szCs w:val="22"/>
              </w:rPr>
              <w:t>prefer</w:t>
            </w:r>
            <w:r w:rsidRPr="605CEB4F" w:rsidR="40103540">
              <w:rPr>
                <w:rFonts w:asciiTheme="minorHAnsi" w:hAnsiTheme="minorHAnsi" w:cstheme="minorBidi"/>
                <w:sz w:val="22"/>
                <w:szCs w:val="22"/>
              </w:rPr>
              <w:t>red</w:t>
            </w:r>
            <w:r w:rsidRPr="605CEB4F" w:rsidR="002B4841">
              <w:rPr>
                <w:rFonts w:asciiTheme="minorHAnsi" w:hAnsiTheme="minorHAnsi" w:cstheme="minorBidi"/>
                <w:sz w:val="22"/>
                <w:szCs w:val="22"/>
              </w:rPr>
              <w:t xml:space="preserve"> the </w:t>
            </w:r>
            <w:r w:rsidRPr="553E34CD" w:rsidR="004B6E26">
              <w:rPr>
                <w:rFonts w:asciiTheme="minorHAnsi" w:hAnsiTheme="minorHAnsi" w:cstheme="minorBidi"/>
                <w:sz w:val="22"/>
                <w:szCs w:val="22"/>
              </w:rPr>
              <w:t>M</w:t>
            </w:r>
            <w:r w:rsidR="004B6E26">
              <w:rPr>
                <w:rFonts w:asciiTheme="minorHAnsi" w:hAnsiTheme="minorHAnsi" w:cstheme="minorBidi"/>
                <w:sz w:val="22"/>
                <w:szCs w:val="22"/>
              </w:rPr>
              <w:t>ultiple Traffic Light symbols</w:t>
            </w:r>
            <w:r w:rsidRPr="605CEB4F">
              <w:rPr>
                <w:rFonts w:asciiTheme="minorHAnsi" w:hAnsiTheme="minorHAnsi" w:cstheme="minorBidi"/>
                <w:sz w:val="22"/>
                <w:szCs w:val="22"/>
              </w:rPr>
              <w:t xml:space="preserve"> </w:t>
            </w:r>
            <w:r w:rsidRPr="605CEB4F" w:rsidR="002B4841">
              <w:rPr>
                <w:rFonts w:asciiTheme="minorHAnsi" w:hAnsiTheme="minorHAnsi" w:cstheme="minorBidi"/>
                <w:sz w:val="22"/>
                <w:szCs w:val="22"/>
              </w:rPr>
              <w:t>over other</w:t>
            </w:r>
            <w:r w:rsidRPr="605CEB4F" w:rsidR="00203EF8">
              <w:rPr>
                <w:rFonts w:asciiTheme="minorHAnsi" w:hAnsiTheme="minorHAnsi" w:cstheme="minorBidi"/>
                <w:sz w:val="22"/>
                <w:szCs w:val="22"/>
              </w:rPr>
              <w:t xml:space="preserve"> summary label</w:t>
            </w:r>
            <w:r w:rsidRPr="605CEB4F" w:rsidR="002B4841">
              <w:rPr>
                <w:rFonts w:asciiTheme="minorHAnsi" w:hAnsiTheme="minorHAnsi" w:cstheme="minorBidi"/>
                <w:sz w:val="22"/>
                <w:szCs w:val="22"/>
              </w:rPr>
              <w:t>s</w:t>
            </w:r>
            <w:r w:rsidRPr="605CEB4F" w:rsidR="00874A4E">
              <w:rPr>
                <w:rFonts w:asciiTheme="minorHAnsi" w:hAnsiTheme="minorHAnsi" w:cstheme="minorBidi"/>
                <w:sz w:val="22"/>
                <w:szCs w:val="22"/>
              </w:rPr>
              <w:t xml:space="preserve">.  Additionally, </w:t>
            </w:r>
            <w:r w:rsidRPr="605CEB4F" w:rsidR="00F67F2D">
              <w:rPr>
                <w:rFonts w:asciiTheme="minorHAnsi" w:hAnsiTheme="minorHAnsi" w:cstheme="minorBidi"/>
                <w:sz w:val="22"/>
                <w:szCs w:val="22"/>
              </w:rPr>
              <w:t xml:space="preserve">no </w:t>
            </w:r>
            <w:r w:rsidRPr="605CEB4F">
              <w:rPr>
                <w:rFonts w:asciiTheme="minorHAnsi" w:hAnsiTheme="minorHAnsi" w:cstheme="minorBidi"/>
                <w:sz w:val="22"/>
                <w:szCs w:val="22"/>
              </w:rPr>
              <w:t xml:space="preserve">meaningful </w:t>
            </w:r>
            <w:r w:rsidRPr="605CEB4F" w:rsidR="008F4000">
              <w:rPr>
                <w:rFonts w:asciiTheme="minorHAnsi" w:hAnsiTheme="minorHAnsi" w:cstheme="minorBidi"/>
                <w:sz w:val="22"/>
                <w:szCs w:val="22"/>
              </w:rPr>
              <w:t xml:space="preserve">differences </w:t>
            </w:r>
            <w:r w:rsidRPr="605CEB4F">
              <w:rPr>
                <w:rFonts w:asciiTheme="minorHAnsi" w:hAnsiTheme="minorHAnsi" w:cstheme="minorBidi"/>
                <w:sz w:val="22"/>
                <w:szCs w:val="22"/>
              </w:rPr>
              <w:t xml:space="preserve">were observed between country and </w:t>
            </w:r>
            <w:r w:rsidR="004B6E26">
              <w:rPr>
                <w:rFonts w:asciiTheme="minorHAnsi" w:hAnsiTheme="minorHAnsi" w:cstheme="minorBidi"/>
                <w:sz w:val="22"/>
                <w:szCs w:val="22"/>
              </w:rPr>
              <w:t>FOP</w:t>
            </w:r>
            <w:r w:rsidRPr="605CEB4F">
              <w:rPr>
                <w:rFonts w:asciiTheme="minorHAnsi" w:hAnsiTheme="minorHAnsi" w:cstheme="minorBidi"/>
                <w:sz w:val="22"/>
                <w:szCs w:val="22"/>
              </w:rPr>
              <w:t xml:space="preserve"> type, indicating that culture was not a strong predictor of general perceptions.</w:t>
            </w:r>
          </w:p>
          <w:p w:rsidR="00D84DF2" w:rsidP="009A30CF" w14:paraId="7B2AFC97" w14:textId="780F5EB2">
            <w:pPr>
              <w:pStyle w:val="ListParagraph"/>
              <w:numPr>
                <w:ilvl w:val="0"/>
                <w:numId w:val="1"/>
              </w:numPr>
              <w:rPr>
                <w:rFonts w:asciiTheme="minorHAnsi" w:hAnsiTheme="minorHAnsi" w:cstheme="minorBidi"/>
                <w:sz w:val="22"/>
                <w:szCs w:val="22"/>
              </w:rPr>
            </w:pPr>
            <w:r w:rsidRPr="553E34CD">
              <w:rPr>
                <w:rFonts w:asciiTheme="minorHAnsi" w:hAnsiTheme="minorHAnsi" w:cstheme="minorBidi"/>
                <w:sz w:val="22"/>
                <w:szCs w:val="22"/>
              </w:rPr>
              <w:t>However, another</w:t>
            </w:r>
            <w:r w:rsidRPr="553E34CD">
              <w:rPr>
                <w:rFonts w:asciiTheme="minorHAnsi" w:hAnsiTheme="minorHAnsi" w:cstheme="minorBidi"/>
                <w:sz w:val="22"/>
                <w:szCs w:val="22"/>
              </w:rPr>
              <w:t xml:space="preserve"> study (Dana, 2019) found different forms of </w:t>
            </w:r>
            <w:r w:rsidR="004B6E26">
              <w:rPr>
                <w:rFonts w:asciiTheme="minorHAnsi" w:hAnsiTheme="minorHAnsi" w:cstheme="minorBidi"/>
                <w:sz w:val="22"/>
                <w:szCs w:val="22"/>
              </w:rPr>
              <w:t>FOP</w:t>
            </w:r>
            <w:r w:rsidRPr="553E34CD" w:rsidR="00BA24A9">
              <w:rPr>
                <w:rFonts w:asciiTheme="minorHAnsi" w:hAnsiTheme="minorHAnsi" w:cstheme="minorBidi"/>
                <w:sz w:val="22"/>
                <w:szCs w:val="22"/>
              </w:rPr>
              <w:t>s</w:t>
            </w:r>
            <w:r w:rsidRPr="553E34CD">
              <w:rPr>
                <w:rFonts w:asciiTheme="minorHAnsi" w:hAnsiTheme="minorHAnsi" w:cstheme="minorBidi"/>
                <w:sz w:val="22"/>
                <w:szCs w:val="22"/>
              </w:rPr>
              <w:t xml:space="preserve"> featuring varying degrees of information about energy and specific nutrients </w:t>
            </w:r>
            <w:r w:rsidR="004B6E26">
              <w:rPr>
                <w:rFonts w:asciiTheme="minorHAnsi" w:hAnsiTheme="minorHAnsi" w:cstheme="minorBidi"/>
                <w:sz w:val="22"/>
                <w:szCs w:val="22"/>
              </w:rPr>
              <w:t xml:space="preserve">were </w:t>
            </w:r>
            <w:r w:rsidRPr="553E34CD">
              <w:rPr>
                <w:rFonts w:asciiTheme="minorHAnsi" w:hAnsiTheme="minorHAnsi" w:cstheme="minorBidi"/>
                <w:sz w:val="22"/>
                <w:szCs w:val="22"/>
              </w:rPr>
              <w:t xml:space="preserve">likely to be </w:t>
            </w:r>
            <w:r w:rsidRPr="553E34CD" w:rsidR="0032027C">
              <w:rPr>
                <w:rFonts w:asciiTheme="minorHAnsi" w:hAnsiTheme="minorHAnsi" w:cstheme="minorBidi"/>
                <w:sz w:val="22"/>
                <w:szCs w:val="22"/>
              </w:rPr>
              <w:t>preferred</w:t>
            </w:r>
            <w:r w:rsidRPr="553E34CD">
              <w:rPr>
                <w:rFonts w:asciiTheme="minorHAnsi" w:hAnsiTheme="minorHAnsi" w:cstheme="minorBidi"/>
                <w:sz w:val="22"/>
                <w:szCs w:val="22"/>
              </w:rPr>
              <w:t xml:space="preserve"> and use</w:t>
            </w:r>
            <w:r w:rsidRPr="553E34CD" w:rsidR="0032027C">
              <w:rPr>
                <w:rFonts w:asciiTheme="minorHAnsi" w:hAnsiTheme="minorHAnsi" w:cstheme="minorBidi"/>
                <w:sz w:val="22"/>
                <w:szCs w:val="22"/>
              </w:rPr>
              <w:t>d</w:t>
            </w:r>
            <w:r w:rsidRPr="553E34CD">
              <w:rPr>
                <w:rFonts w:asciiTheme="minorHAnsi" w:hAnsiTheme="minorHAnsi" w:cstheme="minorBidi"/>
                <w:sz w:val="22"/>
                <w:szCs w:val="22"/>
              </w:rPr>
              <w:t xml:space="preserve"> </w:t>
            </w:r>
            <w:r w:rsidRPr="553E34CD" w:rsidR="0032027C">
              <w:rPr>
                <w:rFonts w:asciiTheme="minorHAnsi" w:hAnsiTheme="minorHAnsi" w:cstheme="minorBidi"/>
                <w:sz w:val="22"/>
                <w:szCs w:val="22"/>
              </w:rPr>
              <w:t>by</w:t>
            </w:r>
            <w:r w:rsidRPr="553E34CD">
              <w:rPr>
                <w:rFonts w:asciiTheme="minorHAnsi" w:hAnsiTheme="minorHAnsi" w:cstheme="minorBidi"/>
                <w:sz w:val="22"/>
                <w:szCs w:val="22"/>
              </w:rPr>
              <w:t xml:space="preserve"> different market segments.</w:t>
            </w:r>
            <w:r w:rsidRPr="553E34CD" w:rsidR="00CF1864">
              <w:rPr>
                <w:rFonts w:asciiTheme="minorHAnsi" w:hAnsiTheme="minorHAnsi" w:cstheme="minorBidi"/>
                <w:sz w:val="22"/>
                <w:szCs w:val="22"/>
              </w:rPr>
              <w:t xml:space="preserve"> For example, those who are more concerned about their health</w:t>
            </w:r>
            <w:r w:rsidRPr="553E34CD" w:rsidR="005F45FD">
              <w:rPr>
                <w:rFonts w:asciiTheme="minorHAnsi" w:hAnsiTheme="minorHAnsi" w:cstheme="minorBidi"/>
                <w:sz w:val="22"/>
                <w:szCs w:val="22"/>
              </w:rPr>
              <w:t xml:space="preserve"> are</w:t>
            </w:r>
            <w:r w:rsidRPr="553E34CD" w:rsidR="00CF1864">
              <w:rPr>
                <w:rFonts w:asciiTheme="minorHAnsi" w:hAnsiTheme="minorHAnsi" w:cstheme="minorBidi"/>
                <w:sz w:val="22"/>
                <w:szCs w:val="22"/>
              </w:rPr>
              <w:t xml:space="preserve"> more likely </w:t>
            </w:r>
            <w:r w:rsidRPr="553E34CD" w:rsidR="008936AB">
              <w:rPr>
                <w:rFonts w:asciiTheme="minorHAnsi" w:hAnsiTheme="minorHAnsi" w:cstheme="minorBidi"/>
                <w:sz w:val="22"/>
                <w:szCs w:val="22"/>
              </w:rPr>
              <w:t xml:space="preserve">to </w:t>
            </w:r>
            <w:r w:rsidRPr="553E34CD" w:rsidR="00CF1864">
              <w:rPr>
                <w:rFonts w:asciiTheme="minorHAnsi" w:hAnsiTheme="minorHAnsi" w:cstheme="minorBidi"/>
                <w:sz w:val="22"/>
                <w:szCs w:val="22"/>
              </w:rPr>
              <w:t xml:space="preserve">use a </w:t>
            </w:r>
            <w:r w:rsidR="004B6E26">
              <w:rPr>
                <w:rFonts w:asciiTheme="minorHAnsi" w:hAnsiTheme="minorHAnsi" w:cstheme="minorBidi"/>
                <w:sz w:val="22"/>
                <w:szCs w:val="22"/>
              </w:rPr>
              <w:t>FOP</w:t>
            </w:r>
            <w:r w:rsidR="00C22872">
              <w:rPr>
                <w:rFonts w:asciiTheme="minorHAnsi" w:hAnsiTheme="minorHAnsi" w:cstheme="minorBidi"/>
                <w:sz w:val="22"/>
                <w:szCs w:val="22"/>
              </w:rPr>
              <w:t xml:space="preserve"> </w:t>
            </w:r>
            <w:r w:rsidRPr="00B751CD" w:rsidR="00C22872">
              <w:rPr>
                <w:rFonts w:asciiTheme="minorHAnsi" w:hAnsiTheme="minorHAnsi" w:cstheme="minorBidi"/>
                <w:sz w:val="22"/>
                <w:szCs w:val="22"/>
              </w:rPr>
              <w:t>label</w:t>
            </w:r>
            <w:r w:rsidRPr="553E34CD" w:rsidR="00CF1864">
              <w:rPr>
                <w:rFonts w:asciiTheme="minorHAnsi" w:hAnsiTheme="minorHAnsi" w:cstheme="minorBidi"/>
                <w:sz w:val="22"/>
                <w:szCs w:val="22"/>
              </w:rPr>
              <w:t>.</w:t>
            </w:r>
          </w:p>
          <w:p w:rsidR="005E4341" w:rsidRPr="005E4341" w:rsidP="005E4341" w14:paraId="1C1E1447" w14:textId="35F1BE3D">
            <w:pPr>
              <w:pStyle w:val="ListParagraph"/>
              <w:numPr>
                <w:ilvl w:val="0"/>
                <w:numId w:val="1"/>
              </w:numPr>
              <w:rPr>
                <w:rFonts w:asciiTheme="minorHAnsi" w:hAnsiTheme="minorHAnsi" w:cstheme="minorBidi"/>
                <w:sz w:val="22"/>
                <w:szCs w:val="22"/>
              </w:rPr>
            </w:pPr>
            <w:r w:rsidRPr="553E34CD">
              <w:rPr>
                <w:rFonts w:asciiTheme="minorHAnsi" w:hAnsiTheme="minorHAnsi" w:cstheme="minorBidi"/>
                <w:sz w:val="22"/>
                <w:szCs w:val="22"/>
              </w:rPr>
              <w:t>Furthermore, an</w:t>
            </w:r>
            <w:r w:rsidRPr="553E34CD" w:rsidR="008D1B52">
              <w:rPr>
                <w:rFonts w:asciiTheme="minorHAnsi" w:hAnsiTheme="minorHAnsi" w:cstheme="minorBidi"/>
                <w:sz w:val="22"/>
                <w:szCs w:val="22"/>
              </w:rPr>
              <w:t xml:space="preserve"> additional study (Pettigrew, </w:t>
            </w:r>
            <w:r w:rsidRPr="553E34CD" w:rsidR="0000381D">
              <w:rPr>
                <w:rFonts w:asciiTheme="minorHAnsi" w:hAnsiTheme="minorHAnsi" w:cstheme="minorBidi"/>
                <w:sz w:val="22"/>
                <w:szCs w:val="22"/>
              </w:rPr>
              <w:t xml:space="preserve">2021) </w:t>
            </w:r>
            <w:r w:rsidRPr="553E34CD" w:rsidR="004F232D">
              <w:rPr>
                <w:rFonts w:asciiTheme="minorHAnsi" w:hAnsiTheme="minorHAnsi" w:cstheme="minorBidi"/>
                <w:sz w:val="22"/>
                <w:szCs w:val="22"/>
              </w:rPr>
              <w:t xml:space="preserve">found that participants preferred </w:t>
            </w:r>
            <w:r w:rsidRPr="553E34CD">
              <w:rPr>
                <w:rFonts w:asciiTheme="minorHAnsi" w:hAnsiTheme="minorHAnsi" w:cstheme="minorBidi"/>
                <w:sz w:val="22"/>
                <w:szCs w:val="22"/>
              </w:rPr>
              <w:t>color versions</w:t>
            </w:r>
            <w:r w:rsidRPr="553E34CD" w:rsidR="004F232D">
              <w:rPr>
                <w:rFonts w:asciiTheme="minorHAnsi" w:hAnsiTheme="minorHAnsi" w:cstheme="minorBidi"/>
                <w:sz w:val="22"/>
                <w:szCs w:val="22"/>
              </w:rPr>
              <w:t xml:space="preserve"> of</w:t>
            </w:r>
            <w:r w:rsidRPr="553E34CD" w:rsidR="00D56A85">
              <w:rPr>
                <w:rFonts w:asciiTheme="minorHAnsi" w:hAnsiTheme="minorHAnsi" w:cstheme="minorBidi"/>
                <w:sz w:val="22"/>
                <w:szCs w:val="22"/>
              </w:rPr>
              <w:t xml:space="preserve"> summary</w:t>
            </w:r>
            <w:r w:rsidRPr="553E34CD" w:rsidR="004F232D">
              <w:rPr>
                <w:rFonts w:asciiTheme="minorHAnsi" w:hAnsiTheme="minorHAnsi" w:cstheme="minorBidi"/>
                <w:sz w:val="22"/>
                <w:szCs w:val="22"/>
              </w:rPr>
              <w:t xml:space="preserve"> </w:t>
            </w:r>
            <w:r w:rsidR="004B6E26">
              <w:rPr>
                <w:rFonts w:asciiTheme="minorHAnsi" w:hAnsiTheme="minorHAnsi" w:cstheme="minorBidi"/>
                <w:sz w:val="22"/>
                <w:szCs w:val="22"/>
              </w:rPr>
              <w:t>FOP</w:t>
            </w:r>
            <w:r w:rsidR="000A275C">
              <w:rPr>
                <w:rFonts w:asciiTheme="minorHAnsi" w:hAnsiTheme="minorHAnsi" w:cstheme="minorBidi"/>
                <w:sz w:val="22"/>
                <w:szCs w:val="22"/>
              </w:rPr>
              <w:t xml:space="preserve"> </w:t>
            </w:r>
            <w:r w:rsidRPr="00B751CD" w:rsidR="000A275C">
              <w:rPr>
                <w:rFonts w:asciiTheme="minorHAnsi" w:hAnsiTheme="minorHAnsi" w:cstheme="minorBidi"/>
                <w:sz w:val="22"/>
                <w:szCs w:val="22"/>
              </w:rPr>
              <w:t>label</w:t>
            </w:r>
            <w:r w:rsidRPr="553E34CD" w:rsidR="004F232D">
              <w:rPr>
                <w:rFonts w:asciiTheme="minorHAnsi" w:hAnsiTheme="minorHAnsi" w:cstheme="minorBidi"/>
                <w:sz w:val="22"/>
                <w:szCs w:val="22"/>
              </w:rPr>
              <w:t>s</w:t>
            </w:r>
            <w:r w:rsidRPr="553E34CD" w:rsidR="00D56A85">
              <w:rPr>
                <w:rFonts w:asciiTheme="minorHAnsi" w:hAnsiTheme="minorHAnsi" w:cstheme="minorBidi"/>
                <w:sz w:val="22"/>
                <w:szCs w:val="22"/>
              </w:rPr>
              <w:t xml:space="preserve"> over </w:t>
            </w:r>
            <w:r w:rsidRPr="553E34CD">
              <w:rPr>
                <w:rFonts w:asciiTheme="minorHAnsi" w:hAnsiTheme="minorHAnsi" w:cstheme="minorBidi"/>
                <w:sz w:val="22"/>
                <w:szCs w:val="22"/>
              </w:rPr>
              <w:t>monochrome version</w:t>
            </w:r>
            <w:r w:rsidRPr="553E34CD" w:rsidR="00D56A85">
              <w:rPr>
                <w:rFonts w:asciiTheme="minorHAnsi" w:hAnsiTheme="minorHAnsi" w:cstheme="minorBidi"/>
                <w:sz w:val="22"/>
                <w:szCs w:val="22"/>
              </w:rPr>
              <w:t>s and those</w:t>
            </w:r>
            <w:r w:rsidRPr="553E34CD">
              <w:rPr>
                <w:rFonts w:asciiTheme="minorHAnsi" w:hAnsiTheme="minorHAnsi" w:cstheme="minorBidi"/>
                <w:sz w:val="22"/>
                <w:szCs w:val="22"/>
              </w:rPr>
              <w:t xml:space="preserve"> that included nutrient-specific information.</w:t>
            </w:r>
          </w:p>
          <w:p w:rsidR="0080237D" w:rsidRPr="00C433D4" w:rsidP="00174D66" w14:paraId="25146507" w14:textId="14B45E40">
            <w:pPr>
              <w:pStyle w:val="ListParagraph"/>
              <w:ind w:left="270"/>
              <w:rPr>
                <w:rFonts w:asciiTheme="minorHAnsi" w:hAnsiTheme="minorHAnsi" w:cstheme="minorHAnsi"/>
                <w:bCs/>
                <w:sz w:val="22"/>
                <w:szCs w:val="22"/>
              </w:rPr>
            </w:pPr>
          </w:p>
          <w:p w:rsidR="0080237D" w:rsidRPr="00C433D4" w:rsidP="00174D66" w14:paraId="1A749357" w14:textId="228D8785">
            <w:pPr>
              <w:rPr>
                <w:rFonts w:asciiTheme="minorHAnsi" w:hAnsiTheme="minorHAnsi" w:cstheme="minorBidi"/>
                <w:sz w:val="22"/>
                <w:szCs w:val="22"/>
              </w:rPr>
            </w:pPr>
            <w:r w:rsidRPr="41ACA7E9">
              <w:rPr>
                <w:rFonts w:asciiTheme="minorHAnsi" w:hAnsiTheme="minorHAnsi" w:cstheme="minorBidi"/>
                <w:b/>
                <w:sz w:val="22"/>
                <w:szCs w:val="22"/>
              </w:rPr>
              <w:t>Conclusion:</w:t>
            </w:r>
            <w:r w:rsidRPr="41ACA7E9" w:rsidR="00BF52E4">
              <w:rPr>
                <w:rFonts w:asciiTheme="minorHAnsi" w:hAnsiTheme="minorHAnsi" w:cstheme="minorBidi"/>
                <w:b/>
                <w:sz w:val="22"/>
                <w:szCs w:val="22"/>
              </w:rPr>
              <w:t xml:space="preserve"> </w:t>
            </w:r>
            <w:r w:rsidRPr="41ACA7E9" w:rsidR="00BF52E4">
              <w:rPr>
                <w:rFonts w:asciiTheme="minorHAnsi" w:hAnsiTheme="minorHAnsi" w:cstheme="minorBidi"/>
                <w:sz w:val="22"/>
                <w:szCs w:val="22"/>
              </w:rPr>
              <w:t>R</w:t>
            </w:r>
            <w:r w:rsidRPr="41ACA7E9">
              <w:rPr>
                <w:rFonts w:asciiTheme="minorHAnsi" w:hAnsiTheme="minorHAnsi" w:cstheme="minorBidi"/>
                <w:sz w:val="22"/>
                <w:szCs w:val="22"/>
              </w:rPr>
              <w:t xml:space="preserve">esults from these recent studies reveal that </w:t>
            </w:r>
            <w:r w:rsidRPr="41ACA7E9" w:rsidR="00154AFD">
              <w:rPr>
                <w:rFonts w:asciiTheme="minorHAnsi" w:hAnsiTheme="minorHAnsi" w:cstheme="minorBidi"/>
                <w:sz w:val="22"/>
                <w:szCs w:val="22"/>
              </w:rPr>
              <w:t xml:space="preserve">additional research should be </w:t>
            </w:r>
            <w:r w:rsidRPr="41ACA7E9" w:rsidR="38759E66">
              <w:rPr>
                <w:rFonts w:asciiTheme="minorHAnsi" w:hAnsiTheme="minorHAnsi" w:cstheme="minorBidi"/>
                <w:sz w:val="22"/>
                <w:szCs w:val="22"/>
              </w:rPr>
              <w:t>conducted</w:t>
            </w:r>
            <w:r w:rsidRPr="41ACA7E9" w:rsidR="00154AFD">
              <w:rPr>
                <w:rFonts w:asciiTheme="minorHAnsi" w:hAnsiTheme="minorHAnsi" w:cstheme="minorBidi"/>
                <w:sz w:val="22"/>
                <w:szCs w:val="22"/>
              </w:rPr>
              <w:t xml:space="preserve"> to determine which type of </w:t>
            </w:r>
            <w:r w:rsidRPr="41ACA7E9" w:rsidR="004B6E26">
              <w:rPr>
                <w:rFonts w:asciiTheme="minorHAnsi" w:hAnsiTheme="minorHAnsi" w:cstheme="minorBidi"/>
                <w:sz w:val="22"/>
                <w:szCs w:val="22"/>
              </w:rPr>
              <w:t>FOP</w:t>
            </w:r>
            <w:r w:rsidRPr="41ACA7E9" w:rsidR="00154AFD">
              <w:rPr>
                <w:rFonts w:asciiTheme="minorHAnsi" w:hAnsiTheme="minorHAnsi" w:cstheme="minorBidi"/>
                <w:sz w:val="22"/>
                <w:szCs w:val="22"/>
              </w:rPr>
              <w:t xml:space="preserve"> is preferred by </w:t>
            </w:r>
            <w:r w:rsidRPr="41ACA7E9" w:rsidR="00133E82">
              <w:rPr>
                <w:rFonts w:asciiTheme="minorHAnsi" w:hAnsiTheme="minorHAnsi" w:cstheme="minorBidi"/>
                <w:sz w:val="22"/>
                <w:szCs w:val="22"/>
              </w:rPr>
              <w:t>most</w:t>
            </w:r>
            <w:r w:rsidRPr="41ACA7E9" w:rsidR="00154AFD">
              <w:rPr>
                <w:rFonts w:asciiTheme="minorHAnsi" w:hAnsiTheme="minorHAnsi" w:cstheme="minorBidi"/>
                <w:sz w:val="22"/>
                <w:szCs w:val="22"/>
              </w:rPr>
              <w:t xml:space="preserve"> </w:t>
            </w:r>
            <w:r w:rsidRPr="41ACA7E9" w:rsidR="00BC411F">
              <w:rPr>
                <w:rFonts w:asciiTheme="minorHAnsi" w:hAnsiTheme="minorHAnsi" w:cstheme="minorBidi"/>
                <w:sz w:val="22"/>
                <w:szCs w:val="22"/>
              </w:rPr>
              <w:t>U</w:t>
            </w:r>
            <w:r w:rsidR="006D589E">
              <w:rPr>
                <w:rFonts w:asciiTheme="minorHAnsi" w:hAnsiTheme="minorHAnsi" w:cstheme="minorBidi"/>
                <w:sz w:val="22"/>
                <w:szCs w:val="22"/>
              </w:rPr>
              <w:t>.</w:t>
            </w:r>
            <w:r w:rsidRPr="41ACA7E9" w:rsidR="00BC411F">
              <w:rPr>
                <w:rFonts w:asciiTheme="minorHAnsi" w:hAnsiTheme="minorHAnsi" w:cstheme="minorBidi"/>
                <w:sz w:val="22"/>
                <w:szCs w:val="22"/>
              </w:rPr>
              <w:t>S</w:t>
            </w:r>
            <w:r w:rsidR="006D589E">
              <w:rPr>
                <w:rFonts w:asciiTheme="minorHAnsi" w:hAnsiTheme="minorHAnsi" w:cstheme="minorBidi"/>
                <w:sz w:val="22"/>
                <w:szCs w:val="22"/>
              </w:rPr>
              <w:t>.</w:t>
            </w:r>
            <w:r w:rsidRPr="41ACA7E9" w:rsidR="00BC411F">
              <w:rPr>
                <w:rFonts w:asciiTheme="minorHAnsi" w:hAnsiTheme="minorHAnsi" w:cstheme="minorBidi"/>
                <w:sz w:val="22"/>
                <w:szCs w:val="22"/>
              </w:rPr>
              <w:t xml:space="preserve"> </w:t>
            </w:r>
            <w:r w:rsidRPr="41ACA7E9" w:rsidR="00154AFD">
              <w:rPr>
                <w:rFonts w:asciiTheme="minorHAnsi" w:hAnsiTheme="minorHAnsi" w:cstheme="minorBidi"/>
                <w:sz w:val="22"/>
                <w:szCs w:val="22"/>
              </w:rPr>
              <w:t xml:space="preserve">consumers. </w:t>
            </w:r>
            <w:r w:rsidRPr="41ACA7E9" w:rsidR="00133E82">
              <w:rPr>
                <w:rFonts w:asciiTheme="minorHAnsi" w:hAnsiTheme="minorHAnsi" w:cstheme="minorBidi"/>
                <w:sz w:val="22"/>
                <w:szCs w:val="22"/>
              </w:rPr>
              <w:t>However,</w:t>
            </w:r>
            <w:r w:rsidRPr="41ACA7E9" w:rsidR="00154AFD">
              <w:rPr>
                <w:rFonts w:asciiTheme="minorHAnsi" w:hAnsiTheme="minorHAnsi" w:cstheme="minorBidi"/>
                <w:sz w:val="22"/>
                <w:szCs w:val="22"/>
              </w:rPr>
              <w:t xml:space="preserve"> </w:t>
            </w:r>
            <w:r w:rsidRPr="41ACA7E9" w:rsidR="00BF52E4">
              <w:rPr>
                <w:rFonts w:asciiTheme="minorHAnsi" w:hAnsiTheme="minorHAnsi" w:cstheme="minorBidi"/>
                <w:sz w:val="22"/>
                <w:szCs w:val="22"/>
              </w:rPr>
              <w:t>based on these findings</w:t>
            </w:r>
            <w:r w:rsidRPr="41ACA7E9" w:rsidR="00E04689">
              <w:rPr>
                <w:rFonts w:asciiTheme="minorHAnsi" w:hAnsiTheme="minorHAnsi" w:cstheme="minorBidi"/>
                <w:sz w:val="22"/>
                <w:szCs w:val="22"/>
              </w:rPr>
              <w:t xml:space="preserve">, it appears </w:t>
            </w:r>
            <w:r w:rsidRPr="41ACA7E9">
              <w:rPr>
                <w:rFonts w:asciiTheme="minorHAnsi" w:hAnsiTheme="minorHAnsi" w:cstheme="minorBidi"/>
                <w:sz w:val="22"/>
                <w:szCs w:val="22"/>
              </w:rPr>
              <w:t>consumers prefer simple</w:t>
            </w:r>
            <w:r w:rsidRPr="41ACA7E9" w:rsidR="00953376">
              <w:rPr>
                <w:rFonts w:asciiTheme="minorHAnsi" w:hAnsiTheme="minorHAnsi" w:cstheme="minorBidi"/>
                <w:sz w:val="22"/>
                <w:szCs w:val="22"/>
              </w:rPr>
              <w:t>, color</w:t>
            </w:r>
            <w:r w:rsidRPr="41ACA7E9">
              <w:rPr>
                <w:rFonts w:asciiTheme="minorHAnsi" w:hAnsiTheme="minorHAnsi" w:cstheme="minorBidi"/>
                <w:sz w:val="22"/>
                <w:szCs w:val="22"/>
              </w:rPr>
              <w:t xml:space="preserve"> labels, such as the ones using a summary system</w:t>
            </w:r>
            <w:r w:rsidRPr="41ACA7E9" w:rsidR="00953376">
              <w:rPr>
                <w:rFonts w:asciiTheme="minorHAnsi" w:hAnsiTheme="minorHAnsi" w:cstheme="minorBidi"/>
                <w:sz w:val="22"/>
                <w:szCs w:val="22"/>
              </w:rPr>
              <w:t xml:space="preserve"> (i.e., </w:t>
            </w:r>
            <w:r w:rsidRPr="553E34CD" w:rsidR="008B7A1E">
              <w:rPr>
                <w:rFonts w:asciiTheme="minorHAnsi" w:hAnsiTheme="minorHAnsi" w:cstheme="minorBidi"/>
                <w:sz w:val="22"/>
                <w:szCs w:val="22"/>
              </w:rPr>
              <w:t>M</w:t>
            </w:r>
            <w:r w:rsidR="008B7A1E">
              <w:rPr>
                <w:rFonts w:asciiTheme="minorHAnsi" w:hAnsiTheme="minorHAnsi" w:cstheme="minorBidi"/>
                <w:sz w:val="22"/>
                <w:szCs w:val="22"/>
              </w:rPr>
              <w:t>ultiple Traffic Light symbols</w:t>
            </w:r>
            <w:r w:rsidRPr="41ACA7E9" w:rsidR="00953376">
              <w:rPr>
                <w:rFonts w:asciiTheme="minorHAnsi" w:hAnsiTheme="minorHAnsi" w:cstheme="minorBidi"/>
                <w:sz w:val="22"/>
                <w:szCs w:val="22"/>
              </w:rPr>
              <w:t>)</w:t>
            </w:r>
            <w:r w:rsidRPr="41ACA7E9" w:rsidR="00E04689">
              <w:rPr>
                <w:rFonts w:asciiTheme="minorHAnsi" w:hAnsiTheme="minorHAnsi" w:cstheme="minorBidi"/>
                <w:sz w:val="22"/>
                <w:szCs w:val="22"/>
              </w:rPr>
              <w:t>.</w:t>
            </w:r>
          </w:p>
        </w:tc>
      </w:tr>
      <w:tr w14:paraId="76959A98" w14:textId="77777777" w:rsidTr="1D57B863">
        <w:tblPrEx>
          <w:tblW w:w="0" w:type="auto"/>
          <w:tblInd w:w="-5" w:type="dxa"/>
          <w:tblLook w:val="04A0"/>
        </w:tblPrEx>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37D" w:rsidP="00174D66" w14:paraId="48666CB9" w14:textId="77777777">
            <w:pPr>
              <w:rPr>
                <w:b/>
                <w:sz w:val="24"/>
                <w:szCs w:val="24"/>
              </w:rPr>
            </w:pPr>
          </w:p>
          <w:p w:rsidR="0080237D" w:rsidP="00174D66" w14:paraId="1C65D591" w14:textId="77777777">
            <w:pPr>
              <w:rPr>
                <w:b/>
                <w:sz w:val="24"/>
                <w:szCs w:val="24"/>
              </w:rPr>
            </w:pPr>
            <w:r w:rsidRPr="00354656">
              <w:rPr>
                <w:b/>
                <w:sz w:val="24"/>
                <w:szCs w:val="24"/>
              </w:rPr>
              <w:t>Understanding</w:t>
            </w:r>
          </w:p>
          <w:p w:rsidR="0080237D" w:rsidP="00174D66" w14:paraId="09BEE5C9" w14:textId="77777777">
            <w:pPr>
              <w:rPr>
                <w:b/>
                <w:sz w:val="24"/>
                <w:szCs w:val="24"/>
              </w:rPr>
            </w:pPr>
          </w:p>
          <w:p w:rsidR="0080237D" w:rsidP="00174D66" w14:paraId="7B81F5C8" w14:textId="77777777">
            <w:pPr>
              <w:rPr>
                <w:rFonts w:asciiTheme="minorHAnsi" w:hAnsiTheme="minorHAnsi" w:cstheme="minorHAnsi"/>
                <w:b/>
                <w:sz w:val="24"/>
                <w:szCs w:val="24"/>
              </w:rPr>
            </w:pP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37D" w:rsidRPr="00942E38" w:rsidP="00174D66" w14:paraId="43BEE87A" w14:textId="3D5442CF">
            <w:pPr>
              <w:pStyle w:val="ListParagraph"/>
              <w:numPr>
                <w:ilvl w:val="0"/>
                <w:numId w:val="3"/>
              </w:numPr>
              <w:rPr>
                <w:rFonts w:asciiTheme="minorHAnsi" w:hAnsiTheme="minorHAnsi" w:cstheme="minorBidi"/>
                <w:sz w:val="22"/>
                <w:szCs w:val="22"/>
              </w:rPr>
            </w:pPr>
            <w:r w:rsidRPr="68D4329B">
              <w:rPr>
                <w:rFonts w:asciiTheme="minorHAnsi" w:hAnsiTheme="minorHAnsi" w:cstheme="minorBidi"/>
                <w:sz w:val="22"/>
                <w:szCs w:val="22"/>
              </w:rPr>
              <w:t xml:space="preserve">Our review identified </w:t>
            </w:r>
            <w:r w:rsidRPr="68D4329B" w:rsidR="009D735E">
              <w:rPr>
                <w:rFonts w:asciiTheme="minorHAnsi" w:hAnsiTheme="minorHAnsi" w:cstheme="minorBidi"/>
                <w:sz w:val="22"/>
                <w:szCs w:val="22"/>
              </w:rPr>
              <w:t>2</w:t>
            </w:r>
            <w:r w:rsidRPr="68D4329B" w:rsidR="00DB108B">
              <w:rPr>
                <w:rFonts w:asciiTheme="minorHAnsi" w:hAnsiTheme="minorHAnsi" w:cstheme="minorBidi"/>
                <w:sz w:val="22"/>
                <w:szCs w:val="22"/>
              </w:rPr>
              <w:t>6</w:t>
            </w:r>
            <w:r w:rsidRPr="68D4329B">
              <w:rPr>
                <w:rFonts w:asciiTheme="minorHAnsi" w:hAnsiTheme="minorHAnsi" w:cstheme="minorBidi"/>
                <w:sz w:val="22"/>
                <w:szCs w:val="22"/>
              </w:rPr>
              <w:t xml:space="preserve"> studies in this category, </w:t>
            </w:r>
            <w:r w:rsidRPr="68D4329B" w:rsidR="3F8E3167">
              <w:rPr>
                <w:rFonts w:asciiTheme="minorHAnsi" w:hAnsiTheme="minorHAnsi" w:cstheme="minorBidi"/>
                <w:sz w:val="22"/>
                <w:szCs w:val="22"/>
              </w:rPr>
              <w:t>including</w:t>
            </w:r>
            <w:r w:rsidRPr="68D4329B">
              <w:rPr>
                <w:rFonts w:asciiTheme="minorHAnsi" w:hAnsiTheme="minorHAnsi" w:cstheme="minorBidi"/>
                <w:sz w:val="22"/>
                <w:szCs w:val="22"/>
              </w:rPr>
              <w:t xml:space="preserve"> </w:t>
            </w:r>
            <w:r w:rsidRPr="68D4329B" w:rsidR="00DB108B">
              <w:rPr>
                <w:rFonts w:asciiTheme="minorHAnsi" w:hAnsiTheme="minorHAnsi" w:cstheme="minorBidi"/>
                <w:sz w:val="22"/>
                <w:szCs w:val="22"/>
              </w:rPr>
              <w:t>eight</w:t>
            </w:r>
            <w:r w:rsidRPr="68D4329B">
              <w:rPr>
                <w:rFonts w:asciiTheme="minorHAnsi" w:hAnsiTheme="minorHAnsi" w:cstheme="minorBidi"/>
                <w:sz w:val="22"/>
                <w:szCs w:val="22"/>
              </w:rPr>
              <w:t xml:space="preserve"> experimental studies, </w:t>
            </w:r>
            <w:r w:rsidRPr="68D4329B" w:rsidR="00DB108B">
              <w:rPr>
                <w:rFonts w:asciiTheme="minorHAnsi" w:hAnsiTheme="minorHAnsi" w:cstheme="minorBidi"/>
                <w:sz w:val="22"/>
                <w:szCs w:val="22"/>
              </w:rPr>
              <w:t>14 surveys</w:t>
            </w:r>
            <w:r w:rsidRPr="68D4329B">
              <w:rPr>
                <w:rFonts w:asciiTheme="minorHAnsi" w:hAnsiTheme="minorHAnsi" w:cstheme="minorBidi"/>
                <w:sz w:val="22"/>
                <w:szCs w:val="22"/>
              </w:rPr>
              <w:t xml:space="preserve">, one focus group study, </w:t>
            </w:r>
            <w:r w:rsidRPr="68D4329B" w:rsidR="00DB108B">
              <w:rPr>
                <w:rFonts w:asciiTheme="minorHAnsi" w:hAnsiTheme="minorHAnsi" w:cstheme="minorBidi"/>
                <w:sz w:val="22"/>
                <w:szCs w:val="22"/>
              </w:rPr>
              <w:t xml:space="preserve">two </w:t>
            </w:r>
            <w:r w:rsidR="005776B0">
              <w:rPr>
                <w:rFonts w:asciiTheme="minorHAnsi" w:hAnsiTheme="minorHAnsi" w:cstheme="minorBidi"/>
                <w:sz w:val="22"/>
                <w:szCs w:val="22"/>
              </w:rPr>
              <w:t>systematic</w:t>
            </w:r>
            <w:r w:rsidRPr="68D4329B" w:rsidR="005776B0">
              <w:rPr>
                <w:rFonts w:asciiTheme="minorHAnsi" w:hAnsiTheme="minorHAnsi" w:cstheme="minorBidi"/>
                <w:sz w:val="22"/>
                <w:szCs w:val="22"/>
              </w:rPr>
              <w:t xml:space="preserve"> </w:t>
            </w:r>
            <w:r w:rsidRPr="68D4329B" w:rsidR="00DB108B">
              <w:rPr>
                <w:rFonts w:asciiTheme="minorHAnsi" w:hAnsiTheme="minorHAnsi" w:cstheme="minorBidi"/>
                <w:sz w:val="22"/>
                <w:szCs w:val="22"/>
              </w:rPr>
              <w:t>reviews</w:t>
            </w:r>
            <w:r w:rsidR="000570B9">
              <w:rPr>
                <w:rFonts w:asciiTheme="minorHAnsi" w:hAnsiTheme="minorHAnsi" w:cstheme="minorBidi"/>
                <w:sz w:val="22"/>
                <w:szCs w:val="22"/>
              </w:rPr>
              <w:t>,</w:t>
            </w:r>
            <w:r w:rsidRPr="68D4329B" w:rsidR="00DB108B">
              <w:rPr>
                <w:rFonts w:asciiTheme="minorHAnsi" w:hAnsiTheme="minorHAnsi" w:cstheme="minorBidi"/>
                <w:sz w:val="22"/>
                <w:szCs w:val="22"/>
              </w:rPr>
              <w:t xml:space="preserve"> and one narrative review</w:t>
            </w:r>
            <w:r w:rsidR="00335C3C">
              <w:rPr>
                <w:rFonts w:asciiTheme="minorHAnsi" w:hAnsiTheme="minorHAnsi" w:cstheme="minorBidi"/>
                <w:sz w:val="22"/>
                <w:szCs w:val="22"/>
              </w:rPr>
              <w:t>.</w:t>
            </w:r>
          </w:p>
          <w:p w:rsidR="0080237D" w:rsidRPr="00942E38" w:rsidP="00174D66" w14:paraId="0DE95CAD" w14:textId="0F043EB8">
            <w:pPr>
              <w:pStyle w:val="ListParagraph"/>
              <w:numPr>
                <w:ilvl w:val="0"/>
                <w:numId w:val="3"/>
              </w:numPr>
              <w:rPr>
                <w:rFonts w:asciiTheme="minorHAnsi" w:hAnsiTheme="minorHAnsi" w:cstheme="minorBidi"/>
                <w:sz w:val="22"/>
                <w:szCs w:val="22"/>
              </w:rPr>
            </w:pPr>
            <w:r w:rsidRPr="68D4329B">
              <w:rPr>
                <w:rFonts w:asciiTheme="minorHAnsi" w:hAnsiTheme="minorHAnsi" w:cstheme="minorBidi"/>
                <w:sz w:val="22"/>
                <w:szCs w:val="22"/>
              </w:rPr>
              <w:t xml:space="preserve">These studies were conducted in </w:t>
            </w:r>
            <w:r w:rsidRPr="68D4329B" w:rsidR="004D2FE1">
              <w:rPr>
                <w:rFonts w:asciiTheme="minorHAnsi" w:hAnsiTheme="minorHAnsi" w:cstheme="minorBidi"/>
                <w:sz w:val="22"/>
                <w:szCs w:val="22"/>
              </w:rPr>
              <w:t>Belgium, Brazil, Bulgaria, Italy, Mexico</w:t>
            </w:r>
            <w:r w:rsidRPr="68D4329B" w:rsidR="00EA1AC7">
              <w:rPr>
                <w:rFonts w:asciiTheme="minorHAnsi" w:hAnsiTheme="minorHAnsi" w:cstheme="minorBidi"/>
                <w:sz w:val="22"/>
                <w:szCs w:val="22"/>
              </w:rPr>
              <w:t>, Netherlands, Spain, Switzerland, Thailand, Uruguay, and the United States</w:t>
            </w:r>
            <w:r w:rsidRPr="68D4329B" w:rsidR="00FB4109">
              <w:rPr>
                <w:rFonts w:asciiTheme="minorHAnsi" w:hAnsiTheme="minorHAnsi" w:cstheme="minorBidi"/>
                <w:sz w:val="22"/>
                <w:szCs w:val="22"/>
              </w:rPr>
              <w:t>. Three of the studies</w:t>
            </w:r>
            <w:r w:rsidR="003A121B">
              <w:rPr>
                <w:rFonts w:asciiTheme="minorHAnsi" w:hAnsiTheme="minorHAnsi" w:cstheme="minorBidi"/>
                <w:sz w:val="22"/>
                <w:szCs w:val="22"/>
              </w:rPr>
              <w:t xml:space="preserve"> assessed findings across several countries</w:t>
            </w:r>
            <w:r w:rsidRPr="68D4329B" w:rsidR="00FB4109">
              <w:rPr>
                <w:rFonts w:asciiTheme="minorHAnsi" w:hAnsiTheme="minorHAnsi" w:cstheme="minorBidi"/>
                <w:sz w:val="22"/>
                <w:szCs w:val="22"/>
              </w:rPr>
              <w:t>.</w:t>
            </w:r>
          </w:p>
          <w:p w:rsidR="00024DA1" w:rsidRPr="00942E38" w:rsidP="00F76FD3" w14:paraId="7083BD0A" w14:textId="516AB788">
            <w:pPr>
              <w:pStyle w:val="ListParagraph"/>
              <w:numPr>
                <w:ilvl w:val="0"/>
                <w:numId w:val="3"/>
              </w:numPr>
              <w:rPr>
                <w:rFonts w:asciiTheme="minorHAnsi" w:hAnsiTheme="minorHAnsi" w:cstheme="minorHAnsi"/>
                <w:sz w:val="22"/>
                <w:szCs w:val="22"/>
              </w:rPr>
            </w:pPr>
            <w:r w:rsidRPr="00942E38">
              <w:rPr>
                <w:rFonts w:asciiTheme="minorHAnsi" w:hAnsiTheme="minorHAnsi" w:cstheme="minorHAnsi"/>
                <w:sz w:val="22"/>
                <w:szCs w:val="22"/>
              </w:rPr>
              <w:t xml:space="preserve">Multiple </w:t>
            </w:r>
            <w:r w:rsidR="004B6E26">
              <w:rPr>
                <w:rFonts w:asciiTheme="minorHAnsi" w:hAnsiTheme="minorHAnsi" w:cstheme="minorHAnsi"/>
                <w:sz w:val="22"/>
                <w:szCs w:val="22"/>
              </w:rPr>
              <w:t>FOP</w:t>
            </w:r>
            <w:r w:rsidRPr="00942E38">
              <w:rPr>
                <w:rFonts w:asciiTheme="minorHAnsi" w:hAnsiTheme="minorHAnsi" w:cstheme="minorHAnsi"/>
                <w:sz w:val="22"/>
                <w:szCs w:val="22"/>
              </w:rPr>
              <w:t xml:space="preserve"> systems were examined in the identified studies, </w:t>
            </w:r>
            <w:r w:rsidRPr="00942E38" w:rsidR="00142626">
              <w:rPr>
                <w:rFonts w:asciiTheme="minorHAnsi" w:hAnsiTheme="minorHAnsi" w:cstheme="minorHAnsi"/>
                <w:sz w:val="22"/>
                <w:szCs w:val="22"/>
              </w:rPr>
              <w:t>including</w:t>
            </w:r>
            <w:r w:rsidRPr="00942E38">
              <w:rPr>
                <w:rFonts w:asciiTheme="minorHAnsi" w:hAnsiTheme="minorHAnsi" w:cstheme="minorHAnsi"/>
                <w:sz w:val="22"/>
                <w:szCs w:val="22"/>
              </w:rPr>
              <w:t xml:space="preserve"> </w:t>
            </w:r>
            <w:r w:rsidRPr="553E34CD" w:rsidR="008B7A1E">
              <w:rPr>
                <w:rFonts w:asciiTheme="minorHAnsi" w:hAnsiTheme="minorHAnsi" w:cstheme="minorBidi"/>
                <w:sz w:val="22"/>
                <w:szCs w:val="22"/>
              </w:rPr>
              <w:t>M</w:t>
            </w:r>
            <w:r w:rsidR="008B7A1E">
              <w:rPr>
                <w:rFonts w:asciiTheme="minorHAnsi" w:hAnsiTheme="minorHAnsi" w:cstheme="minorBidi"/>
                <w:sz w:val="22"/>
                <w:szCs w:val="22"/>
              </w:rPr>
              <w:t>ultiple Traffic Light symbols</w:t>
            </w:r>
            <w:r w:rsidR="008B7A1E">
              <w:rPr>
                <w:rFonts w:asciiTheme="minorHAnsi" w:hAnsiTheme="minorHAnsi" w:cstheme="minorHAnsi"/>
                <w:sz w:val="22"/>
                <w:szCs w:val="22"/>
              </w:rPr>
              <w:t xml:space="preserve">, </w:t>
            </w:r>
            <w:r w:rsidR="004B6E26">
              <w:rPr>
                <w:rFonts w:asciiTheme="minorHAnsi" w:hAnsiTheme="minorHAnsi" w:cstheme="minorHAnsi"/>
                <w:sz w:val="22"/>
                <w:szCs w:val="22"/>
              </w:rPr>
              <w:t>Nutri-Score</w:t>
            </w:r>
            <w:r w:rsidRPr="00942E38" w:rsidR="008C7B67">
              <w:rPr>
                <w:rFonts w:asciiTheme="minorHAnsi" w:hAnsiTheme="minorHAnsi" w:cstheme="minorHAnsi"/>
                <w:sz w:val="22"/>
                <w:szCs w:val="22"/>
              </w:rPr>
              <w:t>, Health Star Rating, Warning Labels, Reference Intake</w:t>
            </w:r>
            <w:r w:rsidRPr="00942E38" w:rsidR="00354656">
              <w:rPr>
                <w:rFonts w:asciiTheme="minorHAnsi" w:hAnsiTheme="minorHAnsi" w:cstheme="minorHAnsi"/>
                <w:sz w:val="22"/>
                <w:szCs w:val="22"/>
              </w:rPr>
              <w:t xml:space="preserve">, and logos.  </w:t>
            </w:r>
          </w:p>
          <w:p w:rsidR="00C35D56" w:rsidRPr="00942E38" w:rsidP="00174D66" w14:paraId="20A58E67" w14:textId="0F5441DA">
            <w:pPr>
              <w:pStyle w:val="ListParagraph"/>
              <w:numPr>
                <w:ilvl w:val="0"/>
                <w:numId w:val="3"/>
              </w:numPr>
              <w:rPr>
                <w:rFonts w:asciiTheme="minorHAnsi" w:hAnsiTheme="minorHAnsi" w:cstheme="minorBidi"/>
                <w:sz w:val="22"/>
                <w:szCs w:val="22"/>
              </w:rPr>
            </w:pPr>
            <w:r w:rsidRPr="68D4329B">
              <w:rPr>
                <w:rFonts w:asciiTheme="minorHAnsi" w:hAnsiTheme="minorHAnsi" w:cstheme="minorBidi"/>
                <w:sz w:val="22"/>
                <w:szCs w:val="22"/>
              </w:rPr>
              <w:t>Studies found that</w:t>
            </w:r>
            <w:r w:rsidRPr="68D4329B" w:rsidR="180EC950">
              <w:rPr>
                <w:rFonts w:asciiTheme="minorHAnsi" w:hAnsiTheme="minorHAnsi" w:cstheme="minorBidi"/>
                <w:sz w:val="22"/>
                <w:szCs w:val="22"/>
              </w:rPr>
              <w:t>,</w:t>
            </w:r>
            <w:r w:rsidRPr="68D4329B" w:rsidR="000439D0">
              <w:rPr>
                <w:rFonts w:asciiTheme="minorHAnsi" w:hAnsiTheme="minorHAnsi" w:cstheme="minorBidi"/>
                <w:sz w:val="22"/>
                <w:szCs w:val="22"/>
              </w:rPr>
              <w:t xml:space="preserve"> </w:t>
            </w:r>
            <w:r w:rsidRPr="68D4329B" w:rsidR="04498FDB">
              <w:rPr>
                <w:rFonts w:asciiTheme="minorHAnsi" w:hAnsiTheme="minorHAnsi" w:cstheme="minorBidi"/>
                <w:sz w:val="22"/>
                <w:szCs w:val="22"/>
              </w:rPr>
              <w:t>compared to purely informative systems</w:t>
            </w:r>
            <w:r w:rsidR="004B6E26">
              <w:rPr>
                <w:rFonts w:asciiTheme="minorHAnsi" w:hAnsiTheme="minorHAnsi" w:cstheme="minorBidi"/>
                <w:sz w:val="22"/>
                <w:szCs w:val="22"/>
              </w:rPr>
              <w:t xml:space="preserve"> (i.e., Guideline Daily Amounts)</w:t>
            </w:r>
            <w:r w:rsidRPr="68D4329B" w:rsidR="1770BDEE">
              <w:rPr>
                <w:rFonts w:asciiTheme="minorHAnsi" w:hAnsiTheme="minorHAnsi" w:cstheme="minorBidi"/>
                <w:sz w:val="22"/>
                <w:szCs w:val="22"/>
              </w:rPr>
              <w:t>,</w:t>
            </w:r>
            <w:r w:rsidRPr="68D4329B" w:rsidR="000439D0">
              <w:rPr>
                <w:rFonts w:asciiTheme="minorHAnsi" w:hAnsiTheme="minorHAnsi" w:cstheme="minorBidi"/>
                <w:sz w:val="22"/>
                <w:szCs w:val="22"/>
              </w:rPr>
              <w:t xml:space="preserve"> summary/interpretive label systems (i.e., </w:t>
            </w:r>
            <w:r w:rsidRPr="553E34CD" w:rsidR="008B7A1E">
              <w:rPr>
                <w:rFonts w:asciiTheme="minorHAnsi" w:hAnsiTheme="minorHAnsi" w:cstheme="minorBidi"/>
                <w:sz w:val="22"/>
                <w:szCs w:val="22"/>
              </w:rPr>
              <w:t>M</w:t>
            </w:r>
            <w:r w:rsidR="008B7A1E">
              <w:rPr>
                <w:rFonts w:asciiTheme="minorHAnsi" w:hAnsiTheme="minorHAnsi" w:cstheme="minorBidi"/>
                <w:sz w:val="22"/>
                <w:szCs w:val="22"/>
              </w:rPr>
              <w:t>ultiple Traffic Light symbols</w:t>
            </w:r>
            <w:r w:rsidRPr="68D4329B" w:rsidR="009C6E24">
              <w:rPr>
                <w:rFonts w:asciiTheme="minorHAnsi" w:hAnsiTheme="minorHAnsi" w:cstheme="minorBidi"/>
                <w:sz w:val="22"/>
                <w:szCs w:val="22"/>
              </w:rPr>
              <w:t xml:space="preserve">, </w:t>
            </w:r>
            <w:r w:rsidRPr="41ACA7E9" w:rsidR="13BDD17A">
              <w:rPr>
                <w:rFonts w:asciiTheme="minorHAnsi" w:hAnsiTheme="minorHAnsi" w:cstheme="minorBidi"/>
                <w:sz w:val="22"/>
                <w:szCs w:val="22"/>
              </w:rPr>
              <w:t>N</w:t>
            </w:r>
            <w:r w:rsidR="00F67893">
              <w:rPr>
                <w:rFonts w:asciiTheme="minorHAnsi" w:hAnsiTheme="minorHAnsi" w:cstheme="minorBidi"/>
                <w:sz w:val="22"/>
                <w:szCs w:val="22"/>
              </w:rPr>
              <w:t>utri-Score</w:t>
            </w:r>
            <w:r w:rsidR="005C0CC0">
              <w:rPr>
                <w:rFonts w:asciiTheme="minorHAnsi" w:hAnsiTheme="minorHAnsi" w:cstheme="minorBidi"/>
                <w:sz w:val="22"/>
                <w:szCs w:val="22"/>
              </w:rPr>
              <w:t>,</w:t>
            </w:r>
            <w:r w:rsidRPr="68D4329B" w:rsidR="009D3299">
              <w:rPr>
                <w:rFonts w:asciiTheme="minorHAnsi" w:hAnsiTheme="minorHAnsi" w:cstheme="minorBidi"/>
                <w:sz w:val="22"/>
                <w:szCs w:val="22"/>
              </w:rPr>
              <w:t xml:space="preserve"> and </w:t>
            </w:r>
            <w:r w:rsidR="005C0CC0">
              <w:rPr>
                <w:rFonts w:asciiTheme="minorHAnsi" w:hAnsiTheme="minorHAnsi" w:cstheme="minorBidi"/>
                <w:sz w:val="22"/>
                <w:szCs w:val="22"/>
              </w:rPr>
              <w:t>Health Star Ratin</w:t>
            </w:r>
            <w:r w:rsidR="006B297F">
              <w:rPr>
                <w:rFonts w:asciiTheme="minorHAnsi" w:hAnsiTheme="minorHAnsi" w:cstheme="minorBidi"/>
                <w:sz w:val="22"/>
                <w:szCs w:val="22"/>
              </w:rPr>
              <w:t>g</w:t>
            </w:r>
            <w:r w:rsidRPr="68D4329B" w:rsidR="009D3299">
              <w:rPr>
                <w:rFonts w:asciiTheme="minorHAnsi" w:hAnsiTheme="minorHAnsi" w:cstheme="minorBidi"/>
                <w:sz w:val="22"/>
                <w:szCs w:val="22"/>
              </w:rPr>
              <w:t>) have the greatest potential to improve consumers</w:t>
            </w:r>
            <w:r w:rsidRPr="68D4329B" w:rsidR="51096156">
              <w:rPr>
                <w:rFonts w:asciiTheme="minorHAnsi" w:hAnsiTheme="minorHAnsi" w:cstheme="minorBidi"/>
                <w:sz w:val="22"/>
                <w:szCs w:val="22"/>
              </w:rPr>
              <w:t>’</w:t>
            </w:r>
            <w:r w:rsidRPr="68D4329B" w:rsidR="009D3299">
              <w:rPr>
                <w:rFonts w:asciiTheme="minorHAnsi" w:hAnsiTheme="minorHAnsi" w:cstheme="minorBidi"/>
                <w:sz w:val="22"/>
                <w:szCs w:val="22"/>
              </w:rPr>
              <w:t xml:space="preserve"> understanding of the </w:t>
            </w:r>
            <w:r w:rsidRPr="68D4329B" w:rsidR="00F5194E">
              <w:rPr>
                <w:rFonts w:asciiTheme="minorHAnsi" w:hAnsiTheme="minorHAnsi" w:cstheme="minorBidi"/>
                <w:sz w:val="22"/>
                <w:szCs w:val="22"/>
              </w:rPr>
              <w:t xml:space="preserve">total </w:t>
            </w:r>
            <w:r w:rsidRPr="68D4329B" w:rsidR="009D3299">
              <w:rPr>
                <w:rFonts w:asciiTheme="minorHAnsi" w:hAnsiTheme="minorHAnsi" w:cstheme="minorBidi"/>
                <w:sz w:val="22"/>
                <w:szCs w:val="22"/>
              </w:rPr>
              <w:t>nutritional quality of foods.</w:t>
            </w:r>
            <w:r w:rsidRPr="68D4329B">
              <w:rPr>
                <w:rFonts w:asciiTheme="minorHAnsi" w:hAnsiTheme="minorHAnsi" w:cstheme="minorBidi"/>
                <w:sz w:val="22"/>
                <w:szCs w:val="22"/>
              </w:rPr>
              <w:t xml:space="preserve"> </w:t>
            </w:r>
            <w:r w:rsidRPr="68D4329B">
              <w:rPr>
                <w:rFonts w:asciiTheme="minorHAnsi" w:hAnsiTheme="minorHAnsi" w:cstheme="minorBidi"/>
                <w:sz w:val="22"/>
                <w:szCs w:val="22"/>
              </w:rPr>
              <w:t xml:space="preserve">One study (Andreeva, 2021) found </w:t>
            </w:r>
            <w:r w:rsidRPr="47135738" w:rsidR="004B6E26">
              <w:rPr>
                <w:rFonts w:asciiTheme="minorHAnsi" w:hAnsiTheme="minorHAnsi" w:cstheme="minorBidi"/>
                <w:sz w:val="22"/>
                <w:szCs w:val="22"/>
              </w:rPr>
              <w:t>N</w:t>
            </w:r>
            <w:r w:rsidRPr="47135738" w:rsidR="6535CA60">
              <w:rPr>
                <w:rFonts w:asciiTheme="minorHAnsi" w:hAnsiTheme="minorHAnsi" w:cstheme="minorBidi"/>
                <w:sz w:val="22"/>
                <w:szCs w:val="22"/>
              </w:rPr>
              <w:t>utri-Score</w:t>
            </w:r>
            <w:r w:rsidRPr="68D4329B">
              <w:rPr>
                <w:rFonts w:asciiTheme="minorHAnsi" w:hAnsiTheme="minorHAnsi" w:cstheme="minorBidi"/>
                <w:sz w:val="22"/>
                <w:szCs w:val="22"/>
              </w:rPr>
              <w:t xml:space="preserve"> </w:t>
            </w:r>
            <w:r w:rsidRPr="68D4329B" w:rsidR="005273C5">
              <w:rPr>
                <w:rFonts w:asciiTheme="minorHAnsi" w:hAnsiTheme="minorHAnsi" w:cstheme="minorBidi"/>
                <w:sz w:val="22"/>
                <w:szCs w:val="22"/>
              </w:rPr>
              <w:t>is most effective</w:t>
            </w:r>
            <w:r w:rsidRPr="68D4329B" w:rsidR="005041E9">
              <w:rPr>
                <w:rFonts w:asciiTheme="minorHAnsi" w:hAnsiTheme="minorHAnsi" w:cstheme="minorBidi"/>
                <w:sz w:val="22"/>
                <w:szCs w:val="22"/>
              </w:rPr>
              <w:t xml:space="preserve"> at improving</w:t>
            </w:r>
            <w:r w:rsidRPr="68D4329B">
              <w:rPr>
                <w:rFonts w:asciiTheme="minorHAnsi" w:hAnsiTheme="minorHAnsi" w:cstheme="minorBidi"/>
                <w:sz w:val="22"/>
                <w:szCs w:val="22"/>
              </w:rPr>
              <w:t xml:space="preserve"> consumer</w:t>
            </w:r>
            <w:r w:rsidRPr="68D4329B" w:rsidR="005041E9">
              <w:rPr>
                <w:rFonts w:asciiTheme="minorHAnsi" w:hAnsiTheme="minorHAnsi" w:cstheme="minorBidi"/>
                <w:sz w:val="22"/>
                <w:szCs w:val="22"/>
              </w:rPr>
              <w:t>s’</w:t>
            </w:r>
            <w:r w:rsidRPr="68D4329B">
              <w:rPr>
                <w:rFonts w:asciiTheme="minorHAnsi" w:hAnsiTheme="minorHAnsi" w:cstheme="minorBidi"/>
                <w:sz w:val="22"/>
                <w:szCs w:val="22"/>
              </w:rPr>
              <w:t xml:space="preserve"> abilit</w:t>
            </w:r>
            <w:r w:rsidRPr="68D4329B" w:rsidR="005041E9">
              <w:rPr>
                <w:rFonts w:asciiTheme="minorHAnsi" w:hAnsiTheme="minorHAnsi" w:cstheme="minorBidi"/>
                <w:sz w:val="22"/>
                <w:szCs w:val="22"/>
              </w:rPr>
              <w:t xml:space="preserve">ies </w:t>
            </w:r>
            <w:r w:rsidRPr="68D4329B">
              <w:rPr>
                <w:rFonts w:asciiTheme="minorHAnsi" w:hAnsiTheme="minorHAnsi" w:cstheme="minorBidi"/>
                <w:sz w:val="22"/>
                <w:szCs w:val="22"/>
              </w:rPr>
              <w:t>to correctly classify food according to its nutritional quality</w:t>
            </w:r>
            <w:r w:rsidRPr="68D4329B" w:rsidR="005041E9">
              <w:rPr>
                <w:rFonts w:asciiTheme="minorHAnsi" w:hAnsiTheme="minorHAnsi" w:cstheme="minorBidi"/>
                <w:sz w:val="22"/>
                <w:szCs w:val="22"/>
              </w:rPr>
              <w:t>.</w:t>
            </w:r>
            <w:r w:rsidRPr="68D4329B" w:rsidR="00BA35C1">
              <w:rPr>
                <w:rFonts w:asciiTheme="minorHAnsi" w:hAnsiTheme="minorHAnsi" w:cstheme="minorBidi"/>
                <w:sz w:val="22"/>
                <w:szCs w:val="22"/>
              </w:rPr>
              <w:t xml:space="preserve">  </w:t>
            </w:r>
            <w:r w:rsidRPr="68D4329B" w:rsidR="00C01AD1">
              <w:rPr>
                <w:rFonts w:asciiTheme="minorHAnsi" w:hAnsiTheme="minorHAnsi" w:cstheme="minorBidi"/>
                <w:sz w:val="22"/>
                <w:szCs w:val="22"/>
              </w:rPr>
              <w:t>Additional studies have</w:t>
            </w:r>
            <w:r w:rsidRPr="68D4329B" w:rsidR="00BA35C1">
              <w:rPr>
                <w:rFonts w:asciiTheme="minorHAnsi" w:hAnsiTheme="minorHAnsi" w:cstheme="minorBidi"/>
                <w:sz w:val="22"/>
                <w:szCs w:val="22"/>
              </w:rPr>
              <w:t xml:space="preserve"> confirmed the effectiveness of </w:t>
            </w:r>
            <w:r w:rsidR="004B6E26">
              <w:rPr>
                <w:rFonts w:asciiTheme="minorHAnsi" w:hAnsiTheme="minorHAnsi" w:cstheme="minorBidi"/>
                <w:sz w:val="22"/>
                <w:szCs w:val="22"/>
              </w:rPr>
              <w:t>N</w:t>
            </w:r>
            <w:r w:rsidR="00B127A5">
              <w:rPr>
                <w:rFonts w:asciiTheme="minorHAnsi" w:hAnsiTheme="minorHAnsi" w:cstheme="minorBidi"/>
                <w:sz w:val="22"/>
                <w:szCs w:val="22"/>
              </w:rPr>
              <w:t>utri-Score</w:t>
            </w:r>
            <w:r w:rsidRPr="68D4329B" w:rsidR="00EF0D4B">
              <w:rPr>
                <w:rFonts w:asciiTheme="minorHAnsi" w:hAnsiTheme="minorHAnsi" w:cstheme="minorBidi"/>
                <w:sz w:val="22"/>
                <w:szCs w:val="22"/>
              </w:rPr>
              <w:t xml:space="preserve"> to </w:t>
            </w:r>
            <w:r w:rsidRPr="68D4329B" w:rsidR="00EF0D4B">
              <w:rPr>
                <w:rFonts w:asciiTheme="minorHAnsi" w:hAnsiTheme="minorHAnsi" w:cstheme="minorBidi"/>
                <w:sz w:val="22"/>
                <w:szCs w:val="22"/>
              </w:rPr>
              <w:t>aid consumers in their ability to rank products according to nutritional quality (Egnell, 2019).</w:t>
            </w:r>
          </w:p>
          <w:p w:rsidR="000D5F15" w:rsidRPr="00942E38" w:rsidP="006F0287" w14:paraId="63ED85C7" w14:textId="756E87FC">
            <w:pPr>
              <w:pStyle w:val="ListParagraph"/>
              <w:numPr>
                <w:ilvl w:val="0"/>
                <w:numId w:val="3"/>
              </w:numPr>
              <w:rPr>
                <w:rFonts w:asciiTheme="minorHAnsi" w:hAnsiTheme="minorHAnsi" w:cstheme="minorBidi"/>
                <w:sz w:val="22"/>
                <w:szCs w:val="22"/>
              </w:rPr>
            </w:pPr>
            <w:r>
              <w:rPr>
                <w:rFonts w:asciiTheme="minorHAnsi" w:hAnsiTheme="minorHAnsi" w:cstheme="minorBidi"/>
                <w:sz w:val="22"/>
                <w:szCs w:val="22"/>
              </w:rPr>
              <w:t>S</w:t>
            </w:r>
            <w:r w:rsidRPr="605CEB4F" w:rsidR="00C059C6">
              <w:rPr>
                <w:rFonts w:asciiTheme="minorHAnsi" w:hAnsiTheme="minorHAnsi" w:cstheme="minorBidi"/>
                <w:sz w:val="22"/>
                <w:szCs w:val="22"/>
              </w:rPr>
              <w:t>tudies found that Warning Labels</w:t>
            </w:r>
            <w:r w:rsidRPr="605CEB4F" w:rsidR="00877ED5">
              <w:rPr>
                <w:rFonts w:asciiTheme="minorHAnsi" w:hAnsiTheme="minorHAnsi" w:cstheme="minorBidi"/>
                <w:sz w:val="22"/>
                <w:szCs w:val="22"/>
              </w:rPr>
              <w:t xml:space="preserve">, while less effective at aiding consumers’ understanding of the total nutritional quality of a food, </w:t>
            </w:r>
            <w:r w:rsidRPr="605CEB4F" w:rsidR="00C059C6">
              <w:rPr>
                <w:rFonts w:asciiTheme="minorHAnsi" w:hAnsiTheme="minorHAnsi" w:cstheme="minorBidi"/>
                <w:sz w:val="22"/>
                <w:szCs w:val="22"/>
              </w:rPr>
              <w:t xml:space="preserve">are significantly more effective at helping consumers identify products with excessive </w:t>
            </w:r>
            <w:r w:rsidRPr="605CEB4F" w:rsidR="001013F7">
              <w:rPr>
                <w:rFonts w:asciiTheme="minorHAnsi" w:hAnsiTheme="minorHAnsi" w:cstheme="minorBidi"/>
                <w:sz w:val="22"/>
                <w:szCs w:val="22"/>
              </w:rPr>
              <w:t>amounts of a particular nutrient (</w:t>
            </w:r>
            <w:r w:rsidR="00733D2A">
              <w:rPr>
                <w:rFonts w:asciiTheme="minorHAnsi" w:hAnsiTheme="minorHAnsi" w:cstheme="minorBidi"/>
                <w:sz w:val="22"/>
                <w:szCs w:val="22"/>
              </w:rPr>
              <w:t>e</w:t>
            </w:r>
            <w:r w:rsidRPr="605CEB4F" w:rsidR="001013F7">
              <w:rPr>
                <w:rFonts w:asciiTheme="minorHAnsi" w:hAnsiTheme="minorHAnsi" w:cstheme="minorBidi"/>
                <w:sz w:val="22"/>
                <w:szCs w:val="22"/>
              </w:rPr>
              <w:t>.</w:t>
            </w:r>
            <w:r w:rsidR="00733D2A">
              <w:rPr>
                <w:rFonts w:asciiTheme="minorHAnsi" w:hAnsiTheme="minorHAnsi" w:cstheme="minorBidi"/>
                <w:sz w:val="22"/>
                <w:szCs w:val="22"/>
              </w:rPr>
              <w:t>g</w:t>
            </w:r>
            <w:r w:rsidRPr="605CEB4F" w:rsidR="001013F7">
              <w:rPr>
                <w:rFonts w:asciiTheme="minorHAnsi" w:hAnsiTheme="minorHAnsi" w:cstheme="minorBidi"/>
                <w:sz w:val="22"/>
                <w:szCs w:val="22"/>
              </w:rPr>
              <w:t xml:space="preserve">., </w:t>
            </w:r>
            <w:r w:rsidRPr="605CEB4F" w:rsidR="00C059C6">
              <w:rPr>
                <w:rFonts w:asciiTheme="minorHAnsi" w:hAnsiTheme="minorHAnsi" w:cstheme="minorBidi"/>
                <w:sz w:val="22"/>
                <w:szCs w:val="22"/>
              </w:rPr>
              <w:t>sugar, fat, saturated fat, and sodium</w:t>
            </w:r>
            <w:r w:rsidRPr="605CEB4F" w:rsidR="001013F7">
              <w:rPr>
                <w:rFonts w:asciiTheme="minorHAnsi" w:hAnsiTheme="minorHAnsi" w:cstheme="minorBidi"/>
                <w:sz w:val="22"/>
                <w:szCs w:val="22"/>
              </w:rPr>
              <w:t>)</w:t>
            </w:r>
            <w:r w:rsidRPr="605CEB4F" w:rsidR="00C059C6">
              <w:rPr>
                <w:rFonts w:asciiTheme="minorHAnsi" w:hAnsiTheme="minorHAnsi" w:cstheme="minorBidi"/>
                <w:sz w:val="22"/>
                <w:szCs w:val="22"/>
              </w:rPr>
              <w:t>.</w:t>
            </w:r>
            <w:r w:rsidRPr="605CEB4F" w:rsidR="001F3F28">
              <w:rPr>
                <w:rFonts w:asciiTheme="minorHAnsi" w:hAnsiTheme="minorHAnsi" w:cstheme="minorBidi"/>
                <w:sz w:val="22"/>
                <w:szCs w:val="22"/>
              </w:rPr>
              <w:t xml:space="preserve"> One study (Andrews, 2021) found </w:t>
            </w:r>
            <w:r w:rsidR="00AB7D72">
              <w:rPr>
                <w:rFonts w:asciiTheme="minorHAnsi" w:hAnsiTheme="minorHAnsi" w:cstheme="minorBidi"/>
                <w:sz w:val="22"/>
                <w:szCs w:val="22"/>
              </w:rPr>
              <w:t>Warning Labels</w:t>
            </w:r>
            <w:r w:rsidRPr="605CEB4F" w:rsidR="00F76FD3">
              <w:rPr>
                <w:rFonts w:asciiTheme="minorHAnsi" w:hAnsiTheme="minorHAnsi" w:cstheme="minorBidi"/>
                <w:sz w:val="22"/>
                <w:szCs w:val="22"/>
              </w:rPr>
              <w:t xml:space="preserve"> </w:t>
            </w:r>
            <w:r w:rsidRPr="605CEB4F" w:rsidR="28B350C1">
              <w:rPr>
                <w:rFonts w:asciiTheme="minorHAnsi" w:hAnsiTheme="minorHAnsi" w:cstheme="minorBidi"/>
                <w:sz w:val="22"/>
                <w:szCs w:val="22"/>
              </w:rPr>
              <w:t xml:space="preserve">were </w:t>
            </w:r>
            <w:r w:rsidRPr="605CEB4F" w:rsidR="41280009">
              <w:rPr>
                <w:rFonts w:asciiTheme="minorHAnsi" w:hAnsiTheme="minorHAnsi" w:cstheme="minorBidi"/>
                <w:sz w:val="22"/>
                <w:szCs w:val="22"/>
              </w:rPr>
              <w:t>more</w:t>
            </w:r>
            <w:r w:rsidRPr="605CEB4F" w:rsidR="001F3F28">
              <w:rPr>
                <w:rFonts w:asciiTheme="minorHAnsi" w:hAnsiTheme="minorHAnsi" w:cstheme="minorBidi"/>
                <w:sz w:val="22"/>
                <w:szCs w:val="22"/>
              </w:rPr>
              <w:t xml:space="preserve"> effective for evaluating levels of negative nutrients and </w:t>
            </w:r>
            <w:r w:rsidRPr="605CEB4F" w:rsidR="2AB57CF0">
              <w:rPr>
                <w:rFonts w:asciiTheme="minorHAnsi" w:hAnsiTheme="minorHAnsi" w:cstheme="minorBidi"/>
                <w:sz w:val="22"/>
                <w:szCs w:val="22"/>
              </w:rPr>
              <w:t xml:space="preserve">their associated </w:t>
            </w:r>
            <w:r w:rsidRPr="605CEB4F" w:rsidR="001F3F28">
              <w:rPr>
                <w:rFonts w:asciiTheme="minorHAnsi" w:hAnsiTheme="minorHAnsi" w:cstheme="minorBidi"/>
                <w:sz w:val="22"/>
                <w:szCs w:val="22"/>
              </w:rPr>
              <w:t xml:space="preserve">disease risks </w:t>
            </w:r>
            <w:r w:rsidRPr="605CEB4F" w:rsidR="7842C368">
              <w:rPr>
                <w:rFonts w:asciiTheme="minorHAnsi" w:hAnsiTheme="minorHAnsi" w:cstheme="minorBidi"/>
                <w:sz w:val="22"/>
                <w:szCs w:val="22"/>
              </w:rPr>
              <w:t xml:space="preserve">compared </w:t>
            </w:r>
            <w:r w:rsidRPr="605CEB4F" w:rsidR="001F3F28">
              <w:rPr>
                <w:rFonts w:asciiTheme="minorHAnsi" w:hAnsiTheme="minorHAnsi" w:cstheme="minorBidi"/>
                <w:sz w:val="22"/>
                <w:szCs w:val="22"/>
              </w:rPr>
              <w:t xml:space="preserve">to the </w:t>
            </w:r>
            <w:r w:rsidRPr="605CEB4F" w:rsidR="00604155">
              <w:rPr>
                <w:rFonts w:asciiTheme="minorHAnsi" w:hAnsiTheme="minorHAnsi" w:cstheme="minorBidi"/>
                <w:sz w:val="22"/>
                <w:szCs w:val="22"/>
              </w:rPr>
              <w:t>Traffic Light Label (a</w:t>
            </w:r>
            <w:r w:rsidR="004B6E26">
              <w:rPr>
                <w:rFonts w:asciiTheme="minorHAnsi" w:hAnsiTheme="minorHAnsi" w:cstheme="minorBidi"/>
                <w:sz w:val="22"/>
                <w:szCs w:val="22"/>
              </w:rPr>
              <w:t>lso called</w:t>
            </w:r>
            <w:r w:rsidRPr="605CEB4F" w:rsidR="00604155">
              <w:rPr>
                <w:rFonts w:asciiTheme="minorHAnsi" w:hAnsiTheme="minorHAnsi" w:cstheme="minorBidi"/>
                <w:sz w:val="22"/>
                <w:szCs w:val="22"/>
              </w:rPr>
              <w:t xml:space="preserve"> </w:t>
            </w:r>
            <w:r w:rsidRPr="553E34CD" w:rsidR="008B7A1E">
              <w:rPr>
                <w:rFonts w:asciiTheme="minorHAnsi" w:hAnsiTheme="minorHAnsi" w:cstheme="minorBidi"/>
                <w:sz w:val="22"/>
                <w:szCs w:val="22"/>
              </w:rPr>
              <w:t>M</w:t>
            </w:r>
            <w:r w:rsidR="008B7A1E">
              <w:rPr>
                <w:rFonts w:asciiTheme="minorHAnsi" w:hAnsiTheme="minorHAnsi" w:cstheme="minorBidi"/>
                <w:sz w:val="22"/>
                <w:szCs w:val="22"/>
              </w:rPr>
              <w:t>ultiple Traffic Light symbols</w:t>
            </w:r>
            <w:r w:rsidRPr="605CEB4F" w:rsidR="00604155">
              <w:rPr>
                <w:rFonts w:asciiTheme="minorHAnsi" w:hAnsiTheme="minorHAnsi" w:cstheme="minorBidi"/>
                <w:sz w:val="22"/>
                <w:szCs w:val="22"/>
              </w:rPr>
              <w:t xml:space="preserve">) </w:t>
            </w:r>
            <w:r w:rsidRPr="605CEB4F" w:rsidR="001F3F28">
              <w:rPr>
                <w:rFonts w:asciiTheme="minorHAnsi" w:hAnsiTheme="minorHAnsi" w:cstheme="minorBidi"/>
                <w:sz w:val="22"/>
                <w:szCs w:val="22"/>
              </w:rPr>
              <w:t xml:space="preserve">or no </w:t>
            </w:r>
            <w:r w:rsidR="004B6E26">
              <w:rPr>
                <w:rFonts w:asciiTheme="minorHAnsi" w:hAnsiTheme="minorHAnsi" w:cstheme="minorBidi"/>
                <w:sz w:val="22"/>
                <w:szCs w:val="22"/>
              </w:rPr>
              <w:t>FOP</w:t>
            </w:r>
            <w:r w:rsidR="00B81477">
              <w:rPr>
                <w:rFonts w:asciiTheme="minorHAnsi" w:hAnsiTheme="minorHAnsi" w:cstheme="minorBidi"/>
                <w:sz w:val="22"/>
                <w:szCs w:val="22"/>
              </w:rPr>
              <w:t xml:space="preserve"> </w:t>
            </w:r>
            <w:r w:rsidRPr="00B81477" w:rsidR="00B81477">
              <w:rPr>
                <w:rFonts w:asciiTheme="minorHAnsi" w:hAnsiTheme="minorHAnsi" w:cstheme="minorBidi"/>
                <w:sz w:val="22"/>
                <w:szCs w:val="22"/>
              </w:rPr>
              <w:t>label</w:t>
            </w:r>
            <w:r w:rsidRPr="605CEB4F" w:rsidR="00F76FD3">
              <w:rPr>
                <w:rFonts w:asciiTheme="minorHAnsi" w:hAnsiTheme="minorHAnsi" w:cstheme="minorBidi"/>
                <w:sz w:val="22"/>
                <w:szCs w:val="22"/>
              </w:rPr>
              <w:t>.</w:t>
            </w:r>
          </w:p>
          <w:p w:rsidR="0080237D" w:rsidRPr="00942E38" w:rsidP="00174D66" w14:paraId="6E230AC0" w14:textId="77777777">
            <w:pPr>
              <w:pStyle w:val="ListParagraph"/>
              <w:ind w:left="360"/>
              <w:rPr>
                <w:rFonts w:asciiTheme="minorHAnsi" w:hAnsiTheme="minorHAnsi" w:cstheme="minorHAnsi"/>
                <w:sz w:val="22"/>
                <w:szCs w:val="22"/>
                <w:highlight w:val="yellow"/>
              </w:rPr>
            </w:pPr>
          </w:p>
          <w:p w:rsidR="0080237D" w:rsidRPr="00942E38" w:rsidP="00174D66" w14:paraId="51604DCD" w14:textId="7739D22C">
            <w:pPr>
              <w:rPr>
                <w:rFonts w:asciiTheme="minorHAnsi" w:hAnsiTheme="minorHAnsi" w:cstheme="minorBidi"/>
                <w:sz w:val="22"/>
                <w:szCs w:val="22"/>
                <w:highlight w:val="yellow"/>
              </w:rPr>
            </w:pPr>
            <w:r w:rsidRPr="605CEB4F">
              <w:rPr>
                <w:rFonts w:asciiTheme="minorHAnsi" w:hAnsiTheme="minorHAnsi" w:cstheme="minorBidi"/>
                <w:b/>
                <w:sz w:val="22"/>
                <w:szCs w:val="22"/>
              </w:rPr>
              <w:t>Conclusion:</w:t>
            </w:r>
            <w:r w:rsidRPr="605CEB4F">
              <w:rPr>
                <w:rFonts w:asciiTheme="minorHAnsi" w:hAnsiTheme="minorHAnsi" w:cstheme="minorBidi"/>
                <w:sz w:val="22"/>
                <w:szCs w:val="22"/>
              </w:rPr>
              <w:t xml:space="preserve"> The updated literature review confirms the 2016 RTI findings. </w:t>
            </w:r>
            <w:r w:rsidRPr="605CEB4F" w:rsidR="006E5938">
              <w:rPr>
                <w:rFonts w:asciiTheme="minorHAnsi" w:hAnsiTheme="minorHAnsi" w:cstheme="minorBidi"/>
                <w:sz w:val="22"/>
                <w:szCs w:val="22"/>
              </w:rPr>
              <w:t xml:space="preserve">The adoption and implementation of a uniform </w:t>
            </w:r>
            <w:r w:rsidR="004B6E26">
              <w:rPr>
                <w:rFonts w:asciiTheme="minorHAnsi" w:hAnsiTheme="minorHAnsi" w:cstheme="minorBidi"/>
                <w:sz w:val="22"/>
                <w:szCs w:val="22"/>
              </w:rPr>
              <w:t>FOP</w:t>
            </w:r>
            <w:r w:rsidRPr="605CEB4F" w:rsidR="00B076C0">
              <w:rPr>
                <w:rFonts w:asciiTheme="minorHAnsi" w:hAnsiTheme="minorHAnsi" w:cstheme="minorBidi"/>
                <w:sz w:val="22"/>
                <w:szCs w:val="22"/>
              </w:rPr>
              <w:t xml:space="preserve"> </w:t>
            </w:r>
            <w:r w:rsidRPr="00270587" w:rsidR="007E53F1">
              <w:rPr>
                <w:rFonts w:asciiTheme="minorHAnsi" w:hAnsiTheme="minorHAnsi" w:cstheme="minorBidi"/>
                <w:sz w:val="22"/>
                <w:szCs w:val="22"/>
              </w:rPr>
              <w:t>labeli</w:t>
            </w:r>
            <w:r w:rsidRPr="00270587" w:rsidR="007E53F1">
              <w:rPr>
                <w:sz w:val="22"/>
                <w:szCs w:val="22"/>
              </w:rPr>
              <w:t>ng system</w:t>
            </w:r>
            <w:r w:rsidRPr="00270587" w:rsidR="00B076C0">
              <w:rPr>
                <w:rFonts w:asciiTheme="minorHAnsi" w:hAnsiTheme="minorHAnsi" w:cstheme="minorBidi"/>
                <w:sz w:val="22"/>
                <w:szCs w:val="22"/>
              </w:rPr>
              <w:t xml:space="preserve"> </w:t>
            </w:r>
            <w:r w:rsidRPr="605CEB4F" w:rsidR="006E5938">
              <w:rPr>
                <w:rFonts w:asciiTheme="minorHAnsi" w:hAnsiTheme="minorHAnsi" w:cstheme="minorBidi"/>
                <w:sz w:val="22"/>
                <w:szCs w:val="22"/>
              </w:rPr>
              <w:t>could be beneficial to consumers at the point of purchase</w:t>
            </w:r>
            <w:r w:rsidRPr="605CEB4F" w:rsidR="00E90C02">
              <w:rPr>
                <w:rFonts w:asciiTheme="minorHAnsi" w:hAnsiTheme="minorHAnsi" w:cstheme="minorBidi"/>
                <w:sz w:val="22"/>
                <w:szCs w:val="22"/>
              </w:rPr>
              <w:t>, help consumers better understand nutrition information</w:t>
            </w:r>
            <w:r w:rsidRPr="605CEB4F" w:rsidR="00054E1F">
              <w:rPr>
                <w:rFonts w:asciiTheme="minorHAnsi" w:hAnsiTheme="minorHAnsi" w:cstheme="minorBidi"/>
                <w:sz w:val="22"/>
                <w:szCs w:val="22"/>
              </w:rPr>
              <w:t>,</w:t>
            </w:r>
            <w:r w:rsidRPr="605CEB4F" w:rsidR="006E5938">
              <w:rPr>
                <w:rFonts w:asciiTheme="minorHAnsi" w:hAnsiTheme="minorHAnsi" w:cstheme="minorBidi"/>
                <w:sz w:val="22"/>
                <w:szCs w:val="22"/>
              </w:rPr>
              <w:t xml:space="preserve"> and </w:t>
            </w:r>
            <w:r w:rsidRPr="4C9BFAA2" w:rsidR="2FAA2D3A">
              <w:rPr>
                <w:rFonts w:asciiTheme="minorHAnsi" w:hAnsiTheme="minorHAnsi" w:cstheme="minorBidi"/>
                <w:sz w:val="22"/>
                <w:szCs w:val="22"/>
              </w:rPr>
              <w:t>therefore could</w:t>
            </w:r>
            <w:r w:rsidRPr="4C9BFAA2" w:rsidR="554279EC">
              <w:rPr>
                <w:rFonts w:asciiTheme="minorHAnsi" w:hAnsiTheme="minorHAnsi" w:cstheme="minorBidi"/>
                <w:sz w:val="22"/>
                <w:szCs w:val="22"/>
              </w:rPr>
              <w:t xml:space="preserve"> </w:t>
            </w:r>
            <w:r w:rsidRPr="4C9BFAA2" w:rsidR="0ECA65AC">
              <w:rPr>
                <w:rFonts w:asciiTheme="minorHAnsi" w:hAnsiTheme="minorHAnsi" w:cstheme="minorBidi"/>
                <w:sz w:val="22"/>
                <w:szCs w:val="22"/>
              </w:rPr>
              <w:t xml:space="preserve">help consumers </w:t>
            </w:r>
            <w:r w:rsidRPr="4C9BFAA2" w:rsidR="251CE038">
              <w:rPr>
                <w:rFonts w:asciiTheme="minorHAnsi" w:hAnsiTheme="minorHAnsi" w:cstheme="minorBidi"/>
                <w:sz w:val="22"/>
                <w:szCs w:val="22"/>
              </w:rPr>
              <w:t xml:space="preserve">improve </w:t>
            </w:r>
            <w:r w:rsidRPr="4C9BFAA2" w:rsidR="192905F2">
              <w:rPr>
                <w:rFonts w:asciiTheme="minorHAnsi" w:hAnsiTheme="minorHAnsi" w:cstheme="minorBidi"/>
                <w:sz w:val="22"/>
                <w:szCs w:val="22"/>
              </w:rPr>
              <w:t>their</w:t>
            </w:r>
            <w:r w:rsidRPr="605CEB4F" w:rsidR="00545F75">
              <w:rPr>
                <w:rFonts w:asciiTheme="minorHAnsi" w:hAnsiTheme="minorHAnsi" w:cstheme="minorBidi"/>
                <w:sz w:val="22"/>
                <w:szCs w:val="22"/>
              </w:rPr>
              <w:t xml:space="preserve"> diet quality leading to a reduction in </w:t>
            </w:r>
            <w:r w:rsidRPr="605CEB4F" w:rsidR="006E5938">
              <w:rPr>
                <w:rFonts w:asciiTheme="minorHAnsi" w:hAnsiTheme="minorHAnsi" w:cstheme="minorBidi"/>
                <w:sz w:val="22"/>
                <w:szCs w:val="22"/>
              </w:rPr>
              <w:t>the incidence of diet-related chronic diseases</w:t>
            </w:r>
            <w:r w:rsidRPr="605CEB4F" w:rsidR="00CB21FA">
              <w:rPr>
                <w:rFonts w:asciiTheme="minorHAnsi" w:hAnsiTheme="minorHAnsi" w:cstheme="minorBidi"/>
                <w:sz w:val="22"/>
                <w:szCs w:val="22"/>
              </w:rPr>
              <w:t>.</w:t>
            </w:r>
            <w:r w:rsidRPr="605CEB4F" w:rsidR="005A725D">
              <w:rPr>
                <w:rFonts w:asciiTheme="minorHAnsi" w:hAnsiTheme="minorHAnsi" w:cstheme="minorBidi"/>
                <w:sz w:val="22"/>
                <w:szCs w:val="22"/>
              </w:rPr>
              <w:t xml:space="preserve"> The updated literature review also further supports </w:t>
            </w:r>
            <w:r w:rsidR="004B6E26">
              <w:rPr>
                <w:rFonts w:asciiTheme="minorHAnsi" w:hAnsiTheme="minorHAnsi" w:cstheme="minorBidi"/>
                <w:sz w:val="22"/>
                <w:szCs w:val="22"/>
              </w:rPr>
              <w:t xml:space="preserve">the conclusions of </w:t>
            </w:r>
            <w:r w:rsidRPr="605CEB4F" w:rsidR="00985103">
              <w:rPr>
                <w:rFonts w:asciiTheme="minorHAnsi" w:hAnsiTheme="minorHAnsi" w:cstheme="minorBidi"/>
                <w:sz w:val="22"/>
                <w:szCs w:val="22"/>
              </w:rPr>
              <w:t>FDA’s previous updated literature review that</w:t>
            </w:r>
            <w:r w:rsidRPr="605CEB4F" w:rsidR="00A017C7">
              <w:rPr>
                <w:rFonts w:asciiTheme="minorHAnsi" w:hAnsiTheme="minorHAnsi" w:cstheme="minorBidi"/>
                <w:sz w:val="22"/>
                <w:szCs w:val="22"/>
              </w:rPr>
              <w:t xml:space="preserve"> </w:t>
            </w:r>
            <w:r w:rsidRPr="605CEB4F" w:rsidR="28FAD801">
              <w:rPr>
                <w:rFonts w:asciiTheme="minorHAnsi" w:hAnsiTheme="minorHAnsi" w:cstheme="minorBidi"/>
                <w:sz w:val="22"/>
                <w:szCs w:val="22"/>
              </w:rPr>
              <w:t xml:space="preserve">the summary/interpretive systems are </w:t>
            </w:r>
            <w:r w:rsidRPr="605CEB4F" w:rsidR="00A017C7">
              <w:rPr>
                <w:rFonts w:asciiTheme="minorHAnsi" w:hAnsiTheme="minorHAnsi" w:cstheme="minorBidi"/>
                <w:sz w:val="22"/>
                <w:szCs w:val="22"/>
              </w:rPr>
              <w:t xml:space="preserve">likely </w:t>
            </w:r>
            <w:r w:rsidRPr="605CEB4F" w:rsidR="55362642">
              <w:rPr>
                <w:rFonts w:asciiTheme="minorHAnsi" w:hAnsiTheme="minorHAnsi" w:cstheme="minorBidi"/>
                <w:sz w:val="22"/>
                <w:szCs w:val="22"/>
              </w:rPr>
              <w:t xml:space="preserve">to be </w:t>
            </w:r>
            <w:r w:rsidRPr="605CEB4F" w:rsidR="00A017C7">
              <w:rPr>
                <w:rFonts w:asciiTheme="minorHAnsi" w:hAnsiTheme="minorHAnsi" w:cstheme="minorBidi"/>
                <w:sz w:val="22"/>
                <w:szCs w:val="22"/>
              </w:rPr>
              <w:t xml:space="preserve">more effective </w:t>
            </w:r>
            <w:r w:rsidRPr="605CEB4F" w:rsidR="0C44C871">
              <w:rPr>
                <w:rFonts w:asciiTheme="minorHAnsi" w:hAnsiTheme="minorHAnsi" w:cstheme="minorBidi"/>
                <w:sz w:val="22"/>
                <w:szCs w:val="22"/>
              </w:rPr>
              <w:t xml:space="preserve">than </w:t>
            </w:r>
            <w:r w:rsidRPr="4C9BFAA2" w:rsidR="4FAEC0A4">
              <w:rPr>
                <w:rFonts w:asciiTheme="minorHAnsi" w:hAnsiTheme="minorHAnsi" w:cstheme="minorBidi"/>
                <w:sz w:val="22"/>
                <w:szCs w:val="22"/>
              </w:rPr>
              <w:t>purely</w:t>
            </w:r>
            <w:r w:rsidRPr="4C9BFAA2" w:rsidR="2C7B2684">
              <w:rPr>
                <w:rFonts w:asciiTheme="minorHAnsi" w:hAnsiTheme="minorHAnsi" w:cstheme="minorBidi"/>
                <w:sz w:val="22"/>
                <w:szCs w:val="22"/>
              </w:rPr>
              <w:t xml:space="preserve"> </w:t>
            </w:r>
            <w:r w:rsidRPr="605CEB4F" w:rsidR="12BF067B">
              <w:rPr>
                <w:rFonts w:asciiTheme="minorHAnsi" w:hAnsiTheme="minorHAnsi" w:cstheme="minorBidi"/>
                <w:sz w:val="22"/>
                <w:szCs w:val="22"/>
              </w:rPr>
              <w:t xml:space="preserve">informative systems </w:t>
            </w:r>
            <w:r w:rsidRPr="605CEB4F" w:rsidR="00A017C7">
              <w:rPr>
                <w:rFonts w:asciiTheme="minorHAnsi" w:hAnsiTheme="minorHAnsi" w:cstheme="minorBidi"/>
                <w:sz w:val="22"/>
                <w:szCs w:val="22"/>
              </w:rPr>
              <w:t xml:space="preserve">in helping consumers understand </w:t>
            </w:r>
            <w:r w:rsidRPr="605CEB4F" w:rsidR="005F46D0">
              <w:rPr>
                <w:rFonts w:asciiTheme="minorHAnsi" w:hAnsiTheme="minorHAnsi" w:cstheme="minorBidi"/>
                <w:sz w:val="22"/>
                <w:szCs w:val="22"/>
              </w:rPr>
              <w:t>the total nutritional quality of foods</w:t>
            </w:r>
            <w:r w:rsidRPr="605CEB4F" w:rsidR="00AC0F8F">
              <w:rPr>
                <w:rFonts w:asciiTheme="minorHAnsi" w:hAnsiTheme="minorHAnsi" w:cstheme="minorBidi"/>
                <w:sz w:val="22"/>
                <w:szCs w:val="22"/>
              </w:rPr>
              <w:t>.</w:t>
            </w:r>
          </w:p>
        </w:tc>
      </w:tr>
      <w:tr w14:paraId="69A14B96" w14:textId="77777777" w:rsidTr="1D57B863">
        <w:tblPrEx>
          <w:tblW w:w="0" w:type="auto"/>
          <w:tblInd w:w="-5" w:type="dxa"/>
          <w:tblLook w:val="04A0"/>
        </w:tblPrEx>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37D" w:rsidP="00174D66" w14:paraId="6458B35A" w14:textId="77777777">
            <w:pPr>
              <w:rPr>
                <w:b/>
                <w:sz w:val="24"/>
                <w:szCs w:val="24"/>
              </w:rPr>
            </w:pPr>
          </w:p>
          <w:p w:rsidR="0080237D" w:rsidRPr="00733627" w:rsidP="00174D66" w14:paraId="39E56088" w14:textId="2EFDBB13">
            <w:pPr>
              <w:rPr>
                <w:b/>
                <w:sz w:val="24"/>
                <w:szCs w:val="24"/>
              </w:rPr>
            </w:pPr>
            <w:r>
              <w:rPr>
                <w:b/>
                <w:sz w:val="24"/>
                <w:szCs w:val="24"/>
              </w:rPr>
              <w:t>Effects on Use &amp; Likely Purchase Behavior</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37D" w:rsidRPr="00942E38" w:rsidP="001273F9" w14:paraId="2FB51D45" w14:textId="3A1FAC87">
            <w:pPr>
              <w:pStyle w:val="ListParagraph"/>
              <w:numPr>
                <w:ilvl w:val="0"/>
                <w:numId w:val="4"/>
              </w:numPr>
              <w:rPr>
                <w:rFonts w:asciiTheme="minorHAnsi" w:hAnsiTheme="minorHAnsi" w:cstheme="minorBidi"/>
                <w:sz w:val="22"/>
                <w:szCs w:val="22"/>
              </w:rPr>
            </w:pPr>
            <w:r w:rsidRPr="68D4329B">
              <w:rPr>
                <w:rFonts w:asciiTheme="minorHAnsi" w:hAnsiTheme="minorHAnsi" w:cstheme="minorBidi"/>
                <w:sz w:val="22"/>
                <w:szCs w:val="22"/>
              </w:rPr>
              <w:t xml:space="preserve">Our review identified </w:t>
            </w:r>
            <w:r w:rsidRPr="68D4329B" w:rsidR="0005093D">
              <w:rPr>
                <w:rFonts w:asciiTheme="minorHAnsi" w:hAnsiTheme="minorHAnsi" w:cstheme="minorBidi"/>
                <w:sz w:val="22"/>
                <w:szCs w:val="22"/>
              </w:rPr>
              <w:t>20</w:t>
            </w:r>
            <w:r w:rsidRPr="68D4329B">
              <w:rPr>
                <w:rFonts w:asciiTheme="minorHAnsi" w:hAnsiTheme="minorHAnsi" w:cstheme="minorBidi"/>
                <w:sz w:val="22"/>
                <w:szCs w:val="22"/>
              </w:rPr>
              <w:t xml:space="preserve"> studies in this category, </w:t>
            </w:r>
            <w:r w:rsidRPr="68D4329B" w:rsidR="56F40563">
              <w:rPr>
                <w:rFonts w:asciiTheme="minorHAnsi" w:hAnsiTheme="minorHAnsi" w:cstheme="minorBidi"/>
                <w:sz w:val="22"/>
                <w:szCs w:val="22"/>
              </w:rPr>
              <w:t>including</w:t>
            </w:r>
            <w:r w:rsidRPr="68D4329B">
              <w:rPr>
                <w:rFonts w:asciiTheme="minorHAnsi" w:hAnsiTheme="minorHAnsi" w:cstheme="minorBidi"/>
                <w:sz w:val="22"/>
                <w:szCs w:val="22"/>
              </w:rPr>
              <w:t xml:space="preserve"> 1</w:t>
            </w:r>
            <w:r w:rsidRPr="68D4329B" w:rsidR="002A318A">
              <w:rPr>
                <w:rFonts w:asciiTheme="minorHAnsi" w:hAnsiTheme="minorHAnsi" w:cstheme="minorBidi"/>
                <w:sz w:val="22"/>
                <w:szCs w:val="22"/>
              </w:rPr>
              <w:t>0</w:t>
            </w:r>
            <w:r w:rsidRPr="68D4329B">
              <w:rPr>
                <w:rFonts w:asciiTheme="minorHAnsi" w:hAnsiTheme="minorHAnsi" w:cstheme="minorBidi"/>
                <w:sz w:val="22"/>
                <w:szCs w:val="22"/>
              </w:rPr>
              <w:t xml:space="preserve"> experimental studies, </w:t>
            </w:r>
            <w:r w:rsidRPr="68D4329B" w:rsidR="001945CE">
              <w:rPr>
                <w:rFonts w:asciiTheme="minorHAnsi" w:hAnsiTheme="minorHAnsi" w:cstheme="minorBidi"/>
                <w:sz w:val="22"/>
                <w:szCs w:val="22"/>
              </w:rPr>
              <w:t xml:space="preserve">six surveys, </w:t>
            </w:r>
            <w:r w:rsidRPr="68D4329B" w:rsidR="00C93041">
              <w:rPr>
                <w:rFonts w:asciiTheme="minorHAnsi" w:hAnsiTheme="minorHAnsi" w:cstheme="minorBidi"/>
                <w:sz w:val="22"/>
                <w:szCs w:val="22"/>
              </w:rPr>
              <w:t>three systematic reviews</w:t>
            </w:r>
            <w:r w:rsidRPr="68D4329B" w:rsidR="0005093D">
              <w:rPr>
                <w:rFonts w:asciiTheme="minorHAnsi" w:hAnsiTheme="minorHAnsi" w:cstheme="minorBidi"/>
                <w:sz w:val="22"/>
                <w:szCs w:val="22"/>
              </w:rPr>
              <w:t>, and one narrative review</w:t>
            </w:r>
            <w:r w:rsidRPr="68D4329B" w:rsidR="00C93041">
              <w:rPr>
                <w:rFonts w:asciiTheme="minorHAnsi" w:hAnsiTheme="minorHAnsi" w:cstheme="minorBidi"/>
                <w:sz w:val="22"/>
                <w:szCs w:val="22"/>
              </w:rPr>
              <w:t>.</w:t>
            </w:r>
          </w:p>
          <w:p w:rsidR="0080237D" w:rsidRPr="00942E38" w:rsidP="001273F9" w14:paraId="5230AE11" w14:textId="356842CB">
            <w:pPr>
              <w:pStyle w:val="ListParagraph"/>
              <w:numPr>
                <w:ilvl w:val="0"/>
                <w:numId w:val="4"/>
              </w:numPr>
              <w:rPr>
                <w:rFonts w:asciiTheme="minorHAnsi" w:hAnsiTheme="minorHAnsi" w:cstheme="minorHAnsi"/>
                <w:sz w:val="22"/>
                <w:szCs w:val="22"/>
              </w:rPr>
            </w:pPr>
            <w:r w:rsidRPr="00942E38">
              <w:rPr>
                <w:rFonts w:asciiTheme="minorHAnsi" w:hAnsiTheme="minorHAnsi" w:cstheme="minorHAnsi"/>
                <w:sz w:val="22"/>
                <w:szCs w:val="22"/>
              </w:rPr>
              <w:t>These studies were conducted in</w:t>
            </w:r>
            <w:r w:rsidRPr="00942E38" w:rsidR="00D4595A">
              <w:rPr>
                <w:rFonts w:asciiTheme="minorHAnsi" w:hAnsiTheme="minorHAnsi" w:cstheme="minorHAnsi"/>
                <w:sz w:val="22"/>
                <w:szCs w:val="22"/>
              </w:rPr>
              <w:t xml:space="preserve"> Australia, Belgium, Canada, Chile, France, Israel, </w:t>
            </w:r>
            <w:r w:rsidRPr="00942E38" w:rsidR="00C274D2">
              <w:rPr>
                <w:rFonts w:asciiTheme="minorHAnsi" w:hAnsiTheme="minorHAnsi" w:cstheme="minorHAnsi"/>
                <w:sz w:val="22"/>
                <w:szCs w:val="22"/>
              </w:rPr>
              <w:t xml:space="preserve">Morocco, Peru, Portugal, UK, </w:t>
            </w:r>
            <w:r w:rsidRPr="00942E38" w:rsidR="003E7ACE">
              <w:rPr>
                <w:rFonts w:asciiTheme="minorHAnsi" w:hAnsiTheme="minorHAnsi" w:cstheme="minorHAnsi"/>
                <w:sz w:val="22"/>
                <w:szCs w:val="22"/>
              </w:rPr>
              <w:t>Uruguay,</w:t>
            </w:r>
            <w:r w:rsidRPr="00942E38" w:rsidR="00C274D2">
              <w:rPr>
                <w:rFonts w:asciiTheme="minorHAnsi" w:hAnsiTheme="minorHAnsi" w:cstheme="minorHAnsi"/>
                <w:sz w:val="22"/>
                <w:szCs w:val="22"/>
              </w:rPr>
              <w:t xml:space="preserve"> and the United States.</w:t>
            </w:r>
            <w:r w:rsidRPr="00942E38">
              <w:rPr>
                <w:rFonts w:asciiTheme="minorHAnsi" w:hAnsiTheme="minorHAnsi" w:cstheme="minorHAnsi"/>
                <w:sz w:val="22"/>
                <w:szCs w:val="22"/>
              </w:rPr>
              <w:t xml:space="preserve"> </w:t>
            </w:r>
            <w:r w:rsidRPr="00942E38" w:rsidR="0005093D">
              <w:rPr>
                <w:rFonts w:asciiTheme="minorHAnsi" w:hAnsiTheme="minorHAnsi" w:cstheme="minorHAnsi"/>
                <w:sz w:val="22"/>
                <w:szCs w:val="22"/>
              </w:rPr>
              <w:t>Four of these studies</w:t>
            </w:r>
            <w:r w:rsidR="00773FFA">
              <w:rPr>
                <w:rFonts w:asciiTheme="minorHAnsi" w:hAnsiTheme="minorHAnsi" w:cstheme="minorHAnsi"/>
                <w:sz w:val="22"/>
                <w:szCs w:val="22"/>
              </w:rPr>
              <w:t xml:space="preserve"> </w:t>
            </w:r>
            <w:r w:rsidR="00773FFA">
              <w:rPr>
                <w:rFonts w:asciiTheme="minorHAnsi" w:hAnsiTheme="minorHAnsi" w:cstheme="minorBidi"/>
                <w:sz w:val="22"/>
                <w:szCs w:val="22"/>
              </w:rPr>
              <w:t>assessed findings across several countries</w:t>
            </w:r>
            <w:r w:rsidRPr="00942E38" w:rsidR="0005093D">
              <w:rPr>
                <w:rFonts w:asciiTheme="minorHAnsi" w:hAnsiTheme="minorHAnsi" w:cstheme="minorHAnsi"/>
                <w:sz w:val="22"/>
                <w:szCs w:val="22"/>
              </w:rPr>
              <w:t>.</w:t>
            </w:r>
          </w:p>
          <w:p w:rsidR="001273F9" w:rsidRPr="00DB351C" w:rsidP="001273F9" w14:paraId="1577A424" w14:textId="725A6602">
            <w:pPr>
              <w:pStyle w:val="ListParagraph"/>
              <w:numPr>
                <w:ilvl w:val="0"/>
                <w:numId w:val="4"/>
              </w:numPr>
              <w:rPr>
                <w:rFonts w:asciiTheme="minorHAnsi" w:hAnsiTheme="minorHAnsi" w:cstheme="minorHAnsi"/>
                <w:sz w:val="22"/>
                <w:szCs w:val="22"/>
              </w:rPr>
            </w:pPr>
            <w:r w:rsidRPr="00942E38">
              <w:rPr>
                <w:rFonts w:asciiTheme="minorHAnsi" w:hAnsiTheme="minorHAnsi" w:cstheme="minorHAnsi"/>
                <w:sz w:val="22"/>
                <w:szCs w:val="22"/>
              </w:rPr>
              <w:t xml:space="preserve">Multiple </w:t>
            </w:r>
            <w:r w:rsidR="004B6E26">
              <w:rPr>
                <w:rFonts w:asciiTheme="minorHAnsi" w:hAnsiTheme="minorHAnsi" w:cstheme="minorHAnsi"/>
                <w:sz w:val="22"/>
                <w:szCs w:val="22"/>
              </w:rPr>
              <w:t>FOP</w:t>
            </w:r>
            <w:r w:rsidRPr="00942E38">
              <w:rPr>
                <w:rFonts w:asciiTheme="minorHAnsi" w:hAnsiTheme="minorHAnsi" w:cstheme="minorHAnsi"/>
                <w:sz w:val="22"/>
                <w:szCs w:val="22"/>
              </w:rPr>
              <w:t xml:space="preserve"> </w:t>
            </w:r>
            <w:r w:rsidR="00555D16">
              <w:rPr>
                <w:rFonts w:asciiTheme="minorHAnsi" w:hAnsiTheme="minorHAnsi" w:cstheme="minorHAnsi"/>
                <w:sz w:val="22"/>
                <w:szCs w:val="22"/>
              </w:rPr>
              <w:t>l</w:t>
            </w:r>
            <w:r w:rsidRPr="00555D16" w:rsidR="00555D16">
              <w:rPr>
                <w:rFonts w:asciiTheme="minorHAnsi" w:hAnsiTheme="minorHAnsi" w:cstheme="minorHAnsi"/>
                <w:sz w:val="22"/>
                <w:szCs w:val="22"/>
              </w:rPr>
              <w:t>abeling</w:t>
            </w:r>
            <w:r>
              <w:rPr>
                <w:rFonts w:cstheme="minorHAnsi"/>
              </w:rPr>
              <w:t xml:space="preserve"> </w:t>
            </w:r>
            <w:r w:rsidRPr="00942E38">
              <w:rPr>
                <w:rFonts w:asciiTheme="minorHAnsi" w:hAnsiTheme="minorHAnsi" w:cstheme="minorHAnsi"/>
                <w:sz w:val="22"/>
                <w:szCs w:val="22"/>
              </w:rPr>
              <w:t xml:space="preserve">systems were examined in the identified studies, </w:t>
            </w:r>
            <w:r w:rsidRPr="00942E38" w:rsidR="00142626">
              <w:rPr>
                <w:rFonts w:asciiTheme="minorHAnsi" w:hAnsiTheme="minorHAnsi" w:cstheme="minorHAnsi"/>
                <w:sz w:val="22"/>
                <w:szCs w:val="22"/>
              </w:rPr>
              <w:t>including</w:t>
            </w:r>
            <w:r w:rsidRPr="00942E38">
              <w:rPr>
                <w:rFonts w:asciiTheme="minorHAnsi" w:hAnsiTheme="minorHAnsi" w:cstheme="minorHAnsi"/>
                <w:sz w:val="22"/>
                <w:szCs w:val="22"/>
              </w:rPr>
              <w:t xml:space="preserve"> </w:t>
            </w:r>
            <w:r w:rsidRPr="553E34CD" w:rsidR="008B7A1E">
              <w:rPr>
                <w:rFonts w:asciiTheme="minorHAnsi" w:hAnsiTheme="minorHAnsi" w:cstheme="minorBidi"/>
                <w:sz w:val="22"/>
                <w:szCs w:val="22"/>
              </w:rPr>
              <w:t>M</w:t>
            </w:r>
            <w:r w:rsidR="008B7A1E">
              <w:rPr>
                <w:rFonts w:asciiTheme="minorHAnsi" w:hAnsiTheme="minorHAnsi" w:cstheme="minorBidi"/>
                <w:sz w:val="22"/>
                <w:szCs w:val="22"/>
              </w:rPr>
              <w:t>ultiple Traffic Light symbols</w:t>
            </w:r>
            <w:r w:rsidRPr="00942E38">
              <w:rPr>
                <w:rFonts w:asciiTheme="minorHAnsi" w:hAnsiTheme="minorHAnsi" w:cstheme="minorHAnsi"/>
                <w:sz w:val="22"/>
                <w:szCs w:val="22"/>
              </w:rPr>
              <w:t xml:space="preserve">, </w:t>
            </w:r>
            <w:r w:rsidR="004B6E26">
              <w:rPr>
                <w:rFonts w:asciiTheme="minorHAnsi" w:hAnsiTheme="minorHAnsi" w:cstheme="minorHAnsi"/>
                <w:sz w:val="22"/>
                <w:szCs w:val="22"/>
              </w:rPr>
              <w:t>Nutri-Score</w:t>
            </w:r>
            <w:r w:rsidRPr="00942E38">
              <w:rPr>
                <w:rFonts w:asciiTheme="minorHAnsi" w:hAnsiTheme="minorHAnsi" w:cstheme="minorHAnsi"/>
                <w:sz w:val="22"/>
                <w:szCs w:val="22"/>
              </w:rPr>
              <w:t xml:space="preserve">, Health Star Rating, </w:t>
            </w:r>
            <w:r w:rsidRPr="00942E38" w:rsidR="00295680">
              <w:rPr>
                <w:rFonts w:asciiTheme="minorHAnsi" w:hAnsiTheme="minorHAnsi" w:cstheme="minorHAnsi"/>
                <w:sz w:val="22"/>
                <w:szCs w:val="22"/>
              </w:rPr>
              <w:t xml:space="preserve">Guidance </w:t>
            </w:r>
            <w:r w:rsidRPr="00DB351C" w:rsidR="00295680">
              <w:rPr>
                <w:rFonts w:asciiTheme="minorHAnsi" w:hAnsiTheme="minorHAnsi" w:cstheme="minorHAnsi"/>
                <w:sz w:val="22"/>
                <w:szCs w:val="22"/>
              </w:rPr>
              <w:t xml:space="preserve">Daily Amounts, </w:t>
            </w:r>
            <w:r w:rsidRPr="00DB351C">
              <w:rPr>
                <w:rFonts w:asciiTheme="minorHAnsi" w:hAnsiTheme="minorHAnsi" w:cstheme="minorHAnsi"/>
                <w:sz w:val="22"/>
                <w:szCs w:val="22"/>
              </w:rPr>
              <w:t xml:space="preserve">Warning Labels, Reference Intake, and logos.  </w:t>
            </w:r>
          </w:p>
          <w:p w:rsidR="00246E89" w:rsidRPr="00DB351C" w:rsidP="00DB351C" w14:paraId="3F46D602" w14:textId="71E6E342">
            <w:pPr>
              <w:pStyle w:val="ListParagraph"/>
              <w:numPr>
                <w:ilvl w:val="0"/>
                <w:numId w:val="4"/>
              </w:numPr>
              <w:rPr>
                <w:rFonts w:asciiTheme="minorHAnsi" w:hAnsiTheme="minorHAnsi" w:cstheme="minorBidi"/>
                <w:sz w:val="22"/>
                <w:szCs w:val="22"/>
              </w:rPr>
            </w:pPr>
            <w:r w:rsidRPr="68D4329B">
              <w:rPr>
                <w:rFonts w:asciiTheme="minorHAnsi" w:hAnsiTheme="minorHAnsi" w:cstheme="minorBidi"/>
                <w:sz w:val="22"/>
                <w:szCs w:val="22"/>
              </w:rPr>
              <w:t>These s</w:t>
            </w:r>
            <w:r w:rsidRPr="68D4329B" w:rsidR="00DD53C3">
              <w:rPr>
                <w:rFonts w:asciiTheme="minorHAnsi" w:hAnsiTheme="minorHAnsi" w:cstheme="minorBidi"/>
                <w:sz w:val="22"/>
                <w:szCs w:val="22"/>
              </w:rPr>
              <w:t xml:space="preserve">tudies </w:t>
            </w:r>
            <w:r w:rsidRPr="68D4329B" w:rsidR="00D91DA3">
              <w:rPr>
                <w:rFonts w:asciiTheme="minorHAnsi" w:hAnsiTheme="minorHAnsi" w:cstheme="minorBidi"/>
                <w:sz w:val="22"/>
                <w:szCs w:val="22"/>
              </w:rPr>
              <w:t>found</w:t>
            </w:r>
            <w:r w:rsidRPr="68D4329B" w:rsidR="00DD53C3">
              <w:rPr>
                <w:rFonts w:asciiTheme="minorHAnsi" w:hAnsiTheme="minorHAnsi" w:cstheme="minorBidi"/>
                <w:sz w:val="22"/>
                <w:szCs w:val="22"/>
              </w:rPr>
              <w:t xml:space="preserve"> that</w:t>
            </w:r>
            <w:r w:rsidR="00D43BBD">
              <w:rPr>
                <w:rFonts w:asciiTheme="minorHAnsi" w:hAnsiTheme="minorHAnsi" w:cstheme="minorBidi"/>
                <w:sz w:val="22"/>
                <w:szCs w:val="22"/>
              </w:rPr>
              <w:t>,</w:t>
            </w:r>
            <w:r w:rsidRPr="68D4329B" w:rsidR="00DD53C3">
              <w:rPr>
                <w:rFonts w:asciiTheme="minorHAnsi" w:hAnsiTheme="minorHAnsi" w:cstheme="minorBidi"/>
                <w:sz w:val="22"/>
                <w:szCs w:val="22"/>
              </w:rPr>
              <w:t xml:space="preserve"> compared to </w:t>
            </w:r>
            <w:r w:rsidRPr="68D4329B">
              <w:rPr>
                <w:rFonts w:asciiTheme="minorHAnsi" w:hAnsiTheme="minorHAnsi" w:cstheme="minorBidi"/>
                <w:sz w:val="22"/>
                <w:szCs w:val="22"/>
              </w:rPr>
              <w:t xml:space="preserve">the </w:t>
            </w:r>
            <w:r w:rsidRPr="68D4329B" w:rsidR="00DD53C3">
              <w:rPr>
                <w:rFonts w:asciiTheme="minorHAnsi" w:hAnsiTheme="minorHAnsi" w:cstheme="minorBidi"/>
                <w:sz w:val="22"/>
                <w:szCs w:val="22"/>
              </w:rPr>
              <w:t>control</w:t>
            </w:r>
            <w:r w:rsidRPr="68D4329B" w:rsidR="00634F63">
              <w:rPr>
                <w:rFonts w:asciiTheme="minorHAnsi" w:hAnsiTheme="minorHAnsi" w:cstheme="minorBidi"/>
                <w:sz w:val="22"/>
                <w:szCs w:val="22"/>
              </w:rPr>
              <w:t xml:space="preserve"> with </w:t>
            </w:r>
            <w:r w:rsidRPr="68D4329B" w:rsidR="0011266D">
              <w:rPr>
                <w:rFonts w:asciiTheme="minorHAnsi" w:hAnsiTheme="minorHAnsi" w:cstheme="minorBidi"/>
                <w:sz w:val="22"/>
                <w:szCs w:val="22"/>
              </w:rPr>
              <w:t>no-interpretive-label</w:t>
            </w:r>
            <w:r w:rsidRPr="68D4329B" w:rsidR="00DD53C3">
              <w:rPr>
                <w:rFonts w:asciiTheme="minorHAnsi" w:hAnsiTheme="minorHAnsi" w:cstheme="minorBidi"/>
                <w:sz w:val="22"/>
                <w:szCs w:val="22"/>
              </w:rPr>
              <w:t xml:space="preserve">, </w:t>
            </w:r>
            <w:r w:rsidR="004B6E26">
              <w:rPr>
                <w:rFonts w:asciiTheme="minorHAnsi" w:hAnsiTheme="minorHAnsi" w:cstheme="minorBidi"/>
                <w:sz w:val="22"/>
                <w:szCs w:val="22"/>
              </w:rPr>
              <w:t>FOP</w:t>
            </w:r>
            <w:r w:rsidR="001C47E6">
              <w:rPr>
                <w:rFonts w:asciiTheme="minorHAnsi" w:hAnsiTheme="minorHAnsi" w:cstheme="minorBidi"/>
                <w:sz w:val="22"/>
                <w:szCs w:val="22"/>
              </w:rPr>
              <w:t xml:space="preserve"> </w:t>
            </w:r>
            <w:r w:rsidRPr="00B81477" w:rsidR="001C47E6">
              <w:rPr>
                <w:rFonts w:asciiTheme="minorHAnsi" w:hAnsiTheme="minorHAnsi" w:cstheme="minorBidi"/>
                <w:sz w:val="22"/>
                <w:szCs w:val="22"/>
              </w:rPr>
              <w:t>label</w:t>
            </w:r>
            <w:r w:rsidRPr="68D4329B" w:rsidR="00DD53C3">
              <w:rPr>
                <w:rFonts w:asciiTheme="minorHAnsi" w:hAnsiTheme="minorHAnsi" w:cstheme="minorBidi"/>
                <w:sz w:val="22"/>
                <w:szCs w:val="22"/>
              </w:rPr>
              <w:t xml:space="preserve">s </w:t>
            </w:r>
            <w:r w:rsidRPr="68D4329B" w:rsidR="460F98DE">
              <w:rPr>
                <w:rFonts w:asciiTheme="minorHAnsi" w:hAnsiTheme="minorHAnsi" w:cstheme="minorBidi"/>
                <w:sz w:val="22"/>
                <w:szCs w:val="22"/>
              </w:rPr>
              <w:t xml:space="preserve">were </w:t>
            </w:r>
            <w:r w:rsidRPr="68D4329B" w:rsidR="00112912">
              <w:rPr>
                <w:rFonts w:asciiTheme="minorHAnsi" w:hAnsiTheme="minorHAnsi" w:cstheme="minorBidi"/>
                <w:sz w:val="22"/>
                <w:szCs w:val="22"/>
              </w:rPr>
              <w:t>effective</w:t>
            </w:r>
            <w:r w:rsidRPr="68D4329B" w:rsidR="007405AE">
              <w:rPr>
                <w:rFonts w:asciiTheme="minorHAnsi" w:hAnsiTheme="minorHAnsi" w:cstheme="minorBidi"/>
                <w:sz w:val="22"/>
                <w:szCs w:val="22"/>
              </w:rPr>
              <w:t xml:space="preserve"> tools that help</w:t>
            </w:r>
            <w:r w:rsidRPr="68D4329B" w:rsidR="7AF12864">
              <w:rPr>
                <w:rFonts w:asciiTheme="minorHAnsi" w:hAnsiTheme="minorHAnsi" w:cstheme="minorBidi"/>
                <w:sz w:val="22"/>
                <w:szCs w:val="22"/>
              </w:rPr>
              <w:t>ed</w:t>
            </w:r>
            <w:r w:rsidRPr="68D4329B" w:rsidR="007405AE">
              <w:rPr>
                <w:rFonts w:asciiTheme="minorHAnsi" w:hAnsiTheme="minorHAnsi" w:cstheme="minorBidi"/>
                <w:sz w:val="22"/>
                <w:szCs w:val="22"/>
              </w:rPr>
              <w:t xml:space="preserve"> consumers </w:t>
            </w:r>
            <w:r w:rsidRPr="68D4329B" w:rsidR="006408C2">
              <w:rPr>
                <w:rFonts w:asciiTheme="minorHAnsi" w:hAnsiTheme="minorHAnsi" w:cstheme="minorBidi"/>
                <w:sz w:val="22"/>
                <w:szCs w:val="22"/>
              </w:rPr>
              <w:t xml:space="preserve">identify </w:t>
            </w:r>
            <w:r w:rsidRPr="68D4329B" w:rsidR="007405AE">
              <w:rPr>
                <w:rFonts w:asciiTheme="minorHAnsi" w:hAnsiTheme="minorHAnsi" w:cstheme="minorBidi"/>
                <w:sz w:val="22"/>
                <w:szCs w:val="22"/>
              </w:rPr>
              <w:t xml:space="preserve">healthier food </w:t>
            </w:r>
            <w:r w:rsidRPr="68D4329B" w:rsidR="00172960">
              <w:rPr>
                <w:rFonts w:asciiTheme="minorHAnsi" w:hAnsiTheme="minorHAnsi" w:cstheme="minorBidi"/>
                <w:sz w:val="22"/>
                <w:szCs w:val="22"/>
              </w:rPr>
              <w:t>choices.</w:t>
            </w:r>
            <w:r w:rsidRPr="68D4329B" w:rsidR="007405AE">
              <w:rPr>
                <w:rFonts w:asciiTheme="minorHAnsi" w:hAnsiTheme="minorHAnsi" w:cstheme="minorBidi"/>
                <w:sz w:val="22"/>
                <w:szCs w:val="22"/>
              </w:rPr>
              <w:t xml:space="preserve"> </w:t>
            </w:r>
            <w:r w:rsidRPr="68D4329B" w:rsidR="00112912">
              <w:rPr>
                <w:rFonts w:asciiTheme="minorHAnsi" w:hAnsiTheme="minorHAnsi" w:cstheme="minorBidi"/>
                <w:sz w:val="22"/>
                <w:szCs w:val="22"/>
              </w:rPr>
              <w:t xml:space="preserve"> </w:t>
            </w:r>
            <w:r w:rsidRPr="68D4329B" w:rsidR="00DB351C">
              <w:rPr>
                <w:rFonts w:asciiTheme="minorHAnsi" w:hAnsiTheme="minorHAnsi" w:cstheme="minorBidi"/>
                <w:sz w:val="22"/>
                <w:szCs w:val="22"/>
              </w:rPr>
              <w:t xml:space="preserve">The most effective labels were the </w:t>
            </w:r>
            <w:r w:rsidR="004B6E26">
              <w:rPr>
                <w:rFonts w:asciiTheme="minorHAnsi" w:hAnsiTheme="minorHAnsi" w:cstheme="minorBidi"/>
                <w:sz w:val="22"/>
                <w:szCs w:val="22"/>
              </w:rPr>
              <w:t>Nutri-Score</w:t>
            </w:r>
            <w:r w:rsidRPr="68D4329B" w:rsidR="00DB351C">
              <w:rPr>
                <w:rFonts w:asciiTheme="minorHAnsi" w:hAnsiTheme="minorHAnsi" w:cstheme="minorBidi"/>
                <w:sz w:val="22"/>
                <w:szCs w:val="22"/>
              </w:rPr>
              <w:t xml:space="preserve"> and the </w:t>
            </w:r>
            <w:r w:rsidRPr="553E34CD" w:rsidR="008B7A1E">
              <w:rPr>
                <w:rFonts w:asciiTheme="minorHAnsi" w:hAnsiTheme="minorHAnsi" w:cstheme="minorBidi"/>
                <w:sz w:val="22"/>
                <w:szCs w:val="22"/>
              </w:rPr>
              <w:t>M</w:t>
            </w:r>
            <w:r w:rsidR="008B7A1E">
              <w:rPr>
                <w:rFonts w:asciiTheme="minorHAnsi" w:hAnsiTheme="minorHAnsi" w:cstheme="minorBidi"/>
                <w:sz w:val="22"/>
                <w:szCs w:val="22"/>
              </w:rPr>
              <w:t>ultiple Traffic Light symbols</w:t>
            </w:r>
            <w:r w:rsidRPr="68D4329B" w:rsidR="00DB351C">
              <w:rPr>
                <w:rFonts w:asciiTheme="minorHAnsi" w:hAnsiTheme="minorHAnsi" w:cstheme="minorBidi"/>
                <w:sz w:val="22"/>
                <w:szCs w:val="22"/>
              </w:rPr>
              <w:t xml:space="preserve">, </w:t>
            </w:r>
            <w:r w:rsidRPr="68D4329B" w:rsidR="75CB0D5B">
              <w:rPr>
                <w:rFonts w:asciiTheme="minorHAnsi" w:hAnsiTheme="minorHAnsi" w:cstheme="minorBidi"/>
                <w:sz w:val="22"/>
                <w:szCs w:val="22"/>
              </w:rPr>
              <w:t xml:space="preserve">followed by </w:t>
            </w:r>
            <w:r w:rsidRPr="68D4329B" w:rsidR="00DB351C">
              <w:rPr>
                <w:rFonts w:asciiTheme="minorHAnsi" w:hAnsiTheme="minorHAnsi" w:cstheme="minorBidi"/>
                <w:sz w:val="22"/>
                <w:szCs w:val="22"/>
              </w:rPr>
              <w:t>the Warning Label,</w:t>
            </w:r>
            <w:r w:rsidRPr="68D4329B" w:rsidR="7803C12F">
              <w:rPr>
                <w:rFonts w:asciiTheme="minorHAnsi" w:hAnsiTheme="minorHAnsi" w:cstheme="minorBidi"/>
                <w:sz w:val="22"/>
                <w:szCs w:val="22"/>
              </w:rPr>
              <w:t xml:space="preserve"> </w:t>
            </w:r>
            <w:r w:rsidRPr="68D4329B" w:rsidR="00DB351C">
              <w:rPr>
                <w:rFonts w:asciiTheme="minorHAnsi" w:hAnsiTheme="minorHAnsi" w:cstheme="minorBidi"/>
                <w:sz w:val="22"/>
                <w:szCs w:val="22"/>
              </w:rPr>
              <w:t xml:space="preserve">the </w:t>
            </w:r>
            <w:r w:rsidRPr="553E34CD" w:rsidR="004B6E26">
              <w:rPr>
                <w:rFonts w:asciiTheme="minorHAnsi" w:hAnsiTheme="minorHAnsi" w:cstheme="minorBidi"/>
                <w:sz w:val="22"/>
                <w:szCs w:val="22"/>
              </w:rPr>
              <w:t>Health Star Rating</w:t>
            </w:r>
            <w:r w:rsidRPr="68D4329B" w:rsidR="00DB351C">
              <w:rPr>
                <w:rFonts w:asciiTheme="minorHAnsi" w:hAnsiTheme="minorHAnsi" w:cstheme="minorBidi"/>
                <w:sz w:val="22"/>
                <w:szCs w:val="22"/>
              </w:rPr>
              <w:t>, and lastly the Reference Intakes (Talati</w:t>
            </w:r>
            <w:r w:rsidRPr="68D4329B" w:rsidR="004031C1">
              <w:rPr>
                <w:rFonts w:asciiTheme="minorHAnsi" w:hAnsiTheme="minorHAnsi" w:cstheme="minorBidi"/>
                <w:sz w:val="22"/>
                <w:szCs w:val="22"/>
              </w:rPr>
              <w:t>, 2019).</w:t>
            </w:r>
          </w:p>
          <w:p w:rsidR="00560E98" w:rsidRPr="00942E38" w:rsidP="0085111E" w14:paraId="5D600698" w14:textId="136D3B89">
            <w:pPr>
              <w:pStyle w:val="ListParagraph"/>
              <w:numPr>
                <w:ilvl w:val="0"/>
                <w:numId w:val="4"/>
              </w:numPr>
              <w:rPr>
                <w:rFonts w:asciiTheme="minorHAnsi" w:hAnsiTheme="minorHAnsi" w:cstheme="minorBidi"/>
                <w:sz w:val="22"/>
                <w:szCs w:val="22"/>
              </w:rPr>
            </w:pPr>
            <w:r w:rsidRPr="68D4329B">
              <w:rPr>
                <w:rFonts w:asciiTheme="minorHAnsi" w:hAnsiTheme="minorHAnsi" w:cstheme="minorBidi"/>
                <w:sz w:val="22"/>
                <w:szCs w:val="22"/>
              </w:rPr>
              <w:t xml:space="preserve">However, there </w:t>
            </w:r>
            <w:r w:rsidRPr="68D4329B" w:rsidR="23FFF1EA">
              <w:rPr>
                <w:rFonts w:asciiTheme="minorHAnsi" w:hAnsiTheme="minorHAnsi" w:cstheme="minorBidi"/>
                <w:sz w:val="22"/>
                <w:szCs w:val="22"/>
              </w:rPr>
              <w:t>was</w:t>
            </w:r>
            <w:r w:rsidRPr="68D4329B">
              <w:rPr>
                <w:rFonts w:asciiTheme="minorHAnsi" w:hAnsiTheme="minorHAnsi" w:cstheme="minorBidi"/>
                <w:sz w:val="22"/>
                <w:szCs w:val="22"/>
              </w:rPr>
              <w:t xml:space="preserve"> no robust evidence of superiority of a specific </w:t>
            </w:r>
            <w:r w:rsidR="004B6E26">
              <w:rPr>
                <w:rFonts w:asciiTheme="minorHAnsi" w:hAnsiTheme="minorHAnsi" w:cstheme="minorBidi"/>
                <w:sz w:val="22"/>
                <w:szCs w:val="22"/>
              </w:rPr>
              <w:t>FOP</w:t>
            </w:r>
            <w:r w:rsidRPr="68D4329B">
              <w:rPr>
                <w:rFonts w:asciiTheme="minorHAnsi" w:hAnsiTheme="minorHAnsi" w:cstheme="minorBidi"/>
                <w:sz w:val="22"/>
                <w:szCs w:val="22"/>
              </w:rPr>
              <w:t xml:space="preserve"> scheme’s effect, either on consumers’ understanding of nutritional content or on food choices</w:t>
            </w:r>
            <w:r w:rsidR="004B6E26">
              <w:rPr>
                <w:rFonts w:asciiTheme="minorHAnsi" w:hAnsiTheme="minorHAnsi" w:cstheme="minorBidi"/>
                <w:sz w:val="22"/>
                <w:szCs w:val="22"/>
              </w:rPr>
              <w:t>.</w:t>
            </w:r>
          </w:p>
          <w:p w:rsidR="00EB670C" w:rsidRPr="00942E38" w:rsidP="00942E38" w14:paraId="66D7D172" w14:textId="77777777">
            <w:pPr>
              <w:pStyle w:val="ListParagraph"/>
              <w:ind w:left="360"/>
              <w:rPr>
                <w:rFonts w:asciiTheme="minorHAnsi" w:hAnsiTheme="minorHAnsi" w:cstheme="minorHAnsi"/>
                <w:sz w:val="22"/>
                <w:szCs w:val="22"/>
              </w:rPr>
            </w:pPr>
          </w:p>
          <w:p w:rsidR="0022128C" w:rsidRPr="00942E38" w:rsidP="00174D66" w14:paraId="485B177F" w14:textId="0AAD7623">
            <w:pPr>
              <w:rPr>
                <w:rFonts w:asciiTheme="minorHAnsi" w:hAnsiTheme="minorHAnsi" w:cstheme="minorBidi"/>
                <w:sz w:val="22"/>
                <w:szCs w:val="22"/>
              </w:rPr>
            </w:pPr>
            <w:r w:rsidRPr="68D4329B">
              <w:rPr>
                <w:rFonts w:asciiTheme="minorHAnsi" w:hAnsiTheme="minorHAnsi" w:cstheme="minorBidi"/>
                <w:b/>
                <w:sz w:val="22"/>
                <w:szCs w:val="22"/>
              </w:rPr>
              <w:t xml:space="preserve">Conclusion: </w:t>
            </w:r>
            <w:r w:rsidRPr="68D4329B" w:rsidR="00EB670C">
              <w:rPr>
                <w:rFonts w:asciiTheme="minorHAnsi" w:hAnsiTheme="minorHAnsi" w:cstheme="minorBidi"/>
                <w:sz w:val="22"/>
                <w:szCs w:val="22"/>
              </w:rPr>
              <w:t xml:space="preserve">These recent </w:t>
            </w:r>
            <w:r w:rsidRPr="68D4329B" w:rsidR="00C214D3">
              <w:rPr>
                <w:rFonts w:asciiTheme="minorHAnsi" w:hAnsiTheme="minorHAnsi" w:cstheme="minorBidi"/>
                <w:sz w:val="22"/>
                <w:szCs w:val="22"/>
              </w:rPr>
              <w:t>s</w:t>
            </w:r>
            <w:r w:rsidRPr="68D4329B">
              <w:rPr>
                <w:rFonts w:asciiTheme="minorHAnsi" w:hAnsiTheme="minorHAnsi" w:cstheme="minorBidi"/>
                <w:sz w:val="22"/>
                <w:szCs w:val="22"/>
              </w:rPr>
              <w:t xml:space="preserve">tudies suggest that </w:t>
            </w:r>
            <w:r w:rsidR="004B6E26">
              <w:rPr>
                <w:rFonts w:asciiTheme="minorHAnsi" w:hAnsiTheme="minorHAnsi" w:cstheme="minorBidi"/>
                <w:sz w:val="22"/>
                <w:szCs w:val="22"/>
              </w:rPr>
              <w:t>FOP</w:t>
            </w:r>
            <w:r w:rsidR="00136D3E">
              <w:rPr>
                <w:rFonts w:asciiTheme="minorHAnsi" w:hAnsiTheme="minorHAnsi" w:cstheme="minorBidi"/>
                <w:sz w:val="22"/>
                <w:szCs w:val="22"/>
              </w:rPr>
              <w:t xml:space="preserve"> </w:t>
            </w:r>
            <w:r w:rsidRPr="00B81477" w:rsidR="00136D3E">
              <w:rPr>
                <w:rFonts w:asciiTheme="minorHAnsi" w:hAnsiTheme="minorHAnsi" w:cstheme="minorBidi"/>
                <w:sz w:val="22"/>
                <w:szCs w:val="22"/>
              </w:rPr>
              <w:t>label</w:t>
            </w:r>
            <w:r w:rsidRPr="68D4329B" w:rsidR="00EB670C">
              <w:rPr>
                <w:rFonts w:asciiTheme="minorHAnsi" w:hAnsiTheme="minorHAnsi" w:cstheme="minorBidi"/>
                <w:sz w:val="22"/>
                <w:szCs w:val="22"/>
              </w:rPr>
              <w:t xml:space="preserve">s are effective at </w:t>
            </w:r>
            <w:r w:rsidRPr="68D4329B" w:rsidR="00DB0F89">
              <w:rPr>
                <w:rFonts w:asciiTheme="minorHAnsi" w:hAnsiTheme="minorHAnsi" w:cstheme="minorBidi"/>
                <w:sz w:val="22"/>
                <w:szCs w:val="22"/>
              </w:rPr>
              <w:t>helping consumers identify products with higher nutritional quality</w:t>
            </w:r>
            <w:r w:rsidRPr="68D4329B" w:rsidR="00E20900">
              <w:rPr>
                <w:rFonts w:asciiTheme="minorHAnsi" w:hAnsiTheme="minorHAnsi" w:cstheme="minorBidi"/>
                <w:sz w:val="22"/>
                <w:szCs w:val="22"/>
              </w:rPr>
              <w:t xml:space="preserve"> </w:t>
            </w:r>
            <w:r w:rsidRPr="68D4329B" w:rsidR="00E20900">
              <w:rPr>
                <w:rFonts w:asciiTheme="minorHAnsi" w:hAnsiTheme="minorHAnsi" w:cstheme="minorBidi"/>
                <w:sz w:val="22"/>
                <w:szCs w:val="22"/>
              </w:rPr>
              <w:t xml:space="preserve">and </w:t>
            </w:r>
            <w:r w:rsidR="002925B3">
              <w:rPr>
                <w:rFonts w:asciiTheme="minorHAnsi" w:hAnsiTheme="minorHAnsi" w:cstheme="minorBidi"/>
                <w:sz w:val="22"/>
                <w:szCs w:val="22"/>
              </w:rPr>
              <w:t>also</w:t>
            </w:r>
            <w:r w:rsidR="002925B3">
              <w:rPr>
                <w:rFonts w:asciiTheme="minorHAnsi" w:hAnsiTheme="minorHAnsi" w:cstheme="minorBidi"/>
                <w:sz w:val="22"/>
                <w:szCs w:val="22"/>
              </w:rPr>
              <w:t xml:space="preserve"> may be</w:t>
            </w:r>
            <w:r w:rsidR="004B6E26">
              <w:rPr>
                <w:rFonts w:asciiTheme="minorHAnsi" w:hAnsiTheme="minorHAnsi" w:cstheme="minorBidi"/>
                <w:sz w:val="22"/>
                <w:szCs w:val="22"/>
              </w:rPr>
              <w:t xml:space="preserve"> </w:t>
            </w:r>
            <w:r w:rsidRPr="68D4329B" w:rsidR="001E19B0">
              <w:rPr>
                <w:rFonts w:asciiTheme="minorHAnsi" w:hAnsiTheme="minorHAnsi" w:cstheme="minorBidi"/>
                <w:sz w:val="22"/>
                <w:szCs w:val="22"/>
              </w:rPr>
              <w:t>effective at positively impacting consumers’ intent to purchase healthful foods</w:t>
            </w:r>
            <w:r w:rsidR="00136D3E">
              <w:rPr>
                <w:rFonts w:asciiTheme="minorHAnsi" w:hAnsiTheme="minorHAnsi" w:cstheme="minorBidi"/>
                <w:sz w:val="22"/>
                <w:szCs w:val="22"/>
              </w:rPr>
              <w:t>.</w:t>
            </w:r>
          </w:p>
        </w:tc>
      </w:tr>
      <w:tr w14:paraId="03392765" w14:textId="77777777" w:rsidTr="1D57B863">
        <w:tblPrEx>
          <w:tblW w:w="0" w:type="auto"/>
          <w:tblInd w:w="-5" w:type="dxa"/>
          <w:tblLook w:val="04A0"/>
        </w:tblPrEx>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37D" w:rsidP="00174D66" w14:paraId="6BDD9B45" w14:textId="77777777">
            <w:pPr>
              <w:rPr>
                <w:b/>
                <w:sz w:val="24"/>
                <w:szCs w:val="24"/>
              </w:rPr>
            </w:pPr>
          </w:p>
          <w:p w:rsidR="0080237D" w:rsidRPr="00733627" w:rsidP="00174D66" w14:paraId="2F9AA7D8" w14:textId="50846F43">
            <w:pPr>
              <w:rPr>
                <w:b/>
                <w:sz w:val="24"/>
                <w:szCs w:val="24"/>
              </w:rPr>
            </w:pPr>
            <w:r w:rsidRPr="00BF3FF0">
              <w:rPr>
                <w:b/>
                <w:sz w:val="24"/>
                <w:szCs w:val="24"/>
              </w:rPr>
              <w:t xml:space="preserve">Effects on </w:t>
            </w:r>
            <w:r w:rsidR="005355A2">
              <w:rPr>
                <w:b/>
                <w:sz w:val="24"/>
                <w:szCs w:val="24"/>
              </w:rPr>
              <w:t>S</w:t>
            </w:r>
            <w:r w:rsidRPr="00BF3FF0">
              <w:rPr>
                <w:b/>
                <w:sz w:val="24"/>
                <w:szCs w:val="24"/>
              </w:rPr>
              <w:t>ales (</w:t>
            </w:r>
            <w:r w:rsidR="005355A2">
              <w:rPr>
                <w:b/>
                <w:sz w:val="24"/>
                <w:szCs w:val="24"/>
              </w:rPr>
              <w:t>P</w:t>
            </w:r>
            <w:r w:rsidRPr="00BF3FF0">
              <w:rPr>
                <w:b/>
                <w:sz w:val="24"/>
                <w:szCs w:val="24"/>
              </w:rPr>
              <w:t xml:space="preserve">urchases) and </w:t>
            </w:r>
            <w:r w:rsidR="005355A2">
              <w:rPr>
                <w:b/>
                <w:sz w:val="24"/>
                <w:szCs w:val="24"/>
              </w:rPr>
              <w:t>C</w:t>
            </w:r>
            <w:r w:rsidRPr="00BF3FF0">
              <w:rPr>
                <w:b/>
                <w:sz w:val="24"/>
                <w:szCs w:val="24"/>
              </w:rPr>
              <w:t>onsumption</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37D" w:rsidRPr="009A7F34" w:rsidP="006D5CEB" w14:paraId="5B25D405" w14:textId="6C2D4D96">
            <w:pPr>
              <w:pStyle w:val="ListParagraph"/>
              <w:numPr>
                <w:ilvl w:val="0"/>
                <w:numId w:val="4"/>
              </w:numPr>
              <w:rPr>
                <w:rFonts w:asciiTheme="minorHAnsi" w:hAnsiTheme="minorHAnsi" w:cstheme="minorBidi"/>
                <w:sz w:val="22"/>
                <w:szCs w:val="22"/>
              </w:rPr>
            </w:pPr>
            <w:r w:rsidRPr="68D4329B">
              <w:rPr>
                <w:rFonts w:asciiTheme="minorHAnsi" w:hAnsiTheme="minorHAnsi" w:cstheme="minorBidi"/>
                <w:sz w:val="22"/>
                <w:szCs w:val="22"/>
              </w:rPr>
              <w:t>Our review identified 1</w:t>
            </w:r>
            <w:r w:rsidRPr="68D4329B" w:rsidR="009A7F34">
              <w:rPr>
                <w:rFonts w:asciiTheme="minorHAnsi" w:hAnsiTheme="minorHAnsi" w:cstheme="minorBidi"/>
                <w:sz w:val="22"/>
                <w:szCs w:val="22"/>
              </w:rPr>
              <w:t>9</w:t>
            </w:r>
            <w:r w:rsidRPr="68D4329B">
              <w:rPr>
                <w:rFonts w:asciiTheme="minorHAnsi" w:hAnsiTheme="minorHAnsi" w:cstheme="minorBidi"/>
                <w:sz w:val="22"/>
                <w:szCs w:val="22"/>
              </w:rPr>
              <w:t xml:space="preserve"> studies in this category, </w:t>
            </w:r>
            <w:r w:rsidRPr="68D4329B" w:rsidR="10FC1332">
              <w:rPr>
                <w:rFonts w:asciiTheme="minorHAnsi" w:hAnsiTheme="minorHAnsi" w:cstheme="minorBidi"/>
                <w:sz w:val="22"/>
                <w:szCs w:val="22"/>
              </w:rPr>
              <w:t xml:space="preserve">which included </w:t>
            </w:r>
            <w:r w:rsidRPr="68D4329B" w:rsidR="00F8308E">
              <w:rPr>
                <w:rFonts w:asciiTheme="minorHAnsi" w:hAnsiTheme="minorHAnsi" w:cstheme="minorBidi"/>
                <w:sz w:val="22"/>
                <w:szCs w:val="22"/>
              </w:rPr>
              <w:t>13</w:t>
            </w:r>
            <w:r w:rsidRPr="68D4329B">
              <w:rPr>
                <w:rFonts w:asciiTheme="minorHAnsi" w:hAnsiTheme="minorHAnsi" w:cstheme="minorBidi"/>
                <w:sz w:val="22"/>
                <w:szCs w:val="22"/>
              </w:rPr>
              <w:t xml:space="preserve"> experimental studies, </w:t>
            </w:r>
            <w:r w:rsidRPr="68D4329B" w:rsidR="00FA64DE">
              <w:rPr>
                <w:rFonts w:asciiTheme="minorHAnsi" w:hAnsiTheme="minorHAnsi" w:cstheme="minorBidi"/>
                <w:sz w:val="22"/>
                <w:szCs w:val="22"/>
              </w:rPr>
              <w:t>three surveys, two systematic reviews and one narrative review.</w:t>
            </w:r>
          </w:p>
          <w:p w:rsidR="0080237D" w:rsidRPr="00540B64" w:rsidP="006D5CEB" w14:paraId="5543B9C1" w14:textId="3FFD3EA4">
            <w:pPr>
              <w:pStyle w:val="ListParagraph"/>
              <w:numPr>
                <w:ilvl w:val="0"/>
                <w:numId w:val="4"/>
              </w:numPr>
              <w:rPr>
                <w:rFonts w:asciiTheme="minorHAnsi" w:hAnsiTheme="minorHAnsi" w:cstheme="minorBidi"/>
              </w:rPr>
            </w:pPr>
            <w:r w:rsidRPr="41ACA7E9">
              <w:rPr>
                <w:rFonts w:asciiTheme="minorHAnsi" w:hAnsiTheme="minorHAnsi" w:cstheme="minorBidi"/>
                <w:sz w:val="22"/>
                <w:szCs w:val="22"/>
              </w:rPr>
              <w:t xml:space="preserve">These studies were conducted in </w:t>
            </w:r>
            <w:r w:rsidRPr="41ACA7E9" w:rsidR="00E223FD">
              <w:rPr>
                <w:rFonts w:asciiTheme="minorHAnsi" w:hAnsiTheme="minorHAnsi" w:cstheme="minorBidi"/>
                <w:sz w:val="22"/>
                <w:szCs w:val="22"/>
              </w:rPr>
              <w:t>Brazil, Canada, Colombia, France, Singapore, Switzerland, the UK</w:t>
            </w:r>
            <w:r w:rsidR="009C24B3">
              <w:rPr>
                <w:rFonts w:asciiTheme="minorHAnsi" w:hAnsiTheme="minorHAnsi" w:cstheme="minorBidi"/>
                <w:sz w:val="22"/>
                <w:szCs w:val="22"/>
              </w:rPr>
              <w:t>,</w:t>
            </w:r>
            <w:r w:rsidRPr="41ACA7E9" w:rsidR="00E223FD">
              <w:rPr>
                <w:rFonts w:asciiTheme="minorHAnsi" w:hAnsiTheme="minorHAnsi" w:cstheme="minorBidi"/>
                <w:sz w:val="22"/>
                <w:szCs w:val="22"/>
              </w:rPr>
              <w:t xml:space="preserve"> and the United States.  Two of the studies </w:t>
            </w:r>
            <w:r w:rsidR="00EA2310">
              <w:rPr>
                <w:rFonts w:asciiTheme="minorHAnsi" w:hAnsiTheme="minorHAnsi" w:cstheme="minorBidi"/>
                <w:sz w:val="22"/>
                <w:szCs w:val="22"/>
              </w:rPr>
              <w:t>assessed findings across several countries</w:t>
            </w:r>
            <w:r w:rsidRPr="41ACA7E9" w:rsidR="00E223FD">
              <w:rPr>
                <w:rFonts w:asciiTheme="minorHAnsi" w:hAnsiTheme="minorHAnsi" w:cstheme="minorBidi"/>
                <w:sz w:val="22"/>
                <w:szCs w:val="22"/>
              </w:rPr>
              <w:t>.</w:t>
            </w:r>
          </w:p>
          <w:p w:rsidR="00540B64" w:rsidRPr="00274AA7" w:rsidP="00274AA7" w14:paraId="53D3A8D6" w14:textId="5270C8ED">
            <w:pPr>
              <w:pStyle w:val="ListParagraph"/>
              <w:numPr>
                <w:ilvl w:val="0"/>
                <w:numId w:val="4"/>
              </w:numPr>
              <w:rPr>
                <w:rFonts w:asciiTheme="minorHAnsi" w:hAnsiTheme="minorHAnsi" w:cstheme="minorBidi"/>
                <w:sz w:val="22"/>
                <w:szCs w:val="22"/>
              </w:rPr>
            </w:pPr>
            <w:r w:rsidRPr="1D57B863">
              <w:rPr>
                <w:rFonts w:asciiTheme="minorHAnsi" w:hAnsiTheme="minorHAnsi" w:cstheme="minorBidi"/>
                <w:sz w:val="22"/>
                <w:szCs w:val="22"/>
              </w:rPr>
              <w:t xml:space="preserve">Multiple </w:t>
            </w:r>
            <w:r w:rsidRPr="1D57B863" w:rsidR="33DCD164">
              <w:rPr>
                <w:rFonts w:asciiTheme="minorHAnsi" w:hAnsiTheme="minorHAnsi" w:cstheme="minorBidi"/>
                <w:sz w:val="22"/>
                <w:szCs w:val="22"/>
              </w:rPr>
              <w:t>FOP</w:t>
            </w:r>
            <w:r w:rsidRPr="1D57B863">
              <w:rPr>
                <w:rFonts w:asciiTheme="minorHAnsi" w:hAnsiTheme="minorHAnsi" w:cstheme="minorBidi"/>
                <w:sz w:val="22"/>
                <w:szCs w:val="22"/>
              </w:rPr>
              <w:t xml:space="preserve"> labeling systems were examined in the identified studies, </w:t>
            </w:r>
            <w:r w:rsidRPr="1D57B863" w:rsidR="66A69B8C">
              <w:rPr>
                <w:rFonts w:asciiTheme="minorHAnsi" w:hAnsiTheme="minorHAnsi" w:cstheme="minorBidi"/>
                <w:sz w:val="22"/>
                <w:szCs w:val="22"/>
              </w:rPr>
              <w:t>including</w:t>
            </w:r>
            <w:r w:rsidRPr="1D57B863">
              <w:rPr>
                <w:rFonts w:asciiTheme="minorHAnsi" w:hAnsiTheme="minorHAnsi" w:cstheme="minorBidi"/>
                <w:sz w:val="22"/>
                <w:szCs w:val="22"/>
              </w:rPr>
              <w:t xml:space="preserve"> </w:t>
            </w:r>
            <w:r w:rsidRPr="1D57B863" w:rsidR="761A24C7">
              <w:rPr>
                <w:rFonts w:asciiTheme="minorHAnsi" w:hAnsiTheme="minorHAnsi" w:cstheme="minorBidi"/>
                <w:sz w:val="22"/>
                <w:szCs w:val="22"/>
              </w:rPr>
              <w:t>Multiple Traffic Light symbols</w:t>
            </w:r>
            <w:r w:rsidRPr="1D57B863">
              <w:rPr>
                <w:rFonts w:asciiTheme="minorHAnsi" w:hAnsiTheme="minorHAnsi" w:cstheme="minorBidi"/>
                <w:sz w:val="22"/>
                <w:szCs w:val="22"/>
              </w:rPr>
              <w:t xml:space="preserve">, Health Star Rating, </w:t>
            </w:r>
            <w:r w:rsidRPr="1D57B863" w:rsidR="3CB3952B">
              <w:rPr>
                <w:rFonts w:asciiTheme="minorHAnsi" w:hAnsiTheme="minorHAnsi" w:cstheme="minorBidi"/>
                <w:sz w:val="22"/>
                <w:szCs w:val="22"/>
              </w:rPr>
              <w:t>Nutri-Score</w:t>
            </w:r>
            <w:r w:rsidRPr="1D57B863" w:rsidR="47BD01C9">
              <w:rPr>
                <w:rFonts w:asciiTheme="minorHAnsi" w:hAnsiTheme="minorHAnsi" w:cstheme="minorBidi"/>
                <w:sz w:val="22"/>
                <w:szCs w:val="22"/>
              </w:rPr>
              <w:t xml:space="preserve">, </w:t>
            </w:r>
            <w:r w:rsidRPr="1D57B863">
              <w:rPr>
                <w:rFonts w:asciiTheme="minorHAnsi" w:hAnsiTheme="minorHAnsi" w:cstheme="minorBidi"/>
                <w:sz w:val="22"/>
                <w:szCs w:val="22"/>
              </w:rPr>
              <w:t xml:space="preserve">Warning Labels, </w:t>
            </w:r>
            <w:r w:rsidRPr="1D57B863" w:rsidR="0AAF3496">
              <w:rPr>
                <w:rFonts w:asciiTheme="minorHAnsi" w:hAnsiTheme="minorHAnsi" w:cstheme="minorBidi"/>
                <w:sz w:val="22"/>
                <w:szCs w:val="22"/>
              </w:rPr>
              <w:t>SENS (</w:t>
            </w:r>
            <w:r w:rsidRPr="1D57B863" w:rsidR="3CB3952B">
              <w:rPr>
                <w:rFonts w:asciiTheme="minorHAnsi" w:hAnsiTheme="minorHAnsi" w:cstheme="minorBidi"/>
                <w:i/>
                <w:iCs/>
                <w:sz w:val="22"/>
                <w:szCs w:val="22"/>
              </w:rPr>
              <w:t>Système d’Etiquetage Nutritionnel Simplifié</w:t>
            </w:r>
            <w:r w:rsidRPr="1D57B863" w:rsidR="3CB3952B">
              <w:rPr>
                <w:rFonts w:asciiTheme="minorHAnsi" w:hAnsiTheme="minorHAnsi" w:cstheme="minorBidi"/>
                <w:sz w:val="22"/>
                <w:szCs w:val="22"/>
              </w:rPr>
              <w:t xml:space="preserve"> [simplified nutrition labelling system]</w:t>
            </w:r>
            <w:r w:rsidRPr="1D57B863" w:rsidR="0AAF3496">
              <w:rPr>
                <w:rFonts w:asciiTheme="minorHAnsi" w:hAnsiTheme="minorHAnsi" w:cstheme="minorBidi"/>
                <w:sz w:val="22"/>
                <w:szCs w:val="22"/>
              </w:rPr>
              <w:t xml:space="preserve">), </w:t>
            </w:r>
            <w:r w:rsidRPr="1D57B863">
              <w:rPr>
                <w:rFonts w:asciiTheme="minorHAnsi" w:hAnsiTheme="minorHAnsi" w:cstheme="minorBidi"/>
                <w:sz w:val="22"/>
                <w:szCs w:val="22"/>
              </w:rPr>
              <w:t>Modified Reference Intake</w:t>
            </w:r>
            <w:r w:rsidRPr="1D57B863" w:rsidR="3CB3952B">
              <w:rPr>
                <w:rFonts w:asciiTheme="minorHAnsi" w:hAnsiTheme="minorHAnsi" w:cstheme="minorBidi"/>
                <w:sz w:val="22"/>
                <w:szCs w:val="22"/>
              </w:rPr>
              <w:t>s</w:t>
            </w:r>
            <w:r w:rsidRPr="1D57B863">
              <w:rPr>
                <w:rFonts w:asciiTheme="minorHAnsi" w:hAnsiTheme="minorHAnsi" w:cstheme="minorBidi"/>
                <w:sz w:val="22"/>
                <w:szCs w:val="22"/>
              </w:rPr>
              <w:t xml:space="preserve">, and </w:t>
            </w:r>
            <w:r w:rsidRPr="1D57B863" w:rsidR="65BB66B5">
              <w:rPr>
                <w:rFonts w:asciiTheme="minorHAnsi" w:hAnsiTheme="minorHAnsi" w:cstheme="minorBidi"/>
                <w:sz w:val="22"/>
                <w:szCs w:val="22"/>
              </w:rPr>
              <w:t>symbols</w:t>
            </w:r>
            <w:r w:rsidRPr="1D57B863" w:rsidR="06213649">
              <w:rPr>
                <w:rFonts w:asciiTheme="minorHAnsi" w:hAnsiTheme="minorHAnsi" w:cstheme="minorBidi"/>
                <w:sz w:val="22"/>
                <w:szCs w:val="22"/>
              </w:rPr>
              <w:t xml:space="preserve"> meant to indicate the product meets some “healthy” criteria</w:t>
            </w:r>
            <w:r w:rsidRPr="1D57B863">
              <w:rPr>
                <w:rFonts w:asciiTheme="minorHAnsi" w:hAnsiTheme="minorHAnsi" w:cstheme="minorBidi"/>
                <w:sz w:val="22"/>
                <w:szCs w:val="22"/>
              </w:rPr>
              <w:t>.</w:t>
            </w:r>
          </w:p>
          <w:p w:rsidR="002102CE" w:rsidP="00BE091D" w14:paraId="5FBF075E" w14:textId="147159C2">
            <w:pPr>
              <w:pStyle w:val="ListParagraph"/>
              <w:numPr>
                <w:ilvl w:val="0"/>
                <w:numId w:val="4"/>
              </w:numPr>
              <w:rPr>
                <w:rFonts w:asciiTheme="minorHAnsi" w:hAnsiTheme="minorHAnsi" w:cstheme="minorBidi"/>
                <w:sz w:val="22"/>
                <w:szCs w:val="22"/>
              </w:rPr>
            </w:pPr>
            <w:r w:rsidRPr="223BA617">
              <w:rPr>
                <w:rFonts w:asciiTheme="minorHAnsi" w:hAnsiTheme="minorHAnsi" w:cstheme="minorBidi"/>
                <w:sz w:val="22"/>
                <w:szCs w:val="22"/>
              </w:rPr>
              <w:t>The use of online/simulated grocery store shelves and</w:t>
            </w:r>
            <w:r w:rsidRPr="223BA617" w:rsidR="0053392D">
              <w:rPr>
                <w:rFonts w:asciiTheme="minorHAnsi" w:hAnsiTheme="minorHAnsi" w:cstheme="minorBidi"/>
                <w:sz w:val="22"/>
                <w:szCs w:val="22"/>
              </w:rPr>
              <w:t xml:space="preserve"> access to real-world sales data</w:t>
            </w:r>
            <w:r w:rsidRPr="223BA617">
              <w:rPr>
                <w:rFonts w:asciiTheme="minorHAnsi" w:hAnsiTheme="minorHAnsi" w:cstheme="minorBidi"/>
                <w:sz w:val="22"/>
                <w:szCs w:val="22"/>
              </w:rPr>
              <w:t xml:space="preserve"> </w:t>
            </w:r>
            <w:r w:rsidRPr="223BA617" w:rsidR="00F0658F">
              <w:rPr>
                <w:rFonts w:asciiTheme="minorHAnsi" w:hAnsiTheme="minorHAnsi" w:cstheme="minorBidi"/>
                <w:sz w:val="22"/>
                <w:szCs w:val="22"/>
              </w:rPr>
              <w:t xml:space="preserve">has enabled </w:t>
            </w:r>
            <w:r w:rsidRPr="223BA617" w:rsidR="0053392D">
              <w:rPr>
                <w:rFonts w:asciiTheme="minorHAnsi" w:hAnsiTheme="minorHAnsi" w:cstheme="minorBidi"/>
                <w:sz w:val="22"/>
                <w:szCs w:val="22"/>
              </w:rPr>
              <w:t xml:space="preserve">researchers to better understand </w:t>
            </w:r>
            <w:r w:rsidRPr="223BA617" w:rsidR="00F0658F">
              <w:rPr>
                <w:rFonts w:asciiTheme="minorHAnsi" w:hAnsiTheme="minorHAnsi" w:cstheme="minorBidi"/>
                <w:sz w:val="22"/>
                <w:szCs w:val="22"/>
              </w:rPr>
              <w:t xml:space="preserve">the </w:t>
            </w:r>
            <w:r w:rsidRPr="223BA617" w:rsidR="0053392D">
              <w:rPr>
                <w:rFonts w:asciiTheme="minorHAnsi" w:hAnsiTheme="minorHAnsi" w:cstheme="minorBidi"/>
                <w:sz w:val="22"/>
                <w:szCs w:val="22"/>
              </w:rPr>
              <w:t xml:space="preserve">impact of </w:t>
            </w:r>
            <w:r w:rsidR="004B6E26">
              <w:rPr>
                <w:rFonts w:asciiTheme="minorHAnsi" w:hAnsiTheme="minorHAnsi" w:cstheme="minorBidi"/>
                <w:sz w:val="22"/>
                <w:szCs w:val="22"/>
              </w:rPr>
              <w:t>FOP</w:t>
            </w:r>
            <w:r w:rsidR="00052BF1">
              <w:rPr>
                <w:rFonts w:asciiTheme="minorHAnsi" w:hAnsiTheme="minorHAnsi" w:cstheme="minorBidi"/>
                <w:sz w:val="22"/>
                <w:szCs w:val="22"/>
              </w:rPr>
              <w:t xml:space="preserve"> </w:t>
            </w:r>
            <w:r w:rsidRPr="00B81477" w:rsidR="00052BF1">
              <w:rPr>
                <w:rFonts w:asciiTheme="minorHAnsi" w:hAnsiTheme="minorHAnsi" w:cstheme="minorBidi"/>
                <w:sz w:val="22"/>
                <w:szCs w:val="22"/>
              </w:rPr>
              <w:t>label</w:t>
            </w:r>
            <w:r w:rsidRPr="223BA617" w:rsidR="0053392D">
              <w:rPr>
                <w:rFonts w:asciiTheme="minorHAnsi" w:hAnsiTheme="minorHAnsi" w:cstheme="minorBidi"/>
                <w:sz w:val="22"/>
                <w:szCs w:val="22"/>
              </w:rPr>
              <w:t xml:space="preserve">s on </w:t>
            </w:r>
            <w:r w:rsidRPr="223BA617">
              <w:rPr>
                <w:rFonts w:asciiTheme="minorHAnsi" w:hAnsiTheme="minorHAnsi" w:cstheme="minorBidi"/>
                <w:sz w:val="22"/>
                <w:szCs w:val="22"/>
              </w:rPr>
              <w:t xml:space="preserve">product </w:t>
            </w:r>
            <w:r w:rsidRPr="223BA617" w:rsidR="00587413">
              <w:rPr>
                <w:rFonts w:asciiTheme="minorHAnsi" w:hAnsiTheme="minorHAnsi" w:cstheme="minorBidi"/>
                <w:sz w:val="22"/>
                <w:szCs w:val="22"/>
              </w:rPr>
              <w:t>consumption.</w:t>
            </w:r>
            <w:r w:rsidRPr="223BA617">
              <w:rPr>
                <w:rFonts w:asciiTheme="minorHAnsi" w:hAnsiTheme="minorHAnsi" w:cstheme="minorBidi"/>
                <w:sz w:val="22"/>
                <w:szCs w:val="22"/>
              </w:rPr>
              <w:t xml:space="preserve"> Overall, </w:t>
            </w:r>
            <w:r w:rsidR="00240BFE">
              <w:rPr>
                <w:rFonts w:asciiTheme="minorHAnsi" w:hAnsiTheme="minorHAnsi" w:cstheme="minorBidi"/>
                <w:sz w:val="22"/>
                <w:szCs w:val="22"/>
              </w:rPr>
              <w:t>results show that</w:t>
            </w:r>
            <w:r w:rsidR="006C0690">
              <w:rPr>
                <w:rFonts w:asciiTheme="minorHAnsi" w:hAnsiTheme="minorHAnsi" w:cstheme="minorBidi"/>
                <w:sz w:val="22"/>
                <w:szCs w:val="22"/>
              </w:rPr>
              <w:t xml:space="preserve"> the presence of</w:t>
            </w:r>
            <w:r w:rsidR="00240BFE">
              <w:rPr>
                <w:rFonts w:asciiTheme="minorHAnsi" w:hAnsiTheme="minorHAnsi" w:cstheme="minorBidi"/>
                <w:sz w:val="22"/>
                <w:szCs w:val="22"/>
              </w:rPr>
              <w:t xml:space="preserve"> </w:t>
            </w:r>
            <w:r w:rsidRPr="000D142E" w:rsidR="00E02438">
              <w:rPr>
                <w:rFonts w:asciiTheme="minorHAnsi" w:hAnsiTheme="minorHAnsi" w:cstheme="minorBidi"/>
                <w:sz w:val="22"/>
                <w:szCs w:val="22"/>
              </w:rPr>
              <w:t>FOP</w:t>
            </w:r>
            <w:r w:rsidRPr="000D142E" w:rsidR="00052BF1">
              <w:rPr>
                <w:rFonts w:asciiTheme="minorHAnsi" w:hAnsiTheme="minorHAnsi" w:cstheme="minorBidi"/>
                <w:sz w:val="22"/>
                <w:szCs w:val="22"/>
              </w:rPr>
              <w:t xml:space="preserve"> label</w:t>
            </w:r>
            <w:r w:rsidRPr="000D142E" w:rsidR="00E02438">
              <w:rPr>
                <w:rFonts w:asciiTheme="minorHAnsi" w:hAnsiTheme="minorHAnsi" w:cstheme="minorBidi"/>
                <w:sz w:val="22"/>
                <w:szCs w:val="22"/>
              </w:rPr>
              <w:t>s</w:t>
            </w:r>
            <w:r w:rsidR="006C0690">
              <w:rPr>
                <w:rFonts w:asciiTheme="minorHAnsi" w:hAnsiTheme="minorHAnsi" w:cstheme="minorBidi"/>
                <w:sz w:val="22"/>
                <w:szCs w:val="22"/>
              </w:rPr>
              <w:t xml:space="preserve"> leads to product purchases. </w:t>
            </w:r>
            <w:r w:rsidR="00F5751C">
              <w:rPr>
                <w:rFonts w:asciiTheme="minorHAnsi" w:hAnsiTheme="minorHAnsi" w:cstheme="minorBidi"/>
                <w:sz w:val="22"/>
                <w:szCs w:val="22"/>
              </w:rPr>
              <w:t xml:space="preserve"> </w:t>
            </w:r>
          </w:p>
          <w:p w:rsidR="00866384" w:rsidRPr="00F610B1" w:rsidP="001269A0" w14:paraId="7D518B65" w14:textId="5C1A4EDA">
            <w:pPr>
              <w:pStyle w:val="ListParagraph"/>
              <w:numPr>
                <w:ilvl w:val="0"/>
                <w:numId w:val="4"/>
              </w:numPr>
              <w:rPr>
                <w:rFonts w:asciiTheme="minorHAnsi" w:hAnsiTheme="minorHAnsi" w:cstheme="minorBidi"/>
                <w:sz w:val="22"/>
                <w:szCs w:val="22"/>
              </w:rPr>
            </w:pPr>
            <w:r w:rsidRPr="47135738">
              <w:rPr>
                <w:rFonts w:asciiTheme="minorHAnsi" w:hAnsiTheme="minorHAnsi" w:cstheme="minorBidi"/>
                <w:sz w:val="22"/>
                <w:szCs w:val="22"/>
              </w:rPr>
              <w:t xml:space="preserve">However, not all </w:t>
            </w:r>
            <w:r w:rsidRPr="47135738" w:rsidR="004B6E26">
              <w:rPr>
                <w:rFonts w:asciiTheme="minorHAnsi" w:hAnsiTheme="minorHAnsi" w:cstheme="minorBidi"/>
                <w:sz w:val="22"/>
                <w:szCs w:val="22"/>
              </w:rPr>
              <w:t>FOP</w:t>
            </w:r>
            <w:r w:rsidRPr="47135738" w:rsidR="004D38AD">
              <w:rPr>
                <w:rFonts w:asciiTheme="minorHAnsi" w:hAnsiTheme="minorHAnsi" w:cstheme="minorBidi"/>
                <w:sz w:val="22"/>
                <w:szCs w:val="22"/>
              </w:rPr>
              <w:t xml:space="preserve"> </w:t>
            </w:r>
            <w:r w:rsidRPr="000D142E" w:rsidR="004D38AD">
              <w:rPr>
                <w:rFonts w:asciiTheme="minorHAnsi" w:hAnsiTheme="minorHAnsi" w:cstheme="minorBidi"/>
                <w:sz w:val="22"/>
                <w:szCs w:val="22"/>
              </w:rPr>
              <w:t>label</w:t>
            </w:r>
            <w:r w:rsidRPr="47135738">
              <w:rPr>
                <w:rFonts w:asciiTheme="minorHAnsi" w:hAnsiTheme="minorHAnsi" w:cstheme="minorBidi"/>
                <w:sz w:val="22"/>
                <w:szCs w:val="22"/>
              </w:rPr>
              <w:t>s are equally effective</w:t>
            </w:r>
            <w:r w:rsidRPr="47135738" w:rsidR="003635A4">
              <w:rPr>
                <w:rFonts w:asciiTheme="minorHAnsi" w:hAnsiTheme="minorHAnsi" w:cstheme="minorBidi"/>
                <w:sz w:val="22"/>
                <w:szCs w:val="22"/>
              </w:rPr>
              <w:t>. Warning labels, like “</w:t>
            </w:r>
            <w:r w:rsidRPr="47135738" w:rsidR="672717AD">
              <w:rPr>
                <w:rFonts w:asciiTheme="minorHAnsi" w:hAnsiTheme="minorHAnsi" w:cstheme="minorBidi"/>
                <w:sz w:val="22"/>
                <w:szCs w:val="22"/>
              </w:rPr>
              <w:t>H</w:t>
            </w:r>
            <w:r w:rsidRPr="47135738" w:rsidR="003635A4">
              <w:rPr>
                <w:rFonts w:asciiTheme="minorHAnsi" w:hAnsiTheme="minorHAnsi" w:cstheme="minorBidi"/>
                <w:sz w:val="22"/>
                <w:szCs w:val="22"/>
              </w:rPr>
              <w:t>igh-in”</w:t>
            </w:r>
            <w:r w:rsidRPr="47135738" w:rsidR="00591082">
              <w:rPr>
                <w:rFonts w:asciiTheme="minorHAnsi" w:hAnsiTheme="minorHAnsi" w:cstheme="minorBidi"/>
                <w:sz w:val="22"/>
                <w:szCs w:val="22"/>
              </w:rPr>
              <w:t xml:space="preserve"> labels have </w:t>
            </w:r>
            <w:r w:rsidRPr="47135738" w:rsidR="04720841">
              <w:rPr>
                <w:rFonts w:asciiTheme="minorHAnsi" w:hAnsiTheme="minorHAnsi" w:cstheme="minorBidi"/>
                <w:sz w:val="22"/>
                <w:szCs w:val="22"/>
              </w:rPr>
              <w:t xml:space="preserve">been </w:t>
            </w:r>
            <w:r w:rsidRPr="47135738" w:rsidR="00591082">
              <w:rPr>
                <w:rFonts w:asciiTheme="minorHAnsi" w:hAnsiTheme="minorHAnsi" w:cstheme="minorBidi"/>
                <w:sz w:val="22"/>
                <w:szCs w:val="22"/>
              </w:rPr>
              <w:t xml:space="preserve">shown to be most effective at reducing </w:t>
            </w:r>
            <w:r w:rsidRPr="47135738" w:rsidR="009904C6">
              <w:rPr>
                <w:rFonts w:asciiTheme="minorHAnsi" w:hAnsiTheme="minorHAnsi" w:cstheme="minorBidi"/>
                <w:sz w:val="22"/>
                <w:szCs w:val="22"/>
              </w:rPr>
              <w:t xml:space="preserve">the purchase of products that are high in </w:t>
            </w:r>
            <w:r w:rsidRPr="47135738" w:rsidR="003658DF">
              <w:rPr>
                <w:rFonts w:asciiTheme="minorHAnsi" w:hAnsiTheme="minorHAnsi" w:cstheme="minorBidi"/>
                <w:sz w:val="22"/>
                <w:szCs w:val="22"/>
              </w:rPr>
              <w:t>negative nutrients</w:t>
            </w:r>
            <w:r w:rsidRPr="47135738" w:rsidR="00591082">
              <w:rPr>
                <w:rFonts w:asciiTheme="minorHAnsi" w:hAnsiTheme="minorHAnsi" w:cstheme="minorBidi"/>
                <w:sz w:val="22"/>
                <w:szCs w:val="22"/>
              </w:rPr>
              <w:t xml:space="preserve">.  In contrast, summary labels, like the </w:t>
            </w:r>
            <w:r w:rsidRPr="47135738" w:rsidR="004B6E26">
              <w:rPr>
                <w:rFonts w:asciiTheme="minorHAnsi" w:hAnsiTheme="minorHAnsi" w:cstheme="minorBidi"/>
                <w:sz w:val="22"/>
                <w:szCs w:val="22"/>
              </w:rPr>
              <w:t>Nutri-Score</w:t>
            </w:r>
            <w:r w:rsidRPr="47135738" w:rsidR="001B2AC4">
              <w:rPr>
                <w:rFonts w:asciiTheme="minorHAnsi" w:hAnsiTheme="minorHAnsi" w:cstheme="minorBidi"/>
                <w:sz w:val="22"/>
                <w:szCs w:val="22"/>
              </w:rPr>
              <w:t xml:space="preserve">, </w:t>
            </w:r>
            <w:r w:rsidRPr="47135738" w:rsidR="004B6E26">
              <w:rPr>
                <w:rFonts w:asciiTheme="minorHAnsi" w:hAnsiTheme="minorHAnsi" w:cstheme="minorBidi"/>
                <w:sz w:val="22"/>
                <w:szCs w:val="22"/>
              </w:rPr>
              <w:t>Multiple Traffic Light symbols</w:t>
            </w:r>
            <w:r w:rsidRPr="47135738" w:rsidR="00852395">
              <w:rPr>
                <w:rFonts w:asciiTheme="minorHAnsi" w:hAnsiTheme="minorHAnsi" w:cstheme="minorBidi"/>
                <w:sz w:val="22"/>
                <w:szCs w:val="22"/>
              </w:rPr>
              <w:t>,</w:t>
            </w:r>
            <w:r w:rsidRPr="47135738" w:rsidR="001B2AC4">
              <w:rPr>
                <w:rFonts w:asciiTheme="minorHAnsi" w:hAnsiTheme="minorHAnsi" w:cstheme="minorBidi"/>
                <w:sz w:val="22"/>
                <w:szCs w:val="22"/>
              </w:rPr>
              <w:t xml:space="preserve"> and </w:t>
            </w:r>
            <w:r w:rsidRPr="47135738" w:rsidR="004B6E26">
              <w:rPr>
                <w:rFonts w:asciiTheme="minorHAnsi" w:hAnsiTheme="minorHAnsi" w:cstheme="minorBidi"/>
                <w:sz w:val="22"/>
                <w:szCs w:val="22"/>
              </w:rPr>
              <w:t>Health Star Rating</w:t>
            </w:r>
            <w:r w:rsidRPr="47135738" w:rsidR="001B2AC4">
              <w:rPr>
                <w:rFonts w:asciiTheme="minorHAnsi" w:hAnsiTheme="minorHAnsi" w:cstheme="minorBidi"/>
                <w:sz w:val="22"/>
                <w:szCs w:val="22"/>
              </w:rPr>
              <w:t xml:space="preserve"> </w:t>
            </w:r>
            <w:r w:rsidRPr="47135738" w:rsidR="00673690">
              <w:rPr>
                <w:rFonts w:asciiTheme="minorHAnsi" w:hAnsiTheme="minorHAnsi" w:cstheme="minorBidi"/>
                <w:sz w:val="22"/>
                <w:szCs w:val="22"/>
              </w:rPr>
              <w:t>were found to be</w:t>
            </w:r>
            <w:r w:rsidRPr="47135738" w:rsidR="001B2AC4">
              <w:rPr>
                <w:rFonts w:asciiTheme="minorHAnsi" w:hAnsiTheme="minorHAnsi" w:cstheme="minorBidi"/>
                <w:sz w:val="22"/>
                <w:szCs w:val="22"/>
              </w:rPr>
              <w:t xml:space="preserve"> more effective </w:t>
            </w:r>
            <w:r w:rsidRPr="47135738" w:rsidR="00BC411F">
              <w:rPr>
                <w:rFonts w:asciiTheme="minorHAnsi" w:hAnsiTheme="minorHAnsi" w:cstheme="minorBidi"/>
                <w:sz w:val="22"/>
                <w:szCs w:val="22"/>
              </w:rPr>
              <w:t>with regard to</w:t>
            </w:r>
            <w:r w:rsidRPr="47135738" w:rsidR="001B2AC4">
              <w:rPr>
                <w:rFonts w:asciiTheme="minorHAnsi" w:hAnsiTheme="minorHAnsi" w:cstheme="minorBidi"/>
                <w:sz w:val="22"/>
                <w:szCs w:val="22"/>
              </w:rPr>
              <w:t xml:space="preserve"> overall healthy choices</w:t>
            </w:r>
            <w:r w:rsidRPr="47135738" w:rsidR="00190091">
              <w:rPr>
                <w:rFonts w:asciiTheme="minorHAnsi" w:hAnsiTheme="minorHAnsi" w:cstheme="minorBidi"/>
                <w:sz w:val="22"/>
                <w:szCs w:val="22"/>
              </w:rPr>
              <w:t>.</w:t>
            </w:r>
            <w:r w:rsidRPr="47135738" w:rsidR="00670B64">
              <w:rPr>
                <w:rFonts w:asciiTheme="minorHAnsi" w:hAnsiTheme="minorHAnsi" w:cstheme="minorBidi"/>
                <w:sz w:val="22"/>
                <w:szCs w:val="22"/>
              </w:rPr>
              <w:t xml:space="preserve"> </w:t>
            </w:r>
          </w:p>
          <w:p w:rsidR="00190091" w:rsidRPr="00190091" w:rsidP="000E1C27" w14:paraId="24F3E16A" w14:textId="77777777">
            <w:pPr>
              <w:pStyle w:val="ListParagraph"/>
              <w:numPr>
                <w:ilvl w:val="0"/>
                <w:numId w:val="4"/>
              </w:numPr>
              <w:rPr>
                <w:rFonts w:asciiTheme="minorHAnsi" w:hAnsiTheme="minorHAnsi" w:cstheme="minorHAnsi"/>
                <w:sz w:val="22"/>
                <w:szCs w:val="22"/>
              </w:rPr>
            </w:pPr>
            <w:r w:rsidRPr="1D57B863">
              <w:rPr>
                <w:rFonts w:asciiTheme="minorHAnsi" w:hAnsiTheme="minorHAnsi" w:cstheme="minorBidi"/>
                <w:sz w:val="22"/>
                <w:szCs w:val="22"/>
              </w:rPr>
              <w:t>One study</w:t>
            </w:r>
            <w:r w:rsidRPr="1D57B863" w:rsidR="58FFA372">
              <w:rPr>
                <w:rFonts w:asciiTheme="minorHAnsi" w:hAnsiTheme="minorHAnsi" w:cstheme="minorBidi"/>
                <w:sz w:val="22"/>
                <w:szCs w:val="22"/>
              </w:rPr>
              <w:t xml:space="preserve"> from the United Kingdom</w:t>
            </w:r>
            <w:r w:rsidRPr="1D57B863">
              <w:rPr>
                <w:rFonts w:asciiTheme="minorHAnsi" w:hAnsiTheme="minorHAnsi" w:cstheme="minorBidi"/>
                <w:sz w:val="22"/>
                <w:szCs w:val="22"/>
              </w:rPr>
              <w:t xml:space="preserve"> </w:t>
            </w:r>
            <w:r w:rsidRPr="1D57B863" w:rsidR="730FCE42">
              <w:rPr>
                <w:rFonts w:asciiTheme="minorHAnsi" w:hAnsiTheme="minorHAnsi" w:cstheme="minorBidi"/>
                <w:sz w:val="22"/>
                <w:szCs w:val="22"/>
              </w:rPr>
              <w:t xml:space="preserve">(Elshiewy, 2018) </w:t>
            </w:r>
            <w:r w:rsidRPr="1D57B863">
              <w:rPr>
                <w:rFonts w:asciiTheme="minorHAnsi" w:hAnsiTheme="minorHAnsi" w:cstheme="minorBidi"/>
                <w:sz w:val="22"/>
                <w:szCs w:val="22"/>
              </w:rPr>
              <w:t>that examined</w:t>
            </w:r>
            <w:r w:rsidRPr="1D57B863" w:rsidR="24FAEDCE">
              <w:rPr>
                <w:rFonts w:asciiTheme="minorHAnsi" w:hAnsiTheme="minorHAnsi" w:cstheme="minorBidi"/>
                <w:sz w:val="22"/>
                <w:szCs w:val="22"/>
              </w:rPr>
              <w:t xml:space="preserve"> real-world</w:t>
            </w:r>
            <w:r w:rsidRPr="1D57B863">
              <w:rPr>
                <w:rFonts w:asciiTheme="minorHAnsi" w:hAnsiTheme="minorHAnsi" w:cstheme="minorBidi"/>
                <w:sz w:val="22"/>
                <w:szCs w:val="22"/>
              </w:rPr>
              <w:t xml:space="preserve"> sales data </w:t>
            </w:r>
            <w:r w:rsidRPr="1D57B863" w:rsidR="4B185070">
              <w:rPr>
                <w:rFonts w:asciiTheme="minorHAnsi" w:hAnsiTheme="minorHAnsi" w:cstheme="minorBidi"/>
                <w:sz w:val="22"/>
                <w:szCs w:val="22"/>
              </w:rPr>
              <w:t xml:space="preserve">of </w:t>
            </w:r>
            <w:r w:rsidRPr="1D57B863" w:rsidR="58FFA372">
              <w:rPr>
                <w:rFonts w:asciiTheme="minorHAnsi" w:hAnsiTheme="minorHAnsi" w:cstheme="minorBidi"/>
                <w:sz w:val="22"/>
                <w:szCs w:val="22"/>
              </w:rPr>
              <w:t xml:space="preserve">store-brand </w:t>
            </w:r>
            <w:r w:rsidRPr="1D57B863" w:rsidR="4B185070">
              <w:rPr>
                <w:rFonts w:asciiTheme="minorHAnsi" w:hAnsiTheme="minorHAnsi" w:cstheme="minorBidi"/>
                <w:sz w:val="22"/>
                <w:szCs w:val="22"/>
              </w:rPr>
              <w:t xml:space="preserve">products </w:t>
            </w:r>
            <w:r w:rsidRPr="1D57B863" w:rsidR="58FFA372">
              <w:rPr>
                <w:rFonts w:asciiTheme="minorHAnsi" w:hAnsiTheme="minorHAnsi" w:cstheme="minorBidi"/>
                <w:sz w:val="22"/>
                <w:szCs w:val="22"/>
              </w:rPr>
              <w:t xml:space="preserve">that carried </w:t>
            </w:r>
            <w:r w:rsidRPr="1D57B863" w:rsidR="24FAEDCE">
              <w:rPr>
                <w:rFonts w:asciiTheme="minorHAnsi" w:hAnsiTheme="minorHAnsi" w:cstheme="minorBidi"/>
                <w:sz w:val="22"/>
                <w:szCs w:val="22"/>
              </w:rPr>
              <w:t xml:space="preserve">a </w:t>
            </w:r>
            <w:r w:rsidRPr="1D57B863" w:rsidR="732C9A36">
              <w:rPr>
                <w:rFonts w:asciiTheme="minorHAnsi" w:hAnsiTheme="minorHAnsi" w:cstheme="minorBidi"/>
                <w:sz w:val="22"/>
                <w:szCs w:val="22"/>
              </w:rPr>
              <w:t xml:space="preserve">voluntary </w:t>
            </w:r>
            <w:r w:rsidRPr="1D57B863" w:rsidR="24FAEDCE">
              <w:rPr>
                <w:rFonts w:asciiTheme="minorHAnsi" w:hAnsiTheme="minorHAnsi" w:cstheme="minorBidi"/>
                <w:sz w:val="22"/>
                <w:szCs w:val="22"/>
              </w:rPr>
              <w:t xml:space="preserve">Guidelines Daily Amount type scheme on the front of the food label </w:t>
            </w:r>
            <w:r w:rsidRPr="1D57B863">
              <w:rPr>
                <w:rFonts w:asciiTheme="minorHAnsi" w:hAnsiTheme="minorHAnsi" w:cstheme="minorBidi"/>
                <w:sz w:val="22"/>
                <w:szCs w:val="22"/>
              </w:rPr>
              <w:t>found that</w:t>
            </w:r>
            <w:r w:rsidRPr="1D57B863" w:rsidR="24FAEDCE">
              <w:rPr>
                <w:rFonts w:asciiTheme="minorHAnsi" w:hAnsiTheme="minorHAnsi" w:cstheme="minorBidi"/>
                <w:sz w:val="22"/>
                <w:szCs w:val="22"/>
              </w:rPr>
              <w:t xml:space="preserve"> the presence of the </w:t>
            </w:r>
            <w:r w:rsidRPr="1D57B863" w:rsidR="695AC78A">
              <w:rPr>
                <w:rFonts w:asciiTheme="minorHAnsi" w:hAnsiTheme="minorHAnsi" w:cstheme="minorBidi"/>
                <w:sz w:val="22"/>
                <w:szCs w:val="22"/>
              </w:rPr>
              <w:t>scheme</w:t>
            </w:r>
            <w:r w:rsidRPr="1D57B863" w:rsidR="3E078DFC">
              <w:rPr>
                <w:rFonts w:asciiTheme="minorHAnsi" w:hAnsiTheme="minorHAnsi" w:cstheme="minorBidi"/>
                <w:sz w:val="22"/>
                <w:szCs w:val="22"/>
              </w:rPr>
              <w:t xml:space="preserve"> resulted in greater sales of products that had fewer calories.</w:t>
            </w:r>
            <w:r w:rsidRPr="1D57B863" w:rsidR="695AC78A">
              <w:rPr>
                <w:rFonts w:asciiTheme="minorHAnsi" w:hAnsiTheme="minorHAnsi" w:cstheme="minorBidi"/>
                <w:sz w:val="22"/>
                <w:szCs w:val="22"/>
              </w:rPr>
              <w:t xml:space="preserve"> </w:t>
            </w:r>
            <w:r w:rsidRPr="1D57B863" w:rsidR="00E3900D">
              <w:rPr>
                <w:rFonts w:asciiTheme="minorHAnsi" w:hAnsiTheme="minorHAnsi" w:cstheme="minorBidi"/>
                <w:sz w:val="22"/>
                <w:szCs w:val="22"/>
              </w:rPr>
              <w:t xml:space="preserve"> </w:t>
            </w:r>
            <w:r w:rsidRPr="1D57B863" w:rsidR="5B25F55A">
              <w:rPr>
                <w:rFonts w:asciiTheme="minorHAnsi" w:hAnsiTheme="minorHAnsi" w:cstheme="minorBidi"/>
                <w:sz w:val="22"/>
                <w:szCs w:val="22"/>
              </w:rPr>
              <w:t>A</w:t>
            </w:r>
            <w:r w:rsidRPr="1D57B863" w:rsidR="587ECFE4">
              <w:rPr>
                <w:rFonts w:asciiTheme="minorHAnsi" w:hAnsiTheme="minorHAnsi" w:cstheme="minorBidi"/>
                <w:sz w:val="22"/>
                <w:szCs w:val="22"/>
              </w:rPr>
              <w:t>nother study (Finkelstein, 2021)</w:t>
            </w:r>
            <w:r w:rsidRPr="1D57B863" w:rsidR="5B25F55A">
              <w:rPr>
                <w:rFonts w:asciiTheme="minorHAnsi" w:hAnsiTheme="minorHAnsi" w:cstheme="minorBidi"/>
                <w:sz w:val="22"/>
                <w:szCs w:val="22"/>
              </w:rPr>
              <w:t xml:space="preserve"> found </w:t>
            </w:r>
            <w:r w:rsidRPr="1D57B863" w:rsidR="3CB3952B">
              <w:rPr>
                <w:rFonts w:asciiTheme="minorHAnsi" w:hAnsiTheme="minorHAnsi" w:cstheme="minorBidi"/>
                <w:sz w:val="22"/>
                <w:szCs w:val="22"/>
              </w:rPr>
              <w:t>Nutri-Score</w:t>
            </w:r>
            <w:r w:rsidRPr="1D57B863" w:rsidR="51C81F64">
              <w:rPr>
                <w:rFonts w:asciiTheme="minorHAnsi" w:hAnsiTheme="minorHAnsi" w:cstheme="minorBidi"/>
                <w:sz w:val="22"/>
                <w:szCs w:val="22"/>
              </w:rPr>
              <w:t xml:space="preserve"> may be preferred if the goal is to improve overall diet quality</w:t>
            </w:r>
            <w:r w:rsidRPr="1D57B863" w:rsidR="15E363A9">
              <w:rPr>
                <w:rFonts w:asciiTheme="minorHAnsi" w:hAnsiTheme="minorHAnsi" w:cstheme="minorBidi"/>
                <w:sz w:val="22"/>
                <w:szCs w:val="22"/>
              </w:rPr>
              <w:t>,</w:t>
            </w:r>
            <w:r w:rsidRPr="1D57B863" w:rsidR="51C81F64">
              <w:rPr>
                <w:rFonts w:asciiTheme="minorHAnsi" w:hAnsiTheme="minorHAnsi" w:cstheme="minorBidi"/>
                <w:sz w:val="22"/>
                <w:szCs w:val="22"/>
              </w:rPr>
              <w:t xml:space="preserve"> but </w:t>
            </w:r>
            <w:r w:rsidRPr="1D57B863" w:rsidR="3CB3952B">
              <w:rPr>
                <w:rFonts w:asciiTheme="minorHAnsi" w:hAnsiTheme="minorHAnsi" w:cstheme="minorBidi"/>
                <w:sz w:val="22"/>
                <w:szCs w:val="22"/>
              </w:rPr>
              <w:t xml:space="preserve">Multiple Traffic Light </w:t>
            </w:r>
            <w:r w:rsidRPr="00190091" w:rsidR="3CB3952B">
              <w:rPr>
                <w:rFonts w:asciiTheme="minorHAnsi" w:hAnsiTheme="minorHAnsi" w:cstheme="minorHAnsi"/>
                <w:sz w:val="22"/>
                <w:szCs w:val="22"/>
              </w:rPr>
              <w:t>symbols</w:t>
            </w:r>
            <w:r w:rsidRPr="00190091" w:rsidR="51C81F64">
              <w:rPr>
                <w:rFonts w:asciiTheme="minorHAnsi" w:hAnsiTheme="minorHAnsi" w:cstheme="minorHAnsi"/>
                <w:sz w:val="22"/>
                <w:szCs w:val="22"/>
              </w:rPr>
              <w:t xml:space="preserve"> may perform better if the goal is to reduce total energy intake.</w:t>
            </w:r>
          </w:p>
          <w:p w:rsidR="00902943" w:rsidRPr="00190091" w:rsidP="000E1C27" w14:paraId="34F9BB17" w14:textId="0C9206FB">
            <w:pPr>
              <w:pStyle w:val="ListParagraph"/>
              <w:numPr>
                <w:ilvl w:val="0"/>
                <w:numId w:val="4"/>
              </w:numPr>
              <w:rPr>
                <w:rFonts w:asciiTheme="minorHAnsi" w:hAnsiTheme="minorHAnsi" w:cstheme="minorHAnsi"/>
                <w:sz w:val="22"/>
                <w:szCs w:val="22"/>
              </w:rPr>
            </w:pPr>
            <w:r w:rsidRPr="00190091">
              <w:rPr>
                <w:rFonts w:asciiTheme="minorHAnsi" w:hAnsiTheme="minorHAnsi" w:cstheme="minorHAnsi"/>
                <w:sz w:val="22"/>
                <w:szCs w:val="22"/>
              </w:rPr>
              <w:t>An e</w:t>
            </w:r>
            <w:r w:rsidRPr="00190091" w:rsidR="0CAD9AE9">
              <w:rPr>
                <w:rFonts w:asciiTheme="minorHAnsi" w:hAnsiTheme="minorHAnsi" w:cstheme="minorHAnsi"/>
                <w:sz w:val="22"/>
                <w:szCs w:val="22"/>
              </w:rPr>
              <w:t xml:space="preserve">conomics </w:t>
            </w:r>
            <w:r w:rsidRPr="00190091" w:rsidR="54E3C5CD">
              <w:rPr>
                <w:rFonts w:asciiTheme="minorHAnsi" w:hAnsiTheme="minorHAnsi" w:cstheme="minorHAnsi"/>
                <w:sz w:val="22"/>
                <w:szCs w:val="22"/>
              </w:rPr>
              <w:t>study from France</w:t>
            </w:r>
            <w:r w:rsidRPr="00190091" w:rsidR="2FE374DF">
              <w:rPr>
                <w:rFonts w:asciiTheme="minorHAnsi" w:hAnsiTheme="minorHAnsi" w:cstheme="minorHAnsi"/>
                <w:sz w:val="22"/>
                <w:szCs w:val="22"/>
              </w:rPr>
              <w:t xml:space="preserve"> (Egnell, 201</w:t>
            </w:r>
            <w:r w:rsidRPr="00190091" w:rsidR="2996357E">
              <w:rPr>
                <w:rFonts w:asciiTheme="minorHAnsi" w:hAnsiTheme="minorHAnsi" w:cstheme="minorHAnsi"/>
                <w:sz w:val="22"/>
                <w:szCs w:val="22"/>
              </w:rPr>
              <w:t>9</w:t>
            </w:r>
            <w:r w:rsidRPr="00190091" w:rsidR="2FE374DF">
              <w:rPr>
                <w:rFonts w:asciiTheme="minorHAnsi" w:hAnsiTheme="minorHAnsi" w:cstheme="minorHAnsi"/>
                <w:sz w:val="22"/>
                <w:szCs w:val="22"/>
              </w:rPr>
              <w:t>)</w:t>
            </w:r>
            <w:r w:rsidRPr="00190091" w:rsidR="5B275A77">
              <w:rPr>
                <w:rFonts w:asciiTheme="minorHAnsi" w:hAnsiTheme="minorHAnsi" w:cstheme="minorHAnsi"/>
                <w:sz w:val="22"/>
                <w:szCs w:val="22"/>
              </w:rPr>
              <w:t>,</w:t>
            </w:r>
            <w:r w:rsidRPr="00190091" w:rsidR="36DBD972">
              <w:rPr>
                <w:rFonts w:asciiTheme="minorHAnsi" w:hAnsiTheme="minorHAnsi" w:cstheme="minorHAnsi"/>
                <w:sz w:val="22"/>
                <w:szCs w:val="22"/>
              </w:rPr>
              <w:t xml:space="preserve"> </w:t>
            </w:r>
            <w:r w:rsidRPr="00190091" w:rsidR="7C7990B0">
              <w:rPr>
                <w:rFonts w:asciiTheme="minorHAnsi" w:hAnsiTheme="minorHAnsi" w:cstheme="minorHAnsi"/>
                <w:sz w:val="22"/>
                <w:szCs w:val="22"/>
              </w:rPr>
              <w:t>using</w:t>
            </w:r>
            <w:r w:rsidRPr="00190091" w:rsidR="5B275A77">
              <w:rPr>
                <w:rFonts w:asciiTheme="minorHAnsi" w:hAnsiTheme="minorHAnsi" w:cstheme="minorHAnsi"/>
                <w:sz w:val="22"/>
                <w:szCs w:val="22"/>
              </w:rPr>
              <w:t xml:space="preserve"> data </w:t>
            </w:r>
            <w:r w:rsidRPr="00190091" w:rsidR="7C7990B0">
              <w:rPr>
                <w:rFonts w:asciiTheme="minorHAnsi" w:hAnsiTheme="minorHAnsi" w:cstheme="minorHAnsi"/>
                <w:sz w:val="22"/>
                <w:szCs w:val="22"/>
              </w:rPr>
              <w:t xml:space="preserve">simulations, </w:t>
            </w:r>
            <w:r w:rsidRPr="00190091" w:rsidR="0CAD9AE9">
              <w:rPr>
                <w:rFonts w:asciiTheme="minorHAnsi" w:hAnsiTheme="minorHAnsi" w:cstheme="minorHAnsi"/>
                <w:sz w:val="22"/>
                <w:szCs w:val="22"/>
              </w:rPr>
              <w:t>modeled</w:t>
            </w:r>
            <w:r w:rsidRPr="00190091" w:rsidR="5B275A77">
              <w:rPr>
                <w:rFonts w:asciiTheme="minorHAnsi" w:hAnsiTheme="minorHAnsi" w:cstheme="minorHAnsi"/>
                <w:sz w:val="22"/>
                <w:szCs w:val="22"/>
              </w:rPr>
              <w:t xml:space="preserve"> the</w:t>
            </w:r>
            <w:r w:rsidRPr="00190091" w:rsidR="0CAD9AE9">
              <w:rPr>
                <w:rFonts w:asciiTheme="minorHAnsi" w:hAnsiTheme="minorHAnsi" w:cstheme="minorHAnsi"/>
                <w:sz w:val="22"/>
                <w:szCs w:val="22"/>
              </w:rPr>
              <w:t xml:space="preserve"> sales data of products carrying </w:t>
            </w:r>
            <w:r w:rsidRPr="00190091" w:rsidR="33885468">
              <w:rPr>
                <w:rFonts w:asciiTheme="minorHAnsi" w:hAnsiTheme="minorHAnsi" w:cstheme="minorHAnsi"/>
                <w:sz w:val="22"/>
                <w:szCs w:val="22"/>
              </w:rPr>
              <w:t>five different schemes (Nutri-Score</w:t>
            </w:r>
            <w:r w:rsidRPr="00190091" w:rsidR="1454841B">
              <w:rPr>
                <w:rFonts w:asciiTheme="minorHAnsi" w:hAnsiTheme="minorHAnsi" w:cstheme="minorHAnsi"/>
                <w:sz w:val="22"/>
                <w:szCs w:val="22"/>
              </w:rPr>
              <w:t xml:space="preserve">, </w:t>
            </w:r>
            <w:r w:rsidRPr="00190091" w:rsidR="008D0665">
              <w:rPr>
                <w:rFonts w:asciiTheme="minorHAnsi" w:hAnsiTheme="minorHAnsi" w:cstheme="minorHAnsi"/>
                <w:sz w:val="22"/>
                <w:szCs w:val="22"/>
              </w:rPr>
              <w:t>H</w:t>
            </w:r>
            <w:r w:rsidRPr="00190091" w:rsidR="1454841B">
              <w:rPr>
                <w:rFonts w:asciiTheme="minorHAnsi" w:hAnsiTheme="minorHAnsi" w:cstheme="minorHAnsi"/>
                <w:sz w:val="22"/>
                <w:szCs w:val="22"/>
              </w:rPr>
              <w:t>ealth Star Rating, Multiple Traffic Lights, Reference intakes</w:t>
            </w:r>
            <w:r w:rsidR="00190091">
              <w:rPr>
                <w:rFonts w:asciiTheme="minorHAnsi" w:hAnsiTheme="minorHAnsi" w:cstheme="minorHAnsi"/>
                <w:sz w:val="22"/>
                <w:szCs w:val="22"/>
              </w:rPr>
              <w:t>,</w:t>
            </w:r>
            <w:r w:rsidRPr="00190091" w:rsidR="1454841B">
              <w:rPr>
                <w:rFonts w:asciiTheme="minorHAnsi" w:hAnsiTheme="minorHAnsi" w:cstheme="minorHAnsi"/>
                <w:sz w:val="22"/>
                <w:szCs w:val="22"/>
              </w:rPr>
              <w:t xml:space="preserve"> and SENS </w:t>
            </w:r>
            <w:r w:rsidRPr="00190091" w:rsidR="3CD6C2A0">
              <w:rPr>
                <w:rFonts w:asciiTheme="minorHAnsi" w:hAnsiTheme="minorHAnsi" w:cstheme="minorHAnsi"/>
                <w:sz w:val="22"/>
                <w:szCs w:val="22"/>
              </w:rPr>
              <w:t xml:space="preserve">to </w:t>
            </w:r>
            <w:r w:rsidRPr="00190091" w:rsidR="5B275A77">
              <w:rPr>
                <w:rFonts w:asciiTheme="minorHAnsi" w:hAnsiTheme="minorHAnsi" w:cstheme="minorHAnsi"/>
                <w:sz w:val="22"/>
                <w:szCs w:val="22"/>
              </w:rPr>
              <w:t xml:space="preserve">dietary intake data </w:t>
            </w:r>
            <w:r w:rsidRPr="00190091" w:rsidR="17F36E56">
              <w:rPr>
                <w:rFonts w:asciiTheme="minorHAnsi" w:hAnsiTheme="minorHAnsi" w:cstheme="minorHAnsi"/>
                <w:sz w:val="22"/>
                <w:szCs w:val="22"/>
              </w:rPr>
              <w:t xml:space="preserve">to estimate changes in </w:t>
            </w:r>
            <w:r w:rsidRPr="00190091" w:rsidR="33885468">
              <w:rPr>
                <w:rFonts w:asciiTheme="minorHAnsi" w:hAnsiTheme="minorHAnsi" w:cstheme="minorHAnsi"/>
                <w:sz w:val="22"/>
                <w:szCs w:val="22"/>
              </w:rPr>
              <w:t>chronic disease</w:t>
            </w:r>
            <w:r w:rsidRPr="00190091" w:rsidR="17F36E56">
              <w:rPr>
                <w:rFonts w:asciiTheme="minorHAnsi" w:hAnsiTheme="minorHAnsi" w:cstheme="minorHAnsi"/>
                <w:sz w:val="22"/>
                <w:szCs w:val="22"/>
              </w:rPr>
              <w:t xml:space="preserve"> mortality</w:t>
            </w:r>
            <w:r w:rsidRPr="00190091" w:rsidR="33DE0327">
              <w:rPr>
                <w:rFonts w:asciiTheme="minorHAnsi" w:hAnsiTheme="minorHAnsi" w:cstheme="minorHAnsi"/>
                <w:sz w:val="22"/>
                <w:szCs w:val="22"/>
              </w:rPr>
              <w:t xml:space="preserve"> by scheme</w:t>
            </w:r>
            <w:r w:rsidRPr="00190091" w:rsidR="17F36E56">
              <w:rPr>
                <w:rFonts w:asciiTheme="minorHAnsi" w:hAnsiTheme="minorHAnsi" w:cstheme="minorHAnsi"/>
                <w:sz w:val="22"/>
                <w:szCs w:val="22"/>
              </w:rPr>
              <w:t xml:space="preserve">. </w:t>
            </w:r>
            <w:r w:rsidRPr="00190091" w:rsidR="001A3823">
              <w:rPr>
                <w:rFonts w:asciiTheme="minorHAnsi" w:hAnsiTheme="minorHAnsi" w:cstheme="minorHAnsi"/>
                <w:sz w:val="22"/>
                <w:szCs w:val="22"/>
              </w:rPr>
              <w:t xml:space="preserve">Results indicated that </w:t>
            </w:r>
            <w:r w:rsidRPr="00190091" w:rsidR="00ED62B0">
              <w:rPr>
                <w:rFonts w:asciiTheme="minorHAnsi" w:hAnsiTheme="minorHAnsi" w:cstheme="minorHAnsi"/>
                <w:sz w:val="22"/>
                <w:szCs w:val="22"/>
              </w:rPr>
              <w:t xml:space="preserve">use of </w:t>
            </w:r>
            <w:r w:rsidRPr="00190091" w:rsidR="001A3823">
              <w:rPr>
                <w:rFonts w:asciiTheme="minorHAnsi" w:hAnsiTheme="minorHAnsi" w:cstheme="minorHAnsi"/>
                <w:sz w:val="22"/>
                <w:szCs w:val="22"/>
              </w:rPr>
              <w:t>t</w:t>
            </w:r>
            <w:r w:rsidRPr="00190091" w:rsidR="17F36E56">
              <w:rPr>
                <w:rFonts w:asciiTheme="minorHAnsi" w:hAnsiTheme="minorHAnsi" w:cstheme="minorHAnsi"/>
                <w:sz w:val="22"/>
                <w:szCs w:val="22"/>
              </w:rPr>
              <w:t>he</w:t>
            </w:r>
            <w:r w:rsidRPr="00190091" w:rsidR="54E3C5CD">
              <w:rPr>
                <w:rFonts w:asciiTheme="minorHAnsi" w:hAnsiTheme="minorHAnsi" w:cstheme="minorHAnsi"/>
                <w:sz w:val="22"/>
                <w:szCs w:val="22"/>
              </w:rPr>
              <w:t xml:space="preserve"> Nutri-Score</w:t>
            </w:r>
            <w:r w:rsidRPr="00190091" w:rsidR="17F36E56">
              <w:rPr>
                <w:rFonts w:asciiTheme="minorHAnsi" w:hAnsiTheme="minorHAnsi" w:cstheme="minorHAnsi"/>
                <w:sz w:val="22"/>
                <w:szCs w:val="22"/>
              </w:rPr>
              <w:t xml:space="preserve"> scheme</w:t>
            </w:r>
            <w:r w:rsidRPr="00190091" w:rsidR="54E3C5CD">
              <w:rPr>
                <w:rFonts w:asciiTheme="minorHAnsi" w:hAnsiTheme="minorHAnsi" w:cstheme="minorHAnsi"/>
                <w:sz w:val="22"/>
                <w:szCs w:val="22"/>
              </w:rPr>
              <w:t xml:space="preserve"> </w:t>
            </w:r>
            <w:r w:rsidRPr="00190091" w:rsidR="33885468">
              <w:rPr>
                <w:rFonts w:asciiTheme="minorHAnsi" w:hAnsiTheme="minorHAnsi" w:cstheme="minorHAnsi"/>
                <w:sz w:val="22"/>
                <w:szCs w:val="22"/>
              </w:rPr>
              <w:t>led to the greatest estimate</w:t>
            </w:r>
            <w:r w:rsidRPr="00190091" w:rsidR="36E7ED22">
              <w:rPr>
                <w:rFonts w:asciiTheme="minorHAnsi" w:hAnsiTheme="minorHAnsi" w:cstheme="minorHAnsi"/>
                <w:sz w:val="22"/>
                <w:szCs w:val="22"/>
              </w:rPr>
              <w:t>d</w:t>
            </w:r>
            <w:r w:rsidRPr="00190091" w:rsidR="33885468">
              <w:rPr>
                <w:rFonts w:asciiTheme="minorHAnsi" w:hAnsiTheme="minorHAnsi" w:cstheme="minorHAnsi"/>
                <w:sz w:val="22"/>
                <w:szCs w:val="22"/>
              </w:rPr>
              <w:t xml:space="preserve"> reduction in mortality (</w:t>
            </w:r>
            <w:r w:rsidRPr="00190091" w:rsidR="1C43C1B1">
              <w:rPr>
                <w:rFonts w:asciiTheme="minorHAnsi" w:hAnsiTheme="minorHAnsi" w:cstheme="minorHAnsi"/>
                <w:sz w:val="22"/>
                <w:szCs w:val="22"/>
              </w:rPr>
              <w:t>3.4%</w:t>
            </w:r>
            <w:r w:rsidRPr="00190091" w:rsidR="33885468">
              <w:rPr>
                <w:rFonts w:asciiTheme="minorHAnsi" w:hAnsiTheme="minorHAnsi" w:cstheme="minorHAnsi"/>
                <w:sz w:val="22"/>
                <w:szCs w:val="22"/>
              </w:rPr>
              <w:t>).</w:t>
            </w:r>
          </w:p>
          <w:p w:rsidR="00EA5581" w:rsidRPr="00170055" w:rsidP="00902943" w14:paraId="390B27B6" w14:textId="77777777">
            <w:pPr>
              <w:rPr>
                <w:rFonts w:asciiTheme="minorHAnsi" w:hAnsiTheme="minorHAnsi" w:cstheme="minorHAnsi"/>
                <w:b/>
                <w:bCs/>
                <w:sz w:val="22"/>
              </w:rPr>
            </w:pPr>
          </w:p>
          <w:p w:rsidR="0080237D" w:rsidRPr="009031C0" w:rsidP="00EA5581" w14:paraId="52B84B9A" w14:textId="24AAB05F">
            <w:pPr>
              <w:rPr>
                <w:rFonts w:asciiTheme="minorHAnsi" w:hAnsiTheme="minorHAnsi" w:cstheme="minorBidi"/>
                <w:sz w:val="22"/>
                <w:szCs w:val="22"/>
              </w:rPr>
            </w:pPr>
            <w:r w:rsidRPr="68D4329B">
              <w:rPr>
                <w:rFonts w:asciiTheme="minorHAnsi" w:hAnsiTheme="minorHAnsi" w:cstheme="minorBidi"/>
                <w:b/>
                <w:sz w:val="22"/>
                <w:szCs w:val="22"/>
              </w:rPr>
              <w:t xml:space="preserve">Conclusion: </w:t>
            </w:r>
            <w:r w:rsidRPr="68D4329B" w:rsidR="008B0192">
              <w:rPr>
                <w:rFonts w:asciiTheme="minorHAnsi" w:hAnsiTheme="minorHAnsi" w:cstheme="minorBidi"/>
                <w:sz w:val="22"/>
                <w:szCs w:val="22"/>
              </w:rPr>
              <w:t xml:space="preserve">These findings suggest that </w:t>
            </w:r>
            <w:r w:rsidR="004B6E26">
              <w:rPr>
                <w:rFonts w:asciiTheme="minorHAnsi" w:hAnsiTheme="minorHAnsi" w:cstheme="minorBidi"/>
                <w:sz w:val="22"/>
                <w:szCs w:val="22"/>
              </w:rPr>
              <w:t>FOP</w:t>
            </w:r>
            <w:r w:rsidRPr="68D4329B" w:rsidR="00734618">
              <w:rPr>
                <w:rFonts w:asciiTheme="minorHAnsi" w:hAnsiTheme="minorHAnsi" w:cstheme="minorBidi"/>
                <w:sz w:val="22"/>
                <w:szCs w:val="22"/>
              </w:rPr>
              <w:t>s</w:t>
            </w:r>
            <w:r w:rsidRPr="68D4329B" w:rsidR="008B0192">
              <w:rPr>
                <w:rFonts w:asciiTheme="minorHAnsi" w:hAnsiTheme="minorHAnsi" w:cstheme="minorBidi"/>
                <w:sz w:val="22"/>
                <w:szCs w:val="22"/>
              </w:rPr>
              <w:t xml:space="preserve"> can </w:t>
            </w:r>
            <w:r w:rsidRPr="68D4329B" w:rsidR="00647FD2">
              <w:rPr>
                <w:rFonts w:asciiTheme="minorHAnsi" w:hAnsiTheme="minorHAnsi" w:cstheme="minorBidi"/>
                <w:sz w:val="22"/>
                <w:szCs w:val="22"/>
              </w:rPr>
              <w:t xml:space="preserve">influence </w:t>
            </w:r>
            <w:r w:rsidRPr="68D4329B" w:rsidR="008B0192">
              <w:rPr>
                <w:rFonts w:asciiTheme="minorHAnsi" w:hAnsiTheme="minorHAnsi" w:cstheme="minorBidi"/>
                <w:sz w:val="22"/>
                <w:szCs w:val="22"/>
              </w:rPr>
              <w:t xml:space="preserve">healthier </w:t>
            </w:r>
            <w:r w:rsidRPr="68D4329B" w:rsidR="1904323A">
              <w:rPr>
                <w:rFonts w:asciiTheme="minorHAnsi" w:hAnsiTheme="minorHAnsi" w:cstheme="minorBidi"/>
                <w:sz w:val="22"/>
                <w:szCs w:val="22"/>
              </w:rPr>
              <w:t xml:space="preserve">food </w:t>
            </w:r>
            <w:r w:rsidRPr="68D4329B" w:rsidR="008B0192">
              <w:rPr>
                <w:rFonts w:asciiTheme="minorHAnsi" w:hAnsiTheme="minorHAnsi" w:cstheme="minorBidi"/>
                <w:sz w:val="22"/>
                <w:szCs w:val="22"/>
              </w:rPr>
              <w:t>purchases in supermarkets</w:t>
            </w:r>
            <w:r w:rsidRPr="68D4329B" w:rsidR="00C351B6">
              <w:rPr>
                <w:rFonts w:asciiTheme="minorHAnsi" w:hAnsiTheme="minorHAnsi" w:cstheme="minorBidi"/>
                <w:sz w:val="22"/>
                <w:szCs w:val="22"/>
              </w:rPr>
              <w:t xml:space="preserve"> and</w:t>
            </w:r>
            <w:r w:rsidRPr="68D4329B" w:rsidR="00DE652B">
              <w:rPr>
                <w:rFonts w:asciiTheme="minorHAnsi" w:hAnsiTheme="minorHAnsi" w:cstheme="minorBidi"/>
                <w:sz w:val="22"/>
                <w:szCs w:val="22"/>
              </w:rPr>
              <w:t>,</w:t>
            </w:r>
            <w:r w:rsidRPr="68D4329B" w:rsidR="00C351B6">
              <w:rPr>
                <w:rFonts w:asciiTheme="minorHAnsi" w:hAnsiTheme="minorHAnsi" w:cstheme="minorBidi"/>
                <w:sz w:val="22"/>
                <w:szCs w:val="22"/>
              </w:rPr>
              <w:t xml:space="preserve"> </w:t>
            </w:r>
            <w:r w:rsidRPr="68D4329B" w:rsidR="00DE652B">
              <w:rPr>
                <w:rFonts w:asciiTheme="minorHAnsi" w:hAnsiTheme="minorHAnsi" w:cstheme="minorBidi"/>
                <w:sz w:val="22"/>
                <w:szCs w:val="22"/>
              </w:rPr>
              <w:t xml:space="preserve">with prolonged use, </w:t>
            </w:r>
            <w:r w:rsidR="00FB2BFB">
              <w:rPr>
                <w:rFonts w:asciiTheme="minorHAnsi" w:hAnsiTheme="minorHAnsi" w:cstheme="minorBidi"/>
                <w:sz w:val="22"/>
                <w:szCs w:val="22"/>
              </w:rPr>
              <w:t xml:space="preserve">may </w:t>
            </w:r>
            <w:r w:rsidRPr="68D4329B" w:rsidR="00C351B6">
              <w:rPr>
                <w:rFonts w:asciiTheme="minorHAnsi" w:hAnsiTheme="minorHAnsi" w:cstheme="minorBidi"/>
                <w:sz w:val="22"/>
                <w:szCs w:val="22"/>
              </w:rPr>
              <w:t xml:space="preserve">lead to </w:t>
            </w:r>
            <w:r w:rsidR="00272C9A">
              <w:rPr>
                <w:rFonts w:asciiTheme="minorHAnsi" w:hAnsiTheme="minorHAnsi" w:cstheme="minorBidi"/>
                <w:sz w:val="22"/>
                <w:szCs w:val="22"/>
              </w:rPr>
              <w:t>improved</w:t>
            </w:r>
            <w:r w:rsidRPr="68D4329B" w:rsidR="00C351B6">
              <w:rPr>
                <w:rFonts w:asciiTheme="minorHAnsi" w:hAnsiTheme="minorHAnsi" w:cstheme="minorBidi"/>
                <w:sz w:val="22"/>
                <w:szCs w:val="22"/>
              </w:rPr>
              <w:t xml:space="preserve"> health outcomes</w:t>
            </w:r>
            <w:r w:rsidRPr="68D4329B" w:rsidR="00DE652B">
              <w:rPr>
                <w:rFonts w:asciiTheme="minorHAnsi" w:hAnsiTheme="minorHAnsi" w:cstheme="minorBidi"/>
                <w:sz w:val="22"/>
                <w:szCs w:val="22"/>
              </w:rPr>
              <w:t>.</w:t>
            </w:r>
          </w:p>
        </w:tc>
      </w:tr>
      <w:tr w14:paraId="1AC4C214" w14:textId="77777777" w:rsidTr="1D57B863">
        <w:tblPrEx>
          <w:tblW w:w="0" w:type="auto"/>
          <w:tblInd w:w="-5" w:type="dxa"/>
          <w:tblLook w:val="04A0"/>
        </w:tblPrEx>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37D" w:rsidP="00174D66" w14:paraId="42A8F601" w14:textId="77777777">
            <w:pPr>
              <w:rPr>
                <w:b/>
                <w:sz w:val="24"/>
                <w:szCs w:val="24"/>
              </w:rPr>
            </w:pPr>
            <w:r w:rsidRPr="005070D0">
              <w:rPr>
                <w:b/>
                <w:sz w:val="24"/>
                <w:szCs w:val="24"/>
              </w:rPr>
              <w:t>Effects on Educational Differences</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37D" w:rsidRPr="008A0F5F" w14:paraId="797CABED" w14:textId="3F12CEDE">
            <w:pPr>
              <w:pStyle w:val="ListParagraph"/>
              <w:numPr>
                <w:ilvl w:val="0"/>
                <w:numId w:val="5"/>
              </w:numPr>
              <w:rPr>
                <w:rFonts w:asciiTheme="minorHAnsi" w:hAnsiTheme="minorHAnsi" w:cstheme="minorHAnsi"/>
                <w:sz w:val="22"/>
                <w:szCs w:val="22"/>
              </w:rPr>
            </w:pPr>
            <w:r w:rsidRPr="006634AA">
              <w:rPr>
                <w:rFonts w:asciiTheme="minorHAnsi" w:hAnsiTheme="minorHAnsi" w:cstheme="minorHAnsi"/>
                <w:sz w:val="22"/>
                <w:szCs w:val="22"/>
              </w:rPr>
              <w:t xml:space="preserve">Our review identified </w:t>
            </w:r>
            <w:r w:rsidRPr="006634AA" w:rsidR="005070D0">
              <w:rPr>
                <w:rFonts w:asciiTheme="minorHAnsi" w:hAnsiTheme="minorHAnsi" w:cstheme="minorHAnsi"/>
                <w:sz w:val="22"/>
                <w:szCs w:val="22"/>
              </w:rPr>
              <w:t>t</w:t>
            </w:r>
            <w:r w:rsidRPr="006634AA" w:rsidR="00942813">
              <w:rPr>
                <w:rFonts w:asciiTheme="minorHAnsi" w:hAnsiTheme="minorHAnsi" w:cstheme="minorHAnsi"/>
                <w:sz w:val="22"/>
                <w:szCs w:val="22"/>
              </w:rPr>
              <w:t>wo</w:t>
            </w:r>
            <w:r w:rsidRPr="006634AA" w:rsidR="00936243">
              <w:rPr>
                <w:rFonts w:asciiTheme="minorHAnsi" w:hAnsiTheme="minorHAnsi" w:cstheme="minorHAnsi"/>
                <w:sz w:val="22"/>
                <w:szCs w:val="22"/>
              </w:rPr>
              <w:t xml:space="preserve"> experimental</w:t>
            </w:r>
            <w:r w:rsidRPr="006634AA">
              <w:rPr>
                <w:rFonts w:asciiTheme="minorHAnsi" w:hAnsiTheme="minorHAnsi" w:cstheme="minorHAnsi"/>
                <w:sz w:val="22"/>
                <w:szCs w:val="22"/>
              </w:rPr>
              <w:t xml:space="preserve"> studies that measured effects </w:t>
            </w:r>
            <w:r w:rsidRPr="006634AA" w:rsidR="00942813">
              <w:rPr>
                <w:rFonts w:asciiTheme="minorHAnsi" w:hAnsiTheme="minorHAnsi" w:cstheme="minorHAnsi"/>
                <w:sz w:val="22"/>
                <w:szCs w:val="22"/>
              </w:rPr>
              <w:t xml:space="preserve">of </w:t>
            </w:r>
            <w:r w:rsidRPr="006634AA" w:rsidR="004B6E26">
              <w:rPr>
                <w:rFonts w:asciiTheme="minorHAnsi" w:hAnsiTheme="minorHAnsi" w:cstheme="minorHAnsi"/>
                <w:sz w:val="22"/>
                <w:szCs w:val="22"/>
              </w:rPr>
              <w:t>FOP</w:t>
            </w:r>
            <w:r w:rsidRPr="006634AA" w:rsidR="00942813">
              <w:rPr>
                <w:rFonts w:asciiTheme="minorHAnsi" w:hAnsiTheme="minorHAnsi" w:cstheme="minorHAnsi"/>
                <w:sz w:val="22"/>
                <w:szCs w:val="22"/>
              </w:rPr>
              <w:t xml:space="preserve">s </w:t>
            </w:r>
            <w:r w:rsidRPr="006634AA">
              <w:rPr>
                <w:rFonts w:asciiTheme="minorHAnsi" w:hAnsiTheme="minorHAnsi" w:cstheme="minorHAnsi"/>
                <w:sz w:val="22"/>
                <w:szCs w:val="22"/>
              </w:rPr>
              <w:t>on education</w:t>
            </w:r>
            <w:r w:rsidRPr="006634AA" w:rsidR="00942813">
              <w:rPr>
                <w:rFonts w:asciiTheme="minorHAnsi" w:hAnsiTheme="minorHAnsi" w:cstheme="minorHAnsi"/>
                <w:sz w:val="22"/>
                <w:szCs w:val="22"/>
              </w:rPr>
              <w:t xml:space="preserve"> and health literacy</w:t>
            </w:r>
            <w:r w:rsidRPr="006634AA" w:rsidR="00936243">
              <w:rPr>
                <w:rFonts w:asciiTheme="minorHAnsi" w:hAnsiTheme="minorHAnsi" w:cstheme="minorHAnsi"/>
                <w:sz w:val="22"/>
                <w:szCs w:val="22"/>
              </w:rPr>
              <w:t>.</w:t>
            </w:r>
            <w:r w:rsidRPr="006634AA" w:rsidR="00E32658">
              <w:rPr>
                <w:rFonts w:asciiTheme="minorHAnsi" w:hAnsiTheme="minorHAnsi" w:cstheme="minorHAnsi"/>
                <w:sz w:val="22"/>
                <w:szCs w:val="22"/>
              </w:rPr>
              <w:t xml:space="preserve"> T</w:t>
            </w:r>
            <w:r w:rsidRPr="006634AA">
              <w:rPr>
                <w:rFonts w:asciiTheme="minorHAnsi" w:hAnsiTheme="minorHAnsi" w:cstheme="minorHAnsi"/>
                <w:sz w:val="22"/>
                <w:szCs w:val="22"/>
              </w:rPr>
              <w:t>he studies were conducted in Canada</w:t>
            </w:r>
            <w:r w:rsidRPr="006634AA" w:rsidR="00942813">
              <w:rPr>
                <w:rFonts w:asciiTheme="minorHAnsi" w:hAnsiTheme="minorHAnsi" w:cstheme="minorHAnsi"/>
                <w:sz w:val="22"/>
                <w:szCs w:val="22"/>
              </w:rPr>
              <w:t xml:space="preserve"> </w:t>
            </w:r>
            <w:r w:rsidRPr="006634AA" w:rsidR="00146FE8">
              <w:rPr>
                <w:rFonts w:asciiTheme="minorHAnsi" w:hAnsiTheme="minorHAnsi" w:cstheme="minorHAnsi"/>
                <w:sz w:val="22"/>
                <w:szCs w:val="22"/>
              </w:rPr>
              <w:t>and the UK.</w:t>
            </w:r>
          </w:p>
          <w:p w:rsidR="003D3EBF" w:rsidRPr="006634AA" w:rsidP="00767CAD" w14:paraId="6F26294D" w14:textId="7677A7A7">
            <w:pPr>
              <w:pStyle w:val="ListParagraph"/>
              <w:numPr>
                <w:ilvl w:val="0"/>
                <w:numId w:val="5"/>
              </w:numPr>
              <w:rPr>
                <w:rFonts w:asciiTheme="minorHAnsi" w:hAnsiTheme="minorHAnsi" w:cstheme="minorHAnsi"/>
                <w:sz w:val="22"/>
                <w:szCs w:val="22"/>
              </w:rPr>
            </w:pPr>
            <w:r w:rsidRPr="006634AA">
              <w:rPr>
                <w:rFonts w:asciiTheme="minorHAnsi" w:hAnsiTheme="minorHAnsi" w:cstheme="minorHAnsi"/>
                <w:sz w:val="22"/>
                <w:szCs w:val="22"/>
              </w:rPr>
              <w:t xml:space="preserve">Multiple </w:t>
            </w:r>
            <w:r w:rsidRPr="006634AA" w:rsidR="004B6E26">
              <w:rPr>
                <w:rFonts w:asciiTheme="minorHAnsi" w:hAnsiTheme="minorHAnsi" w:cstheme="minorHAnsi"/>
                <w:sz w:val="22"/>
                <w:szCs w:val="22"/>
              </w:rPr>
              <w:t>FOP</w:t>
            </w:r>
            <w:r w:rsidRPr="006634AA">
              <w:rPr>
                <w:rFonts w:asciiTheme="minorHAnsi" w:hAnsiTheme="minorHAnsi" w:cstheme="minorHAnsi"/>
                <w:sz w:val="22"/>
                <w:szCs w:val="22"/>
              </w:rPr>
              <w:t xml:space="preserve">s were </w:t>
            </w:r>
            <w:r w:rsidRPr="006634AA" w:rsidR="00D43980">
              <w:rPr>
                <w:rFonts w:asciiTheme="minorHAnsi" w:hAnsiTheme="minorHAnsi" w:cstheme="minorHAnsi"/>
                <w:sz w:val="22"/>
                <w:szCs w:val="22"/>
              </w:rPr>
              <w:t xml:space="preserve">examined, </w:t>
            </w:r>
            <w:r w:rsidRPr="006634AA" w:rsidR="0098763E">
              <w:rPr>
                <w:rFonts w:asciiTheme="minorHAnsi" w:hAnsiTheme="minorHAnsi" w:cstheme="minorHAnsi"/>
                <w:sz w:val="22"/>
                <w:szCs w:val="22"/>
              </w:rPr>
              <w:t>including</w:t>
            </w:r>
            <w:r w:rsidRPr="006634AA" w:rsidR="00D43980">
              <w:rPr>
                <w:rFonts w:asciiTheme="minorHAnsi" w:hAnsiTheme="minorHAnsi" w:cstheme="minorHAnsi"/>
                <w:sz w:val="22"/>
                <w:szCs w:val="22"/>
              </w:rPr>
              <w:t xml:space="preserve"> </w:t>
            </w:r>
            <w:r w:rsidRPr="006634AA" w:rsidR="004B6E26">
              <w:rPr>
                <w:rFonts w:asciiTheme="minorHAnsi" w:hAnsiTheme="minorHAnsi" w:cstheme="minorHAnsi"/>
                <w:sz w:val="22"/>
                <w:szCs w:val="22"/>
              </w:rPr>
              <w:t>Multiple Traffic Light symbols, Nutri-Score</w:t>
            </w:r>
            <w:r w:rsidRPr="006634AA" w:rsidR="00D43980">
              <w:rPr>
                <w:rFonts w:asciiTheme="minorHAnsi" w:hAnsiTheme="minorHAnsi" w:cstheme="minorHAnsi"/>
                <w:sz w:val="22"/>
                <w:szCs w:val="22"/>
              </w:rPr>
              <w:t xml:space="preserve">, Warning Label, </w:t>
            </w:r>
            <w:r w:rsidRPr="006634AA" w:rsidR="00101973">
              <w:rPr>
                <w:rFonts w:asciiTheme="minorHAnsi" w:hAnsiTheme="minorHAnsi" w:cstheme="minorHAnsi"/>
                <w:sz w:val="22"/>
                <w:szCs w:val="22"/>
              </w:rPr>
              <w:t xml:space="preserve">Health Star </w:t>
            </w:r>
            <w:r w:rsidRPr="006634AA" w:rsidR="00F0579C">
              <w:rPr>
                <w:rFonts w:asciiTheme="minorHAnsi" w:hAnsiTheme="minorHAnsi" w:cstheme="minorHAnsi"/>
                <w:sz w:val="22"/>
                <w:szCs w:val="22"/>
              </w:rPr>
              <w:t>Rating</w:t>
            </w:r>
            <w:r w:rsidRPr="006634AA" w:rsidR="00101973">
              <w:rPr>
                <w:rFonts w:asciiTheme="minorHAnsi" w:hAnsiTheme="minorHAnsi" w:cstheme="minorHAnsi"/>
                <w:sz w:val="22"/>
                <w:szCs w:val="22"/>
              </w:rPr>
              <w:t xml:space="preserve">, and </w:t>
            </w:r>
            <w:r w:rsidRPr="006634AA" w:rsidR="00C66A5A">
              <w:rPr>
                <w:rFonts w:asciiTheme="minorHAnsi" w:hAnsiTheme="minorHAnsi" w:cstheme="minorHAnsi"/>
                <w:sz w:val="22"/>
                <w:szCs w:val="22"/>
              </w:rPr>
              <w:t>Nutrition Facts</w:t>
            </w:r>
            <w:r w:rsidRPr="006634AA" w:rsidR="004B6E26">
              <w:rPr>
                <w:rFonts w:asciiTheme="minorHAnsi" w:hAnsiTheme="minorHAnsi" w:cstheme="minorHAnsi"/>
                <w:sz w:val="22"/>
                <w:szCs w:val="22"/>
              </w:rPr>
              <w:t xml:space="preserve"> label</w:t>
            </w:r>
            <w:r w:rsidRPr="006634AA" w:rsidR="132C82B4">
              <w:rPr>
                <w:rFonts w:asciiTheme="minorHAnsi" w:hAnsiTheme="minorHAnsi" w:cstheme="minorHAnsi"/>
                <w:sz w:val="22"/>
                <w:szCs w:val="22"/>
              </w:rPr>
              <w:t>.</w:t>
            </w:r>
          </w:p>
          <w:p w:rsidR="00244484" w:rsidRPr="006634AA" w:rsidP="00174D66" w14:paraId="5255DED9" w14:textId="0EC69948">
            <w:pPr>
              <w:pStyle w:val="ListParagraph"/>
              <w:numPr>
                <w:ilvl w:val="0"/>
                <w:numId w:val="5"/>
              </w:numPr>
              <w:rPr>
                <w:rFonts w:asciiTheme="minorHAnsi" w:hAnsiTheme="minorHAnsi" w:cstheme="minorHAnsi"/>
                <w:sz w:val="22"/>
                <w:szCs w:val="22"/>
              </w:rPr>
            </w:pPr>
            <w:r w:rsidRPr="006634AA">
              <w:rPr>
                <w:rFonts w:asciiTheme="minorHAnsi" w:hAnsiTheme="minorHAnsi" w:cstheme="minorHAnsi"/>
                <w:sz w:val="22"/>
                <w:szCs w:val="22"/>
              </w:rPr>
              <w:t xml:space="preserve">These studies examined the impact of </w:t>
            </w:r>
            <w:r w:rsidRPr="006634AA" w:rsidR="004B6E26">
              <w:rPr>
                <w:rFonts w:asciiTheme="minorHAnsi" w:hAnsiTheme="minorHAnsi" w:cstheme="minorHAnsi"/>
                <w:sz w:val="22"/>
                <w:szCs w:val="22"/>
              </w:rPr>
              <w:t>FOP</w:t>
            </w:r>
            <w:r w:rsidRPr="006634AA">
              <w:rPr>
                <w:rFonts w:asciiTheme="minorHAnsi" w:hAnsiTheme="minorHAnsi" w:cstheme="minorHAnsi"/>
                <w:sz w:val="22"/>
                <w:szCs w:val="22"/>
              </w:rPr>
              <w:t>s</w:t>
            </w:r>
            <w:r w:rsidRPr="006634AA" w:rsidR="00B5750C">
              <w:rPr>
                <w:rFonts w:asciiTheme="minorHAnsi" w:hAnsiTheme="minorHAnsi" w:cstheme="minorHAnsi"/>
                <w:sz w:val="22"/>
                <w:szCs w:val="22"/>
              </w:rPr>
              <w:t xml:space="preserve"> on participants’ ability to</w:t>
            </w:r>
            <w:r w:rsidRPr="006634AA" w:rsidR="002B7011">
              <w:rPr>
                <w:rFonts w:asciiTheme="minorHAnsi" w:hAnsiTheme="minorHAnsi" w:cstheme="minorHAnsi"/>
                <w:sz w:val="22"/>
                <w:szCs w:val="22"/>
              </w:rPr>
              <w:t xml:space="preserve"> accurately</w:t>
            </w:r>
            <w:r w:rsidRPr="006634AA" w:rsidR="00B5750C">
              <w:rPr>
                <w:rFonts w:asciiTheme="minorHAnsi" w:hAnsiTheme="minorHAnsi" w:cstheme="minorHAnsi"/>
                <w:sz w:val="22"/>
                <w:szCs w:val="22"/>
              </w:rPr>
              <w:t xml:space="preserve"> identify </w:t>
            </w:r>
            <w:r w:rsidRPr="006634AA" w:rsidR="293EBF19">
              <w:rPr>
                <w:rFonts w:asciiTheme="minorHAnsi" w:hAnsiTheme="minorHAnsi" w:cstheme="minorHAnsi"/>
                <w:sz w:val="22"/>
                <w:szCs w:val="22"/>
              </w:rPr>
              <w:t xml:space="preserve">the </w:t>
            </w:r>
            <w:r w:rsidRPr="006634AA" w:rsidR="00B5750C">
              <w:rPr>
                <w:rFonts w:asciiTheme="minorHAnsi" w:hAnsiTheme="minorHAnsi" w:cstheme="minorHAnsi"/>
                <w:sz w:val="22"/>
                <w:szCs w:val="22"/>
              </w:rPr>
              <w:t>healthfulness of foods.</w:t>
            </w:r>
            <w:r w:rsidRPr="006634AA" w:rsidR="00BC3B88">
              <w:rPr>
                <w:rFonts w:asciiTheme="minorHAnsi" w:hAnsiTheme="minorHAnsi" w:cstheme="minorHAnsi"/>
                <w:sz w:val="22"/>
                <w:szCs w:val="22"/>
              </w:rPr>
              <w:t xml:space="preserve"> </w:t>
            </w:r>
          </w:p>
          <w:p w:rsidR="009549A6" w:rsidRPr="006634AA" w:rsidP="2AC361A6" w14:paraId="610F7326" w14:textId="62C98D8B">
            <w:pPr>
              <w:pStyle w:val="ListParagraph"/>
              <w:numPr>
                <w:ilvl w:val="0"/>
                <w:numId w:val="5"/>
              </w:numPr>
              <w:rPr>
                <w:rFonts w:asciiTheme="minorHAnsi" w:hAnsiTheme="minorHAnsi" w:cstheme="minorHAnsi"/>
                <w:sz w:val="22"/>
                <w:szCs w:val="22"/>
              </w:rPr>
            </w:pPr>
            <w:r w:rsidRPr="006634AA">
              <w:rPr>
                <w:rFonts w:asciiTheme="minorHAnsi" w:hAnsiTheme="minorHAnsi" w:cstheme="minorHAnsi"/>
                <w:sz w:val="22"/>
                <w:szCs w:val="22"/>
              </w:rPr>
              <w:t>A</w:t>
            </w:r>
            <w:r w:rsidRPr="006634AA" w:rsidR="2A2AA893">
              <w:rPr>
                <w:rFonts w:asciiTheme="minorHAnsi" w:hAnsiTheme="minorHAnsi" w:cstheme="minorHAnsi"/>
                <w:sz w:val="22"/>
                <w:szCs w:val="22"/>
              </w:rPr>
              <w:t xml:space="preserve"> study</w:t>
            </w:r>
            <w:r w:rsidRPr="006634AA" w:rsidR="29169E00">
              <w:rPr>
                <w:rFonts w:asciiTheme="minorHAnsi" w:hAnsiTheme="minorHAnsi" w:cstheme="minorHAnsi"/>
                <w:sz w:val="22"/>
                <w:szCs w:val="22"/>
              </w:rPr>
              <w:t xml:space="preserve"> </w:t>
            </w:r>
            <w:r w:rsidRPr="006634AA" w:rsidR="2A2AA893">
              <w:rPr>
                <w:rFonts w:asciiTheme="minorHAnsi" w:hAnsiTheme="minorHAnsi" w:cstheme="minorHAnsi"/>
                <w:sz w:val="22"/>
                <w:szCs w:val="22"/>
              </w:rPr>
              <w:t>(Packer, 2021)</w:t>
            </w:r>
            <w:r w:rsidRPr="006634AA" w:rsidR="7391368F">
              <w:rPr>
                <w:rFonts w:asciiTheme="minorHAnsi" w:hAnsiTheme="minorHAnsi" w:cstheme="minorHAnsi"/>
                <w:sz w:val="22"/>
                <w:szCs w:val="22"/>
              </w:rPr>
              <w:t xml:space="preserve"> </w:t>
            </w:r>
            <w:r w:rsidRPr="006634AA" w:rsidR="187AD907">
              <w:rPr>
                <w:rFonts w:asciiTheme="minorHAnsi" w:hAnsiTheme="minorHAnsi" w:cstheme="minorHAnsi"/>
                <w:sz w:val="22"/>
                <w:szCs w:val="22"/>
              </w:rPr>
              <w:t>that looked at Nutri-Score, Multiple Traffic Lights. Warning Schemes, and a “Positive Choice Tick</w:t>
            </w:r>
            <w:r w:rsidRPr="006634AA" w:rsidR="057CAA93">
              <w:rPr>
                <w:rFonts w:asciiTheme="minorHAnsi" w:hAnsiTheme="minorHAnsi" w:cstheme="minorHAnsi"/>
                <w:sz w:val="22"/>
                <w:szCs w:val="22"/>
              </w:rPr>
              <w:t>” (i.e., a symbol indicating the food met some “healthy” criteria</w:t>
            </w:r>
            <w:r w:rsidRPr="006634AA" w:rsidR="048433AF">
              <w:rPr>
                <w:rFonts w:asciiTheme="minorHAnsi" w:hAnsiTheme="minorHAnsi" w:cstheme="minorHAnsi"/>
                <w:sz w:val="22"/>
                <w:szCs w:val="22"/>
              </w:rPr>
              <w:t>)</w:t>
            </w:r>
            <w:r w:rsidRPr="006634AA" w:rsidR="057CAA93">
              <w:rPr>
                <w:rFonts w:asciiTheme="minorHAnsi" w:hAnsiTheme="minorHAnsi" w:cstheme="minorHAnsi"/>
                <w:sz w:val="22"/>
                <w:szCs w:val="22"/>
              </w:rPr>
              <w:t xml:space="preserve">, </w:t>
            </w:r>
            <w:r w:rsidRPr="006634AA" w:rsidR="7391368F">
              <w:rPr>
                <w:rFonts w:asciiTheme="minorHAnsi" w:hAnsiTheme="minorHAnsi" w:cstheme="minorHAnsi"/>
                <w:sz w:val="22"/>
                <w:szCs w:val="22"/>
              </w:rPr>
              <w:t>found that</w:t>
            </w:r>
            <w:r w:rsidRPr="006634AA" w:rsidR="057CAA93">
              <w:rPr>
                <w:rFonts w:asciiTheme="minorHAnsi" w:hAnsiTheme="minorHAnsi" w:cstheme="minorHAnsi"/>
                <w:sz w:val="22"/>
                <w:szCs w:val="22"/>
              </w:rPr>
              <w:t xml:space="preserve">, compared to a </w:t>
            </w:r>
            <w:r w:rsidRPr="006634AA" w:rsidR="048433AF">
              <w:rPr>
                <w:rFonts w:asciiTheme="minorHAnsi" w:hAnsiTheme="minorHAnsi" w:cstheme="minorHAnsi"/>
                <w:sz w:val="22"/>
                <w:szCs w:val="22"/>
              </w:rPr>
              <w:t>“</w:t>
            </w:r>
            <w:r w:rsidRPr="006634AA" w:rsidR="057CAA93">
              <w:rPr>
                <w:rFonts w:asciiTheme="minorHAnsi" w:hAnsiTheme="minorHAnsi" w:cstheme="minorHAnsi"/>
                <w:sz w:val="22"/>
                <w:szCs w:val="22"/>
              </w:rPr>
              <w:t>no-symbol</w:t>
            </w:r>
            <w:r w:rsidRPr="006634AA" w:rsidR="048433AF">
              <w:rPr>
                <w:rFonts w:asciiTheme="minorHAnsi" w:hAnsiTheme="minorHAnsi" w:cstheme="minorHAnsi"/>
                <w:sz w:val="22"/>
                <w:szCs w:val="22"/>
              </w:rPr>
              <w:t>”</w:t>
            </w:r>
            <w:r w:rsidRPr="006634AA" w:rsidR="057CAA93">
              <w:rPr>
                <w:rFonts w:asciiTheme="minorHAnsi" w:hAnsiTheme="minorHAnsi" w:cstheme="minorHAnsi"/>
                <w:sz w:val="22"/>
                <w:szCs w:val="22"/>
              </w:rPr>
              <w:t xml:space="preserve"> food package, participants were able to </w:t>
            </w:r>
            <w:r w:rsidRPr="006634AA">
              <w:rPr>
                <w:rFonts w:asciiTheme="minorHAnsi" w:hAnsiTheme="minorHAnsi" w:cstheme="minorHAnsi"/>
                <w:sz w:val="22"/>
                <w:szCs w:val="22"/>
              </w:rPr>
              <w:t xml:space="preserve">correctly </w:t>
            </w:r>
            <w:r w:rsidRPr="006634AA" w:rsidR="048433AF">
              <w:rPr>
                <w:rFonts w:asciiTheme="minorHAnsi" w:hAnsiTheme="minorHAnsi" w:cstheme="minorHAnsi"/>
                <w:sz w:val="22"/>
                <w:szCs w:val="22"/>
              </w:rPr>
              <w:t>identify the three-category</w:t>
            </w:r>
            <w:r w:rsidRPr="006634AA" w:rsidR="44C472AB">
              <w:rPr>
                <w:rFonts w:asciiTheme="minorHAnsi" w:hAnsiTheme="minorHAnsi" w:cstheme="minorHAnsi"/>
                <w:sz w:val="22"/>
                <w:szCs w:val="22"/>
              </w:rPr>
              <w:t xml:space="preserve"> levels of</w:t>
            </w:r>
            <w:r w:rsidRPr="006634AA" w:rsidR="048433AF">
              <w:rPr>
                <w:rFonts w:asciiTheme="minorHAnsi" w:hAnsiTheme="minorHAnsi" w:cstheme="minorHAnsi"/>
                <w:sz w:val="22"/>
                <w:szCs w:val="22"/>
              </w:rPr>
              <w:t xml:space="preserve"> </w:t>
            </w:r>
            <w:r w:rsidRPr="006634AA" w:rsidR="057CAA93">
              <w:rPr>
                <w:rFonts w:asciiTheme="minorHAnsi" w:hAnsiTheme="minorHAnsi" w:cstheme="minorHAnsi"/>
                <w:sz w:val="22"/>
                <w:szCs w:val="22"/>
              </w:rPr>
              <w:t>healthfulness</w:t>
            </w:r>
            <w:r w:rsidRPr="006634AA">
              <w:rPr>
                <w:rFonts w:asciiTheme="minorHAnsi" w:hAnsiTheme="minorHAnsi" w:cstheme="minorHAnsi"/>
                <w:sz w:val="22"/>
                <w:szCs w:val="22"/>
              </w:rPr>
              <w:t xml:space="preserve"> of the food. </w:t>
            </w:r>
            <w:r w:rsidRPr="006634AA" w:rsidR="057CAA93">
              <w:rPr>
                <w:rFonts w:asciiTheme="minorHAnsi" w:hAnsiTheme="minorHAnsi" w:cstheme="minorHAnsi"/>
                <w:sz w:val="22"/>
                <w:szCs w:val="22"/>
              </w:rPr>
              <w:t xml:space="preserve"> </w:t>
            </w:r>
            <w:r w:rsidRPr="006634AA" w:rsidR="69DD9754">
              <w:rPr>
                <w:rFonts w:asciiTheme="minorHAnsi" w:hAnsiTheme="minorHAnsi" w:cstheme="minorHAnsi"/>
                <w:sz w:val="22"/>
                <w:szCs w:val="22"/>
              </w:rPr>
              <w:t xml:space="preserve">Further analysis </w:t>
            </w:r>
            <w:r w:rsidRPr="006634AA" w:rsidR="17CB327B">
              <w:rPr>
                <w:rFonts w:asciiTheme="minorHAnsi" w:hAnsiTheme="minorHAnsi" w:cstheme="minorHAnsi"/>
                <w:sz w:val="22"/>
                <w:szCs w:val="22"/>
              </w:rPr>
              <w:t>indicated that</w:t>
            </w:r>
            <w:r w:rsidRPr="006634AA" w:rsidR="059B6A0B">
              <w:rPr>
                <w:rFonts w:asciiTheme="minorHAnsi" w:hAnsiTheme="minorHAnsi" w:cstheme="minorHAnsi"/>
                <w:sz w:val="22"/>
                <w:szCs w:val="22"/>
              </w:rPr>
              <w:t xml:space="preserve"> </w:t>
            </w:r>
            <w:r w:rsidRPr="006634AA" w:rsidR="44C472AB">
              <w:rPr>
                <w:rFonts w:asciiTheme="minorHAnsi" w:hAnsiTheme="minorHAnsi" w:cstheme="minorHAnsi"/>
                <w:sz w:val="22"/>
                <w:szCs w:val="22"/>
              </w:rPr>
              <w:t xml:space="preserve">more highly educated </w:t>
            </w:r>
            <w:r w:rsidRPr="006634AA" w:rsidR="059B6A0B">
              <w:rPr>
                <w:rFonts w:asciiTheme="minorHAnsi" w:hAnsiTheme="minorHAnsi" w:cstheme="minorHAnsi"/>
                <w:sz w:val="22"/>
                <w:szCs w:val="22"/>
              </w:rPr>
              <w:t>participants</w:t>
            </w:r>
            <w:r w:rsidRPr="006634AA" w:rsidR="44C472AB">
              <w:rPr>
                <w:rFonts w:asciiTheme="minorHAnsi" w:hAnsiTheme="minorHAnsi" w:cstheme="minorHAnsi"/>
                <w:sz w:val="22"/>
                <w:szCs w:val="22"/>
              </w:rPr>
              <w:t>,</w:t>
            </w:r>
            <w:r w:rsidRPr="006634AA" w:rsidR="059B6A0B">
              <w:rPr>
                <w:rFonts w:asciiTheme="minorHAnsi" w:hAnsiTheme="minorHAnsi" w:cstheme="minorHAnsi"/>
                <w:sz w:val="22"/>
                <w:szCs w:val="22"/>
              </w:rPr>
              <w:t xml:space="preserve"> </w:t>
            </w:r>
            <w:r w:rsidRPr="006634AA" w:rsidR="44C472AB">
              <w:rPr>
                <w:rFonts w:asciiTheme="minorHAnsi" w:hAnsiTheme="minorHAnsi" w:cstheme="minorHAnsi"/>
                <w:sz w:val="22"/>
                <w:szCs w:val="22"/>
              </w:rPr>
              <w:t>versus those with l</w:t>
            </w:r>
            <w:r w:rsidRPr="006634AA" w:rsidR="0037794D">
              <w:rPr>
                <w:rFonts w:asciiTheme="minorHAnsi" w:hAnsiTheme="minorHAnsi" w:cstheme="minorHAnsi"/>
                <w:sz w:val="22"/>
                <w:szCs w:val="22"/>
              </w:rPr>
              <w:t>ower</w:t>
            </w:r>
            <w:r w:rsidRPr="006634AA" w:rsidR="44C472AB">
              <w:rPr>
                <w:rFonts w:asciiTheme="minorHAnsi" w:hAnsiTheme="minorHAnsi" w:cstheme="minorHAnsi"/>
                <w:sz w:val="22"/>
                <w:szCs w:val="22"/>
              </w:rPr>
              <w:t xml:space="preserve"> education, </w:t>
            </w:r>
            <w:r w:rsidRPr="006634AA" w:rsidR="7DF11A85">
              <w:rPr>
                <w:rFonts w:asciiTheme="minorHAnsi" w:hAnsiTheme="minorHAnsi" w:cstheme="minorHAnsi"/>
                <w:sz w:val="22"/>
                <w:szCs w:val="22"/>
              </w:rPr>
              <w:t xml:space="preserve">identified </w:t>
            </w:r>
            <w:r w:rsidRPr="006634AA" w:rsidR="769F24B3">
              <w:rPr>
                <w:rFonts w:asciiTheme="minorHAnsi" w:hAnsiTheme="minorHAnsi" w:cstheme="minorHAnsi"/>
                <w:sz w:val="22"/>
                <w:szCs w:val="22"/>
              </w:rPr>
              <w:t>healthfulness with more accuracy. However</w:t>
            </w:r>
            <w:r w:rsidRPr="006634AA" w:rsidR="0928DDD6">
              <w:rPr>
                <w:rFonts w:asciiTheme="minorHAnsi" w:hAnsiTheme="minorHAnsi" w:cstheme="minorHAnsi"/>
                <w:sz w:val="22"/>
                <w:szCs w:val="22"/>
              </w:rPr>
              <w:t>, regardless of education level, compared to a “no symbol” control, participants could</w:t>
            </w:r>
            <w:r w:rsidRPr="006634AA">
              <w:rPr>
                <w:rFonts w:asciiTheme="minorHAnsi" w:hAnsiTheme="minorHAnsi" w:cstheme="minorHAnsi"/>
                <w:sz w:val="22"/>
                <w:szCs w:val="22"/>
              </w:rPr>
              <w:t xml:space="preserve"> </w:t>
            </w:r>
            <w:r w:rsidRPr="006634AA" w:rsidR="44C472AB">
              <w:rPr>
                <w:rFonts w:asciiTheme="minorHAnsi" w:hAnsiTheme="minorHAnsi" w:cstheme="minorHAnsi"/>
                <w:sz w:val="22"/>
                <w:szCs w:val="22"/>
              </w:rPr>
              <w:t xml:space="preserve">use the schemes to </w:t>
            </w:r>
            <w:r w:rsidRPr="006634AA" w:rsidR="51D10212">
              <w:rPr>
                <w:rFonts w:asciiTheme="minorHAnsi" w:hAnsiTheme="minorHAnsi" w:cstheme="minorHAnsi"/>
                <w:sz w:val="22"/>
                <w:szCs w:val="22"/>
              </w:rPr>
              <w:t>accurate</w:t>
            </w:r>
            <w:r w:rsidRPr="006634AA" w:rsidR="1ACC5D59">
              <w:rPr>
                <w:rFonts w:asciiTheme="minorHAnsi" w:hAnsiTheme="minorHAnsi" w:cstheme="minorHAnsi"/>
                <w:sz w:val="22"/>
                <w:szCs w:val="22"/>
              </w:rPr>
              <w:t xml:space="preserve">ly </w:t>
            </w:r>
            <w:r w:rsidRPr="006634AA" w:rsidR="44C472AB">
              <w:rPr>
                <w:rFonts w:asciiTheme="minorHAnsi" w:hAnsiTheme="minorHAnsi" w:cstheme="minorHAnsi"/>
                <w:sz w:val="22"/>
                <w:szCs w:val="22"/>
              </w:rPr>
              <w:t>rank the foods’</w:t>
            </w:r>
            <w:r w:rsidRPr="006634AA" w:rsidR="1ACC5D59">
              <w:rPr>
                <w:rFonts w:asciiTheme="minorHAnsi" w:hAnsiTheme="minorHAnsi" w:cstheme="minorHAnsi"/>
                <w:sz w:val="22"/>
                <w:szCs w:val="22"/>
              </w:rPr>
              <w:t xml:space="preserve"> </w:t>
            </w:r>
            <w:r w:rsidRPr="006634AA" w:rsidR="3F599EC7">
              <w:rPr>
                <w:rFonts w:asciiTheme="minorHAnsi" w:hAnsiTheme="minorHAnsi" w:cstheme="minorHAnsi"/>
                <w:sz w:val="22"/>
                <w:szCs w:val="22"/>
              </w:rPr>
              <w:t>healthful</w:t>
            </w:r>
            <w:r w:rsidRPr="006634AA" w:rsidR="44C472AB">
              <w:rPr>
                <w:rFonts w:asciiTheme="minorHAnsi" w:hAnsiTheme="minorHAnsi" w:cstheme="minorHAnsi"/>
                <w:sz w:val="22"/>
                <w:szCs w:val="22"/>
              </w:rPr>
              <w:t>ness.</w:t>
            </w:r>
          </w:p>
          <w:p w:rsidR="00083A00" w:rsidRPr="006634AA" w:rsidP="006634AA" w14:paraId="3E92B891" w14:textId="51076A38">
            <w:pPr>
              <w:pStyle w:val="ListParagraph"/>
              <w:numPr>
                <w:ilvl w:val="0"/>
                <w:numId w:val="5"/>
              </w:numPr>
              <w:rPr>
                <w:rFonts w:asciiTheme="minorHAnsi" w:hAnsiTheme="minorHAnsi" w:cstheme="minorHAnsi"/>
                <w:sz w:val="22"/>
                <w:szCs w:val="22"/>
              </w:rPr>
            </w:pPr>
            <w:r w:rsidRPr="006634AA">
              <w:rPr>
                <w:rFonts w:asciiTheme="minorHAnsi" w:hAnsiTheme="minorHAnsi" w:cstheme="minorHAnsi"/>
                <w:sz w:val="22"/>
                <w:szCs w:val="22"/>
              </w:rPr>
              <w:t xml:space="preserve">Another study (Vanderlee, </w:t>
            </w:r>
            <w:r w:rsidRPr="006634AA" w:rsidR="55BEB938">
              <w:rPr>
                <w:rFonts w:asciiTheme="minorHAnsi" w:hAnsiTheme="minorHAnsi" w:cstheme="minorHAnsi"/>
                <w:sz w:val="22"/>
                <w:szCs w:val="22"/>
              </w:rPr>
              <w:t>202</w:t>
            </w:r>
            <w:r w:rsidRPr="006634AA" w:rsidR="642C5E98">
              <w:rPr>
                <w:rFonts w:asciiTheme="minorHAnsi" w:hAnsiTheme="minorHAnsi" w:cstheme="minorHAnsi"/>
                <w:sz w:val="22"/>
                <w:szCs w:val="22"/>
              </w:rPr>
              <w:t>1</w:t>
            </w:r>
            <w:r w:rsidRPr="006634AA" w:rsidR="55BEB938">
              <w:rPr>
                <w:rFonts w:asciiTheme="minorHAnsi" w:hAnsiTheme="minorHAnsi" w:cstheme="minorHAnsi"/>
                <w:sz w:val="22"/>
                <w:szCs w:val="22"/>
              </w:rPr>
              <w:t xml:space="preserve">) </w:t>
            </w:r>
            <w:r w:rsidRPr="006634AA" w:rsidR="418F97AD">
              <w:rPr>
                <w:rFonts w:asciiTheme="minorHAnsi" w:hAnsiTheme="minorHAnsi" w:cstheme="minorHAnsi"/>
                <w:sz w:val="22"/>
                <w:szCs w:val="22"/>
              </w:rPr>
              <w:t>that compared Multiple Traffic Lights, Health Star Rating</w:t>
            </w:r>
            <w:r w:rsidRPr="006634AA" w:rsidR="42246461">
              <w:rPr>
                <w:rFonts w:asciiTheme="minorHAnsi" w:hAnsiTheme="minorHAnsi" w:cstheme="minorHAnsi"/>
                <w:sz w:val="22"/>
                <w:szCs w:val="22"/>
              </w:rPr>
              <w:t xml:space="preserve">, a Warning Label, and a “no symbol” control </w:t>
            </w:r>
            <w:r w:rsidRPr="006634AA" w:rsidR="22248AF4">
              <w:rPr>
                <w:rFonts w:asciiTheme="minorHAnsi" w:hAnsiTheme="minorHAnsi" w:cstheme="minorHAnsi"/>
                <w:sz w:val="22"/>
                <w:szCs w:val="22"/>
              </w:rPr>
              <w:t>found</w:t>
            </w:r>
            <w:r w:rsidRPr="006634AA" w:rsidR="38580F98">
              <w:rPr>
                <w:rFonts w:asciiTheme="minorHAnsi" w:hAnsiTheme="minorHAnsi" w:cstheme="minorHAnsi"/>
                <w:sz w:val="22"/>
                <w:szCs w:val="22"/>
              </w:rPr>
              <w:t xml:space="preserve"> that</w:t>
            </w:r>
            <w:r w:rsidRPr="006634AA" w:rsidR="75D54367">
              <w:rPr>
                <w:rFonts w:asciiTheme="minorHAnsi" w:hAnsiTheme="minorHAnsi" w:cstheme="minorHAnsi"/>
                <w:sz w:val="22"/>
                <w:szCs w:val="22"/>
              </w:rPr>
              <w:t xml:space="preserve">, to varying </w:t>
            </w:r>
            <w:r w:rsidRPr="006634AA" w:rsidR="75D54367">
              <w:rPr>
                <w:rFonts w:asciiTheme="minorHAnsi" w:hAnsiTheme="minorHAnsi" w:cstheme="minorHAnsi"/>
                <w:sz w:val="22"/>
                <w:szCs w:val="22"/>
              </w:rPr>
              <w:t>degrees,</w:t>
            </w:r>
            <w:r w:rsidRPr="006634AA" w:rsidR="22248AF4">
              <w:rPr>
                <w:rFonts w:asciiTheme="minorHAnsi" w:hAnsiTheme="minorHAnsi" w:cstheme="minorHAnsi"/>
                <w:sz w:val="22"/>
                <w:szCs w:val="22"/>
              </w:rPr>
              <w:t xml:space="preserve"> </w:t>
            </w:r>
            <w:r w:rsidRPr="006634AA" w:rsidR="75D54367">
              <w:rPr>
                <w:rFonts w:asciiTheme="minorHAnsi" w:hAnsiTheme="minorHAnsi" w:cstheme="minorHAnsi"/>
                <w:sz w:val="22"/>
                <w:szCs w:val="22"/>
              </w:rPr>
              <w:t xml:space="preserve">all the schemes helped </w:t>
            </w:r>
            <w:r w:rsidRPr="006634AA" w:rsidR="66CE96E7">
              <w:rPr>
                <w:rFonts w:asciiTheme="minorHAnsi" w:hAnsiTheme="minorHAnsi" w:cstheme="minorHAnsi"/>
                <w:sz w:val="22"/>
                <w:szCs w:val="22"/>
              </w:rPr>
              <w:t>participants</w:t>
            </w:r>
            <w:r w:rsidRPr="006634AA" w:rsidR="75D54367">
              <w:rPr>
                <w:rFonts w:asciiTheme="minorHAnsi" w:hAnsiTheme="minorHAnsi" w:cstheme="minorHAnsi"/>
                <w:sz w:val="22"/>
                <w:szCs w:val="22"/>
              </w:rPr>
              <w:t xml:space="preserve"> </w:t>
            </w:r>
            <w:r w:rsidRPr="006634AA" w:rsidR="34231DB4">
              <w:rPr>
                <w:rFonts w:asciiTheme="minorHAnsi" w:hAnsiTheme="minorHAnsi" w:cstheme="minorHAnsi"/>
                <w:sz w:val="22"/>
                <w:szCs w:val="22"/>
              </w:rPr>
              <w:t xml:space="preserve">correctly </w:t>
            </w:r>
            <w:r w:rsidRPr="006634AA" w:rsidR="66CE96E7">
              <w:rPr>
                <w:rFonts w:asciiTheme="minorHAnsi" w:hAnsiTheme="minorHAnsi" w:cstheme="minorHAnsi"/>
                <w:sz w:val="22"/>
                <w:szCs w:val="22"/>
              </w:rPr>
              <w:t xml:space="preserve">identify the </w:t>
            </w:r>
            <w:r w:rsidRPr="006634AA" w:rsidR="23E809A4">
              <w:rPr>
                <w:rFonts w:asciiTheme="minorHAnsi" w:hAnsiTheme="minorHAnsi" w:cstheme="minorHAnsi"/>
                <w:sz w:val="22"/>
                <w:szCs w:val="22"/>
              </w:rPr>
              <w:t xml:space="preserve">healthier and </w:t>
            </w:r>
            <w:r w:rsidRPr="006634AA" w:rsidR="66CE96E7">
              <w:rPr>
                <w:rFonts w:asciiTheme="minorHAnsi" w:hAnsiTheme="minorHAnsi" w:cstheme="minorHAnsi"/>
                <w:sz w:val="22"/>
                <w:szCs w:val="22"/>
              </w:rPr>
              <w:t>less healthy product</w:t>
            </w:r>
            <w:r w:rsidRPr="006634AA" w:rsidR="75D54367">
              <w:rPr>
                <w:rFonts w:asciiTheme="minorHAnsi" w:hAnsiTheme="minorHAnsi" w:cstheme="minorHAnsi"/>
                <w:sz w:val="22"/>
                <w:szCs w:val="22"/>
              </w:rPr>
              <w:t>s</w:t>
            </w:r>
            <w:r w:rsidRPr="006634AA" w:rsidR="66CE96E7">
              <w:rPr>
                <w:rFonts w:asciiTheme="minorHAnsi" w:hAnsiTheme="minorHAnsi" w:cstheme="minorHAnsi"/>
                <w:sz w:val="22"/>
                <w:szCs w:val="22"/>
              </w:rPr>
              <w:t xml:space="preserve"> </w:t>
            </w:r>
            <w:r w:rsidRPr="006634AA" w:rsidR="38E71531">
              <w:rPr>
                <w:rFonts w:asciiTheme="minorHAnsi" w:hAnsiTheme="minorHAnsi" w:cstheme="minorHAnsi"/>
                <w:sz w:val="22"/>
                <w:szCs w:val="22"/>
              </w:rPr>
              <w:t>compared to</w:t>
            </w:r>
            <w:r w:rsidRPr="006634AA" w:rsidR="38580F98">
              <w:rPr>
                <w:rFonts w:asciiTheme="minorHAnsi" w:hAnsiTheme="minorHAnsi" w:cstheme="minorHAnsi"/>
                <w:sz w:val="22"/>
                <w:szCs w:val="22"/>
              </w:rPr>
              <w:t xml:space="preserve"> </w:t>
            </w:r>
            <w:r w:rsidRPr="006634AA" w:rsidR="3D62A5A8">
              <w:rPr>
                <w:rFonts w:asciiTheme="minorHAnsi" w:hAnsiTheme="minorHAnsi" w:cstheme="minorHAnsi"/>
                <w:sz w:val="22"/>
                <w:szCs w:val="22"/>
              </w:rPr>
              <w:t xml:space="preserve">a </w:t>
            </w:r>
            <w:r w:rsidRPr="006634AA" w:rsidR="38580F98">
              <w:rPr>
                <w:rFonts w:asciiTheme="minorHAnsi" w:hAnsiTheme="minorHAnsi" w:cstheme="minorHAnsi"/>
                <w:sz w:val="22"/>
                <w:szCs w:val="22"/>
              </w:rPr>
              <w:t xml:space="preserve">“no symbol” product. </w:t>
            </w:r>
            <w:r w:rsidRPr="006634AA" w:rsidR="3D62A5A8">
              <w:rPr>
                <w:rFonts w:asciiTheme="minorHAnsi" w:hAnsiTheme="minorHAnsi" w:cstheme="minorHAnsi"/>
                <w:sz w:val="22"/>
                <w:szCs w:val="22"/>
              </w:rPr>
              <w:t xml:space="preserve"> However, there were notable differences between </w:t>
            </w:r>
            <w:r w:rsidRPr="006634AA" w:rsidR="42612819">
              <w:rPr>
                <w:rFonts w:asciiTheme="minorHAnsi" w:hAnsiTheme="minorHAnsi" w:cstheme="minorHAnsi"/>
                <w:sz w:val="22"/>
                <w:szCs w:val="22"/>
              </w:rPr>
              <w:t xml:space="preserve">participants with </w:t>
            </w:r>
            <w:r w:rsidRPr="006634AA" w:rsidR="2BE999E6">
              <w:rPr>
                <w:rFonts w:asciiTheme="minorHAnsi" w:hAnsiTheme="minorHAnsi" w:cstheme="minorHAnsi"/>
                <w:sz w:val="22"/>
                <w:szCs w:val="22"/>
              </w:rPr>
              <w:t xml:space="preserve">lower health literacy </w:t>
            </w:r>
            <w:r w:rsidRPr="006634AA" w:rsidR="42612819">
              <w:rPr>
                <w:rFonts w:asciiTheme="minorHAnsi" w:hAnsiTheme="minorHAnsi" w:cstheme="minorHAnsi"/>
                <w:sz w:val="22"/>
                <w:szCs w:val="22"/>
              </w:rPr>
              <w:t xml:space="preserve">and </w:t>
            </w:r>
            <w:r w:rsidRPr="006634AA" w:rsidR="7435F523">
              <w:rPr>
                <w:rFonts w:asciiTheme="minorHAnsi" w:hAnsiTheme="minorHAnsi" w:cstheme="minorHAnsi"/>
                <w:sz w:val="22"/>
                <w:szCs w:val="22"/>
              </w:rPr>
              <w:t>those with higher health literacy</w:t>
            </w:r>
            <w:r w:rsidRPr="006634AA" w:rsidR="0E8BE6AC">
              <w:rPr>
                <w:rFonts w:asciiTheme="minorHAnsi" w:hAnsiTheme="minorHAnsi" w:cstheme="minorHAnsi"/>
                <w:sz w:val="22"/>
                <w:szCs w:val="22"/>
              </w:rPr>
              <w:t xml:space="preserve">; both groups ranked the product correctly, compared to the “no symbol” condition but those with lower </w:t>
            </w:r>
            <w:r w:rsidRPr="006634AA" w:rsidR="00C3018D">
              <w:rPr>
                <w:rFonts w:asciiTheme="minorHAnsi" w:hAnsiTheme="minorHAnsi" w:cstheme="minorHAnsi"/>
                <w:sz w:val="22"/>
                <w:szCs w:val="22"/>
              </w:rPr>
              <w:t xml:space="preserve">health </w:t>
            </w:r>
            <w:r w:rsidRPr="006634AA" w:rsidR="0E8BE6AC">
              <w:rPr>
                <w:rFonts w:asciiTheme="minorHAnsi" w:hAnsiTheme="minorHAnsi" w:cstheme="minorHAnsi"/>
                <w:sz w:val="22"/>
                <w:szCs w:val="22"/>
              </w:rPr>
              <w:t xml:space="preserve">literacy consistently ranked even the less healthy products as </w:t>
            </w:r>
            <w:r w:rsidRPr="006634AA" w:rsidR="34231DB4">
              <w:rPr>
                <w:rFonts w:asciiTheme="minorHAnsi" w:hAnsiTheme="minorHAnsi" w:cstheme="minorHAnsi"/>
                <w:sz w:val="22"/>
                <w:szCs w:val="22"/>
              </w:rPr>
              <w:t xml:space="preserve">healthier. </w:t>
            </w:r>
            <w:r w:rsidRPr="006634AA" w:rsidR="7435F523">
              <w:rPr>
                <w:rFonts w:asciiTheme="minorHAnsi" w:hAnsiTheme="minorHAnsi" w:cstheme="minorHAnsi"/>
                <w:sz w:val="22"/>
                <w:szCs w:val="22"/>
              </w:rPr>
              <w:t xml:space="preserve"> </w:t>
            </w:r>
          </w:p>
          <w:p w:rsidR="0080237D" w:rsidRPr="006634AA" w:rsidP="00083A00" w14:paraId="37EC9ABF" w14:textId="77777777">
            <w:pPr>
              <w:pStyle w:val="ListParagraph"/>
              <w:ind w:left="360"/>
              <w:rPr>
                <w:rFonts w:asciiTheme="minorHAnsi" w:hAnsiTheme="minorHAnsi" w:cstheme="minorHAnsi"/>
                <w:sz w:val="22"/>
                <w:szCs w:val="22"/>
              </w:rPr>
            </w:pPr>
          </w:p>
          <w:p w:rsidR="0013129F" w:rsidRPr="00BF3FF0" w:rsidP="00174D66" w14:paraId="0AF9587F" w14:textId="1BB1F2E2">
            <w:pPr>
              <w:rPr>
                <w:rFonts w:asciiTheme="minorHAnsi" w:hAnsiTheme="minorHAnsi" w:cstheme="minorHAnsi"/>
                <w:bCs/>
                <w:sz w:val="22"/>
                <w:szCs w:val="22"/>
              </w:rPr>
            </w:pPr>
            <w:r w:rsidRPr="009031C0">
              <w:rPr>
                <w:rFonts w:asciiTheme="minorHAnsi" w:hAnsiTheme="minorHAnsi" w:cstheme="minorHAnsi"/>
                <w:b/>
                <w:bCs/>
                <w:sz w:val="22"/>
                <w:szCs w:val="22"/>
              </w:rPr>
              <w:t xml:space="preserve">Conclusion: </w:t>
            </w:r>
            <w:r w:rsidR="00107F4D">
              <w:rPr>
                <w:rFonts w:asciiTheme="minorHAnsi" w:hAnsiTheme="minorHAnsi" w:cstheme="minorHAnsi"/>
                <w:bCs/>
                <w:sz w:val="22"/>
                <w:szCs w:val="22"/>
              </w:rPr>
              <w:t xml:space="preserve">Both studies </w:t>
            </w:r>
            <w:r w:rsidR="00AC5D0E">
              <w:rPr>
                <w:rFonts w:asciiTheme="minorHAnsi" w:hAnsiTheme="minorHAnsi" w:cstheme="minorHAnsi"/>
                <w:bCs/>
                <w:sz w:val="22"/>
                <w:szCs w:val="22"/>
              </w:rPr>
              <w:t xml:space="preserve">found </w:t>
            </w:r>
            <w:r w:rsidR="00396A42">
              <w:rPr>
                <w:rFonts w:asciiTheme="minorHAnsi" w:hAnsiTheme="minorHAnsi" w:cstheme="minorHAnsi"/>
                <w:bCs/>
                <w:sz w:val="22"/>
                <w:szCs w:val="22"/>
              </w:rPr>
              <w:t xml:space="preserve">that </w:t>
            </w:r>
            <w:r w:rsidR="0083004F">
              <w:rPr>
                <w:rFonts w:asciiTheme="minorHAnsi" w:hAnsiTheme="minorHAnsi" w:cstheme="minorHAnsi"/>
                <w:bCs/>
                <w:sz w:val="22"/>
                <w:szCs w:val="22"/>
              </w:rPr>
              <w:t xml:space="preserve">interpretive </w:t>
            </w:r>
            <w:r w:rsidR="00396A42">
              <w:rPr>
                <w:rFonts w:asciiTheme="minorHAnsi" w:hAnsiTheme="minorHAnsi" w:cstheme="minorHAnsi"/>
                <w:bCs/>
                <w:sz w:val="22"/>
                <w:szCs w:val="22"/>
              </w:rPr>
              <w:t>FOP schemes</w:t>
            </w:r>
            <w:r w:rsidR="0083004F">
              <w:rPr>
                <w:rFonts w:asciiTheme="minorHAnsi" w:hAnsiTheme="minorHAnsi" w:cstheme="minorHAnsi"/>
                <w:bCs/>
                <w:sz w:val="22"/>
                <w:szCs w:val="22"/>
              </w:rPr>
              <w:t>, versus a “no FOP</w:t>
            </w:r>
            <w:r w:rsidRPr="006634AA" w:rsidR="00435924">
              <w:rPr>
                <w:rFonts w:asciiTheme="minorHAnsi" w:hAnsiTheme="minorHAnsi" w:cstheme="minorHAnsi"/>
                <w:bCs/>
                <w:sz w:val="22"/>
                <w:szCs w:val="22"/>
              </w:rPr>
              <w:t>”</w:t>
            </w:r>
            <w:r w:rsidR="0083004F">
              <w:rPr>
                <w:rFonts w:asciiTheme="minorHAnsi" w:hAnsiTheme="minorHAnsi" w:cstheme="minorHAnsi"/>
                <w:bCs/>
                <w:sz w:val="22"/>
                <w:szCs w:val="22"/>
              </w:rPr>
              <w:t xml:space="preserve"> condition</w:t>
            </w:r>
            <w:r w:rsidRPr="006634AA" w:rsidR="00236D46">
              <w:rPr>
                <w:rFonts w:asciiTheme="minorHAnsi" w:hAnsiTheme="minorHAnsi" w:cstheme="minorHAnsi"/>
                <w:bCs/>
                <w:sz w:val="22"/>
                <w:szCs w:val="22"/>
              </w:rPr>
              <w:t>,</w:t>
            </w:r>
            <w:r w:rsidR="00396A42">
              <w:rPr>
                <w:rFonts w:asciiTheme="minorHAnsi" w:hAnsiTheme="minorHAnsi" w:cstheme="minorHAnsi"/>
                <w:bCs/>
                <w:sz w:val="22"/>
                <w:szCs w:val="22"/>
              </w:rPr>
              <w:t xml:space="preserve"> helped all </w:t>
            </w:r>
            <w:r w:rsidR="00AC5D0E">
              <w:rPr>
                <w:rFonts w:asciiTheme="minorHAnsi" w:hAnsiTheme="minorHAnsi" w:cstheme="minorHAnsi"/>
                <w:bCs/>
                <w:sz w:val="22"/>
                <w:szCs w:val="22"/>
              </w:rPr>
              <w:t>consumers</w:t>
            </w:r>
            <w:r w:rsidR="0083004F">
              <w:rPr>
                <w:rFonts w:asciiTheme="minorHAnsi" w:hAnsiTheme="minorHAnsi" w:cstheme="minorHAnsi"/>
                <w:bCs/>
                <w:sz w:val="22"/>
                <w:szCs w:val="22"/>
              </w:rPr>
              <w:t xml:space="preserve">, regardless of education or health literacy levels, to </w:t>
            </w:r>
            <w:r w:rsidRPr="006634AA" w:rsidR="00396A42">
              <w:rPr>
                <w:rFonts w:asciiTheme="minorHAnsi" w:hAnsiTheme="minorHAnsi" w:cstheme="minorHAnsi"/>
                <w:bCs/>
                <w:sz w:val="22"/>
                <w:szCs w:val="22"/>
              </w:rPr>
              <w:t>correctly</w:t>
            </w:r>
            <w:r w:rsidR="00AC5D0E">
              <w:rPr>
                <w:rFonts w:asciiTheme="minorHAnsi" w:hAnsiTheme="minorHAnsi" w:cstheme="minorHAnsi"/>
                <w:bCs/>
                <w:sz w:val="22"/>
                <w:szCs w:val="22"/>
              </w:rPr>
              <w:t xml:space="preserve"> </w:t>
            </w:r>
            <w:r w:rsidR="00AC5D0E">
              <w:rPr>
                <w:rFonts w:asciiTheme="minorHAnsi" w:hAnsiTheme="minorHAnsi" w:cstheme="minorHAnsi"/>
                <w:bCs/>
                <w:sz w:val="22"/>
                <w:szCs w:val="22"/>
              </w:rPr>
              <w:t>assess a food’s healthfulness</w:t>
            </w:r>
            <w:r w:rsidR="00236D46">
              <w:rPr>
                <w:rFonts w:asciiTheme="minorHAnsi" w:hAnsiTheme="minorHAnsi" w:cstheme="minorHAnsi"/>
                <w:bCs/>
                <w:sz w:val="22"/>
                <w:szCs w:val="22"/>
              </w:rPr>
              <w:t xml:space="preserve"> even if some differences between higher and lower education and health literacy were found</w:t>
            </w:r>
            <w:r w:rsidR="00D630A6">
              <w:rPr>
                <w:rFonts w:asciiTheme="minorHAnsi" w:hAnsiTheme="minorHAnsi" w:cstheme="minorHAnsi"/>
                <w:bCs/>
                <w:sz w:val="22"/>
                <w:szCs w:val="22"/>
              </w:rPr>
              <w:t>.</w:t>
            </w:r>
          </w:p>
        </w:tc>
      </w:tr>
      <w:tr w14:paraId="76036816" w14:textId="77777777" w:rsidTr="1D57B863">
        <w:tblPrEx>
          <w:tblW w:w="0" w:type="auto"/>
          <w:tblInd w:w="-5" w:type="dxa"/>
          <w:tblLook w:val="04A0"/>
        </w:tblPrEx>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37D" w:rsidP="00174D66" w14:paraId="095626C0" w14:textId="77777777">
            <w:pPr>
              <w:rPr>
                <w:b/>
                <w:sz w:val="24"/>
                <w:szCs w:val="24"/>
              </w:rPr>
            </w:pPr>
          </w:p>
          <w:p w:rsidR="0080237D" w:rsidP="00174D66" w14:paraId="4919510B" w14:textId="0CE7DD3C">
            <w:pPr>
              <w:rPr>
                <w:rFonts w:asciiTheme="minorHAnsi" w:hAnsiTheme="minorHAnsi" w:cstheme="minorHAnsi"/>
                <w:b/>
                <w:sz w:val="24"/>
                <w:szCs w:val="24"/>
              </w:rPr>
            </w:pPr>
            <w:r w:rsidRPr="00D51A2F">
              <w:rPr>
                <w:b/>
                <w:sz w:val="24"/>
                <w:szCs w:val="24"/>
              </w:rPr>
              <w:t>Effects on Diverse Populations</w:t>
            </w:r>
            <w:r w:rsidR="00F61918">
              <w:rPr>
                <w:b/>
                <w:sz w:val="24"/>
                <w:szCs w:val="24"/>
              </w:rPr>
              <w:t xml:space="preserve"> (Income, Age, </w:t>
            </w:r>
            <w:r w:rsidR="00413707">
              <w:rPr>
                <w:b/>
                <w:sz w:val="24"/>
                <w:szCs w:val="24"/>
              </w:rPr>
              <w:t>Race/</w:t>
            </w:r>
            <w:r w:rsidR="00357602">
              <w:rPr>
                <w:b/>
                <w:sz w:val="24"/>
                <w:szCs w:val="24"/>
              </w:rPr>
              <w:t>Ethnic</w:t>
            </w:r>
            <w:r w:rsidR="007045CD">
              <w:rPr>
                <w:b/>
                <w:sz w:val="24"/>
                <w:szCs w:val="24"/>
              </w:rPr>
              <w:t xml:space="preserve">ity, </w:t>
            </w:r>
            <w:r w:rsidR="00357602">
              <w:rPr>
                <w:b/>
                <w:sz w:val="24"/>
                <w:szCs w:val="24"/>
              </w:rPr>
              <w:t>Minority)</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37D" w:rsidRPr="009031C0" w:rsidP="00174D66" w14:paraId="6B46DCCC" w14:textId="14BF865F">
            <w:pPr>
              <w:pStyle w:val="ListParagraph"/>
              <w:numPr>
                <w:ilvl w:val="0"/>
                <w:numId w:val="5"/>
              </w:numPr>
              <w:rPr>
                <w:rFonts w:asciiTheme="minorHAnsi" w:hAnsiTheme="minorHAnsi" w:cstheme="minorBidi"/>
                <w:sz w:val="22"/>
                <w:szCs w:val="22"/>
              </w:rPr>
            </w:pPr>
            <w:r>
              <w:rPr>
                <w:rFonts w:asciiTheme="minorHAnsi" w:hAnsiTheme="minorHAnsi" w:cstheme="minorBidi"/>
                <w:sz w:val="22"/>
                <w:szCs w:val="22"/>
              </w:rPr>
              <w:t>We</w:t>
            </w:r>
            <w:r w:rsidRPr="68D4329B">
              <w:rPr>
                <w:rFonts w:asciiTheme="minorHAnsi" w:hAnsiTheme="minorHAnsi" w:cstheme="minorBidi"/>
                <w:sz w:val="22"/>
                <w:szCs w:val="22"/>
              </w:rPr>
              <w:t xml:space="preserve"> identified </w:t>
            </w:r>
            <w:r w:rsidRPr="68D4329B" w:rsidR="00EB74D8">
              <w:rPr>
                <w:rFonts w:asciiTheme="minorHAnsi" w:hAnsiTheme="minorHAnsi" w:cstheme="minorBidi"/>
                <w:sz w:val="22"/>
                <w:szCs w:val="22"/>
              </w:rPr>
              <w:t>14</w:t>
            </w:r>
            <w:r w:rsidRPr="68D4329B">
              <w:rPr>
                <w:rFonts w:asciiTheme="minorHAnsi" w:hAnsiTheme="minorHAnsi" w:cstheme="minorBidi"/>
                <w:sz w:val="22"/>
                <w:szCs w:val="22"/>
              </w:rPr>
              <w:t xml:space="preserve"> studies in this category, </w:t>
            </w:r>
            <w:r w:rsidRPr="68D4329B" w:rsidR="1794EF00">
              <w:rPr>
                <w:rFonts w:asciiTheme="minorHAnsi" w:hAnsiTheme="minorHAnsi" w:cstheme="minorBidi"/>
                <w:sz w:val="22"/>
                <w:szCs w:val="22"/>
              </w:rPr>
              <w:t xml:space="preserve">including </w:t>
            </w:r>
            <w:r w:rsidRPr="68D4329B" w:rsidR="00150044">
              <w:rPr>
                <w:rFonts w:asciiTheme="minorHAnsi" w:hAnsiTheme="minorHAnsi" w:cstheme="minorBidi"/>
                <w:sz w:val="22"/>
                <w:szCs w:val="22"/>
              </w:rPr>
              <w:t>eight</w:t>
            </w:r>
            <w:r w:rsidRPr="68D4329B">
              <w:rPr>
                <w:rFonts w:asciiTheme="minorHAnsi" w:hAnsiTheme="minorHAnsi" w:cstheme="minorBidi"/>
                <w:sz w:val="22"/>
                <w:szCs w:val="22"/>
              </w:rPr>
              <w:t xml:space="preserve"> experimental studies, </w:t>
            </w:r>
            <w:r w:rsidRPr="68D4329B" w:rsidR="00882A1A">
              <w:rPr>
                <w:rFonts w:asciiTheme="minorHAnsi" w:hAnsiTheme="minorHAnsi" w:cstheme="minorBidi"/>
                <w:sz w:val="22"/>
                <w:szCs w:val="22"/>
              </w:rPr>
              <w:t>two</w:t>
            </w:r>
            <w:r w:rsidRPr="68D4329B">
              <w:rPr>
                <w:rFonts w:asciiTheme="minorHAnsi" w:hAnsiTheme="minorHAnsi" w:cstheme="minorBidi"/>
                <w:sz w:val="22"/>
                <w:szCs w:val="22"/>
              </w:rPr>
              <w:t xml:space="preserve"> set</w:t>
            </w:r>
            <w:r w:rsidRPr="68D4329B" w:rsidR="00882A1A">
              <w:rPr>
                <w:rFonts w:asciiTheme="minorHAnsi" w:hAnsiTheme="minorHAnsi" w:cstheme="minorBidi"/>
                <w:sz w:val="22"/>
                <w:szCs w:val="22"/>
              </w:rPr>
              <w:t>s</w:t>
            </w:r>
            <w:r w:rsidRPr="68D4329B">
              <w:rPr>
                <w:rFonts w:asciiTheme="minorHAnsi" w:hAnsiTheme="minorHAnsi" w:cstheme="minorBidi"/>
                <w:sz w:val="22"/>
                <w:szCs w:val="22"/>
              </w:rPr>
              <w:t xml:space="preserve"> of focus groups</w:t>
            </w:r>
            <w:r w:rsidRPr="68D4329B" w:rsidR="00882A1A">
              <w:rPr>
                <w:rFonts w:asciiTheme="minorHAnsi" w:hAnsiTheme="minorHAnsi" w:cstheme="minorBidi"/>
                <w:sz w:val="22"/>
                <w:szCs w:val="22"/>
              </w:rPr>
              <w:t>, three</w:t>
            </w:r>
            <w:r w:rsidRPr="68D4329B">
              <w:rPr>
                <w:rFonts w:asciiTheme="minorHAnsi" w:hAnsiTheme="minorHAnsi" w:cstheme="minorBidi"/>
                <w:sz w:val="22"/>
                <w:szCs w:val="22"/>
              </w:rPr>
              <w:t xml:space="preserve"> surveys</w:t>
            </w:r>
            <w:r w:rsidRPr="68D4329B" w:rsidR="00882A1A">
              <w:rPr>
                <w:rFonts w:asciiTheme="minorHAnsi" w:hAnsiTheme="minorHAnsi" w:cstheme="minorBidi"/>
                <w:sz w:val="22"/>
                <w:szCs w:val="22"/>
              </w:rPr>
              <w:t>, and one systematic</w:t>
            </w:r>
            <w:r>
              <w:rPr>
                <w:rFonts w:asciiTheme="minorHAnsi" w:hAnsiTheme="minorHAnsi" w:cstheme="minorBidi"/>
                <w:sz w:val="22"/>
                <w:szCs w:val="22"/>
              </w:rPr>
              <w:t xml:space="preserve"> literature</w:t>
            </w:r>
            <w:r w:rsidRPr="68D4329B" w:rsidR="00882A1A">
              <w:rPr>
                <w:rFonts w:asciiTheme="minorHAnsi" w:hAnsiTheme="minorHAnsi" w:cstheme="minorBidi"/>
                <w:sz w:val="22"/>
                <w:szCs w:val="22"/>
              </w:rPr>
              <w:t xml:space="preserve"> review</w:t>
            </w:r>
            <w:r w:rsidRPr="68D4329B">
              <w:rPr>
                <w:rFonts w:asciiTheme="minorHAnsi" w:hAnsiTheme="minorHAnsi" w:cstheme="minorBidi"/>
                <w:sz w:val="22"/>
                <w:szCs w:val="22"/>
              </w:rPr>
              <w:t>.</w:t>
            </w:r>
          </w:p>
          <w:p w:rsidR="009034CB" w:rsidP="000C1897" w14:paraId="0FCB691D" w14:textId="7F3684BC">
            <w:pPr>
              <w:pStyle w:val="ListParagraph"/>
              <w:numPr>
                <w:ilvl w:val="0"/>
                <w:numId w:val="5"/>
              </w:numPr>
              <w:rPr>
                <w:rFonts w:asciiTheme="minorHAnsi" w:hAnsiTheme="minorHAnsi" w:cstheme="minorBidi"/>
                <w:sz w:val="22"/>
                <w:szCs w:val="22"/>
              </w:rPr>
            </w:pPr>
            <w:r w:rsidRPr="68D4329B">
              <w:rPr>
                <w:rFonts w:asciiTheme="minorHAnsi" w:hAnsiTheme="minorHAnsi" w:cstheme="minorBidi"/>
                <w:sz w:val="22"/>
                <w:szCs w:val="22"/>
              </w:rPr>
              <w:t xml:space="preserve">These studies were conducted in </w:t>
            </w:r>
            <w:r w:rsidRPr="68D4329B" w:rsidR="008734DE">
              <w:rPr>
                <w:rFonts w:asciiTheme="minorHAnsi" w:hAnsiTheme="minorHAnsi" w:cstheme="minorBidi"/>
                <w:sz w:val="22"/>
                <w:szCs w:val="22"/>
              </w:rPr>
              <w:t>Australia, Brazil, Chile, France</w:t>
            </w:r>
            <w:r w:rsidRPr="68D4329B" w:rsidR="00B82D9F">
              <w:rPr>
                <w:rFonts w:asciiTheme="minorHAnsi" w:hAnsiTheme="minorHAnsi" w:cstheme="minorBidi"/>
                <w:sz w:val="22"/>
                <w:szCs w:val="22"/>
              </w:rPr>
              <w:t xml:space="preserve">, New </w:t>
            </w:r>
            <w:r w:rsidRPr="68D4329B" w:rsidR="006173A7">
              <w:rPr>
                <w:rFonts w:asciiTheme="minorHAnsi" w:hAnsiTheme="minorHAnsi" w:cstheme="minorBidi"/>
                <w:sz w:val="22"/>
                <w:szCs w:val="22"/>
              </w:rPr>
              <w:t>Zealand,</w:t>
            </w:r>
            <w:r w:rsidRPr="68D4329B" w:rsidR="00B82D9F">
              <w:rPr>
                <w:rFonts w:asciiTheme="minorHAnsi" w:hAnsiTheme="minorHAnsi" w:cstheme="minorBidi"/>
                <w:sz w:val="22"/>
                <w:szCs w:val="22"/>
              </w:rPr>
              <w:t xml:space="preserve"> and Mexico</w:t>
            </w:r>
            <w:r w:rsidRPr="68D4329B">
              <w:rPr>
                <w:rFonts w:asciiTheme="minorHAnsi" w:hAnsiTheme="minorHAnsi" w:cstheme="minorBidi"/>
                <w:sz w:val="22"/>
                <w:szCs w:val="22"/>
              </w:rPr>
              <w:t>.</w:t>
            </w:r>
            <w:r w:rsidRPr="68D4329B" w:rsidR="00B82D9F">
              <w:rPr>
                <w:rFonts w:asciiTheme="minorHAnsi" w:hAnsiTheme="minorHAnsi" w:cstheme="minorBidi"/>
                <w:sz w:val="22"/>
                <w:szCs w:val="22"/>
              </w:rPr>
              <w:t xml:space="preserve"> The </w:t>
            </w:r>
            <w:r w:rsidRPr="68D4329B" w:rsidR="24C73F23">
              <w:rPr>
                <w:rFonts w:asciiTheme="minorHAnsi" w:hAnsiTheme="minorHAnsi" w:cstheme="minorBidi"/>
                <w:sz w:val="22"/>
                <w:szCs w:val="22"/>
              </w:rPr>
              <w:t>systematic</w:t>
            </w:r>
            <w:r w:rsidR="00D630A6">
              <w:rPr>
                <w:rFonts w:asciiTheme="minorHAnsi" w:hAnsiTheme="minorHAnsi" w:cstheme="minorBidi"/>
                <w:sz w:val="22"/>
                <w:szCs w:val="22"/>
              </w:rPr>
              <w:t xml:space="preserve"> literature</w:t>
            </w:r>
            <w:r w:rsidRPr="68D4329B" w:rsidR="00B82D9F">
              <w:rPr>
                <w:rFonts w:asciiTheme="minorHAnsi" w:hAnsiTheme="minorHAnsi" w:cstheme="minorBidi"/>
                <w:sz w:val="22"/>
                <w:szCs w:val="22"/>
              </w:rPr>
              <w:t xml:space="preserve"> review included</w:t>
            </w:r>
            <w:r w:rsidR="00D630A6">
              <w:rPr>
                <w:rFonts w:asciiTheme="minorHAnsi" w:hAnsiTheme="minorHAnsi" w:cstheme="minorBidi"/>
                <w:sz w:val="22"/>
                <w:szCs w:val="22"/>
              </w:rPr>
              <w:t xml:space="preserve"> research from</w:t>
            </w:r>
            <w:r w:rsidRPr="68D4329B" w:rsidR="00B82D9F">
              <w:rPr>
                <w:rFonts w:asciiTheme="minorHAnsi" w:hAnsiTheme="minorHAnsi" w:cstheme="minorBidi"/>
                <w:sz w:val="22"/>
                <w:szCs w:val="22"/>
              </w:rPr>
              <w:t xml:space="preserve"> multiple countries.</w:t>
            </w:r>
          </w:p>
          <w:p w:rsidR="009034CB" w:rsidP="000C1897" w14:paraId="00630228" w14:textId="28E4E3BE">
            <w:pPr>
              <w:pStyle w:val="ListParagraph"/>
              <w:numPr>
                <w:ilvl w:val="0"/>
                <w:numId w:val="5"/>
              </w:numPr>
              <w:rPr>
                <w:rFonts w:asciiTheme="minorHAnsi" w:hAnsiTheme="minorHAnsi" w:cstheme="minorBidi"/>
                <w:sz w:val="22"/>
                <w:szCs w:val="22"/>
              </w:rPr>
            </w:pPr>
            <w:r w:rsidRPr="1D57B863">
              <w:rPr>
                <w:rFonts w:asciiTheme="minorHAnsi" w:hAnsiTheme="minorHAnsi" w:cstheme="minorBidi"/>
                <w:sz w:val="22"/>
                <w:szCs w:val="22"/>
              </w:rPr>
              <w:t xml:space="preserve">These studies focused on a range </w:t>
            </w:r>
            <w:r w:rsidRPr="1D57B863" w:rsidR="20844F6F">
              <w:rPr>
                <w:rFonts w:asciiTheme="minorHAnsi" w:hAnsiTheme="minorHAnsi" w:cstheme="minorBidi"/>
                <w:sz w:val="22"/>
                <w:szCs w:val="22"/>
              </w:rPr>
              <w:t xml:space="preserve">within and between </w:t>
            </w:r>
            <w:r w:rsidRPr="1D57B863" w:rsidR="33C9ED02">
              <w:rPr>
                <w:rFonts w:asciiTheme="minorHAnsi" w:hAnsiTheme="minorHAnsi" w:cstheme="minorBidi"/>
                <w:sz w:val="22"/>
                <w:szCs w:val="22"/>
              </w:rPr>
              <w:t xml:space="preserve">demographic </w:t>
            </w:r>
            <w:r w:rsidRPr="1D57B863" w:rsidR="20844F6F">
              <w:rPr>
                <w:rFonts w:asciiTheme="minorHAnsi" w:hAnsiTheme="minorHAnsi" w:cstheme="minorBidi"/>
                <w:sz w:val="22"/>
                <w:szCs w:val="22"/>
              </w:rPr>
              <w:t xml:space="preserve">categories </w:t>
            </w:r>
            <w:r w:rsidRPr="1D57B863">
              <w:rPr>
                <w:rFonts w:asciiTheme="minorHAnsi" w:hAnsiTheme="minorHAnsi" w:cstheme="minorBidi"/>
                <w:sz w:val="22"/>
                <w:szCs w:val="22"/>
              </w:rPr>
              <w:t xml:space="preserve">and included </w:t>
            </w:r>
            <w:r w:rsidRPr="1D57B863" w:rsidR="67E9D492">
              <w:rPr>
                <w:rFonts w:asciiTheme="minorHAnsi" w:hAnsiTheme="minorHAnsi" w:cstheme="minorBidi"/>
                <w:sz w:val="22"/>
                <w:szCs w:val="22"/>
              </w:rPr>
              <w:t>low- and middle-income</w:t>
            </w:r>
            <w:r w:rsidRPr="1D57B863" w:rsidR="0C422AD1">
              <w:rPr>
                <w:rFonts w:asciiTheme="minorHAnsi" w:hAnsiTheme="minorHAnsi" w:cstheme="minorBidi"/>
                <w:sz w:val="22"/>
                <w:szCs w:val="22"/>
              </w:rPr>
              <w:t xml:space="preserve"> populations, parents, children</w:t>
            </w:r>
            <w:r w:rsidRPr="1D57B863" w:rsidR="1224F08E">
              <w:rPr>
                <w:rFonts w:asciiTheme="minorHAnsi" w:hAnsiTheme="minorHAnsi" w:cstheme="minorBidi"/>
                <w:sz w:val="22"/>
                <w:szCs w:val="22"/>
              </w:rPr>
              <w:t xml:space="preserve"> and adolescents</w:t>
            </w:r>
            <w:r w:rsidRPr="1D57B863" w:rsidR="0C422AD1">
              <w:rPr>
                <w:rFonts w:asciiTheme="minorHAnsi" w:hAnsiTheme="minorHAnsi" w:cstheme="minorBidi"/>
                <w:sz w:val="22"/>
                <w:szCs w:val="22"/>
              </w:rPr>
              <w:t xml:space="preserve">, </w:t>
            </w:r>
            <w:r w:rsidRPr="1D57B863" w:rsidR="05673C22">
              <w:rPr>
                <w:rFonts w:asciiTheme="minorHAnsi" w:hAnsiTheme="minorHAnsi" w:cstheme="minorBidi"/>
                <w:sz w:val="22"/>
                <w:szCs w:val="22"/>
              </w:rPr>
              <w:t>college</w:t>
            </w:r>
            <w:r w:rsidRPr="1D57B863" w:rsidR="0C422AD1">
              <w:rPr>
                <w:rFonts w:asciiTheme="minorHAnsi" w:hAnsiTheme="minorHAnsi" w:cstheme="minorBidi"/>
                <w:sz w:val="22"/>
                <w:szCs w:val="22"/>
              </w:rPr>
              <w:t xml:space="preserve"> students</w:t>
            </w:r>
            <w:r w:rsidRPr="1D57B863" w:rsidR="7452714B">
              <w:rPr>
                <w:rFonts w:asciiTheme="minorHAnsi" w:hAnsiTheme="minorHAnsi" w:cstheme="minorBidi"/>
                <w:sz w:val="22"/>
                <w:szCs w:val="22"/>
              </w:rPr>
              <w:t>,</w:t>
            </w:r>
            <w:r w:rsidRPr="1D57B863" w:rsidR="0C422AD1">
              <w:rPr>
                <w:rFonts w:asciiTheme="minorHAnsi" w:hAnsiTheme="minorHAnsi" w:cstheme="minorBidi"/>
                <w:sz w:val="22"/>
                <w:szCs w:val="22"/>
              </w:rPr>
              <w:t xml:space="preserve"> and </w:t>
            </w:r>
            <w:r w:rsidRPr="1D57B863" w:rsidR="103887B7">
              <w:rPr>
                <w:rFonts w:asciiTheme="minorHAnsi" w:hAnsiTheme="minorHAnsi" w:cstheme="minorBidi"/>
                <w:sz w:val="22"/>
                <w:szCs w:val="22"/>
              </w:rPr>
              <w:t>individuals at risk for obesity and its associated diseases.</w:t>
            </w:r>
            <w:r w:rsidRPr="1D57B863" w:rsidR="0C422AD1">
              <w:rPr>
                <w:rFonts w:asciiTheme="minorHAnsi" w:hAnsiTheme="minorHAnsi" w:cstheme="minorBidi"/>
                <w:sz w:val="22"/>
                <w:szCs w:val="22"/>
              </w:rPr>
              <w:t xml:space="preserve"> </w:t>
            </w:r>
          </w:p>
          <w:p w:rsidR="003D774D" w:rsidP="003D774D" w14:paraId="131EC643" w14:textId="0FEF1A24">
            <w:pPr>
              <w:pStyle w:val="ListParagraph"/>
              <w:numPr>
                <w:ilvl w:val="0"/>
                <w:numId w:val="5"/>
              </w:numPr>
              <w:rPr>
                <w:rFonts w:asciiTheme="minorHAnsi" w:hAnsiTheme="minorHAnsi" w:cstheme="minorHAnsi"/>
                <w:sz w:val="22"/>
                <w:szCs w:val="22"/>
              </w:rPr>
            </w:pPr>
            <w:r>
              <w:rPr>
                <w:rFonts w:asciiTheme="minorHAnsi" w:hAnsiTheme="minorHAnsi" w:cstheme="minorHAnsi"/>
                <w:sz w:val="22"/>
                <w:szCs w:val="22"/>
              </w:rPr>
              <w:t xml:space="preserve">Multiple </w:t>
            </w:r>
            <w:r w:rsidR="004B6E26">
              <w:rPr>
                <w:rFonts w:asciiTheme="minorHAnsi" w:hAnsiTheme="minorHAnsi" w:cstheme="minorHAnsi"/>
                <w:sz w:val="22"/>
                <w:szCs w:val="22"/>
              </w:rPr>
              <w:t>FOP</w:t>
            </w:r>
            <w:r w:rsidR="001B64FF">
              <w:rPr>
                <w:rFonts w:asciiTheme="minorHAnsi" w:hAnsiTheme="minorHAnsi" w:cstheme="minorHAnsi"/>
                <w:sz w:val="22"/>
                <w:szCs w:val="22"/>
              </w:rPr>
              <w:t xml:space="preserve"> </w:t>
            </w:r>
            <w:r>
              <w:rPr>
                <w:rFonts w:asciiTheme="minorHAnsi" w:hAnsiTheme="minorHAnsi" w:cstheme="minorHAnsi"/>
                <w:sz w:val="22"/>
                <w:szCs w:val="22"/>
              </w:rPr>
              <w:t>s</w:t>
            </w:r>
            <w:r w:rsidR="001B64FF">
              <w:rPr>
                <w:rFonts w:asciiTheme="minorHAnsi" w:hAnsiTheme="minorHAnsi" w:cstheme="minorHAnsi"/>
                <w:sz w:val="22"/>
                <w:szCs w:val="22"/>
              </w:rPr>
              <w:t>chemes</w:t>
            </w:r>
            <w:r>
              <w:rPr>
                <w:rFonts w:asciiTheme="minorHAnsi" w:hAnsiTheme="minorHAnsi" w:cstheme="minorHAnsi"/>
                <w:sz w:val="22"/>
                <w:szCs w:val="22"/>
              </w:rPr>
              <w:t xml:space="preserve"> were evaluated in the studies, including</w:t>
            </w:r>
            <w:r w:rsidR="007F6FDC">
              <w:rPr>
                <w:rFonts w:asciiTheme="minorHAnsi" w:hAnsiTheme="minorHAnsi" w:cstheme="minorHAnsi"/>
                <w:sz w:val="22"/>
                <w:szCs w:val="22"/>
              </w:rPr>
              <w:t xml:space="preserve"> </w:t>
            </w:r>
            <w:r w:rsidRPr="553E34CD" w:rsidR="004B6E26">
              <w:rPr>
                <w:rFonts w:asciiTheme="minorHAnsi" w:hAnsiTheme="minorHAnsi" w:cstheme="minorBidi"/>
                <w:sz w:val="22"/>
                <w:szCs w:val="22"/>
              </w:rPr>
              <w:t>M</w:t>
            </w:r>
            <w:r w:rsidR="004B6E26">
              <w:rPr>
                <w:rFonts w:asciiTheme="minorHAnsi" w:hAnsiTheme="minorHAnsi" w:cstheme="minorBidi"/>
                <w:sz w:val="22"/>
                <w:szCs w:val="22"/>
              </w:rPr>
              <w:t>ultiple Traffic Light symbols</w:t>
            </w:r>
            <w:r>
              <w:rPr>
                <w:rFonts w:asciiTheme="minorHAnsi" w:hAnsiTheme="minorHAnsi" w:cstheme="minorHAnsi"/>
                <w:sz w:val="22"/>
                <w:szCs w:val="22"/>
              </w:rPr>
              <w:t xml:space="preserve">, </w:t>
            </w:r>
            <w:r w:rsidR="004B6E26">
              <w:rPr>
                <w:rFonts w:asciiTheme="minorHAnsi" w:hAnsiTheme="minorHAnsi" w:cstheme="minorHAnsi"/>
                <w:sz w:val="22"/>
                <w:szCs w:val="22"/>
              </w:rPr>
              <w:t>Nutri-Score</w:t>
            </w:r>
            <w:r>
              <w:rPr>
                <w:rFonts w:asciiTheme="minorHAnsi" w:hAnsiTheme="minorHAnsi" w:cstheme="minorHAnsi"/>
                <w:sz w:val="22"/>
                <w:szCs w:val="22"/>
              </w:rPr>
              <w:t>, Guiding Stars, Warning Labels</w:t>
            </w:r>
            <w:r w:rsidR="00AB7D72">
              <w:rPr>
                <w:rFonts w:asciiTheme="minorHAnsi" w:hAnsiTheme="minorHAnsi" w:cstheme="minorHAnsi"/>
                <w:sz w:val="22"/>
                <w:szCs w:val="22"/>
              </w:rPr>
              <w:t>,</w:t>
            </w:r>
            <w:r>
              <w:rPr>
                <w:rFonts w:asciiTheme="minorHAnsi" w:hAnsiTheme="minorHAnsi" w:cstheme="minorHAnsi"/>
                <w:sz w:val="22"/>
                <w:szCs w:val="22"/>
              </w:rPr>
              <w:t xml:space="preserve"> and Reference Intake Labels.</w:t>
            </w:r>
          </w:p>
          <w:p w:rsidR="00FC7B6E" w:rsidRPr="00FC7B6E" w:rsidP="002D5A73" w14:paraId="0FD0C28D" w14:textId="05BDF19A">
            <w:pPr>
              <w:pStyle w:val="ListParagraph"/>
              <w:numPr>
                <w:ilvl w:val="0"/>
                <w:numId w:val="5"/>
              </w:numPr>
              <w:rPr>
                <w:rFonts w:asciiTheme="minorHAnsi" w:hAnsiTheme="minorHAnsi" w:cstheme="minorBidi"/>
                <w:sz w:val="22"/>
                <w:szCs w:val="22"/>
              </w:rPr>
            </w:pPr>
            <w:r w:rsidRPr="223BA617">
              <w:rPr>
                <w:rFonts w:ascii="Calibri" w:hAnsi="Calibri" w:cstheme="minorBidi"/>
                <w:sz w:val="22"/>
                <w:szCs w:val="22"/>
              </w:rPr>
              <w:t>Studies found that</w:t>
            </w:r>
            <w:r w:rsidRPr="54A9F084" w:rsidR="0636C091">
              <w:rPr>
                <w:rFonts w:ascii="Calibri" w:hAnsi="Calibri" w:cstheme="minorBidi"/>
                <w:sz w:val="22"/>
                <w:szCs w:val="22"/>
              </w:rPr>
              <w:t>, compared to no FOP</w:t>
            </w:r>
            <w:r w:rsidR="001B64FF">
              <w:rPr>
                <w:rFonts w:ascii="Calibri" w:hAnsi="Calibri" w:cstheme="minorBidi"/>
                <w:sz w:val="22"/>
                <w:szCs w:val="22"/>
              </w:rPr>
              <w:t xml:space="preserve"> </w:t>
            </w:r>
            <w:r w:rsidR="00071931">
              <w:rPr>
                <w:rFonts w:asciiTheme="minorHAnsi" w:hAnsiTheme="minorHAnsi" w:cstheme="minorBidi"/>
                <w:sz w:val="22"/>
                <w:szCs w:val="22"/>
              </w:rPr>
              <w:t>label</w:t>
            </w:r>
            <w:r w:rsidRPr="54A9F084" w:rsidR="0636C091">
              <w:rPr>
                <w:rFonts w:ascii="Calibri" w:hAnsi="Calibri" w:cstheme="minorBidi"/>
                <w:sz w:val="22"/>
                <w:szCs w:val="22"/>
              </w:rPr>
              <w:t>,</w:t>
            </w:r>
            <w:r w:rsidRPr="223BA617" w:rsidR="00FF3923">
              <w:rPr>
                <w:rFonts w:ascii="Calibri" w:hAnsi="Calibri" w:cstheme="minorBidi"/>
                <w:sz w:val="22"/>
                <w:szCs w:val="22"/>
              </w:rPr>
              <w:t xml:space="preserve"> </w:t>
            </w:r>
            <w:r w:rsidRPr="223BA617">
              <w:rPr>
                <w:rFonts w:ascii="Calibri" w:hAnsi="Calibri" w:cstheme="minorBidi"/>
                <w:sz w:val="22"/>
                <w:szCs w:val="22"/>
              </w:rPr>
              <w:t>a</w:t>
            </w:r>
            <w:r w:rsidRPr="223BA617" w:rsidR="00FF3923">
              <w:rPr>
                <w:rFonts w:ascii="Calibri" w:hAnsi="Calibri" w:cstheme="minorBidi"/>
                <w:sz w:val="22"/>
                <w:szCs w:val="22"/>
              </w:rPr>
              <w:t xml:space="preserve">ll </w:t>
            </w:r>
            <w:r w:rsidR="004B6E26">
              <w:rPr>
                <w:rFonts w:ascii="Calibri" w:hAnsi="Calibri" w:cstheme="minorBidi"/>
                <w:sz w:val="22"/>
                <w:szCs w:val="22"/>
              </w:rPr>
              <w:t>FOP</w:t>
            </w:r>
            <w:r w:rsidR="00BA4764">
              <w:rPr>
                <w:rFonts w:ascii="Calibri" w:hAnsi="Calibri" w:cstheme="minorBidi"/>
                <w:sz w:val="22"/>
                <w:szCs w:val="22"/>
              </w:rPr>
              <w:t xml:space="preserve"> </w:t>
            </w:r>
            <w:r w:rsidRPr="223BA617" w:rsidR="00FF3923">
              <w:rPr>
                <w:rFonts w:ascii="Calibri" w:hAnsi="Calibri" w:cstheme="minorBidi"/>
                <w:sz w:val="22"/>
                <w:szCs w:val="22"/>
              </w:rPr>
              <w:t>s</w:t>
            </w:r>
            <w:r w:rsidR="00BA4764">
              <w:rPr>
                <w:rFonts w:ascii="Calibri" w:hAnsi="Calibri" w:cstheme="minorBidi"/>
                <w:sz w:val="22"/>
                <w:szCs w:val="22"/>
              </w:rPr>
              <w:t>cheme</w:t>
            </w:r>
            <w:r w:rsidR="00071931">
              <w:rPr>
                <w:rFonts w:ascii="Calibri" w:hAnsi="Calibri" w:cstheme="minorBidi"/>
                <w:sz w:val="22"/>
                <w:szCs w:val="22"/>
              </w:rPr>
              <w:t>s</w:t>
            </w:r>
            <w:r w:rsidRPr="223BA617" w:rsidR="00FF3923">
              <w:rPr>
                <w:rFonts w:ascii="Calibri" w:hAnsi="Calibri" w:cstheme="minorBidi"/>
                <w:sz w:val="22"/>
                <w:szCs w:val="22"/>
              </w:rPr>
              <w:t xml:space="preserve"> led to </w:t>
            </w:r>
            <w:r w:rsidRPr="223BA617" w:rsidR="003F37FD">
              <w:rPr>
                <w:rFonts w:ascii="Calibri" w:hAnsi="Calibri" w:cstheme="minorBidi"/>
                <w:sz w:val="22"/>
                <w:szCs w:val="22"/>
              </w:rPr>
              <w:t xml:space="preserve">these populations </w:t>
            </w:r>
            <w:r w:rsidRPr="54A9F084" w:rsidR="5D36DC0B">
              <w:rPr>
                <w:rFonts w:ascii="Calibri" w:hAnsi="Calibri" w:cstheme="minorBidi"/>
                <w:sz w:val="22"/>
                <w:szCs w:val="22"/>
              </w:rPr>
              <w:t xml:space="preserve">selecting foods with a healthier nutrient profile, although </w:t>
            </w:r>
            <w:r w:rsidRPr="54A9F084" w:rsidR="21BE257F">
              <w:rPr>
                <w:rFonts w:ascii="Calibri" w:hAnsi="Calibri" w:cstheme="minorBidi"/>
                <w:sz w:val="22"/>
                <w:szCs w:val="22"/>
              </w:rPr>
              <w:t xml:space="preserve">between-scheme results were not consistent. </w:t>
            </w:r>
          </w:p>
          <w:p w:rsidR="004B6E26" w:rsidRPr="00772629" w:rsidP="008A0F5F" w14:paraId="7FE3C7E8" w14:textId="6C8FA010">
            <w:pPr>
              <w:pStyle w:val="ListParagraph"/>
              <w:numPr>
                <w:ilvl w:val="0"/>
                <w:numId w:val="5"/>
              </w:numPr>
              <w:rPr>
                <w:rFonts w:asciiTheme="minorHAnsi" w:hAnsiTheme="minorHAnsi" w:cstheme="minorHAnsi"/>
                <w:sz w:val="22"/>
                <w:szCs w:val="22"/>
              </w:rPr>
            </w:pPr>
            <w:r>
              <w:rPr>
                <w:rFonts w:asciiTheme="minorHAnsi" w:hAnsiTheme="minorHAnsi" w:cstheme="minorHAnsi"/>
                <w:sz w:val="22"/>
                <w:szCs w:val="22"/>
              </w:rPr>
              <w:t>Nutri-Score</w:t>
            </w:r>
            <w:r w:rsidRPr="008A0F5F" w:rsidR="00674EBC">
              <w:rPr>
                <w:rFonts w:asciiTheme="minorHAnsi" w:hAnsiTheme="minorHAnsi" w:cstheme="minorHAnsi"/>
                <w:sz w:val="22"/>
              </w:rPr>
              <w:t xml:space="preserve"> appears to have potential to encourage the purchasing of </w:t>
            </w:r>
            <w:r w:rsidRPr="008A0F5F" w:rsidR="00A27425">
              <w:rPr>
                <w:rFonts w:asciiTheme="minorHAnsi" w:hAnsiTheme="minorHAnsi" w:cstheme="minorHAnsi"/>
                <w:sz w:val="22"/>
              </w:rPr>
              <w:t xml:space="preserve">products with higher nutritional quality among a variety of groups. </w:t>
            </w:r>
            <w:r w:rsidRPr="008A0F5F" w:rsidR="00691ECF">
              <w:rPr>
                <w:rFonts w:asciiTheme="minorHAnsi" w:hAnsiTheme="minorHAnsi" w:cstheme="minorHAnsi"/>
                <w:sz w:val="22"/>
              </w:rPr>
              <w:t>One study (Egnell</w:t>
            </w:r>
            <w:r w:rsidRPr="008A0F5F" w:rsidR="003A15DA">
              <w:rPr>
                <w:rFonts w:asciiTheme="minorHAnsi" w:hAnsiTheme="minorHAnsi" w:cstheme="minorHAnsi"/>
                <w:sz w:val="22"/>
              </w:rPr>
              <w:t xml:space="preserve">, 2019) found </w:t>
            </w:r>
            <w:r w:rsidRPr="008A0F5F" w:rsidR="00E50948">
              <w:rPr>
                <w:rFonts w:asciiTheme="minorHAnsi" w:hAnsiTheme="minorHAnsi" w:cstheme="minorHAnsi"/>
                <w:sz w:val="22"/>
              </w:rPr>
              <w:t>t</w:t>
            </w:r>
            <w:r w:rsidRPr="008A0F5F" w:rsidR="002D5A73">
              <w:rPr>
                <w:rFonts w:asciiTheme="minorHAnsi" w:hAnsiTheme="minorHAnsi" w:cstheme="minorHAnsi"/>
                <w:sz w:val="22"/>
              </w:rPr>
              <w:t>h</w:t>
            </w:r>
            <w:r w:rsidRPr="008A0F5F" w:rsidR="2DB88C06">
              <w:rPr>
                <w:rFonts w:asciiTheme="minorHAnsi" w:hAnsiTheme="minorHAnsi" w:cstheme="minorHAnsi"/>
                <w:sz w:val="22"/>
              </w:rPr>
              <w:t xml:space="preserve">at students </w:t>
            </w:r>
            <w:r w:rsidR="00F009A6">
              <w:rPr>
                <w:rFonts w:asciiTheme="minorHAnsi" w:hAnsiTheme="minorHAnsi" w:cstheme="minorHAnsi"/>
                <w:sz w:val="22"/>
              </w:rPr>
              <w:t xml:space="preserve">(ages 18-25) </w:t>
            </w:r>
            <w:r w:rsidRPr="008A0F5F" w:rsidR="2DB88C06">
              <w:rPr>
                <w:rFonts w:asciiTheme="minorHAnsi" w:hAnsiTheme="minorHAnsi" w:cstheme="minorHAnsi"/>
                <w:sz w:val="22"/>
              </w:rPr>
              <w:t>purch</w:t>
            </w:r>
            <w:r w:rsidRPr="008A0F5F" w:rsidR="201EA397">
              <w:rPr>
                <w:rFonts w:asciiTheme="minorHAnsi" w:hAnsiTheme="minorHAnsi" w:cstheme="minorHAnsi"/>
                <w:sz w:val="22"/>
              </w:rPr>
              <w:t>a</w:t>
            </w:r>
            <w:r w:rsidRPr="008A0F5F" w:rsidR="2DB88C06">
              <w:rPr>
                <w:rFonts w:asciiTheme="minorHAnsi" w:hAnsiTheme="minorHAnsi" w:cstheme="minorHAnsi"/>
                <w:sz w:val="22"/>
              </w:rPr>
              <w:t xml:space="preserve">sed </w:t>
            </w:r>
            <w:r w:rsidRPr="008A0F5F" w:rsidR="0DB8706A">
              <w:rPr>
                <w:rFonts w:asciiTheme="minorHAnsi" w:hAnsiTheme="minorHAnsi" w:cstheme="minorHAnsi"/>
                <w:sz w:val="22"/>
              </w:rPr>
              <w:t xml:space="preserve">more nutritious </w:t>
            </w:r>
            <w:r w:rsidRPr="008A0F5F" w:rsidR="2DB88C06">
              <w:rPr>
                <w:rFonts w:asciiTheme="minorHAnsi" w:hAnsiTheme="minorHAnsi" w:cstheme="minorHAnsi"/>
                <w:sz w:val="22"/>
              </w:rPr>
              <w:t>foods w</w:t>
            </w:r>
            <w:r w:rsidRPr="008A0F5F" w:rsidR="687A0ADD">
              <w:rPr>
                <w:rFonts w:asciiTheme="minorHAnsi" w:hAnsiTheme="minorHAnsi" w:cstheme="minorHAnsi"/>
                <w:sz w:val="22"/>
              </w:rPr>
              <w:t xml:space="preserve">hen foods had </w:t>
            </w:r>
            <w:r>
              <w:rPr>
                <w:rFonts w:asciiTheme="minorHAnsi" w:hAnsiTheme="minorHAnsi" w:cstheme="minorHAnsi"/>
                <w:sz w:val="22"/>
                <w:szCs w:val="22"/>
              </w:rPr>
              <w:t>Nutri-Score</w:t>
            </w:r>
            <w:r w:rsidRPr="008A0F5F" w:rsidR="002D5A73">
              <w:rPr>
                <w:rFonts w:asciiTheme="minorHAnsi" w:hAnsiTheme="minorHAnsi" w:cstheme="minorHAnsi"/>
                <w:sz w:val="22"/>
              </w:rPr>
              <w:t xml:space="preserve"> label</w:t>
            </w:r>
            <w:r w:rsidRPr="008A0F5F" w:rsidR="644AC515">
              <w:rPr>
                <w:rFonts w:asciiTheme="minorHAnsi" w:hAnsiTheme="minorHAnsi" w:cstheme="minorHAnsi"/>
                <w:sz w:val="22"/>
              </w:rPr>
              <w:t>s</w:t>
            </w:r>
            <w:r w:rsidRPr="008A0F5F" w:rsidR="002D5A73">
              <w:rPr>
                <w:rFonts w:asciiTheme="minorHAnsi" w:hAnsiTheme="minorHAnsi" w:cstheme="minorHAnsi"/>
                <w:sz w:val="22"/>
              </w:rPr>
              <w:t xml:space="preserve"> </w:t>
            </w:r>
            <w:r w:rsidRPr="008A0F5F" w:rsidR="00D8FA97">
              <w:rPr>
                <w:rFonts w:asciiTheme="minorHAnsi" w:hAnsiTheme="minorHAnsi" w:cstheme="minorHAnsi"/>
                <w:sz w:val="22"/>
              </w:rPr>
              <w:t xml:space="preserve">compared to </w:t>
            </w:r>
            <w:r w:rsidRPr="008A0F5F" w:rsidR="2175B251">
              <w:rPr>
                <w:rFonts w:asciiTheme="minorHAnsi" w:hAnsiTheme="minorHAnsi" w:cstheme="minorHAnsi"/>
                <w:sz w:val="22"/>
              </w:rPr>
              <w:t>foods with either</w:t>
            </w:r>
            <w:r w:rsidRPr="008A0F5F" w:rsidR="002D5A73">
              <w:rPr>
                <w:rFonts w:asciiTheme="minorHAnsi" w:hAnsiTheme="minorHAnsi" w:cstheme="minorHAnsi"/>
                <w:sz w:val="22"/>
              </w:rPr>
              <w:t xml:space="preserve"> the </w:t>
            </w:r>
            <w:r w:rsidRPr="008A0F5F" w:rsidR="00651F67">
              <w:rPr>
                <w:rFonts w:asciiTheme="minorHAnsi" w:hAnsiTheme="minorHAnsi" w:cstheme="minorHAnsi"/>
                <w:sz w:val="22"/>
              </w:rPr>
              <w:t>R</w:t>
            </w:r>
            <w:r>
              <w:rPr>
                <w:rFonts w:asciiTheme="minorHAnsi" w:hAnsiTheme="minorHAnsi" w:cstheme="minorHAnsi"/>
                <w:sz w:val="22"/>
                <w:szCs w:val="22"/>
              </w:rPr>
              <w:t>eference Intakes</w:t>
            </w:r>
            <w:r w:rsidRPr="008A0F5F" w:rsidR="002D5A73">
              <w:rPr>
                <w:rFonts w:asciiTheme="minorHAnsi" w:hAnsiTheme="minorHAnsi" w:cstheme="minorHAnsi"/>
                <w:sz w:val="22"/>
              </w:rPr>
              <w:t xml:space="preserve"> label or no label</w:t>
            </w:r>
            <w:r w:rsidRPr="008A0F5F" w:rsidR="004C2571">
              <w:rPr>
                <w:rFonts w:asciiTheme="minorHAnsi" w:hAnsiTheme="minorHAnsi" w:cstheme="minorHAnsi"/>
                <w:sz w:val="22"/>
              </w:rPr>
              <w:t>.</w:t>
            </w:r>
            <w:r w:rsidRPr="008A0F5F" w:rsidR="00B400B1">
              <w:rPr>
                <w:rFonts w:asciiTheme="minorHAnsi" w:hAnsiTheme="minorHAnsi" w:cstheme="minorHAnsi"/>
                <w:sz w:val="22"/>
              </w:rPr>
              <w:t xml:space="preserve"> In an additional study (Egnell, </w:t>
            </w:r>
            <w:r w:rsidRPr="008A0F5F" w:rsidR="00E87A57">
              <w:rPr>
                <w:rFonts w:asciiTheme="minorHAnsi" w:hAnsiTheme="minorHAnsi" w:cstheme="minorHAnsi"/>
                <w:sz w:val="22"/>
              </w:rPr>
              <w:t xml:space="preserve">2021), </w:t>
            </w:r>
            <w:r w:rsidRPr="008A0F5F" w:rsidR="5C9DC72F">
              <w:rPr>
                <w:rFonts w:asciiTheme="minorHAnsi" w:hAnsiTheme="minorHAnsi" w:cstheme="minorHAnsi"/>
                <w:sz w:val="22"/>
              </w:rPr>
              <w:t xml:space="preserve">low-income participants purchased more nutritious </w:t>
            </w:r>
            <w:r w:rsidRPr="008A0F5F" w:rsidR="62AD37B5">
              <w:rPr>
                <w:rFonts w:asciiTheme="minorHAnsi" w:hAnsiTheme="minorHAnsi" w:cstheme="minorHAnsi"/>
                <w:sz w:val="22"/>
              </w:rPr>
              <w:t xml:space="preserve">foods when products had the </w:t>
            </w:r>
            <w:r>
              <w:rPr>
                <w:rFonts w:asciiTheme="minorHAnsi" w:hAnsiTheme="minorHAnsi" w:cstheme="minorHAnsi"/>
                <w:sz w:val="22"/>
                <w:szCs w:val="22"/>
              </w:rPr>
              <w:t>Nutri-Score</w:t>
            </w:r>
            <w:r w:rsidRPr="008A0F5F" w:rsidR="62AD37B5">
              <w:rPr>
                <w:rFonts w:asciiTheme="minorHAnsi" w:hAnsiTheme="minorHAnsi" w:cstheme="minorHAnsi"/>
                <w:sz w:val="22"/>
              </w:rPr>
              <w:t xml:space="preserve"> label c</w:t>
            </w:r>
            <w:r w:rsidRPr="008A0F5F" w:rsidR="1CD44723">
              <w:rPr>
                <w:rFonts w:asciiTheme="minorHAnsi" w:hAnsiTheme="minorHAnsi" w:cstheme="minorHAnsi"/>
                <w:sz w:val="22"/>
              </w:rPr>
              <w:t xml:space="preserve">ompared to </w:t>
            </w:r>
            <w:r w:rsidRPr="008A0F5F" w:rsidR="5445DA49">
              <w:rPr>
                <w:rFonts w:asciiTheme="minorHAnsi" w:hAnsiTheme="minorHAnsi" w:cstheme="minorHAnsi"/>
                <w:sz w:val="22"/>
              </w:rPr>
              <w:t xml:space="preserve">foods with </w:t>
            </w:r>
            <w:r w:rsidRPr="008A0F5F" w:rsidR="1CD44723">
              <w:rPr>
                <w:rFonts w:asciiTheme="minorHAnsi" w:hAnsiTheme="minorHAnsi" w:cstheme="minorHAnsi"/>
                <w:sz w:val="22"/>
              </w:rPr>
              <w:t>the R</w:t>
            </w:r>
            <w:r>
              <w:rPr>
                <w:rFonts w:asciiTheme="minorHAnsi" w:hAnsiTheme="minorHAnsi" w:cstheme="minorHAnsi"/>
                <w:sz w:val="22"/>
                <w:szCs w:val="22"/>
              </w:rPr>
              <w:t xml:space="preserve">eference Intakes </w:t>
            </w:r>
            <w:r w:rsidRPr="008A0F5F" w:rsidR="1CD44723">
              <w:rPr>
                <w:rFonts w:asciiTheme="minorHAnsi" w:hAnsiTheme="minorHAnsi" w:cstheme="minorHAnsi"/>
                <w:sz w:val="22"/>
              </w:rPr>
              <w:t>label</w:t>
            </w:r>
            <w:r w:rsidR="005E5889">
              <w:rPr>
                <w:rFonts w:asciiTheme="minorHAnsi" w:hAnsiTheme="minorHAnsi" w:cstheme="minorHAnsi"/>
                <w:sz w:val="22"/>
              </w:rPr>
              <w:t>.</w:t>
            </w:r>
          </w:p>
          <w:p w:rsidR="00772629" w:rsidRPr="008A0F5F" w:rsidP="005E5889" w14:paraId="12C49083" w14:textId="77777777">
            <w:pPr>
              <w:pStyle w:val="ListParagraph"/>
              <w:ind w:left="360"/>
              <w:rPr>
                <w:rFonts w:asciiTheme="minorHAnsi" w:hAnsiTheme="minorHAnsi" w:cstheme="minorHAnsi"/>
                <w:sz w:val="22"/>
                <w:szCs w:val="22"/>
              </w:rPr>
            </w:pPr>
          </w:p>
          <w:p w:rsidR="0080237D" w:rsidRPr="009031C0" w:rsidP="00174D66" w14:paraId="0DEA7126" w14:textId="3A5816F5">
            <w:pPr>
              <w:rPr>
                <w:rFonts w:asciiTheme="minorHAnsi" w:hAnsiTheme="minorHAnsi" w:cstheme="minorBidi"/>
                <w:sz w:val="22"/>
                <w:szCs w:val="22"/>
              </w:rPr>
            </w:pPr>
            <w:r w:rsidRPr="68D4329B">
              <w:rPr>
                <w:rFonts w:asciiTheme="minorHAnsi" w:hAnsiTheme="minorHAnsi" w:cstheme="minorBidi"/>
                <w:b/>
                <w:sz w:val="22"/>
                <w:szCs w:val="22"/>
              </w:rPr>
              <w:t xml:space="preserve">Conclusion: </w:t>
            </w:r>
            <w:r w:rsidRPr="68D4329B">
              <w:rPr>
                <w:rFonts w:asciiTheme="minorHAnsi" w:hAnsiTheme="minorHAnsi" w:cstheme="minorBidi"/>
                <w:sz w:val="22"/>
                <w:szCs w:val="22"/>
              </w:rPr>
              <w:t xml:space="preserve">While results from the studies varied, they point toward positive </w:t>
            </w:r>
            <w:r w:rsidRPr="68D4329B" w:rsidR="00C33CE6">
              <w:rPr>
                <w:rFonts w:asciiTheme="minorHAnsi" w:hAnsiTheme="minorHAnsi" w:cstheme="minorBidi"/>
                <w:sz w:val="22"/>
                <w:szCs w:val="22"/>
              </w:rPr>
              <w:t xml:space="preserve">effects </w:t>
            </w:r>
            <w:r w:rsidRPr="68D4329B">
              <w:rPr>
                <w:rFonts w:asciiTheme="minorHAnsi" w:hAnsiTheme="minorHAnsi" w:cstheme="minorBidi"/>
                <w:sz w:val="22"/>
                <w:szCs w:val="22"/>
              </w:rPr>
              <w:t xml:space="preserve">of </w:t>
            </w:r>
            <w:r w:rsidR="004B6E26">
              <w:rPr>
                <w:rFonts w:asciiTheme="minorHAnsi" w:hAnsiTheme="minorHAnsi" w:cstheme="minorBidi"/>
                <w:sz w:val="22"/>
                <w:szCs w:val="22"/>
              </w:rPr>
              <w:t>FOP</w:t>
            </w:r>
            <w:r w:rsidR="000E79E6">
              <w:rPr>
                <w:rFonts w:asciiTheme="minorHAnsi" w:hAnsiTheme="minorHAnsi" w:cstheme="minorBidi"/>
                <w:sz w:val="22"/>
                <w:szCs w:val="22"/>
              </w:rPr>
              <w:t xml:space="preserve"> label</w:t>
            </w:r>
            <w:r w:rsidRPr="68D4329B" w:rsidR="00C33CE6">
              <w:rPr>
                <w:rFonts w:asciiTheme="minorHAnsi" w:hAnsiTheme="minorHAnsi" w:cstheme="minorBidi"/>
                <w:sz w:val="22"/>
                <w:szCs w:val="22"/>
              </w:rPr>
              <w:t>s</w:t>
            </w:r>
            <w:r w:rsidRPr="68D4329B">
              <w:rPr>
                <w:rFonts w:asciiTheme="minorHAnsi" w:hAnsiTheme="minorHAnsi" w:cstheme="minorBidi"/>
                <w:sz w:val="22"/>
                <w:szCs w:val="22"/>
              </w:rPr>
              <w:t xml:space="preserve"> </w:t>
            </w:r>
            <w:r w:rsidRPr="68D4329B" w:rsidR="00C42341">
              <w:rPr>
                <w:rFonts w:asciiTheme="minorHAnsi" w:hAnsiTheme="minorHAnsi" w:cstheme="minorBidi"/>
                <w:sz w:val="22"/>
                <w:szCs w:val="22"/>
              </w:rPr>
              <w:t xml:space="preserve">on consumers’ </w:t>
            </w:r>
            <w:r w:rsidRPr="68D4329B" w:rsidR="00967264">
              <w:rPr>
                <w:rFonts w:asciiTheme="minorHAnsi" w:hAnsiTheme="minorHAnsi" w:cstheme="minorBidi"/>
                <w:sz w:val="22"/>
                <w:szCs w:val="22"/>
              </w:rPr>
              <w:t xml:space="preserve">ability to select healthier products </w:t>
            </w:r>
            <w:r w:rsidRPr="68D4329B" w:rsidR="00C33CE6">
              <w:rPr>
                <w:rFonts w:asciiTheme="minorHAnsi" w:hAnsiTheme="minorHAnsi" w:cstheme="minorBidi"/>
                <w:sz w:val="22"/>
                <w:szCs w:val="22"/>
              </w:rPr>
              <w:t>among diverse populations.</w:t>
            </w:r>
          </w:p>
        </w:tc>
      </w:tr>
      <w:tr w14:paraId="7B9644F3" w14:textId="77777777" w:rsidTr="1D57B863">
        <w:tblPrEx>
          <w:tblW w:w="0" w:type="auto"/>
          <w:tblInd w:w="-5" w:type="dxa"/>
          <w:tblLook w:val="04A0"/>
        </w:tblPrEx>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37D" w:rsidP="00174D66" w14:paraId="7BBD176A" w14:textId="77777777">
            <w:pPr>
              <w:rPr>
                <w:b/>
                <w:sz w:val="24"/>
                <w:szCs w:val="24"/>
              </w:rPr>
            </w:pPr>
          </w:p>
          <w:p w:rsidR="0080237D" w:rsidP="00174D66" w14:paraId="20382E6D" w14:textId="0B6FE0C5">
            <w:pPr>
              <w:rPr>
                <w:b/>
                <w:sz w:val="24"/>
                <w:szCs w:val="24"/>
              </w:rPr>
            </w:pPr>
            <w:r w:rsidRPr="00A223E7">
              <w:rPr>
                <w:b/>
                <w:sz w:val="24"/>
                <w:szCs w:val="24"/>
              </w:rPr>
              <w:t>Evaluation of Government</w:t>
            </w:r>
            <w:r w:rsidR="00801D67">
              <w:rPr>
                <w:b/>
                <w:sz w:val="24"/>
                <w:szCs w:val="24"/>
              </w:rPr>
              <w:t>-Instituted</w:t>
            </w:r>
            <w:r w:rsidRPr="00A223E7">
              <w:rPr>
                <w:b/>
                <w:sz w:val="24"/>
                <w:szCs w:val="24"/>
              </w:rPr>
              <w:t xml:space="preserve"> </w:t>
            </w:r>
            <w:r w:rsidR="00F638F1">
              <w:rPr>
                <w:b/>
                <w:sz w:val="24"/>
                <w:szCs w:val="24"/>
              </w:rPr>
              <w:t>FOP</w:t>
            </w:r>
            <w:r w:rsidRPr="00A223E7">
              <w:rPr>
                <w:b/>
                <w:sz w:val="24"/>
                <w:szCs w:val="24"/>
              </w:rPr>
              <w:t xml:space="preserve"> Nutrition </w:t>
            </w:r>
            <w:r w:rsidR="00E815CB">
              <w:rPr>
                <w:b/>
                <w:sz w:val="24"/>
                <w:szCs w:val="24"/>
              </w:rPr>
              <w:t>Labeling Systems</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3E7" w:rsidRPr="009031C0" w:rsidP="00A223E7" w14:paraId="68CD7822" w14:textId="31A89EAE">
            <w:pPr>
              <w:pStyle w:val="ListParagraph"/>
              <w:numPr>
                <w:ilvl w:val="0"/>
                <w:numId w:val="4"/>
              </w:numPr>
              <w:rPr>
                <w:rFonts w:asciiTheme="minorHAnsi" w:hAnsiTheme="minorHAnsi" w:cstheme="minorHAnsi"/>
                <w:sz w:val="22"/>
                <w:szCs w:val="22"/>
              </w:rPr>
            </w:pPr>
            <w:r w:rsidRPr="1D57B863">
              <w:rPr>
                <w:rFonts w:asciiTheme="minorHAnsi" w:hAnsiTheme="minorHAnsi" w:cstheme="minorBidi"/>
                <w:sz w:val="22"/>
                <w:szCs w:val="22"/>
              </w:rPr>
              <w:t xml:space="preserve">Our review identified </w:t>
            </w:r>
            <w:r w:rsidRPr="1D57B863" w:rsidR="0135B3A8">
              <w:rPr>
                <w:rFonts w:asciiTheme="minorHAnsi" w:hAnsiTheme="minorHAnsi" w:cstheme="minorBidi"/>
                <w:sz w:val="22"/>
                <w:szCs w:val="22"/>
              </w:rPr>
              <w:t xml:space="preserve">six </w:t>
            </w:r>
            <w:r w:rsidRPr="1D57B863">
              <w:rPr>
                <w:rFonts w:asciiTheme="minorHAnsi" w:hAnsiTheme="minorHAnsi" w:cstheme="minorBidi"/>
                <w:sz w:val="22"/>
                <w:szCs w:val="22"/>
              </w:rPr>
              <w:t>studies in this category, with</w:t>
            </w:r>
            <w:r w:rsidRPr="1D57B863">
              <w:rPr>
                <w:rFonts w:asciiTheme="minorHAnsi" w:hAnsiTheme="minorHAnsi" w:cstheme="minorBidi"/>
                <w:sz w:val="22"/>
                <w:szCs w:val="22"/>
              </w:rPr>
              <w:t xml:space="preserve"> one </w:t>
            </w:r>
            <w:r w:rsidRPr="1D57B863">
              <w:rPr>
                <w:rFonts w:asciiTheme="minorHAnsi" w:hAnsiTheme="minorHAnsi" w:cstheme="minorBidi"/>
                <w:sz w:val="22"/>
                <w:szCs w:val="22"/>
              </w:rPr>
              <w:t>set of focus groups, three surveys, and one systematic review.</w:t>
            </w:r>
          </w:p>
          <w:p w:rsidR="00A223E7" w:rsidP="1D57B863" w14:paraId="2D86AA7C" w14:textId="4918CA3B">
            <w:pPr>
              <w:pStyle w:val="ListParagraph"/>
              <w:numPr>
                <w:ilvl w:val="0"/>
                <w:numId w:val="4"/>
              </w:numPr>
              <w:rPr>
                <w:rFonts w:asciiTheme="minorHAnsi" w:hAnsiTheme="minorHAnsi" w:cstheme="minorBidi"/>
                <w:sz w:val="22"/>
                <w:szCs w:val="22"/>
              </w:rPr>
            </w:pPr>
            <w:r w:rsidRPr="1D57B863">
              <w:rPr>
                <w:rFonts w:asciiTheme="minorHAnsi" w:hAnsiTheme="minorHAnsi" w:cstheme="minorBidi"/>
                <w:sz w:val="22"/>
                <w:szCs w:val="22"/>
              </w:rPr>
              <w:t>These studies were conducted in Australia</w:t>
            </w:r>
            <w:r w:rsidRPr="1D57B863" w:rsidR="63E16717">
              <w:rPr>
                <w:rFonts w:asciiTheme="minorHAnsi" w:hAnsiTheme="minorHAnsi" w:cstheme="minorBidi"/>
                <w:sz w:val="22"/>
                <w:szCs w:val="22"/>
              </w:rPr>
              <w:t xml:space="preserve">, Denmark, Ecuador, </w:t>
            </w:r>
            <w:r w:rsidRPr="1D57B863">
              <w:rPr>
                <w:rFonts w:asciiTheme="minorHAnsi" w:hAnsiTheme="minorHAnsi" w:cstheme="minorBidi"/>
                <w:sz w:val="22"/>
                <w:szCs w:val="22"/>
              </w:rPr>
              <w:t xml:space="preserve">France, </w:t>
            </w:r>
            <w:r w:rsidRPr="1D57B863" w:rsidR="63E16717">
              <w:rPr>
                <w:rFonts w:asciiTheme="minorHAnsi" w:hAnsiTheme="minorHAnsi" w:cstheme="minorBidi"/>
                <w:sz w:val="22"/>
                <w:szCs w:val="22"/>
              </w:rPr>
              <w:t xml:space="preserve">and </w:t>
            </w:r>
            <w:r w:rsidRPr="1D57B863">
              <w:rPr>
                <w:rFonts w:asciiTheme="minorHAnsi" w:hAnsiTheme="minorHAnsi" w:cstheme="minorBidi"/>
                <w:sz w:val="22"/>
                <w:szCs w:val="22"/>
              </w:rPr>
              <w:t xml:space="preserve">New Zealand. </w:t>
            </w:r>
          </w:p>
          <w:p w:rsidR="00A223E7" w:rsidRPr="00812271" w:rsidP="00812271" w14:paraId="20988139" w14:textId="7A57BF23">
            <w:pPr>
              <w:pStyle w:val="ListParagraph"/>
              <w:numPr>
                <w:ilvl w:val="0"/>
                <w:numId w:val="4"/>
              </w:numPr>
              <w:rPr>
                <w:rFonts w:asciiTheme="minorHAnsi" w:hAnsiTheme="minorHAnsi" w:cstheme="minorHAnsi"/>
                <w:sz w:val="22"/>
                <w:szCs w:val="22"/>
              </w:rPr>
            </w:pPr>
            <w:r w:rsidRPr="1D57B863">
              <w:rPr>
                <w:rFonts w:asciiTheme="minorHAnsi" w:hAnsiTheme="minorHAnsi" w:cstheme="minorBidi"/>
                <w:sz w:val="22"/>
                <w:szCs w:val="22"/>
              </w:rPr>
              <w:t xml:space="preserve">These studies focused on a range of </w:t>
            </w:r>
            <w:r w:rsidRPr="1D57B863" w:rsidR="3CB3952B">
              <w:rPr>
                <w:rFonts w:asciiTheme="minorHAnsi" w:hAnsiTheme="minorHAnsi" w:cstheme="minorBidi"/>
                <w:sz w:val="22"/>
                <w:szCs w:val="22"/>
              </w:rPr>
              <w:t>FOP</w:t>
            </w:r>
            <w:r w:rsidR="000515AE">
              <w:rPr>
                <w:rFonts w:asciiTheme="minorHAnsi" w:hAnsiTheme="minorHAnsi" w:cstheme="minorBidi"/>
                <w:sz w:val="22"/>
                <w:szCs w:val="22"/>
              </w:rPr>
              <w:t xml:space="preserve"> </w:t>
            </w:r>
            <w:r w:rsidRPr="1D57B863">
              <w:rPr>
                <w:rFonts w:asciiTheme="minorHAnsi" w:hAnsiTheme="minorHAnsi" w:cstheme="minorBidi"/>
                <w:sz w:val="22"/>
                <w:szCs w:val="22"/>
              </w:rPr>
              <w:t>s</w:t>
            </w:r>
            <w:r w:rsidR="000515AE">
              <w:rPr>
                <w:rFonts w:asciiTheme="minorHAnsi" w:hAnsiTheme="minorHAnsi" w:cstheme="minorBidi"/>
                <w:sz w:val="22"/>
                <w:szCs w:val="22"/>
              </w:rPr>
              <w:t>chemes</w:t>
            </w:r>
            <w:r w:rsidRPr="1D57B863">
              <w:rPr>
                <w:rFonts w:asciiTheme="minorHAnsi" w:hAnsiTheme="minorHAnsi" w:cstheme="minorBidi"/>
                <w:sz w:val="22"/>
                <w:szCs w:val="22"/>
              </w:rPr>
              <w:t xml:space="preserve"> </w:t>
            </w:r>
            <w:r w:rsidRPr="1D57B863" w:rsidR="63E16717">
              <w:rPr>
                <w:rFonts w:asciiTheme="minorHAnsi" w:hAnsiTheme="minorHAnsi" w:cstheme="minorBidi"/>
                <w:sz w:val="22"/>
                <w:szCs w:val="22"/>
              </w:rPr>
              <w:t xml:space="preserve">developed and instituted by the governments of the study countries. These </w:t>
            </w:r>
            <w:r w:rsidRPr="1D57B863" w:rsidR="3CB3952B">
              <w:rPr>
                <w:rFonts w:asciiTheme="minorHAnsi" w:hAnsiTheme="minorHAnsi" w:cstheme="minorBidi"/>
                <w:sz w:val="22"/>
                <w:szCs w:val="22"/>
              </w:rPr>
              <w:t>FOP</w:t>
            </w:r>
            <w:r w:rsidR="000515AE">
              <w:rPr>
                <w:rFonts w:asciiTheme="minorHAnsi" w:hAnsiTheme="minorHAnsi" w:cstheme="minorBidi"/>
                <w:sz w:val="22"/>
                <w:szCs w:val="22"/>
              </w:rPr>
              <w:t xml:space="preserve"> </w:t>
            </w:r>
            <w:r w:rsidRPr="1D57B863" w:rsidR="63E16717">
              <w:rPr>
                <w:rFonts w:asciiTheme="minorHAnsi" w:hAnsiTheme="minorHAnsi" w:cstheme="minorBidi"/>
                <w:sz w:val="22"/>
                <w:szCs w:val="22"/>
              </w:rPr>
              <w:t>s</w:t>
            </w:r>
            <w:r w:rsidR="000515AE">
              <w:rPr>
                <w:rFonts w:asciiTheme="minorHAnsi" w:hAnsiTheme="minorHAnsi" w:cstheme="minorBidi"/>
                <w:sz w:val="22"/>
                <w:szCs w:val="22"/>
              </w:rPr>
              <w:t>chemes</w:t>
            </w:r>
            <w:r w:rsidRPr="1D57B863" w:rsidR="63E16717">
              <w:rPr>
                <w:rFonts w:asciiTheme="minorHAnsi" w:hAnsiTheme="minorHAnsi" w:cstheme="minorBidi"/>
                <w:sz w:val="22"/>
                <w:szCs w:val="22"/>
              </w:rPr>
              <w:t xml:space="preserve"> included</w:t>
            </w:r>
            <w:r w:rsidRPr="1D57B863">
              <w:rPr>
                <w:rFonts w:asciiTheme="minorHAnsi" w:hAnsiTheme="minorHAnsi" w:cstheme="minorBidi"/>
                <w:sz w:val="22"/>
                <w:szCs w:val="22"/>
              </w:rPr>
              <w:t xml:space="preserve"> </w:t>
            </w:r>
            <w:r w:rsidRPr="1D57B863" w:rsidR="4914DDF7">
              <w:rPr>
                <w:rFonts w:asciiTheme="minorHAnsi" w:hAnsiTheme="minorHAnsi" w:cstheme="minorBidi"/>
                <w:sz w:val="22"/>
                <w:szCs w:val="22"/>
              </w:rPr>
              <w:t xml:space="preserve">Nutritional </w:t>
            </w:r>
            <w:r w:rsidRPr="1D57B863">
              <w:rPr>
                <w:rFonts w:asciiTheme="minorHAnsi" w:hAnsiTheme="minorHAnsi" w:cstheme="minorBidi"/>
                <w:sz w:val="22"/>
                <w:szCs w:val="22"/>
              </w:rPr>
              <w:t>Traffic Light</w:t>
            </w:r>
            <w:r w:rsidRPr="1D57B863" w:rsidR="757317C9">
              <w:rPr>
                <w:rFonts w:asciiTheme="minorHAnsi" w:hAnsiTheme="minorHAnsi" w:cstheme="minorBidi"/>
                <w:sz w:val="22"/>
                <w:szCs w:val="22"/>
              </w:rPr>
              <w:t xml:space="preserve"> (Ecuador)</w:t>
            </w:r>
            <w:r w:rsidRPr="1D57B863">
              <w:rPr>
                <w:rFonts w:asciiTheme="minorHAnsi" w:hAnsiTheme="minorHAnsi" w:cstheme="minorBidi"/>
                <w:sz w:val="22"/>
                <w:szCs w:val="22"/>
              </w:rPr>
              <w:t xml:space="preserve">, </w:t>
            </w:r>
            <w:r w:rsidRPr="1D57B863" w:rsidR="3CB3952B">
              <w:rPr>
                <w:rFonts w:asciiTheme="minorHAnsi" w:hAnsiTheme="minorHAnsi" w:cstheme="minorBidi"/>
                <w:sz w:val="22"/>
                <w:szCs w:val="22"/>
              </w:rPr>
              <w:t>Nutri-Score</w:t>
            </w:r>
            <w:r w:rsidRPr="1D57B863" w:rsidR="757317C9">
              <w:rPr>
                <w:rFonts w:asciiTheme="minorHAnsi" w:hAnsiTheme="minorHAnsi" w:cstheme="minorBidi"/>
                <w:sz w:val="22"/>
                <w:szCs w:val="22"/>
              </w:rPr>
              <w:t xml:space="preserve"> (France)</w:t>
            </w:r>
            <w:r w:rsidRPr="1D57B863">
              <w:rPr>
                <w:rFonts w:asciiTheme="minorHAnsi" w:hAnsiTheme="minorHAnsi" w:cstheme="minorBidi"/>
                <w:sz w:val="22"/>
                <w:szCs w:val="22"/>
              </w:rPr>
              <w:t xml:space="preserve">, </w:t>
            </w:r>
            <w:r w:rsidRPr="1D57B863" w:rsidR="373F50D3">
              <w:rPr>
                <w:rFonts w:asciiTheme="minorHAnsi" w:hAnsiTheme="minorHAnsi" w:cstheme="minorBidi"/>
                <w:sz w:val="22"/>
                <w:szCs w:val="22"/>
              </w:rPr>
              <w:t>Health Star Rating</w:t>
            </w:r>
            <w:r w:rsidRPr="1D57B863" w:rsidR="78BB2A67">
              <w:rPr>
                <w:rFonts w:asciiTheme="minorHAnsi" w:hAnsiTheme="minorHAnsi" w:cstheme="minorBidi"/>
                <w:sz w:val="22"/>
                <w:szCs w:val="22"/>
              </w:rPr>
              <w:t xml:space="preserve"> (Australia and New Zealand)</w:t>
            </w:r>
            <w:r w:rsidRPr="1D57B863">
              <w:rPr>
                <w:rFonts w:asciiTheme="minorHAnsi" w:hAnsiTheme="minorHAnsi" w:cstheme="minorBidi"/>
                <w:sz w:val="22"/>
                <w:szCs w:val="22"/>
              </w:rPr>
              <w:t xml:space="preserve">, </w:t>
            </w:r>
            <w:r w:rsidRPr="1D57B863" w:rsidR="701DAD57">
              <w:rPr>
                <w:rFonts w:asciiTheme="minorHAnsi" w:hAnsiTheme="minorHAnsi" w:cstheme="minorBidi"/>
                <w:sz w:val="22"/>
                <w:szCs w:val="22"/>
              </w:rPr>
              <w:t>the Keyhol</w:t>
            </w:r>
            <w:r w:rsidRPr="1D57B863" w:rsidR="51FAB497">
              <w:rPr>
                <w:rFonts w:asciiTheme="minorHAnsi" w:hAnsiTheme="minorHAnsi" w:cstheme="minorBidi"/>
                <w:sz w:val="22"/>
                <w:szCs w:val="22"/>
              </w:rPr>
              <w:t>e</w:t>
            </w:r>
            <w:r w:rsidRPr="1D57B863" w:rsidR="25165236">
              <w:rPr>
                <w:rFonts w:asciiTheme="minorHAnsi" w:hAnsiTheme="minorHAnsi" w:cstheme="minorBidi"/>
                <w:sz w:val="22"/>
                <w:szCs w:val="22"/>
              </w:rPr>
              <w:t xml:space="preserve"> (Denmark)</w:t>
            </w:r>
            <w:r w:rsidR="00375244">
              <w:rPr>
                <w:rFonts w:asciiTheme="minorHAnsi" w:hAnsiTheme="minorHAnsi" w:cstheme="minorBidi"/>
                <w:sz w:val="22"/>
                <w:szCs w:val="22"/>
              </w:rPr>
              <w:t>,</w:t>
            </w:r>
            <w:r w:rsidRPr="1D57B863" w:rsidR="757317C9">
              <w:rPr>
                <w:rFonts w:asciiTheme="minorHAnsi" w:hAnsiTheme="minorHAnsi" w:cstheme="minorBidi"/>
                <w:sz w:val="22"/>
                <w:szCs w:val="22"/>
              </w:rPr>
              <w:t xml:space="preserve"> and </w:t>
            </w:r>
            <w:r w:rsidRPr="1D57B863" w:rsidR="701DAD57">
              <w:rPr>
                <w:rFonts w:asciiTheme="minorHAnsi" w:hAnsiTheme="minorHAnsi" w:cstheme="minorBidi"/>
                <w:sz w:val="22"/>
                <w:szCs w:val="22"/>
              </w:rPr>
              <w:t>the Whole Grain logo</w:t>
            </w:r>
            <w:r w:rsidRPr="1D57B863" w:rsidR="25165236">
              <w:rPr>
                <w:rFonts w:asciiTheme="minorHAnsi" w:hAnsiTheme="minorHAnsi" w:cstheme="minorBidi"/>
                <w:sz w:val="22"/>
                <w:szCs w:val="22"/>
              </w:rPr>
              <w:t xml:space="preserve"> (Denmark)</w:t>
            </w:r>
            <w:r w:rsidRPr="1D57B863">
              <w:rPr>
                <w:rFonts w:asciiTheme="minorHAnsi" w:hAnsiTheme="minorHAnsi" w:cstheme="minorBidi"/>
                <w:sz w:val="22"/>
                <w:szCs w:val="22"/>
              </w:rPr>
              <w:t>.</w:t>
            </w:r>
          </w:p>
          <w:p w:rsidR="00345169" w:rsidP="1D57B863" w14:paraId="1A8512B7" w14:textId="7AE21642">
            <w:pPr>
              <w:pStyle w:val="ListParagraph"/>
              <w:numPr>
                <w:ilvl w:val="0"/>
                <w:numId w:val="4"/>
              </w:numPr>
              <w:rPr>
                <w:rFonts w:asciiTheme="minorHAnsi" w:hAnsiTheme="minorHAnsi" w:cstheme="minorBidi"/>
                <w:sz w:val="22"/>
                <w:szCs w:val="22"/>
              </w:rPr>
            </w:pPr>
            <w:r w:rsidRPr="1D57B863">
              <w:rPr>
                <w:rFonts w:asciiTheme="minorHAnsi" w:hAnsiTheme="minorHAnsi" w:cstheme="minorBidi"/>
                <w:sz w:val="22"/>
                <w:szCs w:val="22"/>
              </w:rPr>
              <w:t>Multiple studies evaluated the</w:t>
            </w:r>
            <w:r w:rsidRPr="1D57B863" w:rsidR="5A90C8AD">
              <w:rPr>
                <w:rFonts w:asciiTheme="minorHAnsi" w:hAnsiTheme="minorHAnsi" w:cstheme="minorBidi"/>
                <w:sz w:val="22"/>
                <w:szCs w:val="22"/>
              </w:rPr>
              <w:t xml:space="preserve"> course of</w:t>
            </w:r>
            <w:r w:rsidRPr="1D57B863">
              <w:rPr>
                <w:rFonts w:asciiTheme="minorHAnsi" w:hAnsiTheme="minorHAnsi" w:cstheme="minorBidi"/>
                <w:sz w:val="22"/>
                <w:szCs w:val="22"/>
              </w:rPr>
              <w:t xml:space="preserve"> performance of </w:t>
            </w:r>
            <w:r w:rsidRPr="1D57B863" w:rsidR="5A90C8AD">
              <w:rPr>
                <w:rFonts w:asciiTheme="minorHAnsi" w:hAnsiTheme="minorHAnsi" w:cstheme="minorBidi"/>
                <w:sz w:val="22"/>
                <w:szCs w:val="22"/>
              </w:rPr>
              <w:t xml:space="preserve">Australia/New Zealand’s </w:t>
            </w:r>
            <w:r w:rsidRPr="1D57B863">
              <w:rPr>
                <w:rFonts w:asciiTheme="minorHAnsi" w:hAnsiTheme="minorHAnsi" w:cstheme="minorBidi"/>
                <w:sz w:val="22"/>
                <w:szCs w:val="22"/>
              </w:rPr>
              <w:t>H</w:t>
            </w:r>
            <w:r w:rsidRPr="1D57B863" w:rsidR="717CDB0D">
              <w:rPr>
                <w:rFonts w:asciiTheme="minorHAnsi" w:hAnsiTheme="minorHAnsi" w:cstheme="minorBidi"/>
                <w:sz w:val="22"/>
                <w:szCs w:val="22"/>
              </w:rPr>
              <w:t xml:space="preserve">ealth </w:t>
            </w:r>
            <w:r w:rsidRPr="1D57B863">
              <w:rPr>
                <w:rFonts w:asciiTheme="minorHAnsi" w:hAnsiTheme="minorHAnsi" w:cstheme="minorBidi"/>
                <w:sz w:val="22"/>
                <w:szCs w:val="22"/>
              </w:rPr>
              <w:t>S</w:t>
            </w:r>
            <w:r w:rsidRPr="1D57B863" w:rsidR="717CDB0D">
              <w:rPr>
                <w:rFonts w:asciiTheme="minorHAnsi" w:hAnsiTheme="minorHAnsi" w:cstheme="minorBidi"/>
                <w:sz w:val="22"/>
                <w:szCs w:val="22"/>
              </w:rPr>
              <w:t xml:space="preserve">tar </w:t>
            </w:r>
            <w:r w:rsidRPr="1D57B863">
              <w:rPr>
                <w:rFonts w:asciiTheme="minorHAnsi" w:hAnsiTheme="minorHAnsi" w:cstheme="minorBidi"/>
                <w:sz w:val="22"/>
                <w:szCs w:val="22"/>
              </w:rPr>
              <w:t>R</w:t>
            </w:r>
            <w:r w:rsidRPr="1D57B863" w:rsidR="717CDB0D">
              <w:rPr>
                <w:rFonts w:asciiTheme="minorHAnsi" w:hAnsiTheme="minorHAnsi" w:cstheme="minorBidi"/>
                <w:sz w:val="22"/>
                <w:szCs w:val="22"/>
              </w:rPr>
              <w:t>ating</w:t>
            </w:r>
            <w:r w:rsidRPr="1D57B863">
              <w:rPr>
                <w:rFonts w:asciiTheme="minorHAnsi" w:hAnsiTheme="minorHAnsi" w:cstheme="minorBidi"/>
                <w:sz w:val="22"/>
                <w:szCs w:val="22"/>
              </w:rPr>
              <w:t xml:space="preserve"> since its introduction</w:t>
            </w:r>
            <w:r w:rsidRPr="1D57B863" w:rsidR="0AFE533C">
              <w:rPr>
                <w:rFonts w:asciiTheme="minorHAnsi" w:hAnsiTheme="minorHAnsi" w:cstheme="minorBidi"/>
                <w:sz w:val="22"/>
                <w:szCs w:val="22"/>
              </w:rPr>
              <w:t xml:space="preserve"> in June 2014</w:t>
            </w:r>
            <w:r w:rsidRPr="1D57B863">
              <w:rPr>
                <w:rFonts w:asciiTheme="minorHAnsi" w:hAnsiTheme="minorHAnsi" w:cstheme="minorBidi"/>
                <w:sz w:val="22"/>
                <w:szCs w:val="22"/>
              </w:rPr>
              <w:t xml:space="preserve">. </w:t>
            </w:r>
            <w:r w:rsidRPr="1D57B863" w:rsidR="280DCC8D">
              <w:rPr>
                <w:rFonts w:asciiTheme="minorHAnsi" w:hAnsiTheme="minorHAnsi" w:cstheme="minorBidi"/>
                <w:sz w:val="22"/>
                <w:szCs w:val="22"/>
              </w:rPr>
              <w:t xml:space="preserve">Between </w:t>
            </w:r>
            <w:r w:rsidRPr="1D57B863" w:rsidR="490D6A34">
              <w:rPr>
                <w:rFonts w:asciiTheme="minorHAnsi" w:hAnsiTheme="minorHAnsi" w:cstheme="minorBidi"/>
                <w:sz w:val="22"/>
                <w:szCs w:val="22"/>
              </w:rPr>
              <w:t>2015 and 2018</w:t>
            </w:r>
            <w:r w:rsidRPr="1D57B863" w:rsidR="280DCC8D">
              <w:rPr>
                <w:rFonts w:asciiTheme="minorHAnsi" w:hAnsiTheme="minorHAnsi" w:cstheme="minorBidi"/>
                <w:sz w:val="22"/>
                <w:szCs w:val="22"/>
              </w:rPr>
              <w:t xml:space="preserve">, </w:t>
            </w:r>
            <w:r w:rsidRPr="1D57B863" w:rsidR="2CA28AA5">
              <w:rPr>
                <w:rFonts w:asciiTheme="minorHAnsi" w:hAnsiTheme="minorHAnsi" w:cstheme="minorBidi"/>
                <w:sz w:val="22"/>
                <w:szCs w:val="22"/>
              </w:rPr>
              <w:t>consumers’</w:t>
            </w:r>
            <w:r w:rsidRPr="1D57B863" w:rsidR="280DCC8D">
              <w:rPr>
                <w:rFonts w:asciiTheme="minorHAnsi" w:hAnsiTheme="minorHAnsi" w:cstheme="minorBidi"/>
                <w:sz w:val="22"/>
                <w:szCs w:val="22"/>
              </w:rPr>
              <w:t xml:space="preserve"> o</w:t>
            </w:r>
            <w:r w:rsidRPr="1D57B863" w:rsidR="1AB2C5D4">
              <w:rPr>
                <w:rFonts w:asciiTheme="minorHAnsi" w:hAnsiTheme="minorHAnsi" w:cstheme="minorBidi"/>
                <w:sz w:val="22"/>
                <w:szCs w:val="22"/>
              </w:rPr>
              <w:t>verall a</w:t>
            </w:r>
            <w:r w:rsidRPr="1D57B863" w:rsidR="77BC0456">
              <w:rPr>
                <w:rFonts w:asciiTheme="minorHAnsi" w:hAnsiTheme="minorHAnsi" w:cstheme="minorBidi"/>
                <w:sz w:val="22"/>
                <w:szCs w:val="22"/>
              </w:rPr>
              <w:t>wareness and trust in the H</w:t>
            </w:r>
            <w:r w:rsidRPr="1D57B863" w:rsidR="3CB3952B">
              <w:rPr>
                <w:rFonts w:asciiTheme="minorHAnsi" w:hAnsiTheme="minorHAnsi" w:cstheme="minorBidi"/>
                <w:sz w:val="22"/>
                <w:szCs w:val="22"/>
              </w:rPr>
              <w:t>ealth Star Rating</w:t>
            </w:r>
            <w:r w:rsidRPr="1D57B863" w:rsidR="77BC0456">
              <w:rPr>
                <w:rFonts w:asciiTheme="minorHAnsi" w:hAnsiTheme="minorHAnsi" w:cstheme="minorBidi"/>
                <w:sz w:val="22"/>
                <w:szCs w:val="22"/>
              </w:rPr>
              <w:t xml:space="preserve"> </w:t>
            </w:r>
            <w:r w:rsidRPr="1D57B863" w:rsidR="2CA28AA5">
              <w:rPr>
                <w:rFonts w:asciiTheme="minorHAnsi" w:hAnsiTheme="minorHAnsi" w:cstheme="minorBidi"/>
                <w:sz w:val="22"/>
                <w:szCs w:val="22"/>
              </w:rPr>
              <w:t xml:space="preserve">system has </w:t>
            </w:r>
            <w:r w:rsidRPr="1D57B863" w:rsidR="2DE7ED63">
              <w:rPr>
                <w:rFonts w:asciiTheme="minorHAnsi" w:hAnsiTheme="minorHAnsi" w:cstheme="minorBidi"/>
                <w:sz w:val="22"/>
                <w:szCs w:val="22"/>
              </w:rPr>
              <w:t xml:space="preserve">increased </w:t>
            </w:r>
            <w:r w:rsidRPr="1D57B863" w:rsidR="2B71816E">
              <w:rPr>
                <w:rFonts w:asciiTheme="minorHAnsi" w:hAnsiTheme="minorHAnsi" w:cstheme="minorBidi"/>
                <w:sz w:val="22"/>
                <w:szCs w:val="22"/>
              </w:rPr>
              <w:t>(</w:t>
            </w:r>
            <w:r w:rsidRPr="1D57B863" w:rsidR="02859C76">
              <w:rPr>
                <w:rFonts w:asciiTheme="minorHAnsi" w:hAnsiTheme="minorHAnsi" w:cstheme="minorBidi"/>
                <w:sz w:val="22"/>
                <w:szCs w:val="22"/>
              </w:rPr>
              <w:t>e.g.,</w:t>
            </w:r>
            <w:r w:rsidRPr="1D57B863" w:rsidR="4C223986">
              <w:rPr>
                <w:rFonts w:asciiTheme="minorHAnsi" w:hAnsiTheme="minorHAnsi" w:cstheme="minorBidi"/>
                <w:sz w:val="22"/>
                <w:szCs w:val="22"/>
              </w:rPr>
              <w:t xml:space="preserve"> </w:t>
            </w:r>
            <w:r w:rsidRPr="1D57B863" w:rsidR="6C08FA3C">
              <w:rPr>
                <w:rFonts w:asciiTheme="minorHAnsi" w:hAnsiTheme="minorHAnsi" w:cstheme="minorBidi"/>
                <w:sz w:val="22"/>
                <w:szCs w:val="22"/>
              </w:rPr>
              <w:t>prompted awareness</w:t>
            </w:r>
            <w:r w:rsidRPr="1D57B863" w:rsidR="02859C76">
              <w:rPr>
                <w:rFonts w:asciiTheme="minorHAnsi" w:hAnsiTheme="minorHAnsi" w:cstheme="minorBidi"/>
                <w:sz w:val="22"/>
                <w:szCs w:val="22"/>
              </w:rPr>
              <w:t xml:space="preserve"> increased from </w:t>
            </w:r>
            <w:r w:rsidRPr="1D57B863" w:rsidR="6C08FA3C">
              <w:rPr>
                <w:rFonts w:asciiTheme="minorHAnsi" w:hAnsiTheme="minorHAnsi" w:cstheme="minorBidi"/>
                <w:sz w:val="22"/>
                <w:szCs w:val="22"/>
              </w:rPr>
              <w:t xml:space="preserve">33% </w:t>
            </w:r>
            <w:r w:rsidRPr="1D57B863" w:rsidR="02859C76">
              <w:rPr>
                <w:rFonts w:asciiTheme="minorHAnsi" w:hAnsiTheme="minorHAnsi" w:cstheme="minorBidi"/>
                <w:sz w:val="22"/>
                <w:szCs w:val="22"/>
              </w:rPr>
              <w:t xml:space="preserve">in </w:t>
            </w:r>
            <w:r w:rsidRPr="1D57B863" w:rsidR="6C08FA3C">
              <w:rPr>
                <w:rFonts w:asciiTheme="minorHAnsi" w:hAnsiTheme="minorHAnsi" w:cstheme="minorBidi"/>
                <w:sz w:val="22"/>
                <w:szCs w:val="22"/>
              </w:rPr>
              <w:t xml:space="preserve">April 2015 to 84% </w:t>
            </w:r>
            <w:r w:rsidRPr="1D57B863" w:rsidR="02859C76">
              <w:rPr>
                <w:rFonts w:asciiTheme="minorHAnsi" w:hAnsiTheme="minorHAnsi" w:cstheme="minorBidi"/>
                <w:sz w:val="22"/>
                <w:szCs w:val="22"/>
              </w:rPr>
              <w:t xml:space="preserve">in </w:t>
            </w:r>
            <w:r w:rsidRPr="1D57B863" w:rsidR="6C08FA3C">
              <w:rPr>
                <w:rFonts w:asciiTheme="minorHAnsi" w:hAnsiTheme="minorHAnsi" w:cstheme="minorBidi"/>
                <w:sz w:val="22"/>
                <w:szCs w:val="22"/>
              </w:rPr>
              <w:t>July 2018</w:t>
            </w:r>
            <w:r w:rsidRPr="1D57B863" w:rsidR="02859C76">
              <w:rPr>
                <w:rFonts w:asciiTheme="minorHAnsi" w:hAnsiTheme="minorHAnsi" w:cstheme="minorBidi"/>
                <w:sz w:val="22"/>
                <w:szCs w:val="22"/>
              </w:rPr>
              <w:t>)</w:t>
            </w:r>
            <w:r w:rsidR="0084022C">
              <w:rPr>
                <w:rFonts w:asciiTheme="minorHAnsi" w:hAnsiTheme="minorHAnsi" w:cstheme="minorBidi"/>
                <w:sz w:val="22"/>
                <w:szCs w:val="22"/>
              </w:rPr>
              <w:t xml:space="preserve"> </w:t>
            </w:r>
            <w:r w:rsidRPr="1D57B863" w:rsidR="464A4778">
              <w:rPr>
                <w:rFonts w:asciiTheme="minorHAnsi" w:hAnsiTheme="minorHAnsi" w:cstheme="minorBidi"/>
                <w:sz w:val="22"/>
                <w:szCs w:val="22"/>
              </w:rPr>
              <w:t>(Jones</w:t>
            </w:r>
            <w:r w:rsidRPr="1D57B863" w:rsidR="1AB2C5D4">
              <w:rPr>
                <w:rFonts w:asciiTheme="minorHAnsi" w:hAnsiTheme="minorHAnsi" w:cstheme="minorBidi"/>
                <w:sz w:val="22"/>
                <w:szCs w:val="22"/>
              </w:rPr>
              <w:t xml:space="preserve">, 2019). </w:t>
            </w:r>
            <w:r w:rsidRPr="1D57B863" w:rsidR="005930B2">
              <w:rPr>
                <w:rFonts w:asciiTheme="minorHAnsi" w:hAnsiTheme="minorHAnsi" w:cstheme="minorBidi"/>
                <w:sz w:val="22"/>
                <w:szCs w:val="22"/>
              </w:rPr>
              <w:t xml:space="preserve">However, lower awareness is observed in consumers who are overweight, </w:t>
            </w:r>
            <w:r w:rsidRPr="1D57B863" w:rsidR="3BFE3511">
              <w:rPr>
                <w:rFonts w:asciiTheme="minorHAnsi" w:hAnsiTheme="minorHAnsi" w:cstheme="minorBidi"/>
                <w:sz w:val="22"/>
                <w:szCs w:val="22"/>
              </w:rPr>
              <w:t xml:space="preserve">from rural areas, or </w:t>
            </w:r>
            <w:r w:rsidRPr="1D57B863" w:rsidR="31DE8439">
              <w:rPr>
                <w:rFonts w:asciiTheme="minorHAnsi" w:hAnsiTheme="minorHAnsi" w:cstheme="minorBidi"/>
                <w:sz w:val="22"/>
                <w:szCs w:val="22"/>
              </w:rPr>
              <w:t xml:space="preserve">consumers with </w:t>
            </w:r>
            <w:r w:rsidRPr="1D57B863" w:rsidR="3BFE3511">
              <w:rPr>
                <w:rFonts w:asciiTheme="minorHAnsi" w:hAnsiTheme="minorHAnsi" w:cstheme="minorBidi"/>
                <w:sz w:val="22"/>
                <w:szCs w:val="22"/>
              </w:rPr>
              <w:t>lower incomes</w:t>
            </w:r>
            <w:r w:rsidR="006511CF">
              <w:rPr>
                <w:rFonts w:asciiTheme="minorHAnsi" w:hAnsiTheme="minorHAnsi" w:cstheme="minorBidi"/>
                <w:sz w:val="22"/>
                <w:szCs w:val="22"/>
              </w:rPr>
              <w:t xml:space="preserve"> </w:t>
            </w:r>
            <w:r w:rsidRPr="1D57B863" w:rsidR="5C2663AE">
              <w:rPr>
                <w:rFonts w:asciiTheme="minorHAnsi" w:hAnsiTheme="minorHAnsi" w:cstheme="minorBidi"/>
                <w:sz w:val="22"/>
                <w:szCs w:val="22"/>
              </w:rPr>
              <w:t>(Jones, 2019)</w:t>
            </w:r>
            <w:r w:rsidRPr="1D57B863" w:rsidR="3BFE3511">
              <w:rPr>
                <w:rFonts w:asciiTheme="minorHAnsi" w:hAnsiTheme="minorHAnsi" w:cstheme="minorBidi"/>
                <w:sz w:val="22"/>
                <w:szCs w:val="22"/>
              </w:rPr>
              <w:t xml:space="preserve">. </w:t>
            </w:r>
            <w:r w:rsidRPr="1D57B863" w:rsidR="7AEBC098">
              <w:rPr>
                <w:rFonts w:asciiTheme="minorHAnsi" w:hAnsiTheme="minorHAnsi" w:cstheme="minorBidi"/>
                <w:sz w:val="22"/>
                <w:szCs w:val="22"/>
              </w:rPr>
              <w:t xml:space="preserve">Furthermore, it was found that </w:t>
            </w:r>
            <w:r w:rsidRPr="1D57B863" w:rsidR="28AE8D7A">
              <w:rPr>
                <w:rFonts w:asciiTheme="minorHAnsi" w:hAnsiTheme="minorHAnsi" w:cstheme="minorBidi"/>
                <w:sz w:val="22"/>
                <w:szCs w:val="22"/>
              </w:rPr>
              <w:t xml:space="preserve">better diet quality as defined by the </w:t>
            </w:r>
            <w:r w:rsidRPr="1D57B863" w:rsidR="69A3A660">
              <w:rPr>
                <w:rFonts w:asciiTheme="minorHAnsi" w:hAnsiTheme="minorHAnsi" w:cstheme="minorBidi"/>
                <w:sz w:val="22"/>
                <w:szCs w:val="22"/>
              </w:rPr>
              <w:t>Health Star Rating</w:t>
            </w:r>
            <w:r w:rsidRPr="1D57B863" w:rsidR="412B7471">
              <w:rPr>
                <w:rFonts w:asciiTheme="minorHAnsi" w:hAnsiTheme="minorHAnsi" w:cstheme="minorBidi"/>
                <w:sz w:val="22"/>
                <w:szCs w:val="22"/>
              </w:rPr>
              <w:t xml:space="preserve"> dietary index</w:t>
            </w:r>
            <w:r w:rsidRPr="1D57B863" w:rsidR="28AE8D7A">
              <w:rPr>
                <w:rFonts w:asciiTheme="minorHAnsi" w:hAnsiTheme="minorHAnsi" w:cstheme="minorBidi"/>
                <w:sz w:val="22"/>
                <w:szCs w:val="22"/>
              </w:rPr>
              <w:t xml:space="preserve"> was associated with lower risk of all-cause and </w:t>
            </w:r>
            <w:r w:rsidRPr="1D57B863" w:rsidR="412B7471">
              <w:rPr>
                <w:rFonts w:asciiTheme="minorHAnsi" w:hAnsiTheme="minorHAnsi" w:cstheme="minorBidi"/>
                <w:sz w:val="22"/>
                <w:szCs w:val="22"/>
              </w:rPr>
              <w:t xml:space="preserve">cardiovascular disease </w:t>
            </w:r>
            <w:r w:rsidRPr="1D57B863" w:rsidR="28AE8D7A">
              <w:rPr>
                <w:rFonts w:asciiTheme="minorHAnsi" w:hAnsiTheme="minorHAnsi" w:cstheme="minorBidi"/>
                <w:sz w:val="22"/>
                <w:szCs w:val="22"/>
              </w:rPr>
              <w:t>mortality among Australian adults</w:t>
            </w:r>
            <w:r w:rsidRPr="1D57B863" w:rsidR="0A0A0D1C">
              <w:rPr>
                <w:rFonts w:asciiTheme="minorHAnsi" w:hAnsiTheme="minorHAnsi" w:cstheme="minorBidi"/>
                <w:sz w:val="22"/>
                <w:szCs w:val="22"/>
              </w:rPr>
              <w:t>, supporting continued use of the H</w:t>
            </w:r>
            <w:r w:rsidRPr="1D57B863" w:rsidR="3CB3952B">
              <w:rPr>
                <w:rFonts w:asciiTheme="minorHAnsi" w:hAnsiTheme="minorHAnsi" w:cstheme="minorBidi"/>
                <w:sz w:val="22"/>
                <w:szCs w:val="22"/>
              </w:rPr>
              <w:t>ealth Star Rating</w:t>
            </w:r>
            <w:r w:rsidRPr="1D57B863" w:rsidR="0A0A0D1C">
              <w:rPr>
                <w:rFonts w:asciiTheme="minorHAnsi" w:hAnsiTheme="minorHAnsi" w:cstheme="minorBidi"/>
                <w:sz w:val="22"/>
                <w:szCs w:val="22"/>
              </w:rPr>
              <w:t xml:space="preserve"> (Pan, 2020).</w:t>
            </w:r>
          </w:p>
          <w:p w:rsidR="00587932" w:rsidP="00345169" w14:paraId="5C0ADC40" w14:textId="17AEB8CB">
            <w:pPr>
              <w:pStyle w:val="ListParagraph"/>
              <w:numPr>
                <w:ilvl w:val="0"/>
                <w:numId w:val="4"/>
              </w:numPr>
              <w:rPr>
                <w:rFonts w:asciiTheme="minorHAnsi" w:hAnsiTheme="minorHAnsi" w:cstheme="minorBidi"/>
                <w:sz w:val="22"/>
                <w:szCs w:val="22"/>
              </w:rPr>
            </w:pPr>
            <w:r w:rsidRPr="1D57B863">
              <w:rPr>
                <w:rFonts w:asciiTheme="minorHAnsi" w:hAnsiTheme="minorHAnsi" w:cstheme="minorBidi"/>
                <w:sz w:val="22"/>
                <w:szCs w:val="22"/>
              </w:rPr>
              <w:t>Findings from other studies include:</w:t>
            </w:r>
            <w:r w:rsidRPr="1D57B863" w:rsidR="2AAA7F94">
              <w:rPr>
                <w:rFonts w:asciiTheme="minorHAnsi" w:hAnsiTheme="minorHAnsi" w:cstheme="minorBidi"/>
                <w:sz w:val="22"/>
                <w:szCs w:val="22"/>
              </w:rPr>
              <w:t xml:space="preserve"> </w:t>
            </w:r>
            <w:r w:rsidRPr="1D57B863">
              <w:rPr>
                <w:rFonts w:asciiTheme="minorHAnsi" w:hAnsiTheme="minorHAnsi" w:cstheme="minorBidi"/>
                <w:sz w:val="22"/>
                <w:szCs w:val="22"/>
              </w:rPr>
              <w:t xml:space="preserve">(1) </w:t>
            </w:r>
            <w:r w:rsidRPr="1D57B863" w:rsidR="2AAA7F94">
              <w:rPr>
                <w:rFonts w:asciiTheme="minorHAnsi" w:hAnsiTheme="minorHAnsi" w:cstheme="minorBidi"/>
                <w:sz w:val="22"/>
                <w:szCs w:val="22"/>
              </w:rPr>
              <w:t>t</w:t>
            </w:r>
            <w:r w:rsidRPr="1D57B863" w:rsidR="6007509B">
              <w:rPr>
                <w:rFonts w:asciiTheme="minorHAnsi" w:hAnsiTheme="minorHAnsi" w:cstheme="minorBidi"/>
                <w:sz w:val="22"/>
                <w:szCs w:val="22"/>
              </w:rPr>
              <w:t xml:space="preserve">he use of </w:t>
            </w:r>
            <w:r w:rsidRPr="1D57B863" w:rsidR="540680FA">
              <w:rPr>
                <w:rFonts w:asciiTheme="minorHAnsi" w:hAnsiTheme="minorHAnsi" w:cstheme="minorBidi"/>
                <w:sz w:val="22"/>
                <w:szCs w:val="22"/>
              </w:rPr>
              <w:t>the Danish FOP</w:t>
            </w:r>
            <w:r w:rsidR="00C35217">
              <w:rPr>
                <w:rFonts w:asciiTheme="minorHAnsi" w:hAnsiTheme="minorHAnsi" w:cstheme="minorBidi"/>
                <w:sz w:val="22"/>
                <w:szCs w:val="22"/>
              </w:rPr>
              <w:t xml:space="preserve"> </w:t>
            </w:r>
            <w:r w:rsidRPr="1D57B863" w:rsidR="540680FA">
              <w:rPr>
                <w:rFonts w:asciiTheme="minorHAnsi" w:hAnsiTheme="minorHAnsi" w:cstheme="minorBidi"/>
                <w:sz w:val="22"/>
                <w:szCs w:val="22"/>
              </w:rPr>
              <w:t>s</w:t>
            </w:r>
            <w:r w:rsidR="00C35217">
              <w:rPr>
                <w:rFonts w:asciiTheme="minorHAnsi" w:hAnsiTheme="minorHAnsi" w:cstheme="minorBidi"/>
                <w:sz w:val="22"/>
                <w:szCs w:val="22"/>
              </w:rPr>
              <w:t>chemes</w:t>
            </w:r>
            <w:r w:rsidRPr="1D57B863" w:rsidR="540680FA">
              <w:rPr>
                <w:rFonts w:asciiTheme="minorHAnsi" w:hAnsiTheme="minorHAnsi" w:cstheme="minorBidi"/>
                <w:sz w:val="22"/>
                <w:szCs w:val="22"/>
              </w:rPr>
              <w:t xml:space="preserve"> (</w:t>
            </w:r>
            <w:r w:rsidRPr="1D57B863" w:rsidR="6007509B">
              <w:rPr>
                <w:rFonts w:asciiTheme="minorHAnsi" w:hAnsiTheme="minorHAnsi" w:cstheme="minorBidi"/>
                <w:sz w:val="22"/>
                <w:szCs w:val="22"/>
              </w:rPr>
              <w:t>the Keyhole and the Whole Grain logo</w:t>
            </w:r>
            <w:r w:rsidRPr="1D57B863" w:rsidR="540680FA">
              <w:rPr>
                <w:rFonts w:asciiTheme="minorHAnsi" w:hAnsiTheme="minorHAnsi" w:cstheme="minorBidi"/>
                <w:sz w:val="22"/>
                <w:szCs w:val="22"/>
              </w:rPr>
              <w:t>)</w:t>
            </w:r>
            <w:r w:rsidRPr="1D57B863" w:rsidR="6007509B">
              <w:rPr>
                <w:rFonts w:asciiTheme="minorHAnsi" w:hAnsiTheme="minorHAnsi" w:cstheme="minorBidi"/>
                <w:sz w:val="22"/>
                <w:szCs w:val="22"/>
              </w:rPr>
              <w:t xml:space="preserve"> was associated with better overall dietary quality, which was driven by </w:t>
            </w:r>
            <w:r w:rsidRPr="1D57B863" w:rsidR="12944283">
              <w:rPr>
                <w:rFonts w:asciiTheme="minorHAnsi" w:hAnsiTheme="minorHAnsi" w:cstheme="minorBidi"/>
                <w:sz w:val="22"/>
                <w:szCs w:val="22"/>
              </w:rPr>
              <w:t>lower</w:t>
            </w:r>
            <w:r w:rsidRPr="1D57B863" w:rsidR="6007509B">
              <w:rPr>
                <w:rFonts w:asciiTheme="minorHAnsi" w:hAnsiTheme="minorHAnsi" w:cstheme="minorBidi"/>
                <w:sz w:val="22"/>
                <w:szCs w:val="22"/>
              </w:rPr>
              <w:t xml:space="preserve"> intake of added sugar and </w:t>
            </w:r>
            <w:r w:rsidRPr="1D57B863" w:rsidR="12944283">
              <w:rPr>
                <w:rFonts w:asciiTheme="minorHAnsi" w:hAnsiTheme="minorHAnsi" w:cstheme="minorBidi"/>
                <w:sz w:val="22"/>
                <w:szCs w:val="22"/>
              </w:rPr>
              <w:t>higher</w:t>
            </w:r>
            <w:r w:rsidRPr="1D57B863" w:rsidR="6007509B">
              <w:rPr>
                <w:rFonts w:asciiTheme="minorHAnsi" w:hAnsiTheme="minorHAnsi" w:cstheme="minorBidi"/>
                <w:sz w:val="22"/>
                <w:szCs w:val="22"/>
              </w:rPr>
              <w:t xml:space="preserve"> intake of fiber</w:t>
            </w:r>
            <w:r w:rsidRPr="1D57B863" w:rsidR="1B814C96">
              <w:rPr>
                <w:rFonts w:asciiTheme="minorHAnsi" w:hAnsiTheme="minorHAnsi" w:cstheme="minorBidi"/>
                <w:sz w:val="22"/>
                <w:szCs w:val="22"/>
              </w:rPr>
              <w:t xml:space="preserve"> (</w:t>
            </w:r>
            <w:r w:rsidRPr="1D57B863" w:rsidR="2AAA7F94">
              <w:rPr>
                <w:rFonts w:asciiTheme="minorHAnsi" w:hAnsiTheme="minorHAnsi" w:cstheme="minorBidi"/>
                <w:sz w:val="22"/>
                <w:szCs w:val="22"/>
              </w:rPr>
              <w:t>Rønnow, 2020)</w:t>
            </w:r>
            <w:r w:rsidRPr="1D57B863">
              <w:rPr>
                <w:rFonts w:asciiTheme="minorHAnsi" w:hAnsiTheme="minorHAnsi" w:cstheme="minorBidi"/>
                <w:sz w:val="22"/>
                <w:szCs w:val="22"/>
              </w:rPr>
              <w:t xml:space="preserve">; </w:t>
            </w:r>
            <w:r w:rsidRPr="1D57B863" w:rsidR="06955C2E">
              <w:rPr>
                <w:rFonts w:asciiTheme="minorHAnsi" w:hAnsiTheme="minorHAnsi" w:cstheme="minorBidi"/>
                <w:sz w:val="22"/>
                <w:szCs w:val="22"/>
              </w:rPr>
              <w:t xml:space="preserve">and </w:t>
            </w:r>
            <w:r w:rsidRPr="1D57B863">
              <w:rPr>
                <w:rFonts w:asciiTheme="minorHAnsi" w:hAnsiTheme="minorHAnsi" w:cstheme="minorBidi"/>
                <w:sz w:val="22"/>
                <w:szCs w:val="22"/>
              </w:rPr>
              <w:t xml:space="preserve">(2) </w:t>
            </w:r>
            <w:r w:rsidRPr="1D57B863" w:rsidR="63D7BE8A">
              <w:rPr>
                <w:rFonts w:asciiTheme="minorHAnsi" w:hAnsiTheme="minorHAnsi" w:cstheme="minorBidi"/>
                <w:sz w:val="22"/>
                <w:szCs w:val="22"/>
              </w:rPr>
              <w:t xml:space="preserve">study participants in Ecuador showed a high level </w:t>
            </w:r>
            <w:r w:rsidR="002D0FB1">
              <w:rPr>
                <w:rFonts w:asciiTheme="minorHAnsi" w:hAnsiTheme="minorHAnsi" w:cstheme="minorBidi"/>
                <w:sz w:val="22"/>
                <w:szCs w:val="22"/>
              </w:rPr>
              <w:t xml:space="preserve">of </w:t>
            </w:r>
            <w:r w:rsidRPr="1D57B863" w:rsidR="63D7BE8A">
              <w:rPr>
                <w:rFonts w:asciiTheme="minorHAnsi" w:hAnsiTheme="minorHAnsi" w:cstheme="minorBidi"/>
                <w:sz w:val="22"/>
                <w:szCs w:val="22"/>
              </w:rPr>
              <w:t>knowledge of Nutritional Traffic Light</w:t>
            </w:r>
            <w:r w:rsidRPr="1D57B863" w:rsidR="049CB7AB">
              <w:rPr>
                <w:rFonts w:asciiTheme="minorHAnsi" w:hAnsiTheme="minorHAnsi" w:cstheme="minorBidi"/>
                <w:sz w:val="22"/>
                <w:szCs w:val="22"/>
              </w:rPr>
              <w:t xml:space="preserve"> but a low level of usage of this FOP</w:t>
            </w:r>
            <w:r w:rsidR="00C35217">
              <w:rPr>
                <w:rFonts w:asciiTheme="minorHAnsi" w:hAnsiTheme="minorHAnsi" w:cstheme="minorBidi"/>
                <w:sz w:val="22"/>
                <w:szCs w:val="22"/>
              </w:rPr>
              <w:t xml:space="preserve"> scheme</w:t>
            </w:r>
            <w:r w:rsidRPr="1D57B863" w:rsidR="06955C2E">
              <w:rPr>
                <w:rFonts w:asciiTheme="minorHAnsi" w:hAnsiTheme="minorHAnsi" w:cstheme="minorBidi"/>
                <w:sz w:val="22"/>
                <w:szCs w:val="22"/>
              </w:rPr>
              <w:t xml:space="preserve">. </w:t>
            </w:r>
          </w:p>
          <w:p w:rsidR="0080237D" w:rsidRPr="009B1A3C" w:rsidP="009B1A3C" w14:paraId="19F520AF" w14:textId="77777777">
            <w:pPr>
              <w:rPr>
                <w:rFonts w:asciiTheme="minorHAnsi" w:hAnsiTheme="minorHAnsi" w:cstheme="minorHAnsi"/>
                <w:sz w:val="22"/>
              </w:rPr>
            </w:pPr>
          </w:p>
          <w:p w:rsidR="0080237D" w:rsidRPr="00BF3FF0" w:rsidP="00174D66" w14:paraId="6BF39B36" w14:textId="592279CA">
            <w:pPr>
              <w:rPr>
                <w:rFonts w:asciiTheme="minorHAnsi" w:hAnsiTheme="minorHAnsi" w:cstheme="minorBidi"/>
                <w:sz w:val="22"/>
                <w:szCs w:val="22"/>
              </w:rPr>
            </w:pPr>
            <w:r w:rsidRPr="044F1CB8">
              <w:rPr>
                <w:rFonts w:asciiTheme="minorHAnsi" w:hAnsiTheme="minorHAnsi" w:cstheme="minorBidi"/>
                <w:b/>
                <w:sz w:val="22"/>
                <w:szCs w:val="22"/>
              </w:rPr>
              <w:t>Conclusion:</w:t>
            </w:r>
            <w:r w:rsidRPr="044F1CB8">
              <w:rPr>
                <w:rFonts w:asciiTheme="minorHAnsi" w:hAnsiTheme="minorHAnsi" w:cstheme="minorBidi"/>
                <w:sz w:val="22"/>
                <w:szCs w:val="22"/>
              </w:rPr>
              <w:t xml:space="preserve"> These studies highlighted the potential benefits of having a government</w:t>
            </w:r>
            <w:r w:rsidRPr="044F1CB8" w:rsidR="00DF1676">
              <w:rPr>
                <w:rFonts w:asciiTheme="minorHAnsi" w:hAnsiTheme="minorHAnsi" w:cstheme="minorBidi"/>
                <w:sz w:val="22"/>
                <w:szCs w:val="22"/>
              </w:rPr>
              <w:t>-</w:t>
            </w:r>
            <w:r w:rsidRPr="044F1CB8">
              <w:rPr>
                <w:rFonts w:asciiTheme="minorHAnsi" w:hAnsiTheme="minorHAnsi" w:cstheme="minorBidi"/>
                <w:sz w:val="22"/>
                <w:szCs w:val="22"/>
              </w:rPr>
              <w:t>created</w:t>
            </w:r>
            <w:r w:rsidRPr="044F1CB8" w:rsidR="009B1A3C">
              <w:rPr>
                <w:rFonts w:asciiTheme="minorHAnsi" w:hAnsiTheme="minorHAnsi" w:cstheme="minorBidi"/>
                <w:sz w:val="22"/>
                <w:szCs w:val="22"/>
              </w:rPr>
              <w:t xml:space="preserve"> and </w:t>
            </w:r>
            <w:r w:rsidR="00C3098F">
              <w:rPr>
                <w:rFonts w:asciiTheme="minorHAnsi" w:hAnsiTheme="minorHAnsi" w:cstheme="minorBidi"/>
                <w:sz w:val="22"/>
                <w:szCs w:val="22"/>
              </w:rPr>
              <w:t>s</w:t>
            </w:r>
            <w:r w:rsidRPr="044F1CB8" w:rsidR="798B81E4">
              <w:rPr>
                <w:rFonts w:asciiTheme="minorHAnsi" w:hAnsiTheme="minorHAnsi" w:cstheme="minorBidi"/>
                <w:sz w:val="22"/>
                <w:szCs w:val="22"/>
              </w:rPr>
              <w:t>ponsored</w:t>
            </w:r>
            <w:r w:rsidR="009B1A3C">
              <w:rPr>
                <w:rFonts w:asciiTheme="minorHAnsi" w:hAnsiTheme="minorHAnsi" w:cstheme="minorBidi"/>
                <w:sz w:val="22"/>
                <w:szCs w:val="22"/>
              </w:rPr>
              <w:t xml:space="preserve"> </w:t>
            </w:r>
            <w:r w:rsidRPr="044F1CB8" w:rsidR="004B6E26">
              <w:rPr>
                <w:rFonts w:asciiTheme="minorHAnsi" w:hAnsiTheme="minorHAnsi" w:cstheme="minorBidi"/>
                <w:sz w:val="22"/>
                <w:szCs w:val="22"/>
              </w:rPr>
              <w:t>FOP</w:t>
            </w:r>
            <w:r w:rsidRPr="044F1CB8" w:rsidR="009B1A3C">
              <w:rPr>
                <w:rFonts w:asciiTheme="minorHAnsi" w:hAnsiTheme="minorHAnsi" w:cstheme="minorBidi"/>
                <w:sz w:val="22"/>
                <w:szCs w:val="22"/>
              </w:rPr>
              <w:t xml:space="preserve"> </w:t>
            </w:r>
            <w:r w:rsidRPr="044F1CB8" w:rsidR="00234587">
              <w:rPr>
                <w:rFonts w:asciiTheme="minorHAnsi" w:hAnsiTheme="minorHAnsi" w:cstheme="minorBidi"/>
                <w:sz w:val="22"/>
                <w:szCs w:val="22"/>
              </w:rPr>
              <w:t>labeling scheme</w:t>
            </w:r>
            <w:r w:rsidRPr="044F1CB8" w:rsidR="009B1A3C">
              <w:rPr>
                <w:rFonts w:asciiTheme="minorHAnsi" w:hAnsiTheme="minorHAnsi" w:cstheme="minorBidi"/>
                <w:sz w:val="22"/>
                <w:szCs w:val="22"/>
              </w:rPr>
              <w:t xml:space="preserve"> </w:t>
            </w:r>
            <w:r w:rsidRPr="044F1CB8" w:rsidR="00973085">
              <w:rPr>
                <w:rFonts w:asciiTheme="minorHAnsi" w:hAnsiTheme="minorHAnsi" w:cstheme="minorBidi"/>
                <w:sz w:val="22"/>
                <w:szCs w:val="22"/>
              </w:rPr>
              <w:t xml:space="preserve">for </w:t>
            </w:r>
            <w:r w:rsidRPr="4C9BFAA2" w:rsidR="4A641A56">
              <w:rPr>
                <w:rFonts w:asciiTheme="minorHAnsi" w:hAnsiTheme="minorHAnsi" w:cstheme="minorBidi"/>
                <w:sz w:val="22"/>
                <w:szCs w:val="22"/>
              </w:rPr>
              <w:t>assisting</w:t>
            </w:r>
            <w:r w:rsidRPr="044F1CB8" w:rsidR="00973085">
              <w:rPr>
                <w:rFonts w:asciiTheme="minorHAnsi" w:hAnsiTheme="minorHAnsi" w:cstheme="minorBidi"/>
                <w:sz w:val="22"/>
                <w:szCs w:val="22"/>
              </w:rPr>
              <w:t xml:space="preserve"> consumer food choices.</w:t>
            </w:r>
          </w:p>
        </w:tc>
      </w:tr>
    </w:tbl>
    <w:p w:rsidR="0080237D" w:rsidP="00D605B9" w14:paraId="0844B561" w14:textId="761966B3">
      <w:pPr>
        <w:rPr>
          <w:rFonts w:cstheme="minorHAnsi"/>
        </w:rPr>
      </w:pPr>
    </w:p>
    <w:p w:rsidR="008D3E95" w:rsidP="1D57B863" w14:paraId="02A49717" w14:textId="508A0150">
      <w:pPr>
        <w:pStyle w:val="Heading1"/>
        <w:rPr>
          <w:rFonts w:cstheme="minorBidi"/>
        </w:rPr>
      </w:pPr>
    </w:p>
    <w:p w:rsidR="001C1AB8" w:rsidRPr="005313E5" w:rsidP="001C1AB8" w14:paraId="6BBF8CBC" w14:textId="730DA98F">
      <w:pPr>
        <w:pStyle w:val="Heading2"/>
      </w:pPr>
      <w:bookmarkStart w:id="7" w:name="_Toc115261525"/>
      <w:r>
        <w:t>Results of Key Systematic Reviews (2021 - 2022)</w:t>
      </w:r>
      <w:bookmarkEnd w:id="7"/>
    </w:p>
    <w:p w:rsidR="001C1AB8" w:rsidRPr="000579B3" w:rsidP="5A3FB1C9" w14:paraId="2E8709B3" w14:textId="72155D8F">
      <w:pPr>
        <w:spacing w:after="0"/>
      </w:pPr>
      <w:r>
        <w:t xml:space="preserve">FDA further updated the 2018-2021 FOP literature review by reviewing the scientific literature on FOP from January 2021 to August 2022, using a slightly modified version of the targeted database search algorithm </w:t>
      </w:r>
      <w:r w:rsidR="45F386C1">
        <w:t>but</w:t>
      </w:r>
      <w:r>
        <w:t xml:space="preserve"> the </w:t>
      </w:r>
      <w:r w:rsidR="424D11F4">
        <w:t xml:space="preserve">same </w:t>
      </w:r>
      <w:r>
        <w:t xml:space="preserve">analytical categories used in earlier reviews. </w:t>
      </w:r>
      <w:r w:rsidR="5CEB8156">
        <w:t>Beca</w:t>
      </w:r>
      <w:r w:rsidR="64345E43">
        <w:t>use of the proliferation</w:t>
      </w:r>
      <w:r w:rsidR="5CEB8156">
        <w:t xml:space="preserve"> in FOP</w:t>
      </w:r>
      <w:r w:rsidR="49178659">
        <w:t xml:space="preserve"> </w:t>
      </w:r>
      <w:r w:rsidR="58C4B17C">
        <w:t xml:space="preserve">schemes worldwide since the earlier iterations of this literature review, </w:t>
      </w:r>
      <w:r w:rsidR="005D1EE6">
        <w:t>w</w:t>
      </w:r>
      <w:r w:rsidR="599FAB77">
        <w:t xml:space="preserve">e </w:t>
      </w:r>
      <w:r w:rsidR="187C8360">
        <w:t>included the names of the schemes to</w:t>
      </w:r>
      <w:r w:rsidR="599FAB77">
        <w:t xml:space="preserve"> the targeted database</w:t>
      </w:r>
      <w:r>
        <w:t xml:space="preserve"> search algorithm</w:t>
      </w:r>
      <w:r w:rsidR="25D711E4">
        <w:t>s</w:t>
      </w:r>
      <w:r w:rsidR="55C43239">
        <w:t xml:space="preserve"> that were used in the </w:t>
      </w:r>
      <w:r w:rsidR="1F59F054">
        <w:t>2016-2020 reviews</w:t>
      </w:r>
      <w:r w:rsidR="4AB61DFA">
        <w:t xml:space="preserve"> (See highlighted text in Appendix B)</w:t>
      </w:r>
      <w:r w:rsidR="1F59F054">
        <w:t>.</w:t>
      </w:r>
      <w:r w:rsidR="55C43239">
        <w:t xml:space="preserve"> </w:t>
      </w:r>
      <w:r>
        <w:t xml:space="preserve"> </w:t>
      </w:r>
      <w:r w:rsidR="02CA967F">
        <w:t xml:space="preserve">We analyzed </w:t>
      </w:r>
      <w:r w:rsidR="7519E717">
        <w:t>77</w:t>
      </w:r>
      <w:r>
        <w:t xml:space="preserve"> scientific articles on FOP </w:t>
      </w:r>
      <w:r w:rsidR="02CA967F">
        <w:t xml:space="preserve">in the </w:t>
      </w:r>
      <w:r w:rsidR="7B411BC1">
        <w:t>January 2021 to August 2022</w:t>
      </w:r>
      <w:r>
        <w:t xml:space="preserve"> FOP literature </w:t>
      </w:r>
      <w:r w:rsidR="7B411BC1">
        <w:t xml:space="preserve">review </w:t>
      </w:r>
      <w:r>
        <w:t xml:space="preserve">update. Table 3 below presents the highlights and conclusions of this literature review by analytical category.  </w:t>
      </w:r>
    </w:p>
    <w:p w:rsidR="001C1AB8" w:rsidP="001C1AB8" w14:paraId="0D8BE62E" w14:textId="77777777">
      <w:pPr>
        <w:spacing w:after="0"/>
        <w:rPr>
          <w:rFonts w:cstheme="minorHAnsi"/>
          <w:sz w:val="24"/>
          <w:szCs w:val="24"/>
        </w:rPr>
      </w:pPr>
    </w:p>
    <w:p w:rsidR="001C1AB8" w:rsidP="001C1AB8" w14:paraId="4B0A377F" w14:textId="1377EC49">
      <w:pPr>
        <w:spacing w:after="0"/>
        <w:rPr>
          <w:rFonts w:cstheme="minorHAnsi"/>
        </w:rPr>
      </w:pPr>
      <w:r w:rsidRPr="008B29BE">
        <w:rPr>
          <w:rFonts w:cstheme="minorHAnsi"/>
        </w:rPr>
        <w:t xml:space="preserve">Table </w:t>
      </w:r>
      <w:r>
        <w:rPr>
          <w:rFonts w:cstheme="minorHAnsi"/>
        </w:rPr>
        <w:t>3</w:t>
      </w:r>
      <w:r w:rsidRPr="008B29BE">
        <w:rPr>
          <w:rFonts w:cstheme="minorHAnsi"/>
        </w:rPr>
        <w:t xml:space="preserve">. Highlights </w:t>
      </w:r>
      <w:r>
        <w:rPr>
          <w:rFonts w:cstheme="minorHAnsi"/>
        </w:rPr>
        <w:t xml:space="preserve">and </w:t>
      </w:r>
      <w:r w:rsidR="00C53A6B">
        <w:rPr>
          <w:rFonts w:cstheme="minorHAnsi"/>
        </w:rPr>
        <w:t>c</w:t>
      </w:r>
      <w:r>
        <w:rPr>
          <w:rFonts w:cstheme="minorHAnsi"/>
        </w:rPr>
        <w:t>onclusions of updated FOP n</w:t>
      </w:r>
      <w:r w:rsidRPr="008B29BE">
        <w:rPr>
          <w:rFonts w:cstheme="minorHAnsi"/>
        </w:rPr>
        <w:t>utrition labeling literature by analytical category (</w:t>
      </w:r>
      <w:r>
        <w:rPr>
          <w:rFonts w:cstheme="minorHAnsi"/>
        </w:rPr>
        <w:t>January 2021 – August 2022</w:t>
      </w:r>
      <w:r w:rsidRPr="008B29BE">
        <w:rPr>
          <w:rFonts w:cstheme="minorHAnsi"/>
        </w:rPr>
        <w:t>)</w:t>
      </w:r>
    </w:p>
    <w:p w:rsidR="001C1AB8" w:rsidRPr="008B29BE" w:rsidP="001C1AB8" w14:paraId="61FFD33C" w14:textId="77777777">
      <w:pPr>
        <w:spacing w:after="0"/>
        <w:rPr>
          <w:rFonts w:cstheme="minorHAnsi"/>
        </w:rPr>
      </w:pPr>
    </w:p>
    <w:tbl>
      <w:tblPr>
        <w:tblStyle w:val="TableGrid"/>
        <w:tblW w:w="0" w:type="auto"/>
        <w:tblInd w:w="-5" w:type="dxa"/>
        <w:tblLook w:val="04A0"/>
      </w:tblPr>
      <w:tblGrid>
        <w:gridCol w:w="1710"/>
        <w:gridCol w:w="7645"/>
      </w:tblGrid>
      <w:tr w14:paraId="521D221F" w14:textId="77777777" w:rsidTr="47135738">
        <w:tblPrEx>
          <w:tblW w:w="0" w:type="auto"/>
          <w:tblInd w:w="-5" w:type="dxa"/>
          <w:tblLook w:val="04A0"/>
        </w:tblPrEx>
        <w:trPr>
          <w:tblHeader/>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1C1AB8" w:rsidRPr="00C35D56" w:rsidP="003E7362" w14:paraId="2E57854E" w14:textId="43C73A11">
            <w:pPr>
              <w:jc w:val="center"/>
              <w:rPr>
                <w:rFonts w:asciiTheme="minorHAnsi" w:hAnsiTheme="minorHAnsi" w:cstheme="minorHAnsi"/>
                <w:b/>
                <w:caps/>
                <w:sz w:val="24"/>
                <w:szCs w:val="24"/>
              </w:rPr>
            </w:pPr>
            <w:r>
              <w:rPr>
                <w:rFonts w:asciiTheme="minorHAnsi" w:hAnsiTheme="minorHAnsi" w:cstheme="minorHAnsi"/>
                <w:b/>
                <w:caps/>
                <w:sz w:val="24"/>
                <w:szCs w:val="24"/>
              </w:rPr>
              <w:t>A</w:t>
            </w:r>
            <w:r>
              <w:rPr>
                <w:rFonts w:cstheme="minorHAnsi"/>
                <w:b/>
                <w:caps/>
                <w:sz w:val="24"/>
                <w:szCs w:val="24"/>
              </w:rPr>
              <w:t>nal</w:t>
            </w:r>
            <w:r w:rsidR="00A16AF9">
              <w:rPr>
                <w:rFonts w:cstheme="minorHAnsi"/>
                <w:b/>
                <w:caps/>
                <w:sz w:val="24"/>
                <w:szCs w:val="24"/>
              </w:rPr>
              <w:t>ytical Category</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1C1AB8" w:rsidRPr="00C35D56" w:rsidP="003E7362" w14:paraId="6EA1D960" w14:textId="77777777">
            <w:pPr>
              <w:jc w:val="center"/>
              <w:rPr>
                <w:rFonts w:asciiTheme="minorHAnsi" w:hAnsiTheme="minorHAnsi" w:cstheme="minorHAnsi"/>
                <w:b/>
                <w:caps/>
                <w:sz w:val="24"/>
                <w:szCs w:val="24"/>
              </w:rPr>
            </w:pPr>
            <w:r w:rsidRPr="00C35D56">
              <w:rPr>
                <w:rFonts w:asciiTheme="minorHAnsi" w:hAnsiTheme="minorHAnsi" w:cstheme="minorHAnsi"/>
                <w:b/>
                <w:caps/>
                <w:sz w:val="24"/>
                <w:szCs w:val="24"/>
              </w:rPr>
              <w:t>Highlights and conclusions</w:t>
            </w:r>
          </w:p>
        </w:tc>
      </w:tr>
      <w:tr w14:paraId="128FB22C" w14:textId="77777777" w:rsidTr="47135738">
        <w:tblPrEx>
          <w:tblW w:w="0" w:type="auto"/>
          <w:tblInd w:w="-5" w:type="dxa"/>
          <w:tblLook w:val="04A0"/>
        </w:tblPrEx>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1AB8" w:rsidRPr="00C35D56" w:rsidP="003E7362" w14:paraId="42B2EEFB" w14:textId="77777777">
            <w:pPr>
              <w:rPr>
                <w:rFonts w:asciiTheme="minorHAnsi" w:hAnsiTheme="minorHAnsi" w:cstheme="minorHAnsi"/>
                <w:b/>
                <w:sz w:val="24"/>
                <w:szCs w:val="24"/>
              </w:rPr>
            </w:pPr>
          </w:p>
          <w:p w:rsidR="001C1AB8" w:rsidRPr="00C35D56" w:rsidP="003E7362" w14:paraId="6586E65A" w14:textId="77777777">
            <w:pPr>
              <w:rPr>
                <w:rFonts w:asciiTheme="minorHAnsi" w:hAnsiTheme="minorHAnsi" w:cstheme="minorHAnsi"/>
                <w:b/>
                <w:sz w:val="24"/>
                <w:szCs w:val="24"/>
              </w:rPr>
            </w:pPr>
            <w:r w:rsidRPr="00C35D56">
              <w:rPr>
                <w:rFonts w:asciiTheme="minorHAnsi" w:hAnsiTheme="minorHAnsi" w:cstheme="minorHAnsi"/>
                <w:b/>
                <w:sz w:val="24"/>
                <w:szCs w:val="24"/>
              </w:rPr>
              <w:t>Attention and Processing</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1AB8" w:rsidRPr="00C35D56" w:rsidP="1D57B863" w14:paraId="033FFC5E" w14:textId="5852475F">
            <w:pPr>
              <w:pStyle w:val="ListParagraph"/>
              <w:numPr>
                <w:ilvl w:val="0"/>
                <w:numId w:val="2"/>
              </w:numPr>
              <w:rPr>
                <w:rFonts w:asciiTheme="minorHAnsi" w:hAnsiTheme="minorHAnsi" w:cstheme="minorBidi"/>
                <w:sz w:val="22"/>
                <w:szCs w:val="22"/>
              </w:rPr>
            </w:pPr>
            <w:r w:rsidRPr="1D57B863">
              <w:rPr>
                <w:rFonts w:asciiTheme="minorHAnsi" w:hAnsiTheme="minorHAnsi" w:cstheme="minorBidi"/>
                <w:sz w:val="22"/>
                <w:szCs w:val="22"/>
              </w:rPr>
              <w:t xml:space="preserve">Our review identified </w:t>
            </w:r>
            <w:r w:rsidRPr="1D57B863" w:rsidR="46DCA62E">
              <w:rPr>
                <w:rFonts w:asciiTheme="minorHAnsi" w:hAnsiTheme="minorHAnsi" w:cstheme="minorBidi"/>
                <w:sz w:val="22"/>
                <w:szCs w:val="22"/>
              </w:rPr>
              <w:t>four</w:t>
            </w:r>
            <w:r w:rsidRPr="1D57B863">
              <w:rPr>
                <w:rFonts w:asciiTheme="minorHAnsi" w:hAnsiTheme="minorHAnsi" w:cstheme="minorBidi"/>
                <w:sz w:val="22"/>
                <w:szCs w:val="22"/>
              </w:rPr>
              <w:t xml:space="preserve"> experimental studies in this category. </w:t>
            </w:r>
          </w:p>
          <w:p w:rsidR="001C1AB8" w:rsidRPr="00C35D56" w:rsidP="1D57B863" w14:paraId="48C14451" w14:textId="7D219F91">
            <w:pPr>
              <w:pStyle w:val="ListParagraph"/>
              <w:numPr>
                <w:ilvl w:val="0"/>
                <w:numId w:val="2"/>
              </w:numPr>
              <w:rPr>
                <w:rFonts w:asciiTheme="minorHAnsi" w:hAnsiTheme="minorHAnsi" w:cstheme="minorBidi"/>
                <w:sz w:val="22"/>
                <w:szCs w:val="22"/>
              </w:rPr>
            </w:pPr>
            <w:r w:rsidRPr="1D57B863">
              <w:rPr>
                <w:rFonts w:asciiTheme="minorHAnsi" w:hAnsiTheme="minorHAnsi" w:cstheme="minorBidi"/>
                <w:sz w:val="22"/>
                <w:szCs w:val="22"/>
              </w:rPr>
              <w:t>These studies were conducted in Chile, France, Portugal, and the United States.</w:t>
            </w:r>
          </w:p>
          <w:p w:rsidR="001C1AB8" w:rsidRPr="00C35D56" w:rsidP="003E7362" w14:paraId="3966AAAD" w14:textId="7587B23D">
            <w:pPr>
              <w:pStyle w:val="ListParagraph"/>
              <w:numPr>
                <w:ilvl w:val="0"/>
                <w:numId w:val="2"/>
              </w:numPr>
              <w:rPr>
                <w:rFonts w:asciiTheme="minorHAnsi" w:hAnsiTheme="minorHAnsi" w:cstheme="minorBidi"/>
                <w:sz w:val="22"/>
                <w:szCs w:val="22"/>
              </w:rPr>
            </w:pPr>
            <w:r w:rsidRPr="1D57B863">
              <w:rPr>
                <w:rFonts w:asciiTheme="minorHAnsi" w:hAnsiTheme="minorHAnsi" w:cstheme="minorBidi"/>
                <w:sz w:val="22"/>
                <w:szCs w:val="22"/>
              </w:rPr>
              <w:t>FOP</w:t>
            </w:r>
            <w:r w:rsidRPr="1D57B863" w:rsidR="0109B70A">
              <w:rPr>
                <w:rFonts w:asciiTheme="minorHAnsi" w:hAnsiTheme="minorHAnsi" w:cstheme="minorBidi"/>
                <w:sz w:val="22"/>
                <w:szCs w:val="22"/>
              </w:rPr>
              <w:t xml:space="preserve"> labeling systems examined in the identified studies include Facts</w:t>
            </w:r>
            <w:r w:rsidRPr="1D57B863" w:rsidR="75E6BA8C">
              <w:rPr>
                <w:rFonts w:asciiTheme="minorHAnsi" w:hAnsiTheme="minorHAnsi" w:cstheme="minorBidi"/>
                <w:sz w:val="22"/>
                <w:szCs w:val="22"/>
              </w:rPr>
              <w:t xml:space="preserve"> </w:t>
            </w:r>
            <w:r w:rsidRPr="1D57B863" w:rsidR="0109B70A">
              <w:rPr>
                <w:rFonts w:asciiTheme="minorHAnsi" w:hAnsiTheme="minorHAnsi" w:cstheme="minorBidi"/>
                <w:sz w:val="22"/>
                <w:szCs w:val="22"/>
              </w:rPr>
              <w:t>Up</w:t>
            </w:r>
            <w:r w:rsidRPr="1D57B863" w:rsidR="2A2A919D">
              <w:rPr>
                <w:rFonts w:asciiTheme="minorHAnsi" w:hAnsiTheme="minorHAnsi" w:cstheme="minorBidi"/>
                <w:sz w:val="22"/>
                <w:szCs w:val="22"/>
              </w:rPr>
              <w:t xml:space="preserve"> </w:t>
            </w:r>
            <w:r w:rsidRPr="1D57B863" w:rsidR="0109B70A">
              <w:rPr>
                <w:rFonts w:asciiTheme="minorHAnsi" w:hAnsiTheme="minorHAnsi" w:cstheme="minorBidi"/>
                <w:sz w:val="22"/>
                <w:szCs w:val="22"/>
              </w:rPr>
              <w:t xml:space="preserve">Front, Health Star Rating, Multiple Traffic Light, </w:t>
            </w:r>
            <w:r w:rsidRPr="1D57B863">
              <w:rPr>
                <w:rFonts w:asciiTheme="minorHAnsi" w:hAnsiTheme="minorHAnsi" w:cstheme="minorBidi"/>
                <w:sz w:val="22"/>
                <w:szCs w:val="22"/>
              </w:rPr>
              <w:t>Nutri-Score</w:t>
            </w:r>
            <w:r w:rsidRPr="1D57B863" w:rsidR="0109B70A">
              <w:rPr>
                <w:rFonts w:asciiTheme="minorHAnsi" w:hAnsiTheme="minorHAnsi" w:cstheme="minorBidi"/>
                <w:sz w:val="22"/>
                <w:szCs w:val="22"/>
              </w:rPr>
              <w:t>, Reference Intakes, and Warning Labels.</w:t>
            </w:r>
          </w:p>
          <w:p w:rsidR="001C1AB8" w:rsidRPr="00C35D56" w:rsidP="1D57B863" w14:paraId="32AE71C2" w14:textId="2DE388AA">
            <w:pPr>
              <w:pStyle w:val="ListParagraph"/>
              <w:numPr>
                <w:ilvl w:val="0"/>
                <w:numId w:val="2"/>
              </w:numPr>
              <w:rPr>
                <w:rFonts w:asciiTheme="minorHAnsi" w:hAnsiTheme="minorHAnsi" w:cstheme="minorBidi"/>
                <w:sz w:val="22"/>
                <w:szCs w:val="22"/>
              </w:rPr>
            </w:pPr>
            <w:r w:rsidRPr="1D57B863">
              <w:rPr>
                <w:rFonts w:asciiTheme="minorHAnsi" w:hAnsiTheme="minorHAnsi" w:cstheme="minorBidi"/>
                <w:sz w:val="22"/>
                <w:szCs w:val="22"/>
              </w:rPr>
              <w:t xml:space="preserve">The studies highlighted interactions among </w:t>
            </w:r>
            <w:r w:rsidRPr="1D57B863" w:rsidR="5B411FF4">
              <w:rPr>
                <w:rFonts w:asciiTheme="minorHAnsi" w:hAnsiTheme="minorHAnsi" w:cstheme="minorBidi"/>
                <w:sz w:val="22"/>
                <w:szCs w:val="22"/>
              </w:rPr>
              <w:t xml:space="preserve">types of </w:t>
            </w:r>
            <w:r w:rsidRPr="1D57B863" w:rsidR="3CB3952B">
              <w:rPr>
                <w:rFonts w:asciiTheme="minorHAnsi" w:hAnsiTheme="minorHAnsi" w:cstheme="minorBidi"/>
                <w:sz w:val="22"/>
                <w:szCs w:val="22"/>
              </w:rPr>
              <w:t>FOP</w:t>
            </w:r>
            <w:r w:rsidR="00CD6786">
              <w:rPr>
                <w:rFonts w:asciiTheme="minorHAnsi" w:hAnsiTheme="minorHAnsi" w:cstheme="minorBidi"/>
                <w:sz w:val="22"/>
                <w:szCs w:val="22"/>
              </w:rPr>
              <w:t xml:space="preserve"> scheme</w:t>
            </w:r>
            <w:r w:rsidRPr="1D57B863">
              <w:rPr>
                <w:rFonts w:asciiTheme="minorHAnsi" w:hAnsiTheme="minorHAnsi" w:cstheme="minorBidi"/>
                <w:sz w:val="22"/>
                <w:szCs w:val="22"/>
              </w:rPr>
              <w:t>s</w:t>
            </w:r>
            <w:r w:rsidRPr="1D57B863" w:rsidR="70ED224C">
              <w:rPr>
                <w:rFonts w:asciiTheme="minorHAnsi" w:hAnsiTheme="minorHAnsi" w:cstheme="minorBidi"/>
                <w:sz w:val="22"/>
                <w:szCs w:val="22"/>
              </w:rPr>
              <w:t>, including black</w:t>
            </w:r>
            <w:r w:rsidR="008E0969">
              <w:rPr>
                <w:rFonts w:asciiTheme="minorHAnsi" w:hAnsiTheme="minorHAnsi" w:cstheme="minorBidi"/>
                <w:sz w:val="22"/>
                <w:szCs w:val="22"/>
              </w:rPr>
              <w:t>-</w:t>
            </w:r>
            <w:r w:rsidRPr="1D57B863" w:rsidR="70ED224C">
              <w:rPr>
                <w:rFonts w:asciiTheme="minorHAnsi" w:hAnsiTheme="minorHAnsi" w:cstheme="minorBidi"/>
                <w:sz w:val="22"/>
                <w:szCs w:val="22"/>
              </w:rPr>
              <w:t>and</w:t>
            </w:r>
            <w:r w:rsidR="008E0969">
              <w:rPr>
                <w:rFonts w:asciiTheme="minorHAnsi" w:hAnsiTheme="minorHAnsi" w:cstheme="minorBidi"/>
                <w:sz w:val="22"/>
                <w:szCs w:val="22"/>
              </w:rPr>
              <w:t>-</w:t>
            </w:r>
            <w:r w:rsidRPr="1D57B863" w:rsidR="70ED224C">
              <w:rPr>
                <w:rFonts w:asciiTheme="minorHAnsi" w:hAnsiTheme="minorHAnsi" w:cstheme="minorBidi"/>
                <w:sz w:val="22"/>
                <w:szCs w:val="22"/>
              </w:rPr>
              <w:t>white</w:t>
            </w:r>
            <w:r w:rsidR="00F5695B">
              <w:rPr>
                <w:rFonts w:asciiTheme="minorHAnsi" w:hAnsiTheme="minorHAnsi" w:cstheme="minorBidi"/>
                <w:sz w:val="22"/>
                <w:szCs w:val="22"/>
              </w:rPr>
              <w:t>,</w:t>
            </w:r>
            <w:r w:rsidRPr="1D57B863" w:rsidR="70ED224C">
              <w:rPr>
                <w:rFonts w:asciiTheme="minorHAnsi" w:hAnsiTheme="minorHAnsi" w:cstheme="minorBidi"/>
                <w:sz w:val="22"/>
                <w:szCs w:val="22"/>
              </w:rPr>
              <w:t xml:space="preserve"> and colored versions</w:t>
            </w:r>
            <w:r w:rsidRPr="1D57B863">
              <w:rPr>
                <w:rFonts w:asciiTheme="minorHAnsi" w:hAnsiTheme="minorHAnsi" w:cstheme="minorBidi"/>
                <w:sz w:val="22"/>
                <w:szCs w:val="22"/>
              </w:rPr>
              <w:t xml:space="preserve">, </w:t>
            </w:r>
            <w:r w:rsidR="00F5695B">
              <w:rPr>
                <w:rFonts w:asciiTheme="minorHAnsi" w:hAnsiTheme="minorHAnsi" w:cstheme="minorBidi"/>
                <w:sz w:val="22"/>
                <w:szCs w:val="22"/>
              </w:rPr>
              <w:t>and</w:t>
            </w:r>
            <w:r w:rsidRPr="1D57B863">
              <w:rPr>
                <w:rFonts w:asciiTheme="minorHAnsi" w:hAnsiTheme="minorHAnsi" w:cstheme="minorBidi"/>
                <w:sz w:val="22"/>
                <w:szCs w:val="22"/>
              </w:rPr>
              <w:t xml:space="preserve"> nutrition information panels on the back or side of packages</w:t>
            </w:r>
            <w:r w:rsidR="00F5695B">
              <w:rPr>
                <w:rFonts w:asciiTheme="minorHAnsi" w:hAnsiTheme="minorHAnsi" w:cstheme="minorBidi"/>
                <w:sz w:val="22"/>
                <w:szCs w:val="22"/>
              </w:rPr>
              <w:t>.</w:t>
            </w:r>
            <w:r w:rsidRPr="1D57B863">
              <w:rPr>
                <w:rFonts w:asciiTheme="minorHAnsi" w:hAnsiTheme="minorHAnsi" w:cstheme="minorBidi"/>
                <w:sz w:val="22"/>
                <w:szCs w:val="22"/>
              </w:rPr>
              <w:t xml:space="preserve"> </w:t>
            </w:r>
          </w:p>
          <w:p w:rsidR="001C1AB8" w:rsidP="003E7362" w14:paraId="10FBB722" w14:textId="77777777">
            <w:pPr>
              <w:pStyle w:val="ListParagraph"/>
              <w:numPr>
                <w:ilvl w:val="0"/>
                <w:numId w:val="2"/>
              </w:numPr>
              <w:rPr>
                <w:rFonts w:asciiTheme="minorHAnsi" w:hAnsiTheme="minorHAnsi" w:cstheme="minorHAnsi"/>
                <w:sz w:val="22"/>
              </w:rPr>
            </w:pPr>
            <w:r>
              <w:rPr>
                <w:rFonts w:asciiTheme="minorHAnsi" w:hAnsiTheme="minorHAnsi" w:cstheme="minorHAnsi"/>
                <w:sz w:val="22"/>
              </w:rPr>
              <w:t xml:space="preserve">Nearly all </w:t>
            </w:r>
            <w:r w:rsidR="004B6E26">
              <w:rPr>
                <w:rFonts w:asciiTheme="minorHAnsi" w:hAnsiTheme="minorHAnsi" w:cstheme="minorHAnsi"/>
                <w:sz w:val="22"/>
              </w:rPr>
              <w:t>FOP</w:t>
            </w:r>
            <w:r>
              <w:rPr>
                <w:rFonts w:asciiTheme="minorHAnsi" w:hAnsiTheme="minorHAnsi" w:cstheme="minorHAnsi"/>
                <w:sz w:val="22"/>
              </w:rPr>
              <w:t xml:space="preserve">s </w:t>
            </w:r>
            <w:r w:rsidR="00CB52EE">
              <w:rPr>
                <w:rFonts w:asciiTheme="minorHAnsi" w:hAnsiTheme="minorHAnsi" w:cstheme="minorHAnsi"/>
                <w:sz w:val="22"/>
              </w:rPr>
              <w:t>were found to</w:t>
            </w:r>
            <w:r>
              <w:rPr>
                <w:rFonts w:asciiTheme="minorHAnsi" w:hAnsiTheme="minorHAnsi" w:cstheme="minorHAnsi"/>
                <w:sz w:val="22"/>
              </w:rPr>
              <w:t xml:space="preserve"> capture attention and improve the ability of participants to estimate healthfulness of products compared to products with no labels.</w:t>
            </w:r>
          </w:p>
          <w:p w:rsidR="001C1AB8" w:rsidRPr="00AF6AE7" w:rsidP="1D57B863" w14:paraId="6B2B0FB5" w14:textId="686F4D77">
            <w:pPr>
              <w:pStyle w:val="ListParagraph"/>
              <w:numPr>
                <w:ilvl w:val="0"/>
                <w:numId w:val="2"/>
              </w:numPr>
              <w:rPr>
                <w:rFonts w:asciiTheme="minorHAnsi" w:hAnsiTheme="minorHAnsi" w:cstheme="minorHAnsi"/>
                <w:sz w:val="22"/>
              </w:rPr>
            </w:pPr>
            <w:r w:rsidRPr="1D57B863">
              <w:rPr>
                <w:rFonts w:asciiTheme="minorHAnsi" w:hAnsiTheme="minorHAnsi" w:cstheme="minorBidi"/>
                <w:sz w:val="22"/>
                <w:szCs w:val="22"/>
              </w:rPr>
              <w:t xml:space="preserve">Studies indicate that color </w:t>
            </w:r>
            <w:r w:rsidRPr="1D57B863" w:rsidR="3CB3952B">
              <w:rPr>
                <w:rFonts w:asciiTheme="minorHAnsi" w:hAnsiTheme="minorHAnsi" w:cstheme="minorBidi"/>
                <w:sz w:val="22"/>
                <w:szCs w:val="22"/>
              </w:rPr>
              <w:t>FOP</w:t>
            </w:r>
            <w:r w:rsidRPr="1D57B863">
              <w:rPr>
                <w:rFonts w:asciiTheme="minorHAnsi" w:hAnsiTheme="minorHAnsi" w:cstheme="minorBidi"/>
                <w:sz w:val="22"/>
                <w:szCs w:val="22"/>
              </w:rPr>
              <w:t xml:space="preserve">s are more effective than black-and-white labels in capturing attention, but that lack of knowledge about the </w:t>
            </w:r>
            <w:r w:rsidRPr="1D57B863" w:rsidR="3CB3952B">
              <w:rPr>
                <w:rFonts w:asciiTheme="minorHAnsi" w:hAnsiTheme="minorHAnsi" w:cstheme="minorBidi"/>
                <w:sz w:val="22"/>
                <w:szCs w:val="22"/>
              </w:rPr>
              <w:t>FOP</w:t>
            </w:r>
            <w:r w:rsidRPr="1D57B863">
              <w:rPr>
                <w:rFonts w:asciiTheme="minorHAnsi" w:hAnsiTheme="minorHAnsi" w:cstheme="minorBidi"/>
                <w:sz w:val="22"/>
                <w:szCs w:val="22"/>
              </w:rPr>
              <w:t xml:space="preserve"> can undermine that effectiveness. </w:t>
            </w:r>
            <w:r w:rsidRPr="00AF6AE7" w:rsidR="00F44620">
              <w:rPr>
                <w:rFonts w:asciiTheme="minorHAnsi" w:hAnsiTheme="minorHAnsi" w:cstheme="minorBidi"/>
                <w:sz w:val="22"/>
                <w:szCs w:val="22"/>
              </w:rPr>
              <w:t>One study</w:t>
            </w:r>
            <w:r w:rsidRPr="00AF6AE7">
              <w:rPr>
                <w:rFonts w:asciiTheme="minorHAnsi" w:hAnsiTheme="minorHAnsi" w:cstheme="minorBidi"/>
                <w:sz w:val="22"/>
                <w:szCs w:val="22"/>
              </w:rPr>
              <w:t xml:space="preserve"> </w:t>
            </w:r>
            <w:r w:rsidRPr="1D57B863">
              <w:rPr>
                <w:rFonts w:asciiTheme="minorHAnsi" w:hAnsiTheme="minorHAnsi" w:cstheme="minorBidi"/>
                <w:sz w:val="22"/>
                <w:szCs w:val="22"/>
              </w:rPr>
              <w:t xml:space="preserve">that </w:t>
            </w:r>
            <w:r w:rsidRPr="1D57B863" w:rsidR="4AB02EEA">
              <w:rPr>
                <w:rFonts w:asciiTheme="minorHAnsi" w:hAnsiTheme="minorHAnsi" w:cstheme="minorBidi"/>
                <w:sz w:val="22"/>
                <w:szCs w:val="22"/>
              </w:rPr>
              <w:t>compared a 3-c</w:t>
            </w:r>
            <w:r w:rsidRPr="1D57B863" w:rsidR="1E62EAA0">
              <w:rPr>
                <w:rFonts w:asciiTheme="minorHAnsi" w:hAnsiTheme="minorHAnsi" w:cstheme="minorBidi"/>
                <w:sz w:val="22"/>
                <w:szCs w:val="22"/>
              </w:rPr>
              <w:t>ategory</w:t>
            </w:r>
            <w:r w:rsidRPr="1D57B863" w:rsidR="4AB02EEA">
              <w:rPr>
                <w:rFonts w:asciiTheme="minorHAnsi" w:hAnsiTheme="minorHAnsi" w:cstheme="minorBidi"/>
                <w:sz w:val="22"/>
                <w:szCs w:val="22"/>
              </w:rPr>
              <w:t xml:space="preserve"> </w:t>
            </w:r>
            <w:r w:rsidRPr="1D57B863" w:rsidR="75D450E8">
              <w:rPr>
                <w:rFonts w:asciiTheme="minorHAnsi" w:hAnsiTheme="minorHAnsi" w:cstheme="minorBidi"/>
                <w:sz w:val="22"/>
                <w:szCs w:val="22"/>
              </w:rPr>
              <w:t>Nutri-</w:t>
            </w:r>
            <w:r w:rsidRPr="1D57B863" w:rsidR="75D450E8">
              <w:rPr>
                <w:rFonts w:asciiTheme="minorHAnsi" w:hAnsiTheme="minorHAnsi" w:cstheme="minorBidi"/>
                <w:sz w:val="22"/>
                <w:szCs w:val="22"/>
              </w:rPr>
              <w:t>Score</w:t>
            </w:r>
            <w:r w:rsidRPr="1D57B863">
              <w:rPr>
                <w:rFonts w:asciiTheme="minorHAnsi" w:hAnsiTheme="minorHAnsi" w:cstheme="minorBidi"/>
                <w:sz w:val="22"/>
                <w:szCs w:val="22"/>
              </w:rPr>
              <w:t xml:space="preserve"> </w:t>
            </w:r>
            <w:r w:rsidRPr="1D57B863" w:rsidR="4C9B3A09">
              <w:rPr>
                <w:rFonts w:asciiTheme="minorHAnsi" w:hAnsiTheme="minorHAnsi" w:cstheme="minorBidi"/>
                <w:sz w:val="22"/>
                <w:szCs w:val="22"/>
              </w:rPr>
              <w:t xml:space="preserve"> with</w:t>
            </w:r>
            <w:r w:rsidRPr="1D57B863" w:rsidR="4C9B3A09">
              <w:rPr>
                <w:rFonts w:asciiTheme="minorHAnsi" w:hAnsiTheme="minorHAnsi" w:cstheme="minorBidi"/>
                <w:sz w:val="22"/>
                <w:szCs w:val="22"/>
              </w:rPr>
              <w:t xml:space="preserve"> a </w:t>
            </w:r>
            <w:r w:rsidRPr="1D57B863" w:rsidR="46AC44D9">
              <w:rPr>
                <w:rFonts w:asciiTheme="minorHAnsi" w:hAnsiTheme="minorHAnsi" w:cstheme="minorBidi"/>
                <w:sz w:val="22"/>
                <w:szCs w:val="22"/>
              </w:rPr>
              <w:t xml:space="preserve"> 5-category Nutri-score found that the 5-category </w:t>
            </w:r>
            <w:r w:rsidRPr="1D57B863" w:rsidR="6527C1D3">
              <w:rPr>
                <w:rFonts w:asciiTheme="minorHAnsi" w:hAnsiTheme="minorHAnsi" w:cstheme="minorBidi"/>
                <w:sz w:val="22"/>
                <w:szCs w:val="22"/>
              </w:rPr>
              <w:t xml:space="preserve">scheme </w:t>
            </w:r>
            <w:r w:rsidRPr="1D57B863" w:rsidR="46AC44D9">
              <w:rPr>
                <w:rFonts w:asciiTheme="minorHAnsi" w:hAnsiTheme="minorHAnsi" w:cstheme="minorBidi"/>
                <w:sz w:val="22"/>
                <w:szCs w:val="22"/>
              </w:rPr>
              <w:t xml:space="preserve">resulted in more accurate identification of healthful </w:t>
            </w:r>
            <w:r w:rsidRPr="1D57B863" w:rsidR="1266A0CD">
              <w:rPr>
                <w:rFonts w:asciiTheme="minorHAnsi" w:hAnsiTheme="minorHAnsi" w:cstheme="minorBidi"/>
                <w:sz w:val="22"/>
                <w:szCs w:val="22"/>
              </w:rPr>
              <w:t xml:space="preserve">products, </w:t>
            </w:r>
            <w:r w:rsidRPr="1D57B863" w:rsidR="24DC2540">
              <w:rPr>
                <w:rFonts w:asciiTheme="minorHAnsi" w:hAnsiTheme="minorHAnsi" w:cstheme="minorBidi"/>
                <w:sz w:val="22"/>
                <w:szCs w:val="22"/>
              </w:rPr>
              <w:t xml:space="preserve">but study participants also </w:t>
            </w:r>
            <w:r w:rsidRPr="00AF6AE7" w:rsidR="24DC2540">
              <w:rPr>
                <w:rFonts w:asciiTheme="minorHAnsi" w:hAnsiTheme="minorHAnsi" w:cstheme="minorBidi"/>
                <w:sz w:val="22"/>
                <w:szCs w:val="22"/>
              </w:rPr>
              <w:t>s</w:t>
            </w:r>
            <w:r w:rsidRPr="00AF6AE7" w:rsidR="006F30F9">
              <w:rPr>
                <w:rFonts w:asciiTheme="minorHAnsi" w:hAnsiTheme="minorHAnsi" w:cstheme="minorBidi"/>
                <w:sz w:val="22"/>
                <w:szCs w:val="22"/>
              </w:rPr>
              <w:t>p</w:t>
            </w:r>
            <w:r w:rsidRPr="00AF6AE7" w:rsidR="24DC2540">
              <w:rPr>
                <w:rFonts w:asciiTheme="minorHAnsi" w:hAnsiTheme="minorHAnsi" w:cstheme="minorBidi"/>
                <w:sz w:val="22"/>
                <w:szCs w:val="22"/>
              </w:rPr>
              <w:t>ent</w:t>
            </w:r>
            <w:r w:rsidRPr="1D57B863" w:rsidR="24DC2540">
              <w:rPr>
                <w:rFonts w:asciiTheme="minorHAnsi" w:hAnsiTheme="minorHAnsi" w:cstheme="minorBidi"/>
                <w:sz w:val="22"/>
                <w:szCs w:val="22"/>
              </w:rPr>
              <w:t xml:space="preserve"> </w:t>
            </w:r>
            <w:r w:rsidRPr="1D57B863" w:rsidR="1266A0CD">
              <w:rPr>
                <w:rFonts w:asciiTheme="minorHAnsi" w:hAnsiTheme="minorHAnsi" w:cstheme="minorBidi"/>
                <w:sz w:val="22"/>
                <w:szCs w:val="22"/>
              </w:rPr>
              <w:t>more time process</w:t>
            </w:r>
            <w:r w:rsidRPr="1D57B863" w:rsidR="1EADDDEB">
              <w:rPr>
                <w:rFonts w:asciiTheme="minorHAnsi" w:hAnsiTheme="minorHAnsi" w:cstheme="minorBidi"/>
                <w:sz w:val="22"/>
                <w:szCs w:val="22"/>
              </w:rPr>
              <w:t>ing the information in the 5-category scheme</w:t>
            </w:r>
            <w:r w:rsidRPr="1D57B863" w:rsidR="478581DB">
              <w:rPr>
                <w:rFonts w:asciiTheme="minorHAnsi" w:hAnsiTheme="minorHAnsi" w:cstheme="minorBidi"/>
                <w:sz w:val="22"/>
                <w:szCs w:val="22"/>
              </w:rPr>
              <w:t xml:space="preserve">. </w:t>
            </w:r>
          </w:p>
          <w:p w:rsidR="001C1AB8" w:rsidP="003E7362" w14:paraId="04686B89" w14:textId="77777777">
            <w:pPr>
              <w:rPr>
                <w:rFonts w:asciiTheme="minorHAnsi" w:hAnsiTheme="minorHAnsi" w:cstheme="minorBidi"/>
                <w:b/>
                <w:sz w:val="22"/>
                <w:szCs w:val="22"/>
              </w:rPr>
            </w:pPr>
          </w:p>
          <w:p w:rsidR="001C1AB8" w:rsidRPr="00977229" w:rsidP="003E7362" w14:paraId="02B5C693" w14:textId="416CC257">
            <w:pPr>
              <w:rPr>
                <w:rFonts w:asciiTheme="minorHAnsi" w:hAnsiTheme="minorHAnsi" w:cstheme="minorBidi"/>
                <w:sz w:val="22"/>
                <w:szCs w:val="22"/>
              </w:rPr>
            </w:pPr>
            <w:r w:rsidRPr="54A9F084">
              <w:rPr>
                <w:rFonts w:asciiTheme="minorHAnsi" w:hAnsiTheme="minorHAnsi" w:cstheme="minorBidi"/>
                <w:b/>
                <w:sz w:val="22"/>
                <w:szCs w:val="22"/>
              </w:rPr>
              <w:t>Conclusion:</w:t>
            </w:r>
            <w:r w:rsidRPr="54A9F084">
              <w:rPr>
                <w:rFonts w:asciiTheme="minorHAnsi" w:hAnsiTheme="minorHAnsi" w:cstheme="minorBidi"/>
                <w:sz w:val="22"/>
                <w:szCs w:val="22"/>
              </w:rPr>
              <w:t xml:space="preserve"> These studies extend previous findings, which found that FOP labels – particularly those utilizing color – catch consumers’ attention. Also</w:t>
            </w:r>
            <w:r w:rsidRPr="54A9F084" w:rsidR="00AA21EF">
              <w:rPr>
                <w:rFonts w:asciiTheme="minorHAnsi" w:hAnsiTheme="minorHAnsi" w:cstheme="minorBidi"/>
                <w:sz w:val="22"/>
                <w:szCs w:val="22"/>
              </w:rPr>
              <w:t>,</w:t>
            </w:r>
            <w:r w:rsidRPr="54A9F084">
              <w:rPr>
                <w:rFonts w:asciiTheme="minorHAnsi" w:hAnsiTheme="minorHAnsi" w:cstheme="minorBidi"/>
                <w:sz w:val="22"/>
                <w:szCs w:val="22"/>
              </w:rPr>
              <w:t xml:space="preserve"> in keeping with the prior reviews, these studies suggest that </w:t>
            </w:r>
            <w:r w:rsidRPr="54A9F084" w:rsidR="48A85667">
              <w:rPr>
                <w:rFonts w:asciiTheme="minorHAnsi" w:hAnsiTheme="minorHAnsi" w:cstheme="minorBidi"/>
                <w:sz w:val="22"/>
                <w:szCs w:val="22"/>
              </w:rPr>
              <w:t xml:space="preserve">familiarity with </w:t>
            </w:r>
            <w:r w:rsidRPr="54A9F084" w:rsidR="004B6E26">
              <w:rPr>
                <w:rFonts w:asciiTheme="minorHAnsi" w:hAnsiTheme="minorHAnsi" w:cstheme="minorBidi"/>
                <w:sz w:val="22"/>
                <w:szCs w:val="22"/>
              </w:rPr>
              <w:t>FOP</w:t>
            </w:r>
            <w:r w:rsidR="008C64B7">
              <w:rPr>
                <w:rFonts w:asciiTheme="minorHAnsi" w:hAnsiTheme="minorHAnsi" w:cstheme="minorBidi"/>
                <w:sz w:val="22"/>
                <w:szCs w:val="22"/>
              </w:rPr>
              <w:t xml:space="preserve"> </w:t>
            </w:r>
            <w:r w:rsidR="002601C6">
              <w:rPr>
                <w:rFonts w:asciiTheme="minorHAnsi" w:hAnsiTheme="minorHAnsi" w:cstheme="minorBidi"/>
                <w:sz w:val="22"/>
                <w:szCs w:val="22"/>
              </w:rPr>
              <w:t>label</w:t>
            </w:r>
            <w:r w:rsidRPr="54A9F084">
              <w:rPr>
                <w:rFonts w:asciiTheme="minorHAnsi" w:hAnsiTheme="minorHAnsi" w:cstheme="minorBidi"/>
                <w:sz w:val="22"/>
                <w:szCs w:val="22"/>
              </w:rPr>
              <w:t xml:space="preserve">s will make them even more useful. </w:t>
            </w:r>
          </w:p>
        </w:tc>
      </w:tr>
      <w:tr w14:paraId="2496F46B" w14:textId="77777777" w:rsidTr="47135738">
        <w:tblPrEx>
          <w:tblW w:w="0" w:type="auto"/>
          <w:tblInd w:w="-5" w:type="dxa"/>
          <w:tblLook w:val="04A0"/>
        </w:tblPrEx>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1AB8" w:rsidP="003E7362" w14:paraId="2DB30161" w14:textId="77777777">
            <w:pPr>
              <w:rPr>
                <w:b/>
                <w:sz w:val="24"/>
                <w:szCs w:val="24"/>
              </w:rPr>
            </w:pPr>
          </w:p>
          <w:p w:rsidR="001C1AB8" w:rsidRPr="00733627" w:rsidP="003E7362" w14:paraId="4748A3FB" w14:textId="77777777">
            <w:pPr>
              <w:rPr>
                <w:b/>
                <w:sz w:val="24"/>
                <w:szCs w:val="24"/>
              </w:rPr>
            </w:pPr>
            <w:r w:rsidRPr="009A7F34">
              <w:rPr>
                <w:b/>
                <w:sz w:val="24"/>
                <w:szCs w:val="24"/>
              </w:rPr>
              <w:t>Liking, Satisfaction, and Label Preference</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1AB8" w:rsidRPr="00C433D4" w:rsidP="003E7362" w14:paraId="48C7A16F" w14:textId="70460D4F">
            <w:pPr>
              <w:pStyle w:val="ListParagraph"/>
              <w:numPr>
                <w:ilvl w:val="0"/>
                <w:numId w:val="1"/>
              </w:numPr>
              <w:ind w:hanging="270"/>
              <w:rPr>
                <w:rFonts w:asciiTheme="minorHAnsi" w:hAnsiTheme="minorHAnsi" w:cstheme="minorHAnsi"/>
                <w:bCs/>
                <w:sz w:val="22"/>
                <w:szCs w:val="22"/>
              </w:rPr>
            </w:pPr>
            <w:r w:rsidRPr="00C433D4">
              <w:rPr>
                <w:rFonts w:asciiTheme="minorHAnsi" w:hAnsiTheme="minorHAnsi" w:cstheme="minorHAnsi"/>
                <w:bCs/>
                <w:sz w:val="22"/>
                <w:szCs w:val="22"/>
              </w:rPr>
              <w:t xml:space="preserve">Our review identified </w:t>
            </w:r>
            <w:r w:rsidR="00560BC9">
              <w:rPr>
                <w:rFonts w:asciiTheme="minorHAnsi" w:hAnsiTheme="minorHAnsi" w:cstheme="minorHAnsi"/>
                <w:bCs/>
                <w:sz w:val="22"/>
                <w:szCs w:val="22"/>
              </w:rPr>
              <w:t>seven</w:t>
            </w:r>
            <w:r w:rsidRPr="00C433D4">
              <w:rPr>
                <w:rFonts w:asciiTheme="minorHAnsi" w:hAnsiTheme="minorHAnsi" w:cstheme="minorHAnsi"/>
                <w:bCs/>
                <w:sz w:val="22"/>
                <w:szCs w:val="22"/>
              </w:rPr>
              <w:t xml:space="preserve"> studies in this category, with </w:t>
            </w:r>
            <w:r>
              <w:rPr>
                <w:rFonts w:asciiTheme="minorHAnsi" w:hAnsiTheme="minorHAnsi" w:cstheme="minorHAnsi"/>
                <w:bCs/>
                <w:sz w:val="22"/>
                <w:szCs w:val="22"/>
              </w:rPr>
              <w:t>two</w:t>
            </w:r>
            <w:r w:rsidRPr="00C433D4">
              <w:rPr>
                <w:rFonts w:asciiTheme="minorHAnsi" w:hAnsiTheme="minorHAnsi" w:cstheme="minorHAnsi"/>
                <w:bCs/>
                <w:sz w:val="22"/>
                <w:szCs w:val="22"/>
              </w:rPr>
              <w:t xml:space="preserve"> experimental studies, </w:t>
            </w:r>
            <w:r>
              <w:rPr>
                <w:rFonts w:asciiTheme="minorHAnsi" w:hAnsiTheme="minorHAnsi" w:cstheme="minorHAnsi"/>
                <w:bCs/>
                <w:sz w:val="22"/>
                <w:szCs w:val="22"/>
              </w:rPr>
              <w:t>three</w:t>
            </w:r>
            <w:r w:rsidRPr="00C433D4">
              <w:rPr>
                <w:rFonts w:asciiTheme="minorHAnsi" w:hAnsiTheme="minorHAnsi" w:cstheme="minorHAnsi"/>
                <w:bCs/>
                <w:sz w:val="22"/>
                <w:szCs w:val="22"/>
              </w:rPr>
              <w:t xml:space="preserve"> surveys, </w:t>
            </w:r>
            <w:r>
              <w:rPr>
                <w:rFonts w:asciiTheme="minorHAnsi" w:hAnsiTheme="minorHAnsi" w:cstheme="minorHAnsi"/>
                <w:bCs/>
                <w:sz w:val="22"/>
                <w:szCs w:val="22"/>
              </w:rPr>
              <w:t>and two</w:t>
            </w:r>
            <w:r w:rsidRPr="00C433D4">
              <w:rPr>
                <w:rFonts w:asciiTheme="minorHAnsi" w:hAnsiTheme="minorHAnsi" w:cstheme="minorHAnsi"/>
                <w:bCs/>
                <w:sz w:val="22"/>
                <w:szCs w:val="22"/>
              </w:rPr>
              <w:t xml:space="preserve"> focus group stud</w:t>
            </w:r>
            <w:r>
              <w:rPr>
                <w:rFonts w:asciiTheme="minorHAnsi" w:hAnsiTheme="minorHAnsi" w:cstheme="minorHAnsi"/>
                <w:bCs/>
                <w:sz w:val="22"/>
                <w:szCs w:val="22"/>
              </w:rPr>
              <w:t>ies.</w:t>
            </w:r>
            <w:r w:rsidRPr="00C433D4">
              <w:rPr>
                <w:rFonts w:asciiTheme="minorHAnsi" w:hAnsiTheme="minorHAnsi" w:cstheme="minorHAnsi"/>
                <w:bCs/>
                <w:sz w:val="22"/>
                <w:szCs w:val="22"/>
              </w:rPr>
              <w:t xml:space="preserve"> </w:t>
            </w:r>
          </w:p>
          <w:p w:rsidR="001C1AB8" w:rsidRPr="00C433D4" w:rsidP="003E7362" w14:paraId="2D890394" w14:textId="3DCF9DBE">
            <w:pPr>
              <w:pStyle w:val="ListParagraph"/>
              <w:numPr>
                <w:ilvl w:val="0"/>
                <w:numId w:val="1"/>
              </w:numPr>
              <w:ind w:hanging="270"/>
              <w:rPr>
                <w:rFonts w:asciiTheme="minorHAnsi" w:hAnsiTheme="minorHAnsi" w:cstheme="minorBidi"/>
                <w:sz w:val="22"/>
                <w:szCs w:val="22"/>
              </w:rPr>
            </w:pPr>
            <w:r w:rsidRPr="47135738">
              <w:rPr>
                <w:rFonts w:asciiTheme="minorHAnsi" w:hAnsiTheme="minorHAnsi" w:cstheme="minorBidi"/>
                <w:sz w:val="22"/>
                <w:szCs w:val="22"/>
              </w:rPr>
              <w:t xml:space="preserve">These studies were conducted in Australia, Brazil, Chile, China, and India. </w:t>
            </w:r>
            <w:r w:rsidRPr="47135738" w:rsidR="00D5543C">
              <w:rPr>
                <w:rFonts w:asciiTheme="minorHAnsi" w:hAnsiTheme="minorHAnsi" w:cstheme="minorBidi"/>
                <w:sz w:val="22"/>
                <w:szCs w:val="22"/>
              </w:rPr>
              <w:t>Two</w:t>
            </w:r>
            <w:r w:rsidRPr="47135738">
              <w:rPr>
                <w:rFonts w:asciiTheme="minorHAnsi" w:hAnsiTheme="minorHAnsi" w:cstheme="minorBidi"/>
                <w:sz w:val="22"/>
                <w:szCs w:val="22"/>
              </w:rPr>
              <w:t xml:space="preserve"> of the studies </w:t>
            </w:r>
            <w:r w:rsidRPr="47135738" w:rsidR="00D5543C">
              <w:rPr>
                <w:rFonts w:asciiTheme="minorHAnsi" w:hAnsiTheme="minorHAnsi" w:cstheme="minorBidi"/>
                <w:sz w:val="22"/>
                <w:szCs w:val="22"/>
              </w:rPr>
              <w:t>assessed findings across several countries</w:t>
            </w:r>
            <w:r w:rsidRPr="47135738">
              <w:rPr>
                <w:rFonts w:asciiTheme="minorHAnsi" w:hAnsiTheme="minorHAnsi" w:cstheme="minorBidi"/>
                <w:sz w:val="22"/>
                <w:szCs w:val="22"/>
              </w:rPr>
              <w:t>.</w:t>
            </w:r>
          </w:p>
          <w:p w:rsidR="001C1AB8" w:rsidP="003E7362" w14:paraId="7C5B1FF3" w14:textId="4141C866">
            <w:pPr>
              <w:pStyle w:val="ListParagraph"/>
              <w:numPr>
                <w:ilvl w:val="0"/>
                <w:numId w:val="1"/>
              </w:numPr>
              <w:ind w:hanging="270"/>
              <w:rPr>
                <w:rFonts w:asciiTheme="minorHAnsi" w:hAnsiTheme="minorHAnsi" w:cstheme="minorHAnsi"/>
                <w:bCs/>
                <w:sz w:val="22"/>
                <w:szCs w:val="22"/>
              </w:rPr>
            </w:pPr>
            <w:r>
              <w:rPr>
                <w:rFonts w:asciiTheme="minorHAnsi" w:hAnsiTheme="minorHAnsi" w:cstheme="minorHAnsi"/>
                <w:bCs/>
                <w:sz w:val="22"/>
                <w:szCs w:val="22"/>
              </w:rPr>
              <w:t>FOP</w:t>
            </w:r>
            <w:r w:rsidRPr="00C433D4">
              <w:rPr>
                <w:rFonts w:asciiTheme="minorHAnsi" w:hAnsiTheme="minorHAnsi" w:cstheme="minorHAnsi"/>
                <w:bCs/>
                <w:sz w:val="22"/>
                <w:szCs w:val="22"/>
              </w:rPr>
              <w:t xml:space="preserve"> labeling systems examined in the identified studies includ</w:t>
            </w:r>
            <w:r>
              <w:rPr>
                <w:rFonts w:asciiTheme="minorHAnsi" w:hAnsiTheme="minorHAnsi" w:cstheme="minorHAnsi"/>
                <w:bCs/>
                <w:sz w:val="22"/>
                <w:szCs w:val="22"/>
              </w:rPr>
              <w:t>e</w:t>
            </w:r>
            <w:r w:rsidRPr="00C433D4">
              <w:rPr>
                <w:rFonts w:asciiTheme="minorHAnsi" w:hAnsiTheme="minorHAnsi" w:cstheme="minorHAnsi"/>
                <w:bCs/>
                <w:sz w:val="22"/>
                <w:szCs w:val="22"/>
              </w:rPr>
              <w:t xml:space="preserve"> Health Star Rating, Multiple Traffic Light, </w:t>
            </w:r>
            <w:r w:rsidR="004B6E26">
              <w:rPr>
                <w:rFonts w:asciiTheme="minorHAnsi" w:hAnsiTheme="minorHAnsi" w:cstheme="minorHAnsi"/>
                <w:bCs/>
                <w:sz w:val="22"/>
                <w:szCs w:val="22"/>
              </w:rPr>
              <w:t>Nutri-Score</w:t>
            </w:r>
            <w:r w:rsidRPr="00C433D4">
              <w:rPr>
                <w:rFonts w:asciiTheme="minorHAnsi" w:hAnsiTheme="minorHAnsi" w:cstheme="minorHAnsi"/>
                <w:bCs/>
                <w:sz w:val="22"/>
                <w:szCs w:val="22"/>
              </w:rPr>
              <w:t xml:space="preserve">, </w:t>
            </w:r>
            <w:r>
              <w:rPr>
                <w:rFonts w:asciiTheme="minorHAnsi" w:hAnsiTheme="minorHAnsi" w:cstheme="minorHAnsi"/>
                <w:sz w:val="22"/>
              </w:rPr>
              <w:t>Reference Intakes</w:t>
            </w:r>
            <w:r>
              <w:rPr>
                <w:rFonts w:asciiTheme="minorHAnsi" w:hAnsiTheme="minorHAnsi" w:cstheme="minorHAnsi"/>
                <w:bCs/>
                <w:sz w:val="22"/>
                <w:szCs w:val="22"/>
              </w:rPr>
              <w:t>, Warning Labels, and pictograms (e.g., teaspoons</w:t>
            </w:r>
            <w:r w:rsidR="00F30EDA">
              <w:rPr>
                <w:rFonts w:asciiTheme="minorHAnsi" w:hAnsiTheme="minorHAnsi" w:cstheme="minorHAnsi"/>
                <w:bCs/>
                <w:sz w:val="22"/>
                <w:szCs w:val="22"/>
              </w:rPr>
              <w:t xml:space="preserve"> of sugar</w:t>
            </w:r>
            <w:r>
              <w:rPr>
                <w:rFonts w:asciiTheme="minorHAnsi" w:hAnsiTheme="minorHAnsi" w:cstheme="minorHAnsi"/>
                <w:bCs/>
                <w:sz w:val="22"/>
                <w:szCs w:val="22"/>
              </w:rPr>
              <w:t>).</w:t>
            </w:r>
          </w:p>
          <w:p w:rsidR="001C1AB8" w:rsidP="003E7362" w14:paraId="4EE5AFA7" w14:textId="0C6ACDAB">
            <w:pPr>
              <w:pStyle w:val="ListParagraph"/>
              <w:numPr>
                <w:ilvl w:val="0"/>
                <w:numId w:val="1"/>
              </w:numPr>
              <w:rPr>
                <w:rFonts w:asciiTheme="minorHAnsi" w:hAnsiTheme="minorHAnsi" w:cstheme="minorHAnsi"/>
                <w:bCs/>
                <w:sz w:val="22"/>
                <w:szCs w:val="22"/>
              </w:rPr>
            </w:pPr>
            <w:r>
              <w:rPr>
                <w:rFonts w:asciiTheme="minorHAnsi" w:hAnsiTheme="minorHAnsi" w:cstheme="minorHAnsi"/>
                <w:bCs/>
                <w:sz w:val="22"/>
                <w:szCs w:val="22"/>
              </w:rPr>
              <w:t xml:space="preserve">Although few studies compare participants’ preferences for one type of </w:t>
            </w:r>
            <w:r w:rsidR="004B6E26">
              <w:rPr>
                <w:rFonts w:asciiTheme="minorHAnsi" w:hAnsiTheme="minorHAnsi" w:cstheme="minorHAnsi"/>
                <w:bCs/>
                <w:sz w:val="22"/>
                <w:szCs w:val="22"/>
              </w:rPr>
              <w:t>FOP</w:t>
            </w:r>
            <w:r>
              <w:rPr>
                <w:rFonts w:asciiTheme="minorHAnsi" w:hAnsiTheme="minorHAnsi" w:cstheme="minorHAnsi"/>
                <w:bCs/>
                <w:sz w:val="22"/>
                <w:szCs w:val="22"/>
              </w:rPr>
              <w:t xml:space="preserve"> </w:t>
            </w:r>
            <w:r w:rsidR="00F17DAC">
              <w:rPr>
                <w:rFonts w:asciiTheme="minorHAnsi" w:hAnsiTheme="minorHAnsi" w:cstheme="minorHAnsi"/>
                <w:bCs/>
                <w:sz w:val="22"/>
                <w:szCs w:val="22"/>
              </w:rPr>
              <w:t>scheme</w:t>
            </w:r>
            <w:r>
              <w:rPr>
                <w:rFonts w:asciiTheme="minorHAnsi" w:hAnsiTheme="minorHAnsi" w:cstheme="minorHAnsi"/>
                <w:bCs/>
                <w:sz w:val="22"/>
                <w:szCs w:val="22"/>
              </w:rPr>
              <w:t xml:space="preserve"> to another, one study (Bhattacharya, 2022) that compared five </w:t>
            </w:r>
            <w:r w:rsidR="004B6E26">
              <w:rPr>
                <w:rFonts w:asciiTheme="minorHAnsi" w:hAnsiTheme="minorHAnsi" w:cstheme="minorHAnsi"/>
                <w:bCs/>
                <w:sz w:val="22"/>
                <w:szCs w:val="22"/>
              </w:rPr>
              <w:t>FOP</w:t>
            </w:r>
            <w:r w:rsidR="005423FC">
              <w:rPr>
                <w:rFonts w:asciiTheme="minorHAnsi" w:hAnsiTheme="minorHAnsi" w:cstheme="minorHAnsi"/>
                <w:bCs/>
                <w:sz w:val="22"/>
                <w:szCs w:val="22"/>
              </w:rPr>
              <w:t xml:space="preserve"> scheme</w:t>
            </w:r>
            <w:r>
              <w:rPr>
                <w:rFonts w:asciiTheme="minorHAnsi" w:hAnsiTheme="minorHAnsi" w:cstheme="minorHAnsi"/>
                <w:bCs/>
                <w:sz w:val="22"/>
                <w:szCs w:val="22"/>
              </w:rPr>
              <w:t>s found</w:t>
            </w:r>
            <w:r w:rsidR="00AB7D72">
              <w:rPr>
                <w:rFonts w:asciiTheme="minorHAnsi" w:hAnsiTheme="minorHAnsi" w:cstheme="minorHAnsi"/>
                <w:bCs/>
                <w:sz w:val="22"/>
                <w:szCs w:val="22"/>
              </w:rPr>
              <w:t xml:space="preserve"> Warning Labels </w:t>
            </w:r>
            <w:r>
              <w:rPr>
                <w:rFonts w:asciiTheme="minorHAnsi" w:hAnsiTheme="minorHAnsi" w:cstheme="minorHAnsi"/>
                <w:bCs/>
                <w:sz w:val="22"/>
                <w:szCs w:val="22"/>
              </w:rPr>
              <w:t xml:space="preserve">to be the most preferred, followed by </w:t>
            </w:r>
            <w:r w:rsidR="00F1351A">
              <w:rPr>
                <w:rFonts w:asciiTheme="minorHAnsi" w:hAnsiTheme="minorHAnsi" w:cstheme="minorHAnsi"/>
                <w:bCs/>
                <w:sz w:val="22"/>
                <w:szCs w:val="22"/>
              </w:rPr>
              <w:t>Multiple Traffic Lights</w:t>
            </w:r>
            <w:r>
              <w:rPr>
                <w:rFonts w:asciiTheme="minorHAnsi" w:hAnsiTheme="minorHAnsi" w:cstheme="minorHAnsi"/>
                <w:bCs/>
                <w:sz w:val="22"/>
                <w:szCs w:val="22"/>
              </w:rPr>
              <w:t xml:space="preserve">. </w:t>
            </w:r>
          </w:p>
          <w:p w:rsidR="001C1AB8" w:rsidP="003E7362" w14:paraId="5C90759B" w14:textId="13B1C8E0">
            <w:pPr>
              <w:pStyle w:val="ListParagraph"/>
              <w:numPr>
                <w:ilvl w:val="0"/>
                <w:numId w:val="1"/>
              </w:numPr>
              <w:rPr>
                <w:rFonts w:asciiTheme="minorHAnsi" w:hAnsiTheme="minorHAnsi" w:cstheme="minorBidi"/>
                <w:sz w:val="22"/>
                <w:szCs w:val="22"/>
              </w:rPr>
            </w:pPr>
            <w:r w:rsidRPr="79021091">
              <w:rPr>
                <w:rFonts w:asciiTheme="minorHAnsi" w:hAnsiTheme="minorHAnsi" w:cstheme="minorBidi"/>
                <w:sz w:val="22"/>
                <w:szCs w:val="22"/>
              </w:rPr>
              <w:t xml:space="preserve">In studies comparing different types of </w:t>
            </w:r>
            <w:r w:rsidR="00AB7D72">
              <w:rPr>
                <w:rFonts w:asciiTheme="minorHAnsi" w:hAnsiTheme="minorHAnsi" w:cstheme="minorBidi"/>
                <w:sz w:val="22"/>
                <w:szCs w:val="22"/>
              </w:rPr>
              <w:t>Warning Labels</w:t>
            </w:r>
            <w:r w:rsidRPr="79021091">
              <w:rPr>
                <w:rFonts w:asciiTheme="minorHAnsi" w:hAnsiTheme="minorHAnsi" w:cstheme="minorBidi"/>
                <w:sz w:val="22"/>
                <w:szCs w:val="22"/>
              </w:rPr>
              <w:t xml:space="preserve">, one study (Khandpur, 2022) found triangular warning labels to be more useful than those displayed with a magnifying glass, while another (Mazzonetto, 2022) found that most participants preferred black </w:t>
            </w:r>
            <w:r w:rsidRPr="79021091" w:rsidR="77FABC36">
              <w:rPr>
                <w:rFonts w:asciiTheme="minorHAnsi" w:hAnsiTheme="minorHAnsi" w:cstheme="minorBidi"/>
                <w:sz w:val="22"/>
                <w:szCs w:val="22"/>
              </w:rPr>
              <w:t>rather than</w:t>
            </w:r>
            <w:r w:rsidRPr="79021091" w:rsidR="77FABC36">
              <w:rPr>
                <w:rFonts w:asciiTheme="minorHAnsi" w:hAnsiTheme="minorHAnsi" w:cstheme="minorBidi"/>
                <w:sz w:val="22"/>
                <w:szCs w:val="22"/>
              </w:rPr>
              <w:t xml:space="preserve"> </w:t>
            </w:r>
            <w:r w:rsidR="00D105D9">
              <w:rPr>
                <w:rFonts w:asciiTheme="minorHAnsi" w:hAnsiTheme="minorHAnsi" w:cstheme="minorBidi"/>
                <w:sz w:val="22"/>
                <w:szCs w:val="22"/>
              </w:rPr>
              <w:t xml:space="preserve">red </w:t>
            </w:r>
            <w:r w:rsidRPr="79021091">
              <w:rPr>
                <w:rFonts w:asciiTheme="minorHAnsi" w:hAnsiTheme="minorHAnsi" w:cstheme="minorBidi"/>
                <w:sz w:val="22"/>
                <w:szCs w:val="22"/>
              </w:rPr>
              <w:t>warning labels regardless of shape.</w:t>
            </w:r>
          </w:p>
          <w:p w:rsidR="001C1AB8" w:rsidP="003E7362" w14:paraId="2CFC9047" w14:textId="77777777">
            <w:pPr>
              <w:pStyle w:val="ListParagraph"/>
              <w:numPr>
                <w:ilvl w:val="0"/>
                <w:numId w:val="1"/>
              </w:numPr>
              <w:rPr>
                <w:rFonts w:asciiTheme="minorHAnsi" w:hAnsiTheme="minorHAnsi" w:cstheme="minorHAnsi"/>
                <w:bCs/>
                <w:sz w:val="22"/>
                <w:szCs w:val="22"/>
              </w:rPr>
            </w:pPr>
            <w:r>
              <w:rPr>
                <w:rFonts w:asciiTheme="minorHAnsi" w:hAnsiTheme="minorHAnsi" w:cstheme="minorHAnsi"/>
                <w:bCs/>
                <w:sz w:val="22"/>
                <w:szCs w:val="22"/>
              </w:rPr>
              <w:t>Labels communicating teaspoons of sugar, whether in text or pictograms, were perceived as highly factual, relatable, and interpretable, and as having the most potential to influence attitudes and intentions (Miller, 2022b).</w:t>
            </w:r>
          </w:p>
          <w:p w:rsidR="001C1AB8" w:rsidP="003E7362" w14:paraId="7037CCE1" w14:textId="2617C22D">
            <w:pPr>
              <w:pStyle w:val="ListParagraph"/>
              <w:numPr>
                <w:ilvl w:val="0"/>
                <w:numId w:val="1"/>
              </w:numPr>
              <w:rPr>
                <w:rFonts w:asciiTheme="minorHAnsi" w:hAnsiTheme="minorHAnsi" w:cstheme="minorHAnsi"/>
                <w:bCs/>
                <w:sz w:val="22"/>
                <w:szCs w:val="22"/>
              </w:rPr>
            </w:pPr>
            <w:r>
              <w:rPr>
                <w:rFonts w:asciiTheme="minorHAnsi" w:hAnsiTheme="minorHAnsi" w:cstheme="minorHAnsi"/>
                <w:bCs/>
                <w:sz w:val="22"/>
                <w:szCs w:val="22"/>
              </w:rPr>
              <w:t xml:space="preserve">One study (Septia Irawan, 2022) analyzed Twitter posts concerning </w:t>
            </w:r>
            <w:r w:rsidR="004B6E26">
              <w:rPr>
                <w:rFonts w:asciiTheme="minorHAnsi" w:hAnsiTheme="minorHAnsi" w:cstheme="minorHAnsi"/>
                <w:bCs/>
                <w:sz w:val="22"/>
                <w:szCs w:val="22"/>
              </w:rPr>
              <w:t>FOP</w:t>
            </w:r>
            <w:r w:rsidR="00CA560D">
              <w:rPr>
                <w:rFonts w:asciiTheme="minorHAnsi" w:hAnsiTheme="minorHAnsi" w:cstheme="minorHAnsi"/>
                <w:bCs/>
                <w:sz w:val="22"/>
                <w:szCs w:val="22"/>
              </w:rPr>
              <w:t xml:space="preserve"> label</w:t>
            </w:r>
            <w:r>
              <w:rPr>
                <w:rFonts w:asciiTheme="minorHAnsi" w:hAnsiTheme="minorHAnsi" w:cstheme="minorHAnsi"/>
                <w:bCs/>
                <w:sz w:val="22"/>
                <w:szCs w:val="22"/>
              </w:rPr>
              <w:t xml:space="preserve">s, and found that the discussion was very limited; </w:t>
            </w:r>
            <w:r w:rsidR="004B6E26">
              <w:rPr>
                <w:rFonts w:asciiTheme="minorHAnsi" w:hAnsiTheme="minorHAnsi" w:cstheme="minorHAnsi"/>
                <w:bCs/>
                <w:sz w:val="22"/>
                <w:szCs w:val="22"/>
              </w:rPr>
              <w:t>N</w:t>
            </w:r>
            <w:r w:rsidR="00F1351A">
              <w:rPr>
                <w:rFonts w:asciiTheme="minorHAnsi" w:hAnsiTheme="minorHAnsi" w:cstheme="minorHAnsi"/>
                <w:bCs/>
                <w:sz w:val="22"/>
                <w:szCs w:val="22"/>
              </w:rPr>
              <w:t>utri-Score</w:t>
            </w:r>
            <w:r>
              <w:rPr>
                <w:rFonts w:asciiTheme="minorHAnsi" w:hAnsiTheme="minorHAnsi" w:cstheme="minorHAnsi"/>
                <w:bCs/>
                <w:sz w:val="22"/>
                <w:szCs w:val="22"/>
              </w:rPr>
              <w:t xml:space="preserve"> was mentioned most often but with conflicting sentiments. Authors concluded that education programs are needed to educate consumers </w:t>
            </w:r>
            <w:r>
              <w:rPr>
                <w:rFonts w:asciiTheme="minorHAnsi" w:hAnsiTheme="minorHAnsi" w:cstheme="minorHAnsi"/>
                <w:bCs/>
                <w:sz w:val="22"/>
                <w:szCs w:val="22"/>
              </w:rPr>
              <w:t>in order for</w:t>
            </w:r>
            <w:r>
              <w:rPr>
                <w:rFonts w:asciiTheme="minorHAnsi" w:hAnsiTheme="minorHAnsi" w:cstheme="minorHAnsi"/>
                <w:bCs/>
                <w:sz w:val="22"/>
                <w:szCs w:val="22"/>
              </w:rPr>
              <w:t xml:space="preserve"> </w:t>
            </w:r>
            <w:r w:rsidR="004B6E26">
              <w:rPr>
                <w:rFonts w:asciiTheme="minorHAnsi" w:hAnsiTheme="minorHAnsi" w:cstheme="minorHAnsi"/>
                <w:bCs/>
                <w:sz w:val="22"/>
                <w:szCs w:val="22"/>
              </w:rPr>
              <w:t>FOP</w:t>
            </w:r>
            <w:r w:rsidR="006D5E78">
              <w:rPr>
                <w:rFonts w:asciiTheme="minorHAnsi" w:hAnsiTheme="minorHAnsi" w:cstheme="minorHAnsi"/>
                <w:bCs/>
                <w:sz w:val="22"/>
                <w:szCs w:val="22"/>
              </w:rPr>
              <w:t xml:space="preserve"> label</w:t>
            </w:r>
            <w:r>
              <w:rPr>
                <w:rFonts w:asciiTheme="minorHAnsi" w:hAnsiTheme="minorHAnsi" w:cstheme="minorHAnsi"/>
                <w:bCs/>
                <w:sz w:val="22"/>
                <w:szCs w:val="22"/>
              </w:rPr>
              <w:t>s to be useful</w:t>
            </w:r>
            <w:r w:rsidRPr="005E4341">
              <w:rPr>
                <w:rFonts w:asciiTheme="minorHAnsi" w:hAnsiTheme="minorHAnsi" w:cstheme="minorHAnsi"/>
                <w:bCs/>
                <w:sz w:val="22"/>
                <w:szCs w:val="22"/>
              </w:rPr>
              <w:t>.</w:t>
            </w:r>
          </w:p>
          <w:p w:rsidR="001C1AB8" w:rsidRPr="005E4341" w:rsidP="003E7362" w14:paraId="27BBD2D2" w14:textId="6F4AF8E0">
            <w:pPr>
              <w:pStyle w:val="ListParagraph"/>
              <w:numPr>
                <w:ilvl w:val="0"/>
                <w:numId w:val="1"/>
              </w:numPr>
              <w:rPr>
                <w:rFonts w:asciiTheme="minorHAnsi" w:hAnsiTheme="minorHAnsi" w:cstheme="minorHAnsi"/>
                <w:bCs/>
                <w:sz w:val="22"/>
                <w:szCs w:val="22"/>
              </w:rPr>
            </w:pPr>
            <w:r>
              <w:rPr>
                <w:rFonts w:asciiTheme="minorHAnsi" w:hAnsiTheme="minorHAnsi" w:cstheme="minorHAnsi"/>
                <w:bCs/>
                <w:sz w:val="22"/>
                <w:szCs w:val="22"/>
              </w:rPr>
              <w:t xml:space="preserve">A study on stakeholder and consumer perspectives on </w:t>
            </w:r>
            <w:r w:rsidR="004B6E26">
              <w:rPr>
                <w:rFonts w:asciiTheme="minorHAnsi" w:hAnsiTheme="minorHAnsi" w:cstheme="minorHAnsi"/>
                <w:bCs/>
                <w:sz w:val="22"/>
                <w:szCs w:val="22"/>
              </w:rPr>
              <w:t>FOP</w:t>
            </w:r>
            <w:r>
              <w:rPr>
                <w:rFonts w:asciiTheme="minorHAnsi" w:hAnsiTheme="minorHAnsi" w:cstheme="minorHAnsi"/>
                <w:bCs/>
                <w:sz w:val="22"/>
                <w:szCs w:val="22"/>
              </w:rPr>
              <w:t xml:space="preserve"> schemes (Xuejun, 2022) revealed the complexity of reaching consensus for </w:t>
            </w:r>
            <w:r w:rsidR="004B6E26">
              <w:rPr>
                <w:rFonts w:asciiTheme="minorHAnsi" w:hAnsiTheme="minorHAnsi" w:cstheme="minorHAnsi"/>
                <w:bCs/>
                <w:sz w:val="22"/>
                <w:szCs w:val="22"/>
              </w:rPr>
              <w:t>FOP</w:t>
            </w:r>
            <w:r w:rsidR="006D5E78">
              <w:rPr>
                <w:rFonts w:asciiTheme="minorHAnsi" w:hAnsiTheme="minorHAnsi" w:cstheme="minorHAnsi"/>
                <w:bCs/>
                <w:sz w:val="22"/>
                <w:szCs w:val="22"/>
              </w:rPr>
              <w:t xml:space="preserve"> scheme</w:t>
            </w:r>
            <w:r>
              <w:rPr>
                <w:rFonts w:asciiTheme="minorHAnsi" w:hAnsiTheme="minorHAnsi" w:cstheme="minorHAnsi"/>
                <w:bCs/>
                <w:sz w:val="22"/>
                <w:szCs w:val="22"/>
              </w:rPr>
              <w:t xml:space="preserve">s, and that major barriers include agreement on </w:t>
            </w:r>
            <w:r w:rsidR="004B6E26">
              <w:rPr>
                <w:rFonts w:asciiTheme="minorHAnsi" w:hAnsiTheme="minorHAnsi" w:cstheme="minorHAnsi"/>
                <w:bCs/>
                <w:sz w:val="22"/>
                <w:szCs w:val="22"/>
              </w:rPr>
              <w:t>FOP</w:t>
            </w:r>
            <w:r>
              <w:rPr>
                <w:rFonts w:asciiTheme="minorHAnsi" w:hAnsiTheme="minorHAnsi" w:cstheme="minorHAnsi"/>
                <w:bCs/>
                <w:sz w:val="22"/>
                <w:szCs w:val="22"/>
              </w:rPr>
              <w:t xml:space="preserve"> format and the limited knowledge of FOP labelling, pointing again to the need for educating consumers.</w:t>
            </w:r>
          </w:p>
          <w:p w:rsidR="001C1AB8" w:rsidRPr="00C433D4" w:rsidP="003E7362" w14:paraId="6B937829" w14:textId="77777777">
            <w:pPr>
              <w:pStyle w:val="ListParagraph"/>
              <w:ind w:left="270"/>
              <w:rPr>
                <w:rFonts w:asciiTheme="minorHAnsi" w:hAnsiTheme="minorHAnsi" w:cstheme="minorHAnsi"/>
                <w:bCs/>
                <w:sz w:val="22"/>
                <w:szCs w:val="22"/>
              </w:rPr>
            </w:pPr>
          </w:p>
          <w:p w:rsidR="001C1AB8" w:rsidRPr="00C433D4" w:rsidP="00C8679F" w14:paraId="1375ADBD" w14:textId="0929F96C">
            <w:pPr>
              <w:rPr>
                <w:rFonts w:asciiTheme="minorHAnsi" w:hAnsiTheme="minorHAnsi" w:cstheme="minorBidi"/>
                <w:sz w:val="22"/>
                <w:szCs w:val="22"/>
              </w:rPr>
            </w:pPr>
            <w:r w:rsidRPr="24294E5F">
              <w:rPr>
                <w:rFonts w:asciiTheme="minorHAnsi" w:hAnsiTheme="minorHAnsi" w:cstheme="minorBidi"/>
                <w:b/>
                <w:sz w:val="22"/>
                <w:szCs w:val="22"/>
              </w:rPr>
              <w:t>Conclusion:</w:t>
            </w:r>
            <w:r w:rsidRPr="24294E5F">
              <w:rPr>
                <w:rFonts w:asciiTheme="minorHAnsi" w:hAnsiTheme="minorHAnsi" w:cstheme="minorBidi"/>
                <w:sz w:val="22"/>
                <w:szCs w:val="22"/>
              </w:rPr>
              <w:t xml:space="preserve"> </w:t>
            </w:r>
            <w:r w:rsidRPr="24294E5F" w:rsidR="00C8679F">
              <w:rPr>
                <w:rFonts w:asciiTheme="minorHAnsi" w:hAnsiTheme="minorHAnsi" w:cstheme="minorBidi"/>
                <w:sz w:val="22"/>
                <w:szCs w:val="22"/>
              </w:rPr>
              <w:t xml:space="preserve">These current findings reinforce the </w:t>
            </w:r>
            <w:r w:rsidR="00940046">
              <w:rPr>
                <w:rFonts w:asciiTheme="minorHAnsi" w:hAnsiTheme="minorHAnsi" w:cstheme="minorBidi"/>
                <w:sz w:val="22"/>
                <w:szCs w:val="22"/>
              </w:rPr>
              <w:t xml:space="preserve">earlier </w:t>
            </w:r>
            <w:r w:rsidR="009C7D77">
              <w:rPr>
                <w:rFonts w:asciiTheme="minorHAnsi" w:hAnsiTheme="minorHAnsi" w:cstheme="minorBidi"/>
                <w:sz w:val="22"/>
                <w:szCs w:val="22"/>
              </w:rPr>
              <w:t>finding</w:t>
            </w:r>
            <w:r w:rsidRPr="24294E5F" w:rsidR="00C8679F">
              <w:rPr>
                <w:rFonts w:asciiTheme="minorHAnsi" w:hAnsiTheme="minorHAnsi" w:cstheme="minorBidi"/>
                <w:sz w:val="22"/>
                <w:szCs w:val="22"/>
              </w:rPr>
              <w:t xml:space="preserve"> that consumers prefer labels that convey a clear message. However, a</w:t>
            </w:r>
            <w:r w:rsidRPr="24294E5F">
              <w:rPr>
                <w:rFonts w:asciiTheme="minorHAnsi" w:hAnsiTheme="minorHAnsi" w:cstheme="minorBidi"/>
                <w:sz w:val="22"/>
                <w:szCs w:val="22"/>
              </w:rPr>
              <w:t xml:space="preserve">s with previous reviews, results from these recent studies reveal that </w:t>
            </w:r>
            <w:r w:rsidR="00CA6C26">
              <w:rPr>
                <w:rFonts w:asciiTheme="minorHAnsi" w:hAnsiTheme="minorHAnsi" w:cstheme="minorBidi"/>
                <w:sz w:val="22"/>
                <w:szCs w:val="22"/>
              </w:rPr>
              <w:t xml:space="preserve">the literature </w:t>
            </w:r>
            <w:r w:rsidR="00D46358">
              <w:rPr>
                <w:rFonts w:asciiTheme="minorHAnsi" w:hAnsiTheme="minorHAnsi" w:cstheme="minorBidi"/>
                <w:sz w:val="22"/>
                <w:szCs w:val="22"/>
              </w:rPr>
              <w:t>is not conclusive about consumer preferences</w:t>
            </w:r>
            <w:r w:rsidR="00960479">
              <w:rPr>
                <w:rFonts w:asciiTheme="minorHAnsi" w:hAnsiTheme="minorHAnsi" w:cstheme="minorBidi"/>
                <w:sz w:val="22"/>
                <w:szCs w:val="22"/>
              </w:rPr>
              <w:t xml:space="preserve"> </w:t>
            </w:r>
            <w:r w:rsidR="00E25727">
              <w:rPr>
                <w:rFonts w:asciiTheme="minorHAnsi" w:hAnsiTheme="minorHAnsi" w:cstheme="minorBidi"/>
                <w:sz w:val="22"/>
                <w:szCs w:val="22"/>
              </w:rPr>
              <w:t xml:space="preserve">on </w:t>
            </w:r>
            <w:r w:rsidR="00960479">
              <w:rPr>
                <w:rFonts w:asciiTheme="minorHAnsi" w:hAnsiTheme="minorHAnsi" w:cstheme="minorBidi"/>
                <w:sz w:val="22"/>
                <w:szCs w:val="22"/>
              </w:rPr>
              <w:t>FOP scheme</w:t>
            </w:r>
            <w:r w:rsidR="00E25727">
              <w:rPr>
                <w:rFonts w:asciiTheme="minorHAnsi" w:hAnsiTheme="minorHAnsi" w:cstheme="minorBidi"/>
                <w:sz w:val="22"/>
                <w:szCs w:val="22"/>
              </w:rPr>
              <w:t>s</w:t>
            </w:r>
            <w:r w:rsidRPr="24294E5F">
              <w:rPr>
                <w:rFonts w:asciiTheme="minorHAnsi" w:hAnsiTheme="minorHAnsi" w:cstheme="minorBidi"/>
                <w:sz w:val="22"/>
                <w:szCs w:val="22"/>
              </w:rPr>
              <w:t xml:space="preserve">. </w:t>
            </w:r>
          </w:p>
        </w:tc>
      </w:tr>
      <w:tr w14:paraId="54CDA0A1" w14:textId="77777777" w:rsidTr="47135738">
        <w:tblPrEx>
          <w:tblW w:w="0" w:type="auto"/>
          <w:tblInd w:w="-5" w:type="dxa"/>
          <w:tblLook w:val="04A0"/>
        </w:tblPrEx>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1AB8" w:rsidP="003E7362" w14:paraId="4E2B6EA8" w14:textId="77777777">
            <w:pPr>
              <w:rPr>
                <w:b/>
                <w:sz w:val="24"/>
                <w:szCs w:val="24"/>
              </w:rPr>
            </w:pPr>
          </w:p>
          <w:p w:rsidR="001C1AB8" w:rsidP="003E7362" w14:paraId="73410F4D" w14:textId="77777777">
            <w:pPr>
              <w:rPr>
                <w:b/>
                <w:sz w:val="24"/>
                <w:szCs w:val="24"/>
              </w:rPr>
            </w:pPr>
            <w:r w:rsidRPr="00354656">
              <w:rPr>
                <w:b/>
                <w:sz w:val="24"/>
                <w:szCs w:val="24"/>
              </w:rPr>
              <w:t>Understanding</w:t>
            </w:r>
          </w:p>
          <w:p w:rsidR="001C1AB8" w:rsidP="003E7362" w14:paraId="21F4E8DF" w14:textId="77777777">
            <w:pPr>
              <w:rPr>
                <w:b/>
                <w:sz w:val="24"/>
                <w:szCs w:val="24"/>
              </w:rPr>
            </w:pPr>
          </w:p>
          <w:p w:rsidR="001C1AB8" w:rsidP="003E7362" w14:paraId="4B967C11" w14:textId="77777777">
            <w:pPr>
              <w:rPr>
                <w:rFonts w:asciiTheme="minorHAnsi" w:hAnsiTheme="minorHAnsi" w:cstheme="minorHAnsi"/>
                <w:b/>
                <w:sz w:val="24"/>
                <w:szCs w:val="24"/>
              </w:rPr>
            </w:pP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1AB8" w:rsidRPr="00942E38" w:rsidP="003E7362" w14:paraId="672275D6" w14:textId="77777777">
            <w:pPr>
              <w:pStyle w:val="ListParagraph"/>
              <w:numPr>
                <w:ilvl w:val="0"/>
                <w:numId w:val="3"/>
              </w:numPr>
              <w:rPr>
                <w:rFonts w:asciiTheme="minorHAnsi" w:hAnsiTheme="minorHAnsi" w:cstheme="minorHAnsi"/>
                <w:sz w:val="22"/>
                <w:szCs w:val="22"/>
              </w:rPr>
            </w:pPr>
            <w:r w:rsidRPr="00942E38">
              <w:rPr>
                <w:rFonts w:asciiTheme="minorHAnsi" w:hAnsiTheme="minorHAnsi" w:cstheme="minorHAnsi"/>
                <w:sz w:val="22"/>
                <w:szCs w:val="22"/>
              </w:rPr>
              <w:t xml:space="preserve">Our review identified </w:t>
            </w:r>
            <w:r>
              <w:rPr>
                <w:rFonts w:asciiTheme="minorHAnsi" w:hAnsiTheme="minorHAnsi" w:cstheme="minorHAnsi"/>
                <w:sz w:val="22"/>
                <w:szCs w:val="22"/>
              </w:rPr>
              <w:t>16</w:t>
            </w:r>
            <w:r w:rsidRPr="00942E38">
              <w:rPr>
                <w:rFonts w:asciiTheme="minorHAnsi" w:hAnsiTheme="minorHAnsi" w:cstheme="minorHAnsi"/>
                <w:sz w:val="22"/>
                <w:szCs w:val="22"/>
              </w:rPr>
              <w:t xml:space="preserve"> studies in this category, with </w:t>
            </w:r>
            <w:r>
              <w:rPr>
                <w:rFonts w:asciiTheme="minorHAnsi" w:hAnsiTheme="minorHAnsi" w:cstheme="minorHAnsi"/>
                <w:sz w:val="22"/>
                <w:szCs w:val="22"/>
              </w:rPr>
              <w:t>two</w:t>
            </w:r>
            <w:r w:rsidRPr="00942E38">
              <w:rPr>
                <w:rFonts w:asciiTheme="minorHAnsi" w:hAnsiTheme="minorHAnsi" w:cstheme="minorHAnsi"/>
                <w:sz w:val="22"/>
                <w:szCs w:val="22"/>
              </w:rPr>
              <w:t xml:space="preserve"> expe</w:t>
            </w:r>
            <w:r>
              <w:rPr>
                <w:rFonts w:asciiTheme="minorHAnsi" w:hAnsiTheme="minorHAnsi" w:cstheme="minorHAnsi"/>
                <w:sz w:val="22"/>
                <w:szCs w:val="22"/>
              </w:rPr>
              <w:t>rimental studies and 14 surveys.</w:t>
            </w:r>
          </w:p>
          <w:p w:rsidR="001C1AB8" w:rsidRPr="00942E38" w:rsidP="003E7362" w14:paraId="300F6E88" w14:textId="52ABC64D">
            <w:pPr>
              <w:pStyle w:val="ListParagraph"/>
              <w:numPr>
                <w:ilvl w:val="0"/>
                <w:numId w:val="3"/>
              </w:numPr>
              <w:rPr>
                <w:rFonts w:asciiTheme="minorHAnsi" w:hAnsiTheme="minorHAnsi" w:cstheme="minorBidi"/>
                <w:sz w:val="22"/>
                <w:szCs w:val="22"/>
              </w:rPr>
            </w:pPr>
            <w:r w:rsidRPr="1C5E0CCA">
              <w:rPr>
                <w:rFonts w:asciiTheme="minorHAnsi" w:hAnsiTheme="minorHAnsi" w:cstheme="minorBidi"/>
                <w:sz w:val="22"/>
                <w:szCs w:val="22"/>
              </w:rPr>
              <w:t xml:space="preserve">These studies were conducted in Australia, Brazil, Canada, Chile, China, Ecuador, Greece, Mexico, Netherlands, Slovenia, South Africa, Spain, the United Kingdom, and the United States. Three studies </w:t>
            </w:r>
            <w:r w:rsidR="005F7478">
              <w:rPr>
                <w:rFonts w:asciiTheme="minorHAnsi" w:hAnsiTheme="minorHAnsi" w:cstheme="minorBidi"/>
                <w:sz w:val="22"/>
                <w:szCs w:val="22"/>
              </w:rPr>
              <w:t>assessed findings across several countries</w:t>
            </w:r>
            <w:r w:rsidRPr="1C5E0CCA">
              <w:rPr>
                <w:rFonts w:asciiTheme="minorHAnsi" w:hAnsiTheme="minorHAnsi" w:cstheme="minorBidi"/>
                <w:sz w:val="22"/>
                <w:szCs w:val="22"/>
              </w:rPr>
              <w:t>.</w:t>
            </w:r>
          </w:p>
          <w:p w:rsidR="001C1AB8" w:rsidRPr="00942E38" w:rsidP="1D57B863" w14:paraId="5B101E70" w14:textId="15E867EE">
            <w:pPr>
              <w:pStyle w:val="ListParagraph"/>
              <w:numPr>
                <w:ilvl w:val="0"/>
                <w:numId w:val="3"/>
              </w:numPr>
              <w:rPr>
                <w:rFonts w:asciiTheme="minorHAnsi" w:hAnsiTheme="minorHAnsi" w:cstheme="minorBidi"/>
                <w:sz w:val="22"/>
                <w:szCs w:val="22"/>
              </w:rPr>
            </w:pPr>
            <w:r w:rsidRPr="1D57B863">
              <w:rPr>
                <w:rFonts w:asciiTheme="minorHAnsi" w:hAnsiTheme="minorHAnsi" w:cstheme="minorBidi"/>
                <w:sz w:val="22"/>
                <w:szCs w:val="22"/>
              </w:rPr>
              <w:t>FOP</w:t>
            </w:r>
            <w:r w:rsidRPr="1D57B863" w:rsidR="0109B70A">
              <w:rPr>
                <w:rFonts w:asciiTheme="minorHAnsi" w:hAnsiTheme="minorHAnsi" w:cstheme="minorBidi"/>
                <w:sz w:val="22"/>
                <w:szCs w:val="22"/>
              </w:rPr>
              <w:t xml:space="preserve"> systems examined in the identified studies include Health Star Rating, Multiple Traffic Light, </w:t>
            </w:r>
            <w:r w:rsidRPr="1D57B863">
              <w:rPr>
                <w:rFonts w:asciiTheme="minorHAnsi" w:hAnsiTheme="minorHAnsi" w:cstheme="minorBidi"/>
                <w:sz w:val="22"/>
                <w:szCs w:val="22"/>
              </w:rPr>
              <w:t>Nutri-Score</w:t>
            </w:r>
            <w:r w:rsidRPr="1D57B863" w:rsidR="0109B70A">
              <w:rPr>
                <w:rFonts w:asciiTheme="minorHAnsi" w:hAnsiTheme="minorHAnsi" w:cstheme="minorBidi"/>
                <w:sz w:val="22"/>
                <w:szCs w:val="22"/>
              </w:rPr>
              <w:t>, Positive Choice tick</w:t>
            </w:r>
            <w:r w:rsidRPr="1D57B863" w:rsidR="75D450E8">
              <w:rPr>
                <w:rFonts w:asciiTheme="minorHAnsi" w:hAnsiTheme="minorHAnsi" w:cstheme="minorBidi"/>
                <w:sz w:val="22"/>
                <w:szCs w:val="22"/>
              </w:rPr>
              <w:t>,</w:t>
            </w:r>
            <w:r w:rsidRPr="1D57B863" w:rsidR="0109B70A">
              <w:rPr>
                <w:rFonts w:asciiTheme="minorHAnsi" w:hAnsiTheme="minorHAnsi" w:cstheme="minorBidi"/>
                <w:sz w:val="22"/>
                <w:szCs w:val="22"/>
              </w:rPr>
              <w:t xml:space="preserve"> Reference Intakes, Warning Labels</w:t>
            </w:r>
            <w:r w:rsidRPr="1D57B863" w:rsidR="6F3E31E4">
              <w:rPr>
                <w:rFonts w:asciiTheme="minorHAnsi" w:hAnsiTheme="minorHAnsi" w:cstheme="minorBidi"/>
                <w:sz w:val="22"/>
                <w:szCs w:val="22"/>
              </w:rPr>
              <w:t>,</w:t>
            </w:r>
            <w:r w:rsidRPr="1D57B863" w:rsidR="0109B70A">
              <w:rPr>
                <w:rFonts w:asciiTheme="minorHAnsi" w:hAnsiTheme="minorHAnsi" w:cstheme="minorBidi"/>
                <w:sz w:val="22"/>
                <w:szCs w:val="22"/>
              </w:rPr>
              <w:t xml:space="preserve"> health logos</w:t>
            </w:r>
            <w:r w:rsidRPr="1D57B863" w:rsidR="6AFF4332">
              <w:rPr>
                <w:rFonts w:asciiTheme="minorHAnsi" w:hAnsiTheme="minorHAnsi" w:cstheme="minorBidi"/>
                <w:sz w:val="22"/>
                <w:szCs w:val="22"/>
              </w:rPr>
              <w:t>, and</w:t>
            </w:r>
            <w:r w:rsidRPr="1D57B863" w:rsidR="0109B70A">
              <w:rPr>
                <w:rFonts w:asciiTheme="minorHAnsi" w:hAnsiTheme="minorHAnsi" w:cstheme="minorBidi"/>
                <w:sz w:val="22"/>
                <w:szCs w:val="22"/>
              </w:rPr>
              <w:t xml:space="preserve"> </w:t>
            </w:r>
            <w:r w:rsidRPr="1D57B863" w:rsidR="0056C0B7">
              <w:rPr>
                <w:rFonts w:asciiTheme="minorHAnsi" w:hAnsiTheme="minorHAnsi" w:cstheme="minorBidi"/>
                <w:sz w:val="22"/>
                <w:szCs w:val="22"/>
              </w:rPr>
              <w:t>NutrInform Battery</w:t>
            </w:r>
            <w:r w:rsidRPr="1D57B863" w:rsidR="3E0C1EBD">
              <w:rPr>
                <w:rFonts w:asciiTheme="minorHAnsi" w:hAnsiTheme="minorHAnsi" w:cstheme="minorBidi"/>
                <w:sz w:val="22"/>
                <w:szCs w:val="22"/>
              </w:rPr>
              <w:t xml:space="preserve"> which has been proposed as an alternative to the EU’s Nutri-Score scheme.</w:t>
            </w:r>
          </w:p>
          <w:p w:rsidR="001C1AB8" w:rsidRPr="00FB5461" w:rsidP="00C8679F" w14:paraId="23DDE7C9" w14:textId="09C06094">
            <w:pPr>
              <w:pStyle w:val="ListParagraph"/>
              <w:numPr>
                <w:ilvl w:val="0"/>
                <w:numId w:val="3"/>
              </w:numPr>
              <w:rPr>
                <w:rFonts w:asciiTheme="minorHAnsi" w:hAnsiTheme="minorHAnsi" w:cstheme="minorBidi"/>
                <w:sz w:val="22"/>
                <w:szCs w:val="22"/>
              </w:rPr>
            </w:pPr>
            <w:r w:rsidRPr="1C5E0CCA">
              <w:rPr>
                <w:rFonts w:asciiTheme="minorHAnsi" w:hAnsiTheme="minorHAnsi" w:cstheme="minorBidi"/>
                <w:sz w:val="22"/>
                <w:szCs w:val="22"/>
              </w:rPr>
              <w:t>Studies continue</w:t>
            </w:r>
            <w:r w:rsidR="007A51E9">
              <w:rPr>
                <w:rFonts w:asciiTheme="minorHAnsi" w:hAnsiTheme="minorHAnsi" w:cstheme="minorBidi"/>
                <w:sz w:val="22"/>
                <w:szCs w:val="22"/>
              </w:rPr>
              <w:t>d</w:t>
            </w:r>
            <w:r w:rsidRPr="1C5E0CCA">
              <w:rPr>
                <w:rFonts w:asciiTheme="minorHAnsi" w:hAnsiTheme="minorHAnsi" w:cstheme="minorBidi"/>
                <w:sz w:val="22"/>
                <w:szCs w:val="22"/>
              </w:rPr>
              <w:t xml:space="preserve"> to support the finding that summary/interpretive label systems (i.e., M</w:t>
            </w:r>
            <w:r w:rsidR="00F1351A">
              <w:rPr>
                <w:rFonts w:asciiTheme="minorHAnsi" w:hAnsiTheme="minorHAnsi" w:cstheme="minorBidi"/>
                <w:sz w:val="22"/>
                <w:szCs w:val="22"/>
              </w:rPr>
              <w:t>ultiple Traffic Lights, Nutri-Score and Health Star Rating</w:t>
            </w:r>
            <w:r w:rsidR="008108C7">
              <w:rPr>
                <w:rFonts w:asciiTheme="minorHAnsi" w:hAnsiTheme="minorHAnsi" w:cstheme="minorBidi"/>
                <w:sz w:val="22"/>
                <w:szCs w:val="22"/>
              </w:rPr>
              <w:t xml:space="preserve">) </w:t>
            </w:r>
            <w:r w:rsidR="00372FE9">
              <w:rPr>
                <w:rFonts w:asciiTheme="minorHAnsi" w:hAnsiTheme="minorHAnsi" w:cstheme="minorBidi"/>
                <w:sz w:val="22"/>
                <w:szCs w:val="22"/>
              </w:rPr>
              <w:t>offer</w:t>
            </w:r>
            <w:r w:rsidRPr="1C5E0CCA">
              <w:rPr>
                <w:rFonts w:asciiTheme="minorHAnsi" w:hAnsiTheme="minorHAnsi" w:cstheme="minorBidi"/>
                <w:sz w:val="22"/>
                <w:szCs w:val="22"/>
              </w:rPr>
              <w:t xml:space="preserve"> the greatest potential </w:t>
            </w:r>
            <w:r w:rsidR="007E326C">
              <w:rPr>
                <w:rFonts w:asciiTheme="minorHAnsi" w:hAnsiTheme="minorHAnsi" w:cstheme="minorBidi"/>
                <w:sz w:val="22"/>
                <w:szCs w:val="22"/>
              </w:rPr>
              <w:t xml:space="preserve">- </w:t>
            </w:r>
            <w:r w:rsidRPr="1C5E0CCA">
              <w:rPr>
                <w:rFonts w:asciiTheme="minorHAnsi" w:hAnsiTheme="minorHAnsi" w:cstheme="minorBidi"/>
                <w:sz w:val="22"/>
                <w:szCs w:val="22"/>
              </w:rPr>
              <w:t xml:space="preserve">compared to purely informative systems </w:t>
            </w:r>
            <w:r w:rsidR="007E326C">
              <w:rPr>
                <w:rFonts w:asciiTheme="minorHAnsi" w:hAnsiTheme="minorHAnsi" w:cstheme="minorBidi"/>
                <w:sz w:val="22"/>
                <w:szCs w:val="22"/>
              </w:rPr>
              <w:t>-</w:t>
            </w:r>
            <w:r w:rsidRPr="1C5E0CCA">
              <w:rPr>
                <w:rFonts w:asciiTheme="minorHAnsi" w:hAnsiTheme="minorHAnsi" w:cstheme="minorBidi"/>
                <w:sz w:val="22"/>
                <w:szCs w:val="22"/>
              </w:rPr>
              <w:t xml:space="preserve"> to improve consumers</w:t>
            </w:r>
            <w:r w:rsidR="007D62EA">
              <w:rPr>
                <w:rFonts w:asciiTheme="minorHAnsi" w:hAnsiTheme="minorHAnsi" w:cstheme="minorBidi"/>
                <w:sz w:val="22"/>
                <w:szCs w:val="22"/>
              </w:rPr>
              <w:t>’</w:t>
            </w:r>
            <w:r w:rsidRPr="1C5E0CCA">
              <w:rPr>
                <w:rFonts w:asciiTheme="minorHAnsi" w:hAnsiTheme="minorHAnsi" w:cstheme="minorBidi"/>
                <w:sz w:val="22"/>
                <w:szCs w:val="22"/>
              </w:rPr>
              <w:t xml:space="preserve"> understanding of the nutritional quality of foods. Two studies (Packer, 2022; Fialon, 2021) found </w:t>
            </w:r>
            <w:r w:rsidR="008108C7">
              <w:rPr>
                <w:rFonts w:asciiTheme="minorHAnsi" w:hAnsiTheme="minorHAnsi" w:cstheme="minorBidi"/>
                <w:sz w:val="22"/>
                <w:szCs w:val="22"/>
              </w:rPr>
              <w:t>Nutri-Score</w:t>
            </w:r>
            <w:r w:rsidRPr="1C5E0CCA">
              <w:rPr>
                <w:rFonts w:asciiTheme="minorHAnsi" w:hAnsiTheme="minorHAnsi" w:cstheme="minorBidi"/>
                <w:sz w:val="22"/>
                <w:szCs w:val="22"/>
              </w:rPr>
              <w:t xml:space="preserve"> performed best at helping consumers rank products according to nutritional quality. A newly</w:t>
            </w:r>
            <w:r w:rsidRPr="1C5E0CCA" w:rsidR="19C1C9DC">
              <w:rPr>
                <w:rFonts w:asciiTheme="minorHAnsi" w:hAnsiTheme="minorHAnsi" w:cstheme="minorBidi"/>
                <w:sz w:val="22"/>
                <w:szCs w:val="22"/>
              </w:rPr>
              <w:t xml:space="preserve"> </w:t>
            </w:r>
            <w:r w:rsidRPr="1C5E0CCA">
              <w:rPr>
                <w:rFonts w:asciiTheme="minorHAnsi" w:hAnsiTheme="minorHAnsi" w:cstheme="minorBidi"/>
                <w:sz w:val="22"/>
                <w:szCs w:val="22"/>
              </w:rPr>
              <w:t xml:space="preserve">introduced </w:t>
            </w:r>
            <w:r w:rsidR="004B6E26">
              <w:rPr>
                <w:rFonts w:asciiTheme="minorHAnsi" w:hAnsiTheme="minorHAnsi" w:cstheme="minorBidi"/>
                <w:sz w:val="22"/>
                <w:szCs w:val="22"/>
              </w:rPr>
              <w:t>FOP</w:t>
            </w:r>
            <w:r w:rsidRPr="1C5E0CCA">
              <w:rPr>
                <w:rFonts w:asciiTheme="minorHAnsi" w:hAnsiTheme="minorHAnsi" w:cstheme="minorBidi"/>
                <w:sz w:val="22"/>
                <w:szCs w:val="22"/>
              </w:rPr>
              <w:t xml:space="preserve">, the NutrInform Battery, outperformed </w:t>
            </w:r>
            <w:r w:rsidR="004B6E26">
              <w:rPr>
                <w:rFonts w:asciiTheme="minorHAnsi" w:hAnsiTheme="minorHAnsi" w:cstheme="minorBidi"/>
                <w:sz w:val="22"/>
                <w:szCs w:val="22"/>
              </w:rPr>
              <w:t>N</w:t>
            </w:r>
            <w:r w:rsidR="008108C7">
              <w:rPr>
                <w:rFonts w:asciiTheme="minorHAnsi" w:hAnsiTheme="minorHAnsi" w:cstheme="minorBidi"/>
                <w:sz w:val="22"/>
                <w:szCs w:val="22"/>
              </w:rPr>
              <w:t>utri-Score</w:t>
            </w:r>
            <w:r w:rsidRPr="1C5E0CCA">
              <w:rPr>
                <w:rFonts w:asciiTheme="minorHAnsi" w:hAnsiTheme="minorHAnsi" w:cstheme="minorBidi"/>
                <w:sz w:val="22"/>
                <w:szCs w:val="22"/>
              </w:rPr>
              <w:t xml:space="preserve"> in understanding and comprehensibility (Baccelloni, 2021), presumably because it provides </w:t>
            </w:r>
            <w:r w:rsidRPr="1C5E0CCA" w:rsidR="58ABF260">
              <w:rPr>
                <w:rFonts w:asciiTheme="minorHAnsi" w:hAnsiTheme="minorHAnsi" w:cstheme="minorBidi"/>
                <w:sz w:val="22"/>
                <w:szCs w:val="22"/>
              </w:rPr>
              <w:t xml:space="preserve">information about </w:t>
            </w:r>
            <w:r w:rsidRPr="1C5E0CCA">
              <w:rPr>
                <w:rFonts w:asciiTheme="minorHAnsi" w:hAnsiTheme="minorHAnsi" w:cstheme="minorBidi"/>
                <w:sz w:val="22"/>
                <w:szCs w:val="22"/>
              </w:rPr>
              <w:t xml:space="preserve">nutrients per usual serving. </w:t>
            </w:r>
          </w:p>
          <w:p w:rsidR="00213BF7" w:rsidP="003E7362" w14:paraId="6F5587B9" w14:textId="6E2F321B">
            <w:pPr>
              <w:pStyle w:val="ListParagraph"/>
              <w:numPr>
                <w:ilvl w:val="0"/>
                <w:numId w:val="3"/>
              </w:numPr>
              <w:rPr>
                <w:rFonts w:asciiTheme="minorHAnsi" w:hAnsiTheme="minorHAnsi" w:cstheme="minorBidi"/>
                <w:sz w:val="22"/>
                <w:szCs w:val="22"/>
              </w:rPr>
            </w:pPr>
            <w:r w:rsidRPr="79021091">
              <w:rPr>
                <w:rFonts w:asciiTheme="minorHAnsi" w:hAnsiTheme="minorHAnsi" w:cstheme="minorBidi"/>
                <w:sz w:val="22"/>
                <w:szCs w:val="22"/>
              </w:rPr>
              <w:t>A</w:t>
            </w:r>
            <w:r w:rsidRPr="79021091" w:rsidR="001C1AB8">
              <w:rPr>
                <w:rFonts w:asciiTheme="minorHAnsi" w:hAnsiTheme="minorHAnsi" w:cstheme="minorBidi"/>
                <w:sz w:val="22"/>
                <w:szCs w:val="22"/>
              </w:rPr>
              <w:t xml:space="preserve">dditional studies confirm </w:t>
            </w:r>
            <w:r w:rsidR="007778BF">
              <w:rPr>
                <w:rFonts w:asciiTheme="minorHAnsi" w:hAnsiTheme="minorHAnsi" w:cstheme="minorBidi"/>
                <w:sz w:val="22"/>
                <w:szCs w:val="22"/>
              </w:rPr>
              <w:t xml:space="preserve">the finding </w:t>
            </w:r>
            <w:r w:rsidRPr="79021091" w:rsidR="001C1AB8">
              <w:rPr>
                <w:rFonts w:asciiTheme="minorHAnsi" w:hAnsiTheme="minorHAnsi" w:cstheme="minorBidi"/>
                <w:sz w:val="22"/>
                <w:szCs w:val="22"/>
              </w:rPr>
              <w:t>that Warning Label</w:t>
            </w:r>
            <w:r w:rsidR="00AB7D72">
              <w:rPr>
                <w:rFonts w:asciiTheme="minorHAnsi" w:hAnsiTheme="minorHAnsi" w:cstheme="minorBidi"/>
                <w:sz w:val="22"/>
                <w:szCs w:val="22"/>
              </w:rPr>
              <w:t>s</w:t>
            </w:r>
            <w:r w:rsidRPr="79021091" w:rsidR="001C1AB8">
              <w:rPr>
                <w:rFonts w:asciiTheme="minorHAnsi" w:hAnsiTheme="minorHAnsi" w:cstheme="minorBidi"/>
                <w:sz w:val="22"/>
                <w:szCs w:val="22"/>
              </w:rPr>
              <w:t xml:space="preserve"> are more effective at helping consumers identify products with excessive amounts of a particular nutrient (i.e., sugar, fat, saturated fat, and sodium). </w:t>
            </w:r>
          </w:p>
          <w:p w:rsidR="001C1AB8" w:rsidRPr="00284534" w:rsidP="003E7362" w14:paraId="1311C6F0" w14:textId="6BA25E12">
            <w:pPr>
              <w:pStyle w:val="ListParagraph"/>
              <w:numPr>
                <w:ilvl w:val="0"/>
                <w:numId w:val="3"/>
              </w:numPr>
              <w:rPr>
                <w:rFonts w:asciiTheme="minorHAnsi" w:hAnsiTheme="minorHAnsi" w:cstheme="minorBidi"/>
                <w:sz w:val="22"/>
                <w:szCs w:val="22"/>
              </w:rPr>
            </w:pPr>
            <w:r w:rsidRPr="1D57B863">
              <w:rPr>
                <w:rFonts w:asciiTheme="minorHAnsi" w:hAnsiTheme="minorHAnsi" w:cstheme="minorBidi"/>
                <w:sz w:val="22"/>
                <w:szCs w:val="22"/>
              </w:rPr>
              <w:t xml:space="preserve">One </w:t>
            </w:r>
            <w:r w:rsidRPr="1D57B863" w:rsidR="5F12B3BA">
              <w:rPr>
                <w:rFonts w:asciiTheme="minorHAnsi" w:hAnsiTheme="minorHAnsi" w:cstheme="minorBidi"/>
                <w:sz w:val="22"/>
                <w:szCs w:val="22"/>
              </w:rPr>
              <w:t xml:space="preserve">Chilean </w:t>
            </w:r>
            <w:r w:rsidRPr="1D57B863">
              <w:rPr>
                <w:rFonts w:asciiTheme="minorHAnsi" w:hAnsiTheme="minorHAnsi" w:cstheme="minorBidi"/>
                <w:sz w:val="22"/>
                <w:szCs w:val="22"/>
              </w:rPr>
              <w:t xml:space="preserve">study (Mediano Stoltze, 2021) </w:t>
            </w:r>
            <w:r w:rsidRPr="1D57B863" w:rsidR="4DAA25F5">
              <w:rPr>
                <w:rFonts w:asciiTheme="minorHAnsi" w:hAnsiTheme="minorHAnsi" w:cstheme="minorBidi"/>
                <w:sz w:val="22"/>
                <w:szCs w:val="22"/>
              </w:rPr>
              <w:t xml:space="preserve">examined </w:t>
            </w:r>
            <w:r w:rsidRPr="1D57B863" w:rsidR="311F6C71">
              <w:rPr>
                <w:rFonts w:asciiTheme="minorHAnsi" w:hAnsiTheme="minorHAnsi" w:cstheme="minorBidi"/>
                <w:sz w:val="22"/>
                <w:szCs w:val="22"/>
              </w:rPr>
              <w:t xml:space="preserve">consumer perception </w:t>
            </w:r>
            <w:r w:rsidRPr="1D57B863" w:rsidR="0361B232">
              <w:rPr>
                <w:rFonts w:asciiTheme="minorHAnsi" w:hAnsiTheme="minorHAnsi" w:cstheme="minorBidi"/>
                <w:sz w:val="22"/>
                <w:szCs w:val="22"/>
              </w:rPr>
              <w:t>of the co-occurrence of</w:t>
            </w:r>
            <w:r w:rsidRPr="1D57B863" w:rsidR="214C1521">
              <w:rPr>
                <w:rFonts w:asciiTheme="minorHAnsi" w:hAnsiTheme="minorHAnsi" w:cstheme="minorBidi"/>
                <w:sz w:val="22"/>
                <w:szCs w:val="22"/>
              </w:rPr>
              <w:t xml:space="preserve"> </w:t>
            </w:r>
            <w:r w:rsidRPr="1D57B863" w:rsidR="10320A1A">
              <w:rPr>
                <w:rFonts w:asciiTheme="minorHAnsi" w:hAnsiTheme="minorHAnsi" w:cstheme="minorBidi"/>
                <w:sz w:val="22"/>
                <w:szCs w:val="22"/>
              </w:rPr>
              <w:t>W</w:t>
            </w:r>
            <w:r w:rsidRPr="1D57B863" w:rsidR="214C1521">
              <w:rPr>
                <w:rFonts w:asciiTheme="minorHAnsi" w:hAnsiTheme="minorHAnsi" w:cstheme="minorBidi"/>
                <w:sz w:val="22"/>
                <w:szCs w:val="22"/>
              </w:rPr>
              <w:t xml:space="preserve">arning </w:t>
            </w:r>
            <w:r w:rsidRPr="1D57B863" w:rsidR="10320A1A">
              <w:rPr>
                <w:rFonts w:asciiTheme="minorHAnsi" w:hAnsiTheme="minorHAnsi" w:cstheme="minorBidi"/>
                <w:sz w:val="22"/>
                <w:szCs w:val="22"/>
              </w:rPr>
              <w:t>L</w:t>
            </w:r>
            <w:r w:rsidRPr="1D57B863" w:rsidR="214C1521">
              <w:rPr>
                <w:rFonts w:asciiTheme="minorHAnsi" w:hAnsiTheme="minorHAnsi" w:cstheme="minorBidi"/>
                <w:sz w:val="22"/>
                <w:szCs w:val="22"/>
              </w:rPr>
              <w:t xml:space="preserve">abels </w:t>
            </w:r>
            <w:r w:rsidRPr="1D57B863" w:rsidR="311F6C71">
              <w:rPr>
                <w:rFonts w:asciiTheme="minorHAnsi" w:hAnsiTheme="minorHAnsi" w:cstheme="minorBidi"/>
                <w:sz w:val="22"/>
                <w:szCs w:val="22"/>
              </w:rPr>
              <w:t xml:space="preserve">and nutrient content marketing claims </w:t>
            </w:r>
            <w:r w:rsidRPr="1D57B863" w:rsidR="0361B232">
              <w:rPr>
                <w:rFonts w:asciiTheme="minorHAnsi" w:hAnsiTheme="minorHAnsi" w:cstheme="minorBidi"/>
                <w:sz w:val="22"/>
                <w:szCs w:val="22"/>
              </w:rPr>
              <w:t>because</w:t>
            </w:r>
            <w:r w:rsidRPr="1D57B863" w:rsidR="43CC947C">
              <w:rPr>
                <w:rFonts w:asciiTheme="minorHAnsi" w:hAnsiTheme="minorHAnsi" w:cstheme="minorBidi"/>
                <w:sz w:val="22"/>
                <w:szCs w:val="22"/>
              </w:rPr>
              <w:t xml:space="preserve"> </w:t>
            </w:r>
            <w:r w:rsidRPr="1D57B863" w:rsidR="6B674237">
              <w:rPr>
                <w:rFonts w:asciiTheme="minorHAnsi" w:hAnsiTheme="minorHAnsi" w:cstheme="minorBidi"/>
                <w:sz w:val="22"/>
                <w:szCs w:val="22"/>
              </w:rPr>
              <w:t>in Chile</w:t>
            </w:r>
            <w:r w:rsidRPr="1D57B863" w:rsidR="43CC947C">
              <w:rPr>
                <w:rFonts w:asciiTheme="minorHAnsi" w:hAnsiTheme="minorHAnsi" w:cstheme="minorBidi"/>
                <w:sz w:val="22"/>
                <w:szCs w:val="22"/>
              </w:rPr>
              <w:t xml:space="preserve"> </w:t>
            </w:r>
            <w:r w:rsidRPr="1D57B863" w:rsidR="6AB01CC7">
              <w:rPr>
                <w:rFonts w:asciiTheme="minorHAnsi" w:hAnsiTheme="minorHAnsi" w:cstheme="minorBidi"/>
                <w:sz w:val="22"/>
                <w:szCs w:val="22"/>
              </w:rPr>
              <w:t xml:space="preserve">the use of nutrient content marketing claims </w:t>
            </w:r>
            <w:r w:rsidRPr="1D57B863" w:rsidR="12A77FA8">
              <w:rPr>
                <w:rFonts w:asciiTheme="minorHAnsi" w:hAnsiTheme="minorHAnsi" w:cstheme="minorBidi"/>
                <w:sz w:val="22"/>
                <w:szCs w:val="22"/>
              </w:rPr>
              <w:t>is</w:t>
            </w:r>
            <w:r w:rsidRPr="1D57B863" w:rsidR="6AB01CC7">
              <w:rPr>
                <w:rFonts w:asciiTheme="minorHAnsi" w:hAnsiTheme="minorHAnsi" w:cstheme="minorBidi"/>
                <w:sz w:val="22"/>
                <w:szCs w:val="22"/>
              </w:rPr>
              <w:t xml:space="preserve"> not prohibited even when the food is required to </w:t>
            </w:r>
            <w:r w:rsidRPr="1D57B863" w:rsidR="32D212B9">
              <w:rPr>
                <w:rFonts w:asciiTheme="minorHAnsi" w:hAnsiTheme="minorHAnsi" w:cstheme="minorBidi"/>
                <w:sz w:val="22"/>
                <w:szCs w:val="22"/>
              </w:rPr>
              <w:t xml:space="preserve">carry a warning label </w:t>
            </w:r>
            <w:r w:rsidRPr="1D57B863" w:rsidR="5D3CBA1C">
              <w:rPr>
                <w:rFonts w:asciiTheme="minorHAnsi" w:hAnsiTheme="minorHAnsi" w:cstheme="minorBidi"/>
                <w:sz w:val="22"/>
                <w:szCs w:val="22"/>
              </w:rPr>
              <w:t>(</w:t>
            </w:r>
            <w:r w:rsidRPr="1D57B863" w:rsidR="32D212B9">
              <w:rPr>
                <w:rFonts w:asciiTheme="minorHAnsi" w:hAnsiTheme="minorHAnsi" w:cstheme="minorBidi"/>
                <w:sz w:val="22"/>
                <w:szCs w:val="22"/>
              </w:rPr>
              <w:t>due to excessive nutrients to limit</w:t>
            </w:r>
            <w:r w:rsidRPr="1D57B863" w:rsidR="5D3CBA1C">
              <w:rPr>
                <w:rFonts w:asciiTheme="minorHAnsi" w:hAnsiTheme="minorHAnsi" w:cstheme="minorBidi"/>
                <w:sz w:val="22"/>
                <w:szCs w:val="22"/>
              </w:rPr>
              <w:t xml:space="preserve">) </w:t>
            </w:r>
            <w:r w:rsidRPr="1D57B863" w:rsidR="43CC947C">
              <w:rPr>
                <w:rFonts w:asciiTheme="minorHAnsi" w:hAnsiTheme="minorHAnsi" w:cstheme="minorBidi"/>
                <w:sz w:val="22"/>
                <w:szCs w:val="22"/>
              </w:rPr>
              <w:t xml:space="preserve">and </w:t>
            </w:r>
            <w:r w:rsidRPr="1D57B863" w:rsidR="5D3CBA1C">
              <w:rPr>
                <w:rFonts w:asciiTheme="minorHAnsi" w:hAnsiTheme="minorHAnsi" w:cstheme="minorBidi"/>
                <w:sz w:val="22"/>
                <w:szCs w:val="22"/>
              </w:rPr>
              <w:t xml:space="preserve">this </w:t>
            </w:r>
            <w:r w:rsidRPr="1D57B863" w:rsidR="43CC947C">
              <w:rPr>
                <w:rFonts w:asciiTheme="minorHAnsi" w:hAnsiTheme="minorHAnsi" w:cstheme="minorBidi"/>
                <w:sz w:val="22"/>
                <w:szCs w:val="22"/>
              </w:rPr>
              <w:t xml:space="preserve">could </w:t>
            </w:r>
            <w:r w:rsidRPr="1D57B863" w:rsidR="5EEC99E2">
              <w:rPr>
                <w:rFonts w:asciiTheme="minorHAnsi" w:hAnsiTheme="minorHAnsi" w:cstheme="minorBidi"/>
                <w:sz w:val="22"/>
                <w:szCs w:val="22"/>
              </w:rPr>
              <w:t>confuse consumers.</w:t>
            </w:r>
            <w:r w:rsidRPr="1D57B863" w:rsidR="32D212B9">
              <w:rPr>
                <w:rFonts w:asciiTheme="minorHAnsi" w:hAnsiTheme="minorHAnsi" w:cstheme="minorBidi"/>
                <w:sz w:val="22"/>
                <w:szCs w:val="22"/>
              </w:rPr>
              <w:t xml:space="preserve"> </w:t>
            </w:r>
            <w:r w:rsidRPr="1D57B863" w:rsidR="6B674237">
              <w:rPr>
                <w:rFonts w:asciiTheme="minorHAnsi" w:hAnsiTheme="minorHAnsi" w:cstheme="minorBidi"/>
                <w:sz w:val="22"/>
                <w:szCs w:val="22"/>
              </w:rPr>
              <w:t xml:space="preserve">The study </w:t>
            </w:r>
            <w:r w:rsidRPr="1D57B863">
              <w:rPr>
                <w:rFonts w:asciiTheme="minorHAnsi" w:hAnsiTheme="minorHAnsi" w:cstheme="minorBidi"/>
                <w:sz w:val="22"/>
                <w:szCs w:val="22"/>
              </w:rPr>
              <w:t xml:space="preserve">found </w:t>
            </w:r>
            <w:r w:rsidRPr="1D57B863" w:rsidR="5D3CBA1C">
              <w:rPr>
                <w:rFonts w:asciiTheme="minorHAnsi" w:hAnsiTheme="minorHAnsi" w:cstheme="minorBidi"/>
                <w:sz w:val="22"/>
                <w:szCs w:val="22"/>
              </w:rPr>
              <w:t xml:space="preserve">that </w:t>
            </w:r>
            <w:r w:rsidRPr="1D57B863" w:rsidR="6F3E31E4">
              <w:rPr>
                <w:rFonts w:asciiTheme="minorHAnsi" w:hAnsiTheme="minorHAnsi" w:cstheme="minorBidi"/>
                <w:sz w:val="22"/>
                <w:szCs w:val="22"/>
              </w:rPr>
              <w:t>Warning Labels</w:t>
            </w:r>
            <w:r w:rsidRPr="1D57B863">
              <w:rPr>
                <w:rFonts w:asciiTheme="minorHAnsi" w:hAnsiTheme="minorHAnsi" w:cstheme="minorBidi"/>
                <w:sz w:val="22"/>
                <w:szCs w:val="22"/>
              </w:rPr>
              <w:t xml:space="preserve"> can mitigate the </w:t>
            </w:r>
            <w:r w:rsidR="0012263E">
              <w:rPr>
                <w:rFonts w:asciiTheme="minorHAnsi" w:hAnsiTheme="minorHAnsi" w:cstheme="minorBidi"/>
                <w:sz w:val="22"/>
                <w:szCs w:val="22"/>
              </w:rPr>
              <w:t>“</w:t>
            </w:r>
            <w:r w:rsidRPr="1D57B863" w:rsidR="10320A1A">
              <w:rPr>
                <w:rFonts w:asciiTheme="minorHAnsi" w:hAnsiTheme="minorHAnsi" w:cstheme="minorBidi"/>
                <w:sz w:val="22"/>
                <w:szCs w:val="22"/>
              </w:rPr>
              <w:t>health halo</w:t>
            </w:r>
            <w:r w:rsidR="0012263E">
              <w:rPr>
                <w:rFonts w:asciiTheme="minorHAnsi" w:hAnsiTheme="minorHAnsi" w:cstheme="minorBidi"/>
                <w:sz w:val="22"/>
                <w:szCs w:val="22"/>
              </w:rPr>
              <w:t>”</w:t>
            </w:r>
            <w:r w:rsidRPr="1D57B863" w:rsidR="10320A1A">
              <w:rPr>
                <w:rFonts w:asciiTheme="minorHAnsi" w:hAnsiTheme="minorHAnsi" w:cstheme="minorBidi"/>
                <w:sz w:val="22"/>
                <w:szCs w:val="22"/>
              </w:rPr>
              <w:t xml:space="preserve"> effect </w:t>
            </w:r>
            <w:r w:rsidRPr="1D57B863">
              <w:rPr>
                <w:rFonts w:asciiTheme="minorHAnsi" w:hAnsiTheme="minorHAnsi" w:cstheme="minorBidi"/>
                <w:sz w:val="22"/>
                <w:szCs w:val="22"/>
              </w:rPr>
              <w:t xml:space="preserve">of </w:t>
            </w:r>
            <w:r w:rsidRPr="1D57B863" w:rsidR="175326C1">
              <w:rPr>
                <w:rFonts w:asciiTheme="minorHAnsi" w:hAnsiTheme="minorHAnsi" w:cstheme="minorBidi"/>
                <w:sz w:val="22"/>
                <w:szCs w:val="22"/>
              </w:rPr>
              <w:t xml:space="preserve">nutrient content marketing </w:t>
            </w:r>
            <w:r w:rsidRPr="1D57B863">
              <w:rPr>
                <w:rFonts w:asciiTheme="minorHAnsi" w:hAnsiTheme="minorHAnsi" w:cstheme="minorBidi"/>
                <w:sz w:val="22"/>
                <w:szCs w:val="22"/>
              </w:rPr>
              <w:t>claims on perceived healthfulness of the product.</w:t>
            </w:r>
            <w:r w:rsidRPr="1D57B863">
              <w:rPr>
                <w:rFonts w:cstheme="minorBidi"/>
              </w:rPr>
              <w:t xml:space="preserve"> </w:t>
            </w:r>
          </w:p>
          <w:p w:rsidR="001C1AB8" w:rsidRPr="00942E38" w:rsidP="003E7362" w14:paraId="2C09B284" w14:textId="4474ED1B">
            <w:pPr>
              <w:pStyle w:val="ListParagraph"/>
              <w:ind w:left="360"/>
              <w:rPr>
                <w:rFonts w:asciiTheme="minorHAnsi" w:hAnsiTheme="minorHAnsi" w:cstheme="minorHAnsi"/>
                <w:sz w:val="22"/>
                <w:szCs w:val="22"/>
                <w:highlight w:val="yellow"/>
              </w:rPr>
            </w:pPr>
          </w:p>
          <w:p w:rsidR="001C1AB8" w:rsidRPr="00942E38" w:rsidP="00560BC9" w14:paraId="0B1236D1" w14:textId="3E00EF43">
            <w:pPr>
              <w:rPr>
                <w:rFonts w:asciiTheme="minorHAnsi" w:hAnsiTheme="minorHAnsi" w:cstheme="minorHAnsi"/>
                <w:bCs/>
                <w:sz w:val="22"/>
                <w:szCs w:val="22"/>
                <w:highlight w:val="yellow"/>
              </w:rPr>
            </w:pPr>
            <w:r w:rsidRPr="00942E38">
              <w:rPr>
                <w:rFonts w:asciiTheme="minorHAnsi" w:hAnsiTheme="minorHAnsi" w:cstheme="minorHAnsi"/>
                <w:b/>
                <w:bCs/>
                <w:sz w:val="22"/>
                <w:szCs w:val="22"/>
              </w:rPr>
              <w:t>Conclusion:</w:t>
            </w:r>
            <w:r w:rsidRPr="00942E38">
              <w:rPr>
                <w:rFonts w:asciiTheme="minorHAnsi" w:hAnsiTheme="minorHAnsi" w:cstheme="minorHAnsi"/>
                <w:bCs/>
                <w:sz w:val="22"/>
                <w:szCs w:val="22"/>
              </w:rPr>
              <w:t xml:space="preserve"> T</w:t>
            </w:r>
            <w:r w:rsidRPr="00942E38">
              <w:rPr>
                <w:rFonts w:asciiTheme="minorHAnsi" w:hAnsiTheme="minorHAnsi" w:cstheme="minorHAnsi"/>
                <w:sz w:val="22"/>
                <w:szCs w:val="22"/>
              </w:rPr>
              <w:t xml:space="preserve">he updated literature review confirms </w:t>
            </w:r>
            <w:r>
              <w:rPr>
                <w:rFonts w:asciiTheme="minorHAnsi" w:hAnsiTheme="minorHAnsi" w:cstheme="minorHAnsi"/>
                <w:sz w:val="22"/>
                <w:szCs w:val="22"/>
              </w:rPr>
              <w:t>earlier</w:t>
            </w:r>
            <w:r w:rsidRPr="00942E38">
              <w:rPr>
                <w:rFonts w:asciiTheme="minorHAnsi" w:hAnsiTheme="minorHAnsi" w:cstheme="minorHAnsi"/>
                <w:sz w:val="22"/>
                <w:szCs w:val="22"/>
              </w:rPr>
              <w:t xml:space="preserve"> </w:t>
            </w:r>
            <w:r w:rsidRPr="00942E38" w:rsidR="00AA21EF">
              <w:rPr>
                <w:rFonts w:asciiTheme="minorHAnsi" w:hAnsiTheme="minorHAnsi" w:cstheme="minorHAnsi"/>
                <w:sz w:val="22"/>
                <w:szCs w:val="22"/>
              </w:rPr>
              <w:t>findings</w:t>
            </w:r>
            <w:r w:rsidR="00AA21EF">
              <w:rPr>
                <w:rFonts w:asciiTheme="minorHAnsi" w:hAnsiTheme="minorHAnsi" w:cstheme="minorHAnsi"/>
                <w:sz w:val="22"/>
                <w:szCs w:val="22"/>
              </w:rPr>
              <w:t xml:space="preserve"> and</w:t>
            </w:r>
            <w:r>
              <w:rPr>
                <w:rFonts w:asciiTheme="minorHAnsi" w:hAnsiTheme="minorHAnsi" w:cstheme="minorHAnsi"/>
                <w:sz w:val="22"/>
                <w:szCs w:val="22"/>
              </w:rPr>
              <w:t xml:space="preserve"> demonstrate</w:t>
            </w:r>
            <w:r w:rsidR="00560BC9">
              <w:rPr>
                <w:rFonts w:asciiTheme="minorHAnsi" w:hAnsiTheme="minorHAnsi" w:cstheme="minorHAnsi"/>
                <w:sz w:val="22"/>
                <w:szCs w:val="22"/>
              </w:rPr>
              <w:t>s</w:t>
            </w:r>
            <w:r>
              <w:rPr>
                <w:rFonts w:asciiTheme="minorHAnsi" w:hAnsiTheme="minorHAnsi" w:cstheme="minorHAnsi"/>
                <w:sz w:val="22"/>
                <w:szCs w:val="22"/>
              </w:rPr>
              <w:t xml:space="preserve"> that since most </w:t>
            </w:r>
            <w:r w:rsidR="004B6E26">
              <w:rPr>
                <w:rFonts w:asciiTheme="minorHAnsi" w:hAnsiTheme="minorHAnsi" w:cstheme="minorHAnsi"/>
                <w:sz w:val="22"/>
                <w:szCs w:val="22"/>
              </w:rPr>
              <w:t>FOP</w:t>
            </w:r>
            <w:r w:rsidR="000C3296">
              <w:rPr>
                <w:rFonts w:asciiTheme="minorHAnsi" w:hAnsiTheme="minorHAnsi" w:cstheme="minorHAnsi"/>
                <w:sz w:val="22"/>
                <w:szCs w:val="22"/>
              </w:rPr>
              <w:t xml:space="preserve"> label</w:t>
            </w:r>
            <w:r>
              <w:rPr>
                <w:rFonts w:asciiTheme="minorHAnsi" w:hAnsiTheme="minorHAnsi" w:cstheme="minorHAnsi"/>
                <w:sz w:val="22"/>
                <w:szCs w:val="22"/>
              </w:rPr>
              <w:t>s help consumers understand nutrition quality of a food, the</w:t>
            </w:r>
            <w:r w:rsidRPr="00942E38">
              <w:rPr>
                <w:rFonts w:asciiTheme="minorHAnsi" w:hAnsiTheme="minorHAnsi" w:cstheme="minorHAnsi"/>
                <w:sz w:val="22"/>
                <w:szCs w:val="22"/>
              </w:rPr>
              <w:t xml:space="preserve"> adoption and implementation of a uniform </w:t>
            </w:r>
            <w:r w:rsidR="004B6E26">
              <w:rPr>
                <w:rFonts w:asciiTheme="minorHAnsi" w:hAnsiTheme="minorHAnsi" w:cstheme="minorHAnsi"/>
                <w:sz w:val="22"/>
                <w:szCs w:val="22"/>
              </w:rPr>
              <w:t>FOP</w:t>
            </w:r>
            <w:r w:rsidRPr="00942E38">
              <w:rPr>
                <w:rFonts w:asciiTheme="minorHAnsi" w:hAnsiTheme="minorHAnsi" w:cstheme="minorHAnsi"/>
                <w:sz w:val="22"/>
                <w:szCs w:val="22"/>
              </w:rPr>
              <w:t xml:space="preserve"> </w:t>
            </w:r>
            <w:r w:rsidR="000C3296">
              <w:rPr>
                <w:rFonts w:asciiTheme="minorHAnsi" w:hAnsiTheme="minorHAnsi" w:cstheme="minorHAnsi"/>
                <w:sz w:val="22"/>
                <w:szCs w:val="22"/>
              </w:rPr>
              <w:t xml:space="preserve">labeling system </w:t>
            </w:r>
            <w:r w:rsidRPr="00942E38">
              <w:rPr>
                <w:rFonts w:asciiTheme="minorHAnsi" w:hAnsiTheme="minorHAnsi" w:cstheme="minorHAnsi"/>
                <w:sz w:val="22"/>
                <w:szCs w:val="22"/>
              </w:rPr>
              <w:t>could be beneficial to consumers</w:t>
            </w:r>
            <w:r>
              <w:rPr>
                <w:rFonts w:asciiTheme="minorHAnsi" w:hAnsiTheme="minorHAnsi" w:cstheme="minorHAnsi"/>
                <w:sz w:val="22"/>
                <w:szCs w:val="22"/>
              </w:rPr>
              <w:t>.</w:t>
            </w:r>
          </w:p>
        </w:tc>
      </w:tr>
      <w:tr w14:paraId="2E21A826" w14:textId="77777777" w:rsidTr="47135738">
        <w:tblPrEx>
          <w:tblW w:w="0" w:type="auto"/>
          <w:tblInd w:w="-5" w:type="dxa"/>
          <w:tblLook w:val="04A0"/>
        </w:tblPrEx>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1AB8" w:rsidP="003E7362" w14:paraId="6F981CDF" w14:textId="77777777">
            <w:pPr>
              <w:rPr>
                <w:b/>
                <w:sz w:val="24"/>
                <w:szCs w:val="24"/>
              </w:rPr>
            </w:pPr>
          </w:p>
          <w:p w:rsidR="001C1AB8" w:rsidRPr="00733627" w:rsidP="003E7362" w14:paraId="399895CB" w14:textId="77777777">
            <w:pPr>
              <w:rPr>
                <w:b/>
                <w:sz w:val="24"/>
                <w:szCs w:val="24"/>
              </w:rPr>
            </w:pPr>
            <w:r>
              <w:rPr>
                <w:b/>
                <w:sz w:val="24"/>
                <w:szCs w:val="24"/>
              </w:rPr>
              <w:t>Effects on Use &amp; Likely Purchase Behavior</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1AB8" w:rsidRPr="00942E38" w:rsidP="003E7362" w14:paraId="2DB74D1C" w14:textId="29BB477F">
            <w:pPr>
              <w:pStyle w:val="ListParagraph"/>
              <w:numPr>
                <w:ilvl w:val="0"/>
                <w:numId w:val="4"/>
              </w:numPr>
              <w:rPr>
                <w:rFonts w:asciiTheme="minorHAnsi" w:hAnsiTheme="minorHAnsi" w:cstheme="minorBidi"/>
                <w:sz w:val="22"/>
                <w:szCs w:val="22"/>
              </w:rPr>
            </w:pPr>
            <w:r w:rsidRPr="1D57B863">
              <w:rPr>
                <w:rFonts w:asciiTheme="minorHAnsi" w:hAnsiTheme="minorHAnsi" w:cstheme="minorBidi"/>
                <w:sz w:val="22"/>
                <w:szCs w:val="22"/>
              </w:rPr>
              <w:t xml:space="preserve">Our review identified 19 studies in this category, with </w:t>
            </w:r>
            <w:r w:rsidRPr="1D57B863" w:rsidR="54A4A667">
              <w:rPr>
                <w:rFonts w:asciiTheme="minorHAnsi" w:hAnsiTheme="minorHAnsi" w:cstheme="minorBidi"/>
                <w:sz w:val="22"/>
                <w:szCs w:val="22"/>
              </w:rPr>
              <w:t xml:space="preserve">nine </w:t>
            </w:r>
            <w:r w:rsidRPr="1D57B863">
              <w:rPr>
                <w:rFonts w:asciiTheme="minorHAnsi" w:hAnsiTheme="minorHAnsi" w:cstheme="minorBidi"/>
                <w:sz w:val="22"/>
                <w:szCs w:val="22"/>
              </w:rPr>
              <w:t>experimental studies, six surveys, two systematic reviews, and two narrative reviews.</w:t>
            </w:r>
          </w:p>
          <w:p w:rsidR="001C1AB8" w:rsidRPr="00942E38" w:rsidP="003E7362" w14:paraId="6C160622" w14:textId="04C84CE9">
            <w:pPr>
              <w:pStyle w:val="ListParagraph"/>
              <w:numPr>
                <w:ilvl w:val="0"/>
                <w:numId w:val="4"/>
              </w:numPr>
              <w:rPr>
                <w:rFonts w:asciiTheme="minorHAnsi" w:hAnsiTheme="minorHAnsi" w:cstheme="minorHAnsi"/>
                <w:sz w:val="22"/>
                <w:szCs w:val="22"/>
              </w:rPr>
            </w:pPr>
            <w:r w:rsidRPr="1D57B863">
              <w:rPr>
                <w:rFonts w:asciiTheme="minorHAnsi" w:hAnsiTheme="minorHAnsi" w:cstheme="minorBidi"/>
                <w:sz w:val="22"/>
                <w:szCs w:val="22"/>
              </w:rPr>
              <w:t xml:space="preserve">These studies were conducted in Australia, Belgium, Brazil, Canada, Columbia, Denmark, France, Germany, Israel, Italy, Mexico, Morocco, Netherlands, Peru, Poland, Portugal, Singapore, Spain, Switzerland, the United Kingdom, Uruguay, </w:t>
            </w:r>
            <w:r w:rsidRPr="1D57B863">
              <w:rPr>
                <w:rFonts w:asciiTheme="minorHAnsi" w:hAnsiTheme="minorHAnsi" w:cstheme="minorBidi"/>
                <w:sz w:val="22"/>
                <w:szCs w:val="22"/>
              </w:rPr>
              <w:t xml:space="preserve">and the United States. Four of these studies </w:t>
            </w:r>
            <w:r w:rsidR="000671D9">
              <w:rPr>
                <w:rFonts w:asciiTheme="minorHAnsi" w:hAnsiTheme="minorHAnsi" w:cstheme="minorBidi"/>
                <w:sz w:val="22"/>
                <w:szCs w:val="22"/>
              </w:rPr>
              <w:t>assessed findings across several countries</w:t>
            </w:r>
            <w:r w:rsidRPr="1D57B863">
              <w:rPr>
                <w:rFonts w:asciiTheme="minorHAnsi" w:hAnsiTheme="minorHAnsi" w:cstheme="minorBidi"/>
                <w:sz w:val="22"/>
                <w:szCs w:val="22"/>
              </w:rPr>
              <w:t>.</w:t>
            </w:r>
          </w:p>
          <w:p w:rsidR="001C1AB8" w:rsidRPr="00DB351C" w:rsidP="003E7362" w14:paraId="23F633D3" w14:textId="39751076">
            <w:pPr>
              <w:pStyle w:val="ListParagraph"/>
              <w:numPr>
                <w:ilvl w:val="0"/>
                <w:numId w:val="4"/>
              </w:numPr>
              <w:rPr>
                <w:rFonts w:asciiTheme="minorHAnsi" w:hAnsiTheme="minorHAnsi" w:cstheme="minorHAnsi"/>
                <w:sz w:val="22"/>
                <w:szCs w:val="22"/>
              </w:rPr>
            </w:pPr>
            <w:r w:rsidRPr="1D57B863">
              <w:rPr>
                <w:rFonts w:asciiTheme="minorHAnsi" w:hAnsiTheme="minorHAnsi" w:cstheme="minorBidi"/>
                <w:sz w:val="22"/>
                <w:szCs w:val="22"/>
              </w:rPr>
              <w:t xml:space="preserve">Multiple </w:t>
            </w:r>
            <w:r w:rsidRPr="1D57B863" w:rsidR="3CB3952B">
              <w:rPr>
                <w:rFonts w:asciiTheme="minorHAnsi" w:hAnsiTheme="minorHAnsi" w:cstheme="minorBidi"/>
                <w:sz w:val="22"/>
                <w:szCs w:val="22"/>
              </w:rPr>
              <w:t>FOP</w:t>
            </w:r>
            <w:r w:rsidRPr="1D57B863">
              <w:rPr>
                <w:rFonts w:asciiTheme="minorHAnsi" w:hAnsiTheme="minorHAnsi" w:cstheme="minorBidi"/>
                <w:sz w:val="22"/>
                <w:szCs w:val="22"/>
              </w:rPr>
              <w:t xml:space="preserve"> </w:t>
            </w:r>
            <w:r w:rsidR="00F337B3">
              <w:rPr>
                <w:rFonts w:asciiTheme="minorHAnsi" w:hAnsiTheme="minorHAnsi" w:cstheme="minorBidi"/>
                <w:sz w:val="22"/>
                <w:szCs w:val="22"/>
              </w:rPr>
              <w:t xml:space="preserve">labeling </w:t>
            </w:r>
            <w:r w:rsidRPr="1D57B863">
              <w:rPr>
                <w:rFonts w:asciiTheme="minorHAnsi" w:hAnsiTheme="minorHAnsi" w:cstheme="minorBidi"/>
                <w:sz w:val="22"/>
                <w:szCs w:val="22"/>
              </w:rPr>
              <w:t>systems were examined in the identified studies, including Multi</w:t>
            </w:r>
            <w:r w:rsidR="008D7A45">
              <w:rPr>
                <w:rFonts w:asciiTheme="minorHAnsi" w:hAnsiTheme="minorHAnsi" w:cstheme="minorBidi"/>
                <w:sz w:val="22"/>
                <w:szCs w:val="22"/>
              </w:rPr>
              <w:t>ple T</w:t>
            </w:r>
            <w:r w:rsidRPr="1D57B863">
              <w:rPr>
                <w:rFonts w:asciiTheme="minorHAnsi" w:hAnsiTheme="minorHAnsi" w:cstheme="minorBidi"/>
                <w:sz w:val="22"/>
                <w:szCs w:val="22"/>
              </w:rPr>
              <w:t xml:space="preserve">raffic </w:t>
            </w:r>
            <w:r w:rsidR="008D7A45">
              <w:rPr>
                <w:rFonts w:asciiTheme="minorHAnsi" w:hAnsiTheme="minorHAnsi" w:cstheme="minorBidi"/>
                <w:sz w:val="22"/>
                <w:szCs w:val="22"/>
              </w:rPr>
              <w:t>L</w:t>
            </w:r>
            <w:r w:rsidRPr="1D57B863">
              <w:rPr>
                <w:rFonts w:asciiTheme="minorHAnsi" w:hAnsiTheme="minorHAnsi" w:cstheme="minorBidi"/>
                <w:sz w:val="22"/>
                <w:szCs w:val="22"/>
              </w:rPr>
              <w:t>ight</w:t>
            </w:r>
            <w:r w:rsidRPr="1D57B863" w:rsidR="10AEA1A1">
              <w:rPr>
                <w:rFonts w:asciiTheme="minorHAnsi" w:hAnsiTheme="minorHAnsi" w:cstheme="minorBidi"/>
                <w:sz w:val="22"/>
                <w:szCs w:val="22"/>
              </w:rPr>
              <w:t>s</w:t>
            </w:r>
            <w:r w:rsidRPr="1D57B863">
              <w:rPr>
                <w:rFonts w:asciiTheme="minorHAnsi" w:hAnsiTheme="minorHAnsi" w:cstheme="minorBidi"/>
                <w:sz w:val="22"/>
                <w:szCs w:val="22"/>
              </w:rPr>
              <w:t xml:space="preserve">, NutrInform Battery, </w:t>
            </w:r>
            <w:r w:rsidRPr="1D57B863" w:rsidR="3CB3952B">
              <w:rPr>
                <w:rFonts w:asciiTheme="minorHAnsi" w:hAnsiTheme="minorHAnsi" w:cstheme="minorBidi"/>
                <w:sz w:val="22"/>
                <w:szCs w:val="22"/>
              </w:rPr>
              <w:t>Nutri-Score</w:t>
            </w:r>
            <w:r w:rsidRPr="1D57B863">
              <w:rPr>
                <w:rFonts w:asciiTheme="minorHAnsi" w:hAnsiTheme="minorHAnsi" w:cstheme="minorBidi"/>
                <w:sz w:val="22"/>
                <w:szCs w:val="22"/>
              </w:rPr>
              <w:t xml:space="preserve">, Health Star Rating, Guidance Daily Amounts, Warning Labels, Reference Intake, and logos.  </w:t>
            </w:r>
          </w:p>
          <w:p w:rsidR="001C1AB8" w:rsidP="003E7362" w14:paraId="372EE7AA" w14:textId="5E7CA31E">
            <w:pPr>
              <w:pStyle w:val="ListParagraph"/>
              <w:numPr>
                <w:ilvl w:val="0"/>
                <w:numId w:val="4"/>
              </w:numPr>
              <w:rPr>
                <w:rFonts w:asciiTheme="minorHAnsi" w:hAnsiTheme="minorHAnsi" w:cstheme="minorHAnsi"/>
                <w:sz w:val="22"/>
                <w:szCs w:val="22"/>
              </w:rPr>
            </w:pPr>
            <w:r w:rsidRPr="1D57B863">
              <w:rPr>
                <w:rFonts w:asciiTheme="minorHAnsi" w:hAnsiTheme="minorHAnsi" w:cstheme="minorBidi"/>
                <w:sz w:val="22"/>
                <w:szCs w:val="22"/>
              </w:rPr>
              <w:t xml:space="preserve">Studies confirm earlier findings showing that compared to control with no interpretive label, </w:t>
            </w:r>
            <w:r w:rsidRPr="1D57B863" w:rsidR="3CB3952B">
              <w:rPr>
                <w:rFonts w:asciiTheme="minorHAnsi" w:hAnsiTheme="minorHAnsi" w:cstheme="minorBidi"/>
                <w:sz w:val="22"/>
                <w:szCs w:val="22"/>
              </w:rPr>
              <w:t>FOP</w:t>
            </w:r>
            <w:r w:rsidRPr="1D57B863">
              <w:rPr>
                <w:rFonts w:asciiTheme="minorHAnsi" w:hAnsiTheme="minorHAnsi" w:cstheme="minorBidi"/>
                <w:sz w:val="22"/>
                <w:szCs w:val="22"/>
              </w:rPr>
              <w:t xml:space="preserve">s are effective tools to help consumers identify healthier food choices.  </w:t>
            </w:r>
          </w:p>
          <w:p w:rsidR="001C1AB8" w:rsidRPr="00DB351C" w:rsidP="003E7362" w14:paraId="1D7A3F93" w14:textId="240D6634">
            <w:pPr>
              <w:pStyle w:val="ListParagraph"/>
              <w:numPr>
                <w:ilvl w:val="0"/>
                <w:numId w:val="4"/>
              </w:numPr>
              <w:rPr>
                <w:rFonts w:asciiTheme="minorHAnsi" w:hAnsiTheme="minorHAnsi" w:cstheme="minorHAnsi"/>
                <w:sz w:val="22"/>
                <w:szCs w:val="22"/>
              </w:rPr>
            </w:pPr>
            <w:r w:rsidRPr="1D57B863">
              <w:rPr>
                <w:rFonts w:asciiTheme="minorHAnsi" w:hAnsiTheme="minorHAnsi" w:cstheme="minorBidi"/>
                <w:sz w:val="22"/>
                <w:szCs w:val="22"/>
              </w:rPr>
              <w:t>Warning Labels</w:t>
            </w:r>
            <w:r w:rsidRPr="1D57B863" w:rsidR="0109B70A">
              <w:rPr>
                <w:rFonts w:asciiTheme="minorHAnsi" w:hAnsiTheme="minorHAnsi" w:cstheme="minorBidi"/>
                <w:sz w:val="22"/>
                <w:szCs w:val="22"/>
              </w:rPr>
              <w:t xml:space="preserve"> are most effective in helping</w:t>
            </w:r>
            <w:r w:rsidRPr="1D57B863" w:rsidR="6E036DA1">
              <w:rPr>
                <w:rFonts w:asciiTheme="minorHAnsi" w:hAnsiTheme="minorHAnsi" w:cstheme="minorBidi"/>
                <w:sz w:val="22"/>
                <w:szCs w:val="22"/>
              </w:rPr>
              <w:t xml:space="preserve"> consumers</w:t>
            </w:r>
            <w:r w:rsidRPr="1D57B863" w:rsidR="0109B70A">
              <w:rPr>
                <w:rFonts w:asciiTheme="minorHAnsi" w:hAnsiTheme="minorHAnsi" w:cstheme="minorBidi"/>
                <w:sz w:val="22"/>
                <w:szCs w:val="22"/>
              </w:rPr>
              <w:t xml:space="preserve"> to identify “high-in…” products, but </w:t>
            </w:r>
            <w:r w:rsidRPr="1D57B863" w:rsidR="3CB3952B">
              <w:rPr>
                <w:rFonts w:asciiTheme="minorHAnsi" w:hAnsiTheme="minorHAnsi" w:cstheme="minorBidi"/>
                <w:sz w:val="22"/>
                <w:szCs w:val="22"/>
              </w:rPr>
              <w:t>N</w:t>
            </w:r>
            <w:r w:rsidRPr="1D57B863" w:rsidR="10AEA1A1">
              <w:rPr>
                <w:rFonts w:asciiTheme="minorHAnsi" w:hAnsiTheme="minorHAnsi" w:cstheme="minorBidi"/>
                <w:sz w:val="22"/>
                <w:szCs w:val="22"/>
              </w:rPr>
              <w:t>utri-Score</w:t>
            </w:r>
            <w:r w:rsidRPr="1D57B863" w:rsidR="0109B70A">
              <w:rPr>
                <w:rFonts w:asciiTheme="minorHAnsi" w:hAnsiTheme="minorHAnsi" w:cstheme="minorBidi"/>
                <w:sz w:val="22"/>
                <w:szCs w:val="22"/>
              </w:rPr>
              <w:t xml:space="preserve"> and </w:t>
            </w:r>
            <w:r w:rsidRPr="1D57B863" w:rsidR="10AEA1A1">
              <w:rPr>
                <w:rFonts w:asciiTheme="minorHAnsi" w:hAnsiTheme="minorHAnsi" w:cstheme="minorBidi"/>
                <w:sz w:val="22"/>
                <w:szCs w:val="22"/>
              </w:rPr>
              <w:t>NutrInform Battery</w:t>
            </w:r>
            <w:r w:rsidRPr="1D57B863" w:rsidR="0109B70A">
              <w:rPr>
                <w:rFonts w:asciiTheme="minorHAnsi" w:hAnsiTheme="minorHAnsi" w:cstheme="minorBidi"/>
                <w:sz w:val="22"/>
                <w:szCs w:val="22"/>
              </w:rPr>
              <w:t xml:space="preserve"> were effective in helping to identify the healthiest and unhealthiest products</w:t>
            </w:r>
            <w:r w:rsidR="0087042E">
              <w:rPr>
                <w:rFonts w:asciiTheme="minorHAnsi" w:hAnsiTheme="minorHAnsi" w:cstheme="minorBidi"/>
                <w:sz w:val="22"/>
                <w:szCs w:val="22"/>
              </w:rPr>
              <w:t>.</w:t>
            </w:r>
          </w:p>
          <w:p w:rsidR="001C1AB8" w:rsidRPr="00942E38" w:rsidP="003E7362" w14:paraId="75E5A392" w14:textId="1F3C9516">
            <w:pPr>
              <w:pStyle w:val="ListParagraph"/>
              <w:numPr>
                <w:ilvl w:val="0"/>
                <w:numId w:val="4"/>
              </w:numPr>
              <w:rPr>
                <w:rFonts w:asciiTheme="minorHAnsi" w:hAnsiTheme="minorHAnsi" w:cstheme="minorBidi"/>
                <w:sz w:val="22"/>
                <w:szCs w:val="22"/>
              </w:rPr>
            </w:pPr>
            <w:r w:rsidRPr="1D57B863">
              <w:rPr>
                <w:rFonts w:asciiTheme="minorHAnsi" w:hAnsiTheme="minorHAnsi" w:cstheme="minorBidi"/>
                <w:sz w:val="22"/>
                <w:szCs w:val="22"/>
              </w:rPr>
              <w:t xml:space="preserve">However, robust evidence of superiority of a specific </w:t>
            </w:r>
            <w:r w:rsidRPr="1D57B863" w:rsidR="3CB3952B">
              <w:rPr>
                <w:rFonts w:asciiTheme="minorHAnsi" w:hAnsiTheme="minorHAnsi" w:cstheme="minorBidi"/>
                <w:sz w:val="22"/>
                <w:szCs w:val="22"/>
              </w:rPr>
              <w:t>FOP</w:t>
            </w:r>
            <w:r w:rsidRPr="1D57B863">
              <w:rPr>
                <w:rFonts w:asciiTheme="minorHAnsi" w:hAnsiTheme="minorHAnsi" w:cstheme="minorBidi"/>
                <w:sz w:val="22"/>
                <w:szCs w:val="22"/>
              </w:rPr>
              <w:t xml:space="preserve"> scheme’s effect is still lacking. Studies show disagreement in the ability of a given </w:t>
            </w:r>
            <w:r w:rsidRPr="1D57B863" w:rsidR="3CB3952B">
              <w:rPr>
                <w:rFonts w:asciiTheme="minorHAnsi" w:hAnsiTheme="minorHAnsi" w:cstheme="minorBidi"/>
                <w:sz w:val="22"/>
                <w:szCs w:val="22"/>
              </w:rPr>
              <w:t>FOP</w:t>
            </w:r>
            <w:r w:rsidRPr="1D57B863">
              <w:rPr>
                <w:rFonts w:asciiTheme="minorHAnsi" w:hAnsiTheme="minorHAnsi" w:cstheme="minorBidi"/>
                <w:sz w:val="22"/>
                <w:szCs w:val="22"/>
              </w:rPr>
              <w:t xml:space="preserve"> system to always improve consumers’ understanding of nutritional content or food choices. Several studies found no impact of </w:t>
            </w:r>
            <w:r w:rsidRPr="1D57B863" w:rsidR="3CB3952B">
              <w:rPr>
                <w:rFonts w:asciiTheme="minorHAnsi" w:hAnsiTheme="minorHAnsi" w:cstheme="minorBidi"/>
                <w:sz w:val="22"/>
                <w:szCs w:val="22"/>
              </w:rPr>
              <w:t>FOP</w:t>
            </w:r>
            <w:r w:rsidR="00F5024D">
              <w:rPr>
                <w:rFonts w:asciiTheme="minorHAnsi" w:hAnsiTheme="minorHAnsi" w:cstheme="minorBidi"/>
                <w:sz w:val="22"/>
                <w:szCs w:val="22"/>
              </w:rPr>
              <w:t xml:space="preserve"> </w:t>
            </w:r>
            <w:r w:rsidRPr="1D57B863">
              <w:rPr>
                <w:rFonts w:asciiTheme="minorHAnsi" w:hAnsiTheme="minorHAnsi" w:cstheme="minorBidi"/>
                <w:sz w:val="22"/>
                <w:szCs w:val="22"/>
              </w:rPr>
              <w:t>s</w:t>
            </w:r>
            <w:r w:rsidR="00F5024D">
              <w:rPr>
                <w:rFonts w:asciiTheme="minorHAnsi" w:hAnsiTheme="minorHAnsi" w:cstheme="minorBidi"/>
                <w:sz w:val="22"/>
                <w:szCs w:val="22"/>
              </w:rPr>
              <w:t>chemes</w:t>
            </w:r>
            <w:r w:rsidRPr="1D57B863">
              <w:rPr>
                <w:rFonts w:asciiTheme="minorHAnsi" w:hAnsiTheme="minorHAnsi" w:cstheme="minorBidi"/>
                <w:sz w:val="22"/>
                <w:szCs w:val="22"/>
              </w:rPr>
              <w:t xml:space="preserve"> on purchase intentions (Folkvord, 2021; Muzzioli, 2022; Leão, 2022; Medina-Molina, 2021), while one study (Richetin, 2022) found that the presence of an organic label drives the perception of healthiness, and inclusion of </w:t>
            </w:r>
            <w:r w:rsidRPr="1D57B863" w:rsidR="5A72260D">
              <w:rPr>
                <w:rFonts w:asciiTheme="minorHAnsi" w:hAnsiTheme="minorHAnsi" w:cstheme="minorBidi"/>
                <w:sz w:val="22"/>
                <w:szCs w:val="22"/>
              </w:rPr>
              <w:t>Multi</w:t>
            </w:r>
            <w:r w:rsidR="00A1265D">
              <w:rPr>
                <w:rFonts w:asciiTheme="minorHAnsi" w:hAnsiTheme="minorHAnsi" w:cstheme="minorBidi"/>
                <w:sz w:val="22"/>
                <w:szCs w:val="22"/>
              </w:rPr>
              <w:t>ple T</w:t>
            </w:r>
            <w:r w:rsidRPr="1D57B863" w:rsidR="5A72260D">
              <w:rPr>
                <w:rFonts w:asciiTheme="minorHAnsi" w:hAnsiTheme="minorHAnsi" w:cstheme="minorBidi"/>
                <w:sz w:val="22"/>
                <w:szCs w:val="22"/>
              </w:rPr>
              <w:t xml:space="preserve">raffic </w:t>
            </w:r>
            <w:r w:rsidR="00A1265D">
              <w:rPr>
                <w:rFonts w:asciiTheme="minorHAnsi" w:hAnsiTheme="minorHAnsi" w:cstheme="minorBidi"/>
                <w:sz w:val="22"/>
                <w:szCs w:val="22"/>
              </w:rPr>
              <w:t>L</w:t>
            </w:r>
            <w:r w:rsidRPr="1D57B863" w:rsidR="5A72260D">
              <w:rPr>
                <w:rFonts w:asciiTheme="minorHAnsi" w:hAnsiTheme="minorHAnsi" w:cstheme="minorBidi"/>
                <w:sz w:val="22"/>
                <w:szCs w:val="22"/>
              </w:rPr>
              <w:t>ight</w:t>
            </w:r>
            <w:r w:rsidRPr="1D57B863" w:rsidR="25C89715">
              <w:rPr>
                <w:rFonts w:asciiTheme="minorHAnsi" w:hAnsiTheme="minorHAnsi" w:cstheme="minorBidi"/>
                <w:sz w:val="22"/>
                <w:szCs w:val="22"/>
              </w:rPr>
              <w:t xml:space="preserve">s </w:t>
            </w:r>
            <w:r w:rsidRPr="1D57B863">
              <w:rPr>
                <w:rFonts w:asciiTheme="minorHAnsi" w:hAnsiTheme="minorHAnsi" w:cstheme="minorBidi"/>
                <w:sz w:val="22"/>
                <w:szCs w:val="22"/>
              </w:rPr>
              <w:t>did not change that impact.</w:t>
            </w:r>
          </w:p>
          <w:p w:rsidR="001C1AB8" w:rsidRPr="00942E38" w:rsidP="003E7362" w14:paraId="05C10896" w14:textId="77777777">
            <w:pPr>
              <w:pStyle w:val="ListParagraph"/>
              <w:ind w:left="360"/>
              <w:rPr>
                <w:rFonts w:asciiTheme="minorHAnsi" w:hAnsiTheme="minorHAnsi" w:cstheme="minorHAnsi"/>
                <w:sz w:val="22"/>
                <w:szCs w:val="22"/>
              </w:rPr>
            </w:pPr>
          </w:p>
          <w:p w:rsidR="001C1AB8" w:rsidRPr="00942E38" w:rsidP="1D57B863" w14:paraId="59730F5F" w14:textId="4B6495A4">
            <w:pPr>
              <w:rPr>
                <w:rFonts w:asciiTheme="minorHAnsi" w:hAnsiTheme="minorHAnsi" w:cstheme="minorBidi"/>
                <w:sz w:val="22"/>
                <w:szCs w:val="22"/>
              </w:rPr>
            </w:pPr>
            <w:r w:rsidRPr="1D57B863">
              <w:rPr>
                <w:rFonts w:asciiTheme="minorHAnsi" w:hAnsiTheme="minorHAnsi" w:cstheme="minorBidi"/>
                <w:b/>
                <w:bCs/>
                <w:sz w:val="22"/>
                <w:szCs w:val="22"/>
              </w:rPr>
              <w:t xml:space="preserve">Conclusion: </w:t>
            </w:r>
            <w:r w:rsidRPr="1D57B863">
              <w:rPr>
                <w:rFonts w:asciiTheme="minorHAnsi" w:hAnsiTheme="minorHAnsi" w:cstheme="minorBidi"/>
                <w:sz w:val="22"/>
                <w:szCs w:val="22"/>
              </w:rPr>
              <w:t xml:space="preserve">These recent studies suggest that </w:t>
            </w:r>
            <w:r w:rsidRPr="1D57B863" w:rsidR="3CB3952B">
              <w:rPr>
                <w:rFonts w:asciiTheme="minorHAnsi" w:hAnsiTheme="minorHAnsi" w:cstheme="minorBidi"/>
                <w:sz w:val="22"/>
                <w:szCs w:val="22"/>
              </w:rPr>
              <w:t>FOP</w:t>
            </w:r>
            <w:r w:rsidR="00D812F0">
              <w:rPr>
                <w:rFonts w:asciiTheme="minorHAnsi" w:hAnsiTheme="minorHAnsi" w:cstheme="minorBidi"/>
                <w:sz w:val="22"/>
                <w:szCs w:val="22"/>
              </w:rPr>
              <w:t xml:space="preserve"> </w:t>
            </w:r>
            <w:r w:rsidRPr="1D57B863">
              <w:rPr>
                <w:rFonts w:asciiTheme="minorHAnsi" w:hAnsiTheme="minorHAnsi" w:cstheme="minorBidi"/>
                <w:sz w:val="22"/>
                <w:szCs w:val="22"/>
              </w:rPr>
              <w:t>s</w:t>
            </w:r>
            <w:r w:rsidR="00D812F0">
              <w:rPr>
                <w:rFonts w:asciiTheme="minorHAnsi" w:hAnsiTheme="minorHAnsi" w:cstheme="minorBidi"/>
                <w:sz w:val="22"/>
                <w:szCs w:val="22"/>
              </w:rPr>
              <w:t>chemes</w:t>
            </w:r>
            <w:r w:rsidRPr="1D57B863">
              <w:rPr>
                <w:rFonts w:asciiTheme="minorHAnsi" w:hAnsiTheme="minorHAnsi" w:cstheme="minorBidi"/>
                <w:sz w:val="22"/>
                <w:szCs w:val="22"/>
              </w:rPr>
              <w:t xml:space="preserve"> can be effective at helping consumers identify products with higher nutritional quality and </w:t>
            </w:r>
            <w:r w:rsidR="007856BC">
              <w:rPr>
                <w:rFonts w:asciiTheme="minorHAnsi" w:hAnsiTheme="minorHAnsi" w:cstheme="minorBidi"/>
                <w:sz w:val="22"/>
                <w:szCs w:val="22"/>
              </w:rPr>
              <w:t xml:space="preserve">can </w:t>
            </w:r>
            <w:r w:rsidRPr="1D57B863">
              <w:rPr>
                <w:rFonts w:asciiTheme="minorHAnsi" w:hAnsiTheme="minorHAnsi" w:cstheme="minorBidi"/>
                <w:sz w:val="22"/>
                <w:szCs w:val="22"/>
              </w:rPr>
              <w:t xml:space="preserve">positively impact consumers’ intent to purchase healthful foods, </w:t>
            </w:r>
            <w:r w:rsidRPr="1D57B863" w:rsidR="55066474">
              <w:rPr>
                <w:rFonts w:asciiTheme="minorHAnsi" w:hAnsiTheme="minorHAnsi" w:cstheme="minorBidi"/>
                <w:sz w:val="22"/>
                <w:szCs w:val="22"/>
              </w:rPr>
              <w:t xml:space="preserve">with </w:t>
            </w:r>
            <w:r w:rsidRPr="1D57B863" w:rsidR="11FBAB58">
              <w:rPr>
                <w:rFonts w:asciiTheme="minorHAnsi" w:hAnsiTheme="minorHAnsi" w:cstheme="minorBidi"/>
                <w:sz w:val="22"/>
                <w:szCs w:val="22"/>
              </w:rPr>
              <w:t>varying</w:t>
            </w:r>
            <w:r w:rsidRPr="1D57B863" w:rsidR="55066474">
              <w:rPr>
                <w:rFonts w:asciiTheme="minorHAnsi" w:hAnsiTheme="minorHAnsi" w:cstheme="minorBidi"/>
                <w:sz w:val="22"/>
                <w:szCs w:val="22"/>
              </w:rPr>
              <w:t xml:space="preserve"> </w:t>
            </w:r>
            <w:r w:rsidRPr="1D57B863">
              <w:rPr>
                <w:rFonts w:asciiTheme="minorHAnsi" w:hAnsiTheme="minorHAnsi" w:cstheme="minorBidi"/>
                <w:sz w:val="22"/>
                <w:szCs w:val="22"/>
              </w:rPr>
              <w:t xml:space="preserve">results. </w:t>
            </w:r>
          </w:p>
        </w:tc>
      </w:tr>
      <w:tr w14:paraId="49DA3D69" w14:textId="77777777" w:rsidTr="47135738">
        <w:tblPrEx>
          <w:tblW w:w="0" w:type="auto"/>
          <w:tblInd w:w="-5" w:type="dxa"/>
          <w:tblLook w:val="04A0"/>
        </w:tblPrEx>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1AB8" w:rsidRPr="00E91701" w:rsidP="003E7362" w14:paraId="5C3C7E36" w14:textId="77777777">
            <w:pPr>
              <w:rPr>
                <w:b/>
                <w:sz w:val="24"/>
                <w:szCs w:val="24"/>
              </w:rPr>
            </w:pPr>
          </w:p>
          <w:p w:rsidR="001C1AB8" w:rsidRPr="00E91701" w:rsidP="003E7362" w14:paraId="17C2D79A" w14:textId="77777777">
            <w:pPr>
              <w:rPr>
                <w:b/>
                <w:sz w:val="24"/>
                <w:szCs w:val="24"/>
              </w:rPr>
            </w:pPr>
            <w:r w:rsidRPr="00E91701">
              <w:rPr>
                <w:b/>
                <w:sz w:val="24"/>
                <w:szCs w:val="24"/>
              </w:rPr>
              <w:t>Effects on Sales (Purchases) and Consumption</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1AB8" w:rsidRPr="00E91701" w:rsidP="003E7362" w14:paraId="28D5FDB2" w14:textId="77777777">
            <w:pPr>
              <w:pStyle w:val="ListParagraph"/>
              <w:numPr>
                <w:ilvl w:val="0"/>
                <w:numId w:val="4"/>
              </w:numPr>
              <w:rPr>
                <w:rFonts w:asciiTheme="minorHAnsi" w:hAnsiTheme="minorHAnsi" w:cstheme="minorHAnsi"/>
                <w:sz w:val="22"/>
              </w:rPr>
            </w:pPr>
            <w:r w:rsidRPr="1D57B863">
              <w:rPr>
                <w:rFonts w:asciiTheme="minorHAnsi" w:hAnsiTheme="minorHAnsi" w:cstheme="minorBidi"/>
                <w:sz w:val="22"/>
                <w:szCs w:val="22"/>
              </w:rPr>
              <w:t>Our review identified 12 studies in this category, with 8 experimental studies, one survey, two systematic reviews, and one narrative review.</w:t>
            </w:r>
          </w:p>
          <w:p w:rsidR="001C1AB8" w:rsidRPr="00E91701" w:rsidP="003E7362" w14:paraId="34726BD5" w14:textId="7877E14D">
            <w:pPr>
              <w:pStyle w:val="ListParagraph"/>
              <w:numPr>
                <w:ilvl w:val="0"/>
                <w:numId w:val="4"/>
              </w:numPr>
              <w:rPr>
                <w:rFonts w:asciiTheme="minorHAnsi" w:hAnsiTheme="minorHAnsi" w:cstheme="minorHAnsi"/>
              </w:rPr>
            </w:pPr>
            <w:r w:rsidRPr="1D57B863">
              <w:rPr>
                <w:rFonts w:asciiTheme="minorHAnsi" w:hAnsiTheme="minorHAnsi" w:cstheme="minorBidi"/>
                <w:sz w:val="22"/>
                <w:szCs w:val="22"/>
              </w:rPr>
              <w:t xml:space="preserve">These studies were conducted in Australia, Canada, France, Korea, Singapore, Switzerland, the Netherlands, and the United States. Two of the studies </w:t>
            </w:r>
            <w:r w:rsidR="00C42E98">
              <w:rPr>
                <w:rFonts w:asciiTheme="minorHAnsi" w:hAnsiTheme="minorHAnsi" w:cstheme="minorBidi"/>
                <w:sz w:val="22"/>
                <w:szCs w:val="22"/>
              </w:rPr>
              <w:t>assessed findings across several countries</w:t>
            </w:r>
            <w:r w:rsidRPr="1D57B863">
              <w:rPr>
                <w:rFonts w:asciiTheme="minorHAnsi" w:hAnsiTheme="minorHAnsi" w:cstheme="minorBidi"/>
                <w:sz w:val="22"/>
                <w:szCs w:val="22"/>
              </w:rPr>
              <w:t>.</w:t>
            </w:r>
          </w:p>
          <w:p w:rsidR="001C1AB8" w:rsidRPr="00E91701" w:rsidP="1D57B863" w14:paraId="249F9FE0" w14:textId="1B881761">
            <w:pPr>
              <w:pStyle w:val="ListParagraph"/>
              <w:numPr>
                <w:ilvl w:val="0"/>
                <w:numId w:val="4"/>
              </w:numPr>
              <w:rPr>
                <w:rFonts w:asciiTheme="minorHAnsi" w:hAnsiTheme="minorHAnsi" w:cstheme="minorBidi"/>
                <w:sz w:val="22"/>
                <w:szCs w:val="22"/>
              </w:rPr>
            </w:pPr>
            <w:r w:rsidRPr="1D57B863">
              <w:rPr>
                <w:rFonts w:asciiTheme="minorHAnsi" w:hAnsiTheme="minorHAnsi" w:cstheme="minorBidi"/>
                <w:sz w:val="22"/>
                <w:szCs w:val="22"/>
              </w:rPr>
              <w:t xml:space="preserve">FOP labeling systems examined in the identified studies include Multiple Traffic Light, Health Star Rating, Nutri-Couleurs (France) Nutri-Repère (France), </w:t>
            </w:r>
            <w:r w:rsidRPr="1D57B863" w:rsidR="3CB3952B">
              <w:rPr>
                <w:rFonts w:asciiTheme="minorHAnsi" w:hAnsiTheme="minorHAnsi" w:cstheme="minorBidi"/>
                <w:sz w:val="22"/>
                <w:szCs w:val="22"/>
              </w:rPr>
              <w:t>Nutri-Score</w:t>
            </w:r>
            <w:r w:rsidRPr="1D57B863">
              <w:rPr>
                <w:rFonts w:asciiTheme="minorHAnsi" w:hAnsiTheme="minorHAnsi" w:cstheme="minorBidi"/>
                <w:sz w:val="22"/>
                <w:szCs w:val="22"/>
              </w:rPr>
              <w:t>, SENS (</w:t>
            </w:r>
            <w:r w:rsidRPr="1D57B863" w:rsidR="3CB3952B">
              <w:rPr>
                <w:rFonts w:asciiTheme="minorHAnsi" w:hAnsiTheme="minorHAnsi" w:cstheme="minorBidi"/>
                <w:i/>
                <w:iCs/>
                <w:sz w:val="22"/>
                <w:szCs w:val="22"/>
              </w:rPr>
              <w:t>Système d’Etiquetage Nutritionnel Simplifié</w:t>
            </w:r>
            <w:r w:rsidRPr="1D57B863" w:rsidR="3CB3952B">
              <w:rPr>
                <w:rFonts w:asciiTheme="minorHAnsi" w:hAnsiTheme="minorHAnsi" w:cstheme="minorBidi"/>
                <w:sz w:val="22"/>
                <w:szCs w:val="22"/>
              </w:rPr>
              <w:t xml:space="preserve"> [simplified nutrition labelling system]</w:t>
            </w:r>
            <w:r w:rsidRPr="1D57B863">
              <w:rPr>
                <w:rFonts w:asciiTheme="minorHAnsi" w:hAnsiTheme="minorHAnsi" w:cstheme="minorBidi"/>
                <w:sz w:val="22"/>
                <w:szCs w:val="22"/>
              </w:rPr>
              <w:t xml:space="preserve">), Warning Labels, Modified Reference Intakes, pictograms (e.g., sugar teaspoons), </w:t>
            </w:r>
            <w:r w:rsidRPr="1D57B863" w:rsidR="19842F59">
              <w:rPr>
                <w:rFonts w:asciiTheme="minorHAnsi" w:hAnsiTheme="minorHAnsi" w:cstheme="minorBidi"/>
                <w:sz w:val="22"/>
                <w:szCs w:val="22"/>
              </w:rPr>
              <w:t xml:space="preserve">and </w:t>
            </w:r>
            <w:r w:rsidRPr="1D57B863">
              <w:rPr>
                <w:rFonts w:asciiTheme="minorHAnsi" w:hAnsiTheme="minorHAnsi" w:cstheme="minorBidi"/>
                <w:sz w:val="22"/>
                <w:szCs w:val="22"/>
              </w:rPr>
              <w:t>nutrient content claims</w:t>
            </w:r>
          </w:p>
          <w:p w:rsidR="00C8679F" w:rsidRPr="00E91701" w:rsidP="5A3FB1C9" w14:paraId="0B87A6C0" w14:textId="1F3C9C7C">
            <w:pPr>
              <w:pStyle w:val="ListParagraph"/>
              <w:numPr>
                <w:ilvl w:val="0"/>
                <w:numId w:val="4"/>
              </w:numPr>
              <w:rPr>
                <w:rFonts w:asciiTheme="minorHAnsi" w:hAnsiTheme="minorHAnsi" w:cstheme="minorBidi"/>
                <w:sz w:val="22"/>
                <w:szCs w:val="22"/>
              </w:rPr>
            </w:pPr>
            <w:r w:rsidRPr="1D57B863">
              <w:rPr>
                <w:rFonts w:asciiTheme="minorHAnsi" w:hAnsiTheme="minorHAnsi" w:cstheme="minorBidi"/>
                <w:sz w:val="22"/>
                <w:szCs w:val="22"/>
              </w:rPr>
              <w:t xml:space="preserve">Studies continue to make use of online/simulated grocery store shelves and access to real-world sales data, both of which enable researchers to better understand the impact of </w:t>
            </w:r>
            <w:r w:rsidRPr="1D57B863" w:rsidR="3CB3952B">
              <w:rPr>
                <w:rFonts w:asciiTheme="minorHAnsi" w:hAnsiTheme="minorHAnsi" w:cstheme="minorBidi"/>
                <w:sz w:val="22"/>
                <w:szCs w:val="22"/>
              </w:rPr>
              <w:t>FOP</w:t>
            </w:r>
            <w:r w:rsidR="009B10AB">
              <w:rPr>
                <w:rFonts w:asciiTheme="minorHAnsi" w:hAnsiTheme="minorHAnsi" w:cstheme="minorBidi"/>
                <w:sz w:val="22"/>
                <w:szCs w:val="22"/>
              </w:rPr>
              <w:t xml:space="preserve"> label</w:t>
            </w:r>
            <w:r w:rsidRPr="1D57B863">
              <w:rPr>
                <w:rFonts w:asciiTheme="minorHAnsi" w:hAnsiTheme="minorHAnsi" w:cstheme="minorBidi"/>
                <w:sz w:val="22"/>
                <w:szCs w:val="22"/>
              </w:rPr>
              <w:t xml:space="preserve">s on product </w:t>
            </w:r>
            <w:r w:rsidR="00F55F7F">
              <w:rPr>
                <w:rFonts w:asciiTheme="minorHAnsi" w:hAnsiTheme="minorHAnsi" w:cstheme="minorBidi"/>
                <w:sz w:val="22"/>
                <w:szCs w:val="22"/>
              </w:rPr>
              <w:t>purchase</w:t>
            </w:r>
            <w:r w:rsidRPr="1D57B863">
              <w:rPr>
                <w:rFonts w:asciiTheme="minorHAnsi" w:hAnsiTheme="minorHAnsi" w:cstheme="minorBidi"/>
                <w:sz w:val="22"/>
                <w:szCs w:val="22"/>
              </w:rPr>
              <w:t xml:space="preserve">. Overall, there is a positive impact on consumers’ purchases </w:t>
            </w:r>
            <w:r w:rsidRPr="1D57B863">
              <w:rPr>
                <w:rFonts w:asciiTheme="minorHAnsi" w:hAnsiTheme="minorHAnsi" w:cstheme="minorBidi"/>
                <w:sz w:val="22"/>
                <w:szCs w:val="22"/>
              </w:rPr>
              <w:t>as a result of</w:t>
            </w:r>
            <w:r w:rsidRPr="1D57B863">
              <w:rPr>
                <w:rFonts w:asciiTheme="minorHAnsi" w:hAnsiTheme="minorHAnsi" w:cstheme="minorBidi"/>
                <w:sz w:val="22"/>
                <w:szCs w:val="22"/>
              </w:rPr>
              <w:t xml:space="preserve"> the </w:t>
            </w:r>
            <w:r w:rsidRPr="1D57B863" w:rsidR="2AB49BB9">
              <w:rPr>
                <w:rFonts w:asciiTheme="minorHAnsi" w:hAnsiTheme="minorHAnsi" w:cstheme="minorBidi"/>
                <w:sz w:val="22"/>
                <w:szCs w:val="22"/>
              </w:rPr>
              <w:t>presence</w:t>
            </w:r>
            <w:r w:rsidRPr="1D57B863">
              <w:rPr>
                <w:rFonts w:asciiTheme="minorHAnsi" w:hAnsiTheme="minorHAnsi" w:cstheme="minorBidi"/>
                <w:sz w:val="22"/>
                <w:szCs w:val="22"/>
              </w:rPr>
              <w:t xml:space="preserve"> of </w:t>
            </w:r>
            <w:r w:rsidRPr="1D57B863" w:rsidR="3CB3952B">
              <w:rPr>
                <w:rFonts w:asciiTheme="minorHAnsi" w:hAnsiTheme="minorHAnsi" w:cstheme="minorBidi"/>
                <w:sz w:val="22"/>
                <w:szCs w:val="22"/>
              </w:rPr>
              <w:t>FOP</w:t>
            </w:r>
            <w:r w:rsidR="009B10AB">
              <w:rPr>
                <w:rFonts w:asciiTheme="minorHAnsi" w:hAnsiTheme="minorHAnsi" w:cstheme="minorBidi"/>
                <w:sz w:val="22"/>
                <w:szCs w:val="22"/>
              </w:rPr>
              <w:t xml:space="preserve"> label</w:t>
            </w:r>
            <w:r w:rsidRPr="1D57B863">
              <w:rPr>
                <w:rFonts w:asciiTheme="minorHAnsi" w:hAnsiTheme="minorHAnsi" w:cstheme="minorBidi"/>
                <w:sz w:val="22"/>
                <w:szCs w:val="22"/>
              </w:rPr>
              <w:t>s</w:t>
            </w:r>
            <w:r w:rsidRPr="1D57B863" w:rsidR="0C297773">
              <w:rPr>
                <w:rFonts w:asciiTheme="minorHAnsi" w:hAnsiTheme="minorHAnsi" w:cstheme="minorBidi"/>
                <w:sz w:val="22"/>
                <w:szCs w:val="22"/>
              </w:rPr>
              <w:t xml:space="preserve">, with an increase in sales </w:t>
            </w:r>
            <w:r w:rsidRPr="1D57B863" w:rsidR="12F3669E">
              <w:rPr>
                <w:rFonts w:asciiTheme="minorHAnsi" w:hAnsiTheme="minorHAnsi" w:cstheme="minorBidi"/>
                <w:sz w:val="22"/>
                <w:szCs w:val="22"/>
              </w:rPr>
              <w:t xml:space="preserve">of products with healthier </w:t>
            </w:r>
            <w:r w:rsidRPr="1D57B863" w:rsidR="3CB3952B">
              <w:rPr>
                <w:rFonts w:asciiTheme="minorHAnsi" w:hAnsiTheme="minorHAnsi" w:cstheme="minorBidi"/>
                <w:sz w:val="22"/>
                <w:szCs w:val="22"/>
              </w:rPr>
              <w:t>FOP</w:t>
            </w:r>
            <w:r w:rsidRPr="1D57B863" w:rsidR="3354C18C">
              <w:rPr>
                <w:rFonts w:asciiTheme="minorHAnsi" w:hAnsiTheme="minorHAnsi" w:cstheme="minorBidi"/>
                <w:sz w:val="22"/>
                <w:szCs w:val="22"/>
              </w:rPr>
              <w:t xml:space="preserve"> </w:t>
            </w:r>
            <w:r w:rsidRPr="1D57B863" w:rsidR="12F3669E">
              <w:rPr>
                <w:rFonts w:asciiTheme="minorHAnsi" w:hAnsiTheme="minorHAnsi" w:cstheme="minorBidi"/>
                <w:sz w:val="22"/>
                <w:szCs w:val="22"/>
              </w:rPr>
              <w:t xml:space="preserve">scores and </w:t>
            </w:r>
            <w:r w:rsidRPr="1D57B863" w:rsidR="13707117">
              <w:rPr>
                <w:rFonts w:asciiTheme="minorHAnsi" w:hAnsiTheme="minorHAnsi" w:cstheme="minorBidi"/>
                <w:sz w:val="22"/>
                <w:szCs w:val="22"/>
              </w:rPr>
              <w:t xml:space="preserve">a </w:t>
            </w:r>
            <w:r w:rsidRPr="1D57B863" w:rsidR="12F3669E">
              <w:rPr>
                <w:rFonts w:asciiTheme="minorHAnsi" w:hAnsiTheme="minorHAnsi" w:cstheme="minorBidi"/>
                <w:sz w:val="22"/>
                <w:szCs w:val="22"/>
              </w:rPr>
              <w:t xml:space="preserve">decrease in sales </w:t>
            </w:r>
            <w:r w:rsidRPr="1D57B863" w:rsidR="13707117">
              <w:rPr>
                <w:rFonts w:asciiTheme="minorHAnsi" w:hAnsiTheme="minorHAnsi" w:cstheme="minorBidi"/>
                <w:sz w:val="22"/>
                <w:szCs w:val="22"/>
              </w:rPr>
              <w:t>of</w:t>
            </w:r>
            <w:r w:rsidRPr="1D57B863" w:rsidR="12F3669E">
              <w:rPr>
                <w:rFonts w:asciiTheme="minorHAnsi" w:hAnsiTheme="minorHAnsi" w:cstheme="minorBidi"/>
                <w:sz w:val="22"/>
                <w:szCs w:val="22"/>
              </w:rPr>
              <w:t xml:space="preserve"> </w:t>
            </w:r>
            <w:r w:rsidRPr="1D57B863" w:rsidR="13707117">
              <w:rPr>
                <w:rFonts w:asciiTheme="minorHAnsi" w:hAnsiTheme="minorHAnsi" w:cstheme="minorBidi"/>
                <w:sz w:val="22"/>
                <w:szCs w:val="22"/>
              </w:rPr>
              <w:t xml:space="preserve">products displaying </w:t>
            </w:r>
            <w:r w:rsidRPr="1D57B863" w:rsidR="12F3669E">
              <w:rPr>
                <w:rFonts w:asciiTheme="minorHAnsi" w:hAnsiTheme="minorHAnsi" w:cstheme="minorBidi"/>
                <w:sz w:val="22"/>
                <w:szCs w:val="22"/>
              </w:rPr>
              <w:t xml:space="preserve">“high in” warning labels, particularly those indicating </w:t>
            </w:r>
            <w:r w:rsidRPr="1D57B863" w:rsidR="13707117">
              <w:rPr>
                <w:rFonts w:asciiTheme="minorHAnsi" w:hAnsiTheme="minorHAnsi" w:cstheme="minorBidi"/>
                <w:sz w:val="22"/>
                <w:szCs w:val="22"/>
              </w:rPr>
              <w:t xml:space="preserve">the </w:t>
            </w:r>
            <w:r w:rsidRPr="1D57B863" w:rsidR="12F3669E">
              <w:rPr>
                <w:rFonts w:asciiTheme="minorHAnsi" w:hAnsiTheme="minorHAnsi" w:cstheme="minorBidi"/>
                <w:sz w:val="22"/>
                <w:szCs w:val="22"/>
              </w:rPr>
              <w:t>product</w:t>
            </w:r>
            <w:r w:rsidRPr="1D57B863" w:rsidR="13707117">
              <w:rPr>
                <w:rFonts w:asciiTheme="minorHAnsi" w:hAnsiTheme="minorHAnsi" w:cstheme="minorBidi"/>
                <w:sz w:val="22"/>
                <w:szCs w:val="22"/>
              </w:rPr>
              <w:t xml:space="preserve"> is</w:t>
            </w:r>
            <w:r w:rsidRPr="1D57B863" w:rsidR="12F3669E">
              <w:rPr>
                <w:rFonts w:asciiTheme="minorHAnsi" w:hAnsiTheme="minorHAnsi" w:cstheme="minorBidi"/>
                <w:sz w:val="22"/>
                <w:szCs w:val="22"/>
              </w:rPr>
              <w:t xml:space="preserve"> high in sugar</w:t>
            </w:r>
            <w:r w:rsidRPr="1D57B863">
              <w:rPr>
                <w:rFonts w:asciiTheme="minorHAnsi" w:hAnsiTheme="minorHAnsi" w:cstheme="minorBidi"/>
                <w:sz w:val="22"/>
                <w:szCs w:val="22"/>
              </w:rPr>
              <w:t>.</w:t>
            </w:r>
            <w:r w:rsidRPr="1D57B863" w:rsidR="30E80CF9">
              <w:rPr>
                <w:rFonts w:asciiTheme="minorHAnsi" w:hAnsiTheme="minorHAnsi" w:cstheme="minorBidi"/>
                <w:sz w:val="22"/>
                <w:szCs w:val="22"/>
              </w:rPr>
              <w:t xml:space="preserve"> However, a review examining studies of var</w:t>
            </w:r>
            <w:r w:rsidRPr="1D57B863" w:rsidR="00AC1269">
              <w:rPr>
                <w:rFonts w:asciiTheme="minorHAnsi" w:hAnsiTheme="minorHAnsi" w:cstheme="minorBidi"/>
                <w:sz w:val="22"/>
                <w:szCs w:val="22"/>
              </w:rPr>
              <w:t>i</w:t>
            </w:r>
            <w:r w:rsidRPr="1D57B863" w:rsidR="30E80CF9">
              <w:rPr>
                <w:rFonts w:asciiTheme="minorHAnsi" w:hAnsiTheme="minorHAnsi" w:cstheme="minorBidi"/>
                <w:sz w:val="22"/>
                <w:szCs w:val="22"/>
              </w:rPr>
              <w:t xml:space="preserve">ous </w:t>
            </w:r>
            <w:r w:rsidRPr="1D57B863" w:rsidR="3CB3952B">
              <w:rPr>
                <w:rFonts w:asciiTheme="minorHAnsi" w:hAnsiTheme="minorHAnsi" w:cstheme="minorBidi"/>
                <w:sz w:val="22"/>
                <w:szCs w:val="22"/>
              </w:rPr>
              <w:t>FOP</w:t>
            </w:r>
            <w:r w:rsidRPr="1D57B863" w:rsidR="30E80CF9">
              <w:rPr>
                <w:rFonts w:asciiTheme="minorHAnsi" w:hAnsiTheme="minorHAnsi" w:cstheme="minorBidi"/>
                <w:sz w:val="22"/>
                <w:szCs w:val="22"/>
              </w:rPr>
              <w:t xml:space="preserve"> (Donini, 2022) found little evidence that clearly correlates </w:t>
            </w:r>
            <w:r w:rsidRPr="1D57B863" w:rsidR="3CB3952B">
              <w:rPr>
                <w:rFonts w:asciiTheme="minorHAnsi" w:hAnsiTheme="minorHAnsi" w:cstheme="minorBidi"/>
                <w:sz w:val="22"/>
                <w:szCs w:val="22"/>
              </w:rPr>
              <w:t>FOP</w:t>
            </w:r>
            <w:r w:rsidR="009B10AB">
              <w:rPr>
                <w:rFonts w:asciiTheme="minorHAnsi" w:hAnsiTheme="minorHAnsi" w:cstheme="minorBidi"/>
                <w:sz w:val="22"/>
                <w:szCs w:val="22"/>
              </w:rPr>
              <w:t xml:space="preserve"> label</w:t>
            </w:r>
            <w:r w:rsidRPr="1D57B863" w:rsidR="30E80CF9">
              <w:rPr>
                <w:rFonts w:asciiTheme="minorHAnsi" w:hAnsiTheme="minorHAnsi" w:cstheme="minorBidi"/>
                <w:sz w:val="22"/>
                <w:szCs w:val="22"/>
              </w:rPr>
              <w:t>s with health outcomes</w:t>
            </w:r>
            <w:r w:rsidRPr="1D57B863" w:rsidR="12F3669E">
              <w:rPr>
                <w:rFonts w:asciiTheme="minorHAnsi" w:hAnsiTheme="minorHAnsi" w:cstheme="minorBidi"/>
                <w:sz w:val="22"/>
                <w:szCs w:val="22"/>
              </w:rPr>
              <w:t xml:space="preserve"> such as risk of obesity or other non-communicable diseases</w:t>
            </w:r>
            <w:r w:rsidRPr="1D57B863" w:rsidR="03309C1F">
              <w:rPr>
                <w:rFonts w:asciiTheme="minorHAnsi" w:hAnsiTheme="minorHAnsi" w:cstheme="minorBidi"/>
                <w:sz w:val="22"/>
                <w:szCs w:val="22"/>
              </w:rPr>
              <w:t xml:space="preserve">, primarily due to the lack of any long-term </w:t>
            </w:r>
            <w:r w:rsidRPr="1D57B863" w:rsidR="2AB49BB9">
              <w:rPr>
                <w:rFonts w:asciiTheme="minorHAnsi" w:hAnsiTheme="minorHAnsi" w:cstheme="minorBidi"/>
                <w:sz w:val="22"/>
                <w:szCs w:val="22"/>
              </w:rPr>
              <w:t>study periods</w:t>
            </w:r>
            <w:r w:rsidRPr="1D57B863" w:rsidR="12F3669E">
              <w:rPr>
                <w:rFonts w:asciiTheme="minorHAnsi" w:hAnsiTheme="minorHAnsi" w:cstheme="minorBidi"/>
                <w:sz w:val="22"/>
                <w:szCs w:val="22"/>
              </w:rPr>
              <w:t>.</w:t>
            </w:r>
          </w:p>
          <w:p w:rsidR="001C1AB8" w:rsidRPr="00E91701" w:rsidP="1D57B863" w14:paraId="153DD730" w14:textId="008DC82C">
            <w:pPr>
              <w:pStyle w:val="ListParagraph"/>
              <w:numPr>
                <w:ilvl w:val="0"/>
                <w:numId w:val="4"/>
              </w:numPr>
              <w:rPr>
                <w:rFonts w:asciiTheme="minorHAnsi" w:hAnsiTheme="minorHAnsi" w:cstheme="minorBidi"/>
                <w:sz w:val="22"/>
                <w:szCs w:val="22"/>
              </w:rPr>
            </w:pPr>
            <w:r w:rsidRPr="1D57B863">
              <w:rPr>
                <w:rFonts w:asciiTheme="minorHAnsi" w:hAnsiTheme="minorHAnsi" w:cstheme="minorBidi"/>
                <w:sz w:val="22"/>
                <w:szCs w:val="22"/>
              </w:rPr>
              <w:t>N</w:t>
            </w:r>
            <w:r w:rsidRPr="1D57B863" w:rsidR="0109B70A">
              <w:rPr>
                <w:rFonts w:asciiTheme="minorHAnsi" w:hAnsiTheme="minorHAnsi" w:cstheme="minorBidi"/>
                <w:sz w:val="22"/>
                <w:szCs w:val="22"/>
              </w:rPr>
              <w:t xml:space="preserve">ot all </w:t>
            </w:r>
            <w:r w:rsidRPr="1D57B863" w:rsidR="3CB3952B">
              <w:rPr>
                <w:rFonts w:asciiTheme="minorHAnsi" w:hAnsiTheme="minorHAnsi" w:cstheme="minorBidi"/>
                <w:sz w:val="22"/>
                <w:szCs w:val="22"/>
              </w:rPr>
              <w:t>FOP</w:t>
            </w:r>
            <w:r w:rsidR="009B10AB">
              <w:rPr>
                <w:rFonts w:asciiTheme="minorHAnsi" w:hAnsiTheme="minorHAnsi" w:cstheme="minorBidi"/>
                <w:sz w:val="22"/>
                <w:szCs w:val="22"/>
              </w:rPr>
              <w:t xml:space="preserve"> </w:t>
            </w:r>
            <w:r w:rsidRPr="1D57B863" w:rsidR="0109B70A">
              <w:rPr>
                <w:rFonts w:asciiTheme="minorHAnsi" w:hAnsiTheme="minorHAnsi" w:cstheme="minorBidi"/>
                <w:sz w:val="22"/>
                <w:szCs w:val="22"/>
              </w:rPr>
              <w:t>s</w:t>
            </w:r>
            <w:r w:rsidR="009B10AB">
              <w:rPr>
                <w:rFonts w:asciiTheme="minorHAnsi" w:hAnsiTheme="minorHAnsi" w:cstheme="minorBidi"/>
                <w:sz w:val="22"/>
                <w:szCs w:val="22"/>
              </w:rPr>
              <w:t>chemes</w:t>
            </w:r>
            <w:r w:rsidRPr="1D57B863" w:rsidR="0109B70A">
              <w:rPr>
                <w:rFonts w:asciiTheme="minorHAnsi" w:hAnsiTheme="minorHAnsi" w:cstheme="minorBidi"/>
                <w:sz w:val="22"/>
                <w:szCs w:val="22"/>
              </w:rPr>
              <w:t xml:space="preserve"> </w:t>
            </w:r>
            <w:r w:rsidR="004425BD">
              <w:rPr>
                <w:rFonts w:asciiTheme="minorHAnsi" w:hAnsiTheme="minorHAnsi" w:cstheme="minorBidi"/>
                <w:sz w:val="22"/>
                <w:szCs w:val="22"/>
              </w:rPr>
              <w:t>appear to be</w:t>
            </w:r>
            <w:r w:rsidRPr="1D57B863" w:rsidR="0109B70A">
              <w:rPr>
                <w:rFonts w:asciiTheme="minorHAnsi" w:hAnsiTheme="minorHAnsi" w:cstheme="minorBidi"/>
                <w:sz w:val="22"/>
                <w:szCs w:val="22"/>
              </w:rPr>
              <w:t xml:space="preserve"> equally effective. </w:t>
            </w:r>
            <w:r w:rsidRPr="1D57B863" w:rsidR="6F3E31E4">
              <w:rPr>
                <w:rFonts w:asciiTheme="minorHAnsi" w:hAnsiTheme="minorHAnsi" w:cstheme="minorBidi"/>
                <w:sz w:val="22"/>
                <w:szCs w:val="22"/>
              </w:rPr>
              <w:t>Warning Label</w:t>
            </w:r>
            <w:r w:rsidRPr="1D57B863" w:rsidR="0109B70A">
              <w:rPr>
                <w:rFonts w:asciiTheme="minorHAnsi" w:hAnsiTheme="minorHAnsi" w:cstheme="minorBidi"/>
                <w:sz w:val="22"/>
                <w:szCs w:val="22"/>
              </w:rPr>
              <w:t xml:space="preserve">s have shown to be most effective at reducing purchases of products high in a particular nutrient. </w:t>
            </w:r>
            <w:r w:rsidRPr="1D57B863" w:rsidR="0CD929A8">
              <w:rPr>
                <w:rFonts w:asciiTheme="minorHAnsi" w:hAnsiTheme="minorHAnsi" w:cstheme="minorBidi"/>
                <w:sz w:val="22"/>
                <w:szCs w:val="22"/>
              </w:rPr>
              <w:t>D</w:t>
            </w:r>
            <w:r w:rsidRPr="1D57B863" w:rsidR="0273D5C8">
              <w:rPr>
                <w:rFonts w:asciiTheme="minorHAnsi" w:hAnsiTheme="minorHAnsi" w:cstheme="minorBidi"/>
                <w:sz w:val="22"/>
                <w:szCs w:val="22"/>
              </w:rPr>
              <w:t xml:space="preserve">epending on the nuanced study specifics </w:t>
            </w:r>
            <w:r w:rsidRPr="1D57B863" w:rsidR="370DC85A">
              <w:rPr>
                <w:rFonts w:asciiTheme="minorHAnsi" w:hAnsiTheme="minorHAnsi" w:cstheme="minorBidi"/>
                <w:sz w:val="22"/>
                <w:szCs w:val="22"/>
              </w:rPr>
              <w:t>s</w:t>
            </w:r>
            <w:r w:rsidRPr="1D57B863" w:rsidR="0109B70A">
              <w:rPr>
                <w:rFonts w:asciiTheme="minorHAnsi" w:hAnsiTheme="minorHAnsi" w:cstheme="minorBidi"/>
                <w:sz w:val="22"/>
                <w:szCs w:val="22"/>
              </w:rPr>
              <w:t>ummary systems, such as H</w:t>
            </w:r>
            <w:r w:rsidRPr="1D57B863" w:rsidR="3CB3952B">
              <w:rPr>
                <w:rFonts w:asciiTheme="minorHAnsi" w:hAnsiTheme="minorHAnsi" w:cstheme="minorBidi"/>
                <w:sz w:val="22"/>
                <w:szCs w:val="22"/>
              </w:rPr>
              <w:t>ealth Star Rating</w:t>
            </w:r>
            <w:r w:rsidRPr="1D57B863" w:rsidR="0109B70A">
              <w:rPr>
                <w:rFonts w:asciiTheme="minorHAnsi" w:hAnsiTheme="minorHAnsi" w:cstheme="minorBidi"/>
                <w:sz w:val="22"/>
                <w:szCs w:val="22"/>
              </w:rPr>
              <w:t>, M</w:t>
            </w:r>
            <w:r w:rsidRPr="1D57B863" w:rsidR="3CB3952B">
              <w:rPr>
                <w:rFonts w:asciiTheme="minorHAnsi" w:hAnsiTheme="minorHAnsi" w:cstheme="minorBidi"/>
                <w:sz w:val="22"/>
                <w:szCs w:val="22"/>
              </w:rPr>
              <w:t>ultiple Traffic Lights</w:t>
            </w:r>
            <w:r w:rsidRPr="1D57B863" w:rsidR="0109B70A">
              <w:rPr>
                <w:rFonts w:asciiTheme="minorHAnsi" w:hAnsiTheme="minorHAnsi" w:cstheme="minorBidi"/>
                <w:sz w:val="22"/>
                <w:szCs w:val="22"/>
              </w:rPr>
              <w:t xml:space="preserve">, and </w:t>
            </w:r>
            <w:r w:rsidRPr="1D57B863" w:rsidR="3CB3952B">
              <w:rPr>
                <w:rFonts w:asciiTheme="minorHAnsi" w:hAnsiTheme="minorHAnsi" w:cstheme="minorBidi"/>
                <w:sz w:val="22"/>
                <w:szCs w:val="22"/>
              </w:rPr>
              <w:t>Nutri-Score</w:t>
            </w:r>
            <w:r w:rsidRPr="1D57B863" w:rsidR="0109B70A">
              <w:rPr>
                <w:rFonts w:asciiTheme="minorHAnsi" w:hAnsiTheme="minorHAnsi" w:cstheme="minorBidi"/>
                <w:sz w:val="22"/>
                <w:szCs w:val="22"/>
              </w:rPr>
              <w:t xml:space="preserve"> vary in their ability to discourage purchases </w:t>
            </w:r>
            <w:r w:rsidRPr="1D57B863" w:rsidR="79328038">
              <w:rPr>
                <w:rFonts w:asciiTheme="minorHAnsi" w:hAnsiTheme="minorHAnsi" w:cstheme="minorBidi"/>
                <w:sz w:val="22"/>
                <w:szCs w:val="22"/>
              </w:rPr>
              <w:t xml:space="preserve">of products </w:t>
            </w:r>
            <w:r w:rsidRPr="1D57B863" w:rsidR="0109B70A">
              <w:rPr>
                <w:rFonts w:asciiTheme="minorHAnsi" w:hAnsiTheme="minorHAnsi" w:cstheme="minorBidi"/>
                <w:sz w:val="22"/>
                <w:szCs w:val="22"/>
              </w:rPr>
              <w:t>with high levels of nutrients of concern or in improving overall purchases of healthier products</w:t>
            </w:r>
            <w:r w:rsidR="003E3B5A">
              <w:rPr>
                <w:rFonts w:asciiTheme="minorHAnsi" w:hAnsiTheme="minorHAnsi" w:cstheme="minorBidi"/>
                <w:sz w:val="22"/>
                <w:szCs w:val="22"/>
              </w:rPr>
              <w:t>.</w:t>
            </w:r>
            <w:r w:rsidRPr="1D57B863" w:rsidR="44C74E1B">
              <w:rPr>
                <w:rFonts w:asciiTheme="minorHAnsi" w:hAnsiTheme="minorHAnsi" w:cstheme="minorBidi"/>
                <w:sz w:val="22"/>
                <w:szCs w:val="22"/>
              </w:rPr>
              <w:t xml:space="preserve"> </w:t>
            </w:r>
          </w:p>
          <w:p w:rsidR="001C1AB8" w:rsidRPr="00E91701" w:rsidP="1D57B863" w14:paraId="007504F0" w14:textId="7A3133AD">
            <w:pPr>
              <w:pStyle w:val="ListParagraph"/>
              <w:numPr>
                <w:ilvl w:val="0"/>
                <w:numId w:val="4"/>
              </w:numPr>
              <w:rPr>
                <w:rFonts w:asciiTheme="minorHAnsi" w:hAnsiTheme="minorHAnsi" w:cstheme="minorBidi"/>
                <w:sz w:val="22"/>
                <w:szCs w:val="22"/>
              </w:rPr>
            </w:pPr>
            <w:r w:rsidRPr="1D57B863">
              <w:rPr>
                <w:rFonts w:asciiTheme="minorHAnsi" w:hAnsiTheme="minorHAnsi" w:cstheme="minorBidi"/>
                <w:sz w:val="22"/>
                <w:szCs w:val="22"/>
              </w:rPr>
              <w:t xml:space="preserve">In one study (Dubois, 2021), </w:t>
            </w:r>
            <w:r w:rsidRPr="1D57B863" w:rsidR="2AB49BB9">
              <w:rPr>
                <w:rFonts w:asciiTheme="minorHAnsi" w:hAnsiTheme="minorHAnsi" w:cstheme="minorBidi"/>
                <w:sz w:val="22"/>
                <w:szCs w:val="22"/>
              </w:rPr>
              <w:t xml:space="preserve">sales data from 60 supermarkets showed that </w:t>
            </w:r>
            <w:r w:rsidRPr="1D57B863">
              <w:rPr>
                <w:rFonts w:asciiTheme="minorHAnsi" w:hAnsiTheme="minorHAnsi" w:cstheme="minorBidi"/>
                <w:sz w:val="22"/>
                <w:szCs w:val="22"/>
              </w:rPr>
              <w:t xml:space="preserve">consumers </w:t>
            </w:r>
            <w:r w:rsidRPr="1D57B863" w:rsidR="72729EB6">
              <w:rPr>
                <w:rFonts w:asciiTheme="minorHAnsi" w:hAnsiTheme="minorHAnsi" w:cstheme="minorBidi"/>
                <w:sz w:val="22"/>
                <w:szCs w:val="22"/>
              </w:rPr>
              <w:t xml:space="preserve">who saw products labeled </w:t>
            </w:r>
            <w:r w:rsidRPr="1D57B863">
              <w:rPr>
                <w:rFonts w:asciiTheme="minorHAnsi" w:hAnsiTheme="minorHAnsi" w:cstheme="minorBidi"/>
                <w:sz w:val="22"/>
                <w:szCs w:val="22"/>
              </w:rPr>
              <w:t xml:space="preserve">with </w:t>
            </w:r>
            <w:r w:rsidRPr="1D57B863" w:rsidR="3CB3952B">
              <w:rPr>
                <w:rFonts w:asciiTheme="minorHAnsi" w:hAnsiTheme="minorHAnsi" w:cstheme="minorBidi"/>
                <w:sz w:val="22"/>
                <w:szCs w:val="22"/>
              </w:rPr>
              <w:t>Nutri-Score</w:t>
            </w:r>
            <w:r w:rsidRPr="1D57B863">
              <w:rPr>
                <w:rFonts w:asciiTheme="minorHAnsi" w:hAnsiTheme="minorHAnsi" w:cstheme="minorBidi"/>
                <w:sz w:val="22"/>
                <w:szCs w:val="22"/>
              </w:rPr>
              <w:t xml:space="preserve"> increased purchases of foods in the top third (i.e., healthiest) of the</w:t>
            </w:r>
            <w:r w:rsidRPr="1D57B863" w:rsidR="72729EB6">
              <w:rPr>
                <w:rFonts w:asciiTheme="minorHAnsi" w:hAnsiTheme="minorHAnsi" w:cstheme="minorBidi"/>
                <w:sz w:val="22"/>
                <w:szCs w:val="22"/>
              </w:rPr>
              <w:t xml:space="preserve"> food</w:t>
            </w:r>
            <w:r w:rsidRPr="1D57B863">
              <w:rPr>
                <w:rFonts w:asciiTheme="minorHAnsi" w:hAnsiTheme="minorHAnsi" w:cstheme="minorBidi"/>
                <w:sz w:val="22"/>
                <w:szCs w:val="22"/>
              </w:rPr>
              <w:t xml:space="preserve"> category, but there was no change for purchases with medium, low, or unlabeled</w:t>
            </w:r>
            <w:r w:rsidRPr="1D57B863" w:rsidR="08DE7C7C">
              <w:rPr>
                <w:rFonts w:asciiTheme="minorHAnsi" w:hAnsiTheme="minorHAnsi" w:cstheme="minorBidi"/>
                <w:sz w:val="22"/>
                <w:szCs w:val="22"/>
              </w:rPr>
              <w:t xml:space="preserve"> nutrient</w:t>
            </w:r>
            <w:r w:rsidRPr="1D57B863" w:rsidR="12F3669E">
              <w:rPr>
                <w:rFonts w:asciiTheme="minorHAnsi" w:hAnsiTheme="minorHAnsi" w:cstheme="minorBidi"/>
                <w:sz w:val="22"/>
                <w:szCs w:val="22"/>
              </w:rPr>
              <w:t xml:space="preserve"> </w:t>
            </w:r>
            <w:r w:rsidRPr="1D57B863">
              <w:rPr>
                <w:rFonts w:asciiTheme="minorHAnsi" w:hAnsiTheme="minorHAnsi" w:cstheme="minorBidi"/>
                <w:sz w:val="22"/>
                <w:szCs w:val="22"/>
              </w:rPr>
              <w:t xml:space="preserve">quality. The net result was a modest improvement in </w:t>
            </w:r>
            <w:r w:rsidRPr="1D57B863" w:rsidR="4B0F15DA">
              <w:rPr>
                <w:rFonts w:asciiTheme="minorHAnsi" w:hAnsiTheme="minorHAnsi" w:cstheme="minorBidi"/>
                <w:sz w:val="22"/>
                <w:szCs w:val="22"/>
              </w:rPr>
              <w:t xml:space="preserve">the </w:t>
            </w:r>
            <w:r w:rsidRPr="1D57B863">
              <w:rPr>
                <w:rFonts w:asciiTheme="minorHAnsi" w:hAnsiTheme="minorHAnsi" w:cstheme="minorBidi"/>
                <w:sz w:val="22"/>
                <w:szCs w:val="22"/>
              </w:rPr>
              <w:t>overall nutritional quality</w:t>
            </w:r>
            <w:r w:rsidRPr="1D57B863" w:rsidR="2D208DD0">
              <w:rPr>
                <w:rFonts w:asciiTheme="minorHAnsi" w:hAnsiTheme="minorHAnsi" w:cstheme="minorBidi"/>
                <w:sz w:val="22"/>
                <w:szCs w:val="22"/>
              </w:rPr>
              <w:t xml:space="preserve"> of the purchased foods</w:t>
            </w:r>
            <w:r w:rsidRPr="1D57B863" w:rsidR="44EA2464">
              <w:rPr>
                <w:rFonts w:asciiTheme="minorHAnsi" w:hAnsiTheme="minorHAnsi" w:cstheme="minorBidi"/>
                <w:sz w:val="22"/>
                <w:szCs w:val="22"/>
              </w:rPr>
              <w:t>.</w:t>
            </w:r>
            <w:r w:rsidRPr="1D57B863">
              <w:rPr>
                <w:rFonts w:asciiTheme="minorHAnsi" w:hAnsiTheme="minorHAnsi" w:cstheme="minorBidi"/>
                <w:sz w:val="22"/>
                <w:szCs w:val="22"/>
              </w:rPr>
              <w:t xml:space="preserve"> Another study (Acton, 2021) </w:t>
            </w:r>
            <w:r w:rsidR="00A20516">
              <w:rPr>
                <w:rFonts w:asciiTheme="minorHAnsi" w:hAnsiTheme="minorHAnsi" w:cstheme="minorBidi"/>
                <w:sz w:val="22"/>
                <w:szCs w:val="22"/>
              </w:rPr>
              <w:t>found</w:t>
            </w:r>
            <w:r w:rsidRPr="1D57B863">
              <w:rPr>
                <w:rFonts w:asciiTheme="minorHAnsi" w:hAnsiTheme="minorHAnsi" w:cstheme="minorBidi"/>
                <w:sz w:val="22"/>
                <w:szCs w:val="22"/>
              </w:rPr>
              <w:t xml:space="preserve"> that </w:t>
            </w:r>
            <w:r w:rsidRPr="1D57B863" w:rsidR="6F3E31E4">
              <w:rPr>
                <w:rFonts w:asciiTheme="minorHAnsi" w:hAnsiTheme="minorHAnsi" w:cstheme="minorBidi"/>
                <w:sz w:val="22"/>
                <w:szCs w:val="22"/>
              </w:rPr>
              <w:t>Warning Labels</w:t>
            </w:r>
            <w:r w:rsidRPr="1D57B863">
              <w:rPr>
                <w:rFonts w:asciiTheme="minorHAnsi" w:hAnsiTheme="minorHAnsi" w:cstheme="minorBidi"/>
                <w:sz w:val="22"/>
                <w:szCs w:val="22"/>
              </w:rPr>
              <w:t xml:space="preserve"> and M</w:t>
            </w:r>
            <w:r w:rsidRPr="1D57B863" w:rsidR="6F3E31E4">
              <w:rPr>
                <w:rFonts w:asciiTheme="minorHAnsi" w:hAnsiTheme="minorHAnsi" w:cstheme="minorBidi"/>
                <w:sz w:val="22"/>
                <w:szCs w:val="22"/>
              </w:rPr>
              <w:t>ultiple Traffic Light</w:t>
            </w:r>
            <w:r w:rsidRPr="1D57B863" w:rsidR="16442958">
              <w:rPr>
                <w:rFonts w:asciiTheme="minorHAnsi" w:hAnsiTheme="minorHAnsi" w:cstheme="minorBidi"/>
                <w:sz w:val="22"/>
                <w:szCs w:val="22"/>
              </w:rPr>
              <w:t xml:space="preserve"> symbols </w:t>
            </w:r>
            <w:r w:rsidRPr="1D57B863">
              <w:rPr>
                <w:rFonts w:asciiTheme="minorHAnsi" w:hAnsiTheme="minorHAnsi" w:cstheme="minorBidi"/>
                <w:sz w:val="22"/>
                <w:szCs w:val="22"/>
              </w:rPr>
              <w:t xml:space="preserve">were more effective at discouraging purchases </w:t>
            </w:r>
            <w:r w:rsidRPr="1D57B863" w:rsidR="12F3669E">
              <w:rPr>
                <w:rFonts w:asciiTheme="minorHAnsi" w:hAnsiTheme="minorHAnsi" w:cstheme="minorBidi"/>
                <w:sz w:val="22"/>
                <w:szCs w:val="22"/>
              </w:rPr>
              <w:t xml:space="preserve">of products high in nutrients </w:t>
            </w:r>
            <w:r w:rsidRPr="1D57B863" w:rsidR="3808AF42">
              <w:rPr>
                <w:rFonts w:asciiTheme="minorHAnsi" w:hAnsiTheme="minorHAnsi" w:cstheme="minorBidi"/>
                <w:sz w:val="22"/>
                <w:szCs w:val="22"/>
              </w:rPr>
              <w:t>to limit</w:t>
            </w:r>
            <w:r w:rsidRPr="1D57B863" w:rsidR="12F3669E">
              <w:rPr>
                <w:rFonts w:asciiTheme="minorHAnsi" w:hAnsiTheme="minorHAnsi" w:cstheme="minorBidi"/>
                <w:sz w:val="22"/>
                <w:szCs w:val="22"/>
              </w:rPr>
              <w:t xml:space="preserve"> </w:t>
            </w:r>
            <w:r w:rsidRPr="1D57B863">
              <w:rPr>
                <w:rFonts w:asciiTheme="minorHAnsi" w:hAnsiTheme="minorHAnsi" w:cstheme="minorBidi"/>
                <w:sz w:val="22"/>
                <w:szCs w:val="22"/>
              </w:rPr>
              <w:t xml:space="preserve">than positive </w:t>
            </w:r>
            <w:r w:rsidRPr="1D57B863" w:rsidR="03309C1F">
              <w:rPr>
                <w:rFonts w:asciiTheme="minorHAnsi" w:hAnsiTheme="minorHAnsi" w:cstheme="minorBidi"/>
                <w:sz w:val="22"/>
                <w:szCs w:val="22"/>
              </w:rPr>
              <w:t>H</w:t>
            </w:r>
            <w:r w:rsidRPr="1D57B863" w:rsidR="3CB3952B">
              <w:rPr>
                <w:rFonts w:asciiTheme="minorHAnsi" w:hAnsiTheme="minorHAnsi" w:cstheme="minorBidi"/>
                <w:sz w:val="22"/>
                <w:szCs w:val="22"/>
              </w:rPr>
              <w:t>ealth Star Rating</w:t>
            </w:r>
            <w:r w:rsidRPr="1D57B863" w:rsidR="03309C1F">
              <w:rPr>
                <w:rFonts w:asciiTheme="minorHAnsi" w:hAnsiTheme="minorHAnsi" w:cstheme="minorBidi"/>
                <w:sz w:val="22"/>
                <w:szCs w:val="22"/>
              </w:rPr>
              <w:t xml:space="preserve"> or </w:t>
            </w:r>
            <w:r w:rsidRPr="1D57B863" w:rsidR="3CB3952B">
              <w:rPr>
                <w:rFonts w:asciiTheme="minorHAnsi" w:hAnsiTheme="minorHAnsi" w:cstheme="minorBidi"/>
                <w:sz w:val="22"/>
                <w:szCs w:val="22"/>
              </w:rPr>
              <w:t>Nutri-Score</w:t>
            </w:r>
            <w:r w:rsidRPr="1D57B863" w:rsidR="03309C1F">
              <w:rPr>
                <w:rFonts w:asciiTheme="minorHAnsi" w:hAnsiTheme="minorHAnsi" w:cstheme="minorBidi"/>
                <w:sz w:val="22"/>
                <w:szCs w:val="22"/>
              </w:rPr>
              <w:t xml:space="preserve"> scores</w:t>
            </w:r>
            <w:r w:rsidRPr="1D57B863" w:rsidR="30E80CF9">
              <w:rPr>
                <w:rFonts w:asciiTheme="minorHAnsi" w:hAnsiTheme="minorHAnsi" w:cstheme="minorBidi"/>
                <w:sz w:val="22"/>
                <w:szCs w:val="22"/>
              </w:rPr>
              <w:t xml:space="preserve"> were </w:t>
            </w:r>
            <w:r w:rsidRPr="1D57B863" w:rsidR="03309C1F">
              <w:rPr>
                <w:rFonts w:asciiTheme="minorHAnsi" w:hAnsiTheme="minorHAnsi" w:cstheme="minorBidi"/>
                <w:sz w:val="22"/>
                <w:szCs w:val="22"/>
              </w:rPr>
              <w:t>at encouraging purchases of healthier products</w:t>
            </w:r>
            <w:r w:rsidRPr="1D57B863">
              <w:rPr>
                <w:rFonts w:asciiTheme="minorHAnsi" w:hAnsiTheme="minorHAnsi" w:cstheme="minorBidi"/>
                <w:sz w:val="22"/>
                <w:szCs w:val="22"/>
              </w:rPr>
              <w:t xml:space="preserve">. And a third study (Kühne, 2022) found that although </w:t>
            </w:r>
            <w:r w:rsidRPr="1D57B863" w:rsidR="3CB3952B">
              <w:rPr>
                <w:rFonts w:asciiTheme="minorHAnsi" w:hAnsiTheme="minorHAnsi" w:cstheme="minorBidi"/>
                <w:sz w:val="22"/>
                <w:szCs w:val="22"/>
              </w:rPr>
              <w:t>FOP</w:t>
            </w:r>
            <w:r w:rsidR="00D72E24">
              <w:rPr>
                <w:rFonts w:asciiTheme="minorHAnsi" w:hAnsiTheme="minorHAnsi" w:cstheme="minorBidi"/>
                <w:sz w:val="22"/>
                <w:szCs w:val="22"/>
              </w:rPr>
              <w:t xml:space="preserve"> label</w:t>
            </w:r>
            <w:r w:rsidRPr="1D57B863">
              <w:rPr>
                <w:rFonts w:asciiTheme="minorHAnsi" w:hAnsiTheme="minorHAnsi" w:cstheme="minorBidi"/>
                <w:sz w:val="22"/>
                <w:szCs w:val="22"/>
              </w:rPr>
              <w:t xml:space="preserve">s boosted healthy food product sales, more products and calories were purchased, such that use of the </w:t>
            </w:r>
            <w:r w:rsidRPr="1D57B863" w:rsidR="3CB3952B">
              <w:rPr>
                <w:rFonts w:asciiTheme="minorHAnsi" w:hAnsiTheme="minorHAnsi" w:cstheme="minorBidi"/>
                <w:sz w:val="22"/>
                <w:szCs w:val="22"/>
              </w:rPr>
              <w:t>FOP</w:t>
            </w:r>
            <w:r w:rsidR="00D72E24">
              <w:rPr>
                <w:rFonts w:asciiTheme="minorHAnsi" w:hAnsiTheme="minorHAnsi" w:cstheme="minorBidi"/>
                <w:sz w:val="22"/>
                <w:szCs w:val="22"/>
              </w:rPr>
              <w:t xml:space="preserve"> label</w:t>
            </w:r>
            <w:r w:rsidRPr="1D57B863">
              <w:rPr>
                <w:rFonts w:asciiTheme="minorHAnsi" w:hAnsiTheme="minorHAnsi" w:cstheme="minorBidi"/>
                <w:sz w:val="22"/>
                <w:szCs w:val="22"/>
              </w:rPr>
              <w:t xml:space="preserve">s did not result in </w:t>
            </w:r>
            <w:r w:rsidR="00E919E5">
              <w:rPr>
                <w:rFonts w:asciiTheme="minorHAnsi" w:hAnsiTheme="minorHAnsi" w:cstheme="minorBidi"/>
                <w:sz w:val="22"/>
                <w:szCs w:val="22"/>
              </w:rPr>
              <w:t>a</w:t>
            </w:r>
            <w:r w:rsidRPr="1D57B863">
              <w:rPr>
                <w:rFonts w:asciiTheme="minorHAnsi" w:hAnsiTheme="minorHAnsi" w:cstheme="minorBidi"/>
                <w:sz w:val="22"/>
                <w:szCs w:val="22"/>
              </w:rPr>
              <w:t xml:space="preserve"> reduction</w:t>
            </w:r>
            <w:r w:rsidR="00E919E5">
              <w:rPr>
                <w:rFonts w:asciiTheme="minorHAnsi" w:hAnsiTheme="minorHAnsi" w:cstheme="minorBidi"/>
                <w:sz w:val="22"/>
                <w:szCs w:val="22"/>
              </w:rPr>
              <w:t xml:space="preserve"> of</w:t>
            </w:r>
            <w:r w:rsidRPr="1D57B863">
              <w:rPr>
                <w:rFonts w:asciiTheme="minorHAnsi" w:hAnsiTheme="minorHAnsi" w:cstheme="minorBidi"/>
                <w:sz w:val="22"/>
                <w:szCs w:val="22"/>
              </w:rPr>
              <w:t xml:space="preserve"> calorie</w:t>
            </w:r>
            <w:r w:rsidR="00E919E5">
              <w:rPr>
                <w:rFonts w:asciiTheme="minorHAnsi" w:hAnsiTheme="minorHAnsi" w:cstheme="minorBidi"/>
                <w:sz w:val="22"/>
                <w:szCs w:val="22"/>
              </w:rPr>
              <w:t>s purchased</w:t>
            </w:r>
            <w:r w:rsidRPr="1D57B863">
              <w:rPr>
                <w:rFonts w:asciiTheme="minorHAnsi" w:hAnsiTheme="minorHAnsi" w:cstheme="minorBidi"/>
                <w:sz w:val="22"/>
                <w:szCs w:val="22"/>
              </w:rPr>
              <w:t>.</w:t>
            </w:r>
          </w:p>
          <w:p w:rsidR="001C1AB8" w:rsidRPr="00E91701" w:rsidP="1D57B863" w14:paraId="244B1D04" w14:textId="1AA7137A">
            <w:pPr>
              <w:pStyle w:val="ListParagraph"/>
              <w:numPr>
                <w:ilvl w:val="0"/>
                <w:numId w:val="4"/>
              </w:numPr>
              <w:rPr>
                <w:rFonts w:asciiTheme="minorHAnsi" w:hAnsiTheme="minorHAnsi" w:cstheme="minorBidi"/>
                <w:sz w:val="22"/>
                <w:szCs w:val="22"/>
              </w:rPr>
            </w:pPr>
            <w:r w:rsidRPr="1D57B863">
              <w:rPr>
                <w:rFonts w:asciiTheme="minorHAnsi" w:hAnsiTheme="minorHAnsi" w:cstheme="minorBidi"/>
                <w:sz w:val="22"/>
                <w:szCs w:val="22"/>
              </w:rPr>
              <w:t xml:space="preserve">Results are somewhat clearer when assessing the impact of </w:t>
            </w:r>
            <w:r w:rsidRPr="1D57B863" w:rsidR="3CB3952B">
              <w:rPr>
                <w:rFonts w:asciiTheme="minorHAnsi" w:hAnsiTheme="minorHAnsi" w:cstheme="minorBidi"/>
                <w:sz w:val="22"/>
                <w:szCs w:val="22"/>
              </w:rPr>
              <w:t>FOP</w:t>
            </w:r>
            <w:r w:rsidRPr="1D57B863">
              <w:rPr>
                <w:rFonts w:asciiTheme="minorHAnsi" w:hAnsiTheme="minorHAnsi" w:cstheme="minorBidi"/>
                <w:sz w:val="22"/>
                <w:szCs w:val="22"/>
              </w:rPr>
              <w:t>s on reducing purchases of products high in added sugar. Studies</w:t>
            </w:r>
            <w:r w:rsidRPr="1D57B863" w:rsidR="03309C1F">
              <w:rPr>
                <w:rFonts w:asciiTheme="minorHAnsi" w:hAnsiTheme="minorHAnsi" w:cstheme="minorBidi"/>
                <w:sz w:val="22"/>
                <w:szCs w:val="22"/>
              </w:rPr>
              <w:t xml:space="preserve"> from Australia </w:t>
            </w:r>
            <w:r w:rsidRPr="1D57B863">
              <w:rPr>
                <w:rFonts w:asciiTheme="minorHAnsi" w:hAnsiTheme="minorHAnsi" w:cstheme="minorBidi"/>
                <w:sz w:val="22"/>
                <w:szCs w:val="22"/>
              </w:rPr>
              <w:t>(Miller, 2022a</w:t>
            </w:r>
            <w:r w:rsidRPr="1D57B863" w:rsidR="03309C1F">
              <w:rPr>
                <w:rFonts w:asciiTheme="minorHAnsi" w:hAnsiTheme="minorHAnsi" w:cstheme="minorBidi"/>
                <w:sz w:val="22"/>
                <w:szCs w:val="22"/>
              </w:rPr>
              <w:t xml:space="preserve">), the United States (Taillie, 2022) and a review that </w:t>
            </w:r>
            <w:r w:rsidR="00C847A9">
              <w:rPr>
                <w:rFonts w:asciiTheme="minorHAnsi" w:hAnsiTheme="minorHAnsi" w:cstheme="minorBidi"/>
                <w:sz w:val="22"/>
                <w:szCs w:val="22"/>
              </w:rPr>
              <w:t>assessed findings across several countries</w:t>
            </w:r>
            <w:r w:rsidRPr="1D57B863" w:rsidR="03309C1F">
              <w:rPr>
                <w:rFonts w:asciiTheme="minorHAnsi" w:hAnsiTheme="minorHAnsi" w:cstheme="minorBidi"/>
                <w:sz w:val="22"/>
                <w:szCs w:val="22"/>
              </w:rPr>
              <w:t xml:space="preserve"> (</w:t>
            </w:r>
            <w:r w:rsidRPr="1D57B863">
              <w:rPr>
                <w:rFonts w:asciiTheme="minorHAnsi" w:hAnsiTheme="minorHAnsi" w:cstheme="minorBidi"/>
                <w:sz w:val="22"/>
                <w:szCs w:val="22"/>
              </w:rPr>
              <w:t>Scapin, 2021</w:t>
            </w:r>
            <w:r w:rsidRPr="1D57B863" w:rsidR="03309C1F">
              <w:rPr>
                <w:rFonts w:asciiTheme="minorHAnsi" w:hAnsiTheme="minorHAnsi" w:cstheme="minorBidi"/>
                <w:sz w:val="22"/>
                <w:szCs w:val="22"/>
              </w:rPr>
              <w:t>)</w:t>
            </w:r>
            <w:r w:rsidRPr="1D57B863">
              <w:rPr>
                <w:rFonts w:asciiTheme="minorHAnsi" w:hAnsiTheme="minorHAnsi" w:cstheme="minorBidi"/>
                <w:sz w:val="22"/>
                <w:szCs w:val="22"/>
              </w:rPr>
              <w:t xml:space="preserve"> </w:t>
            </w:r>
            <w:r w:rsidRPr="1D57B863" w:rsidR="6B90D7E6">
              <w:rPr>
                <w:rFonts w:asciiTheme="minorHAnsi" w:hAnsiTheme="minorHAnsi" w:cstheme="minorBidi"/>
                <w:sz w:val="22"/>
                <w:szCs w:val="22"/>
              </w:rPr>
              <w:t xml:space="preserve">reported that </w:t>
            </w:r>
            <w:r w:rsidRPr="1D57B863" w:rsidR="16442958">
              <w:rPr>
                <w:rFonts w:asciiTheme="minorHAnsi" w:hAnsiTheme="minorHAnsi" w:cstheme="minorBidi"/>
                <w:sz w:val="22"/>
                <w:szCs w:val="22"/>
              </w:rPr>
              <w:t>Warning Labels</w:t>
            </w:r>
            <w:r w:rsidRPr="1D57B863">
              <w:rPr>
                <w:rFonts w:asciiTheme="minorHAnsi" w:hAnsiTheme="minorHAnsi" w:cstheme="minorBidi"/>
                <w:sz w:val="22"/>
                <w:szCs w:val="22"/>
              </w:rPr>
              <w:t xml:space="preserve"> (both text and image-based) </w:t>
            </w:r>
            <w:r w:rsidRPr="4C9BFAA2" w:rsidR="71047AAA">
              <w:rPr>
                <w:rFonts w:asciiTheme="minorHAnsi" w:hAnsiTheme="minorHAnsi" w:cstheme="minorBidi"/>
                <w:sz w:val="22"/>
                <w:szCs w:val="22"/>
              </w:rPr>
              <w:t>in</w:t>
            </w:r>
            <w:r w:rsidRPr="4C9BFAA2" w:rsidR="2A213AA2">
              <w:rPr>
                <w:rFonts w:asciiTheme="minorHAnsi" w:hAnsiTheme="minorHAnsi" w:cstheme="minorBidi"/>
                <w:sz w:val="22"/>
                <w:szCs w:val="22"/>
              </w:rPr>
              <w:t>crease</w:t>
            </w:r>
            <w:r w:rsidRPr="4C9BFAA2" w:rsidR="53394D18">
              <w:rPr>
                <w:rFonts w:asciiTheme="minorHAnsi" w:hAnsiTheme="minorHAnsi" w:cstheme="minorBidi"/>
                <w:sz w:val="22"/>
                <w:szCs w:val="22"/>
              </w:rPr>
              <w:t>d</w:t>
            </w:r>
            <w:r w:rsidRPr="1D57B863">
              <w:rPr>
                <w:rFonts w:asciiTheme="minorHAnsi" w:hAnsiTheme="minorHAnsi" w:cstheme="minorBidi"/>
                <w:sz w:val="22"/>
                <w:szCs w:val="22"/>
              </w:rPr>
              <w:t xml:space="preserve"> the likelihood that consumers would </w:t>
            </w:r>
            <w:r w:rsidRPr="1D57B863" w:rsidR="67BFAAF6">
              <w:rPr>
                <w:rFonts w:asciiTheme="minorHAnsi" w:hAnsiTheme="minorHAnsi" w:cstheme="minorBidi"/>
                <w:sz w:val="22"/>
                <w:szCs w:val="22"/>
              </w:rPr>
              <w:t xml:space="preserve">identify </w:t>
            </w:r>
            <w:r w:rsidRPr="1D57B863">
              <w:rPr>
                <w:rFonts w:asciiTheme="minorHAnsi" w:hAnsiTheme="minorHAnsi" w:cstheme="minorBidi"/>
                <w:sz w:val="22"/>
                <w:szCs w:val="22"/>
              </w:rPr>
              <w:t>items high in added sugar.</w:t>
            </w:r>
          </w:p>
          <w:p w:rsidR="001C1AB8" w:rsidRPr="00F04FBE" w:rsidP="2E3FA673" w14:paraId="70A4F446" w14:textId="641603DC">
            <w:pPr>
              <w:pStyle w:val="ListParagraph"/>
              <w:numPr>
                <w:ilvl w:val="0"/>
                <w:numId w:val="4"/>
              </w:numPr>
              <w:rPr>
                <w:rFonts w:asciiTheme="minorHAnsi" w:hAnsiTheme="minorHAnsi" w:cstheme="minorBidi"/>
                <w:sz w:val="22"/>
                <w:szCs w:val="22"/>
              </w:rPr>
            </w:pPr>
            <w:r w:rsidRPr="1D57B863">
              <w:rPr>
                <w:rFonts w:asciiTheme="minorHAnsi" w:hAnsiTheme="minorHAnsi" w:cstheme="minorBidi"/>
                <w:sz w:val="22"/>
                <w:szCs w:val="22"/>
              </w:rPr>
              <w:t xml:space="preserve">One systematic review (Song, 2021) found that </w:t>
            </w:r>
            <w:r w:rsidRPr="1D57B863" w:rsidR="3CB3952B">
              <w:rPr>
                <w:rFonts w:asciiTheme="minorHAnsi" w:hAnsiTheme="minorHAnsi" w:cstheme="minorBidi"/>
                <w:sz w:val="22"/>
                <w:szCs w:val="22"/>
              </w:rPr>
              <w:t>N</w:t>
            </w:r>
            <w:r w:rsidRPr="1D57B863" w:rsidR="10AEA1A1">
              <w:rPr>
                <w:rFonts w:asciiTheme="minorHAnsi" w:hAnsiTheme="minorHAnsi" w:cstheme="minorBidi"/>
                <w:sz w:val="22"/>
                <w:szCs w:val="22"/>
              </w:rPr>
              <w:t>utri-Score</w:t>
            </w:r>
            <w:r w:rsidRPr="1D57B863">
              <w:rPr>
                <w:rFonts w:asciiTheme="minorHAnsi" w:hAnsiTheme="minorHAnsi" w:cstheme="minorBidi"/>
                <w:sz w:val="22"/>
                <w:szCs w:val="22"/>
              </w:rPr>
              <w:t xml:space="preserve"> and </w:t>
            </w:r>
            <w:r w:rsidRPr="1D57B863" w:rsidR="16442958">
              <w:rPr>
                <w:rFonts w:asciiTheme="minorHAnsi" w:hAnsiTheme="minorHAnsi" w:cstheme="minorBidi"/>
                <w:sz w:val="22"/>
                <w:szCs w:val="22"/>
              </w:rPr>
              <w:t>Warning Labels</w:t>
            </w:r>
            <w:r w:rsidRPr="1D57B863">
              <w:rPr>
                <w:rFonts w:asciiTheme="minorHAnsi" w:hAnsiTheme="minorHAnsi" w:cstheme="minorBidi"/>
                <w:sz w:val="22"/>
                <w:szCs w:val="22"/>
              </w:rPr>
              <w:t xml:space="preserve"> were effective in reducing </w:t>
            </w:r>
            <w:r w:rsidRPr="1D57B863" w:rsidR="4DD49B12">
              <w:rPr>
                <w:rFonts w:asciiTheme="minorHAnsi" w:hAnsiTheme="minorHAnsi" w:cstheme="minorBidi"/>
                <w:sz w:val="22"/>
                <w:szCs w:val="22"/>
              </w:rPr>
              <w:t>purchase</w:t>
            </w:r>
            <w:r w:rsidRPr="1D57B863" w:rsidR="3DC1FA65">
              <w:rPr>
                <w:rFonts w:asciiTheme="minorHAnsi" w:hAnsiTheme="minorHAnsi" w:cstheme="minorBidi"/>
                <w:sz w:val="22"/>
                <w:szCs w:val="22"/>
              </w:rPr>
              <w:t>s</w:t>
            </w:r>
            <w:r w:rsidRPr="1D57B863" w:rsidR="3354C18C">
              <w:rPr>
                <w:rFonts w:asciiTheme="minorHAnsi" w:hAnsiTheme="minorHAnsi" w:cstheme="minorBidi"/>
                <w:sz w:val="22"/>
                <w:szCs w:val="22"/>
              </w:rPr>
              <w:t xml:space="preserve"> </w:t>
            </w:r>
            <w:r w:rsidRPr="1D57B863">
              <w:rPr>
                <w:rFonts w:asciiTheme="minorHAnsi" w:hAnsiTheme="minorHAnsi" w:cstheme="minorBidi"/>
                <w:sz w:val="22"/>
                <w:szCs w:val="22"/>
              </w:rPr>
              <w:t>of less healthful products, while M</w:t>
            </w:r>
            <w:r w:rsidR="00105641">
              <w:rPr>
                <w:rFonts w:asciiTheme="minorHAnsi" w:hAnsiTheme="minorHAnsi" w:cstheme="minorBidi"/>
                <w:sz w:val="22"/>
                <w:szCs w:val="22"/>
              </w:rPr>
              <w:t xml:space="preserve">ultiple </w:t>
            </w:r>
            <w:r w:rsidRPr="1D57B863">
              <w:rPr>
                <w:rFonts w:asciiTheme="minorHAnsi" w:hAnsiTheme="minorHAnsi" w:cstheme="minorBidi"/>
                <w:sz w:val="22"/>
                <w:szCs w:val="22"/>
              </w:rPr>
              <w:t>T</w:t>
            </w:r>
            <w:r w:rsidR="00105641">
              <w:rPr>
                <w:rFonts w:asciiTheme="minorHAnsi" w:hAnsiTheme="minorHAnsi" w:cstheme="minorBidi"/>
                <w:sz w:val="22"/>
                <w:szCs w:val="22"/>
              </w:rPr>
              <w:t xml:space="preserve">raffic </w:t>
            </w:r>
            <w:r w:rsidRPr="1D57B863">
              <w:rPr>
                <w:rFonts w:asciiTheme="minorHAnsi" w:hAnsiTheme="minorHAnsi" w:cstheme="minorBidi"/>
                <w:sz w:val="22"/>
                <w:szCs w:val="22"/>
              </w:rPr>
              <w:t>L</w:t>
            </w:r>
            <w:r w:rsidR="00105641">
              <w:rPr>
                <w:rFonts w:asciiTheme="minorHAnsi" w:hAnsiTheme="minorHAnsi" w:cstheme="minorBidi"/>
                <w:sz w:val="22"/>
                <w:szCs w:val="22"/>
              </w:rPr>
              <w:t>ight</w:t>
            </w:r>
            <w:r w:rsidRPr="1D57B863">
              <w:rPr>
                <w:rFonts w:asciiTheme="minorHAnsi" w:hAnsiTheme="minorHAnsi" w:cstheme="minorBidi"/>
                <w:sz w:val="22"/>
                <w:szCs w:val="22"/>
              </w:rPr>
              <w:t xml:space="preserve">, nutrient warnings, and health warning labels were associated with </w:t>
            </w:r>
            <w:r w:rsidRPr="1D57B863" w:rsidR="142D839F">
              <w:rPr>
                <w:rFonts w:asciiTheme="minorHAnsi" w:hAnsiTheme="minorHAnsi" w:cstheme="minorBidi"/>
                <w:sz w:val="22"/>
                <w:szCs w:val="22"/>
              </w:rPr>
              <w:t xml:space="preserve">the </w:t>
            </w:r>
            <w:r w:rsidRPr="1D57B863" w:rsidR="3354C18C">
              <w:rPr>
                <w:rFonts w:asciiTheme="minorHAnsi" w:hAnsiTheme="minorHAnsi" w:cstheme="minorBidi"/>
                <w:sz w:val="22"/>
                <w:szCs w:val="22"/>
              </w:rPr>
              <w:t>purchase</w:t>
            </w:r>
            <w:r w:rsidRPr="1D57B863">
              <w:rPr>
                <w:rFonts w:asciiTheme="minorHAnsi" w:hAnsiTheme="minorHAnsi" w:cstheme="minorBidi"/>
                <w:sz w:val="22"/>
                <w:szCs w:val="22"/>
              </w:rPr>
              <w:t xml:space="preserve"> of more healthful products. The </w:t>
            </w:r>
            <w:r w:rsidRPr="1D57B863" w:rsidR="3CB3952B">
              <w:rPr>
                <w:rFonts w:asciiTheme="minorHAnsi" w:hAnsiTheme="minorHAnsi" w:cstheme="minorBidi"/>
                <w:sz w:val="22"/>
                <w:szCs w:val="22"/>
              </w:rPr>
              <w:t>N</w:t>
            </w:r>
            <w:r w:rsidRPr="1D57B863" w:rsidR="10AEA1A1">
              <w:rPr>
                <w:rFonts w:asciiTheme="minorHAnsi" w:hAnsiTheme="minorHAnsi" w:cstheme="minorBidi"/>
                <w:sz w:val="22"/>
                <w:szCs w:val="22"/>
              </w:rPr>
              <w:t>utri-Score</w:t>
            </w:r>
            <w:r w:rsidRPr="1D57B863">
              <w:rPr>
                <w:rFonts w:asciiTheme="minorHAnsi" w:hAnsiTheme="minorHAnsi" w:cstheme="minorBidi"/>
                <w:sz w:val="22"/>
                <w:szCs w:val="22"/>
              </w:rPr>
              <w:t xml:space="preserve"> and </w:t>
            </w:r>
            <w:r w:rsidRPr="1D57B863" w:rsidR="16442958">
              <w:rPr>
                <w:rFonts w:asciiTheme="minorHAnsi" w:hAnsiTheme="minorHAnsi" w:cstheme="minorBidi"/>
                <w:sz w:val="22"/>
                <w:szCs w:val="22"/>
              </w:rPr>
              <w:t>Warning Label</w:t>
            </w:r>
            <w:r w:rsidRPr="1D57B863">
              <w:rPr>
                <w:rFonts w:asciiTheme="minorHAnsi" w:hAnsiTheme="minorHAnsi" w:cstheme="minorBidi"/>
                <w:sz w:val="22"/>
                <w:szCs w:val="22"/>
              </w:rPr>
              <w:t xml:space="preserve">s were also associated with increased overall healthfulness </w:t>
            </w:r>
            <w:r w:rsidR="004A1902">
              <w:rPr>
                <w:rFonts w:asciiTheme="minorHAnsi" w:hAnsiTheme="minorHAnsi" w:cstheme="minorBidi"/>
                <w:sz w:val="22"/>
                <w:szCs w:val="22"/>
              </w:rPr>
              <w:t xml:space="preserve">of </w:t>
            </w:r>
            <w:r w:rsidR="00947B35">
              <w:rPr>
                <w:rFonts w:asciiTheme="minorHAnsi" w:hAnsiTheme="minorHAnsi" w:cstheme="minorBidi"/>
                <w:sz w:val="22"/>
                <w:szCs w:val="22"/>
              </w:rPr>
              <w:t>products</w:t>
            </w:r>
            <w:r w:rsidRPr="1D57B863">
              <w:rPr>
                <w:rFonts w:asciiTheme="minorHAnsi" w:hAnsiTheme="minorHAnsi" w:cstheme="minorBidi"/>
                <w:sz w:val="22"/>
                <w:szCs w:val="22"/>
              </w:rPr>
              <w:t xml:space="preserve"> across all purchases. Color-coded labels performed better at directing consumers toward more healthful products than black-and-white labels.</w:t>
            </w:r>
          </w:p>
          <w:p w:rsidR="001C1AB8" w:rsidRPr="00E91701" w:rsidP="003E7362" w14:paraId="32E1FCB9" w14:textId="77777777">
            <w:pPr>
              <w:rPr>
                <w:rFonts w:asciiTheme="minorHAnsi" w:hAnsiTheme="minorHAnsi" w:cstheme="minorHAnsi"/>
                <w:b/>
                <w:bCs/>
                <w:sz w:val="22"/>
                <w:szCs w:val="22"/>
              </w:rPr>
            </w:pPr>
          </w:p>
          <w:p w:rsidR="001C1AB8" w:rsidRPr="00E91701" w:rsidP="003E7362" w14:paraId="22A90965" w14:textId="54AE4F02">
            <w:pPr>
              <w:rPr>
                <w:rFonts w:asciiTheme="minorHAnsi" w:hAnsiTheme="minorHAnsi" w:cstheme="minorBidi"/>
                <w:sz w:val="22"/>
                <w:szCs w:val="22"/>
              </w:rPr>
            </w:pPr>
            <w:r w:rsidRPr="79021091">
              <w:rPr>
                <w:rFonts w:asciiTheme="minorHAnsi" w:hAnsiTheme="minorHAnsi" w:cstheme="minorBidi"/>
                <w:b/>
                <w:sz w:val="22"/>
                <w:szCs w:val="22"/>
              </w:rPr>
              <w:t xml:space="preserve">Conclusion: </w:t>
            </w:r>
            <w:r w:rsidRPr="79021091">
              <w:rPr>
                <w:rFonts w:asciiTheme="minorHAnsi" w:hAnsiTheme="minorHAnsi" w:cstheme="minorBidi"/>
                <w:sz w:val="22"/>
                <w:szCs w:val="22"/>
              </w:rPr>
              <w:t xml:space="preserve">These findings suggest that simplified, summary, colorful </w:t>
            </w:r>
            <w:r w:rsidR="004B6E26">
              <w:rPr>
                <w:rFonts w:asciiTheme="minorHAnsi" w:hAnsiTheme="minorHAnsi" w:cstheme="minorBidi"/>
                <w:sz w:val="22"/>
                <w:szCs w:val="22"/>
              </w:rPr>
              <w:t>FOP</w:t>
            </w:r>
            <w:r w:rsidR="00187CE3">
              <w:rPr>
                <w:rFonts w:asciiTheme="minorHAnsi" w:hAnsiTheme="minorHAnsi" w:cstheme="minorBidi"/>
                <w:sz w:val="22"/>
                <w:szCs w:val="22"/>
              </w:rPr>
              <w:t xml:space="preserve"> scheme</w:t>
            </w:r>
            <w:r w:rsidRPr="79021091">
              <w:rPr>
                <w:rFonts w:asciiTheme="minorHAnsi" w:hAnsiTheme="minorHAnsi" w:cstheme="minorBidi"/>
                <w:sz w:val="22"/>
                <w:szCs w:val="22"/>
              </w:rPr>
              <w:t xml:space="preserve">s can </w:t>
            </w:r>
            <w:r w:rsidRPr="79021091" w:rsidR="5D352F76">
              <w:rPr>
                <w:rFonts w:asciiTheme="minorHAnsi" w:hAnsiTheme="minorHAnsi" w:cstheme="minorBidi"/>
                <w:sz w:val="22"/>
                <w:szCs w:val="22"/>
              </w:rPr>
              <w:t>encourage</w:t>
            </w:r>
            <w:r w:rsidRPr="79021091">
              <w:rPr>
                <w:rFonts w:asciiTheme="minorHAnsi" w:hAnsiTheme="minorHAnsi" w:cstheme="minorBidi"/>
                <w:sz w:val="22"/>
                <w:szCs w:val="22"/>
              </w:rPr>
              <w:t xml:space="preserve"> healthier purchases in supermarkets but that more research is needed to demonstrate the ability of </w:t>
            </w:r>
            <w:r w:rsidR="004B6E26">
              <w:rPr>
                <w:rFonts w:asciiTheme="minorHAnsi" w:hAnsiTheme="minorHAnsi" w:cstheme="minorBidi"/>
                <w:sz w:val="22"/>
                <w:szCs w:val="22"/>
              </w:rPr>
              <w:t>FOP</w:t>
            </w:r>
            <w:r w:rsidR="00010652">
              <w:rPr>
                <w:rFonts w:asciiTheme="minorHAnsi" w:hAnsiTheme="minorHAnsi" w:cstheme="minorBidi"/>
                <w:sz w:val="22"/>
                <w:szCs w:val="22"/>
              </w:rPr>
              <w:t xml:space="preserve"> </w:t>
            </w:r>
            <w:r w:rsidRPr="79021091">
              <w:rPr>
                <w:rFonts w:asciiTheme="minorHAnsi" w:hAnsiTheme="minorHAnsi" w:cstheme="minorBidi"/>
                <w:sz w:val="22"/>
                <w:szCs w:val="22"/>
              </w:rPr>
              <w:t>s</w:t>
            </w:r>
            <w:r w:rsidR="00010652">
              <w:rPr>
                <w:rFonts w:asciiTheme="minorHAnsi" w:hAnsiTheme="minorHAnsi" w:cstheme="minorBidi"/>
                <w:sz w:val="22"/>
                <w:szCs w:val="22"/>
              </w:rPr>
              <w:t>chemes</w:t>
            </w:r>
            <w:r w:rsidRPr="79021091">
              <w:rPr>
                <w:rFonts w:asciiTheme="minorHAnsi" w:hAnsiTheme="minorHAnsi" w:cstheme="minorBidi"/>
                <w:sz w:val="22"/>
                <w:szCs w:val="22"/>
              </w:rPr>
              <w:t xml:space="preserve"> </w:t>
            </w:r>
            <w:r w:rsidR="005951B7">
              <w:rPr>
                <w:rFonts w:asciiTheme="minorHAnsi" w:hAnsiTheme="minorHAnsi" w:cstheme="minorBidi"/>
                <w:sz w:val="22"/>
                <w:szCs w:val="22"/>
              </w:rPr>
              <w:t>with regard</w:t>
            </w:r>
            <w:r w:rsidRPr="79021091">
              <w:rPr>
                <w:rFonts w:asciiTheme="minorHAnsi" w:hAnsiTheme="minorHAnsi" w:cstheme="minorBidi"/>
                <w:sz w:val="22"/>
                <w:szCs w:val="22"/>
              </w:rPr>
              <w:t xml:space="preserve"> </w:t>
            </w:r>
            <w:r w:rsidRPr="79021091" w:rsidR="00C57BD0">
              <w:rPr>
                <w:rFonts w:asciiTheme="minorHAnsi" w:hAnsiTheme="minorHAnsi" w:cstheme="minorBidi"/>
                <w:sz w:val="22"/>
                <w:szCs w:val="22"/>
              </w:rPr>
              <w:t>to</w:t>
            </w:r>
            <w:r w:rsidRPr="79021091" w:rsidR="00C57BD0">
              <w:rPr>
                <w:rFonts w:asciiTheme="minorHAnsi" w:hAnsiTheme="minorHAnsi" w:cstheme="minorBidi"/>
                <w:sz w:val="22"/>
                <w:szCs w:val="22"/>
              </w:rPr>
              <w:t xml:space="preserve"> overall</w:t>
            </w:r>
            <w:r w:rsidRPr="79021091">
              <w:rPr>
                <w:rFonts w:asciiTheme="minorHAnsi" w:hAnsiTheme="minorHAnsi" w:cstheme="minorBidi"/>
                <w:sz w:val="22"/>
                <w:szCs w:val="22"/>
              </w:rPr>
              <w:t xml:space="preserve"> health and </w:t>
            </w:r>
            <w:r w:rsidR="00546F7C">
              <w:rPr>
                <w:rFonts w:asciiTheme="minorHAnsi" w:hAnsiTheme="minorHAnsi" w:cstheme="minorBidi"/>
                <w:sz w:val="22"/>
                <w:szCs w:val="22"/>
              </w:rPr>
              <w:t>diet-related chronic</w:t>
            </w:r>
            <w:r w:rsidRPr="79021091" w:rsidR="004E73B1">
              <w:rPr>
                <w:rFonts w:asciiTheme="minorHAnsi" w:hAnsiTheme="minorHAnsi" w:cstheme="minorBidi"/>
                <w:sz w:val="22"/>
                <w:szCs w:val="22"/>
              </w:rPr>
              <w:t xml:space="preserve"> </w:t>
            </w:r>
            <w:r w:rsidRPr="79021091">
              <w:rPr>
                <w:rFonts w:asciiTheme="minorHAnsi" w:hAnsiTheme="minorHAnsi" w:cstheme="minorBidi"/>
                <w:sz w:val="22"/>
                <w:szCs w:val="22"/>
              </w:rPr>
              <w:t>disease outcome</w:t>
            </w:r>
            <w:r w:rsidR="00C74C29">
              <w:rPr>
                <w:rFonts w:asciiTheme="minorHAnsi" w:hAnsiTheme="minorHAnsi" w:cstheme="minorBidi"/>
                <w:sz w:val="22"/>
                <w:szCs w:val="22"/>
              </w:rPr>
              <w:t>s</w:t>
            </w:r>
            <w:r w:rsidRPr="79021091">
              <w:rPr>
                <w:rFonts w:asciiTheme="minorHAnsi" w:hAnsiTheme="minorHAnsi" w:cstheme="minorBidi"/>
                <w:sz w:val="22"/>
                <w:szCs w:val="22"/>
              </w:rPr>
              <w:t>.</w:t>
            </w:r>
          </w:p>
        </w:tc>
      </w:tr>
      <w:tr w14:paraId="08142449" w14:textId="77777777" w:rsidTr="47135738">
        <w:tblPrEx>
          <w:tblW w:w="0" w:type="auto"/>
          <w:tblInd w:w="-5" w:type="dxa"/>
          <w:tblLook w:val="04A0"/>
        </w:tblPrEx>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1AB8" w:rsidRPr="00347632" w:rsidP="003E7362" w14:paraId="5472B731" w14:textId="77777777">
            <w:pPr>
              <w:rPr>
                <w:b/>
                <w:sz w:val="24"/>
                <w:szCs w:val="24"/>
              </w:rPr>
            </w:pPr>
            <w:r w:rsidRPr="00347632">
              <w:rPr>
                <w:b/>
                <w:sz w:val="24"/>
                <w:szCs w:val="24"/>
              </w:rPr>
              <w:t>Effects on Educational Differences</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1AB8" w:rsidRPr="00347632" w:rsidP="003E7362" w14:paraId="4FEAA8AB" w14:textId="55E5F888">
            <w:pPr>
              <w:pStyle w:val="ListParagraph"/>
              <w:numPr>
                <w:ilvl w:val="0"/>
                <w:numId w:val="5"/>
              </w:numPr>
              <w:rPr>
                <w:rFonts w:asciiTheme="minorHAnsi" w:hAnsiTheme="minorHAnsi" w:cstheme="minorHAnsi"/>
                <w:sz w:val="22"/>
              </w:rPr>
            </w:pPr>
            <w:r w:rsidRPr="1D57B863">
              <w:rPr>
                <w:rFonts w:asciiTheme="minorHAnsi" w:hAnsiTheme="minorHAnsi" w:cstheme="minorBidi"/>
                <w:sz w:val="22"/>
                <w:szCs w:val="22"/>
              </w:rPr>
              <w:t xml:space="preserve">Our review identified two surveys that measured interactions </w:t>
            </w:r>
            <w:r w:rsidRPr="1D57B863" w:rsidR="30AA7049">
              <w:rPr>
                <w:rFonts w:asciiTheme="minorHAnsi" w:hAnsiTheme="minorHAnsi" w:cstheme="minorBidi"/>
                <w:sz w:val="22"/>
                <w:szCs w:val="22"/>
              </w:rPr>
              <w:t xml:space="preserve">among </w:t>
            </w:r>
            <w:r w:rsidRPr="1D57B863" w:rsidR="3CB3952B">
              <w:rPr>
                <w:rFonts w:asciiTheme="minorHAnsi" w:hAnsiTheme="minorHAnsi" w:cstheme="minorBidi"/>
                <w:sz w:val="22"/>
                <w:szCs w:val="22"/>
              </w:rPr>
              <w:t>FOP</w:t>
            </w:r>
            <w:r w:rsidRPr="1D57B863">
              <w:rPr>
                <w:rFonts w:asciiTheme="minorHAnsi" w:hAnsiTheme="minorHAnsi" w:cstheme="minorBidi"/>
                <w:sz w:val="22"/>
                <w:szCs w:val="22"/>
              </w:rPr>
              <w:t>s, education, and health literacy.</w:t>
            </w:r>
          </w:p>
          <w:p w:rsidR="001C1AB8" w:rsidRPr="00347632" w:rsidP="003E7362" w14:paraId="7855881A" w14:textId="77777777">
            <w:pPr>
              <w:pStyle w:val="ListParagraph"/>
              <w:numPr>
                <w:ilvl w:val="0"/>
                <w:numId w:val="5"/>
              </w:numPr>
              <w:rPr>
                <w:rFonts w:asciiTheme="minorHAnsi" w:hAnsiTheme="minorHAnsi" w:cstheme="minorHAnsi"/>
                <w:sz w:val="22"/>
              </w:rPr>
            </w:pPr>
            <w:r w:rsidRPr="1D57B863">
              <w:rPr>
                <w:rFonts w:asciiTheme="minorHAnsi" w:hAnsiTheme="minorHAnsi" w:cstheme="minorBidi"/>
                <w:sz w:val="22"/>
                <w:szCs w:val="22"/>
              </w:rPr>
              <w:t>These studies were conducted in Canada and the United Kingdom.</w:t>
            </w:r>
          </w:p>
          <w:p w:rsidR="001C1AB8" w:rsidRPr="00347632" w:rsidP="003E7362" w14:paraId="04534170" w14:textId="726118AB">
            <w:pPr>
              <w:pStyle w:val="ListParagraph"/>
              <w:numPr>
                <w:ilvl w:val="0"/>
                <w:numId w:val="5"/>
              </w:numPr>
              <w:rPr>
                <w:rFonts w:asciiTheme="minorHAnsi" w:hAnsiTheme="minorHAnsi" w:cstheme="minorHAnsi"/>
                <w:sz w:val="22"/>
              </w:rPr>
            </w:pPr>
            <w:r w:rsidRPr="1D57B863">
              <w:rPr>
                <w:rFonts w:asciiTheme="minorHAnsi" w:hAnsiTheme="minorHAnsi" w:cstheme="minorBidi"/>
                <w:sz w:val="22"/>
                <w:szCs w:val="22"/>
              </w:rPr>
              <w:t xml:space="preserve">The current studies examined the Multiple Traffic Lights and </w:t>
            </w:r>
            <w:r w:rsidRPr="1D57B863" w:rsidR="3CB3952B">
              <w:rPr>
                <w:rFonts w:asciiTheme="minorHAnsi" w:hAnsiTheme="minorHAnsi" w:cstheme="minorBidi"/>
                <w:sz w:val="22"/>
                <w:szCs w:val="22"/>
              </w:rPr>
              <w:t>Nutri-Score</w:t>
            </w:r>
            <w:r w:rsidRPr="1D57B863">
              <w:rPr>
                <w:rFonts w:asciiTheme="minorHAnsi" w:hAnsiTheme="minorHAnsi" w:cstheme="minorBidi"/>
                <w:sz w:val="22"/>
                <w:szCs w:val="22"/>
              </w:rPr>
              <w:t xml:space="preserve"> label systems.</w:t>
            </w:r>
          </w:p>
          <w:p w:rsidR="001C1AB8" w:rsidRPr="00347632" w:rsidP="003E7362" w14:paraId="0902200F" w14:textId="6DE6216F">
            <w:pPr>
              <w:pStyle w:val="ListParagraph"/>
              <w:numPr>
                <w:ilvl w:val="0"/>
                <w:numId w:val="5"/>
              </w:numPr>
              <w:rPr>
                <w:rFonts w:asciiTheme="minorHAnsi" w:hAnsiTheme="minorHAnsi" w:cstheme="minorBidi"/>
                <w:sz w:val="22"/>
                <w:szCs w:val="22"/>
              </w:rPr>
            </w:pPr>
            <w:r w:rsidRPr="1D57B863">
              <w:rPr>
                <w:rFonts w:asciiTheme="minorHAnsi" w:hAnsiTheme="minorHAnsi" w:cstheme="minorBidi"/>
                <w:sz w:val="22"/>
                <w:szCs w:val="22"/>
              </w:rPr>
              <w:t xml:space="preserve">These studies examined the impact of </w:t>
            </w:r>
            <w:r w:rsidRPr="1D57B863" w:rsidR="30E80CF9">
              <w:rPr>
                <w:rFonts w:asciiTheme="minorHAnsi" w:hAnsiTheme="minorHAnsi" w:cstheme="minorBidi"/>
                <w:sz w:val="22"/>
                <w:szCs w:val="22"/>
              </w:rPr>
              <w:t xml:space="preserve">education and health knowledge on </w:t>
            </w:r>
            <w:r w:rsidRPr="1D57B863" w:rsidR="6D135BCD">
              <w:rPr>
                <w:rFonts w:asciiTheme="minorHAnsi" w:hAnsiTheme="minorHAnsi" w:cstheme="minorBidi"/>
                <w:sz w:val="22"/>
                <w:szCs w:val="22"/>
              </w:rPr>
              <w:t xml:space="preserve">the extent </w:t>
            </w:r>
            <w:r w:rsidR="00433A4B">
              <w:rPr>
                <w:rFonts w:asciiTheme="minorHAnsi" w:hAnsiTheme="minorHAnsi" w:cstheme="minorBidi"/>
                <w:sz w:val="22"/>
                <w:szCs w:val="22"/>
              </w:rPr>
              <w:t>to which</w:t>
            </w:r>
            <w:r w:rsidRPr="1D57B863" w:rsidR="6D135BCD">
              <w:rPr>
                <w:rFonts w:asciiTheme="minorHAnsi" w:hAnsiTheme="minorHAnsi" w:cstheme="minorBidi"/>
                <w:sz w:val="22"/>
                <w:szCs w:val="22"/>
              </w:rPr>
              <w:t xml:space="preserve"> </w:t>
            </w:r>
            <w:r w:rsidRPr="1D57B863" w:rsidR="3CB3952B">
              <w:rPr>
                <w:rFonts w:asciiTheme="minorHAnsi" w:hAnsiTheme="minorHAnsi" w:cstheme="minorBidi"/>
                <w:sz w:val="22"/>
                <w:szCs w:val="22"/>
              </w:rPr>
              <w:t>FOP</w:t>
            </w:r>
            <w:r w:rsidR="003E5016">
              <w:rPr>
                <w:rFonts w:asciiTheme="minorHAnsi" w:hAnsiTheme="minorHAnsi" w:cstheme="minorBidi"/>
                <w:sz w:val="22"/>
                <w:szCs w:val="22"/>
              </w:rPr>
              <w:t xml:space="preserve"> label</w:t>
            </w:r>
            <w:r w:rsidRPr="1D57B863">
              <w:rPr>
                <w:rFonts w:asciiTheme="minorHAnsi" w:hAnsiTheme="minorHAnsi" w:cstheme="minorBidi"/>
                <w:sz w:val="22"/>
                <w:szCs w:val="22"/>
              </w:rPr>
              <w:t xml:space="preserve">s </w:t>
            </w:r>
            <w:r w:rsidRPr="1D57B863" w:rsidR="6D135BCD">
              <w:rPr>
                <w:rFonts w:asciiTheme="minorHAnsi" w:hAnsiTheme="minorHAnsi" w:cstheme="minorBidi"/>
                <w:sz w:val="22"/>
                <w:szCs w:val="22"/>
              </w:rPr>
              <w:t>a</w:t>
            </w:r>
            <w:r w:rsidRPr="1D57B863" w:rsidR="30E80CF9">
              <w:rPr>
                <w:rFonts w:asciiTheme="minorHAnsi" w:hAnsiTheme="minorHAnsi" w:cstheme="minorBidi"/>
                <w:sz w:val="22"/>
                <w:szCs w:val="22"/>
              </w:rPr>
              <w:t>ffect</w:t>
            </w:r>
            <w:r w:rsidRPr="1D57B863" w:rsidR="6D135BCD">
              <w:rPr>
                <w:rFonts w:asciiTheme="minorHAnsi" w:hAnsiTheme="minorHAnsi" w:cstheme="minorBidi"/>
                <w:sz w:val="22"/>
                <w:szCs w:val="22"/>
              </w:rPr>
              <w:t>ed</w:t>
            </w:r>
            <w:r w:rsidRPr="1D57B863">
              <w:rPr>
                <w:rFonts w:asciiTheme="minorHAnsi" w:hAnsiTheme="minorHAnsi" w:cstheme="minorBidi"/>
                <w:sz w:val="22"/>
                <w:szCs w:val="22"/>
              </w:rPr>
              <w:t xml:space="preserve"> participants’ ability to accurately identify </w:t>
            </w:r>
            <w:r w:rsidRPr="1D57B863" w:rsidR="4536AC1D">
              <w:rPr>
                <w:rFonts w:asciiTheme="minorHAnsi" w:hAnsiTheme="minorHAnsi" w:cstheme="minorBidi"/>
                <w:sz w:val="22"/>
                <w:szCs w:val="22"/>
              </w:rPr>
              <w:t xml:space="preserve">the </w:t>
            </w:r>
            <w:r w:rsidRPr="1D57B863">
              <w:rPr>
                <w:rFonts w:asciiTheme="minorHAnsi" w:hAnsiTheme="minorHAnsi" w:cstheme="minorBidi"/>
                <w:sz w:val="22"/>
                <w:szCs w:val="22"/>
              </w:rPr>
              <w:t xml:space="preserve">healthfulness of foods. </w:t>
            </w:r>
          </w:p>
          <w:p w:rsidR="001C1AB8" w:rsidRPr="00560BC9" w:rsidP="00560BC9" w14:paraId="2EB25ECB" w14:textId="73A21C5F">
            <w:pPr>
              <w:pStyle w:val="ListParagraph"/>
              <w:numPr>
                <w:ilvl w:val="0"/>
                <w:numId w:val="5"/>
              </w:numPr>
              <w:rPr>
                <w:rFonts w:asciiTheme="minorHAnsi" w:hAnsiTheme="minorHAnsi" w:cstheme="minorBidi"/>
                <w:sz w:val="22"/>
                <w:szCs w:val="22"/>
              </w:rPr>
            </w:pPr>
            <w:r w:rsidRPr="1D57B863">
              <w:rPr>
                <w:rFonts w:asciiTheme="minorHAnsi" w:hAnsiTheme="minorHAnsi" w:cstheme="minorBidi"/>
                <w:sz w:val="22"/>
                <w:szCs w:val="22"/>
              </w:rPr>
              <w:t xml:space="preserve">While face-to-face education </w:t>
            </w:r>
            <w:r w:rsidRPr="1D57B863" w:rsidR="0109B70A">
              <w:rPr>
                <w:rFonts w:asciiTheme="minorHAnsi" w:hAnsiTheme="minorHAnsi" w:cstheme="minorBidi"/>
                <w:sz w:val="22"/>
                <w:szCs w:val="22"/>
              </w:rPr>
              <w:t xml:space="preserve">significantly increased participants’ understanding of the </w:t>
            </w:r>
            <w:r w:rsidRPr="1D57B863" w:rsidR="10AEA1A1">
              <w:rPr>
                <w:rFonts w:asciiTheme="minorHAnsi" w:hAnsiTheme="minorHAnsi" w:cstheme="minorBidi"/>
                <w:sz w:val="22"/>
                <w:szCs w:val="22"/>
              </w:rPr>
              <w:t xml:space="preserve">Multiple Traffic Lights </w:t>
            </w:r>
            <w:r w:rsidRPr="1D57B863" w:rsidR="0109B70A">
              <w:rPr>
                <w:rFonts w:asciiTheme="minorHAnsi" w:hAnsiTheme="minorHAnsi" w:cstheme="minorBidi"/>
                <w:sz w:val="22"/>
                <w:szCs w:val="22"/>
              </w:rPr>
              <w:t>system, and their knowledge, attitude</w:t>
            </w:r>
            <w:r w:rsidR="00631E77">
              <w:rPr>
                <w:rFonts w:asciiTheme="minorHAnsi" w:hAnsiTheme="minorHAnsi" w:cstheme="minorBidi"/>
                <w:sz w:val="22"/>
                <w:szCs w:val="22"/>
              </w:rPr>
              <w:t>,</w:t>
            </w:r>
            <w:r w:rsidRPr="1D57B863" w:rsidR="0109B70A">
              <w:rPr>
                <w:rFonts w:asciiTheme="minorHAnsi" w:hAnsiTheme="minorHAnsi" w:cstheme="minorBidi"/>
                <w:sz w:val="22"/>
                <w:szCs w:val="22"/>
              </w:rPr>
              <w:t xml:space="preserve"> and perceptions toward assessing the healthfulness of products displaying these </w:t>
            </w:r>
            <w:r w:rsidRPr="1D57B863" w:rsidR="3CB3952B">
              <w:rPr>
                <w:rFonts w:asciiTheme="minorHAnsi" w:hAnsiTheme="minorHAnsi" w:cstheme="minorBidi"/>
                <w:sz w:val="22"/>
                <w:szCs w:val="22"/>
              </w:rPr>
              <w:t>FOP</w:t>
            </w:r>
            <w:r w:rsidRPr="1D57B863" w:rsidR="0109B70A">
              <w:rPr>
                <w:rFonts w:asciiTheme="minorHAnsi" w:hAnsiTheme="minorHAnsi" w:cstheme="minorBidi"/>
                <w:sz w:val="22"/>
                <w:szCs w:val="22"/>
              </w:rPr>
              <w:t>s</w:t>
            </w:r>
            <w:r w:rsidRPr="1D57B863">
              <w:rPr>
                <w:rFonts w:asciiTheme="minorHAnsi" w:hAnsiTheme="minorHAnsi" w:cstheme="minorBidi"/>
                <w:sz w:val="22"/>
                <w:szCs w:val="22"/>
              </w:rPr>
              <w:t xml:space="preserve"> (Esfandiari, 2021), a study among medical professionals</w:t>
            </w:r>
            <w:r w:rsidRPr="1D57B863" w:rsidR="0109B70A">
              <w:rPr>
                <w:rFonts w:asciiTheme="minorHAnsi" w:hAnsiTheme="minorHAnsi" w:cstheme="minorBidi"/>
                <w:sz w:val="22"/>
                <w:szCs w:val="22"/>
              </w:rPr>
              <w:t xml:space="preserve"> (Riccò, 2022)</w:t>
            </w:r>
            <w:r w:rsidRPr="1D57B863">
              <w:rPr>
                <w:rFonts w:asciiTheme="minorHAnsi" w:hAnsiTheme="minorHAnsi" w:cstheme="minorBidi"/>
                <w:sz w:val="22"/>
                <w:szCs w:val="22"/>
              </w:rPr>
              <w:t xml:space="preserve"> </w:t>
            </w:r>
            <w:r w:rsidRPr="1D57B863" w:rsidR="0109B70A">
              <w:rPr>
                <w:rFonts w:asciiTheme="minorHAnsi" w:hAnsiTheme="minorHAnsi" w:cstheme="minorBidi"/>
                <w:sz w:val="22"/>
                <w:szCs w:val="22"/>
              </w:rPr>
              <w:t xml:space="preserve">found that overall understanding was low, with less than half of the participants reporting any knowledge of </w:t>
            </w:r>
            <w:r w:rsidRPr="1D57B863" w:rsidR="10AEA1A1">
              <w:rPr>
                <w:rFonts w:asciiTheme="minorHAnsi" w:hAnsiTheme="minorHAnsi" w:cstheme="minorBidi"/>
                <w:sz w:val="22"/>
                <w:szCs w:val="22"/>
              </w:rPr>
              <w:t>Nutri-Score</w:t>
            </w:r>
            <w:r w:rsidR="00121837">
              <w:rPr>
                <w:rFonts w:asciiTheme="minorHAnsi" w:hAnsiTheme="minorHAnsi" w:cstheme="minorBidi"/>
                <w:sz w:val="22"/>
                <w:szCs w:val="22"/>
              </w:rPr>
              <w:t>.</w:t>
            </w:r>
          </w:p>
          <w:p w:rsidR="001C1AB8" w:rsidRPr="00347632" w:rsidP="003E7362" w14:paraId="0BEB5C14" w14:textId="77777777">
            <w:pPr>
              <w:pStyle w:val="ListParagraph"/>
              <w:ind w:left="360"/>
              <w:rPr>
                <w:rFonts w:asciiTheme="minorHAnsi" w:hAnsiTheme="minorHAnsi" w:cstheme="minorHAnsi"/>
                <w:sz w:val="22"/>
              </w:rPr>
            </w:pPr>
          </w:p>
          <w:p w:rsidR="001C1AB8" w:rsidRPr="00347632" w:rsidP="003E7362" w14:paraId="5F3825EF" w14:textId="5123313C">
            <w:pPr>
              <w:rPr>
                <w:rFonts w:asciiTheme="minorHAnsi" w:hAnsiTheme="minorHAnsi" w:cstheme="minorHAnsi"/>
                <w:bCs/>
                <w:sz w:val="22"/>
                <w:szCs w:val="22"/>
              </w:rPr>
            </w:pPr>
            <w:r w:rsidRPr="00347632">
              <w:rPr>
                <w:rFonts w:asciiTheme="minorHAnsi" w:hAnsiTheme="minorHAnsi" w:cstheme="minorHAnsi"/>
                <w:b/>
                <w:bCs/>
                <w:sz w:val="22"/>
                <w:szCs w:val="22"/>
              </w:rPr>
              <w:t xml:space="preserve">Conclusion: </w:t>
            </w:r>
            <w:r w:rsidRPr="00347632">
              <w:rPr>
                <w:rFonts w:asciiTheme="minorHAnsi" w:hAnsiTheme="minorHAnsi" w:cstheme="minorHAnsi"/>
                <w:bCs/>
                <w:sz w:val="22"/>
                <w:szCs w:val="22"/>
              </w:rPr>
              <w:t xml:space="preserve">These studies highlight the importance of specific </w:t>
            </w:r>
            <w:r w:rsidR="004B6E26">
              <w:rPr>
                <w:rFonts w:asciiTheme="minorHAnsi" w:hAnsiTheme="minorHAnsi" w:cstheme="minorHAnsi"/>
                <w:bCs/>
                <w:sz w:val="22"/>
                <w:szCs w:val="22"/>
              </w:rPr>
              <w:t>FOP</w:t>
            </w:r>
            <w:r w:rsidRPr="00347632">
              <w:rPr>
                <w:rFonts w:asciiTheme="minorHAnsi" w:hAnsiTheme="minorHAnsi" w:cstheme="minorHAnsi"/>
                <w:bCs/>
                <w:sz w:val="22"/>
                <w:szCs w:val="22"/>
              </w:rPr>
              <w:t xml:space="preserve"> </w:t>
            </w:r>
            <w:r w:rsidR="00121837">
              <w:rPr>
                <w:rFonts w:asciiTheme="minorHAnsi" w:hAnsiTheme="minorHAnsi" w:cstheme="minorHAnsi"/>
                <w:bCs/>
                <w:sz w:val="22"/>
                <w:szCs w:val="22"/>
              </w:rPr>
              <w:t xml:space="preserve">labeling </w:t>
            </w:r>
            <w:r w:rsidRPr="00347632">
              <w:rPr>
                <w:rFonts w:asciiTheme="minorHAnsi" w:hAnsiTheme="minorHAnsi" w:cstheme="minorHAnsi"/>
                <w:bCs/>
                <w:sz w:val="22"/>
                <w:szCs w:val="22"/>
              </w:rPr>
              <w:t xml:space="preserve">education </w:t>
            </w:r>
            <w:r w:rsidRPr="00347632">
              <w:rPr>
                <w:rFonts w:asciiTheme="minorHAnsi" w:hAnsiTheme="minorHAnsi" w:cstheme="minorHAnsi"/>
                <w:bCs/>
                <w:sz w:val="22"/>
                <w:szCs w:val="22"/>
              </w:rPr>
              <w:t>in order to</w:t>
            </w:r>
            <w:r w:rsidRPr="00347632">
              <w:rPr>
                <w:rFonts w:asciiTheme="minorHAnsi" w:hAnsiTheme="minorHAnsi" w:cstheme="minorHAnsi"/>
                <w:bCs/>
                <w:sz w:val="22"/>
                <w:szCs w:val="22"/>
              </w:rPr>
              <w:t xml:space="preserve"> help consumers make informed, healthier choices.</w:t>
            </w:r>
          </w:p>
        </w:tc>
      </w:tr>
      <w:tr w14:paraId="10B7251E" w14:textId="77777777" w:rsidTr="47135738">
        <w:tblPrEx>
          <w:tblW w:w="0" w:type="auto"/>
          <w:tblInd w:w="-5" w:type="dxa"/>
          <w:tblLook w:val="04A0"/>
        </w:tblPrEx>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1AB8" w:rsidRPr="00AF212B" w:rsidP="003E7362" w14:paraId="07C0AB90" w14:textId="77777777">
            <w:pPr>
              <w:rPr>
                <w:b/>
                <w:sz w:val="24"/>
                <w:szCs w:val="24"/>
              </w:rPr>
            </w:pPr>
          </w:p>
          <w:p w:rsidR="001C1AB8" w:rsidRPr="00AF212B" w:rsidP="003E7362" w14:paraId="058258C8" w14:textId="0B62CD4E">
            <w:pPr>
              <w:rPr>
                <w:rFonts w:asciiTheme="minorHAnsi" w:hAnsiTheme="minorHAnsi" w:cstheme="minorHAnsi"/>
                <w:b/>
                <w:sz w:val="24"/>
                <w:szCs w:val="24"/>
              </w:rPr>
            </w:pPr>
            <w:r w:rsidRPr="00AF212B">
              <w:rPr>
                <w:b/>
                <w:sz w:val="24"/>
                <w:szCs w:val="24"/>
              </w:rPr>
              <w:t>Effects on Diverse Populations</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1AB8" w:rsidRPr="00AF212B" w:rsidP="003E7362" w14:paraId="74949D3C" w14:textId="5F368D2F">
            <w:pPr>
              <w:pStyle w:val="ListParagraph"/>
              <w:numPr>
                <w:ilvl w:val="0"/>
                <w:numId w:val="5"/>
              </w:numPr>
              <w:rPr>
                <w:rFonts w:asciiTheme="minorHAnsi" w:hAnsiTheme="minorHAnsi" w:cstheme="minorHAnsi"/>
                <w:sz w:val="22"/>
                <w:szCs w:val="22"/>
              </w:rPr>
            </w:pPr>
            <w:r w:rsidRPr="1D57B863">
              <w:rPr>
                <w:rFonts w:asciiTheme="minorHAnsi" w:hAnsiTheme="minorHAnsi" w:cstheme="minorBidi"/>
                <w:sz w:val="22"/>
                <w:szCs w:val="22"/>
              </w:rPr>
              <w:t xml:space="preserve">Our review identified </w:t>
            </w:r>
            <w:r w:rsidRPr="1D57B863" w:rsidR="2B505C42">
              <w:rPr>
                <w:rFonts w:asciiTheme="minorHAnsi" w:hAnsiTheme="minorHAnsi" w:cstheme="minorBidi"/>
                <w:sz w:val="22"/>
                <w:szCs w:val="22"/>
              </w:rPr>
              <w:t>8</w:t>
            </w:r>
            <w:r w:rsidRPr="1D57B863">
              <w:rPr>
                <w:rFonts w:asciiTheme="minorHAnsi" w:hAnsiTheme="minorHAnsi" w:cstheme="minorBidi"/>
                <w:sz w:val="22"/>
                <w:szCs w:val="22"/>
              </w:rPr>
              <w:t xml:space="preserve"> studies in this category, with one experimental study, one focus group, and </w:t>
            </w:r>
            <w:r w:rsidRPr="1D57B863" w:rsidR="2B505C42">
              <w:rPr>
                <w:rFonts w:asciiTheme="minorHAnsi" w:hAnsiTheme="minorHAnsi" w:cstheme="minorBidi"/>
                <w:sz w:val="22"/>
                <w:szCs w:val="22"/>
              </w:rPr>
              <w:t>six</w:t>
            </w:r>
            <w:r w:rsidRPr="1D57B863">
              <w:rPr>
                <w:rFonts w:asciiTheme="minorHAnsi" w:hAnsiTheme="minorHAnsi" w:cstheme="minorBidi"/>
                <w:sz w:val="22"/>
                <w:szCs w:val="22"/>
              </w:rPr>
              <w:t xml:space="preserve"> surveys.</w:t>
            </w:r>
          </w:p>
          <w:p w:rsidR="001C1AB8" w:rsidRPr="00AF212B" w:rsidP="003E7362" w14:paraId="046109ED" w14:textId="77777777">
            <w:pPr>
              <w:pStyle w:val="ListParagraph"/>
              <w:numPr>
                <w:ilvl w:val="0"/>
                <w:numId w:val="5"/>
              </w:numPr>
              <w:rPr>
                <w:rFonts w:asciiTheme="minorHAnsi" w:hAnsiTheme="minorHAnsi" w:cstheme="minorHAnsi"/>
                <w:sz w:val="22"/>
                <w:szCs w:val="22"/>
              </w:rPr>
            </w:pPr>
            <w:r w:rsidRPr="1D57B863">
              <w:rPr>
                <w:rFonts w:asciiTheme="minorHAnsi" w:hAnsiTheme="minorHAnsi" w:cstheme="minorBidi"/>
                <w:sz w:val="22"/>
                <w:szCs w:val="22"/>
              </w:rPr>
              <w:t>These studies were conducted in Australia, Belgium, Canada, Chile, China, France, India, Mexico, New Zealand, Poland, Taiwan, and the United States.</w:t>
            </w:r>
          </w:p>
          <w:p w:rsidR="001C1AB8" w:rsidRPr="00AF212B" w:rsidP="1D57B863" w14:paraId="19C677C8" w14:textId="784FDB8E">
            <w:pPr>
              <w:pStyle w:val="ListParagraph"/>
              <w:numPr>
                <w:ilvl w:val="0"/>
                <w:numId w:val="5"/>
              </w:numPr>
              <w:rPr>
                <w:rFonts w:asciiTheme="minorHAnsi" w:hAnsiTheme="minorHAnsi" w:cstheme="minorBidi"/>
                <w:sz w:val="22"/>
                <w:szCs w:val="22"/>
              </w:rPr>
            </w:pPr>
            <w:r w:rsidRPr="1D57B863">
              <w:rPr>
                <w:rFonts w:asciiTheme="minorHAnsi" w:hAnsiTheme="minorHAnsi" w:cstheme="minorBidi"/>
                <w:sz w:val="22"/>
                <w:szCs w:val="22"/>
              </w:rPr>
              <w:t xml:space="preserve">These studies focused on a range of populations </w:t>
            </w:r>
            <w:r w:rsidRPr="1D57B863" w:rsidR="2C107365">
              <w:rPr>
                <w:rFonts w:asciiTheme="minorHAnsi" w:hAnsiTheme="minorHAnsi" w:cstheme="minorBidi"/>
                <w:sz w:val="22"/>
                <w:szCs w:val="22"/>
              </w:rPr>
              <w:t xml:space="preserve">which </w:t>
            </w:r>
            <w:r w:rsidRPr="1D57B863">
              <w:rPr>
                <w:rFonts w:asciiTheme="minorHAnsi" w:hAnsiTheme="minorHAnsi" w:cstheme="minorBidi"/>
                <w:sz w:val="22"/>
                <w:szCs w:val="22"/>
              </w:rPr>
              <w:t xml:space="preserve">included children, adolescents, parents, </w:t>
            </w:r>
            <w:r w:rsidRPr="1D57B863" w:rsidR="031B7884">
              <w:rPr>
                <w:rFonts w:asciiTheme="minorHAnsi" w:hAnsiTheme="minorHAnsi" w:cstheme="minorBidi"/>
                <w:sz w:val="22"/>
                <w:szCs w:val="22"/>
              </w:rPr>
              <w:t xml:space="preserve">and </w:t>
            </w:r>
            <w:r w:rsidRPr="1D57B863">
              <w:rPr>
                <w:rFonts w:asciiTheme="minorHAnsi" w:hAnsiTheme="minorHAnsi" w:cstheme="minorBidi"/>
                <w:sz w:val="22"/>
                <w:szCs w:val="22"/>
              </w:rPr>
              <w:t xml:space="preserve">students, </w:t>
            </w:r>
            <w:r w:rsidRPr="1D57B863">
              <w:rPr>
                <w:rFonts w:asciiTheme="minorHAnsi" w:hAnsiTheme="minorHAnsi" w:cstheme="minorBidi"/>
                <w:sz w:val="22"/>
                <w:szCs w:val="22"/>
              </w:rPr>
              <w:t>and also</w:t>
            </w:r>
            <w:r w:rsidRPr="1D57B863">
              <w:rPr>
                <w:rFonts w:asciiTheme="minorHAnsi" w:hAnsiTheme="minorHAnsi" w:cstheme="minorBidi"/>
                <w:sz w:val="22"/>
                <w:szCs w:val="22"/>
              </w:rPr>
              <w:t xml:space="preserve"> reported results by gender.</w:t>
            </w:r>
          </w:p>
          <w:p w:rsidR="001C1AB8" w:rsidRPr="00AF212B" w:rsidP="003E7362" w14:paraId="6DEDED59" w14:textId="072A6DF5">
            <w:pPr>
              <w:pStyle w:val="ListParagraph"/>
              <w:numPr>
                <w:ilvl w:val="0"/>
                <w:numId w:val="5"/>
              </w:numPr>
              <w:rPr>
                <w:rFonts w:asciiTheme="minorHAnsi" w:hAnsiTheme="minorHAnsi" w:cstheme="minorHAnsi"/>
                <w:sz w:val="22"/>
                <w:szCs w:val="22"/>
              </w:rPr>
            </w:pPr>
            <w:r w:rsidRPr="1D57B863">
              <w:rPr>
                <w:rFonts w:asciiTheme="minorHAnsi" w:hAnsiTheme="minorHAnsi" w:cstheme="minorBidi"/>
                <w:sz w:val="22"/>
                <w:szCs w:val="22"/>
              </w:rPr>
              <w:t>FOP</w:t>
            </w:r>
            <w:r w:rsidR="00625D2D">
              <w:rPr>
                <w:rFonts w:asciiTheme="minorHAnsi" w:hAnsiTheme="minorHAnsi" w:cstheme="minorBidi"/>
                <w:sz w:val="22"/>
                <w:szCs w:val="22"/>
              </w:rPr>
              <w:t xml:space="preserve"> </w:t>
            </w:r>
            <w:r w:rsidRPr="1D57B863" w:rsidR="0109B70A">
              <w:rPr>
                <w:rFonts w:asciiTheme="minorHAnsi" w:hAnsiTheme="minorHAnsi" w:cstheme="minorBidi"/>
                <w:sz w:val="22"/>
                <w:szCs w:val="22"/>
              </w:rPr>
              <w:t>s</w:t>
            </w:r>
            <w:r w:rsidR="00625D2D">
              <w:rPr>
                <w:rFonts w:asciiTheme="minorHAnsi" w:hAnsiTheme="minorHAnsi" w:cstheme="minorBidi"/>
                <w:sz w:val="22"/>
                <w:szCs w:val="22"/>
              </w:rPr>
              <w:t>chemes</w:t>
            </w:r>
            <w:r w:rsidRPr="1D57B863" w:rsidR="0109B70A">
              <w:rPr>
                <w:rFonts w:asciiTheme="minorHAnsi" w:hAnsiTheme="minorHAnsi" w:cstheme="minorBidi"/>
                <w:sz w:val="22"/>
                <w:szCs w:val="22"/>
              </w:rPr>
              <w:t xml:space="preserve"> evaluated in the studies include Guideline Daily Amount, Health Star Rating (both simple and hybrid), Multi-Traffic Light, </w:t>
            </w:r>
            <w:r w:rsidRPr="1D57B863">
              <w:rPr>
                <w:rFonts w:asciiTheme="minorHAnsi" w:hAnsiTheme="minorHAnsi" w:cstheme="minorBidi"/>
                <w:sz w:val="22"/>
                <w:szCs w:val="22"/>
              </w:rPr>
              <w:t>Nutri-Score</w:t>
            </w:r>
            <w:r w:rsidRPr="1D57B863" w:rsidR="0109B70A">
              <w:rPr>
                <w:rFonts w:asciiTheme="minorHAnsi" w:hAnsiTheme="minorHAnsi" w:cstheme="minorBidi"/>
                <w:sz w:val="22"/>
                <w:szCs w:val="22"/>
              </w:rPr>
              <w:t>, Guiding Stars, Warning Labels (both traditional and numeric), Reference Intake Labels, and health logos.</w:t>
            </w:r>
          </w:p>
          <w:p w:rsidR="001C1AB8" w:rsidRPr="00560BC9" w:rsidP="6DEF1E7C" w14:paraId="26757592" w14:textId="419BE284">
            <w:pPr>
              <w:pStyle w:val="ListParagraph"/>
              <w:numPr>
                <w:ilvl w:val="0"/>
                <w:numId w:val="5"/>
              </w:numPr>
              <w:rPr>
                <w:rFonts w:ascii="Calibri" w:hAnsi="Calibri" w:cstheme="minorBidi"/>
                <w:sz w:val="22"/>
                <w:szCs w:val="22"/>
              </w:rPr>
            </w:pPr>
            <w:r w:rsidRPr="6DEF1E7C">
              <w:rPr>
                <w:rFonts w:ascii="Calibri" w:hAnsi="Calibri" w:cstheme="minorBidi"/>
                <w:sz w:val="22"/>
                <w:szCs w:val="22"/>
              </w:rPr>
              <w:t xml:space="preserve">Studies </w:t>
            </w:r>
            <w:r w:rsidRPr="6DEF1E7C" w:rsidR="2B505C42">
              <w:rPr>
                <w:rFonts w:ascii="Calibri" w:hAnsi="Calibri" w:cstheme="minorBidi"/>
                <w:sz w:val="22"/>
                <w:szCs w:val="22"/>
              </w:rPr>
              <w:t xml:space="preserve">generally </w:t>
            </w:r>
            <w:r w:rsidRPr="6DEF1E7C">
              <w:rPr>
                <w:rFonts w:ascii="Calibri" w:hAnsi="Calibri" w:cstheme="minorBidi"/>
                <w:sz w:val="22"/>
                <w:szCs w:val="22"/>
              </w:rPr>
              <w:t>found that</w:t>
            </w:r>
            <w:r w:rsidRPr="6DEF1E7C" w:rsidR="3425F69C">
              <w:rPr>
                <w:rFonts w:ascii="Calibri" w:hAnsi="Calibri" w:cstheme="minorBidi"/>
                <w:sz w:val="22"/>
                <w:szCs w:val="22"/>
              </w:rPr>
              <w:t xml:space="preserve">, among diverse populations, </w:t>
            </w:r>
            <w:r w:rsidRPr="6DEF1E7C">
              <w:rPr>
                <w:rFonts w:ascii="Calibri" w:hAnsi="Calibri" w:cstheme="minorBidi"/>
                <w:sz w:val="22"/>
                <w:szCs w:val="22"/>
              </w:rPr>
              <w:t xml:space="preserve">all </w:t>
            </w:r>
            <w:r w:rsidRPr="6DEF1E7C" w:rsidR="43E1DD31">
              <w:rPr>
                <w:rFonts w:ascii="Calibri" w:hAnsi="Calibri" w:cstheme="minorBidi"/>
                <w:sz w:val="22"/>
                <w:szCs w:val="22"/>
              </w:rPr>
              <w:t>FOP</w:t>
            </w:r>
            <w:r w:rsidRPr="6DEF1E7C" w:rsidR="7FAF42C7">
              <w:rPr>
                <w:rFonts w:ascii="Calibri" w:hAnsi="Calibri" w:cstheme="minorBidi"/>
                <w:sz w:val="22"/>
                <w:szCs w:val="22"/>
              </w:rPr>
              <w:t xml:space="preserve"> </w:t>
            </w:r>
            <w:r w:rsidRPr="6DEF1E7C" w:rsidR="4DCAE4D6">
              <w:rPr>
                <w:rFonts w:ascii="Calibri" w:hAnsi="Calibri" w:cstheme="minorBidi"/>
                <w:sz w:val="22"/>
                <w:szCs w:val="22"/>
              </w:rPr>
              <w:t>s</w:t>
            </w:r>
            <w:r w:rsidRPr="6DEF1E7C" w:rsidR="7FAF42C7">
              <w:rPr>
                <w:rFonts w:ascii="Calibri" w:hAnsi="Calibri" w:cstheme="minorBidi"/>
                <w:sz w:val="22"/>
                <w:szCs w:val="22"/>
              </w:rPr>
              <w:t>chemes</w:t>
            </w:r>
            <w:r w:rsidRPr="6DEF1E7C">
              <w:rPr>
                <w:rFonts w:ascii="Calibri" w:hAnsi="Calibri" w:cstheme="minorBidi"/>
                <w:sz w:val="22"/>
                <w:szCs w:val="22"/>
              </w:rPr>
              <w:t xml:space="preserve"> led to </w:t>
            </w:r>
            <w:r w:rsidRPr="6DEF1E7C" w:rsidR="066AD0B8">
              <w:rPr>
                <w:rFonts w:ascii="Calibri" w:hAnsi="Calibri" w:cstheme="minorBidi"/>
                <w:sz w:val="22"/>
                <w:szCs w:val="22"/>
              </w:rPr>
              <w:t xml:space="preserve">participants </w:t>
            </w:r>
            <w:r w:rsidRPr="6DEF1E7C" w:rsidR="30E80CF9">
              <w:rPr>
                <w:rFonts w:ascii="Calibri" w:hAnsi="Calibri" w:cstheme="minorBidi"/>
                <w:sz w:val="22"/>
                <w:szCs w:val="22"/>
              </w:rPr>
              <w:t xml:space="preserve">making healthier decisions, </w:t>
            </w:r>
            <w:r w:rsidRPr="6DEF1E7C" w:rsidR="77383ABE">
              <w:rPr>
                <w:rFonts w:ascii="Calibri" w:hAnsi="Calibri" w:cstheme="minorBidi"/>
                <w:sz w:val="22"/>
                <w:szCs w:val="22"/>
              </w:rPr>
              <w:t>al</w:t>
            </w:r>
            <w:r w:rsidRPr="6DEF1E7C" w:rsidR="0E58AE83">
              <w:rPr>
                <w:rFonts w:ascii="Calibri" w:hAnsi="Calibri" w:cstheme="minorBidi"/>
                <w:sz w:val="22"/>
                <w:szCs w:val="22"/>
              </w:rPr>
              <w:t>though</w:t>
            </w:r>
            <w:r w:rsidRPr="6DEF1E7C" w:rsidR="30E80CF9">
              <w:rPr>
                <w:rFonts w:ascii="Calibri" w:hAnsi="Calibri" w:cstheme="minorBidi"/>
                <w:sz w:val="22"/>
                <w:szCs w:val="22"/>
              </w:rPr>
              <w:t xml:space="preserve"> </w:t>
            </w:r>
            <w:r w:rsidRPr="6DEF1E7C" w:rsidR="5CDD488D">
              <w:rPr>
                <w:rFonts w:ascii="Calibri" w:hAnsi="Calibri" w:cstheme="minorBidi"/>
                <w:sz w:val="22"/>
                <w:szCs w:val="22"/>
              </w:rPr>
              <w:t xml:space="preserve">one </w:t>
            </w:r>
            <w:r w:rsidRPr="6DEF1E7C" w:rsidR="02C96D9A">
              <w:rPr>
                <w:rFonts w:ascii="Calibri" w:hAnsi="Calibri" w:cstheme="minorBidi"/>
                <w:sz w:val="22"/>
                <w:szCs w:val="22"/>
              </w:rPr>
              <w:t xml:space="preserve">focus group </w:t>
            </w:r>
            <w:r w:rsidRPr="6DEF1E7C" w:rsidR="5CDD488D">
              <w:rPr>
                <w:rFonts w:ascii="Calibri" w:hAnsi="Calibri" w:cstheme="minorBidi"/>
                <w:sz w:val="22"/>
                <w:szCs w:val="22"/>
              </w:rPr>
              <w:t>study reported that mothers</w:t>
            </w:r>
            <w:r w:rsidRPr="6DEF1E7C" w:rsidR="30E80CF9">
              <w:rPr>
                <w:rFonts w:ascii="Calibri" w:hAnsi="Calibri" w:cstheme="minorBidi"/>
                <w:sz w:val="22"/>
                <w:szCs w:val="22"/>
              </w:rPr>
              <w:t xml:space="preserve"> </w:t>
            </w:r>
            <w:r w:rsidRPr="6DEF1E7C" w:rsidR="7179654C">
              <w:rPr>
                <w:rFonts w:ascii="Calibri" w:hAnsi="Calibri" w:cstheme="minorBidi"/>
                <w:sz w:val="22"/>
                <w:szCs w:val="22"/>
              </w:rPr>
              <w:t>expressed</w:t>
            </w:r>
            <w:r w:rsidRPr="6DEF1E7C" w:rsidR="305C2365">
              <w:rPr>
                <w:rFonts w:ascii="Calibri" w:hAnsi="Calibri" w:cstheme="minorBidi"/>
                <w:sz w:val="22"/>
                <w:szCs w:val="22"/>
              </w:rPr>
              <w:t xml:space="preserve"> </w:t>
            </w:r>
            <w:r w:rsidRPr="6DEF1E7C" w:rsidR="0E58AE83">
              <w:rPr>
                <w:rFonts w:ascii="Calibri" w:hAnsi="Calibri" w:cstheme="minorBidi"/>
                <w:sz w:val="22"/>
                <w:szCs w:val="22"/>
              </w:rPr>
              <w:t>fatigue</w:t>
            </w:r>
            <w:r w:rsidRPr="6DEF1E7C" w:rsidR="30E80CF9">
              <w:rPr>
                <w:rFonts w:ascii="Calibri" w:hAnsi="Calibri" w:cstheme="minorBidi"/>
                <w:sz w:val="22"/>
                <w:szCs w:val="22"/>
              </w:rPr>
              <w:t xml:space="preserve"> with </w:t>
            </w:r>
            <w:r w:rsidRPr="6DEF1E7C" w:rsidR="16442958">
              <w:rPr>
                <w:rFonts w:ascii="Calibri" w:hAnsi="Calibri" w:cstheme="minorBidi"/>
                <w:sz w:val="22"/>
                <w:szCs w:val="22"/>
              </w:rPr>
              <w:t>Warning Label</w:t>
            </w:r>
            <w:r w:rsidRPr="6DEF1E7C" w:rsidR="30E80CF9">
              <w:rPr>
                <w:rFonts w:ascii="Calibri" w:hAnsi="Calibri" w:cstheme="minorBidi"/>
                <w:sz w:val="22"/>
                <w:szCs w:val="22"/>
              </w:rPr>
              <w:t>s four years after full implementation (Correa, 2022),</w:t>
            </w:r>
            <w:r w:rsidRPr="6DEF1E7C" w:rsidR="5CDD488D">
              <w:rPr>
                <w:rFonts w:ascii="Calibri" w:hAnsi="Calibri" w:cstheme="minorBidi"/>
                <w:sz w:val="22"/>
                <w:szCs w:val="22"/>
              </w:rPr>
              <w:t xml:space="preserve"> </w:t>
            </w:r>
            <w:r w:rsidRPr="6DEF1E7C" w:rsidR="03E09067">
              <w:rPr>
                <w:rFonts w:ascii="Calibri" w:hAnsi="Calibri" w:cstheme="minorBidi"/>
                <w:sz w:val="22"/>
                <w:szCs w:val="22"/>
              </w:rPr>
              <w:t xml:space="preserve">and suggested </w:t>
            </w:r>
            <w:r w:rsidRPr="6DEF1E7C" w:rsidR="4DCAE4D6">
              <w:rPr>
                <w:rFonts w:ascii="Calibri" w:hAnsi="Calibri" w:cstheme="minorBidi"/>
                <w:sz w:val="22"/>
                <w:szCs w:val="22"/>
              </w:rPr>
              <w:t>the</w:t>
            </w:r>
            <w:r w:rsidRPr="6DEF1E7C">
              <w:rPr>
                <w:rFonts w:ascii="Calibri" w:hAnsi="Calibri" w:cstheme="minorBidi"/>
                <w:sz w:val="22"/>
                <w:szCs w:val="22"/>
              </w:rPr>
              <w:t xml:space="preserve"> need to identify groups </w:t>
            </w:r>
            <w:r w:rsidRPr="4C9BFAA2" w:rsidR="7C7223A5">
              <w:rPr>
                <w:rFonts w:ascii="Calibri" w:hAnsi="Calibri" w:cstheme="minorBidi"/>
                <w:sz w:val="22"/>
                <w:szCs w:val="22"/>
              </w:rPr>
              <w:t>of</w:t>
            </w:r>
            <w:r w:rsidRPr="4C9BFAA2" w:rsidR="7E646003">
              <w:rPr>
                <w:rFonts w:ascii="Calibri" w:hAnsi="Calibri" w:cstheme="minorBidi"/>
                <w:sz w:val="22"/>
                <w:szCs w:val="22"/>
              </w:rPr>
              <w:t xml:space="preserve"> </w:t>
            </w:r>
            <w:r w:rsidRPr="4C9BFAA2" w:rsidR="7C7223A5">
              <w:rPr>
                <w:rFonts w:ascii="Calibri" w:hAnsi="Calibri" w:cstheme="minorBidi"/>
                <w:sz w:val="22"/>
                <w:szCs w:val="22"/>
              </w:rPr>
              <w:t>consumers</w:t>
            </w:r>
            <w:r w:rsidRPr="6DEF1E7C">
              <w:rPr>
                <w:rFonts w:ascii="Calibri" w:hAnsi="Calibri" w:cstheme="minorBidi"/>
                <w:sz w:val="22"/>
                <w:szCs w:val="22"/>
              </w:rPr>
              <w:t xml:space="preserve"> </w:t>
            </w:r>
            <w:r w:rsidRPr="6DEF1E7C" w:rsidR="1B2F00ED">
              <w:rPr>
                <w:rFonts w:ascii="Calibri" w:hAnsi="Calibri" w:cstheme="minorBidi"/>
                <w:sz w:val="22"/>
                <w:szCs w:val="22"/>
              </w:rPr>
              <w:t>t</w:t>
            </w:r>
            <w:r w:rsidRPr="6DEF1E7C" w:rsidR="30743442">
              <w:rPr>
                <w:rFonts w:ascii="Calibri" w:hAnsi="Calibri" w:cstheme="minorBidi"/>
                <w:sz w:val="22"/>
                <w:szCs w:val="22"/>
              </w:rPr>
              <w:t>hat could experience similar reaction</w:t>
            </w:r>
            <w:r w:rsidRPr="6DEF1E7C" w:rsidR="1D5F87F1">
              <w:rPr>
                <w:rFonts w:ascii="Calibri" w:hAnsi="Calibri" w:cstheme="minorBidi"/>
                <w:sz w:val="22"/>
                <w:szCs w:val="22"/>
              </w:rPr>
              <w:t>s</w:t>
            </w:r>
            <w:r w:rsidRPr="6DEF1E7C" w:rsidR="30743442">
              <w:rPr>
                <w:rFonts w:ascii="Calibri" w:hAnsi="Calibri" w:cstheme="minorBidi"/>
                <w:sz w:val="22"/>
                <w:szCs w:val="22"/>
              </w:rPr>
              <w:t xml:space="preserve"> over time</w:t>
            </w:r>
            <w:r w:rsidRPr="6DEF1E7C" w:rsidR="02C08F28">
              <w:rPr>
                <w:rFonts w:ascii="Calibri" w:hAnsi="Calibri" w:cstheme="minorBidi"/>
                <w:sz w:val="22"/>
                <w:szCs w:val="22"/>
              </w:rPr>
              <w:t xml:space="preserve"> and consider ways to address</w:t>
            </w:r>
            <w:r w:rsidRPr="6DEF1E7C" w:rsidR="3068DEF8">
              <w:rPr>
                <w:rFonts w:ascii="Calibri" w:hAnsi="Calibri" w:cstheme="minorBidi"/>
                <w:sz w:val="22"/>
                <w:szCs w:val="22"/>
              </w:rPr>
              <w:t>.</w:t>
            </w:r>
            <w:r w:rsidRPr="6DEF1E7C" w:rsidR="11C6A051">
              <w:rPr>
                <w:rFonts w:ascii="Calibri" w:hAnsi="Calibri" w:cstheme="minorBidi"/>
                <w:sz w:val="22"/>
                <w:szCs w:val="22"/>
              </w:rPr>
              <w:t xml:space="preserve"> </w:t>
            </w:r>
            <w:r w:rsidRPr="6DEF1E7C">
              <w:rPr>
                <w:rFonts w:ascii="Calibri" w:hAnsi="Calibri" w:cstheme="minorBidi"/>
                <w:sz w:val="22"/>
                <w:szCs w:val="22"/>
              </w:rPr>
              <w:t xml:space="preserve"> </w:t>
            </w:r>
          </w:p>
          <w:p w:rsidR="001C1AB8" w:rsidRPr="00AF212B" w:rsidP="00FB5461" w14:paraId="5138ECF9" w14:textId="2DFAD877">
            <w:pPr>
              <w:pStyle w:val="ListParagraph"/>
              <w:numPr>
                <w:ilvl w:val="0"/>
                <w:numId w:val="5"/>
              </w:numPr>
              <w:rPr>
                <w:rFonts w:asciiTheme="minorHAnsi" w:hAnsiTheme="minorHAnsi" w:cstheme="minorBidi"/>
                <w:sz w:val="22"/>
                <w:szCs w:val="22"/>
              </w:rPr>
            </w:pPr>
            <w:r w:rsidRPr="1D57B863">
              <w:rPr>
                <w:rFonts w:asciiTheme="minorHAnsi" w:hAnsiTheme="minorHAnsi" w:cstheme="minorBidi"/>
                <w:sz w:val="22"/>
                <w:szCs w:val="22"/>
              </w:rPr>
              <w:t xml:space="preserve">Nutri-Score </w:t>
            </w:r>
            <w:r w:rsidRPr="1D57B863" w:rsidR="0109B70A">
              <w:rPr>
                <w:rFonts w:asciiTheme="minorHAnsi" w:hAnsiTheme="minorHAnsi" w:cstheme="minorBidi"/>
                <w:sz w:val="22"/>
                <w:szCs w:val="22"/>
              </w:rPr>
              <w:t xml:space="preserve">continued to show potential to encourage the purchasing of products with higher nutritional quality among </w:t>
            </w:r>
            <w:r w:rsidRPr="1D57B863" w:rsidR="6A040A5E">
              <w:rPr>
                <w:rFonts w:asciiTheme="minorHAnsi" w:hAnsiTheme="minorHAnsi" w:cstheme="minorBidi"/>
                <w:sz w:val="22"/>
                <w:szCs w:val="22"/>
              </w:rPr>
              <w:t xml:space="preserve">different </w:t>
            </w:r>
            <w:r w:rsidRPr="1D57B863" w:rsidR="0109B70A">
              <w:rPr>
                <w:rFonts w:asciiTheme="minorHAnsi" w:hAnsiTheme="minorHAnsi" w:cstheme="minorBidi"/>
                <w:sz w:val="22"/>
                <w:szCs w:val="22"/>
              </w:rPr>
              <w:t xml:space="preserve">groups. </w:t>
            </w:r>
            <w:r w:rsidRPr="1D57B863" w:rsidR="5CDD488D">
              <w:rPr>
                <w:rFonts w:asciiTheme="minorHAnsi" w:hAnsiTheme="minorHAnsi" w:cstheme="minorBidi"/>
                <w:sz w:val="22"/>
                <w:szCs w:val="22"/>
              </w:rPr>
              <w:t>A variety of age and gender groups report</w:t>
            </w:r>
            <w:r w:rsidRPr="1D57B863" w:rsidR="0F76E389">
              <w:rPr>
                <w:rFonts w:asciiTheme="minorHAnsi" w:hAnsiTheme="minorHAnsi" w:cstheme="minorBidi"/>
                <w:sz w:val="22"/>
                <w:szCs w:val="22"/>
              </w:rPr>
              <w:t>ed</w:t>
            </w:r>
            <w:r w:rsidRPr="1D57B863" w:rsidR="5CDD488D">
              <w:rPr>
                <w:rFonts w:asciiTheme="minorHAnsi" w:hAnsiTheme="minorHAnsi" w:cstheme="minorBidi"/>
                <w:sz w:val="22"/>
                <w:szCs w:val="22"/>
              </w:rPr>
              <w:t xml:space="preserve"> knowledge and understanding of the </w:t>
            </w:r>
            <w:r w:rsidRPr="1D57B863">
              <w:rPr>
                <w:rFonts w:asciiTheme="minorHAnsi" w:hAnsiTheme="minorHAnsi" w:cstheme="minorBidi"/>
                <w:sz w:val="22"/>
                <w:szCs w:val="22"/>
              </w:rPr>
              <w:t>Nutri-</w:t>
            </w:r>
            <w:r w:rsidRPr="1D57B863">
              <w:rPr>
                <w:rFonts w:asciiTheme="minorHAnsi" w:hAnsiTheme="minorHAnsi" w:cstheme="minorBidi"/>
                <w:sz w:val="22"/>
                <w:szCs w:val="22"/>
              </w:rPr>
              <w:t>Score</w:t>
            </w:r>
            <w:r w:rsidRPr="1D57B863" w:rsidR="5CDD488D">
              <w:rPr>
                <w:rFonts w:asciiTheme="minorHAnsi" w:hAnsiTheme="minorHAnsi" w:cstheme="minorBidi"/>
                <w:sz w:val="22"/>
                <w:szCs w:val="22"/>
              </w:rPr>
              <w:t>, and</w:t>
            </w:r>
            <w:r w:rsidRPr="1D57B863" w:rsidR="5CDD488D">
              <w:rPr>
                <w:rFonts w:asciiTheme="minorHAnsi" w:hAnsiTheme="minorHAnsi" w:cstheme="minorBidi"/>
                <w:sz w:val="22"/>
                <w:szCs w:val="22"/>
              </w:rPr>
              <w:t xml:space="preserve"> demonstrate</w:t>
            </w:r>
            <w:r w:rsidRPr="1D57B863" w:rsidR="25F8E911">
              <w:rPr>
                <w:rFonts w:asciiTheme="minorHAnsi" w:hAnsiTheme="minorHAnsi" w:cstheme="minorBidi"/>
                <w:sz w:val="22"/>
                <w:szCs w:val="22"/>
              </w:rPr>
              <w:t>d</w:t>
            </w:r>
            <w:r w:rsidRPr="1D57B863" w:rsidR="5CDD488D">
              <w:rPr>
                <w:rFonts w:asciiTheme="minorHAnsi" w:hAnsiTheme="minorHAnsi" w:cstheme="minorBidi"/>
                <w:sz w:val="22"/>
                <w:szCs w:val="22"/>
              </w:rPr>
              <w:t xml:space="preserve"> </w:t>
            </w:r>
            <w:r w:rsidRPr="1D57B863" w:rsidR="0109B70A">
              <w:rPr>
                <w:rFonts w:asciiTheme="minorHAnsi" w:hAnsiTheme="minorHAnsi" w:cstheme="minorBidi"/>
                <w:sz w:val="22"/>
                <w:szCs w:val="22"/>
              </w:rPr>
              <w:t>improv</w:t>
            </w:r>
            <w:r w:rsidRPr="1D57B863" w:rsidR="5CDD488D">
              <w:rPr>
                <w:rFonts w:asciiTheme="minorHAnsi" w:hAnsiTheme="minorHAnsi" w:cstheme="minorBidi"/>
                <w:sz w:val="22"/>
                <w:szCs w:val="22"/>
              </w:rPr>
              <w:t>ed ability to rank</w:t>
            </w:r>
            <w:r w:rsidRPr="1D57B863" w:rsidR="0109B70A">
              <w:rPr>
                <w:rFonts w:asciiTheme="minorHAnsi" w:hAnsiTheme="minorHAnsi" w:cstheme="minorBidi"/>
                <w:sz w:val="22"/>
                <w:szCs w:val="22"/>
              </w:rPr>
              <w:t xml:space="preserve"> food items according to nutritional q</w:t>
            </w:r>
            <w:r w:rsidRPr="1D57B863" w:rsidR="5CDD488D">
              <w:rPr>
                <w:rFonts w:asciiTheme="minorHAnsi" w:hAnsiTheme="minorHAnsi" w:cstheme="minorBidi"/>
                <w:sz w:val="22"/>
                <w:szCs w:val="22"/>
              </w:rPr>
              <w:t xml:space="preserve">uality relative to the </w:t>
            </w:r>
            <w:r w:rsidRPr="3A22E7DC" w:rsidR="186D4B22">
              <w:rPr>
                <w:rFonts w:asciiTheme="minorHAnsi" w:hAnsiTheme="minorHAnsi" w:cstheme="minorBidi"/>
                <w:sz w:val="22"/>
                <w:szCs w:val="22"/>
              </w:rPr>
              <w:t>R</w:t>
            </w:r>
            <w:r w:rsidRPr="3A22E7DC" w:rsidR="0E494B41">
              <w:rPr>
                <w:rFonts w:asciiTheme="minorHAnsi" w:hAnsiTheme="minorHAnsi" w:cstheme="minorBidi"/>
                <w:sz w:val="22"/>
                <w:szCs w:val="22"/>
              </w:rPr>
              <w:t>eference Intake</w:t>
            </w:r>
            <w:r w:rsidRPr="1D57B863" w:rsidR="5CDD488D">
              <w:rPr>
                <w:rFonts w:asciiTheme="minorHAnsi" w:hAnsiTheme="minorHAnsi" w:cstheme="minorBidi"/>
                <w:sz w:val="22"/>
                <w:szCs w:val="22"/>
              </w:rPr>
              <w:t xml:space="preserve"> label</w:t>
            </w:r>
            <w:r w:rsidRPr="1D57B863" w:rsidR="2B505C42">
              <w:rPr>
                <w:rFonts w:asciiTheme="minorHAnsi" w:hAnsiTheme="minorHAnsi" w:cstheme="minorBidi"/>
                <w:sz w:val="22"/>
                <w:szCs w:val="22"/>
              </w:rPr>
              <w:t xml:space="preserve"> (Andreeva, 2022; Ducrot, 2022)</w:t>
            </w:r>
            <w:r w:rsidRPr="1D57B863" w:rsidR="0109B70A">
              <w:rPr>
                <w:rFonts w:asciiTheme="minorHAnsi" w:hAnsiTheme="minorHAnsi" w:cstheme="minorBidi"/>
                <w:sz w:val="22"/>
                <w:szCs w:val="22"/>
              </w:rPr>
              <w:t>.</w:t>
            </w:r>
          </w:p>
          <w:p w:rsidR="001C1AB8" w:rsidRPr="00AF212B" w:rsidP="003E7362" w14:paraId="0FE7E8ED" w14:textId="2EEC13DE">
            <w:pPr>
              <w:pStyle w:val="ListParagraph"/>
              <w:numPr>
                <w:ilvl w:val="0"/>
                <w:numId w:val="5"/>
              </w:numPr>
              <w:rPr>
                <w:rFonts w:asciiTheme="minorHAnsi" w:hAnsiTheme="minorHAnsi" w:cstheme="minorHAnsi"/>
                <w:sz w:val="22"/>
              </w:rPr>
            </w:pPr>
            <w:r w:rsidRPr="1D57B863">
              <w:rPr>
                <w:rFonts w:asciiTheme="minorHAnsi" w:hAnsiTheme="minorHAnsi" w:cstheme="minorBidi"/>
                <w:sz w:val="22"/>
                <w:szCs w:val="22"/>
              </w:rPr>
              <w:t>A</w:t>
            </w:r>
            <w:r w:rsidRPr="1D57B863" w:rsidR="5CDD488D">
              <w:rPr>
                <w:rFonts w:asciiTheme="minorHAnsi" w:hAnsiTheme="minorHAnsi" w:cstheme="minorBidi"/>
                <w:sz w:val="22"/>
                <w:szCs w:val="22"/>
              </w:rPr>
              <w:t xml:space="preserve">dditionally, </w:t>
            </w:r>
            <w:r w:rsidRPr="1D57B863" w:rsidR="10AEA1A1">
              <w:rPr>
                <w:rFonts w:asciiTheme="minorHAnsi" w:hAnsiTheme="minorHAnsi" w:cstheme="minorBidi"/>
                <w:sz w:val="22"/>
                <w:szCs w:val="22"/>
              </w:rPr>
              <w:t>Nutri-Score</w:t>
            </w:r>
            <w:r w:rsidRPr="1D57B863">
              <w:rPr>
                <w:rFonts w:asciiTheme="minorHAnsi" w:hAnsiTheme="minorHAnsi" w:cstheme="minorBidi"/>
                <w:sz w:val="22"/>
                <w:szCs w:val="22"/>
              </w:rPr>
              <w:t xml:space="preserve"> was </w:t>
            </w:r>
            <w:r w:rsidR="00AB23F5">
              <w:rPr>
                <w:rFonts w:asciiTheme="minorHAnsi" w:hAnsiTheme="minorHAnsi" w:cstheme="minorBidi"/>
                <w:sz w:val="22"/>
                <w:szCs w:val="22"/>
              </w:rPr>
              <w:t xml:space="preserve">found to be </w:t>
            </w:r>
            <w:r w:rsidRPr="1D57B863">
              <w:rPr>
                <w:rFonts w:asciiTheme="minorHAnsi" w:hAnsiTheme="minorHAnsi" w:cstheme="minorBidi"/>
                <w:sz w:val="22"/>
                <w:szCs w:val="22"/>
              </w:rPr>
              <w:t xml:space="preserve">more effective in guiding students with </w:t>
            </w:r>
            <w:r w:rsidR="00AB23F5">
              <w:rPr>
                <w:rFonts w:asciiTheme="minorHAnsi" w:hAnsiTheme="minorHAnsi" w:cstheme="minorBidi"/>
                <w:sz w:val="22"/>
                <w:szCs w:val="22"/>
              </w:rPr>
              <w:t>lower</w:t>
            </w:r>
            <w:r w:rsidRPr="1D57B863">
              <w:rPr>
                <w:rFonts w:asciiTheme="minorHAnsi" w:hAnsiTheme="minorHAnsi" w:cstheme="minorBidi"/>
                <w:sz w:val="22"/>
                <w:szCs w:val="22"/>
              </w:rPr>
              <w:t xml:space="preserve"> health literacy, from non-university institutions, and with low self-estimated nutrition knowledge or low self-estimated diet quality to improve the nutritional quality of their food choices</w:t>
            </w:r>
            <w:r w:rsidRPr="1D57B863" w:rsidR="2B505C42">
              <w:rPr>
                <w:rFonts w:asciiTheme="minorHAnsi" w:hAnsiTheme="minorHAnsi" w:cstheme="minorBidi"/>
                <w:sz w:val="22"/>
                <w:szCs w:val="22"/>
              </w:rPr>
              <w:t xml:space="preserve"> (Hoge, 2022)</w:t>
            </w:r>
            <w:r w:rsidRPr="1D57B863">
              <w:rPr>
                <w:rFonts w:asciiTheme="minorHAnsi" w:hAnsiTheme="minorHAnsi" w:cstheme="minorBidi"/>
                <w:sz w:val="22"/>
                <w:szCs w:val="22"/>
              </w:rPr>
              <w:t>.</w:t>
            </w:r>
          </w:p>
          <w:p w:rsidR="001C1AB8" w:rsidRPr="00AF212B" w:rsidP="003E7362" w14:paraId="6DB56D03" w14:textId="782443ED">
            <w:pPr>
              <w:pStyle w:val="ListParagraph"/>
              <w:numPr>
                <w:ilvl w:val="0"/>
                <w:numId w:val="5"/>
              </w:numPr>
              <w:rPr>
                <w:rFonts w:asciiTheme="minorHAnsi" w:hAnsiTheme="minorHAnsi" w:cstheme="minorBidi"/>
                <w:sz w:val="22"/>
                <w:szCs w:val="22"/>
              </w:rPr>
            </w:pPr>
            <w:r w:rsidRPr="1D57B863">
              <w:rPr>
                <w:rFonts w:asciiTheme="minorHAnsi" w:hAnsiTheme="minorHAnsi" w:cstheme="minorBidi"/>
                <w:sz w:val="22"/>
                <w:szCs w:val="22"/>
              </w:rPr>
              <w:t>A study investigating gender differences (Meng, 2022) found men to be more responsive than women</w:t>
            </w:r>
            <w:r w:rsidRPr="1D57B863" w:rsidR="5AC8E454">
              <w:rPr>
                <w:rFonts w:asciiTheme="minorHAnsi" w:hAnsiTheme="minorHAnsi" w:cstheme="minorBidi"/>
                <w:sz w:val="22"/>
                <w:szCs w:val="22"/>
              </w:rPr>
              <w:t xml:space="preserve"> </w:t>
            </w:r>
            <w:r w:rsidRPr="1D57B863" w:rsidR="44EA2464">
              <w:rPr>
                <w:rFonts w:asciiTheme="minorHAnsi" w:hAnsiTheme="minorHAnsi" w:cstheme="minorBidi"/>
                <w:sz w:val="22"/>
                <w:szCs w:val="22"/>
              </w:rPr>
              <w:t>to color</w:t>
            </w:r>
            <w:r w:rsidRPr="1D57B863" w:rsidR="27DED188">
              <w:rPr>
                <w:rFonts w:asciiTheme="minorHAnsi" w:hAnsiTheme="minorHAnsi" w:cstheme="minorBidi"/>
                <w:sz w:val="22"/>
                <w:szCs w:val="22"/>
              </w:rPr>
              <w:t>,</w:t>
            </w:r>
            <w:r w:rsidRPr="1D57B863" w:rsidR="44EA2464">
              <w:rPr>
                <w:rFonts w:asciiTheme="minorHAnsi" w:hAnsiTheme="minorHAnsi" w:cstheme="minorBidi"/>
                <w:sz w:val="22"/>
                <w:szCs w:val="22"/>
              </w:rPr>
              <w:t xml:space="preserve"> </w:t>
            </w:r>
            <w:r w:rsidRPr="1D57B863" w:rsidR="7B24BEB9">
              <w:rPr>
                <w:rFonts w:asciiTheme="minorHAnsi" w:hAnsiTheme="minorHAnsi" w:cstheme="minorBidi"/>
                <w:sz w:val="22"/>
                <w:szCs w:val="22"/>
              </w:rPr>
              <w:t>while</w:t>
            </w:r>
            <w:r w:rsidRPr="1D57B863">
              <w:rPr>
                <w:rFonts w:asciiTheme="minorHAnsi" w:hAnsiTheme="minorHAnsi" w:cstheme="minorBidi"/>
                <w:sz w:val="22"/>
                <w:szCs w:val="22"/>
              </w:rPr>
              <w:t xml:space="preserve"> text information on the package </w:t>
            </w:r>
            <w:r w:rsidRPr="1D57B863" w:rsidR="44EA2464">
              <w:rPr>
                <w:rFonts w:asciiTheme="minorHAnsi" w:hAnsiTheme="minorHAnsi" w:cstheme="minorBidi"/>
                <w:sz w:val="22"/>
                <w:szCs w:val="22"/>
              </w:rPr>
              <w:t>affect</w:t>
            </w:r>
            <w:r w:rsidRPr="1D57B863" w:rsidR="5B72262E">
              <w:rPr>
                <w:rFonts w:asciiTheme="minorHAnsi" w:hAnsiTheme="minorHAnsi" w:cstheme="minorBidi"/>
                <w:sz w:val="22"/>
                <w:szCs w:val="22"/>
              </w:rPr>
              <w:t xml:space="preserve">ed </w:t>
            </w:r>
            <w:r w:rsidRPr="1D57B863">
              <w:rPr>
                <w:rFonts w:asciiTheme="minorHAnsi" w:hAnsiTheme="minorHAnsi" w:cstheme="minorBidi"/>
                <w:sz w:val="22"/>
                <w:szCs w:val="22"/>
              </w:rPr>
              <w:t xml:space="preserve">women’s but not men’s perceptions of </w:t>
            </w:r>
            <w:r w:rsidRPr="1D57B863" w:rsidR="4BE75385">
              <w:rPr>
                <w:rFonts w:asciiTheme="minorHAnsi" w:hAnsiTheme="minorHAnsi" w:cstheme="minorBidi"/>
                <w:sz w:val="22"/>
                <w:szCs w:val="22"/>
              </w:rPr>
              <w:t xml:space="preserve">product </w:t>
            </w:r>
            <w:r w:rsidRPr="1D57B863">
              <w:rPr>
                <w:rFonts w:asciiTheme="minorHAnsi" w:hAnsiTheme="minorHAnsi" w:cstheme="minorBidi"/>
                <w:sz w:val="22"/>
                <w:szCs w:val="22"/>
              </w:rPr>
              <w:t>healthfulness.</w:t>
            </w:r>
          </w:p>
          <w:p w:rsidR="001C1AB8" w:rsidRPr="00AF212B" w:rsidP="003E7362" w14:paraId="64240E9D" w14:textId="77777777">
            <w:pPr>
              <w:pStyle w:val="ListParagraph"/>
              <w:ind w:left="360"/>
              <w:rPr>
                <w:rFonts w:asciiTheme="minorHAnsi" w:hAnsiTheme="minorHAnsi" w:cstheme="minorHAnsi"/>
                <w:sz w:val="22"/>
                <w:szCs w:val="22"/>
              </w:rPr>
            </w:pPr>
          </w:p>
          <w:p w:rsidR="001C1AB8" w:rsidRPr="00AF212B" w:rsidP="003E7362" w14:paraId="5651870F" w14:textId="16A2E1AD">
            <w:pPr>
              <w:rPr>
                <w:rFonts w:asciiTheme="minorHAnsi" w:hAnsiTheme="minorHAnsi" w:cstheme="minorBidi"/>
                <w:sz w:val="22"/>
                <w:szCs w:val="22"/>
              </w:rPr>
            </w:pPr>
            <w:r w:rsidRPr="79021091">
              <w:rPr>
                <w:rFonts w:asciiTheme="minorHAnsi" w:hAnsiTheme="minorHAnsi" w:cstheme="minorBidi"/>
                <w:b/>
                <w:sz w:val="22"/>
                <w:szCs w:val="22"/>
              </w:rPr>
              <w:t xml:space="preserve">Conclusion: </w:t>
            </w:r>
            <w:r w:rsidRPr="79021091">
              <w:rPr>
                <w:rFonts w:asciiTheme="minorHAnsi" w:hAnsiTheme="minorHAnsi" w:cstheme="minorBidi"/>
                <w:sz w:val="22"/>
                <w:szCs w:val="22"/>
              </w:rPr>
              <w:t xml:space="preserve">While results from the studies varied as in previous reviews, they continue to show generally positive effects of </w:t>
            </w:r>
            <w:r w:rsidR="004B6E26">
              <w:rPr>
                <w:rFonts w:asciiTheme="minorHAnsi" w:hAnsiTheme="minorHAnsi" w:cstheme="minorBidi"/>
                <w:sz w:val="22"/>
                <w:szCs w:val="22"/>
              </w:rPr>
              <w:t>FOP</w:t>
            </w:r>
            <w:r w:rsidR="003030F6">
              <w:rPr>
                <w:rFonts w:asciiTheme="minorHAnsi" w:hAnsiTheme="minorHAnsi" w:cstheme="minorBidi"/>
                <w:sz w:val="22"/>
                <w:szCs w:val="22"/>
              </w:rPr>
              <w:t xml:space="preserve"> label</w:t>
            </w:r>
            <w:r w:rsidRPr="79021091">
              <w:rPr>
                <w:rFonts w:asciiTheme="minorHAnsi" w:hAnsiTheme="minorHAnsi" w:cstheme="minorBidi"/>
                <w:sz w:val="22"/>
                <w:szCs w:val="22"/>
              </w:rPr>
              <w:t xml:space="preserve">s on </w:t>
            </w:r>
            <w:r w:rsidRPr="79021091" w:rsidR="619854F6">
              <w:rPr>
                <w:rFonts w:asciiTheme="minorHAnsi" w:hAnsiTheme="minorHAnsi" w:cstheme="minorBidi"/>
                <w:sz w:val="22"/>
                <w:szCs w:val="22"/>
              </w:rPr>
              <w:t xml:space="preserve">the </w:t>
            </w:r>
            <w:r w:rsidRPr="79021091">
              <w:rPr>
                <w:rFonts w:asciiTheme="minorHAnsi" w:hAnsiTheme="minorHAnsi" w:cstheme="minorBidi"/>
                <w:sz w:val="22"/>
                <w:szCs w:val="22"/>
              </w:rPr>
              <w:t xml:space="preserve">ability </w:t>
            </w:r>
            <w:r w:rsidRPr="79021091" w:rsidR="5E2FA2CA">
              <w:rPr>
                <w:rFonts w:asciiTheme="minorHAnsi" w:hAnsiTheme="minorHAnsi" w:cstheme="minorBidi"/>
                <w:sz w:val="22"/>
                <w:szCs w:val="22"/>
              </w:rPr>
              <w:t xml:space="preserve">of </w:t>
            </w:r>
            <w:r w:rsidR="00D93785">
              <w:rPr>
                <w:rFonts w:asciiTheme="minorHAnsi" w:hAnsiTheme="minorHAnsi" w:cstheme="minorBidi"/>
                <w:sz w:val="22"/>
                <w:szCs w:val="22"/>
              </w:rPr>
              <w:t xml:space="preserve">different </w:t>
            </w:r>
            <w:r w:rsidRPr="79021091" w:rsidR="5E2FA2CA">
              <w:rPr>
                <w:rFonts w:asciiTheme="minorHAnsi" w:hAnsiTheme="minorHAnsi" w:cstheme="minorBidi"/>
                <w:sz w:val="22"/>
                <w:szCs w:val="22"/>
              </w:rPr>
              <w:t xml:space="preserve"> populations</w:t>
            </w:r>
            <w:r w:rsidRPr="79021091" w:rsidR="5E2FA2CA">
              <w:rPr>
                <w:rFonts w:asciiTheme="minorHAnsi" w:hAnsiTheme="minorHAnsi" w:cstheme="minorBidi"/>
                <w:sz w:val="22"/>
                <w:szCs w:val="22"/>
              </w:rPr>
              <w:t xml:space="preserve"> </w:t>
            </w:r>
            <w:r w:rsidRPr="79021091">
              <w:rPr>
                <w:rFonts w:asciiTheme="minorHAnsi" w:hAnsiTheme="minorHAnsi" w:cstheme="minorBidi"/>
                <w:sz w:val="22"/>
                <w:szCs w:val="22"/>
              </w:rPr>
              <w:t>to select healthier products</w:t>
            </w:r>
            <w:r w:rsidRPr="79021091" w:rsidR="4F6CF60E">
              <w:rPr>
                <w:rFonts w:asciiTheme="minorHAnsi" w:hAnsiTheme="minorHAnsi" w:cstheme="minorBidi"/>
                <w:sz w:val="22"/>
                <w:szCs w:val="22"/>
              </w:rPr>
              <w:t xml:space="preserve">. </w:t>
            </w:r>
            <w:r w:rsidRPr="79021091">
              <w:rPr>
                <w:rFonts w:asciiTheme="minorHAnsi" w:hAnsiTheme="minorHAnsi" w:cstheme="minorBidi"/>
                <w:sz w:val="22"/>
                <w:szCs w:val="22"/>
              </w:rPr>
              <w:t xml:space="preserve">Of particular importance are findings on the influence of color and design in helping to </w:t>
            </w:r>
            <w:r w:rsidR="00D3767E">
              <w:rPr>
                <w:rFonts w:asciiTheme="minorHAnsi" w:hAnsiTheme="minorHAnsi" w:cstheme="minorBidi"/>
                <w:sz w:val="22"/>
                <w:szCs w:val="22"/>
              </w:rPr>
              <w:t>inform</w:t>
            </w:r>
            <w:r w:rsidRPr="79021091">
              <w:rPr>
                <w:rFonts w:asciiTheme="minorHAnsi" w:hAnsiTheme="minorHAnsi" w:cstheme="minorBidi"/>
                <w:sz w:val="22"/>
                <w:szCs w:val="22"/>
              </w:rPr>
              <w:t xml:space="preserve"> </w:t>
            </w:r>
            <w:r w:rsidRPr="79021091" w:rsidR="757FE5F3">
              <w:rPr>
                <w:rFonts w:asciiTheme="minorHAnsi" w:hAnsiTheme="minorHAnsi" w:cstheme="minorBidi"/>
                <w:sz w:val="22"/>
                <w:szCs w:val="22"/>
              </w:rPr>
              <w:t xml:space="preserve">purchasing decisions of </w:t>
            </w:r>
            <w:r w:rsidRPr="79021091">
              <w:rPr>
                <w:rFonts w:asciiTheme="minorHAnsi" w:hAnsiTheme="minorHAnsi" w:cstheme="minorBidi"/>
                <w:sz w:val="22"/>
                <w:szCs w:val="22"/>
              </w:rPr>
              <w:t>these populations.</w:t>
            </w:r>
          </w:p>
        </w:tc>
      </w:tr>
      <w:tr w14:paraId="7DAF4559" w14:textId="77777777" w:rsidTr="47135738">
        <w:tblPrEx>
          <w:tblW w:w="0" w:type="auto"/>
          <w:tblInd w:w="-5" w:type="dxa"/>
          <w:tblLook w:val="04A0"/>
        </w:tblPrEx>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1AB8" w:rsidRPr="0003621F" w:rsidP="003E7362" w14:paraId="5D179B21" w14:textId="77777777">
            <w:pPr>
              <w:rPr>
                <w:b/>
                <w:sz w:val="24"/>
                <w:szCs w:val="24"/>
              </w:rPr>
            </w:pPr>
          </w:p>
          <w:p w:rsidR="001C1AB8" w:rsidRPr="0003621F" w:rsidP="003E7362" w14:paraId="6DA739C5" w14:textId="542CBBE5">
            <w:pPr>
              <w:rPr>
                <w:b/>
                <w:sz w:val="24"/>
                <w:szCs w:val="24"/>
              </w:rPr>
            </w:pPr>
            <w:r w:rsidRPr="0003621F">
              <w:rPr>
                <w:b/>
                <w:sz w:val="24"/>
                <w:szCs w:val="24"/>
              </w:rPr>
              <w:t>Evaluation of Government</w:t>
            </w:r>
            <w:r w:rsidR="00493E95">
              <w:rPr>
                <w:b/>
                <w:sz w:val="24"/>
                <w:szCs w:val="24"/>
              </w:rPr>
              <w:t>-Instituted</w:t>
            </w:r>
            <w:r w:rsidRPr="0003621F">
              <w:rPr>
                <w:b/>
                <w:sz w:val="24"/>
                <w:szCs w:val="24"/>
              </w:rPr>
              <w:t xml:space="preserve"> FOP Nutrition Symbols</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1AB8" w:rsidRPr="0003621F" w:rsidP="003E7362" w14:paraId="43603347" w14:textId="02078F2D">
            <w:pPr>
              <w:pStyle w:val="ListParagraph"/>
              <w:numPr>
                <w:ilvl w:val="0"/>
                <w:numId w:val="4"/>
              </w:numPr>
              <w:rPr>
                <w:rFonts w:asciiTheme="minorHAnsi" w:hAnsiTheme="minorHAnsi" w:cstheme="minorHAnsi"/>
                <w:sz w:val="22"/>
                <w:szCs w:val="22"/>
              </w:rPr>
            </w:pPr>
            <w:r w:rsidRPr="1D57B863">
              <w:rPr>
                <w:rFonts w:asciiTheme="minorHAnsi" w:hAnsiTheme="minorHAnsi" w:cstheme="minorBidi"/>
                <w:sz w:val="22"/>
                <w:szCs w:val="22"/>
              </w:rPr>
              <w:t xml:space="preserve">Our review identified </w:t>
            </w:r>
            <w:r w:rsidRPr="1D57B863" w:rsidR="2B505C42">
              <w:rPr>
                <w:rFonts w:asciiTheme="minorHAnsi" w:hAnsiTheme="minorHAnsi" w:cstheme="minorBidi"/>
                <w:sz w:val="22"/>
                <w:szCs w:val="22"/>
              </w:rPr>
              <w:t>three</w:t>
            </w:r>
            <w:r w:rsidRPr="1D57B863">
              <w:rPr>
                <w:rFonts w:asciiTheme="minorHAnsi" w:hAnsiTheme="minorHAnsi" w:cstheme="minorBidi"/>
                <w:sz w:val="22"/>
                <w:szCs w:val="22"/>
              </w:rPr>
              <w:t xml:space="preserve"> studies in this category, with two narrative reviews and one report from a roundtable.</w:t>
            </w:r>
          </w:p>
          <w:p w:rsidR="001C1AB8" w:rsidRPr="0003621F" w:rsidP="003E7362" w14:paraId="5C9BF63F" w14:textId="77777777">
            <w:pPr>
              <w:pStyle w:val="ListParagraph"/>
              <w:numPr>
                <w:ilvl w:val="0"/>
                <w:numId w:val="4"/>
              </w:numPr>
              <w:rPr>
                <w:rFonts w:asciiTheme="minorHAnsi" w:hAnsiTheme="minorHAnsi" w:cstheme="minorHAnsi"/>
                <w:sz w:val="22"/>
                <w:szCs w:val="22"/>
              </w:rPr>
            </w:pPr>
            <w:r w:rsidRPr="1D57B863">
              <w:rPr>
                <w:rFonts w:asciiTheme="minorHAnsi" w:hAnsiTheme="minorHAnsi" w:cstheme="minorBidi"/>
                <w:sz w:val="22"/>
                <w:szCs w:val="22"/>
              </w:rPr>
              <w:t xml:space="preserve">These studies were conducted in Israel, Italy, and the United Kingdom. </w:t>
            </w:r>
          </w:p>
          <w:p w:rsidR="001C1AB8" w:rsidRPr="0003621F" w:rsidP="003E7362" w14:paraId="6642A55A" w14:textId="3F0211A4">
            <w:pPr>
              <w:pStyle w:val="ListParagraph"/>
              <w:numPr>
                <w:ilvl w:val="0"/>
                <w:numId w:val="4"/>
              </w:numPr>
              <w:rPr>
                <w:rFonts w:asciiTheme="minorHAnsi" w:hAnsiTheme="minorHAnsi" w:cstheme="minorHAnsi"/>
                <w:sz w:val="22"/>
                <w:szCs w:val="22"/>
              </w:rPr>
            </w:pPr>
            <w:r w:rsidRPr="1D57B863">
              <w:rPr>
                <w:rFonts w:asciiTheme="minorHAnsi" w:hAnsiTheme="minorHAnsi" w:cstheme="minorBidi"/>
                <w:sz w:val="22"/>
                <w:szCs w:val="22"/>
              </w:rPr>
              <w:t xml:space="preserve">These studies focused on a range of </w:t>
            </w:r>
            <w:r w:rsidRPr="1D57B863" w:rsidR="3CB3952B">
              <w:rPr>
                <w:rFonts w:asciiTheme="minorHAnsi" w:hAnsiTheme="minorHAnsi" w:cstheme="minorBidi"/>
                <w:sz w:val="22"/>
                <w:szCs w:val="22"/>
              </w:rPr>
              <w:t>FOP</w:t>
            </w:r>
            <w:r w:rsidR="00807031">
              <w:rPr>
                <w:rFonts w:asciiTheme="minorHAnsi" w:hAnsiTheme="minorHAnsi" w:cstheme="minorBidi"/>
                <w:sz w:val="22"/>
                <w:szCs w:val="22"/>
              </w:rPr>
              <w:t xml:space="preserve"> </w:t>
            </w:r>
            <w:r w:rsidRPr="1D57B863">
              <w:rPr>
                <w:rFonts w:asciiTheme="minorHAnsi" w:hAnsiTheme="minorHAnsi" w:cstheme="minorBidi"/>
                <w:sz w:val="22"/>
                <w:szCs w:val="22"/>
              </w:rPr>
              <w:t>s</w:t>
            </w:r>
            <w:r w:rsidR="00807031">
              <w:rPr>
                <w:rFonts w:asciiTheme="minorHAnsi" w:hAnsiTheme="minorHAnsi" w:cstheme="minorBidi"/>
                <w:sz w:val="22"/>
                <w:szCs w:val="22"/>
              </w:rPr>
              <w:t>chemes</w:t>
            </w:r>
            <w:r w:rsidRPr="1D57B863">
              <w:rPr>
                <w:rFonts w:asciiTheme="minorHAnsi" w:hAnsiTheme="minorHAnsi" w:cstheme="minorBidi"/>
                <w:sz w:val="22"/>
                <w:szCs w:val="22"/>
              </w:rPr>
              <w:t xml:space="preserve"> developed and instituted by the governments of the study </w:t>
            </w:r>
            <w:r w:rsidRPr="1D57B863" w:rsidR="7B90CEEA">
              <w:rPr>
                <w:rFonts w:asciiTheme="minorHAnsi" w:hAnsiTheme="minorHAnsi" w:cstheme="minorBidi"/>
                <w:sz w:val="22"/>
                <w:szCs w:val="22"/>
              </w:rPr>
              <w:t>countries and</w:t>
            </w:r>
            <w:r w:rsidRPr="1D57B863">
              <w:rPr>
                <w:rFonts w:asciiTheme="minorHAnsi" w:hAnsiTheme="minorHAnsi" w:cstheme="minorBidi"/>
                <w:sz w:val="22"/>
                <w:szCs w:val="22"/>
              </w:rPr>
              <w:t xml:space="preserve"> provided summaries of government or expert positions on the current usage of </w:t>
            </w:r>
            <w:r w:rsidRPr="1D57B863" w:rsidR="3CB3952B">
              <w:rPr>
                <w:rFonts w:asciiTheme="minorHAnsi" w:hAnsiTheme="minorHAnsi" w:cstheme="minorBidi"/>
                <w:sz w:val="22"/>
                <w:szCs w:val="22"/>
              </w:rPr>
              <w:t>FOP</w:t>
            </w:r>
            <w:r w:rsidR="00593777">
              <w:rPr>
                <w:rFonts w:asciiTheme="minorHAnsi" w:hAnsiTheme="minorHAnsi" w:cstheme="minorBidi"/>
                <w:sz w:val="22"/>
                <w:szCs w:val="22"/>
              </w:rPr>
              <w:t xml:space="preserve"> label</w:t>
            </w:r>
            <w:r w:rsidRPr="1D57B863">
              <w:rPr>
                <w:rFonts w:asciiTheme="minorHAnsi" w:hAnsiTheme="minorHAnsi" w:cstheme="minorBidi"/>
                <w:sz w:val="22"/>
                <w:szCs w:val="22"/>
              </w:rPr>
              <w:t xml:space="preserve">s.  </w:t>
            </w:r>
          </w:p>
          <w:p w:rsidR="001C1AB8" w:rsidRPr="0003621F" w:rsidP="003E7362" w14:paraId="25CE5F10" w14:textId="60DD352C">
            <w:pPr>
              <w:pStyle w:val="ListParagraph"/>
              <w:numPr>
                <w:ilvl w:val="0"/>
                <w:numId w:val="4"/>
              </w:numPr>
              <w:rPr>
                <w:rFonts w:asciiTheme="minorHAnsi" w:hAnsiTheme="minorHAnsi" w:cstheme="minorHAnsi"/>
                <w:sz w:val="22"/>
                <w:szCs w:val="22"/>
              </w:rPr>
            </w:pPr>
            <w:r w:rsidRPr="1D57B863">
              <w:rPr>
                <w:rFonts w:asciiTheme="minorHAnsi" w:hAnsiTheme="minorHAnsi" w:cstheme="minorBidi"/>
                <w:sz w:val="22"/>
                <w:szCs w:val="22"/>
              </w:rPr>
              <w:t xml:space="preserve">These </w:t>
            </w:r>
            <w:r w:rsidRPr="1D57B863" w:rsidR="3CB3952B">
              <w:rPr>
                <w:rFonts w:asciiTheme="minorHAnsi" w:hAnsiTheme="minorHAnsi" w:cstheme="minorBidi"/>
                <w:sz w:val="22"/>
                <w:szCs w:val="22"/>
              </w:rPr>
              <w:t>FOP</w:t>
            </w:r>
            <w:r w:rsidR="00593777">
              <w:rPr>
                <w:rFonts w:asciiTheme="minorHAnsi" w:hAnsiTheme="minorHAnsi" w:cstheme="minorBidi"/>
                <w:sz w:val="22"/>
                <w:szCs w:val="22"/>
              </w:rPr>
              <w:t xml:space="preserve"> </w:t>
            </w:r>
            <w:r w:rsidRPr="1D57B863">
              <w:rPr>
                <w:rFonts w:asciiTheme="minorHAnsi" w:hAnsiTheme="minorHAnsi" w:cstheme="minorBidi"/>
                <w:sz w:val="22"/>
                <w:szCs w:val="22"/>
              </w:rPr>
              <w:t>s</w:t>
            </w:r>
            <w:r w:rsidR="00593777">
              <w:rPr>
                <w:rFonts w:asciiTheme="minorHAnsi" w:hAnsiTheme="minorHAnsi" w:cstheme="minorBidi"/>
                <w:sz w:val="22"/>
                <w:szCs w:val="22"/>
              </w:rPr>
              <w:t>chemes</w:t>
            </w:r>
            <w:r w:rsidRPr="1D57B863">
              <w:rPr>
                <w:rFonts w:asciiTheme="minorHAnsi" w:hAnsiTheme="minorHAnsi" w:cstheme="minorBidi"/>
                <w:sz w:val="22"/>
                <w:szCs w:val="22"/>
              </w:rPr>
              <w:t xml:space="preserve"> included Health Star Rating, Healthy/Healthier choice, Heart/Health logos, Keyhole logo, Multiple Traffic Light, NutrInform Battery, </w:t>
            </w:r>
            <w:r w:rsidRPr="1D57B863" w:rsidR="3CB3952B">
              <w:rPr>
                <w:rFonts w:asciiTheme="minorHAnsi" w:hAnsiTheme="minorHAnsi" w:cstheme="minorBidi"/>
                <w:sz w:val="22"/>
                <w:szCs w:val="22"/>
              </w:rPr>
              <w:t>Nutri-Score</w:t>
            </w:r>
            <w:r w:rsidRPr="1D57B863">
              <w:rPr>
                <w:rFonts w:asciiTheme="minorHAnsi" w:hAnsiTheme="minorHAnsi" w:cstheme="minorBidi"/>
                <w:sz w:val="22"/>
                <w:szCs w:val="22"/>
              </w:rPr>
              <w:t>, Red and green FOP label, Reference Intakes,</w:t>
            </w:r>
            <w:r w:rsidRPr="1D57B863" w:rsidR="10AEA1A1">
              <w:rPr>
                <w:rFonts w:asciiTheme="minorHAnsi" w:hAnsiTheme="minorHAnsi" w:cstheme="minorBidi"/>
                <w:sz w:val="22"/>
                <w:szCs w:val="22"/>
              </w:rPr>
              <w:t xml:space="preserve"> and</w:t>
            </w:r>
            <w:r w:rsidRPr="1D57B863">
              <w:rPr>
                <w:rFonts w:asciiTheme="minorHAnsi" w:hAnsiTheme="minorHAnsi" w:cstheme="minorBidi"/>
                <w:sz w:val="22"/>
                <w:szCs w:val="22"/>
              </w:rPr>
              <w:t xml:space="preserve"> Warning </w:t>
            </w:r>
            <w:r w:rsidRPr="1D57B863" w:rsidR="10AEA1A1">
              <w:rPr>
                <w:rFonts w:asciiTheme="minorHAnsi" w:hAnsiTheme="minorHAnsi" w:cstheme="minorBidi"/>
                <w:sz w:val="22"/>
                <w:szCs w:val="22"/>
              </w:rPr>
              <w:t>L</w:t>
            </w:r>
            <w:r w:rsidRPr="1D57B863">
              <w:rPr>
                <w:rFonts w:asciiTheme="minorHAnsi" w:hAnsiTheme="minorHAnsi" w:cstheme="minorBidi"/>
                <w:sz w:val="22"/>
                <w:szCs w:val="22"/>
              </w:rPr>
              <w:t>abels.</w:t>
            </w:r>
          </w:p>
          <w:p w:rsidR="001C1AB8" w:rsidRPr="0003621F" w:rsidP="1D57B863" w14:paraId="7921BBD4" w14:textId="56DFA46D">
            <w:pPr>
              <w:pStyle w:val="ListParagraph"/>
              <w:numPr>
                <w:ilvl w:val="0"/>
                <w:numId w:val="4"/>
              </w:numPr>
              <w:rPr>
                <w:rFonts w:asciiTheme="minorHAnsi" w:hAnsiTheme="minorHAnsi" w:cstheme="minorBidi"/>
                <w:sz w:val="22"/>
                <w:szCs w:val="22"/>
              </w:rPr>
            </w:pPr>
            <w:r w:rsidRPr="1D57B863">
              <w:rPr>
                <w:rFonts w:asciiTheme="minorHAnsi" w:hAnsiTheme="minorHAnsi" w:cstheme="minorBidi"/>
                <w:sz w:val="22"/>
                <w:szCs w:val="22"/>
              </w:rPr>
              <w:t xml:space="preserve">Since it was introduced, </w:t>
            </w:r>
            <w:r w:rsidRPr="1D57B863" w:rsidR="10AEA1A1">
              <w:rPr>
                <w:rFonts w:asciiTheme="minorHAnsi" w:hAnsiTheme="minorHAnsi" w:cstheme="minorBidi"/>
                <w:sz w:val="22"/>
                <w:szCs w:val="22"/>
              </w:rPr>
              <w:t>Nutri-Score</w:t>
            </w:r>
            <w:r w:rsidRPr="1D57B863" w:rsidR="5AB9813A">
              <w:rPr>
                <w:rFonts w:asciiTheme="minorHAnsi" w:hAnsiTheme="minorHAnsi" w:cstheme="minorBidi"/>
                <w:sz w:val="22"/>
                <w:szCs w:val="22"/>
              </w:rPr>
              <w:t xml:space="preserve"> p</w:t>
            </w:r>
            <w:r w:rsidRPr="1D57B863" w:rsidR="27E5D6A4">
              <w:rPr>
                <w:rFonts w:asciiTheme="minorHAnsi" w:hAnsiTheme="minorHAnsi" w:cstheme="minorBidi"/>
                <w:sz w:val="22"/>
                <w:szCs w:val="22"/>
              </w:rPr>
              <w:t xml:space="preserve">erformance </w:t>
            </w:r>
            <w:r w:rsidRPr="1D57B863" w:rsidR="4D1186F3">
              <w:rPr>
                <w:rFonts w:asciiTheme="minorHAnsi" w:hAnsiTheme="minorHAnsi" w:cstheme="minorBidi"/>
                <w:sz w:val="22"/>
                <w:szCs w:val="22"/>
              </w:rPr>
              <w:t>has been evaluated in m</w:t>
            </w:r>
            <w:r w:rsidRPr="1D57B863" w:rsidR="0109B70A">
              <w:rPr>
                <w:rFonts w:asciiTheme="minorHAnsi" w:hAnsiTheme="minorHAnsi" w:cstheme="minorBidi"/>
                <w:sz w:val="22"/>
                <w:szCs w:val="22"/>
              </w:rPr>
              <w:t xml:space="preserve">ultiple studies in France, where it was developed, </w:t>
            </w:r>
            <w:r w:rsidRPr="1D57B863" w:rsidR="45B311DE">
              <w:rPr>
                <w:rFonts w:asciiTheme="minorHAnsi" w:hAnsiTheme="minorHAnsi" w:cstheme="minorBidi"/>
                <w:sz w:val="22"/>
                <w:szCs w:val="22"/>
              </w:rPr>
              <w:t>as well as</w:t>
            </w:r>
            <w:r w:rsidRPr="1D57B863" w:rsidR="0109B70A">
              <w:rPr>
                <w:rFonts w:asciiTheme="minorHAnsi" w:hAnsiTheme="minorHAnsi" w:cstheme="minorBidi"/>
                <w:sz w:val="22"/>
                <w:szCs w:val="22"/>
              </w:rPr>
              <w:t xml:space="preserve"> internationally</w:t>
            </w:r>
            <w:r w:rsidRPr="1D57B863" w:rsidR="617B8016">
              <w:rPr>
                <w:rFonts w:asciiTheme="minorHAnsi" w:hAnsiTheme="minorHAnsi" w:cstheme="minorBidi"/>
                <w:sz w:val="22"/>
                <w:szCs w:val="22"/>
              </w:rPr>
              <w:t xml:space="preserve">. </w:t>
            </w:r>
            <w:r w:rsidRPr="1D57B863" w:rsidR="0109B70A">
              <w:rPr>
                <w:rFonts w:asciiTheme="minorHAnsi" w:hAnsiTheme="minorHAnsi" w:cstheme="minorBidi"/>
                <w:sz w:val="22"/>
                <w:szCs w:val="22"/>
              </w:rPr>
              <w:t xml:space="preserve">  </w:t>
            </w:r>
            <w:r w:rsidRPr="1D57B863" w:rsidR="3CB3952B">
              <w:rPr>
                <w:rFonts w:asciiTheme="minorHAnsi" w:hAnsiTheme="minorHAnsi" w:cstheme="minorBidi"/>
                <w:sz w:val="22"/>
                <w:szCs w:val="22"/>
              </w:rPr>
              <w:t>N</w:t>
            </w:r>
            <w:r w:rsidRPr="1D57B863" w:rsidR="10AEA1A1">
              <w:rPr>
                <w:rFonts w:asciiTheme="minorHAnsi" w:hAnsiTheme="minorHAnsi" w:cstheme="minorBidi"/>
                <w:sz w:val="22"/>
                <w:szCs w:val="22"/>
              </w:rPr>
              <w:t>utri-Score</w:t>
            </w:r>
            <w:r w:rsidRPr="1D57B863" w:rsidR="0109B70A">
              <w:rPr>
                <w:rFonts w:asciiTheme="minorHAnsi" w:hAnsiTheme="minorHAnsi" w:cstheme="minorBidi"/>
                <w:sz w:val="22"/>
                <w:szCs w:val="22"/>
              </w:rPr>
              <w:t xml:space="preserve"> has been found to be useful for consumers in determining the healthier choice products, </w:t>
            </w:r>
            <w:r w:rsidRPr="1D57B863" w:rsidR="3F23C3D2">
              <w:rPr>
                <w:rFonts w:asciiTheme="minorHAnsi" w:hAnsiTheme="minorHAnsi" w:cstheme="minorBidi"/>
                <w:sz w:val="22"/>
                <w:szCs w:val="22"/>
              </w:rPr>
              <w:t>al</w:t>
            </w:r>
            <w:r w:rsidRPr="1D57B863" w:rsidR="44EA2464">
              <w:rPr>
                <w:rFonts w:asciiTheme="minorHAnsi" w:hAnsiTheme="minorHAnsi" w:cstheme="minorBidi"/>
                <w:sz w:val="22"/>
                <w:szCs w:val="22"/>
              </w:rPr>
              <w:t>though</w:t>
            </w:r>
            <w:r w:rsidRPr="1D57B863" w:rsidR="0109B70A">
              <w:rPr>
                <w:rFonts w:asciiTheme="minorHAnsi" w:hAnsiTheme="minorHAnsi" w:cstheme="minorBidi"/>
                <w:sz w:val="22"/>
                <w:szCs w:val="22"/>
              </w:rPr>
              <w:t xml:space="preserve"> results are not always consistent. One study and position paper (Carruba, 2021) proposed that </w:t>
            </w:r>
            <w:r w:rsidRPr="1D57B863" w:rsidR="3CB3952B">
              <w:rPr>
                <w:rFonts w:asciiTheme="minorHAnsi" w:hAnsiTheme="minorHAnsi" w:cstheme="minorBidi"/>
                <w:sz w:val="22"/>
                <w:szCs w:val="22"/>
              </w:rPr>
              <w:t>N</w:t>
            </w:r>
            <w:r w:rsidRPr="1D57B863" w:rsidR="10AEA1A1">
              <w:rPr>
                <w:rFonts w:asciiTheme="minorHAnsi" w:hAnsiTheme="minorHAnsi" w:cstheme="minorBidi"/>
                <w:sz w:val="22"/>
                <w:szCs w:val="22"/>
              </w:rPr>
              <w:t>utri-Score</w:t>
            </w:r>
            <w:r w:rsidRPr="1D57B863" w:rsidR="0109B70A">
              <w:rPr>
                <w:rFonts w:asciiTheme="minorHAnsi" w:hAnsiTheme="minorHAnsi" w:cstheme="minorBidi"/>
                <w:sz w:val="22"/>
                <w:szCs w:val="22"/>
              </w:rPr>
              <w:t xml:space="preserve"> is limited by providing an assessment of nutrient intake based on 100 grams of the product instead of a usual portion. This study </w:t>
            </w:r>
            <w:r w:rsidRPr="1D57B863" w:rsidR="1CCAF786">
              <w:rPr>
                <w:rFonts w:asciiTheme="minorHAnsi" w:hAnsiTheme="minorHAnsi" w:cstheme="minorBidi"/>
                <w:sz w:val="22"/>
                <w:szCs w:val="22"/>
              </w:rPr>
              <w:t xml:space="preserve">suggested </w:t>
            </w:r>
            <w:r w:rsidR="00012F5A">
              <w:rPr>
                <w:rFonts w:asciiTheme="minorHAnsi" w:hAnsiTheme="minorHAnsi" w:cstheme="minorBidi"/>
                <w:sz w:val="22"/>
                <w:szCs w:val="22"/>
              </w:rPr>
              <w:t xml:space="preserve">that </w:t>
            </w:r>
            <w:r w:rsidRPr="1D57B863" w:rsidR="0109B70A">
              <w:rPr>
                <w:rFonts w:asciiTheme="minorHAnsi" w:hAnsiTheme="minorHAnsi" w:cstheme="minorBidi"/>
                <w:sz w:val="22"/>
                <w:szCs w:val="22"/>
              </w:rPr>
              <w:t xml:space="preserve">the </w:t>
            </w:r>
            <w:r w:rsidRPr="1D57B863" w:rsidR="10AEA1A1">
              <w:rPr>
                <w:rFonts w:asciiTheme="minorHAnsi" w:hAnsiTheme="minorHAnsi" w:cstheme="minorBidi"/>
                <w:sz w:val="22"/>
                <w:szCs w:val="22"/>
              </w:rPr>
              <w:t>NutrInform Battery</w:t>
            </w:r>
            <w:r w:rsidRPr="1D57B863" w:rsidR="0109B70A">
              <w:rPr>
                <w:rFonts w:asciiTheme="minorHAnsi" w:hAnsiTheme="minorHAnsi" w:cstheme="minorBidi"/>
                <w:sz w:val="22"/>
                <w:szCs w:val="22"/>
              </w:rPr>
              <w:t xml:space="preserve">, </w:t>
            </w:r>
            <w:r w:rsidRPr="1D57B863" w:rsidR="65802679">
              <w:rPr>
                <w:rFonts w:asciiTheme="minorHAnsi" w:hAnsiTheme="minorHAnsi" w:cstheme="minorBidi"/>
                <w:sz w:val="22"/>
                <w:szCs w:val="22"/>
              </w:rPr>
              <w:t xml:space="preserve">which was </w:t>
            </w:r>
            <w:r w:rsidRPr="1D57B863" w:rsidR="0109B70A">
              <w:rPr>
                <w:rFonts w:asciiTheme="minorHAnsi" w:hAnsiTheme="minorHAnsi" w:cstheme="minorBidi"/>
                <w:sz w:val="22"/>
                <w:szCs w:val="22"/>
              </w:rPr>
              <w:t xml:space="preserve">developed in Italy and </w:t>
            </w:r>
            <w:r w:rsidRPr="1D57B863" w:rsidR="55AE76B1">
              <w:rPr>
                <w:rFonts w:asciiTheme="minorHAnsi" w:hAnsiTheme="minorHAnsi" w:cstheme="minorBidi"/>
                <w:sz w:val="22"/>
                <w:szCs w:val="22"/>
              </w:rPr>
              <w:t xml:space="preserve">was </w:t>
            </w:r>
            <w:r w:rsidRPr="1D57B863" w:rsidR="0109B70A">
              <w:rPr>
                <w:rFonts w:asciiTheme="minorHAnsi" w:hAnsiTheme="minorHAnsi" w:cstheme="minorBidi"/>
                <w:sz w:val="22"/>
                <w:szCs w:val="22"/>
              </w:rPr>
              <w:t xml:space="preserve">intended to help consumers </w:t>
            </w:r>
            <w:r w:rsidRPr="1D57B863" w:rsidR="1CBA895A">
              <w:rPr>
                <w:rFonts w:asciiTheme="minorHAnsi" w:hAnsiTheme="minorHAnsi" w:cstheme="minorBidi"/>
                <w:sz w:val="22"/>
                <w:szCs w:val="22"/>
              </w:rPr>
              <w:t xml:space="preserve">better </w:t>
            </w:r>
            <w:r w:rsidRPr="1D57B863" w:rsidR="0109B70A">
              <w:rPr>
                <w:rFonts w:asciiTheme="minorHAnsi" w:hAnsiTheme="minorHAnsi" w:cstheme="minorBidi"/>
                <w:sz w:val="22"/>
                <w:szCs w:val="22"/>
              </w:rPr>
              <w:t>understand how to improve their dietary choices</w:t>
            </w:r>
            <w:r w:rsidR="00012F5A">
              <w:rPr>
                <w:rFonts w:asciiTheme="minorHAnsi" w:hAnsiTheme="minorHAnsi" w:cstheme="minorBidi"/>
                <w:sz w:val="22"/>
                <w:szCs w:val="22"/>
              </w:rPr>
              <w:t xml:space="preserve">, may perform better than </w:t>
            </w:r>
            <w:r w:rsidRPr="1D57B863" w:rsidR="00012F5A">
              <w:rPr>
                <w:rFonts w:asciiTheme="minorHAnsi" w:hAnsiTheme="minorHAnsi" w:cstheme="minorBidi"/>
                <w:sz w:val="22"/>
                <w:szCs w:val="22"/>
              </w:rPr>
              <w:t>Nutri-Score</w:t>
            </w:r>
            <w:r w:rsidRPr="1D57B863" w:rsidR="0109B70A">
              <w:rPr>
                <w:rFonts w:asciiTheme="minorHAnsi" w:hAnsiTheme="minorHAnsi" w:cstheme="minorBidi"/>
                <w:sz w:val="22"/>
                <w:szCs w:val="22"/>
              </w:rPr>
              <w:t xml:space="preserve">. An additional review (SINU Scientific, 2021) concurs, </w:t>
            </w:r>
            <w:r w:rsidR="00DE2BC2">
              <w:rPr>
                <w:rFonts w:asciiTheme="minorHAnsi" w:hAnsiTheme="minorHAnsi" w:cstheme="minorBidi"/>
                <w:sz w:val="22"/>
                <w:szCs w:val="22"/>
              </w:rPr>
              <w:t xml:space="preserve">finding </w:t>
            </w:r>
            <w:r w:rsidRPr="1D57B863" w:rsidR="0109B70A">
              <w:rPr>
                <w:rFonts w:asciiTheme="minorHAnsi" w:hAnsiTheme="minorHAnsi" w:cstheme="minorBidi"/>
                <w:sz w:val="22"/>
                <w:szCs w:val="22"/>
              </w:rPr>
              <w:t xml:space="preserve"> that</w:t>
            </w:r>
            <w:r w:rsidRPr="1D57B863" w:rsidR="0109B70A">
              <w:rPr>
                <w:rFonts w:asciiTheme="minorHAnsi" w:hAnsiTheme="minorHAnsi" w:cstheme="minorBidi"/>
                <w:sz w:val="22"/>
                <w:szCs w:val="22"/>
              </w:rPr>
              <w:t xml:space="preserve"> the </w:t>
            </w:r>
            <w:r w:rsidRPr="1D57B863" w:rsidR="10AEA1A1">
              <w:rPr>
                <w:rFonts w:asciiTheme="minorHAnsi" w:hAnsiTheme="minorHAnsi" w:cstheme="minorBidi"/>
                <w:sz w:val="22"/>
                <w:szCs w:val="22"/>
              </w:rPr>
              <w:t>NutrInform Battery</w:t>
            </w:r>
            <w:r w:rsidRPr="1D57B863" w:rsidR="0109B70A">
              <w:rPr>
                <w:rFonts w:asciiTheme="minorHAnsi" w:hAnsiTheme="minorHAnsi" w:cstheme="minorBidi"/>
                <w:sz w:val="22"/>
                <w:szCs w:val="22"/>
              </w:rPr>
              <w:t xml:space="preserve"> is more focused </w:t>
            </w:r>
            <w:r w:rsidR="00DE2BC2">
              <w:rPr>
                <w:rFonts w:asciiTheme="minorHAnsi" w:hAnsiTheme="minorHAnsi" w:cstheme="minorBidi"/>
                <w:sz w:val="22"/>
                <w:szCs w:val="22"/>
              </w:rPr>
              <w:t>on</w:t>
            </w:r>
            <w:r w:rsidRPr="1D57B863" w:rsidR="0D0D7C17">
              <w:rPr>
                <w:rFonts w:asciiTheme="minorHAnsi" w:hAnsiTheme="minorHAnsi" w:cstheme="minorBidi"/>
                <w:sz w:val="22"/>
                <w:szCs w:val="22"/>
              </w:rPr>
              <w:t xml:space="preserve"> </w:t>
            </w:r>
            <w:r w:rsidRPr="1D57B863" w:rsidR="0109B70A">
              <w:rPr>
                <w:rFonts w:asciiTheme="minorHAnsi" w:hAnsiTheme="minorHAnsi" w:cstheme="minorBidi"/>
                <w:sz w:val="22"/>
                <w:szCs w:val="22"/>
              </w:rPr>
              <w:t>help</w:t>
            </w:r>
            <w:r w:rsidRPr="1D57B863" w:rsidR="161D4051">
              <w:rPr>
                <w:rFonts w:asciiTheme="minorHAnsi" w:hAnsiTheme="minorHAnsi" w:cstheme="minorBidi"/>
                <w:sz w:val="22"/>
                <w:szCs w:val="22"/>
              </w:rPr>
              <w:t>ing</w:t>
            </w:r>
            <w:r w:rsidRPr="1D57B863" w:rsidR="0109B70A">
              <w:rPr>
                <w:rFonts w:asciiTheme="minorHAnsi" w:hAnsiTheme="minorHAnsi" w:cstheme="minorBidi"/>
                <w:sz w:val="22"/>
                <w:szCs w:val="22"/>
              </w:rPr>
              <w:t xml:space="preserve"> consumers understand food choices that </w:t>
            </w:r>
            <w:r w:rsidRPr="1D57B863" w:rsidR="47A27D8A">
              <w:rPr>
                <w:rFonts w:asciiTheme="minorHAnsi" w:hAnsiTheme="minorHAnsi" w:cstheme="minorBidi"/>
                <w:sz w:val="22"/>
                <w:szCs w:val="22"/>
              </w:rPr>
              <w:t xml:space="preserve">can </w:t>
            </w:r>
            <w:r w:rsidRPr="1D57B863" w:rsidR="0109B70A">
              <w:rPr>
                <w:rFonts w:asciiTheme="minorHAnsi" w:hAnsiTheme="minorHAnsi" w:cstheme="minorBidi"/>
                <w:sz w:val="22"/>
                <w:szCs w:val="22"/>
              </w:rPr>
              <w:t xml:space="preserve">lead to </w:t>
            </w:r>
            <w:r w:rsidRPr="1D57B863" w:rsidR="57237985">
              <w:rPr>
                <w:rFonts w:asciiTheme="minorHAnsi" w:hAnsiTheme="minorHAnsi" w:cstheme="minorBidi"/>
                <w:sz w:val="22"/>
                <w:szCs w:val="22"/>
              </w:rPr>
              <w:t>a</w:t>
            </w:r>
            <w:r w:rsidRPr="1D57B863" w:rsidR="44EA2464">
              <w:rPr>
                <w:rFonts w:asciiTheme="minorHAnsi" w:hAnsiTheme="minorHAnsi" w:cstheme="minorBidi"/>
                <w:sz w:val="22"/>
                <w:szCs w:val="22"/>
              </w:rPr>
              <w:t xml:space="preserve"> </w:t>
            </w:r>
            <w:r w:rsidRPr="1D57B863" w:rsidR="0109B70A">
              <w:rPr>
                <w:rFonts w:asciiTheme="minorHAnsi" w:hAnsiTheme="minorHAnsi" w:cstheme="minorBidi"/>
                <w:sz w:val="22"/>
                <w:szCs w:val="22"/>
              </w:rPr>
              <w:t>reduction in obesity and non</w:t>
            </w:r>
            <w:r w:rsidRPr="1D57B863" w:rsidR="0AFD54F5">
              <w:rPr>
                <w:rFonts w:asciiTheme="minorHAnsi" w:hAnsiTheme="minorHAnsi" w:cstheme="minorBidi"/>
                <w:sz w:val="22"/>
                <w:szCs w:val="22"/>
              </w:rPr>
              <w:t>-communicable</w:t>
            </w:r>
            <w:r w:rsidRPr="1D57B863" w:rsidR="0109B70A">
              <w:rPr>
                <w:rFonts w:asciiTheme="minorHAnsi" w:hAnsiTheme="minorHAnsi" w:cstheme="minorBidi"/>
                <w:sz w:val="22"/>
                <w:szCs w:val="22"/>
              </w:rPr>
              <w:t xml:space="preserve"> </w:t>
            </w:r>
            <w:r w:rsidRPr="1D57B863" w:rsidR="44EA2464">
              <w:rPr>
                <w:rFonts w:asciiTheme="minorHAnsi" w:hAnsiTheme="minorHAnsi" w:cstheme="minorBidi"/>
                <w:sz w:val="22"/>
                <w:szCs w:val="22"/>
              </w:rPr>
              <w:t>disease</w:t>
            </w:r>
            <w:r w:rsidRPr="1D57B863" w:rsidR="1912EF83">
              <w:rPr>
                <w:rFonts w:asciiTheme="minorHAnsi" w:hAnsiTheme="minorHAnsi" w:cstheme="minorBidi"/>
                <w:sz w:val="22"/>
                <w:szCs w:val="22"/>
              </w:rPr>
              <w:t>s</w:t>
            </w:r>
            <w:r w:rsidRPr="1D57B863" w:rsidR="44EA2464">
              <w:rPr>
                <w:rFonts w:asciiTheme="minorHAnsi" w:hAnsiTheme="minorHAnsi" w:cstheme="minorBidi"/>
                <w:sz w:val="22"/>
                <w:szCs w:val="22"/>
              </w:rPr>
              <w:t xml:space="preserve">. </w:t>
            </w:r>
          </w:p>
          <w:p w:rsidR="001C1AB8" w:rsidRPr="0003621F" w:rsidP="003E7362" w14:paraId="1E2FBE1C" w14:textId="118BEB8D">
            <w:pPr>
              <w:pStyle w:val="ListParagraph"/>
              <w:numPr>
                <w:ilvl w:val="0"/>
                <w:numId w:val="4"/>
              </w:numPr>
              <w:rPr>
                <w:rFonts w:asciiTheme="minorHAnsi" w:hAnsiTheme="minorHAnsi" w:cstheme="minorBidi"/>
                <w:sz w:val="22"/>
                <w:szCs w:val="22"/>
              </w:rPr>
            </w:pPr>
            <w:r w:rsidRPr="1D57B863">
              <w:rPr>
                <w:rFonts w:asciiTheme="minorHAnsi" w:hAnsiTheme="minorHAnsi" w:cstheme="minorBidi"/>
                <w:sz w:val="22"/>
                <w:szCs w:val="22"/>
              </w:rPr>
              <w:t>M</w:t>
            </w:r>
            <w:r w:rsidRPr="1D57B863" w:rsidR="0109B70A">
              <w:rPr>
                <w:rFonts w:asciiTheme="minorHAnsi" w:hAnsiTheme="minorHAnsi" w:cstheme="minorBidi"/>
                <w:sz w:val="22"/>
                <w:szCs w:val="22"/>
              </w:rPr>
              <w:t xml:space="preserve">ost </w:t>
            </w:r>
            <w:r w:rsidRPr="1D57B863" w:rsidR="3CB3952B">
              <w:rPr>
                <w:rFonts w:asciiTheme="minorHAnsi" w:hAnsiTheme="minorHAnsi" w:cstheme="minorBidi"/>
                <w:sz w:val="22"/>
                <w:szCs w:val="22"/>
              </w:rPr>
              <w:t>FOP</w:t>
            </w:r>
            <w:r w:rsidR="008748D6">
              <w:rPr>
                <w:rFonts w:asciiTheme="minorHAnsi" w:hAnsiTheme="minorHAnsi" w:cstheme="minorBidi"/>
                <w:sz w:val="22"/>
                <w:szCs w:val="22"/>
              </w:rPr>
              <w:t xml:space="preserve"> label</w:t>
            </w:r>
            <w:r w:rsidRPr="1D57B863" w:rsidR="0109B70A">
              <w:rPr>
                <w:rFonts w:asciiTheme="minorHAnsi" w:hAnsiTheme="minorHAnsi" w:cstheme="minorBidi"/>
                <w:sz w:val="22"/>
                <w:szCs w:val="22"/>
              </w:rPr>
              <w:t xml:space="preserve">s help consumers make informed choices but there is </w:t>
            </w:r>
            <w:r w:rsidRPr="1D57B863" w:rsidR="450C899C">
              <w:rPr>
                <w:rFonts w:asciiTheme="minorHAnsi" w:hAnsiTheme="minorHAnsi" w:cstheme="minorBidi"/>
                <w:sz w:val="22"/>
                <w:szCs w:val="22"/>
              </w:rPr>
              <w:t xml:space="preserve">a lack of </w:t>
            </w:r>
            <w:r w:rsidRPr="1D57B863" w:rsidR="0109B70A">
              <w:rPr>
                <w:rFonts w:asciiTheme="minorHAnsi" w:hAnsiTheme="minorHAnsi" w:cstheme="minorBidi"/>
                <w:sz w:val="22"/>
                <w:szCs w:val="22"/>
              </w:rPr>
              <w:t xml:space="preserve">strong evidence </w:t>
            </w:r>
            <w:r w:rsidRPr="1D57B863" w:rsidR="3E5C7D63">
              <w:rPr>
                <w:rFonts w:asciiTheme="minorHAnsi" w:hAnsiTheme="minorHAnsi" w:cstheme="minorBidi"/>
                <w:sz w:val="22"/>
                <w:szCs w:val="22"/>
              </w:rPr>
              <w:t xml:space="preserve">indicating that one </w:t>
            </w:r>
            <w:r w:rsidRPr="1D57B863" w:rsidR="3E5C7D63">
              <w:rPr>
                <w:rFonts w:asciiTheme="minorHAnsi" w:hAnsiTheme="minorHAnsi" w:cstheme="minorBidi"/>
                <w:sz w:val="22"/>
                <w:szCs w:val="22"/>
              </w:rPr>
              <w:t xml:space="preserve">particular </w:t>
            </w:r>
            <w:r w:rsidRPr="1D57B863" w:rsidR="3CB3952B">
              <w:rPr>
                <w:rFonts w:asciiTheme="minorHAnsi" w:hAnsiTheme="minorHAnsi" w:cstheme="minorBidi"/>
                <w:sz w:val="22"/>
                <w:szCs w:val="22"/>
              </w:rPr>
              <w:t>FOP</w:t>
            </w:r>
            <w:r w:rsidRPr="1D57B863">
              <w:rPr>
                <w:rFonts w:asciiTheme="minorHAnsi" w:hAnsiTheme="minorHAnsi" w:cstheme="minorBidi"/>
                <w:sz w:val="22"/>
                <w:szCs w:val="22"/>
              </w:rPr>
              <w:t xml:space="preserve"> is </w:t>
            </w:r>
            <w:r w:rsidRPr="1D57B863" w:rsidR="7B3A63F7">
              <w:rPr>
                <w:rFonts w:asciiTheme="minorHAnsi" w:hAnsiTheme="minorHAnsi" w:cstheme="minorBidi"/>
                <w:sz w:val="22"/>
                <w:szCs w:val="22"/>
              </w:rPr>
              <w:t xml:space="preserve">clearly superior to the others. </w:t>
            </w:r>
            <w:r w:rsidRPr="1D57B863" w:rsidR="0109B70A">
              <w:rPr>
                <w:rFonts w:asciiTheme="minorHAnsi" w:hAnsiTheme="minorHAnsi" w:cstheme="minorBidi"/>
                <w:sz w:val="22"/>
                <w:szCs w:val="22"/>
              </w:rPr>
              <w:t xml:space="preserve">The roundtable participants </w:t>
            </w:r>
            <w:r w:rsidRPr="1D57B863">
              <w:rPr>
                <w:rFonts w:asciiTheme="minorHAnsi" w:hAnsiTheme="minorHAnsi" w:cstheme="minorBidi"/>
                <w:sz w:val="22"/>
                <w:szCs w:val="22"/>
              </w:rPr>
              <w:t xml:space="preserve">(Gibson-Moore, 2022) </w:t>
            </w:r>
            <w:r w:rsidRPr="1D57B863" w:rsidR="44EA2464">
              <w:rPr>
                <w:rFonts w:asciiTheme="minorHAnsi" w:hAnsiTheme="minorHAnsi" w:cstheme="minorBidi"/>
                <w:sz w:val="22"/>
                <w:szCs w:val="22"/>
              </w:rPr>
              <w:t>recommend</w:t>
            </w:r>
            <w:r w:rsidRPr="1D57B863" w:rsidR="7A85CDF8">
              <w:rPr>
                <w:rFonts w:asciiTheme="minorHAnsi" w:hAnsiTheme="minorHAnsi" w:cstheme="minorBidi"/>
                <w:sz w:val="22"/>
                <w:szCs w:val="22"/>
              </w:rPr>
              <w:t>ed</w:t>
            </w:r>
            <w:r w:rsidRPr="1D57B863" w:rsidR="0109B70A">
              <w:rPr>
                <w:rFonts w:asciiTheme="minorHAnsi" w:hAnsiTheme="minorHAnsi" w:cstheme="minorBidi"/>
                <w:sz w:val="22"/>
                <w:szCs w:val="22"/>
              </w:rPr>
              <w:t xml:space="preserve"> using one consistent </w:t>
            </w:r>
            <w:r w:rsidRPr="1D57B863" w:rsidR="3CB3952B">
              <w:rPr>
                <w:rFonts w:asciiTheme="minorHAnsi" w:hAnsiTheme="minorHAnsi" w:cstheme="minorBidi"/>
                <w:sz w:val="22"/>
                <w:szCs w:val="22"/>
              </w:rPr>
              <w:t>FOP</w:t>
            </w:r>
            <w:r w:rsidRPr="1D57B863" w:rsidR="0109B70A">
              <w:rPr>
                <w:rFonts w:asciiTheme="minorHAnsi" w:hAnsiTheme="minorHAnsi" w:cstheme="minorBidi"/>
                <w:sz w:val="22"/>
                <w:szCs w:val="22"/>
              </w:rPr>
              <w:t xml:space="preserve"> </w:t>
            </w:r>
            <w:r w:rsidR="00C8475E">
              <w:rPr>
                <w:rFonts w:asciiTheme="minorHAnsi" w:hAnsiTheme="minorHAnsi" w:cstheme="minorBidi"/>
                <w:sz w:val="22"/>
                <w:szCs w:val="22"/>
              </w:rPr>
              <w:t xml:space="preserve">scheme </w:t>
            </w:r>
            <w:r w:rsidRPr="1D57B863" w:rsidR="6E31CD4C">
              <w:rPr>
                <w:rFonts w:asciiTheme="minorHAnsi" w:hAnsiTheme="minorHAnsi" w:cstheme="minorBidi"/>
                <w:sz w:val="22"/>
                <w:szCs w:val="22"/>
              </w:rPr>
              <w:t>as a</w:t>
            </w:r>
            <w:r w:rsidRPr="1D57B863" w:rsidR="7CC46A6A">
              <w:rPr>
                <w:rFonts w:asciiTheme="minorHAnsi" w:hAnsiTheme="minorHAnsi" w:cstheme="minorBidi"/>
                <w:sz w:val="22"/>
                <w:szCs w:val="22"/>
              </w:rPr>
              <w:t xml:space="preserve">n important consideration </w:t>
            </w:r>
            <w:r w:rsidRPr="1D57B863" w:rsidR="0A6AEF26">
              <w:rPr>
                <w:rFonts w:asciiTheme="minorHAnsi" w:hAnsiTheme="minorHAnsi" w:cstheme="minorBidi"/>
                <w:sz w:val="22"/>
                <w:szCs w:val="22"/>
              </w:rPr>
              <w:t xml:space="preserve">for </w:t>
            </w:r>
            <w:r w:rsidRPr="1D57B863" w:rsidR="0109B70A">
              <w:rPr>
                <w:rFonts w:asciiTheme="minorHAnsi" w:hAnsiTheme="minorHAnsi" w:cstheme="minorBidi"/>
                <w:sz w:val="22"/>
                <w:szCs w:val="22"/>
              </w:rPr>
              <w:t xml:space="preserve">ensuring that consumers notice the </w:t>
            </w:r>
            <w:r w:rsidRPr="1D57B863" w:rsidR="3CB3952B">
              <w:rPr>
                <w:rFonts w:asciiTheme="minorHAnsi" w:hAnsiTheme="minorHAnsi" w:cstheme="minorBidi"/>
                <w:sz w:val="22"/>
                <w:szCs w:val="22"/>
              </w:rPr>
              <w:t>FOP</w:t>
            </w:r>
            <w:r w:rsidR="00C8475E">
              <w:rPr>
                <w:rFonts w:asciiTheme="minorHAnsi" w:hAnsiTheme="minorHAnsi" w:cstheme="minorBidi"/>
                <w:sz w:val="22"/>
                <w:szCs w:val="22"/>
              </w:rPr>
              <w:t xml:space="preserve"> label</w:t>
            </w:r>
            <w:r w:rsidRPr="1D57B863" w:rsidR="0109B70A">
              <w:rPr>
                <w:rFonts w:asciiTheme="minorHAnsi" w:hAnsiTheme="minorHAnsi" w:cstheme="minorBidi"/>
                <w:sz w:val="22"/>
                <w:szCs w:val="22"/>
              </w:rPr>
              <w:t>, become familiar with it, and develop confidence in its use.</w:t>
            </w:r>
          </w:p>
          <w:p w:rsidR="001C1AB8" w:rsidRPr="0003621F" w:rsidP="003E7362" w14:paraId="289D0905" w14:textId="77777777">
            <w:pPr>
              <w:rPr>
                <w:rFonts w:asciiTheme="minorHAnsi" w:hAnsiTheme="minorHAnsi" w:cstheme="minorHAnsi"/>
                <w:sz w:val="22"/>
              </w:rPr>
            </w:pPr>
          </w:p>
          <w:p w:rsidR="001C1AB8" w:rsidRPr="0003621F" w:rsidP="003E7362" w14:paraId="2B6FDE48" w14:textId="01B85FBA">
            <w:pPr>
              <w:rPr>
                <w:rFonts w:asciiTheme="minorHAnsi" w:hAnsiTheme="minorHAnsi" w:cstheme="minorBidi"/>
                <w:sz w:val="22"/>
                <w:szCs w:val="22"/>
              </w:rPr>
            </w:pPr>
            <w:r w:rsidRPr="4C9BFAA2">
              <w:rPr>
                <w:rFonts w:asciiTheme="minorHAnsi" w:hAnsiTheme="minorHAnsi" w:cstheme="minorBidi"/>
                <w:b/>
                <w:sz w:val="22"/>
                <w:szCs w:val="22"/>
              </w:rPr>
              <w:t>Conclusion:</w:t>
            </w:r>
            <w:r w:rsidRPr="4C9BFAA2">
              <w:rPr>
                <w:rFonts w:asciiTheme="minorHAnsi" w:hAnsiTheme="minorHAnsi" w:cstheme="minorBidi"/>
                <w:sz w:val="22"/>
                <w:szCs w:val="22"/>
              </w:rPr>
              <w:t xml:space="preserve"> These studies highlighted the potential benefits of having a government created and mandated </w:t>
            </w:r>
            <w:r w:rsidRPr="4C9BFAA2" w:rsidR="004B6E26">
              <w:rPr>
                <w:rFonts w:asciiTheme="minorHAnsi" w:hAnsiTheme="minorHAnsi" w:cstheme="minorBidi"/>
                <w:sz w:val="22"/>
                <w:szCs w:val="22"/>
              </w:rPr>
              <w:t>FOP</w:t>
            </w:r>
            <w:r w:rsidRPr="4C9BFAA2">
              <w:rPr>
                <w:rFonts w:asciiTheme="minorHAnsi" w:hAnsiTheme="minorHAnsi" w:cstheme="minorBidi"/>
                <w:sz w:val="22"/>
                <w:szCs w:val="22"/>
              </w:rPr>
              <w:t xml:space="preserve"> </w:t>
            </w:r>
            <w:r w:rsidRPr="4C9BFAA2" w:rsidR="004F79E4">
              <w:rPr>
                <w:rFonts w:asciiTheme="minorHAnsi" w:hAnsiTheme="minorHAnsi" w:cstheme="minorBidi"/>
                <w:sz w:val="22"/>
                <w:szCs w:val="22"/>
              </w:rPr>
              <w:t>labeling system</w:t>
            </w:r>
            <w:r w:rsidRPr="4C9BFAA2">
              <w:rPr>
                <w:rFonts w:asciiTheme="minorHAnsi" w:hAnsiTheme="minorHAnsi" w:cstheme="minorBidi"/>
                <w:sz w:val="22"/>
                <w:szCs w:val="22"/>
              </w:rPr>
              <w:t xml:space="preserve"> for </w:t>
            </w:r>
            <w:r w:rsidRPr="4C9BFAA2" w:rsidR="1D8C5FB3">
              <w:rPr>
                <w:rFonts w:asciiTheme="minorHAnsi" w:hAnsiTheme="minorHAnsi" w:cstheme="minorBidi"/>
                <w:sz w:val="22"/>
                <w:szCs w:val="22"/>
              </w:rPr>
              <w:t>assisting</w:t>
            </w:r>
            <w:r w:rsidRPr="4C9BFAA2">
              <w:rPr>
                <w:rFonts w:asciiTheme="minorHAnsi" w:hAnsiTheme="minorHAnsi" w:cstheme="minorBidi"/>
                <w:sz w:val="22"/>
                <w:szCs w:val="22"/>
              </w:rPr>
              <w:t xml:space="preserve"> consumer food choices.</w:t>
            </w:r>
          </w:p>
        </w:tc>
      </w:tr>
    </w:tbl>
    <w:p w:rsidR="001C1AB8" w:rsidP="001C1AB8" w14:paraId="48045554" w14:textId="77777777">
      <w:pPr>
        <w:rPr>
          <w:rFonts w:cstheme="minorHAnsi"/>
        </w:rPr>
      </w:pPr>
    </w:p>
    <w:p w:rsidR="001C1AB8" w:rsidP="001C1AB8" w14:paraId="694A43DE" w14:textId="77777777"/>
    <w:p w:rsidR="001C1AB8" w:rsidP="001C1AB8" w14:paraId="476DB187" w14:textId="2D0E017F">
      <w:pPr>
        <w:autoSpaceDE w:val="0"/>
        <w:autoSpaceDN w:val="0"/>
        <w:adjustRightInd w:val="0"/>
        <w:spacing w:after="240" w:line="240" w:lineRule="auto"/>
        <w:ind w:left="720" w:hanging="720"/>
      </w:pPr>
    </w:p>
    <w:p w:rsidR="00E8738A" w:rsidP="00713C85" w14:paraId="11B3917F" w14:textId="77777777">
      <w:pPr>
        <w:ind w:left="360" w:hanging="360"/>
      </w:pPr>
    </w:p>
    <w:p w:rsidR="00E8738A" w:rsidP="00713C85" w14:paraId="30E17A72" w14:textId="77777777">
      <w:pPr>
        <w:ind w:left="360" w:hanging="360"/>
      </w:pPr>
    </w:p>
    <w:p w:rsidR="00E8738A" w:rsidP="0065435B" w14:paraId="552341ED" w14:textId="1E34F4B6">
      <w:pPr>
        <w:pStyle w:val="Heading2"/>
        <w:rPr>
          <w:sz w:val="32"/>
          <w:szCs w:val="32"/>
        </w:rPr>
      </w:pPr>
      <w:bookmarkStart w:id="8" w:name="_Hlk24550296"/>
      <w:r>
        <w:br w:type="page"/>
      </w:r>
      <w:bookmarkStart w:id="9" w:name="_Toc115261526"/>
      <w:r w:rsidR="78C98969">
        <w:t xml:space="preserve">Appendix A: </w:t>
      </w:r>
      <w:r w:rsidRPr="004D187D" w:rsidR="004D187D">
        <w:t>Front of Pack Nutrition Labeling Schemes and Symbols Available Online and in the Scientific Literature in 2018</w:t>
      </w:r>
      <w:bookmarkEnd w:id="9"/>
      <w:r w:rsidR="00AE6184">
        <w:t>.</w:t>
      </w:r>
    </w:p>
    <w:bookmarkEnd w:id="8"/>
    <w:p w:rsidR="00D81A6A" w:rsidRPr="00D81A6A" w:rsidP="00D81A6A" w14:paraId="3CE5822C" w14:textId="77777777">
      <w:pPr>
        <w:rPr>
          <w:rFonts w:eastAsiaTheme="minorHAnsi"/>
          <w:lang w:eastAsia="en-US"/>
        </w:rPr>
      </w:pPr>
      <w:r>
        <w:rPr>
          <w:noProof/>
          <w:lang w:eastAsia="en-US"/>
        </w:rPr>
        <w:drawing>
          <wp:inline distT="0" distB="0" distL="0" distR="0">
            <wp:extent cx="5943600" cy="769111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7691119"/>
                    </a:xfrm>
                    <a:prstGeom prst="rect">
                      <a:avLst/>
                    </a:prstGeom>
                  </pic:spPr>
                </pic:pic>
              </a:graphicData>
            </a:graphic>
          </wp:inline>
        </w:drawing>
      </w:r>
    </w:p>
    <w:p w:rsidR="00D81A6A" w:rsidRPr="00D81A6A" w:rsidP="00D81A6A" w14:paraId="4BBF95CB" w14:textId="77777777">
      <w:pPr>
        <w:rPr>
          <w:rFonts w:eastAsiaTheme="minorHAnsi"/>
          <w:lang w:eastAsia="en-US"/>
        </w:rPr>
      </w:pPr>
    </w:p>
    <w:p w:rsidR="00D81A6A" w:rsidRPr="00D81A6A" w:rsidP="00D81A6A" w14:paraId="0FE27559" w14:textId="77777777">
      <w:pPr>
        <w:rPr>
          <w:rFonts w:eastAsiaTheme="minorHAnsi"/>
          <w:lang w:eastAsia="en-US"/>
        </w:rPr>
      </w:pPr>
      <w:r>
        <w:rPr>
          <w:noProof/>
          <w:lang w:eastAsia="en-US"/>
        </w:rPr>
        <w:drawing>
          <wp:inline distT="0" distB="0" distL="0" distR="0">
            <wp:extent cx="5943600" cy="76835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5943600" cy="7683502"/>
                    </a:xfrm>
                    <a:prstGeom prst="rect">
                      <a:avLst/>
                    </a:prstGeom>
                  </pic:spPr>
                </pic:pic>
              </a:graphicData>
            </a:graphic>
          </wp:inline>
        </w:drawing>
      </w:r>
    </w:p>
    <w:p w:rsidR="00D81A6A" w:rsidRPr="00D81A6A" w:rsidP="00D81A6A" w14:paraId="7DBCA0AF" w14:textId="77777777">
      <w:pPr>
        <w:rPr>
          <w:rFonts w:eastAsiaTheme="minorHAnsi"/>
          <w:lang w:eastAsia="en-US"/>
        </w:rPr>
      </w:pPr>
    </w:p>
    <w:p w:rsidR="00D81A6A" w:rsidRPr="00D81A6A" w:rsidP="00D81A6A" w14:paraId="486D531C" w14:textId="77777777">
      <w:pPr>
        <w:rPr>
          <w:rFonts w:eastAsiaTheme="minorHAnsi"/>
          <w:lang w:eastAsia="en-US"/>
        </w:rPr>
      </w:pPr>
      <w:r>
        <w:rPr>
          <w:noProof/>
          <w:lang w:eastAsia="en-US"/>
        </w:rPr>
        <w:drawing>
          <wp:inline distT="0" distB="0" distL="0" distR="0">
            <wp:extent cx="5943600" cy="7691119"/>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7691119"/>
                    </a:xfrm>
                    <a:prstGeom prst="rect">
                      <a:avLst/>
                    </a:prstGeom>
                  </pic:spPr>
                </pic:pic>
              </a:graphicData>
            </a:graphic>
          </wp:inline>
        </w:drawing>
      </w:r>
    </w:p>
    <w:p w:rsidR="00D81A6A" w:rsidRPr="00D81A6A" w:rsidP="00D81A6A" w14:paraId="251A24A0" w14:textId="77777777">
      <w:pPr>
        <w:rPr>
          <w:rFonts w:eastAsiaTheme="minorHAnsi"/>
          <w:lang w:eastAsia="en-US"/>
        </w:rPr>
      </w:pPr>
    </w:p>
    <w:p w:rsidR="00D81A6A" w:rsidRPr="00D81A6A" w:rsidP="00D81A6A" w14:paraId="76FBE497" w14:textId="77777777">
      <w:pPr>
        <w:rPr>
          <w:rFonts w:eastAsiaTheme="minorHAnsi"/>
          <w:lang w:eastAsia="en-US"/>
        </w:rPr>
      </w:pPr>
      <w:r>
        <w:rPr>
          <w:noProof/>
          <w:lang w:eastAsia="en-US"/>
        </w:rPr>
        <w:drawing>
          <wp:inline distT="0" distB="0" distL="0" distR="0">
            <wp:extent cx="5943600" cy="7691119"/>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7691119"/>
                    </a:xfrm>
                    <a:prstGeom prst="rect">
                      <a:avLst/>
                    </a:prstGeom>
                  </pic:spPr>
                </pic:pic>
              </a:graphicData>
            </a:graphic>
          </wp:inline>
        </w:drawing>
      </w:r>
    </w:p>
    <w:p w:rsidR="00D81A6A" w:rsidRPr="00D81A6A" w:rsidP="00D81A6A" w14:paraId="387D6639" w14:textId="77777777">
      <w:pPr>
        <w:rPr>
          <w:rFonts w:eastAsiaTheme="minorHAnsi"/>
          <w:lang w:eastAsia="en-US"/>
        </w:rPr>
      </w:pPr>
    </w:p>
    <w:p w:rsidR="001F16BD" w14:paraId="47B1F4F3" w14:textId="77777777">
      <w:r>
        <w:rPr>
          <w:noProof/>
          <w:lang w:eastAsia="en-US"/>
        </w:rPr>
        <w:drawing>
          <wp:inline distT="0" distB="0" distL="0" distR="0">
            <wp:extent cx="5943600" cy="7691119"/>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7691119"/>
                    </a:xfrm>
                    <a:prstGeom prst="rect">
                      <a:avLst/>
                    </a:prstGeom>
                  </pic:spPr>
                </pic:pic>
              </a:graphicData>
            </a:graphic>
          </wp:inline>
        </w:drawing>
      </w:r>
    </w:p>
    <w:p w:rsidR="00D81A6A" w:rsidRPr="00FE2962" w14:paraId="5D012FD1" w14:textId="37409047">
      <w:pPr>
        <w:rPr>
          <w:rFonts w:eastAsiaTheme="minorHAnsi"/>
          <w:lang w:eastAsia="en-US"/>
        </w:rPr>
      </w:pPr>
    </w:p>
    <w:p w:rsidR="00A068D6" w:rsidP="00EA2DF7" w14:paraId="5F5D0A1F" w14:textId="4C27183D">
      <w:pPr>
        <w:pStyle w:val="Heading1"/>
      </w:pPr>
      <w:bookmarkStart w:id="10" w:name="_Toc115261527"/>
      <w:r w:rsidRPr="00FD5EF7">
        <w:t>Appendix B:</w:t>
      </w:r>
      <w:r w:rsidR="00D605B9">
        <w:t xml:space="preserve"> </w:t>
      </w:r>
      <w:r w:rsidRPr="00FD5EF7">
        <w:t xml:space="preserve">Methods </w:t>
      </w:r>
      <w:r w:rsidR="008F5E9D">
        <w:t>R</w:t>
      </w:r>
      <w:r w:rsidRPr="00FD5EF7">
        <w:t xml:space="preserve">eport for </w:t>
      </w:r>
      <w:r w:rsidR="008F5E9D">
        <w:t>S</w:t>
      </w:r>
      <w:r w:rsidRPr="00FD5EF7">
        <w:t xml:space="preserve">ystematic </w:t>
      </w:r>
      <w:r w:rsidR="008F5E9D">
        <w:t>R</w:t>
      </w:r>
      <w:r w:rsidRPr="00FD5EF7">
        <w:t xml:space="preserve">eview of </w:t>
      </w:r>
      <w:r w:rsidR="008F5E9D">
        <w:t>L</w:t>
      </w:r>
      <w:r w:rsidRPr="00FD5EF7">
        <w:t>iterature</w:t>
      </w:r>
      <w:r w:rsidR="00D605B9">
        <w:t xml:space="preserve"> </w:t>
      </w:r>
      <w:r w:rsidRPr="00FD5EF7">
        <w:t xml:space="preserve">on </w:t>
      </w:r>
      <w:r w:rsidR="00F638F1">
        <w:t>FOP</w:t>
      </w:r>
      <w:r w:rsidRPr="00FD5EF7">
        <w:t xml:space="preserve"> Labeling </w:t>
      </w:r>
      <w:r w:rsidR="008F5E9D">
        <w:t>I</w:t>
      </w:r>
      <w:r w:rsidRPr="00FD5EF7">
        <w:t xml:space="preserve">ncluding </w:t>
      </w:r>
      <w:r w:rsidR="008F5E9D">
        <w:t>S</w:t>
      </w:r>
      <w:r w:rsidRPr="00FD5EF7">
        <w:t xml:space="preserve">tudy </w:t>
      </w:r>
      <w:r w:rsidR="008F5E9D">
        <w:t>P</w:t>
      </w:r>
      <w:r w:rsidRPr="00FD5EF7">
        <w:t>rotocol</w:t>
      </w:r>
      <w:bookmarkEnd w:id="10"/>
    </w:p>
    <w:p w:rsidR="00980F4D" w:rsidP="008F5E9D" w14:paraId="0F5A3AE1" w14:textId="77777777">
      <w:pPr>
        <w:pStyle w:val="Heading2"/>
      </w:pPr>
      <w:bookmarkStart w:id="11" w:name="_Toc115261528"/>
      <w:r w:rsidRPr="004966E9">
        <w:t>Introduction</w:t>
      </w:r>
      <w:bookmarkEnd w:id="11"/>
    </w:p>
    <w:p w:rsidR="00E4391D" w:rsidRPr="000579B3" w:rsidP="00E4391D" w14:paraId="7BC5F6DB" w14:textId="12990130">
      <w:pPr>
        <w:spacing w:after="0"/>
      </w:pPr>
      <w:r w:rsidRPr="1C5E0CCA">
        <w:t xml:space="preserve">FDA updated the 2016 </w:t>
      </w:r>
      <w:r w:rsidRPr="1C5E0CCA" w:rsidR="00F638F1">
        <w:t>FOP</w:t>
      </w:r>
      <w:r w:rsidRPr="1C5E0CCA">
        <w:t xml:space="preserve"> literature review by reviewing the scientific literature on </w:t>
      </w:r>
      <w:r w:rsidRPr="1C5E0CCA" w:rsidR="00F638F1">
        <w:t>FOP</w:t>
      </w:r>
      <w:r w:rsidRPr="1C5E0CCA">
        <w:t xml:space="preserve"> </w:t>
      </w:r>
      <w:r w:rsidR="006D648F">
        <w:t>labeling</w:t>
      </w:r>
      <w:r w:rsidRPr="1C5E0CCA">
        <w:t xml:space="preserve"> in </w:t>
      </w:r>
      <w:r w:rsidRPr="1C5E0CCA" w:rsidR="002C1D51">
        <w:t xml:space="preserve">four </w:t>
      </w:r>
      <w:r w:rsidRPr="1C5E0CCA">
        <w:t xml:space="preserve">stages. The Phase I literature search covered August 2016 to the end of March 2018. The Phase II search covered the literature from April 2018 to October 2018. </w:t>
      </w:r>
      <w:r w:rsidRPr="1C5E0CCA" w:rsidR="00AC3747">
        <w:t xml:space="preserve">The Phase III search covered literature from November 2018 to August 2021. </w:t>
      </w:r>
      <w:r w:rsidRPr="1C5E0CCA" w:rsidR="002C1D51">
        <w:t xml:space="preserve">The Phase IV search covered literature from January 2021 to </w:t>
      </w:r>
      <w:r w:rsidRPr="1C5E0CCA" w:rsidR="00931CC8">
        <w:t>August</w:t>
      </w:r>
      <w:r w:rsidRPr="1C5E0CCA" w:rsidR="002C1D51">
        <w:t xml:space="preserve"> 2022, </w:t>
      </w:r>
      <w:r w:rsidRPr="1C5E0CCA" w:rsidR="002C1D51">
        <w:t>in order to</w:t>
      </w:r>
      <w:r w:rsidRPr="1C5E0CCA" w:rsidR="002C1D51">
        <w:t xml:space="preserve"> capture literature published in early 2021 that may not have been included in databases </w:t>
      </w:r>
      <w:r w:rsidRPr="1C5E0CCA" w:rsidR="00F159A1">
        <w:t>at</w:t>
      </w:r>
      <w:r w:rsidRPr="1C5E0CCA" w:rsidR="002C1D51">
        <w:t xml:space="preserve"> the time of the Phase III search. The first </w:t>
      </w:r>
      <w:r w:rsidRPr="1C5E0CCA" w:rsidR="00AC3747">
        <w:t>three</w:t>
      </w:r>
      <w:r w:rsidRPr="1C5E0CCA">
        <w:t xml:space="preserve"> stages used the same targeted database search algorithm and the analytical categories used in the earlier literature reviews for which this project is a follow-on. </w:t>
      </w:r>
      <w:r w:rsidRPr="1C5E0CCA" w:rsidR="002C1D51">
        <w:t xml:space="preserve">For the Phase IV search, the database search </w:t>
      </w:r>
      <w:r w:rsidRPr="1C5E0CCA" w:rsidR="00931CC8">
        <w:t xml:space="preserve">algorithm </w:t>
      </w:r>
      <w:r w:rsidRPr="1C5E0CCA" w:rsidR="002C1D51">
        <w:t xml:space="preserve">was expanded to include the names of the FOP </w:t>
      </w:r>
      <w:r w:rsidR="006D648F">
        <w:t>labeling</w:t>
      </w:r>
      <w:r w:rsidRPr="1C5E0CCA" w:rsidR="002C1D51">
        <w:t xml:space="preserve"> systems identified in the previous three stages.</w:t>
      </w:r>
      <w:r w:rsidRPr="1C5E0CCA">
        <w:t xml:space="preserve"> </w:t>
      </w:r>
    </w:p>
    <w:p w:rsidR="00E4391D" w:rsidP="00E4391D" w14:paraId="749C31DB" w14:textId="77777777">
      <w:pPr>
        <w:spacing w:after="0"/>
      </w:pPr>
    </w:p>
    <w:p w:rsidR="00980F4D" w:rsidP="008F5E9D" w14:paraId="273199F8" w14:textId="113CCC2C">
      <w:pPr>
        <w:pStyle w:val="Heading2"/>
      </w:pPr>
      <w:bookmarkStart w:id="12" w:name="_Toc115261529"/>
      <w:r w:rsidRPr="004966E9">
        <w:t>Objective</w:t>
      </w:r>
      <w:bookmarkEnd w:id="12"/>
    </w:p>
    <w:p w:rsidR="00E4391D" w:rsidRPr="009E0739" w:rsidP="00E4391D" w14:paraId="34EC78DD" w14:textId="597F2150">
      <w:pPr>
        <w:spacing w:after="0"/>
      </w:pPr>
      <w:r>
        <w:t>Conduct a systematic review of the literature on front</w:t>
      </w:r>
      <w:r w:rsidR="00911A6E">
        <w:t xml:space="preserve"> </w:t>
      </w:r>
      <w:r>
        <w:t>of</w:t>
      </w:r>
      <w:r w:rsidR="00911A6E">
        <w:t xml:space="preserve"> </w:t>
      </w:r>
      <w:r>
        <w:t>pack</w:t>
      </w:r>
      <w:r w:rsidR="00911A6E">
        <w:t>age</w:t>
      </w:r>
      <w:r>
        <w:t xml:space="preserve"> nutrition labeling/systems/frameworks/symbols/icons since August </w:t>
      </w:r>
      <w:r w:rsidR="00931CC8">
        <w:t>2021</w:t>
      </w:r>
      <w:r>
        <w:t>, using the same search algorithm that had been used for the Hersey, et al (2013)</w:t>
      </w:r>
      <w:r w:rsidR="00931CC8">
        <w:t xml:space="preserve">, </w:t>
      </w:r>
      <w:r>
        <w:t>RTI Addendum (2016)</w:t>
      </w:r>
      <w:r w:rsidR="00931CC8">
        <w:t>, and FDA (2021)</w:t>
      </w:r>
      <w:r>
        <w:t xml:space="preserve"> reviews.</w:t>
      </w:r>
    </w:p>
    <w:p w:rsidR="00E4391D" w:rsidP="00E4391D" w14:paraId="6EE591D8" w14:textId="77777777">
      <w:pPr>
        <w:spacing w:after="0"/>
        <w:rPr>
          <w:b/>
        </w:rPr>
      </w:pPr>
    </w:p>
    <w:p w:rsidR="00980F4D" w:rsidP="008F5E9D" w14:paraId="78190A52" w14:textId="628DA16E">
      <w:pPr>
        <w:pStyle w:val="Heading2"/>
      </w:pPr>
      <w:bookmarkStart w:id="13" w:name="_Toc115261530"/>
      <w:r w:rsidRPr="004966E9">
        <w:t>Methods</w:t>
      </w:r>
      <w:bookmarkEnd w:id="13"/>
    </w:p>
    <w:p w:rsidR="00E4391D" w:rsidP="00E4391D" w14:paraId="73ADD98E" w14:textId="38EA60CF">
      <w:pPr>
        <w:spacing w:after="0"/>
      </w:pPr>
      <w:r>
        <w:t>Articles in English meeting the search criteria and time frame constraints (</w:t>
      </w:r>
      <w:r w:rsidR="00F159A1">
        <w:t xml:space="preserve">January </w:t>
      </w:r>
      <w:r w:rsidR="00931CC8">
        <w:t xml:space="preserve">2021 </w:t>
      </w:r>
      <w:r>
        <w:t>to present</w:t>
      </w:r>
      <w:r w:rsidR="0031494D">
        <w:t xml:space="preserve"> for the Phase IV search</w:t>
      </w:r>
      <w:r>
        <w:t xml:space="preserve">) were eligible for inclusion in the literature search.  </w:t>
      </w:r>
    </w:p>
    <w:p w:rsidR="00E4391D" w:rsidP="00E4391D" w14:paraId="6F8020D5" w14:textId="77777777">
      <w:pPr>
        <w:spacing w:after="0"/>
        <w:rPr>
          <w:b/>
        </w:rPr>
      </w:pPr>
    </w:p>
    <w:p w:rsidR="00E4391D" w:rsidP="008F5E9D" w14:paraId="21787C26" w14:textId="3F7D92C7">
      <w:pPr>
        <w:pStyle w:val="Heading2"/>
      </w:pPr>
      <w:bookmarkStart w:id="14" w:name="_Toc115261531"/>
      <w:r w:rsidRPr="004966E9">
        <w:t xml:space="preserve">Search </w:t>
      </w:r>
      <w:r w:rsidR="00980F4D">
        <w:t>Strategy</w:t>
      </w:r>
      <w:bookmarkEnd w:id="14"/>
    </w:p>
    <w:p w:rsidR="00E4391D" w:rsidRPr="00CD2BA7" w:rsidP="00E4391D" w14:paraId="263F7F85" w14:textId="0076F673">
      <w:pPr>
        <w:spacing w:after="0"/>
        <w:rPr>
          <w:rFonts w:eastAsia="Times New Roman" w:cs="Arial"/>
          <w:color w:val="000000" w:themeColor="text1"/>
        </w:rPr>
      </w:pPr>
      <w:r w:rsidRPr="1C5E0CCA">
        <w:rPr>
          <w:rFonts w:eastAsia="Times New Roman" w:cs="Arial"/>
          <w:color w:val="000000" w:themeColor="text1"/>
        </w:rPr>
        <w:t xml:space="preserve">We searched the following databases: PubMed, Web of Science, ScienceDirect, </w:t>
      </w:r>
      <w:r w:rsidRPr="1C5E0CCA">
        <w:rPr>
          <w:rFonts w:eastAsia="Times New Roman" w:cs="Arial"/>
          <w:i/>
          <w:color w:val="000000" w:themeColor="text1"/>
        </w:rPr>
        <w:t>under which the following databases are subsumed:</w:t>
      </w:r>
      <w:r w:rsidRPr="1C5E0CCA">
        <w:rPr>
          <w:rFonts w:eastAsia="Times New Roman" w:cs="Arial"/>
          <w:color w:val="000000" w:themeColor="text1"/>
        </w:rPr>
        <w:t xml:space="preserve"> CHINAHL, Business Source Corporate, PsycINFO, AGRICOLA, Food Science and Technology Abstracts,</w:t>
      </w:r>
      <w:r w:rsidRPr="1C5E0CCA" w:rsidR="14FA286D">
        <w:rPr>
          <w:rFonts w:eastAsia="Times New Roman" w:cs="Arial"/>
          <w:color w:val="000000" w:themeColor="text1"/>
        </w:rPr>
        <w:t xml:space="preserve"> </w:t>
      </w:r>
      <w:r w:rsidRPr="1C5E0CCA">
        <w:rPr>
          <w:rFonts w:eastAsia="Times New Roman" w:cs="Arial"/>
          <w:color w:val="000000" w:themeColor="text1"/>
        </w:rPr>
        <w:t>New York Academy of Medicine Grey Literature Report</w:t>
      </w:r>
      <w:r w:rsidRPr="1C5E0CCA" w:rsidR="4FBE8FC5">
        <w:rPr>
          <w:rFonts w:eastAsia="Times New Roman" w:cs="Arial"/>
          <w:color w:val="000000" w:themeColor="text1"/>
        </w:rPr>
        <w:t>,</w:t>
      </w:r>
      <w:r w:rsidRPr="1C5E0CCA">
        <w:rPr>
          <w:rFonts w:eastAsia="Times New Roman" w:cs="Arial"/>
          <w:color w:val="000000" w:themeColor="text1"/>
        </w:rPr>
        <w:t xml:space="preserve"> NTIS, AgEcon, and CAB Abstracts. </w:t>
      </w:r>
      <w:r w:rsidRPr="1C5E0CCA" w:rsidR="00931CC8">
        <w:rPr>
          <w:rFonts w:eastAsia="Times New Roman" w:cs="Arial"/>
          <w:color w:val="000000" w:themeColor="text1"/>
        </w:rPr>
        <w:t>The databases Web of Science, CAB Abstracts and New York Academy of Medicine Grey Literature Report</w:t>
      </w:r>
      <w:r w:rsidRPr="1C5E0CCA" w:rsidR="001C1AB8">
        <w:rPr>
          <w:rFonts w:eastAsia="Times New Roman" w:cs="Arial"/>
          <w:color w:val="000000" w:themeColor="text1"/>
        </w:rPr>
        <w:t>, none of which had results in the Phase II or III searches,</w:t>
      </w:r>
      <w:r w:rsidRPr="1C5E0CCA" w:rsidR="00931CC8">
        <w:rPr>
          <w:rFonts w:eastAsia="Times New Roman" w:cs="Arial"/>
          <w:color w:val="000000" w:themeColor="text1"/>
        </w:rPr>
        <w:t xml:space="preserve"> were not searched in Phase IV.</w:t>
      </w:r>
    </w:p>
    <w:p w:rsidR="00E4391D" w:rsidP="00E4391D" w14:paraId="6D0BD041" w14:textId="77777777">
      <w:pPr>
        <w:spacing w:after="0"/>
        <w:rPr>
          <w:rFonts w:cs="Arial"/>
          <w:szCs w:val="24"/>
        </w:rPr>
      </w:pPr>
    </w:p>
    <w:p w:rsidR="00E4391D" w:rsidP="00E4391D" w14:paraId="79413DA1" w14:textId="01B9EF55">
      <w:pPr>
        <w:spacing w:after="0"/>
        <w:rPr>
          <w:rFonts w:cs="Arial"/>
          <w:szCs w:val="24"/>
        </w:rPr>
      </w:pPr>
      <w:r>
        <w:rPr>
          <w:rFonts w:cs="Arial"/>
          <w:szCs w:val="24"/>
        </w:rPr>
        <w:t xml:space="preserve">The following are the search terms used for each database identified above, </w:t>
      </w:r>
      <w:r w:rsidR="00931CC8">
        <w:rPr>
          <w:rFonts w:cs="Arial"/>
          <w:szCs w:val="24"/>
        </w:rPr>
        <w:t xml:space="preserve">with the </w:t>
      </w:r>
      <w:r w:rsidR="00F159A1">
        <w:rPr>
          <w:rFonts w:cs="Arial"/>
          <w:szCs w:val="24"/>
        </w:rPr>
        <w:t xml:space="preserve">additional </w:t>
      </w:r>
      <w:r w:rsidR="00931CC8">
        <w:rPr>
          <w:rFonts w:cs="Arial"/>
          <w:szCs w:val="24"/>
        </w:rPr>
        <w:t xml:space="preserve">terms </w:t>
      </w:r>
      <w:r w:rsidR="00F159A1">
        <w:rPr>
          <w:rFonts w:cs="Arial"/>
          <w:szCs w:val="24"/>
        </w:rPr>
        <w:t xml:space="preserve">used </w:t>
      </w:r>
      <w:r w:rsidR="00931CC8">
        <w:rPr>
          <w:rFonts w:cs="Arial"/>
          <w:szCs w:val="24"/>
        </w:rPr>
        <w:t xml:space="preserve">in Phase IV indicated by bold type, as well as </w:t>
      </w:r>
      <w:r>
        <w:rPr>
          <w:rFonts w:cs="Arial"/>
          <w:szCs w:val="24"/>
        </w:rPr>
        <w:t>the number of results returned by database. The first number on the “Results” line is from the Phase I search; the second number, the one in parentheses, is the number returned for the Phase II search</w:t>
      </w:r>
      <w:r w:rsidR="0094381B">
        <w:rPr>
          <w:rFonts w:cs="Arial"/>
          <w:szCs w:val="24"/>
        </w:rPr>
        <w:t>; the third number, the one in brackets, is the number returned for the Phase III search</w:t>
      </w:r>
      <w:r w:rsidR="00931CC8">
        <w:rPr>
          <w:rFonts w:cs="Arial"/>
          <w:szCs w:val="24"/>
        </w:rPr>
        <w:t>, and the fourth number, the one in curly brackets, is the number returned for the Phase IV search</w:t>
      </w:r>
      <w:r>
        <w:rPr>
          <w:rFonts w:cs="Arial"/>
          <w:szCs w:val="24"/>
        </w:rPr>
        <w:t>. The total number of articles returned in Phase</w:t>
      </w:r>
      <w:r w:rsidR="0094381B">
        <w:rPr>
          <w:rFonts w:cs="Arial"/>
          <w:szCs w:val="24"/>
        </w:rPr>
        <w:t>s</w:t>
      </w:r>
      <w:r>
        <w:rPr>
          <w:rFonts w:cs="Arial"/>
          <w:szCs w:val="24"/>
        </w:rPr>
        <w:t xml:space="preserve"> I</w:t>
      </w:r>
      <w:r w:rsidR="0094381B">
        <w:rPr>
          <w:rFonts w:cs="Arial"/>
          <w:szCs w:val="24"/>
        </w:rPr>
        <w:t xml:space="preserve">, </w:t>
      </w:r>
      <w:r>
        <w:rPr>
          <w:rFonts w:cs="Arial"/>
          <w:szCs w:val="24"/>
        </w:rPr>
        <w:t>II</w:t>
      </w:r>
      <w:r w:rsidR="0094381B">
        <w:rPr>
          <w:rFonts w:cs="Arial"/>
          <w:szCs w:val="24"/>
        </w:rPr>
        <w:t>, III</w:t>
      </w:r>
      <w:r>
        <w:rPr>
          <w:rFonts w:cs="Arial"/>
          <w:szCs w:val="24"/>
        </w:rPr>
        <w:t xml:space="preserve"> </w:t>
      </w:r>
      <w:r w:rsidR="00931CC8">
        <w:rPr>
          <w:rFonts w:cs="Arial"/>
          <w:szCs w:val="24"/>
        </w:rPr>
        <w:t xml:space="preserve">and IV </w:t>
      </w:r>
      <w:r>
        <w:rPr>
          <w:rFonts w:cs="Arial"/>
          <w:szCs w:val="24"/>
        </w:rPr>
        <w:t>searches include many duplicates that were identified and deleted before researchers began the review.</w:t>
      </w:r>
    </w:p>
    <w:p w:rsidR="001C1AB8" w:rsidP="00E4391D" w14:paraId="5AAC15E1" w14:textId="77777777">
      <w:pPr>
        <w:spacing w:after="0"/>
        <w:rPr>
          <w:rFonts w:cs="Arial"/>
          <w:szCs w:val="24"/>
          <w:u w:val="single"/>
        </w:rPr>
      </w:pPr>
    </w:p>
    <w:p w:rsidR="00E4391D" w:rsidRPr="00D51C9F" w:rsidP="00E4391D" w14:paraId="59167A88" w14:textId="51B65372">
      <w:pPr>
        <w:spacing w:after="0"/>
        <w:rPr>
          <w:rFonts w:cs="Arial"/>
          <w:szCs w:val="24"/>
          <w:u w:val="single"/>
        </w:rPr>
      </w:pPr>
      <w:r w:rsidRPr="00D51C9F">
        <w:rPr>
          <w:rFonts w:cs="Arial"/>
          <w:szCs w:val="24"/>
          <w:u w:val="single"/>
        </w:rPr>
        <w:t>PubMed</w:t>
      </w:r>
    </w:p>
    <w:p w:rsidR="00E4391D" w:rsidRPr="00B54DA8" w:rsidP="00E4391D" w14:paraId="4E67A6A5" w14:textId="366A3CE4">
      <w:pPr>
        <w:spacing w:after="0"/>
        <w:rPr>
          <w:rFonts w:cs="Arial"/>
          <w:color w:val="5B9BD5" w:themeColor="accent5"/>
          <w:szCs w:val="24"/>
        </w:rPr>
      </w:pPr>
      <w:r w:rsidRPr="00CD2BA7">
        <w:rPr>
          <w:rFonts w:cs="Arial"/>
          <w:szCs w:val="24"/>
        </w:rPr>
        <w:t>Results = 66</w:t>
      </w:r>
      <w:r>
        <w:rPr>
          <w:rFonts w:cs="Arial"/>
          <w:szCs w:val="24"/>
        </w:rPr>
        <w:t xml:space="preserve"> (18)</w:t>
      </w:r>
      <w:r w:rsidR="0094381B">
        <w:rPr>
          <w:rFonts w:cs="Arial"/>
          <w:szCs w:val="24"/>
        </w:rPr>
        <w:t xml:space="preserve"> [</w:t>
      </w:r>
      <w:r w:rsidR="0042134E">
        <w:rPr>
          <w:rFonts w:cs="Arial"/>
          <w:szCs w:val="24"/>
        </w:rPr>
        <w:t>14</w:t>
      </w:r>
      <w:r w:rsidR="0094381B">
        <w:rPr>
          <w:rFonts w:cs="Arial"/>
          <w:szCs w:val="24"/>
        </w:rPr>
        <w:t>8]</w:t>
      </w:r>
      <w:r w:rsidR="00B54DA8">
        <w:rPr>
          <w:rFonts w:cs="Arial"/>
          <w:szCs w:val="24"/>
        </w:rPr>
        <w:t xml:space="preserve"> </w:t>
      </w:r>
      <w:r w:rsidR="003D4B29">
        <w:rPr>
          <w:rFonts w:cs="Arial"/>
          <w:szCs w:val="24"/>
        </w:rPr>
        <w:t>{152}</w:t>
      </w:r>
    </w:p>
    <w:p w:rsidR="00931CC8" w:rsidP="00E4391D" w14:paraId="630E2503" w14:textId="2AA9F99B">
      <w:pPr>
        <w:spacing w:after="0"/>
        <w:rPr>
          <w:rFonts w:cs="Arial"/>
          <w:szCs w:val="24"/>
        </w:rPr>
      </w:pPr>
    </w:p>
    <w:p w:rsidR="00931CC8" w:rsidP="00E4391D" w14:paraId="55D97C69" w14:textId="64465E25">
      <w:pPr>
        <w:spacing w:after="0"/>
        <w:rPr>
          <w:rFonts w:cs="Arial"/>
        </w:rPr>
      </w:pPr>
      <w:r w:rsidRPr="1C5E0CCA">
        <w:rPr>
          <w:rFonts w:cs="Arial"/>
        </w:rPr>
        <w:t xml:space="preserve">((("front of package nutrition label" OR "front of package nutrition labels" OR "front of pack nutrition label" OR "front of pack nutrition labels" OR "FOP label" OR "FOP labels" OR "front of package label" OR "front of package labels" OR </w:t>
      </w:r>
      <w:r w:rsidRPr="1C5E0CCA" w:rsidR="0898580E">
        <w:rPr>
          <w:rFonts w:cs="Arial"/>
        </w:rPr>
        <w:t>“</w:t>
      </w:r>
      <w:r w:rsidRPr="1C5E0CCA">
        <w:rPr>
          <w:rFonts w:cs="Arial"/>
        </w:rPr>
        <w:t>shelf-labeling</w:t>
      </w:r>
      <w:r w:rsidRPr="1C5E0CCA" w:rsidR="3BE6A6C9">
        <w:rPr>
          <w:rFonts w:cs="Arial"/>
        </w:rPr>
        <w:t>”</w:t>
      </w:r>
      <w:r w:rsidRPr="1C5E0CCA">
        <w:rPr>
          <w:rFonts w:cs="Arial"/>
        </w:rPr>
        <w:t xml:space="preserve"> OR "shelf labeling" OR "shelf nutrition label" OR "shelf nutrition labels") AND (consumer OR "consumer behavior" OR "consumer behaviors" OR "consumer preference" OR "consumer preferences" OR "consumer satisfaction" OR "consumer response" OR "consumer responses" OR effective OR design OR designs OR nutrition OR producer OR producers OR retailer OR retailers)) AND ("2021"[Date - Publication] : "3000"[Date - Publication])) </w:t>
      </w:r>
      <w:r w:rsidRPr="1C5E0CCA" w:rsidR="003D4B29">
        <w:rPr>
          <w:rFonts w:cs="Arial"/>
          <w:b/>
        </w:rPr>
        <w:t>OR (("Health Star" OR "Traffic Light*" OR "Reference Intakes" OR "Warning symbol" OR "Heart-check" OR "Healthier Choice Symbol" OR "</w:t>
      </w:r>
      <w:r w:rsidR="004B6E26">
        <w:rPr>
          <w:rFonts w:cs="Arial"/>
          <w:b/>
        </w:rPr>
        <w:t>Nutri-Score</w:t>
      </w:r>
      <w:r w:rsidRPr="1C5E0CCA" w:rsidR="003D4B29">
        <w:rPr>
          <w:rFonts w:cs="Arial"/>
          <w:b/>
        </w:rPr>
        <w:t xml:space="preserve">" OR "Nutri score" OR </w:t>
      </w:r>
      <w:r w:rsidR="004B6E26">
        <w:rPr>
          <w:rFonts w:cs="Arial"/>
          <w:b/>
        </w:rPr>
        <w:t>Nutri-Score</w:t>
      </w:r>
      <w:r w:rsidRPr="1C5E0CCA" w:rsidR="003D4B29">
        <w:rPr>
          <w:rFonts w:cs="Arial"/>
          <w:b/>
        </w:rPr>
        <w:t xml:space="preserve"> OR NuVal) AND label* AND (consumer OR "consumer behavior" OR "consumer behaviors" OR "consumer preference" OR "consumer preferences" OR "consumer satisfaction" OR "consumer response" OR "consumer responses" OR effective OR design OR designs OR nutrition OR producer OR producers OR retailer OR retailers) AND ("2021"[Date - Publication] : "3000"[Date - Publication])))</w:t>
      </w:r>
    </w:p>
    <w:p w:rsidR="00E821F4" w:rsidRPr="00CD2BA7" w:rsidP="00E4391D" w14:paraId="7CA92F45" w14:textId="77777777">
      <w:pPr>
        <w:spacing w:after="0"/>
        <w:rPr>
          <w:rFonts w:cs="Arial"/>
          <w:szCs w:val="24"/>
        </w:rPr>
      </w:pPr>
    </w:p>
    <w:p w:rsidR="00E4391D" w:rsidRPr="0042134E" w:rsidP="00E4391D" w14:paraId="01876A93" w14:textId="77777777">
      <w:pPr>
        <w:spacing w:after="0"/>
        <w:rPr>
          <w:rFonts w:cs="Arial"/>
          <w:szCs w:val="24"/>
          <w:u w:val="single"/>
        </w:rPr>
      </w:pPr>
      <w:r w:rsidRPr="0042134E">
        <w:rPr>
          <w:rFonts w:cs="Arial"/>
          <w:szCs w:val="24"/>
          <w:u w:val="single"/>
        </w:rPr>
        <w:t xml:space="preserve">Web of Science  </w:t>
      </w:r>
    </w:p>
    <w:p w:rsidR="00E4391D" w:rsidP="00E4391D" w14:paraId="43102A4C" w14:textId="2085374F">
      <w:pPr>
        <w:spacing w:after="0"/>
        <w:rPr>
          <w:rFonts w:cs="Arial"/>
          <w:szCs w:val="24"/>
        </w:rPr>
      </w:pPr>
      <w:r w:rsidRPr="0042134E">
        <w:rPr>
          <w:rFonts w:cs="Arial"/>
          <w:szCs w:val="24"/>
        </w:rPr>
        <w:t>Results = 22 (0)</w:t>
      </w:r>
      <w:r w:rsidRPr="0042134E" w:rsidR="005339A5">
        <w:rPr>
          <w:rFonts w:cs="Arial"/>
          <w:szCs w:val="24"/>
        </w:rPr>
        <w:t xml:space="preserve"> [</w:t>
      </w:r>
      <w:r w:rsidRPr="0042134E" w:rsidR="001C693A">
        <w:rPr>
          <w:rFonts w:cs="Arial"/>
          <w:szCs w:val="24"/>
        </w:rPr>
        <w:t>0</w:t>
      </w:r>
      <w:r w:rsidRPr="0042134E" w:rsidR="005339A5">
        <w:rPr>
          <w:rFonts w:cs="Arial"/>
          <w:szCs w:val="24"/>
        </w:rPr>
        <w:t>]</w:t>
      </w:r>
      <w:r w:rsidR="003D4B29">
        <w:rPr>
          <w:rFonts w:cs="Arial"/>
          <w:szCs w:val="24"/>
        </w:rPr>
        <w:t xml:space="preserve"> </w:t>
      </w:r>
    </w:p>
    <w:p w:rsidR="0009227B" w:rsidRPr="00CD2BA7" w:rsidP="00E4391D" w14:paraId="31A79D9A" w14:textId="77777777">
      <w:pPr>
        <w:spacing w:after="0"/>
        <w:rPr>
          <w:rFonts w:cs="Arial"/>
          <w:szCs w:val="24"/>
        </w:rPr>
      </w:pPr>
    </w:p>
    <w:p w:rsidR="00E4391D" w:rsidRPr="00CD2BA7" w:rsidP="00E4391D" w14:paraId="5E33757C" w14:textId="249DE932">
      <w:pPr>
        <w:spacing w:after="0"/>
        <w:rPr>
          <w:rFonts w:cs="Arial"/>
          <w:szCs w:val="24"/>
        </w:rPr>
      </w:pPr>
      <w:r w:rsidRPr="00CD2BA7">
        <w:rPr>
          <w:rFonts w:cs="Arial"/>
          <w:szCs w:val="24"/>
        </w:rPr>
        <w:t>(TS=("front of package nutrition label" OR "front of package nutrition labels" OR "front of pack nutrition label" OR "front of pack nutrition labels" OR "</w:t>
      </w:r>
      <w:r w:rsidR="00F638F1">
        <w:rPr>
          <w:rFonts w:cs="Arial"/>
          <w:szCs w:val="24"/>
        </w:rPr>
        <w:t>FOP</w:t>
      </w:r>
      <w:r w:rsidRPr="00CD2BA7">
        <w:rPr>
          <w:rFonts w:cs="Arial"/>
          <w:szCs w:val="24"/>
        </w:rPr>
        <w:t xml:space="preserve"> label" OR "</w:t>
      </w:r>
      <w:r w:rsidR="00F638F1">
        <w:rPr>
          <w:rFonts w:cs="Arial"/>
          <w:szCs w:val="24"/>
        </w:rPr>
        <w:t>FOP</w:t>
      </w:r>
      <w:r w:rsidRPr="00CD2BA7">
        <w:rPr>
          <w:rFonts w:cs="Arial"/>
          <w:szCs w:val="24"/>
        </w:rPr>
        <w:t xml:space="preserve"> labels" OR "front of package label" OR "front of package labels" OR "shelf-labeling" OR "shelf labeling" OR “shelf nutrition label” OR “shelf nutrition labels”) AND TS=(consumer OR consumers OR “consumer behavior” OR “consumer behaviors” OR “consumer preference” OR “consumer preferences” OR “consumer satisfaction” OR "consumer response" OR "consumer responses" OR effective OR design OR designs OR nutrition OR producer OR producers OR retailer OR retailers)) </w:t>
      </w:r>
    </w:p>
    <w:p w:rsidR="00E4391D" w:rsidP="00E4391D" w14:paraId="772EED1C" w14:textId="77777777">
      <w:pPr>
        <w:spacing w:after="0"/>
        <w:rPr>
          <w:rFonts w:cs="Arial"/>
          <w:szCs w:val="24"/>
          <w:u w:val="single"/>
        </w:rPr>
      </w:pPr>
    </w:p>
    <w:p w:rsidR="00E4391D" w:rsidRPr="00D51C9F" w:rsidP="00E4391D" w14:paraId="5E4B4DEC" w14:textId="77777777">
      <w:pPr>
        <w:spacing w:after="0"/>
        <w:rPr>
          <w:rFonts w:cs="Arial"/>
          <w:szCs w:val="24"/>
          <w:u w:val="single"/>
        </w:rPr>
      </w:pPr>
      <w:r w:rsidRPr="00D51C9F">
        <w:rPr>
          <w:rFonts w:cs="Arial"/>
          <w:szCs w:val="24"/>
          <w:u w:val="single"/>
        </w:rPr>
        <w:t>Science Direct</w:t>
      </w:r>
    </w:p>
    <w:p w:rsidR="00E4391D" w:rsidP="00E4391D" w14:paraId="09F92F3A" w14:textId="03C4F77D">
      <w:pPr>
        <w:spacing w:after="0"/>
        <w:rPr>
          <w:rFonts w:cs="Arial"/>
          <w:color w:val="000000" w:themeColor="text1"/>
          <w:szCs w:val="24"/>
        </w:rPr>
      </w:pPr>
      <w:r w:rsidRPr="00CD2BA7">
        <w:rPr>
          <w:rFonts w:cs="Arial"/>
          <w:color w:val="000000" w:themeColor="text1"/>
          <w:szCs w:val="24"/>
        </w:rPr>
        <w:t>Results = 0 (advanced search)</w:t>
      </w:r>
      <w:r>
        <w:rPr>
          <w:rFonts w:cs="Arial"/>
          <w:color w:val="000000" w:themeColor="text1"/>
          <w:szCs w:val="24"/>
        </w:rPr>
        <w:t xml:space="preserve"> (3)</w:t>
      </w:r>
      <w:r w:rsidR="0094381B">
        <w:rPr>
          <w:rFonts w:cs="Arial"/>
          <w:color w:val="000000" w:themeColor="text1"/>
          <w:szCs w:val="24"/>
        </w:rPr>
        <w:t xml:space="preserve"> [39]</w:t>
      </w:r>
      <w:r w:rsidR="003D4B29">
        <w:rPr>
          <w:rFonts w:cs="Arial"/>
          <w:color w:val="000000" w:themeColor="text1"/>
          <w:szCs w:val="24"/>
        </w:rPr>
        <w:t xml:space="preserve"> {45}</w:t>
      </w:r>
    </w:p>
    <w:p w:rsidR="0009227B" w:rsidRPr="00CD2BA7" w:rsidP="00E4391D" w14:paraId="36571ECC" w14:textId="77777777">
      <w:pPr>
        <w:spacing w:after="0"/>
        <w:rPr>
          <w:rFonts w:cs="Arial"/>
          <w:color w:val="000000" w:themeColor="text1"/>
          <w:szCs w:val="24"/>
        </w:rPr>
      </w:pPr>
    </w:p>
    <w:p w:rsidR="00E4391D" w:rsidP="00E4391D" w14:paraId="37958B67" w14:textId="0703755A">
      <w:pPr>
        <w:spacing w:after="0"/>
        <w:rPr>
          <w:rFonts w:cs="Arial"/>
          <w:bCs/>
          <w:szCs w:val="24"/>
        </w:rPr>
      </w:pPr>
      <w:r w:rsidRPr="00CD2BA7">
        <w:rPr>
          <w:rFonts w:cs="Arial"/>
          <w:bCs/>
          <w:szCs w:val="24"/>
        </w:rPr>
        <w:t>Title-Abstr-Key ("front of pack* nutrition label*" OR "</w:t>
      </w:r>
      <w:r w:rsidR="00F638F1">
        <w:rPr>
          <w:rFonts w:cs="Arial"/>
          <w:bCs/>
          <w:szCs w:val="24"/>
        </w:rPr>
        <w:t>FOP</w:t>
      </w:r>
      <w:r w:rsidRPr="00CD2BA7">
        <w:rPr>
          <w:rFonts w:cs="Arial"/>
          <w:bCs/>
          <w:szCs w:val="24"/>
        </w:rPr>
        <w:t xml:space="preserve"> label*" OR "front of package label*" OR “shelf labeling” OR “shelf nutrition label*”) AND Title-Abstr-Key (consumer* OR effective OR design* OR nutrition OR producer* OR retailer*)</w:t>
      </w:r>
      <w:r w:rsidRPr="00CD2BA7">
        <w:rPr>
          <w:rFonts w:cs="Arial"/>
          <w:szCs w:val="24"/>
        </w:rPr>
        <w:t xml:space="preserve"> date: </w:t>
      </w:r>
      <w:r w:rsidRPr="00CD2BA7">
        <w:rPr>
          <w:rFonts w:cs="Arial"/>
          <w:bCs/>
          <w:szCs w:val="24"/>
        </w:rPr>
        <w:t xml:space="preserve">2016-2018 </w:t>
      </w:r>
    </w:p>
    <w:p w:rsidR="003D4B29" w:rsidRPr="00DE1B31" w:rsidP="00E4391D" w14:paraId="2AB9B3A5" w14:textId="07D864F7">
      <w:pPr>
        <w:spacing w:after="0"/>
        <w:rPr>
          <w:rFonts w:cs="Arial"/>
          <w:b/>
          <w:bCs/>
          <w:szCs w:val="24"/>
        </w:rPr>
      </w:pPr>
      <w:r w:rsidRPr="00DE1B31">
        <w:rPr>
          <w:rFonts w:cs="Arial"/>
          <w:b/>
          <w:bCs/>
          <w:szCs w:val="24"/>
        </w:rPr>
        <w:t>Phase IV search information: Science Direct limits the number of Boolean operators that can be used in any one field at a time to no more than 8. Science Direct also does not support truncation. As a result, searches were conducted as follows:</w:t>
      </w:r>
    </w:p>
    <w:p w:rsidR="003D4B29" w:rsidRPr="00DE1B31" w:rsidP="003D4B29" w14:paraId="03AA45CA" w14:textId="77777777">
      <w:pPr>
        <w:pStyle w:val="ListParagraph"/>
        <w:numPr>
          <w:ilvl w:val="0"/>
          <w:numId w:val="95"/>
        </w:numPr>
        <w:spacing w:after="200" w:line="276" w:lineRule="auto"/>
        <w:rPr>
          <w:rFonts w:asciiTheme="minorHAnsi" w:hAnsiTheme="minorHAnsi"/>
          <w:b/>
          <w:sz w:val="22"/>
        </w:rPr>
      </w:pPr>
      <w:r w:rsidRPr="00DE1B31">
        <w:rPr>
          <w:rFonts w:asciiTheme="minorHAnsi" w:hAnsiTheme="minorHAnsi"/>
          <w:b/>
          <w:sz w:val="22"/>
        </w:rPr>
        <w:t>Title, abstract, keywords: ("front of pack nutrition label" OR "front of package nutrition label" OR "front of pack nutrition labeling" OR "front of package nutrition labeling" OR "front of pack label" OR "front of pack labeling" OR "front of package label" OR "front of package labeling" OR "FOP label") Year: 2021-2022</w:t>
      </w:r>
    </w:p>
    <w:p w:rsidR="003D4B29" w:rsidRPr="00DE1B31" w:rsidP="003D4B29" w14:paraId="3644188C" w14:textId="77777777">
      <w:pPr>
        <w:pStyle w:val="ListParagraph"/>
        <w:numPr>
          <w:ilvl w:val="0"/>
          <w:numId w:val="95"/>
        </w:numPr>
        <w:spacing w:after="200" w:line="276" w:lineRule="auto"/>
        <w:rPr>
          <w:rFonts w:asciiTheme="minorHAnsi" w:hAnsiTheme="minorHAnsi"/>
          <w:b/>
          <w:sz w:val="22"/>
        </w:rPr>
      </w:pPr>
      <w:r w:rsidRPr="00DE1B31">
        <w:rPr>
          <w:rFonts w:asciiTheme="minorHAnsi" w:hAnsiTheme="minorHAnsi"/>
          <w:b/>
          <w:sz w:val="22"/>
        </w:rPr>
        <w:t>Title, abstract, keywords: ("front of pack nutrition labels" OR "front of package nutrition labels" OR "front of pack labels" OR "front of package labels" OR "FOP labels" OR “FOP labeling”) Year: 2021-2022</w:t>
      </w:r>
    </w:p>
    <w:p w:rsidR="003D4B29" w:rsidRPr="00DE1B31" w:rsidP="003D4B29" w14:paraId="6D6E753E" w14:textId="77777777">
      <w:pPr>
        <w:pStyle w:val="ListParagraph"/>
        <w:numPr>
          <w:ilvl w:val="0"/>
          <w:numId w:val="95"/>
        </w:numPr>
        <w:spacing w:after="200" w:line="276" w:lineRule="auto"/>
        <w:rPr>
          <w:rFonts w:asciiTheme="minorHAnsi" w:hAnsiTheme="minorHAnsi"/>
          <w:b/>
          <w:sz w:val="22"/>
        </w:rPr>
      </w:pPr>
      <w:r w:rsidRPr="00DE1B31">
        <w:rPr>
          <w:rFonts w:asciiTheme="minorHAnsi" w:hAnsiTheme="minorHAnsi"/>
          <w:b/>
          <w:sz w:val="22"/>
        </w:rPr>
        <w:t>Title, abstract, keywords: ("shelf label" OR "shelf labels" OR "shelf labeling" OR "shelf nutrition label" OR "shelf nutrition labels" OR "shelf nutrition labeling") AND (nutrition OR design OR effective) Year: 2021-2022</w:t>
      </w:r>
    </w:p>
    <w:p w:rsidR="003D4B29" w:rsidRPr="00DE1B31" w:rsidP="003D4B29" w14:paraId="4194C92E" w14:textId="77777777">
      <w:pPr>
        <w:pStyle w:val="ListParagraph"/>
        <w:numPr>
          <w:ilvl w:val="0"/>
          <w:numId w:val="95"/>
        </w:numPr>
        <w:spacing w:after="200" w:line="276" w:lineRule="auto"/>
        <w:rPr>
          <w:rFonts w:asciiTheme="minorHAnsi" w:hAnsiTheme="minorHAnsi"/>
          <w:b/>
          <w:sz w:val="22"/>
        </w:rPr>
      </w:pPr>
      <w:r w:rsidRPr="00DE1B31">
        <w:rPr>
          <w:rFonts w:asciiTheme="minorHAnsi" w:hAnsiTheme="minorHAnsi"/>
          <w:b/>
          <w:sz w:val="22"/>
        </w:rPr>
        <w:t>Title, abstract, keywords: ("shelf label" OR "shelf labels" OR "shelf labeling" OR "shelf nutrition label" OR "shelf nutrition labels" OR "shelf nutrition labeling") AND (consumer OR retailer OR producer) Year: 2021-2022</w:t>
      </w:r>
    </w:p>
    <w:p w:rsidR="003D4B29" w:rsidRPr="00DE1B31" w:rsidP="003D4B29" w14:paraId="3CB7F2AF" w14:textId="77777777">
      <w:pPr>
        <w:pStyle w:val="ListParagraph"/>
        <w:numPr>
          <w:ilvl w:val="0"/>
          <w:numId w:val="95"/>
        </w:numPr>
        <w:spacing w:after="200" w:line="276" w:lineRule="auto"/>
        <w:rPr>
          <w:rFonts w:asciiTheme="minorHAnsi" w:hAnsiTheme="minorHAnsi"/>
          <w:b/>
          <w:sz w:val="22"/>
        </w:rPr>
      </w:pPr>
      <w:r w:rsidRPr="00DE1B31">
        <w:rPr>
          <w:rFonts w:asciiTheme="minorHAnsi" w:hAnsiTheme="minorHAnsi"/>
          <w:b/>
          <w:sz w:val="22"/>
        </w:rPr>
        <w:t>Title, abstract, keywords: ("Health Star" OR "Traffic Light" OR "Reference Intakes" OR "Warning symbol" OR "Heart-Check" OR "Healthier Choice Symbol") AND (label OR labels OR labeling) Year: 2021-2022</w:t>
      </w:r>
    </w:p>
    <w:p w:rsidR="003D4B29" w:rsidRPr="00DE1B31" w:rsidP="003D4B29" w14:paraId="13A61E8A" w14:textId="005DED4F">
      <w:pPr>
        <w:pStyle w:val="ListParagraph"/>
        <w:numPr>
          <w:ilvl w:val="0"/>
          <w:numId w:val="95"/>
        </w:numPr>
        <w:spacing w:after="200" w:line="276" w:lineRule="auto"/>
        <w:rPr>
          <w:rFonts w:asciiTheme="minorHAnsi" w:hAnsiTheme="minorHAnsi"/>
          <w:b/>
          <w:sz w:val="22"/>
        </w:rPr>
      </w:pPr>
      <w:r w:rsidRPr="00DE1B31">
        <w:rPr>
          <w:rFonts w:asciiTheme="minorHAnsi" w:hAnsiTheme="minorHAnsi"/>
          <w:b/>
          <w:sz w:val="22"/>
        </w:rPr>
        <w:t xml:space="preserve">Title, abstract, keywords: </w:t>
      </w:r>
      <w:r w:rsidRPr="00DE1B31">
        <w:rPr>
          <w:rFonts w:asciiTheme="minorHAnsi" w:hAnsiTheme="minorHAnsi"/>
          <w:b/>
          <w:sz w:val="22"/>
        </w:rPr>
        <w:t>( "</w:t>
      </w:r>
      <w:r w:rsidR="004B6E26">
        <w:rPr>
          <w:rFonts w:asciiTheme="minorHAnsi" w:hAnsiTheme="minorHAnsi"/>
          <w:b/>
          <w:sz w:val="22"/>
        </w:rPr>
        <w:t>Nutri-Score</w:t>
      </w:r>
      <w:r w:rsidRPr="00DE1B31">
        <w:rPr>
          <w:rFonts w:asciiTheme="minorHAnsi" w:hAnsiTheme="minorHAnsi"/>
          <w:b/>
          <w:sz w:val="22"/>
        </w:rPr>
        <w:t xml:space="preserve">" OR "Nutri score" OR </w:t>
      </w:r>
      <w:r w:rsidR="004B6E26">
        <w:rPr>
          <w:rFonts w:asciiTheme="minorHAnsi" w:hAnsiTheme="minorHAnsi"/>
          <w:b/>
          <w:sz w:val="22"/>
        </w:rPr>
        <w:t>Nutri-Score</w:t>
      </w:r>
      <w:r w:rsidRPr="00DE1B31">
        <w:rPr>
          <w:rFonts w:asciiTheme="minorHAnsi" w:hAnsiTheme="minorHAnsi"/>
          <w:b/>
          <w:sz w:val="22"/>
        </w:rPr>
        <w:t xml:space="preserve"> OR NuVal) AND (label OR labels OR labeling) Year: 2021-2022</w:t>
      </w:r>
    </w:p>
    <w:p w:rsidR="00E4391D" w:rsidP="00E4391D" w14:paraId="7F11C542" w14:textId="77777777">
      <w:pPr>
        <w:spacing w:after="0"/>
        <w:rPr>
          <w:rFonts w:cs="Arial"/>
          <w:bCs/>
          <w:szCs w:val="24"/>
        </w:rPr>
      </w:pPr>
    </w:p>
    <w:p w:rsidR="00E4391D" w:rsidRPr="005B36C3" w:rsidP="00E4391D" w14:paraId="67C962D2" w14:textId="77777777">
      <w:pPr>
        <w:spacing w:after="0"/>
        <w:rPr>
          <w:rFonts w:cs="Arial"/>
          <w:szCs w:val="24"/>
          <w:u w:val="single"/>
        </w:rPr>
      </w:pPr>
      <w:r w:rsidRPr="005B36C3">
        <w:rPr>
          <w:rFonts w:cs="Arial"/>
          <w:szCs w:val="24"/>
          <w:u w:val="single"/>
        </w:rPr>
        <w:t>Food Science and Technology Abstracts</w:t>
      </w:r>
    </w:p>
    <w:p w:rsidR="00E4391D" w:rsidP="00E4391D" w14:paraId="33E0F738" w14:textId="40630C55">
      <w:pPr>
        <w:spacing w:after="0"/>
        <w:rPr>
          <w:rFonts w:cs="Arial"/>
          <w:szCs w:val="24"/>
        </w:rPr>
      </w:pPr>
      <w:r w:rsidRPr="005B36C3">
        <w:rPr>
          <w:rFonts w:cs="Arial"/>
          <w:szCs w:val="24"/>
        </w:rPr>
        <w:t>Results = 13 (2)</w:t>
      </w:r>
      <w:r w:rsidRPr="005B36C3" w:rsidR="005339A5">
        <w:rPr>
          <w:rFonts w:cs="Arial"/>
          <w:szCs w:val="24"/>
        </w:rPr>
        <w:t xml:space="preserve"> [</w:t>
      </w:r>
      <w:r w:rsidRPr="005B36C3" w:rsidR="001C693A">
        <w:rPr>
          <w:rFonts w:cs="Arial"/>
          <w:szCs w:val="24"/>
        </w:rPr>
        <w:t>0</w:t>
      </w:r>
      <w:r w:rsidRPr="005B36C3" w:rsidR="005339A5">
        <w:rPr>
          <w:rFonts w:cs="Arial"/>
          <w:szCs w:val="24"/>
        </w:rPr>
        <w:t>]</w:t>
      </w:r>
      <w:r w:rsidR="003D4B29">
        <w:rPr>
          <w:rFonts w:cs="Arial"/>
          <w:szCs w:val="24"/>
        </w:rPr>
        <w:t xml:space="preserve"> {99}</w:t>
      </w:r>
    </w:p>
    <w:p w:rsidR="003D4B29" w:rsidRPr="00CD2BA7" w:rsidP="00E4391D" w14:paraId="32DCE0E3" w14:textId="77777777">
      <w:pPr>
        <w:spacing w:after="0"/>
        <w:rPr>
          <w:rFonts w:cs="Arial"/>
          <w:szCs w:val="24"/>
        </w:rPr>
      </w:pPr>
    </w:p>
    <w:p w:rsidR="00E4391D" w:rsidRPr="00CD2BA7" w:rsidP="00E4391D" w14:paraId="5878EC85" w14:textId="0D3A3B20">
      <w:pPr>
        <w:spacing w:after="0"/>
        <w:rPr>
          <w:rFonts w:cs="Arial"/>
          <w:szCs w:val="24"/>
        </w:rPr>
      </w:pPr>
      <w:r w:rsidRPr="00E23726">
        <w:t xml:space="preserve">((("front of package nutrition label" OR "front of package nutrition labels" OR "front of pack nutrition label" OR "front of pack nutrition labels" OR "FOP label" OR "FOP labels" OR "front of package label" OR "front of package labels" OR shelf-labeling OR "shelf labeling" OR "shelf nutrition label" OR "shelf nutrition labels") AND (consumer OR consumers OR "consumer behavior" OR "consumer behaviors" OR "consumer preference" OR "consumer preferences" OR "consumer satisfaction" OR "consumer response" OR "consumer responses" OR effective OR design OR designs OR nutrition OR producer OR producers OR retailer OR retailers)) </w:t>
      </w:r>
      <w:r w:rsidRPr="00E23726">
        <w:rPr>
          <w:b/>
        </w:rPr>
        <w:t>OR (("Health Star" OR "Traffic Light*" OR "Reference Intakes" OR "Warning symbol" OR "Heart-check" OR "Healthier Choice Symbol" OR "</w:t>
      </w:r>
      <w:r w:rsidR="004B6E26">
        <w:rPr>
          <w:b/>
        </w:rPr>
        <w:t>Nutri-Score</w:t>
      </w:r>
      <w:r w:rsidRPr="00E23726">
        <w:rPr>
          <w:b/>
        </w:rPr>
        <w:t xml:space="preserve">" OR "Nutri score" OR </w:t>
      </w:r>
      <w:r w:rsidR="004B6E26">
        <w:rPr>
          <w:b/>
        </w:rPr>
        <w:t>Nutri-Score</w:t>
      </w:r>
      <w:r w:rsidRPr="00E23726">
        <w:rPr>
          <w:b/>
        </w:rPr>
        <w:t xml:space="preserve"> OR NuVal) AND label* AND (consumer OR consumers OR "consumer behavior" OR "consumer behaviors" OR "consumer preference" OR "consumer preferences" OR "consumer satisfaction" OR "consumer response" OR "consumer responses" OR effective OR design OR designs OR nutrition OR producer OR producers OR retailer OR retailers))) AND (pd(20210101-20221231)</w:t>
      </w:r>
    </w:p>
    <w:p w:rsidR="00E4391D" w:rsidRPr="00CD2BA7" w:rsidP="00E4391D" w14:paraId="3216879A" w14:textId="77777777">
      <w:pPr>
        <w:spacing w:after="0"/>
        <w:rPr>
          <w:rFonts w:cs="Arial"/>
          <w:szCs w:val="24"/>
        </w:rPr>
      </w:pPr>
    </w:p>
    <w:p w:rsidR="00E4391D" w:rsidP="00E4391D" w14:paraId="255CFE42" w14:textId="7EEA4C7D">
      <w:pPr>
        <w:spacing w:after="0"/>
        <w:rPr>
          <w:rFonts w:cs="Arial"/>
          <w:szCs w:val="24"/>
          <w:u w:val="single"/>
        </w:rPr>
      </w:pPr>
      <w:r w:rsidRPr="005B36C3">
        <w:rPr>
          <w:rFonts w:cs="Arial"/>
          <w:szCs w:val="24"/>
          <w:u w:val="single"/>
        </w:rPr>
        <w:t>CINAHL</w:t>
      </w:r>
    </w:p>
    <w:p w:rsidR="00E4391D" w:rsidP="00E4391D" w14:paraId="7B92DF3F" w14:textId="5A8094B4">
      <w:pPr>
        <w:spacing w:after="0"/>
        <w:rPr>
          <w:rFonts w:cs="Arial"/>
          <w:szCs w:val="24"/>
        </w:rPr>
      </w:pPr>
      <w:r w:rsidRPr="005B36C3">
        <w:rPr>
          <w:rFonts w:cs="Arial"/>
          <w:szCs w:val="24"/>
        </w:rPr>
        <w:t>Results = 15 (1)</w:t>
      </w:r>
      <w:r w:rsidRPr="005B36C3" w:rsidR="005339A5">
        <w:rPr>
          <w:rFonts w:cs="Arial"/>
          <w:szCs w:val="24"/>
        </w:rPr>
        <w:t xml:space="preserve"> [</w:t>
      </w:r>
      <w:r w:rsidRPr="005B36C3" w:rsidR="001C693A">
        <w:rPr>
          <w:rFonts w:cs="Arial"/>
          <w:szCs w:val="24"/>
        </w:rPr>
        <w:t>0</w:t>
      </w:r>
      <w:r w:rsidRPr="005B36C3" w:rsidR="005339A5">
        <w:rPr>
          <w:rFonts w:cs="Arial"/>
          <w:szCs w:val="24"/>
        </w:rPr>
        <w:t>]</w:t>
      </w:r>
      <w:r w:rsidR="003D4B29">
        <w:rPr>
          <w:rFonts w:cs="Arial"/>
          <w:szCs w:val="24"/>
        </w:rPr>
        <w:t xml:space="preserve"> {96}</w:t>
      </w:r>
    </w:p>
    <w:p w:rsidR="0009227B" w:rsidRPr="00CD2BA7" w:rsidP="00E4391D" w14:paraId="11D5B1E8" w14:textId="77777777">
      <w:pPr>
        <w:spacing w:after="0"/>
        <w:rPr>
          <w:rFonts w:cs="Arial"/>
          <w:szCs w:val="24"/>
        </w:rPr>
      </w:pPr>
    </w:p>
    <w:p w:rsidR="00E4391D" w:rsidRPr="00CD2BA7" w:rsidP="00E4391D" w14:paraId="4C8B79B5" w14:textId="71504D4D">
      <w:pPr>
        <w:spacing w:after="0"/>
        <w:rPr>
          <w:rFonts w:cs="Arial"/>
          <w:szCs w:val="24"/>
        </w:rPr>
      </w:pPr>
      <w:r w:rsidRPr="00CD2BA7">
        <w:rPr>
          <w:rFonts w:cs="Arial"/>
          <w:szCs w:val="24"/>
        </w:rPr>
        <w:t>(</w:t>
      </w:r>
      <w:r w:rsidR="003D4B29">
        <w:rPr>
          <w:rFonts w:cs="Arial"/>
          <w:szCs w:val="24"/>
        </w:rPr>
        <w:t>((</w:t>
      </w:r>
      <w:r w:rsidRPr="00CD2BA7">
        <w:rPr>
          <w:rFonts w:cs="Arial"/>
          <w:szCs w:val="24"/>
        </w:rPr>
        <w:t>"front of package nutrition label" OR "front of package nutrition labels" OR "front of pack nutrition label" OR "front of pack nutrition labels" OR "</w:t>
      </w:r>
      <w:r w:rsidR="00F638F1">
        <w:rPr>
          <w:rFonts w:cs="Arial"/>
          <w:szCs w:val="24"/>
        </w:rPr>
        <w:t>FOP</w:t>
      </w:r>
      <w:r w:rsidRPr="00CD2BA7">
        <w:rPr>
          <w:rFonts w:cs="Arial"/>
          <w:szCs w:val="24"/>
        </w:rPr>
        <w:t xml:space="preserve"> label" OR "</w:t>
      </w:r>
      <w:r w:rsidR="00F638F1">
        <w:rPr>
          <w:rFonts w:cs="Arial"/>
          <w:szCs w:val="24"/>
        </w:rPr>
        <w:t>FOP</w:t>
      </w:r>
      <w:r w:rsidRPr="00CD2BA7">
        <w:rPr>
          <w:rFonts w:cs="Arial"/>
          <w:szCs w:val="24"/>
        </w:rPr>
        <w:t xml:space="preserve"> labels" OR "front of package label" OR "front of package labels" OR "shelf-labeling" OR "shelf labeling" OR “shelf nutrition label” OR “shelf nutrition labels”) ) AND ( consumer OR consumers OR “consumer behavior” OR “consumer behaviors” OR “consumer preference” OR “consumer preferences” OR “consumer satisfaction” OR "consumer response" OR "consumer responses" OR effective OR design OR designs OR nutrition OR producer OR producers OR retailer OR retailers )</w:t>
      </w:r>
      <w:r w:rsidRPr="003D4B29" w:rsidR="003D4B29">
        <w:t xml:space="preserve"> </w:t>
      </w:r>
      <w:r w:rsidRPr="003D4B29" w:rsidR="003D4B29">
        <w:rPr>
          <w:rFonts w:cs="Arial"/>
          <w:b/>
          <w:szCs w:val="24"/>
        </w:rPr>
        <w:t>AND (Limiters - Published Date: 20210101-20221231; English Language)) OR (("Health Star" OR "Traffic Light*" OR "Reference Intakes" OR "Warning symbol" OR "Heart-check" OR "Healthier Choice Symbol" OR "</w:t>
      </w:r>
      <w:r w:rsidR="004B6E26">
        <w:rPr>
          <w:rFonts w:cs="Arial"/>
          <w:b/>
          <w:szCs w:val="24"/>
        </w:rPr>
        <w:t>Nutri-Score</w:t>
      </w:r>
      <w:r w:rsidRPr="003D4B29" w:rsidR="003D4B29">
        <w:rPr>
          <w:rFonts w:cs="Arial"/>
          <w:b/>
          <w:szCs w:val="24"/>
        </w:rPr>
        <w:t xml:space="preserve">" OR "Nutri score" OR </w:t>
      </w:r>
      <w:r w:rsidR="004B6E26">
        <w:rPr>
          <w:rFonts w:cs="Arial"/>
          <w:b/>
          <w:szCs w:val="24"/>
        </w:rPr>
        <w:t>Nutri-Score</w:t>
      </w:r>
      <w:r w:rsidRPr="003D4B29" w:rsidR="003D4B29">
        <w:rPr>
          <w:rFonts w:cs="Arial"/>
          <w:b/>
          <w:szCs w:val="24"/>
        </w:rPr>
        <w:t xml:space="preserve"> OR NuVal) AND label* AND (consumer OR "consumer behavior" OR "consumer behaviors" OR "consumer preference" OR "consumer preferences" OR "consumer satisfaction" OR "consumer response" OR </w:t>
      </w:r>
      <w:r w:rsidRPr="003D4B29" w:rsidR="003D4B29">
        <w:rPr>
          <w:rFonts w:cs="Arial"/>
          <w:b/>
          <w:szCs w:val="24"/>
        </w:rPr>
        <w:t>"consumer responses" OR effective OR design OR designs OR nutrition OR producer OR producers OR retailer OR retailers) AND (Limiters - Published Date: 20210101-20221231; English Language)))</w:t>
      </w:r>
    </w:p>
    <w:p w:rsidR="00E4391D" w:rsidRPr="00CD2BA7" w:rsidP="00E4391D" w14:paraId="1DC8FE7B" w14:textId="77777777">
      <w:pPr>
        <w:spacing w:after="0"/>
        <w:rPr>
          <w:rFonts w:cs="Arial"/>
          <w:szCs w:val="24"/>
        </w:rPr>
      </w:pPr>
    </w:p>
    <w:p w:rsidR="00E4391D" w:rsidP="00E4391D" w14:paraId="42D77379" w14:textId="7AC75050">
      <w:pPr>
        <w:spacing w:after="0"/>
        <w:rPr>
          <w:rFonts w:cs="Arial"/>
          <w:szCs w:val="24"/>
          <w:u w:val="single"/>
        </w:rPr>
      </w:pPr>
      <w:r w:rsidRPr="005B36C3">
        <w:rPr>
          <w:rFonts w:cs="Arial"/>
          <w:szCs w:val="24"/>
          <w:u w:val="single"/>
        </w:rPr>
        <w:t>PsycInfo</w:t>
      </w:r>
    </w:p>
    <w:p w:rsidR="0009227B" w:rsidRPr="005B36C3" w:rsidP="00E4391D" w14:paraId="4B610EC3" w14:textId="77777777">
      <w:pPr>
        <w:spacing w:after="0"/>
        <w:rPr>
          <w:rFonts w:cs="Arial"/>
          <w:szCs w:val="24"/>
          <w:u w:val="single"/>
        </w:rPr>
      </w:pPr>
    </w:p>
    <w:p w:rsidR="00E4391D" w:rsidRPr="00CD2BA7" w:rsidP="00E4391D" w14:paraId="5E75CB09" w14:textId="6126F8DE">
      <w:pPr>
        <w:spacing w:after="0"/>
        <w:rPr>
          <w:rFonts w:cs="Arial"/>
          <w:szCs w:val="24"/>
        </w:rPr>
      </w:pPr>
      <w:r w:rsidRPr="005B36C3">
        <w:rPr>
          <w:rFonts w:cs="Arial"/>
          <w:szCs w:val="24"/>
        </w:rPr>
        <w:t xml:space="preserve">Results = 7 (0) </w:t>
      </w:r>
      <w:r w:rsidRPr="005B36C3" w:rsidR="005339A5">
        <w:rPr>
          <w:rFonts w:cs="Arial"/>
          <w:szCs w:val="24"/>
        </w:rPr>
        <w:t>[</w:t>
      </w:r>
      <w:r w:rsidRPr="005B36C3" w:rsidR="001C693A">
        <w:rPr>
          <w:rFonts w:cs="Arial"/>
          <w:szCs w:val="24"/>
        </w:rPr>
        <w:t>0</w:t>
      </w:r>
      <w:r w:rsidRPr="005B36C3" w:rsidR="005339A5">
        <w:rPr>
          <w:rFonts w:cs="Arial"/>
          <w:szCs w:val="24"/>
        </w:rPr>
        <w:t>]</w:t>
      </w:r>
      <w:r w:rsidR="003D4B29">
        <w:rPr>
          <w:rFonts w:cs="Arial"/>
          <w:szCs w:val="24"/>
        </w:rPr>
        <w:t xml:space="preserve"> {21}</w:t>
      </w:r>
    </w:p>
    <w:p w:rsidR="00E4391D" w:rsidRPr="00CD2BA7" w:rsidP="00E4391D" w14:paraId="67FB0F8E" w14:textId="48DB4410">
      <w:pPr>
        <w:spacing w:after="0"/>
        <w:rPr>
          <w:rFonts w:cs="Arial"/>
          <w:szCs w:val="24"/>
        </w:rPr>
      </w:pPr>
      <w:r w:rsidRPr="00CD2BA7">
        <w:rPr>
          <w:rFonts w:cs="Arial"/>
          <w:szCs w:val="24"/>
        </w:rPr>
        <w:t>(</w:t>
      </w:r>
      <w:r w:rsidR="003D4B29">
        <w:rPr>
          <w:rFonts w:cs="Arial"/>
          <w:szCs w:val="24"/>
        </w:rPr>
        <w:t>noft((</w:t>
      </w:r>
      <w:r w:rsidRPr="00CD2BA7">
        <w:rPr>
          <w:rFonts w:cs="Arial"/>
          <w:szCs w:val="24"/>
        </w:rPr>
        <w:t>"front of package nutrition label" OR "front of package nutrition labels" OR "front of pack nutrition label" OR "front of pack nutrition labels" OR "</w:t>
      </w:r>
      <w:r w:rsidR="00F638F1">
        <w:rPr>
          <w:rFonts w:cs="Arial"/>
          <w:szCs w:val="24"/>
        </w:rPr>
        <w:t>FOP</w:t>
      </w:r>
      <w:r w:rsidRPr="00CD2BA7">
        <w:rPr>
          <w:rFonts w:cs="Arial"/>
          <w:szCs w:val="24"/>
        </w:rPr>
        <w:t xml:space="preserve"> label" OR "</w:t>
      </w:r>
      <w:r w:rsidR="00F638F1">
        <w:rPr>
          <w:rFonts w:cs="Arial"/>
          <w:szCs w:val="24"/>
        </w:rPr>
        <w:t>FOP</w:t>
      </w:r>
      <w:r w:rsidRPr="00CD2BA7">
        <w:rPr>
          <w:rFonts w:cs="Arial"/>
          <w:szCs w:val="24"/>
        </w:rPr>
        <w:t xml:space="preserve"> labels" OR "front of package label" OR "front of package labels" OR "shelf-labeling" OR "shelf labeling" OR “shelf nutrition label” OR “shelf nutrition labels” ) AND ( consumer OR consumers OR “consumer behavior” OR “consumer behaviors” OR “consumer preference” OR “consumer preferences” OR “consumer satisfaction” OR "consumer response" OR "consumer responses" OR effective OR design OR designs OR nutrition OR producer OR producers OR retailer OR retailers</w:t>
      </w:r>
      <w:r w:rsidR="003D4B29">
        <w:rPr>
          <w:rFonts w:cs="Arial"/>
          <w:szCs w:val="24"/>
        </w:rPr>
        <w:t>))</w:t>
      </w:r>
      <w:r w:rsidRPr="00CD2BA7">
        <w:rPr>
          <w:rFonts w:cs="Arial"/>
          <w:szCs w:val="24"/>
        </w:rPr>
        <w:t>)</w:t>
      </w:r>
      <w:r w:rsidRPr="003D4B29" w:rsidR="003D4B29">
        <w:t xml:space="preserve"> </w:t>
      </w:r>
      <w:r w:rsidRPr="003D4B29" w:rsidR="003D4B29">
        <w:rPr>
          <w:rFonts w:cs="Arial"/>
          <w:b/>
          <w:szCs w:val="24"/>
        </w:rPr>
        <w:t>OR (noft(("Health Star" OR "Traffic Light*" OR "Reference Intakes" OR "Warning symbol" OR "Heart-check" OR "Healthier Choice Symbol" OR "</w:t>
      </w:r>
      <w:r w:rsidR="004B6E26">
        <w:rPr>
          <w:rFonts w:cs="Arial"/>
          <w:b/>
          <w:szCs w:val="24"/>
        </w:rPr>
        <w:t>Nutri-Score</w:t>
      </w:r>
      <w:r w:rsidRPr="003D4B29" w:rsidR="003D4B29">
        <w:rPr>
          <w:rFonts w:cs="Arial"/>
          <w:b/>
          <w:szCs w:val="24"/>
        </w:rPr>
        <w:t xml:space="preserve">" OR "Nutri score" OR </w:t>
      </w:r>
      <w:r w:rsidR="004B6E26">
        <w:rPr>
          <w:rFonts w:cs="Arial"/>
          <w:b/>
          <w:szCs w:val="24"/>
        </w:rPr>
        <w:t>Nutri-Score</w:t>
      </w:r>
      <w:r w:rsidRPr="003D4B29" w:rsidR="003D4B29">
        <w:rPr>
          <w:rFonts w:cs="Arial"/>
          <w:b/>
          <w:szCs w:val="24"/>
        </w:rPr>
        <w:t xml:space="preserve"> OR NuVal) AND label* AND (consumer OR "consumer behavior" OR "consumer behaviors" OR "consumer preference" OR "consumer preferences" OR "consumer satisfaction" OR "consumer response" OR "consumer responses" OR effective OR design OR designs OR nutrition OR producer OR producers OR retailer OR retailers))) AND pd(2021-2022)</w:t>
      </w:r>
    </w:p>
    <w:p w:rsidR="00E4391D" w:rsidRPr="00CD2BA7" w:rsidP="00E4391D" w14:paraId="25909B05" w14:textId="77777777">
      <w:pPr>
        <w:spacing w:after="0"/>
        <w:rPr>
          <w:rFonts w:cs="Arial"/>
          <w:szCs w:val="24"/>
        </w:rPr>
      </w:pPr>
    </w:p>
    <w:p w:rsidR="00E4391D" w:rsidP="00E4391D" w14:paraId="3797DFE4" w14:textId="49DACF99">
      <w:pPr>
        <w:spacing w:after="0"/>
        <w:rPr>
          <w:rFonts w:cs="Arial"/>
          <w:szCs w:val="24"/>
          <w:u w:val="single"/>
        </w:rPr>
      </w:pPr>
      <w:r w:rsidRPr="005B36C3">
        <w:rPr>
          <w:rFonts w:cs="Arial"/>
          <w:szCs w:val="24"/>
          <w:u w:val="single"/>
        </w:rPr>
        <w:t>Business Source Complete</w:t>
      </w:r>
    </w:p>
    <w:p w:rsidR="0009227B" w:rsidRPr="005B36C3" w:rsidP="00E4391D" w14:paraId="6A5B0270" w14:textId="77777777">
      <w:pPr>
        <w:spacing w:after="0"/>
        <w:rPr>
          <w:rFonts w:cs="Arial"/>
          <w:szCs w:val="24"/>
          <w:u w:val="single"/>
        </w:rPr>
      </w:pPr>
    </w:p>
    <w:p w:rsidR="0020000D" w:rsidP="00E4391D" w14:paraId="5959239C" w14:textId="610F223A">
      <w:pPr>
        <w:spacing w:after="0"/>
        <w:rPr>
          <w:rFonts w:cs="Arial"/>
          <w:szCs w:val="24"/>
        </w:rPr>
      </w:pPr>
      <w:r w:rsidRPr="005B36C3">
        <w:rPr>
          <w:rFonts w:cs="Arial"/>
          <w:szCs w:val="24"/>
        </w:rPr>
        <w:t xml:space="preserve">Results = 8 (2) </w:t>
      </w:r>
      <w:r w:rsidRPr="005B36C3" w:rsidR="005339A5">
        <w:rPr>
          <w:rFonts w:cs="Arial"/>
          <w:szCs w:val="24"/>
        </w:rPr>
        <w:t>[</w:t>
      </w:r>
      <w:r w:rsidRPr="005B36C3" w:rsidR="001C693A">
        <w:rPr>
          <w:rFonts w:cs="Arial"/>
          <w:szCs w:val="24"/>
        </w:rPr>
        <w:t>0</w:t>
      </w:r>
      <w:r w:rsidRPr="005B36C3">
        <w:rPr>
          <w:rFonts w:cs="Arial"/>
          <w:szCs w:val="24"/>
        </w:rPr>
        <w:t>]</w:t>
      </w:r>
      <w:r w:rsidR="003D4B29">
        <w:rPr>
          <w:rFonts w:cs="Arial"/>
          <w:szCs w:val="24"/>
        </w:rPr>
        <w:t xml:space="preserve"> {32}</w:t>
      </w:r>
    </w:p>
    <w:p w:rsidR="00E4391D" w:rsidRPr="00CD2BA7" w:rsidP="00E4391D" w14:paraId="1A07DB93" w14:textId="05BC2FF4">
      <w:pPr>
        <w:spacing w:after="0"/>
        <w:rPr>
          <w:rFonts w:cs="Arial"/>
          <w:szCs w:val="24"/>
        </w:rPr>
      </w:pPr>
      <w:r w:rsidRPr="00CD2BA7">
        <w:rPr>
          <w:rFonts w:cs="Arial"/>
          <w:szCs w:val="24"/>
        </w:rPr>
        <w:t>(</w:t>
      </w:r>
      <w:r w:rsidR="003D4B29">
        <w:rPr>
          <w:rFonts w:cs="Arial"/>
          <w:szCs w:val="24"/>
        </w:rPr>
        <w:t>((</w:t>
      </w:r>
      <w:r w:rsidRPr="00CD2BA7">
        <w:rPr>
          <w:rFonts w:cs="Arial"/>
          <w:szCs w:val="24"/>
        </w:rPr>
        <w:t>"front of package nutrition label" OR "front of package nutrition labels" OR "front of pack nutrition label" OR "front of pack nutrition labels" OR "</w:t>
      </w:r>
      <w:r w:rsidR="00F638F1">
        <w:rPr>
          <w:rFonts w:cs="Arial"/>
          <w:szCs w:val="24"/>
        </w:rPr>
        <w:t>FOP</w:t>
      </w:r>
      <w:r w:rsidRPr="00CD2BA7">
        <w:rPr>
          <w:rFonts w:cs="Arial"/>
          <w:szCs w:val="24"/>
        </w:rPr>
        <w:t xml:space="preserve"> label" OR "</w:t>
      </w:r>
      <w:r w:rsidR="00F638F1">
        <w:rPr>
          <w:rFonts w:cs="Arial"/>
          <w:szCs w:val="24"/>
        </w:rPr>
        <w:t>FOP</w:t>
      </w:r>
      <w:r w:rsidRPr="00CD2BA7">
        <w:rPr>
          <w:rFonts w:cs="Arial"/>
          <w:szCs w:val="24"/>
        </w:rPr>
        <w:t xml:space="preserve"> labels" OR "front of package label" OR "front of package labels" OR "shelf-labeling" OR "shelf labeling" OR “shelf nutrition label” OR “shelf nutrition labels”) ) AND ( consumer OR consumers OR “consumer behavior” OR “consumer behaviors” OR “consumer preference” OR “consumer preferences” OR “consumer satisfaction” OR "consumer response" OR "consumer responses" OR effective OR design OR designs OR nutrition OR producer OR producers OR retailer OR retailers)</w:t>
      </w:r>
      <w:r w:rsidRPr="003D4B29" w:rsidR="003D4B29">
        <w:rPr>
          <w:b/>
        </w:rPr>
        <w:t xml:space="preserve"> </w:t>
      </w:r>
      <w:r w:rsidRPr="003D4B29" w:rsidR="003D4B29">
        <w:rPr>
          <w:rFonts w:cs="Arial"/>
          <w:b/>
          <w:szCs w:val="24"/>
        </w:rPr>
        <w:t>AND (Limiters - Published Date: 20210101-20221231: English language)) OR (("Health Star" OR "Traffic Light*" OR "Reference Intakes" OR "Warning symbol" OR "Heart-check" OR "Healthier Choice Symbol" OR "</w:t>
      </w:r>
      <w:r w:rsidR="004B6E26">
        <w:rPr>
          <w:rFonts w:cs="Arial"/>
          <w:b/>
          <w:szCs w:val="24"/>
        </w:rPr>
        <w:t>Nutri-Score</w:t>
      </w:r>
      <w:r w:rsidRPr="003D4B29" w:rsidR="003D4B29">
        <w:rPr>
          <w:rFonts w:cs="Arial"/>
          <w:b/>
          <w:szCs w:val="24"/>
        </w:rPr>
        <w:t xml:space="preserve">" OR "Nutri score" OR </w:t>
      </w:r>
      <w:r w:rsidR="004B6E26">
        <w:rPr>
          <w:rFonts w:cs="Arial"/>
          <w:b/>
          <w:szCs w:val="24"/>
        </w:rPr>
        <w:t>Nutri-Score</w:t>
      </w:r>
      <w:r w:rsidRPr="003D4B29" w:rsidR="003D4B29">
        <w:rPr>
          <w:rFonts w:cs="Arial"/>
          <w:b/>
          <w:szCs w:val="24"/>
        </w:rPr>
        <w:t xml:space="preserve"> OR NuVal) AND label* AND (consumer OR "consumer behavior" OR "consumer behaviors" OR "consumer preference" OR "consumer preferences" OR "consumer satisfaction" OR "consumer response" OR "consumer responses" OR effective OR design OR designs OR nutrition OR producer OR producers OR retailer OR retailers) AND (Limiters - Published Date: 20210101-20221231; English Language)))</w:t>
      </w:r>
    </w:p>
    <w:p w:rsidR="00E4391D" w:rsidRPr="00CD2BA7" w:rsidP="00E4391D" w14:paraId="3A7F5F29" w14:textId="77777777">
      <w:pPr>
        <w:spacing w:after="0"/>
        <w:rPr>
          <w:rFonts w:cs="Arial"/>
          <w:szCs w:val="24"/>
        </w:rPr>
      </w:pPr>
    </w:p>
    <w:p w:rsidR="00E4391D" w:rsidP="00E4391D" w14:paraId="437269AF" w14:textId="25586B3F">
      <w:pPr>
        <w:spacing w:after="0"/>
        <w:rPr>
          <w:rFonts w:cs="Arial"/>
          <w:szCs w:val="24"/>
          <w:u w:val="single"/>
        </w:rPr>
      </w:pPr>
      <w:r w:rsidRPr="00090406">
        <w:rPr>
          <w:rFonts w:cs="Arial"/>
          <w:szCs w:val="24"/>
          <w:u w:val="single"/>
        </w:rPr>
        <w:t>AGRICOLA (Dialog Proquest)</w:t>
      </w:r>
    </w:p>
    <w:p w:rsidR="0009227B" w:rsidRPr="00090406" w:rsidP="00E4391D" w14:paraId="4C171259" w14:textId="77777777">
      <w:pPr>
        <w:spacing w:after="0"/>
        <w:rPr>
          <w:rFonts w:cs="Arial"/>
          <w:szCs w:val="24"/>
          <w:u w:val="single"/>
        </w:rPr>
      </w:pPr>
    </w:p>
    <w:p w:rsidR="00E4391D" w:rsidRPr="00CD2BA7" w:rsidP="00E4391D" w14:paraId="174D247C" w14:textId="1F74D3DE">
      <w:pPr>
        <w:spacing w:after="0"/>
        <w:rPr>
          <w:rFonts w:cs="Arial"/>
          <w:szCs w:val="24"/>
        </w:rPr>
      </w:pPr>
      <w:r w:rsidRPr="00CD2BA7">
        <w:rPr>
          <w:rFonts w:cs="Arial"/>
          <w:szCs w:val="24"/>
        </w:rPr>
        <w:t>Results = 5</w:t>
      </w:r>
      <w:r>
        <w:rPr>
          <w:rFonts w:cs="Arial"/>
          <w:szCs w:val="24"/>
        </w:rPr>
        <w:t xml:space="preserve"> (1) </w:t>
      </w:r>
      <w:r w:rsidR="00F54EA7">
        <w:rPr>
          <w:rFonts w:cs="Arial"/>
          <w:szCs w:val="24"/>
        </w:rPr>
        <w:t>[0]</w:t>
      </w:r>
      <w:r w:rsidR="003D4B29">
        <w:rPr>
          <w:rFonts w:cs="Arial"/>
          <w:szCs w:val="24"/>
        </w:rPr>
        <w:t xml:space="preserve"> </w:t>
      </w:r>
      <w:r w:rsidR="0009227B">
        <w:rPr>
          <w:rFonts w:cs="Arial"/>
          <w:szCs w:val="24"/>
        </w:rPr>
        <w:t>{71}</w:t>
      </w:r>
    </w:p>
    <w:p w:rsidR="00E4391D" w:rsidRPr="00CD2BA7" w:rsidP="00E4391D" w14:paraId="057D6E96" w14:textId="4DB0BDFE">
      <w:pPr>
        <w:spacing w:after="0"/>
        <w:rPr>
          <w:rFonts w:cs="Arial"/>
          <w:szCs w:val="24"/>
        </w:rPr>
      </w:pPr>
      <w:r>
        <w:rPr>
          <w:rFonts w:cs="Arial"/>
          <w:szCs w:val="24"/>
        </w:rPr>
        <w:t>(</w:t>
      </w:r>
      <w:r w:rsidRPr="00CD2BA7">
        <w:rPr>
          <w:rFonts w:cs="Arial"/>
          <w:szCs w:val="24"/>
        </w:rPr>
        <w:t>(</w:t>
      </w:r>
      <w:r w:rsidR="0009227B">
        <w:rPr>
          <w:rFonts w:cs="Arial"/>
          <w:szCs w:val="24"/>
        </w:rPr>
        <w:t>ab,ti((</w:t>
      </w:r>
      <w:r w:rsidRPr="00CD2BA7">
        <w:rPr>
          <w:rFonts w:cs="Arial"/>
          <w:szCs w:val="24"/>
        </w:rPr>
        <w:t>"front of package nutrition label" OR "front of package nutrition labels" OR "front of pack nutrition label" OR "front of pack nutrition labels" OR "</w:t>
      </w:r>
      <w:r w:rsidR="00F638F1">
        <w:rPr>
          <w:rFonts w:cs="Arial"/>
          <w:szCs w:val="24"/>
        </w:rPr>
        <w:t>FOP</w:t>
      </w:r>
      <w:r w:rsidRPr="00CD2BA7">
        <w:rPr>
          <w:rFonts w:cs="Arial"/>
          <w:szCs w:val="24"/>
        </w:rPr>
        <w:t xml:space="preserve"> label" OR "</w:t>
      </w:r>
      <w:r w:rsidR="00F638F1">
        <w:rPr>
          <w:rFonts w:cs="Arial"/>
          <w:szCs w:val="24"/>
        </w:rPr>
        <w:t>FOP</w:t>
      </w:r>
      <w:r w:rsidRPr="00CD2BA7">
        <w:rPr>
          <w:rFonts w:cs="Arial"/>
          <w:szCs w:val="24"/>
        </w:rPr>
        <w:t xml:space="preserve"> labels" OR "front of package label" OR "front of package labels" OR "shelf-labeling" OR "shelf labeling" OR “shelf nutrition label” OR “shelf nutrition labels”) AND (consumer OR consumers OR “consumer behavior” OR “consumer behaviors” OR “consumer preference” OR “consumer preferences” OR “consumer satisfaction” OR </w:t>
      </w:r>
      <w:r w:rsidRPr="00CD2BA7">
        <w:rPr>
          <w:rFonts w:cs="Arial"/>
          <w:szCs w:val="24"/>
        </w:rPr>
        <w:t>"consumer response" OR "consumer responses" OR effective OR design OR designs OR nutrition OR producer OR producers OR retailer OR retailers)</w:t>
      </w:r>
      <w:r w:rsidR="0009227B">
        <w:rPr>
          <w:rFonts w:cs="Arial"/>
          <w:szCs w:val="24"/>
        </w:rPr>
        <w:t>)</w:t>
      </w:r>
      <w:r w:rsidRPr="0009227B" w:rsidR="0009227B">
        <w:rPr>
          <w:szCs w:val="24"/>
        </w:rPr>
        <w:t xml:space="preserve"> </w:t>
      </w:r>
      <w:r w:rsidRPr="0009227B" w:rsidR="0009227B">
        <w:rPr>
          <w:b/>
          <w:szCs w:val="24"/>
        </w:rPr>
        <w:t>AND (Limited by: Date: From 2021 to August 2022; Language:English)) OR (ab,ti(("Health Star" OR "Traffic Light*" OR "Reference Intakes" OR "Warning symbol" OR "Heart-check" OR "Healthier Choice Symbol" OR "</w:t>
      </w:r>
      <w:r w:rsidR="004B6E26">
        <w:rPr>
          <w:b/>
          <w:szCs w:val="24"/>
        </w:rPr>
        <w:t>Nutri-Score</w:t>
      </w:r>
      <w:r w:rsidRPr="0009227B" w:rsidR="0009227B">
        <w:rPr>
          <w:b/>
          <w:szCs w:val="24"/>
        </w:rPr>
        <w:t xml:space="preserve">" OR "Nutri score" OR </w:t>
      </w:r>
      <w:r w:rsidR="004B6E26">
        <w:rPr>
          <w:b/>
          <w:szCs w:val="24"/>
        </w:rPr>
        <w:t>Nutri-Score</w:t>
      </w:r>
      <w:r w:rsidRPr="0009227B" w:rsidR="0009227B">
        <w:rPr>
          <w:b/>
          <w:szCs w:val="24"/>
        </w:rPr>
        <w:t xml:space="preserve"> OR NuVal) AND label* AND (consumer OR "consumer behavior" OR "consumer behaviors" OR "consumer preference" OR "consumer preferences" OR "consumer satisfaction" OR "consumer response" OR "consumer responses" OR effective OR design OR designs OR nutrition OR producer OR producers OR retailer OR retailers) AND (Limited by: Date: From 2021 to August 2022; Language:English))) AND (all(label*))</w:t>
      </w:r>
    </w:p>
    <w:p w:rsidR="00E4391D" w:rsidRPr="00CD2BA7" w:rsidP="00E4391D" w14:paraId="3808132F" w14:textId="77777777">
      <w:pPr>
        <w:spacing w:after="0"/>
        <w:rPr>
          <w:rFonts w:cs="Arial"/>
          <w:szCs w:val="24"/>
        </w:rPr>
      </w:pPr>
    </w:p>
    <w:p w:rsidR="00E4391D" w:rsidP="00E4391D" w14:paraId="28D4CFBC" w14:textId="3524A454">
      <w:pPr>
        <w:spacing w:after="0"/>
        <w:rPr>
          <w:rFonts w:eastAsia="Times New Roman" w:cs="Arial"/>
          <w:color w:val="000000" w:themeColor="text1"/>
          <w:szCs w:val="24"/>
          <w:u w:val="single"/>
          <w:lang w:val="es-ES"/>
        </w:rPr>
      </w:pPr>
      <w:r w:rsidRPr="005B36C3">
        <w:rPr>
          <w:rFonts w:eastAsia="Times New Roman" w:cs="Arial"/>
          <w:color w:val="000000" w:themeColor="text1"/>
          <w:szCs w:val="24"/>
          <w:u w:val="single"/>
          <w:lang w:val="es-ES"/>
        </w:rPr>
        <w:t>Cab Abstracts (via ProQuest Dialog)</w:t>
      </w:r>
    </w:p>
    <w:p w:rsidR="0009227B" w:rsidRPr="005B36C3" w:rsidP="00E4391D" w14:paraId="59C10926" w14:textId="77777777">
      <w:pPr>
        <w:spacing w:after="0"/>
        <w:rPr>
          <w:rFonts w:eastAsia="Times New Roman" w:cs="Arial"/>
          <w:color w:val="000000" w:themeColor="text1"/>
          <w:szCs w:val="24"/>
          <w:u w:val="single"/>
          <w:lang w:val="es-ES"/>
        </w:rPr>
      </w:pPr>
    </w:p>
    <w:p w:rsidR="00E4391D" w:rsidRPr="00CD2BA7" w:rsidP="00E4391D" w14:paraId="07323B16" w14:textId="4403FAEC">
      <w:pPr>
        <w:spacing w:after="0"/>
        <w:rPr>
          <w:rFonts w:eastAsia="Times New Roman" w:cs="Arial"/>
          <w:color w:val="000000" w:themeColor="text1"/>
          <w:szCs w:val="24"/>
        </w:rPr>
      </w:pPr>
      <w:r w:rsidRPr="005B36C3">
        <w:rPr>
          <w:rFonts w:eastAsia="Times New Roman" w:cs="Arial"/>
          <w:color w:val="000000" w:themeColor="text1"/>
          <w:szCs w:val="24"/>
        </w:rPr>
        <w:t xml:space="preserve">Results = 14 (0) </w:t>
      </w:r>
      <w:r w:rsidRPr="005B36C3" w:rsidR="0020000D">
        <w:rPr>
          <w:rFonts w:eastAsia="Times New Roman" w:cs="Arial"/>
          <w:color w:val="000000" w:themeColor="text1"/>
          <w:szCs w:val="24"/>
        </w:rPr>
        <w:t>[</w:t>
      </w:r>
      <w:r w:rsidRPr="005B36C3" w:rsidR="001C693A">
        <w:rPr>
          <w:rFonts w:eastAsia="Times New Roman" w:cs="Arial"/>
          <w:color w:val="000000" w:themeColor="text1"/>
          <w:szCs w:val="24"/>
        </w:rPr>
        <w:t>0</w:t>
      </w:r>
      <w:r w:rsidRPr="005B36C3" w:rsidR="0020000D">
        <w:rPr>
          <w:rFonts w:eastAsia="Times New Roman" w:cs="Arial"/>
          <w:color w:val="000000" w:themeColor="text1"/>
          <w:szCs w:val="24"/>
        </w:rPr>
        <w:t>]</w:t>
      </w:r>
    </w:p>
    <w:p w:rsidR="00E4391D" w:rsidRPr="00CD2BA7" w:rsidP="00E4391D" w14:paraId="2D118207" w14:textId="4849F971">
      <w:pPr>
        <w:spacing w:after="0"/>
        <w:rPr>
          <w:rFonts w:cs="Arial"/>
          <w:szCs w:val="24"/>
        </w:rPr>
      </w:pPr>
      <w:r w:rsidRPr="00CD2BA7">
        <w:rPr>
          <w:rFonts w:cs="Arial"/>
          <w:szCs w:val="24"/>
        </w:rPr>
        <w:t>("front of package nutrition label" OR "front of package nutrition labels" OR "front of pack nutrition label" OR "front of pack nutrition labels" OR "</w:t>
      </w:r>
      <w:r w:rsidR="00F638F1">
        <w:rPr>
          <w:rFonts w:cs="Arial"/>
          <w:szCs w:val="24"/>
        </w:rPr>
        <w:t>FOP</w:t>
      </w:r>
      <w:r w:rsidRPr="00CD2BA7">
        <w:rPr>
          <w:rFonts w:cs="Arial"/>
          <w:szCs w:val="24"/>
        </w:rPr>
        <w:t xml:space="preserve"> label" OR "</w:t>
      </w:r>
      <w:r w:rsidR="00F638F1">
        <w:rPr>
          <w:rFonts w:cs="Arial"/>
          <w:szCs w:val="24"/>
        </w:rPr>
        <w:t>FOP</w:t>
      </w:r>
      <w:r w:rsidRPr="00CD2BA7">
        <w:rPr>
          <w:rFonts w:cs="Arial"/>
          <w:szCs w:val="24"/>
        </w:rPr>
        <w:t xml:space="preserve"> labels" OR "front of package label" OR "front of package labels" OR "shelf-labeling" OR "shelf labeling" OR “shelf nutrition label” OR “shelf nutrition labels”) AND (consumer OR consumers OR “consumer behavior” OR “consumer behaviors” OR “consumer preference” OR “consumer preferences” OR “consumer satisfaction” OR "consumer response" OR "consumer responses" OR effective OR design OR designs OR nutrition OR producer OR producers OR retailer OR retailers)</w:t>
      </w:r>
    </w:p>
    <w:p w:rsidR="00D7647E" w14:paraId="5D6C161D" w14:textId="354B59D7">
      <w:pPr>
        <w:rPr>
          <w:rFonts w:cs="Arial"/>
          <w:szCs w:val="24"/>
          <w:u w:val="single"/>
        </w:rPr>
      </w:pPr>
    </w:p>
    <w:p w:rsidR="0009227B" w:rsidP="00E4391D" w14:paraId="30AA91E2" w14:textId="77777777">
      <w:pPr>
        <w:spacing w:after="0"/>
        <w:rPr>
          <w:rFonts w:cs="Arial"/>
          <w:szCs w:val="24"/>
          <w:u w:val="single"/>
        </w:rPr>
      </w:pPr>
      <w:r w:rsidRPr="00940EE5">
        <w:rPr>
          <w:rFonts w:cs="Arial"/>
          <w:szCs w:val="24"/>
          <w:u w:val="single"/>
        </w:rPr>
        <w:t>AgEcon</w:t>
      </w:r>
      <w:r>
        <w:rPr>
          <w:rFonts w:cs="Arial"/>
          <w:szCs w:val="24"/>
          <w:u w:val="single"/>
        </w:rPr>
        <w:t xml:space="preserve"> </w:t>
      </w:r>
    </w:p>
    <w:p w:rsidR="00E4391D" w:rsidP="00E4391D" w14:paraId="4864D68E" w14:textId="5B79FA89">
      <w:pPr>
        <w:spacing w:after="0"/>
        <w:rPr>
          <w:rFonts w:cs="Arial"/>
          <w:szCs w:val="24"/>
          <w:u w:val="single"/>
        </w:rPr>
      </w:pPr>
      <w:r>
        <w:rPr>
          <w:rFonts w:cs="Arial"/>
          <w:szCs w:val="24"/>
          <w:u w:val="single"/>
        </w:rPr>
        <w:t xml:space="preserve">Results = </w:t>
      </w:r>
      <w:r>
        <w:rPr>
          <w:rFonts w:cs="Arial"/>
          <w:szCs w:val="24"/>
          <w:u w:val="single"/>
        </w:rPr>
        <w:t>18 (0)</w:t>
      </w:r>
      <w:r w:rsidR="005B36C3">
        <w:rPr>
          <w:rFonts w:cs="Arial"/>
          <w:szCs w:val="24"/>
          <w:u w:val="single"/>
        </w:rPr>
        <w:t xml:space="preserve"> [0]</w:t>
      </w:r>
      <w:r>
        <w:rPr>
          <w:rFonts w:cs="Arial"/>
          <w:szCs w:val="24"/>
          <w:u w:val="single"/>
        </w:rPr>
        <w:t xml:space="preserve"> {3}</w:t>
      </w:r>
    </w:p>
    <w:p w:rsidR="0009227B" w:rsidRPr="00940EE5" w:rsidP="00E4391D" w14:paraId="0B35BF88" w14:textId="77777777">
      <w:pPr>
        <w:spacing w:after="0"/>
        <w:rPr>
          <w:rFonts w:cs="Arial"/>
          <w:szCs w:val="24"/>
          <w:u w:val="single"/>
        </w:rPr>
      </w:pPr>
    </w:p>
    <w:p w:rsidR="00E4391D" w:rsidRPr="00CD2BA7" w:rsidP="00E4391D" w14:paraId="5F87E8DD" w14:textId="34DBFF94">
      <w:pPr>
        <w:spacing w:after="0"/>
        <w:rPr>
          <w:rFonts w:cs="Arial"/>
          <w:szCs w:val="24"/>
        </w:rPr>
      </w:pPr>
      <w:r w:rsidRPr="00CD2BA7">
        <w:rPr>
          <w:rFonts w:cs="Arial"/>
          <w:szCs w:val="24"/>
        </w:rPr>
        <w:t>Search filter = any field / (date added/modified 01/04/2016 to 31/12/2018)</w:t>
      </w:r>
    </w:p>
    <w:p w:rsidR="00E4391D" w:rsidRPr="00CD2BA7" w:rsidP="00E4391D" w14:paraId="7BFD59F9" w14:textId="16A04C10">
      <w:pPr>
        <w:spacing w:after="0"/>
        <w:rPr>
          <w:rFonts w:cs="Arial"/>
          <w:szCs w:val="24"/>
        </w:rPr>
      </w:pPr>
      <w:r w:rsidRPr="00CD2BA7">
        <w:rPr>
          <w:rFonts w:cs="Arial"/>
          <w:szCs w:val="24"/>
        </w:rPr>
        <w:t xml:space="preserve">Results total = 51 </w:t>
      </w:r>
      <w:r>
        <w:rPr>
          <w:rFonts w:cs="Arial"/>
          <w:szCs w:val="24"/>
        </w:rPr>
        <w:t xml:space="preserve">(0) </w:t>
      </w:r>
      <w:r w:rsidRPr="00CD2BA7">
        <w:rPr>
          <w:rFonts w:cs="Arial"/>
          <w:szCs w:val="24"/>
        </w:rPr>
        <w:t>removal of duplicates = 33</w:t>
      </w:r>
      <w:r w:rsidR="00F54EA7">
        <w:rPr>
          <w:rFonts w:cs="Arial"/>
          <w:szCs w:val="24"/>
        </w:rPr>
        <w:t>; [1]</w:t>
      </w:r>
    </w:p>
    <w:p w:rsidR="00E4391D" w:rsidRPr="00CD2BA7" w:rsidP="00E4391D" w14:paraId="417190AE" w14:textId="58B130CE">
      <w:pPr>
        <w:spacing w:after="0"/>
        <w:rPr>
          <w:rFonts w:cs="Arial"/>
          <w:szCs w:val="24"/>
        </w:rPr>
      </w:pPr>
      <w:r w:rsidRPr="00CD2BA7">
        <w:rPr>
          <w:rFonts w:cs="Arial"/>
          <w:szCs w:val="24"/>
        </w:rPr>
        <w:t>front of pack* nutrition label* = 15 (1=2016)</w:t>
      </w:r>
      <w:r w:rsidR="00F54EA7">
        <w:rPr>
          <w:rFonts w:cs="Arial"/>
          <w:szCs w:val="24"/>
        </w:rPr>
        <w:t>; [1]</w:t>
      </w:r>
    </w:p>
    <w:p w:rsidR="00E4391D" w:rsidRPr="00CD2BA7" w:rsidP="00E4391D" w14:paraId="3CC83A5A" w14:textId="09772487">
      <w:pPr>
        <w:spacing w:after="0"/>
        <w:rPr>
          <w:rFonts w:cs="Arial"/>
          <w:szCs w:val="24"/>
        </w:rPr>
      </w:pPr>
      <w:r>
        <w:rPr>
          <w:rFonts w:cs="Arial"/>
          <w:szCs w:val="24"/>
        </w:rPr>
        <w:t>FOP</w:t>
      </w:r>
      <w:r w:rsidRPr="00CD2BA7">
        <w:rPr>
          <w:rFonts w:cs="Arial"/>
          <w:szCs w:val="24"/>
        </w:rPr>
        <w:t xml:space="preserve"> label* = 6 (none 2016-)</w:t>
      </w:r>
      <w:r w:rsidR="00F54EA7">
        <w:rPr>
          <w:rFonts w:cs="Arial"/>
          <w:szCs w:val="24"/>
        </w:rPr>
        <w:t xml:space="preserve"> [0]</w:t>
      </w:r>
    </w:p>
    <w:p w:rsidR="00E4391D" w:rsidRPr="00CD2BA7" w:rsidP="00E4391D" w14:paraId="6873720C" w14:textId="18B7B21A">
      <w:pPr>
        <w:spacing w:after="0"/>
        <w:rPr>
          <w:rFonts w:cs="Arial"/>
          <w:szCs w:val="24"/>
        </w:rPr>
      </w:pPr>
      <w:r w:rsidRPr="00CD2BA7">
        <w:rPr>
          <w:rFonts w:cs="Arial"/>
          <w:szCs w:val="24"/>
        </w:rPr>
        <w:t>front of package label* = 8 (none 2016-)</w:t>
      </w:r>
      <w:r w:rsidR="00F54EA7">
        <w:rPr>
          <w:rFonts w:cs="Arial"/>
          <w:szCs w:val="24"/>
        </w:rPr>
        <w:t xml:space="preserve"> [1, duplicate]</w:t>
      </w:r>
    </w:p>
    <w:p w:rsidR="00E4391D" w:rsidRPr="00CD2BA7" w:rsidP="00E4391D" w14:paraId="2FEB3105" w14:textId="599CEE78">
      <w:pPr>
        <w:spacing w:after="0"/>
        <w:rPr>
          <w:rFonts w:cs="Arial"/>
          <w:szCs w:val="24"/>
        </w:rPr>
      </w:pPr>
      <w:r w:rsidRPr="00CD2BA7">
        <w:rPr>
          <w:rFonts w:cs="Arial"/>
          <w:szCs w:val="24"/>
        </w:rPr>
        <w:t>shelf labeling = 8 (only 1=2017)</w:t>
      </w:r>
      <w:r w:rsidR="00F54EA7">
        <w:rPr>
          <w:rFonts w:cs="Arial"/>
          <w:szCs w:val="24"/>
        </w:rPr>
        <w:t xml:space="preserve"> [0]</w:t>
      </w:r>
    </w:p>
    <w:p w:rsidR="00980F4D" w:rsidP="00343FAB" w14:paraId="6CC44D8D" w14:textId="5778A537">
      <w:pPr>
        <w:spacing w:after="0"/>
        <w:rPr>
          <w:rFonts w:cs="Arial"/>
          <w:szCs w:val="24"/>
        </w:rPr>
      </w:pPr>
      <w:r w:rsidRPr="00CD2BA7">
        <w:rPr>
          <w:rFonts w:cs="Arial"/>
          <w:szCs w:val="24"/>
        </w:rPr>
        <w:t>shelf nutrition label* = 14 (1=2016; 3=2017)</w:t>
      </w:r>
      <w:r w:rsidR="00343FAB">
        <w:rPr>
          <w:rFonts w:cs="Arial"/>
          <w:szCs w:val="24"/>
        </w:rPr>
        <w:t xml:space="preserve"> </w:t>
      </w:r>
      <w:r w:rsidR="00F54EA7">
        <w:rPr>
          <w:rFonts w:cs="Arial"/>
          <w:szCs w:val="24"/>
        </w:rPr>
        <w:t>[0]</w:t>
      </w:r>
    </w:p>
    <w:p w:rsidR="0009227B" w:rsidRPr="0009227B" w:rsidP="0009227B" w14:paraId="3AC7508E" w14:textId="77777777">
      <w:pPr>
        <w:pStyle w:val="ListParagraph"/>
        <w:numPr>
          <w:ilvl w:val="0"/>
          <w:numId w:val="96"/>
        </w:numPr>
        <w:rPr>
          <w:rFonts w:asciiTheme="minorHAnsi" w:hAnsiTheme="minorHAnsi"/>
          <w:b/>
          <w:sz w:val="22"/>
        </w:rPr>
      </w:pPr>
      <w:r w:rsidRPr="0009227B">
        <w:rPr>
          <w:rFonts w:asciiTheme="minorHAnsi" w:hAnsiTheme="minorHAnsi"/>
          <w:b/>
          <w:sz w:val="22"/>
        </w:rPr>
        <w:t>("front of package nutrition label" OR "front of package nutrition labels" OR "front of pack nutrition label" OR "front of pack nutrition labels" OR "FOP label" OR "FOP labels" OR "front of package label" OR "front of package labels" OR shelf-labeling OR "shelf labeling" OR "shelf nutrition label" OR "shelf nutrition labels") AND (consumer OR "consumer behavior" OR "consumer behaviors" OR "consumer preference" OR "consumer preferences" OR "consumer satisfaction" OR "consumer response" OR "consumer responses" OR effective OR design OR designs OR nutrition OR producer OR producers OR retailer OR retailers) AND year:2021-&gt;2022</w:t>
      </w:r>
    </w:p>
    <w:p w:rsidR="0009227B" w:rsidRPr="0009227B" w:rsidP="0009227B" w14:paraId="0B6A18A1" w14:textId="77777777">
      <w:pPr>
        <w:pStyle w:val="ListParagraph"/>
        <w:numPr>
          <w:ilvl w:val="0"/>
          <w:numId w:val="96"/>
        </w:numPr>
        <w:rPr>
          <w:rFonts w:asciiTheme="minorHAnsi" w:hAnsiTheme="minorHAnsi"/>
          <w:b/>
          <w:sz w:val="22"/>
        </w:rPr>
      </w:pPr>
      <w:r w:rsidRPr="0009227B">
        <w:rPr>
          <w:rFonts w:asciiTheme="minorHAnsi" w:hAnsiTheme="minorHAnsi"/>
          <w:b/>
          <w:sz w:val="22"/>
        </w:rPr>
        <w:t>"Health Star" AND year:2021-&gt;2022</w:t>
      </w:r>
    </w:p>
    <w:p w:rsidR="0009227B" w:rsidRPr="0009227B" w:rsidP="0009227B" w14:paraId="003F7F15" w14:textId="77777777">
      <w:pPr>
        <w:pStyle w:val="ListParagraph"/>
        <w:numPr>
          <w:ilvl w:val="0"/>
          <w:numId w:val="96"/>
        </w:numPr>
        <w:rPr>
          <w:rFonts w:asciiTheme="minorHAnsi" w:hAnsiTheme="minorHAnsi"/>
          <w:b/>
          <w:sz w:val="22"/>
        </w:rPr>
      </w:pPr>
      <w:r w:rsidRPr="0009227B">
        <w:rPr>
          <w:rFonts w:asciiTheme="minorHAnsi" w:hAnsiTheme="minorHAnsi"/>
          <w:b/>
          <w:sz w:val="22"/>
        </w:rPr>
        <w:t>"Traffic Light*" AND year:2021-&gt;2022</w:t>
      </w:r>
    </w:p>
    <w:p w:rsidR="0009227B" w:rsidRPr="0009227B" w:rsidP="0009227B" w14:paraId="1EFAEAA6" w14:textId="77777777">
      <w:pPr>
        <w:pStyle w:val="ListParagraph"/>
        <w:numPr>
          <w:ilvl w:val="0"/>
          <w:numId w:val="96"/>
        </w:numPr>
        <w:rPr>
          <w:rFonts w:asciiTheme="minorHAnsi" w:hAnsiTheme="minorHAnsi"/>
          <w:b/>
          <w:sz w:val="22"/>
        </w:rPr>
      </w:pPr>
      <w:r w:rsidRPr="0009227B">
        <w:rPr>
          <w:rFonts w:asciiTheme="minorHAnsi" w:hAnsiTheme="minorHAnsi"/>
          <w:b/>
          <w:sz w:val="22"/>
        </w:rPr>
        <w:t>"Reference Intakes" AND year:2021-&gt;2022</w:t>
      </w:r>
    </w:p>
    <w:p w:rsidR="0009227B" w:rsidRPr="0009227B" w:rsidP="0009227B" w14:paraId="1B08A79E" w14:textId="77777777">
      <w:pPr>
        <w:pStyle w:val="ListParagraph"/>
        <w:numPr>
          <w:ilvl w:val="0"/>
          <w:numId w:val="96"/>
        </w:numPr>
        <w:rPr>
          <w:rFonts w:asciiTheme="minorHAnsi" w:hAnsiTheme="minorHAnsi"/>
          <w:b/>
          <w:sz w:val="22"/>
        </w:rPr>
      </w:pPr>
      <w:r w:rsidRPr="0009227B">
        <w:rPr>
          <w:rFonts w:asciiTheme="minorHAnsi" w:hAnsiTheme="minorHAnsi"/>
          <w:b/>
          <w:sz w:val="22"/>
        </w:rPr>
        <w:t>"Warning symbol" AND year:2021-&gt;2022</w:t>
      </w:r>
    </w:p>
    <w:p w:rsidR="0009227B" w:rsidRPr="0009227B" w:rsidP="0009227B" w14:paraId="36131AF0" w14:textId="77777777">
      <w:pPr>
        <w:pStyle w:val="ListParagraph"/>
        <w:numPr>
          <w:ilvl w:val="0"/>
          <w:numId w:val="96"/>
        </w:numPr>
        <w:rPr>
          <w:rFonts w:asciiTheme="minorHAnsi" w:hAnsiTheme="minorHAnsi"/>
          <w:b/>
          <w:sz w:val="22"/>
        </w:rPr>
      </w:pPr>
      <w:r w:rsidRPr="0009227B">
        <w:rPr>
          <w:rFonts w:asciiTheme="minorHAnsi" w:hAnsiTheme="minorHAnsi"/>
          <w:b/>
          <w:sz w:val="22"/>
        </w:rPr>
        <w:t>“Heart-check” AND year:2021-&gt;2022</w:t>
      </w:r>
    </w:p>
    <w:p w:rsidR="0009227B" w:rsidRPr="0009227B" w:rsidP="0009227B" w14:paraId="15FD280E" w14:textId="77777777">
      <w:pPr>
        <w:pStyle w:val="ListParagraph"/>
        <w:numPr>
          <w:ilvl w:val="0"/>
          <w:numId w:val="96"/>
        </w:numPr>
        <w:rPr>
          <w:rFonts w:asciiTheme="minorHAnsi" w:hAnsiTheme="minorHAnsi"/>
          <w:b/>
          <w:sz w:val="22"/>
        </w:rPr>
      </w:pPr>
      <w:r w:rsidRPr="0009227B">
        <w:rPr>
          <w:rFonts w:asciiTheme="minorHAnsi" w:hAnsiTheme="minorHAnsi"/>
          <w:b/>
          <w:sz w:val="22"/>
        </w:rPr>
        <w:t>"Healthier Choice Symbol" AND year:2021-&gt;2022</w:t>
      </w:r>
    </w:p>
    <w:p w:rsidR="0009227B" w:rsidRPr="0009227B" w:rsidP="0009227B" w14:paraId="2BF663C6" w14:textId="107587F4">
      <w:pPr>
        <w:pStyle w:val="ListParagraph"/>
        <w:numPr>
          <w:ilvl w:val="0"/>
          <w:numId w:val="96"/>
        </w:numPr>
        <w:rPr>
          <w:rFonts w:asciiTheme="minorHAnsi" w:hAnsiTheme="minorHAnsi"/>
          <w:b/>
          <w:sz w:val="22"/>
        </w:rPr>
      </w:pPr>
      <w:r w:rsidRPr="0009227B">
        <w:rPr>
          <w:rFonts w:asciiTheme="minorHAnsi" w:hAnsiTheme="minorHAnsi"/>
          <w:b/>
          <w:sz w:val="22"/>
        </w:rPr>
        <w:t>“</w:t>
      </w:r>
      <w:r w:rsidR="004B6E26">
        <w:rPr>
          <w:rFonts w:asciiTheme="minorHAnsi" w:hAnsiTheme="minorHAnsi"/>
          <w:b/>
          <w:sz w:val="22"/>
        </w:rPr>
        <w:t>Nutri-Score</w:t>
      </w:r>
      <w:r w:rsidRPr="0009227B">
        <w:rPr>
          <w:rFonts w:asciiTheme="minorHAnsi" w:hAnsiTheme="minorHAnsi"/>
          <w:b/>
          <w:sz w:val="22"/>
        </w:rPr>
        <w:t>” AND year:2021-&gt;2022</w:t>
      </w:r>
    </w:p>
    <w:p w:rsidR="0009227B" w:rsidRPr="0009227B" w:rsidP="0009227B" w14:paraId="265E6FBC" w14:textId="77777777">
      <w:pPr>
        <w:pStyle w:val="ListParagraph"/>
        <w:numPr>
          <w:ilvl w:val="0"/>
          <w:numId w:val="96"/>
        </w:numPr>
        <w:rPr>
          <w:rFonts w:asciiTheme="minorHAnsi" w:hAnsiTheme="minorHAnsi"/>
          <w:b/>
          <w:sz w:val="22"/>
        </w:rPr>
      </w:pPr>
      <w:r w:rsidRPr="0009227B">
        <w:rPr>
          <w:rFonts w:asciiTheme="minorHAnsi" w:hAnsiTheme="minorHAnsi"/>
          <w:b/>
          <w:sz w:val="22"/>
        </w:rPr>
        <w:t>"Nutri score" AND year:2021-&gt;2022</w:t>
      </w:r>
    </w:p>
    <w:p w:rsidR="0009227B" w:rsidRPr="0009227B" w:rsidP="0009227B" w14:paraId="0FF139BF" w14:textId="07ED447B">
      <w:pPr>
        <w:pStyle w:val="ListParagraph"/>
        <w:numPr>
          <w:ilvl w:val="0"/>
          <w:numId w:val="96"/>
        </w:numPr>
        <w:rPr>
          <w:rFonts w:asciiTheme="minorHAnsi" w:hAnsiTheme="minorHAnsi"/>
          <w:b/>
          <w:sz w:val="22"/>
        </w:rPr>
      </w:pPr>
      <w:r>
        <w:rPr>
          <w:rFonts w:asciiTheme="minorHAnsi" w:hAnsiTheme="minorHAnsi"/>
          <w:b/>
          <w:sz w:val="22"/>
        </w:rPr>
        <w:t>Nutri-Score</w:t>
      </w:r>
      <w:r w:rsidRPr="0009227B">
        <w:rPr>
          <w:rFonts w:asciiTheme="minorHAnsi" w:hAnsiTheme="minorHAnsi"/>
          <w:b/>
          <w:sz w:val="22"/>
        </w:rPr>
        <w:t xml:space="preserve"> AND year:2021-&gt;2022</w:t>
      </w:r>
    </w:p>
    <w:p w:rsidR="0009227B" w:rsidRPr="0009227B" w:rsidP="0009227B" w14:paraId="3440FB93" w14:textId="77777777">
      <w:pPr>
        <w:pStyle w:val="ListParagraph"/>
        <w:numPr>
          <w:ilvl w:val="0"/>
          <w:numId w:val="96"/>
        </w:numPr>
        <w:rPr>
          <w:rFonts w:asciiTheme="minorHAnsi" w:hAnsiTheme="minorHAnsi"/>
          <w:b/>
          <w:sz w:val="22"/>
        </w:rPr>
      </w:pPr>
      <w:r w:rsidRPr="0009227B">
        <w:rPr>
          <w:rFonts w:asciiTheme="minorHAnsi" w:hAnsiTheme="minorHAnsi"/>
          <w:b/>
          <w:sz w:val="22"/>
        </w:rPr>
        <w:t>NuVal AND year:2021-&gt;2022</w:t>
      </w:r>
    </w:p>
    <w:p w:rsidR="0009227B" w:rsidP="00343FAB" w14:paraId="4A671DB9" w14:textId="77777777">
      <w:pPr>
        <w:spacing w:after="0"/>
        <w:rPr>
          <w:rFonts w:cs="Arial"/>
          <w:szCs w:val="24"/>
        </w:rPr>
      </w:pPr>
    </w:p>
    <w:p w:rsidR="00343FAB" w:rsidP="00343FAB" w14:paraId="41E01807" w14:textId="7DC50747">
      <w:pPr>
        <w:spacing w:after="0"/>
        <w:rPr>
          <w:rFonts w:cs="Arial"/>
          <w:b/>
          <w:bCs/>
          <w:szCs w:val="24"/>
          <w:u w:val="single"/>
        </w:rPr>
      </w:pPr>
      <w:r>
        <w:rPr>
          <w:rFonts w:cs="Arial"/>
          <w:b/>
          <w:bCs/>
          <w:szCs w:val="24"/>
          <w:u w:val="single"/>
        </w:rPr>
        <w:t>NTIS</w:t>
      </w:r>
    </w:p>
    <w:p w:rsidR="0009227B" w:rsidP="00343FAB" w14:paraId="0AB53957" w14:textId="310EFEFB">
      <w:pPr>
        <w:spacing w:after="0"/>
        <w:rPr>
          <w:rFonts w:cs="Arial"/>
          <w:b/>
          <w:bCs/>
          <w:szCs w:val="24"/>
          <w:u w:val="single"/>
        </w:rPr>
      </w:pPr>
      <w:r>
        <w:rPr>
          <w:rFonts w:cs="Arial"/>
          <w:b/>
          <w:bCs/>
          <w:szCs w:val="24"/>
          <w:u w:val="single"/>
        </w:rPr>
        <w:t xml:space="preserve">Results = </w:t>
      </w:r>
      <w:r>
        <w:rPr>
          <w:rFonts w:cs="Arial"/>
          <w:b/>
          <w:bCs/>
          <w:szCs w:val="24"/>
          <w:u w:val="single"/>
        </w:rPr>
        <w:t xml:space="preserve">   {</w:t>
      </w:r>
      <w:r>
        <w:rPr>
          <w:rFonts w:cs="Arial"/>
          <w:b/>
          <w:bCs/>
          <w:szCs w:val="24"/>
          <w:u w:val="single"/>
        </w:rPr>
        <w:t>0}</w:t>
      </w:r>
    </w:p>
    <w:p w:rsidR="0009227B" w:rsidP="00343FAB" w14:paraId="2758AE7D" w14:textId="2C14E2B3">
      <w:pPr>
        <w:spacing w:after="0"/>
        <w:rPr>
          <w:rFonts w:cs="Arial"/>
          <w:b/>
          <w:bCs/>
          <w:szCs w:val="24"/>
          <w:u w:val="single"/>
        </w:rPr>
      </w:pPr>
    </w:p>
    <w:p w:rsidR="0009227B" w:rsidRPr="00E6745B" w:rsidP="0009227B" w14:paraId="16791A3C" w14:textId="682CB63D">
      <w:r>
        <w:t>No search terms provided for Phase I, II or III. For Phase IV, e</w:t>
      </w:r>
      <w:r w:rsidRPr="000444F6">
        <w:t xml:space="preserve">ach labeling term </w:t>
      </w:r>
      <w:r>
        <w:t xml:space="preserve">listed below </w:t>
      </w:r>
      <w:r w:rsidRPr="000444F6">
        <w:t>was searched individually. The consumer terms were not used, so as not to limit the search results.</w:t>
      </w:r>
    </w:p>
    <w:p w:rsidR="0009227B" w:rsidRPr="00E6745B" w:rsidP="0009227B" w14:paraId="3EF02931" w14:textId="77777777">
      <w:pPr>
        <w:pStyle w:val="ListParagraph"/>
        <w:numPr>
          <w:ilvl w:val="0"/>
          <w:numId w:val="97"/>
        </w:numPr>
        <w:rPr>
          <w:rFonts w:asciiTheme="minorHAnsi" w:hAnsiTheme="minorHAnsi"/>
          <w:sz w:val="22"/>
        </w:rPr>
      </w:pPr>
      <w:r w:rsidRPr="00E6745B">
        <w:rPr>
          <w:rFonts w:asciiTheme="minorHAnsi" w:hAnsiTheme="minorHAnsi"/>
          <w:sz w:val="22"/>
        </w:rPr>
        <w:t>"</w:t>
      </w:r>
      <w:r w:rsidRPr="00E6745B">
        <w:rPr>
          <w:rFonts w:asciiTheme="minorHAnsi" w:hAnsiTheme="minorHAnsi"/>
          <w:sz w:val="22"/>
        </w:rPr>
        <w:t>front</w:t>
      </w:r>
      <w:r w:rsidRPr="00E6745B">
        <w:rPr>
          <w:rFonts w:asciiTheme="minorHAnsi" w:hAnsiTheme="minorHAnsi"/>
          <w:sz w:val="22"/>
        </w:rPr>
        <w:t xml:space="preserve"> of package nutrition label"</w:t>
      </w:r>
    </w:p>
    <w:p w:rsidR="0009227B" w:rsidRPr="00E6745B" w:rsidP="0009227B" w14:paraId="1E691BE3" w14:textId="77777777">
      <w:pPr>
        <w:pStyle w:val="ListParagraph"/>
        <w:numPr>
          <w:ilvl w:val="0"/>
          <w:numId w:val="97"/>
        </w:numPr>
        <w:rPr>
          <w:rFonts w:asciiTheme="minorHAnsi" w:hAnsiTheme="minorHAnsi"/>
          <w:sz w:val="22"/>
        </w:rPr>
      </w:pPr>
      <w:r w:rsidRPr="00E6745B">
        <w:rPr>
          <w:rFonts w:asciiTheme="minorHAnsi" w:hAnsiTheme="minorHAnsi"/>
          <w:sz w:val="22"/>
        </w:rPr>
        <w:t>"</w:t>
      </w:r>
      <w:r w:rsidRPr="00E6745B">
        <w:rPr>
          <w:rFonts w:asciiTheme="minorHAnsi" w:hAnsiTheme="minorHAnsi"/>
          <w:sz w:val="22"/>
        </w:rPr>
        <w:t>front</w:t>
      </w:r>
      <w:r w:rsidRPr="00E6745B">
        <w:rPr>
          <w:rFonts w:asciiTheme="minorHAnsi" w:hAnsiTheme="minorHAnsi"/>
          <w:sz w:val="22"/>
        </w:rPr>
        <w:t xml:space="preserve"> of package nutrition labels" </w:t>
      </w:r>
    </w:p>
    <w:p w:rsidR="0009227B" w:rsidRPr="00E6745B" w:rsidP="0009227B" w14:paraId="415F9A33" w14:textId="77777777">
      <w:pPr>
        <w:pStyle w:val="ListParagraph"/>
        <w:numPr>
          <w:ilvl w:val="0"/>
          <w:numId w:val="97"/>
        </w:numPr>
        <w:rPr>
          <w:rFonts w:asciiTheme="minorHAnsi" w:hAnsiTheme="minorHAnsi"/>
          <w:sz w:val="22"/>
        </w:rPr>
      </w:pPr>
      <w:r w:rsidRPr="00E6745B">
        <w:rPr>
          <w:rFonts w:asciiTheme="minorHAnsi" w:hAnsiTheme="minorHAnsi"/>
          <w:sz w:val="22"/>
        </w:rPr>
        <w:t>"</w:t>
      </w:r>
      <w:r w:rsidRPr="00E6745B">
        <w:rPr>
          <w:rFonts w:asciiTheme="minorHAnsi" w:hAnsiTheme="minorHAnsi"/>
          <w:sz w:val="22"/>
        </w:rPr>
        <w:t>front</w:t>
      </w:r>
      <w:r w:rsidRPr="00E6745B">
        <w:rPr>
          <w:rFonts w:asciiTheme="minorHAnsi" w:hAnsiTheme="minorHAnsi"/>
          <w:sz w:val="22"/>
        </w:rPr>
        <w:t xml:space="preserve"> of pack nutrition label" </w:t>
      </w:r>
    </w:p>
    <w:p w:rsidR="0009227B" w:rsidRPr="00E6745B" w:rsidP="0009227B" w14:paraId="0BAB5BFD" w14:textId="77777777">
      <w:pPr>
        <w:pStyle w:val="ListParagraph"/>
        <w:numPr>
          <w:ilvl w:val="0"/>
          <w:numId w:val="97"/>
        </w:numPr>
        <w:rPr>
          <w:rFonts w:asciiTheme="minorHAnsi" w:hAnsiTheme="minorHAnsi"/>
          <w:sz w:val="22"/>
        </w:rPr>
      </w:pPr>
      <w:r w:rsidRPr="00E6745B">
        <w:rPr>
          <w:rFonts w:asciiTheme="minorHAnsi" w:hAnsiTheme="minorHAnsi"/>
          <w:sz w:val="22"/>
        </w:rPr>
        <w:t>"</w:t>
      </w:r>
      <w:r w:rsidRPr="00E6745B">
        <w:rPr>
          <w:rFonts w:asciiTheme="minorHAnsi" w:hAnsiTheme="minorHAnsi"/>
          <w:sz w:val="22"/>
        </w:rPr>
        <w:t>front</w:t>
      </w:r>
      <w:r w:rsidRPr="00E6745B">
        <w:rPr>
          <w:rFonts w:asciiTheme="minorHAnsi" w:hAnsiTheme="minorHAnsi"/>
          <w:sz w:val="22"/>
        </w:rPr>
        <w:t xml:space="preserve"> of pack nutrition labels" </w:t>
      </w:r>
    </w:p>
    <w:p w:rsidR="0009227B" w:rsidRPr="00E6745B" w:rsidP="0009227B" w14:paraId="47F4BAFF" w14:textId="77777777">
      <w:pPr>
        <w:pStyle w:val="ListParagraph"/>
        <w:numPr>
          <w:ilvl w:val="0"/>
          <w:numId w:val="97"/>
        </w:numPr>
        <w:rPr>
          <w:rFonts w:asciiTheme="minorHAnsi" w:hAnsiTheme="minorHAnsi"/>
          <w:sz w:val="22"/>
        </w:rPr>
      </w:pPr>
      <w:r w:rsidRPr="00E6745B">
        <w:rPr>
          <w:rFonts w:asciiTheme="minorHAnsi" w:hAnsiTheme="minorHAnsi"/>
          <w:sz w:val="22"/>
        </w:rPr>
        <w:t xml:space="preserve">"FOP label" </w:t>
      </w:r>
    </w:p>
    <w:p w:rsidR="0009227B" w:rsidRPr="00E6745B" w:rsidP="0009227B" w14:paraId="12B6AA6C" w14:textId="77777777">
      <w:pPr>
        <w:pStyle w:val="ListParagraph"/>
        <w:numPr>
          <w:ilvl w:val="0"/>
          <w:numId w:val="97"/>
        </w:numPr>
        <w:rPr>
          <w:rFonts w:asciiTheme="minorHAnsi" w:hAnsiTheme="minorHAnsi"/>
          <w:sz w:val="22"/>
        </w:rPr>
      </w:pPr>
      <w:r w:rsidRPr="00E6745B">
        <w:rPr>
          <w:rFonts w:asciiTheme="minorHAnsi" w:hAnsiTheme="minorHAnsi"/>
          <w:sz w:val="22"/>
        </w:rPr>
        <w:t xml:space="preserve">"FOP labels" </w:t>
      </w:r>
    </w:p>
    <w:p w:rsidR="0009227B" w:rsidRPr="00E6745B" w:rsidP="0009227B" w14:paraId="04B4A64A" w14:textId="77777777">
      <w:pPr>
        <w:pStyle w:val="ListParagraph"/>
        <w:numPr>
          <w:ilvl w:val="0"/>
          <w:numId w:val="97"/>
        </w:numPr>
        <w:rPr>
          <w:rFonts w:asciiTheme="minorHAnsi" w:hAnsiTheme="minorHAnsi"/>
          <w:sz w:val="22"/>
        </w:rPr>
      </w:pPr>
      <w:r w:rsidRPr="00E6745B">
        <w:rPr>
          <w:rFonts w:asciiTheme="minorHAnsi" w:hAnsiTheme="minorHAnsi"/>
          <w:sz w:val="22"/>
        </w:rPr>
        <w:t>"</w:t>
      </w:r>
      <w:r w:rsidRPr="00E6745B">
        <w:rPr>
          <w:rFonts w:asciiTheme="minorHAnsi" w:hAnsiTheme="minorHAnsi"/>
          <w:sz w:val="22"/>
        </w:rPr>
        <w:t>front</w:t>
      </w:r>
      <w:r w:rsidRPr="00E6745B">
        <w:rPr>
          <w:rFonts w:asciiTheme="minorHAnsi" w:hAnsiTheme="minorHAnsi"/>
          <w:sz w:val="22"/>
        </w:rPr>
        <w:t xml:space="preserve"> of package label" </w:t>
      </w:r>
    </w:p>
    <w:p w:rsidR="0009227B" w:rsidRPr="00E6745B" w:rsidP="0009227B" w14:paraId="215C0913" w14:textId="77777777">
      <w:pPr>
        <w:pStyle w:val="ListParagraph"/>
        <w:numPr>
          <w:ilvl w:val="0"/>
          <w:numId w:val="97"/>
        </w:numPr>
        <w:rPr>
          <w:rFonts w:asciiTheme="minorHAnsi" w:hAnsiTheme="minorHAnsi"/>
          <w:sz w:val="22"/>
        </w:rPr>
      </w:pPr>
      <w:r w:rsidRPr="00E6745B">
        <w:rPr>
          <w:rFonts w:asciiTheme="minorHAnsi" w:hAnsiTheme="minorHAnsi"/>
          <w:sz w:val="22"/>
        </w:rPr>
        <w:t>"</w:t>
      </w:r>
      <w:r w:rsidRPr="00E6745B">
        <w:rPr>
          <w:rFonts w:asciiTheme="minorHAnsi" w:hAnsiTheme="minorHAnsi"/>
          <w:sz w:val="22"/>
        </w:rPr>
        <w:t>front</w:t>
      </w:r>
      <w:r w:rsidRPr="00E6745B">
        <w:rPr>
          <w:rFonts w:asciiTheme="minorHAnsi" w:hAnsiTheme="minorHAnsi"/>
          <w:sz w:val="22"/>
        </w:rPr>
        <w:t xml:space="preserve"> of package labels" </w:t>
      </w:r>
    </w:p>
    <w:p w:rsidR="0009227B" w:rsidRPr="00E6745B" w:rsidP="0009227B" w14:paraId="62D4ED79" w14:textId="77777777">
      <w:pPr>
        <w:pStyle w:val="ListParagraph"/>
        <w:numPr>
          <w:ilvl w:val="0"/>
          <w:numId w:val="97"/>
        </w:numPr>
        <w:rPr>
          <w:rFonts w:asciiTheme="minorHAnsi" w:hAnsiTheme="minorHAnsi"/>
          <w:sz w:val="22"/>
        </w:rPr>
      </w:pPr>
      <w:r w:rsidRPr="00E6745B">
        <w:rPr>
          <w:rFonts w:asciiTheme="minorHAnsi" w:hAnsiTheme="minorHAnsi"/>
          <w:sz w:val="22"/>
        </w:rPr>
        <w:t xml:space="preserve">shelf-labeling </w:t>
      </w:r>
    </w:p>
    <w:p w:rsidR="0009227B" w:rsidRPr="00E6745B" w:rsidP="0009227B" w14:paraId="1DA7376A" w14:textId="77777777">
      <w:pPr>
        <w:pStyle w:val="ListParagraph"/>
        <w:numPr>
          <w:ilvl w:val="0"/>
          <w:numId w:val="97"/>
        </w:numPr>
        <w:rPr>
          <w:rFonts w:asciiTheme="minorHAnsi" w:hAnsiTheme="minorHAnsi"/>
          <w:sz w:val="22"/>
        </w:rPr>
      </w:pPr>
      <w:r w:rsidRPr="00E6745B">
        <w:rPr>
          <w:rFonts w:asciiTheme="minorHAnsi" w:hAnsiTheme="minorHAnsi"/>
          <w:sz w:val="22"/>
        </w:rPr>
        <w:t>"</w:t>
      </w:r>
      <w:r w:rsidRPr="00E6745B">
        <w:rPr>
          <w:rFonts w:asciiTheme="minorHAnsi" w:hAnsiTheme="minorHAnsi"/>
          <w:sz w:val="22"/>
        </w:rPr>
        <w:t>shelf</w:t>
      </w:r>
      <w:r w:rsidRPr="00E6745B">
        <w:rPr>
          <w:rFonts w:asciiTheme="minorHAnsi" w:hAnsiTheme="minorHAnsi"/>
          <w:sz w:val="22"/>
        </w:rPr>
        <w:t xml:space="preserve"> labeling"</w:t>
      </w:r>
    </w:p>
    <w:p w:rsidR="0009227B" w:rsidRPr="00E6745B" w:rsidP="0009227B" w14:paraId="3305AC09" w14:textId="77777777">
      <w:pPr>
        <w:pStyle w:val="ListParagraph"/>
        <w:numPr>
          <w:ilvl w:val="0"/>
          <w:numId w:val="97"/>
        </w:numPr>
        <w:rPr>
          <w:rFonts w:asciiTheme="minorHAnsi" w:hAnsiTheme="minorHAnsi"/>
          <w:sz w:val="22"/>
        </w:rPr>
      </w:pPr>
      <w:r w:rsidRPr="00E6745B">
        <w:rPr>
          <w:rFonts w:asciiTheme="minorHAnsi" w:hAnsiTheme="minorHAnsi"/>
          <w:sz w:val="22"/>
        </w:rPr>
        <w:t>"</w:t>
      </w:r>
      <w:r w:rsidRPr="00E6745B">
        <w:rPr>
          <w:rFonts w:asciiTheme="minorHAnsi" w:hAnsiTheme="minorHAnsi"/>
          <w:sz w:val="22"/>
        </w:rPr>
        <w:t>shelf</w:t>
      </w:r>
      <w:r w:rsidRPr="00E6745B">
        <w:rPr>
          <w:rFonts w:asciiTheme="minorHAnsi" w:hAnsiTheme="minorHAnsi"/>
          <w:sz w:val="22"/>
        </w:rPr>
        <w:t xml:space="preserve"> nutrition label"</w:t>
      </w:r>
    </w:p>
    <w:p w:rsidR="0009227B" w:rsidRPr="00E6745B" w:rsidP="0009227B" w14:paraId="7BA59687" w14:textId="77777777">
      <w:pPr>
        <w:pStyle w:val="ListParagraph"/>
        <w:numPr>
          <w:ilvl w:val="0"/>
          <w:numId w:val="97"/>
        </w:numPr>
        <w:rPr>
          <w:rFonts w:asciiTheme="minorHAnsi" w:hAnsiTheme="minorHAnsi"/>
          <w:sz w:val="22"/>
        </w:rPr>
      </w:pPr>
      <w:r w:rsidRPr="00E6745B">
        <w:rPr>
          <w:rFonts w:asciiTheme="minorHAnsi" w:hAnsiTheme="minorHAnsi"/>
          <w:sz w:val="22"/>
        </w:rPr>
        <w:t>"</w:t>
      </w:r>
      <w:r w:rsidRPr="00E6745B">
        <w:rPr>
          <w:rFonts w:asciiTheme="minorHAnsi" w:hAnsiTheme="minorHAnsi"/>
          <w:sz w:val="22"/>
        </w:rPr>
        <w:t>shelf</w:t>
      </w:r>
      <w:r w:rsidRPr="00E6745B">
        <w:rPr>
          <w:rFonts w:asciiTheme="minorHAnsi" w:hAnsiTheme="minorHAnsi"/>
          <w:sz w:val="22"/>
        </w:rPr>
        <w:t xml:space="preserve"> nutrition labels"</w:t>
      </w:r>
    </w:p>
    <w:p w:rsidR="0009227B" w:rsidRPr="00E6745B" w:rsidP="0009227B" w14:paraId="1A8CC144" w14:textId="77777777">
      <w:pPr>
        <w:pStyle w:val="ListParagraph"/>
        <w:numPr>
          <w:ilvl w:val="0"/>
          <w:numId w:val="97"/>
        </w:numPr>
        <w:rPr>
          <w:rFonts w:asciiTheme="minorHAnsi" w:hAnsiTheme="minorHAnsi"/>
          <w:sz w:val="22"/>
        </w:rPr>
      </w:pPr>
      <w:r w:rsidRPr="00E6745B">
        <w:rPr>
          <w:rFonts w:asciiTheme="minorHAnsi" w:hAnsiTheme="minorHAnsi"/>
          <w:sz w:val="22"/>
        </w:rPr>
        <w:t>"Health Star"</w:t>
      </w:r>
    </w:p>
    <w:p w:rsidR="0009227B" w:rsidRPr="00E6745B" w:rsidP="0009227B" w14:paraId="24DF09DF" w14:textId="77777777">
      <w:pPr>
        <w:pStyle w:val="ListParagraph"/>
        <w:numPr>
          <w:ilvl w:val="0"/>
          <w:numId w:val="97"/>
        </w:numPr>
        <w:rPr>
          <w:rFonts w:asciiTheme="minorHAnsi" w:hAnsiTheme="minorHAnsi"/>
          <w:sz w:val="22"/>
        </w:rPr>
      </w:pPr>
      <w:r w:rsidRPr="00E6745B">
        <w:rPr>
          <w:rFonts w:asciiTheme="minorHAnsi" w:hAnsiTheme="minorHAnsi"/>
          <w:sz w:val="22"/>
        </w:rPr>
        <w:t xml:space="preserve">"Traffic Light*" </w:t>
      </w:r>
    </w:p>
    <w:p w:rsidR="0009227B" w:rsidRPr="00E6745B" w:rsidP="0009227B" w14:paraId="1B8A8462" w14:textId="77777777">
      <w:pPr>
        <w:pStyle w:val="ListParagraph"/>
        <w:numPr>
          <w:ilvl w:val="0"/>
          <w:numId w:val="97"/>
        </w:numPr>
        <w:rPr>
          <w:rFonts w:asciiTheme="minorHAnsi" w:hAnsiTheme="minorHAnsi"/>
          <w:sz w:val="22"/>
        </w:rPr>
      </w:pPr>
      <w:r w:rsidRPr="00E6745B">
        <w:rPr>
          <w:rFonts w:asciiTheme="minorHAnsi" w:hAnsiTheme="minorHAnsi"/>
          <w:sz w:val="22"/>
        </w:rPr>
        <w:t xml:space="preserve">"Reference Intakes" </w:t>
      </w:r>
    </w:p>
    <w:p w:rsidR="0009227B" w:rsidRPr="00E6745B" w:rsidP="0009227B" w14:paraId="2C056B4F" w14:textId="77777777">
      <w:pPr>
        <w:pStyle w:val="ListParagraph"/>
        <w:numPr>
          <w:ilvl w:val="0"/>
          <w:numId w:val="97"/>
        </w:numPr>
        <w:rPr>
          <w:rFonts w:asciiTheme="minorHAnsi" w:hAnsiTheme="minorHAnsi"/>
          <w:sz w:val="22"/>
        </w:rPr>
      </w:pPr>
      <w:r w:rsidRPr="00E6745B">
        <w:rPr>
          <w:rFonts w:asciiTheme="minorHAnsi" w:hAnsiTheme="minorHAnsi"/>
          <w:sz w:val="22"/>
        </w:rPr>
        <w:t>"Warning symbol"</w:t>
      </w:r>
    </w:p>
    <w:p w:rsidR="0009227B" w:rsidRPr="00E6745B" w:rsidP="0009227B" w14:paraId="66F28904" w14:textId="77777777">
      <w:pPr>
        <w:pStyle w:val="ListParagraph"/>
        <w:numPr>
          <w:ilvl w:val="0"/>
          <w:numId w:val="97"/>
        </w:numPr>
        <w:rPr>
          <w:rFonts w:asciiTheme="minorHAnsi" w:hAnsiTheme="minorHAnsi"/>
          <w:sz w:val="22"/>
        </w:rPr>
      </w:pPr>
      <w:r w:rsidRPr="00E6745B">
        <w:rPr>
          <w:rFonts w:asciiTheme="minorHAnsi" w:hAnsiTheme="minorHAnsi"/>
          <w:sz w:val="22"/>
        </w:rPr>
        <w:t>“Heart-check”</w:t>
      </w:r>
    </w:p>
    <w:p w:rsidR="0009227B" w:rsidRPr="00E6745B" w:rsidP="0009227B" w14:paraId="017F5E0F" w14:textId="77777777">
      <w:pPr>
        <w:pStyle w:val="ListParagraph"/>
        <w:numPr>
          <w:ilvl w:val="0"/>
          <w:numId w:val="97"/>
        </w:numPr>
        <w:rPr>
          <w:rFonts w:asciiTheme="minorHAnsi" w:hAnsiTheme="minorHAnsi"/>
          <w:sz w:val="22"/>
        </w:rPr>
      </w:pPr>
      <w:r w:rsidRPr="00E6745B">
        <w:rPr>
          <w:rFonts w:asciiTheme="minorHAnsi" w:hAnsiTheme="minorHAnsi"/>
          <w:sz w:val="22"/>
        </w:rPr>
        <w:t xml:space="preserve">"Healthier Choice Symbol" </w:t>
      </w:r>
    </w:p>
    <w:p w:rsidR="0009227B" w:rsidRPr="00E6745B" w:rsidP="0009227B" w14:paraId="0E4825BE" w14:textId="3468D5F0">
      <w:pPr>
        <w:pStyle w:val="ListParagraph"/>
        <w:numPr>
          <w:ilvl w:val="0"/>
          <w:numId w:val="97"/>
        </w:numPr>
        <w:rPr>
          <w:rFonts w:asciiTheme="minorHAnsi" w:hAnsiTheme="minorHAnsi"/>
          <w:sz w:val="22"/>
        </w:rPr>
      </w:pPr>
      <w:r w:rsidRPr="00E6745B">
        <w:rPr>
          <w:rFonts w:asciiTheme="minorHAnsi" w:hAnsiTheme="minorHAnsi"/>
          <w:sz w:val="22"/>
        </w:rPr>
        <w:t>“</w:t>
      </w:r>
      <w:r w:rsidR="004B6E26">
        <w:rPr>
          <w:rFonts w:asciiTheme="minorHAnsi" w:hAnsiTheme="minorHAnsi"/>
          <w:sz w:val="22"/>
        </w:rPr>
        <w:t>Nutri-Score</w:t>
      </w:r>
      <w:r w:rsidRPr="00E6745B">
        <w:rPr>
          <w:rFonts w:asciiTheme="minorHAnsi" w:hAnsiTheme="minorHAnsi"/>
          <w:sz w:val="22"/>
        </w:rPr>
        <w:t>”</w:t>
      </w:r>
    </w:p>
    <w:p w:rsidR="0009227B" w:rsidRPr="00E6745B" w:rsidP="0009227B" w14:paraId="00DC97A9" w14:textId="77777777">
      <w:pPr>
        <w:pStyle w:val="ListParagraph"/>
        <w:numPr>
          <w:ilvl w:val="0"/>
          <w:numId w:val="97"/>
        </w:numPr>
        <w:rPr>
          <w:rFonts w:asciiTheme="minorHAnsi" w:hAnsiTheme="minorHAnsi"/>
          <w:sz w:val="22"/>
        </w:rPr>
      </w:pPr>
      <w:r w:rsidRPr="00E6745B">
        <w:rPr>
          <w:rFonts w:asciiTheme="minorHAnsi" w:hAnsiTheme="minorHAnsi"/>
          <w:sz w:val="22"/>
        </w:rPr>
        <w:t xml:space="preserve">"Nutri score" </w:t>
      </w:r>
    </w:p>
    <w:p w:rsidR="0009227B" w:rsidRPr="00E6745B" w:rsidP="0009227B" w14:paraId="29B2DEC3" w14:textId="34E414F5">
      <w:pPr>
        <w:pStyle w:val="ListParagraph"/>
        <w:numPr>
          <w:ilvl w:val="0"/>
          <w:numId w:val="97"/>
        </w:numPr>
        <w:rPr>
          <w:rFonts w:asciiTheme="minorHAnsi" w:hAnsiTheme="minorHAnsi"/>
          <w:sz w:val="22"/>
        </w:rPr>
      </w:pPr>
      <w:r>
        <w:rPr>
          <w:rFonts w:asciiTheme="minorHAnsi" w:hAnsiTheme="minorHAnsi"/>
          <w:sz w:val="22"/>
        </w:rPr>
        <w:t>Nutri-Score</w:t>
      </w:r>
      <w:r w:rsidRPr="00E6745B">
        <w:rPr>
          <w:rFonts w:asciiTheme="minorHAnsi" w:hAnsiTheme="minorHAnsi"/>
          <w:sz w:val="22"/>
        </w:rPr>
        <w:t xml:space="preserve"> </w:t>
      </w:r>
    </w:p>
    <w:p w:rsidR="0009227B" w:rsidRPr="00E6745B" w:rsidP="0009227B" w14:paraId="4E18AF0D" w14:textId="77777777">
      <w:pPr>
        <w:pStyle w:val="ListParagraph"/>
        <w:numPr>
          <w:ilvl w:val="0"/>
          <w:numId w:val="97"/>
        </w:numPr>
        <w:rPr>
          <w:rFonts w:asciiTheme="minorHAnsi" w:hAnsiTheme="minorHAnsi"/>
          <w:sz w:val="22"/>
        </w:rPr>
      </w:pPr>
      <w:r w:rsidRPr="00E6745B">
        <w:rPr>
          <w:rFonts w:asciiTheme="minorHAnsi" w:hAnsiTheme="minorHAnsi"/>
          <w:sz w:val="22"/>
        </w:rPr>
        <w:t>NuVal</w:t>
      </w:r>
    </w:p>
    <w:p w:rsidR="0009227B" w:rsidP="00343FAB" w14:paraId="3849B3E9" w14:textId="77777777">
      <w:pPr>
        <w:spacing w:after="0"/>
        <w:rPr>
          <w:rFonts w:cs="Arial"/>
          <w:b/>
          <w:bCs/>
          <w:szCs w:val="24"/>
          <w:u w:val="single"/>
        </w:rPr>
      </w:pPr>
    </w:p>
    <w:p w:rsidR="0009227B" w14:paraId="51158FBC" w14:textId="77777777">
      <w:pPr>
        <w:rPr>
          <w:rFonts w:cs="Arial"/>
          <w:b/>
          <w:bCs/>
          <w:szCs w:val="24"/>
          <w:u w:val="single"/>
        </w:rPr>
      </w:pPr>
      <w:r>
        <w:rPr>
          <w:rFonts w:cs="Arial"/>
          <w:b/>
          <w:bCs/>
          <w:szCs w:val="24"/>
          <w:u w:val="single"/>
        </w:rPr>
        <w:br w:type="page"/>
      </w:r>
    </w:p>
    <w:p w:rsidR="00E4391D" w:rsidRPr="00377FFE" w:rsidP="0009227B" w14:paraId="4D069D7B" w14:textId="244A4A6A">
      <w:pPr>
        <w:keepNext/>
        <w:keepLines/>
        <w:spacing w:after="0"/>
        <w:rPr>
          <w:rFonts w:cs="Arial"/>
          <w:bCs/>
          <w:szCs w:val="24"/>
          <w:u w:val="single"/>
        </w:rPr>
      </w:pPr>
      <w:r>
        <w:rPr>
          <w:rFonts w:cs="Arial"/>
          <w:b/>
          <w:bCs/>
          <w:szCs w:val="24"/>
          <w:u w:val="single"/>
        </w:rPr>
        <w:t>Phase</w:t>
      </w:r>
      <w:r w:rsidRPr="001C6E29">
        <w:rPr>
          <w:rFonts w:cs="Arial"/>
          <w:b/>
          <w:bCs/>
          <w:szCs w:val="24"/>
          <w:u w:val="single"/>
        </w:rPr>
        <w:t xml:space="preserve"> I</w:t>
      </w:r>
      <w:r w:rsidRPr="00377FFE">
        <w:rPr>
          <w:rFonts w:cs="Arial"/>
          <w:bCs/>
          <w:szCs w:val="24"/>
          <w:u w:val="single"/>
        </w:rPr>
        <w:t xml:space="preserve"> </w:t>
      </w:r>
      <w:r>
        <w:rPr>
          <w:rFonts w:cs="Arial"/>
          <w:bCs/>
          <w:szCs w:val="24"/>
          <w:u w:val="single"/>
        </w:rPr>
        <w:t>(Search period: August 2016 – March 2018)</w:t>
      </w:r>
    </w:p>
    <w:p w:rsidR="00E4391D" w:rsidRPr="006A1E42" w:rsidP="0009227B" w14:paraId="11D468D4" w14:textId="75AD5672">
      <w:pPr>
        <w:keepNext/>
        <w:keepLines/>
        <w:spacing w:after="0"/>
        <w:rPr>
          <w:rFonts w:cs="Arial"/>
          <w:color w:val="000000" w:themeColor="text1"/>
          <w:szCs w:val="24"/>
        </w:rPr>
      </w:pPr>
      <w:r>
        <w:rPr>
          <w:rFonts w:cs="Arial"/>
          <w:bCs/>
          <w:szCs w:val="24"/>
        </w:rPr>
        <w:t>Overall, 168 articles were identified in the literature search; 44 duplicates were removed; 36 articles were removed because they were not related to the research topic; 39 additional articles were removed because, 1) upon closer examination they were not related to the research topic, 2) they were already reported in one of the previous literature reviews, or 3) they were duplicates of articles in the review;  five articles were removed at the final stage, after the in-depth</w:t>
      </w:r>
      <w:r w:rsidR="006D2975">
        <w:rPr>
          <w:rFonts w:cs="Arial"/>
          <w:bCs/>
          <w:szCs w:val="24"/>
        </w:rPr>
        <w:t xml:space="preserve"> </w:t>
      </w:r>
      <w:r>
        <w:rPr>
          <w:rFonts w:cs="Arial"/>
          <w:bCs/>
          <w:szCs w:val="24"/>
        </w:rPr>
        <w:t>review because they were determined by both researchers that they were not relevant to the research topic. 44 articles from this stage of search were included in this literature review summary.</w:t>
      </w:r>
    </w:p>
    <w:p w:rsidR="00E4391D" w:rsidP="0009227B" w14:paraId="1CC64B22" w14:textId="4AE12B58">
      <w:pPr>
        <w:keepNext/>
        <w:keepLines/>
        <w:spacing w:after="0"/>
        <w:rPr>
          <w:b/>
        </w:rPr>
      </w:pPr>
    </w:p>
    <w:p w:rsidR="00E4391D" w:rsidP="0009227B" w14:paraId="7E3D2114" w14:textId="77777777">
      <w:pPr>
        <w:keepNext/>
        <w:keepLines/>
        <w:spacing w:after="0"/>
        <w:rPr>
          <w:b/>
        </w:rPr>
      </w:pPr>
    </w:p>
    <w:p w:rsidR="00E4391D" w:rsidP="00E4391D" w14:paraId="0A2AF248" w14:textId="67419F1B">
      <w:pPr>
        <w:spacing w:after="0"/>
        <w:rPr>
          <w:b/>
        </w:rPr>
      </w:pPr>
      <w:r>
        <w:rPr>
          <w:noProof/>
          <w:lang w:eastAsia="en-US"/>
        </w:rPr>
        <w:drawing>
          <wp:inline distT="0" distB="0" distL="0" distR="0">
            <wp:extent cx="6096634"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6096634" cy="3429000"/>
                    </a:xfrm>
                    <a:prstGeom prst="rect">
                      <a:avLst/>
                    </a:prstGeom>
                  </pic:spPr>
                </pic:pic>
              </a:graphicData>
            </a:graphic>
          </wp:inline>
        </w:drawing>
      </w:r>
    </w:p>
    <w:p w:rsidR="00980F4D" w14:paraId="2C9D6AEE" w14:textId="77777777">
      <w:pPr>
        <w:rPr>
          <w:b/>
          <w:u w:val="single"/>
        </w:rPr>
      </w:pPr>
      <w:r>
        <w:rPr>
          <w:b/>
          <w:u w:val="single"/>
        </w:rPr>
        <w:br w:type="page"/>
      </w:r>
    </w:p>
    <w:p w:rsidR="00E4391D" w:rsidRPr="00910892" w:rsidP="00E4391D" w14:paraId="2E1BFDD6" w14:textId="77777777">
      <w:pPr>
        <w:spacing w:after="0"/>
        <w:rPr>
          <w:u w:val="single"/>
        </w:rPr>
      </w:pPr>
      <w:r w:rsidRPr="00910892">
        <w:rPr>
          <w:b/>
          <w:u w:val="single"/>
        </w:rPr>
        <w:t xml:space="preserve">Phase II </w:t>
      </w:r>
      <w:r w:rsidRPr="005039F5">
        <w:rPr>
          <w:bCs/>
          <w:u w:val="single"/>
        </w:rPr>
        <w:t>(</w:t>
      </w:r>
      <w:r w:rsidRPr="00910892">
        <w:rPr>
          <w:u w:val="single"/>
        </w:rPr>
        <w:t>Search period: April 2018 – October 2018)</w:t>
      </w:r>
    </w:p>
    <w:p w:rsidR="00E4391D" w:rsidRPr="001C6E29" w:rsidP="00E4391D" w14:paraId="02E5B843" w14:textId="77777777">
      <w:pPr>
        <w:spacing w:after="0"/>
      </w:pPr>
      <w:r>
        <w:rPr>
          <w:rFonts w:cs="Arial"/>
          <w:bCs/>
          <w:szCs w:val="24"/>
        </w:rPr>
        <w:t>Overall, 80 articles were identified in the literature search; 53 duplicates were removed; 20 articles were further removed because they were not related to the research topic. Seven articles from this stage of search were included in this literature review summary.</w:t>
      </w:r>
    </w:p>
    <w:p w:rsidR="00E4391D" w:rsidP="00E4391D" w14:paraId="41DA9AB0" w14:textId="162EE6F8">
      <w:pPr>
        <w:spacing w:after="0"/>
        <w:rPr>
          <w:b/>
        </w:rPr>
      </w:pPr>
    </w:p>
    <w:p w:rsidR="00E4391D" w:rsidP="00E4391D" w14:paraId="7A6D1C31" w14:textId="54FF7422">
      <w:pPr>
        <w:spacing w:after="0"/>
        <w:rPr>
          <w:b/>
        </w:rPr>
      </w:pPr>
      <w:r>
        <w:rPr>
          <w:b/>
          <w:noProof/>
          <w:lang w:eastAsia="en-US"/>
        </w:rPr>
        <w:drawing>
          <wp:inline distT="0" distB="0" distL="0" distR="0">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IT lit review flow chart_02282021.jpg"/>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2111D4" w:rsidRPr="00910892" w:rsidP="002111D4" w14:paraId="0557C3A6" w14:textId="476003BA">
      <w:pPr>
        <w:spacing w:after="0"/>
        <w:rPr>
          <w:u w:val="single"/>
        </w:rPr>
      </w:pPr>
      <w:r w:rsidRPr="002F2F82">
        <w:rPr>
          <w:b/>
          <w:u w:val="single"/>
        </w:rPr>
        <w:t xml:space="preserve">Phase III </w:t>
      </w:r>
      <w:r w:rsidRPr="002F2F82">
        <w:rPr>
          <w:bCs/>
          <w:u w:val="single"/>
        </w:rPr>
        <w:t>(</w:t>
      </w:r>
      <w:r w:rsidRPr="002F2F82">
        <w:rPr>
          <w:u w:val="single"/>
        </w:rPr>
        <w:t xml:space="preserve">Search period: </w:t>
      </w:r>
      <w:r w:rsidRPr="002F2F82" w:rsidR="000C0E9A">
        <w:rPr>
          <w:u w:val="single"/>
        </w:rPr>
        <w:t>November 2018 to August 2021</w:t>
      </w:r>
      <w:r w:rsidRPr="002F2F82">
        <w:rPr>
          <w:u w:val="single"/>
        </w:rPr>
        <w:t>)</w:t>
      </w:r>
    </w:p>
    <w:p w:rsidR="005F019F" w:rsidP="002111D4" w14:paraId="3932E0D4" w14:textId="2F26A2E5">
      <w:pPr>
        <w:spacing w:after="0"/>
        <w:rPr>
          <w:rFonts w:cs="Arial"/>
          <w:bCs/>
          <w:szCs w:val="24"/>
        </w:rPr>
      </w:pPr>
      <w:r>
        <w:rPr>
          <w:rFonts w:cs="Arial"/>
          <w:bCs/>
          <w:szCs w:val="24"/>
        </w:rPr>
        <w:t xml:space="preserve">Overall, </w:t>
      </w:r>
      <w:r w:rsidR="005A7E69">
        <w:rPr>
          <w:rFonts w:cs="Arial"/>
          <w:bCs/>
          <w:szCs w:val="24"/>
        </w:rPr>
        <w:t xml:space="preserve">187 </w:t>
      </w:r>
      <w:r>
        <w:rPr>
          <w:rFonts w:cs="Arial"/>
          <w:bCs/>
          <w:szCs w:val="24"/>
        </w:rPr>
        <w:t xml:space="preserve">articles were identified in the literature search; </w:t>
      </w:r>
      <w:r w:rsidR="005A7E69">
        <w:rPr>
          <w:rFonts w:cs="Arial"/>
          <w:bCs/>
          <w:szCs w:val="24"/>
        </w:rPr>
        <w:t>1</w:t>
      </w:r>
      <w:r w:rsidR="00D870EC">
        <w:rPr>
          <w:rFonts w:cs="Arial"/>
          <w:bCs/>
          <w:szCs w:val="24"/>
        </w:rPr>
        <w:t>2</w:t>
      </w:r>
      <w:r w:rsidR="005A7E69">
        <w:rPr>
          <w:rFonts w:cs="Arial"/>
          <w:bCs/>
          <w:szCs w:val="24"/>
        </w:rPr>
        <w:t xml:space="preserve"> </w:t>
      </w:r>
      <w:r>
        <w:rPr>
          <w:rFonts w:cs="Arial"/>
          <w:bCs/>
          <w:szCs w:val="24"/>
        </w:rPr>
        <w:t xml:space="preserve">duplicates were removed; </w:t>
      </w:r>
      <w:r w:rsidR="005A7E69">
        <w:rPr>
          <w:rFonts w:cs="Arial"/>
          <w:bCs/>
          <w:szCs w:val="24"/>
        </w:rPr>
        <w:t>66</w:t>
      </w:r>
      <w:r>
        <w:rPr>
          <w:rFonts w:cs="Arial"/>
          <w:bCs/>
          <w:szCs w:val="24"/>
        </w:rPr>
        <w:t xml:space="preserve"> articles were further removed because they were not related to the research topic. </w:t>
      </w:r>
      <w:r w:rsidR="00D870EC">
        <w:rPr>
          <w:rFonts w:cs="Arial"/>
          <w:bCs/>
          <w:szCs w:val="24"/>
        </w:rPr>
        <w:t xml:space="preserve">One article was removed </w:t>
      </w:r>
      <w:r w:rsidR="002F2F82">
        <w:rPr>
          <w:rFonts w:cs="Arial"/>
          <w:bCs/>
          <w:szCs w:val="24"/>
        </w:rPr>
        <w:t xml:space="preserve">because it was not published in English. One hundred and eight </w:t>
      </w:r>
      <w:r>
        <w:rPr>
          <w:rFonts w:cs="Arial"/>
          <w:bCs/>
          <w:szCs w:val="24"/>
        </w:rPr>
        <w:t>articles from this stage of search were included in this literature review summary.</w:t>
      </w:r>
      <w:r w:rsidR="00096169">
        <w:rPr>
          <w:rFonts w:cs="Arial"/>
          <w:bCs/>
          <w:szCs w:val="24"/>
        </w:rPr>
        <w:t xml:space="preserve"> </w:t>
      </w:r>
    </w:p>
    <w:p w:rsidR="005F019F" w:rsidP="002111D4" w14:paraId="61E133D7" w14:textId="66D063F7">
      <w:pPr>
        <w:spacing w:after="0"/>
        <w:rPr>
          <w:rFonts w:cs="Arial"/>
          <w:bCs/>
          <w:szCs w:val="24"/>
        </w:rPr>
      </w:pPr>
    </w:p>
    <w:p w:rsidR="002111D4" w:rsidP="002111D4" w14:paraId="1DA6AB46" w14:textId="4E6E5399">
      <w:pPr>
        <w:spacing w:after="0"/>
        <w:rPr>
          <w:b/>
        </w:rPr>
      </w:pPr>
      <w:r>
        <w:rPr>
          <w:b/>
          <w:noProof/>
          <w:lang w:eastAsia="en-US"/>
        </w:rPr>
        <w:drawing>
          <wp:inline distT="0" distB="0" distL="0" distR="0">
            <wp:extent cx="5847217" cy="2834540"/>
            <wp:effectExtent l="0" t="0" r="127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855154" cy="2838388"/>
                    </a:xfrm>
                    <a:prstGeom prst="rect">
                      <a:avLst/>
                    </a:prstGeom>
                    <a:noFill/>
                  </pic:spPr>
                </pic:pic>
              </a:graphicData>
            </a:graphic>
          </wp:inline>
        </w:drawing>
      </w:r>
    </w:p>
    <w:p w:rsidR="003C3EA9" w:rsidRPr="00910892" w:rsidP="003C3EA9" w14:paraId="454E75F6" w14:textId="4A3240F4">
      <w:pPr>
        <w:spacing w:after="0"/>
        <w:rPr>
          <w:u w:val="single"/>
        </w:rPr>
      </w:pPr>
      <w:r w:rsidRPr="002F2F82">
        <w:rPr>
          <w:b/>
          <w:u w:val="single"/>
        </w:rPr>
        <w:t xml:space="preserve">Phase </w:t>
      </w:r>
      <w:r>
        <w:rPr>
          <w:b/>
          <w:u w:val="single"/>
        </w:rPr>
        <w:t>IV</w:t>
      </w:r>
      <w:r w:rsidRPr="002F2F82">
        <w:rPr>
          <w:b/>
          <w:u w:val="single"/>
        </w:rPr>
        <w:t xml:space="preserve"> </w:t>
      </w:r>
      <w:r w:rsidRPr="002F2F82">
        <w:rPr>
          <w:bCs/>
          <w:u w:val="single"/>
        </w:rPr>
        <w:t>(</w:t>
      </w:r>
      <w:r w:rsidRPr="002F2F82">
        <w:rPr>
          <w:u w:val="single"/>
        </w:rPr>
        <w:t xml:space="preserve">Search period: </w:t>
      </w:r>
      <w:r>
        <w:rPr>
          <w:u w:val="single"/>
        </w:rPr>
        <w:t>January 2021</w:t>
      </w:r>
      <w:r w:rsidRPr="002F2F82">
        <w:rPr>
          <w:u w:val="single"/>
        </w:rPr>
        <w:t xml:space="preserve"> to August 202</w:t>
      </w:r>
      <w:r>
        <w:rPr>
          <w:u w:val="single"/>
        </w:rPr>
        <w:t>2</w:t>
      </w:r>
      <w:r w:rsidRPr="002F2F82">
        <w:rPr>
          <w:u w:val="single"/>
        </w:rPr>
        <w:t>)</w:t>
      </w:r>
    </w:p>
    <w:p w:rsidR="003C3EA9" w:rsidP="003C3EA9" w14:paraId="6E1033DC" w14:textId="550E3F29">
      <w:pPr>
        <w:spacing w:after="0"/>
        <w:rPr>
          <w:rFonts w:cs="Arial"/>
          <w:bCs/>
          <w:szCs w:val="24"/>
        </w:rPr>
      </w:pPr>
      <w:r>
        <w:rPr>
          <w:rFonts w:cs="Arial"/>
          <w:bCs/>
          <w:szCs w:val="24"/>
        </w:rPr>
        <w:t>Overall, 51</w:t>
      </w:r>
      <w:r w:rsidR="000444F6">
        <w:rPr>
          <w:rFonts w:cs="Arial"/>
          <w:bCs/>
          <w:szCs w:val="24"/>
        </w:rPr>
        <w:t>7</w:t>
      </w:r>
      <w:r>
        <w:rPr>
          <w:rFonts w:cs="Arial"/>
          <w:bCs/>
          <w:szCs w:val="24"/>
        </w:rPr>
        <w:t xml:space="preserve"> articles were identified in the literature search, to which </w:t>
      </w:r>
      <w:r w:rsidR="000444F6">
        <w:rPr>
          <w:rFonts w:cs="Arial"/>
          <w:bCs/>
          <w:szCs w:val="24"/>
        </w:rPr>
        <w:t>40</w:t>
      </w:r>
      <w:r>
        <w:rPr>
          <w:rFonts w:cs="Arial"/>
          <w:bCs/>
          <w:szCs w:val="24"/>
        </w:rPr>
        <w:t xml:space="preserve"> articles were added from FDA’s Web of Science updates, resulting in 55</w:t>
      </w:r>
      <w:r w:rsidR="000444F6">
        <w:rPr>
          <w:rFonts w:cs="Arial"/>
          <w:bCs/>
          <w:szCs w:val="24"/>
        </w:rPr>
        <w:t>7</w:t>
      </w:r>
      <w:r>
        <w:rPr>
          <w:rFonts w:cs="Arial"/>
          <w:bCs/>
          <w:szCs w:val="24"/>
        </w:rPr>
        <w:t xml:space="preserve"> articles. Of those, </w:t>
      </w:r>
      <w:r w:rsidR="000444F6">
        <w:rPr>
          <w:rFonts w:cs="Arial"/>
          <w:bCs/>
          <w:szCs w:val="24"/>
        </w:rPr>
        <w:t>46</w:t>
      </w:r>
      <w:r>
        <w:rPr>
          <w:rFonts w:cs="Arial"/>
          <w:bCs/>
          <w:szCs w:val="24"/>
        </w:rPr>
        <w:t xml:space="preserve"> articles included in Phase</w:t>
      </w:r>
      <w:r w:rsidR="000444F6">
        <w:rPr>
          <w:rFonts w:cs="Arial"/>
          <w:bCs/>
          <w:szCs w:val="24"/>
        </w:rPr>
        <w:t xml:space="preserve"> III were removed as well as 22</w:t>
      </w:r>
      <w:r w:rsidR="00A63893">
        <w:rPr>
          <w:rFonts w:cs="Arial"/>
          <w:bCs/>
          <w:szCs w:val="24"/>
        </w:rPr>
        <w:t>4</w:t>
      </w:r>
      <w:r>
        <w:rPr>
          <w:rFonts w:cs="Arial"/>
          <w:bCs/>
          <w:szCs w:val="24"/>
        </w:rPr>
        <w:t xml:space="preserve"> duplicates</w:t>
      </w:r>
      <w:r w:rsidR="00945837">
        <w:rPr>
          <w:rFonts w:cs="Arial"/>
          <w:bCs/>
          <w:szCs w:val="24"/>
        </w:rPr>
        <w:t xml:space="preserve"> and </w:t>
      </w:r>
      <w:r w:rsidR="00165F85">
        <w:rPr>
          <w:rFonts w:cs="Arial"/>
          <w:bCs/>
          <w:szCs w:val="24"/>
        </w:rPr>
        <w:t>15</w:t>
      </w:r>
      <w:r w:rsidR="00945837">
        <w:rPr>
          <w:rFonts w:cs="Arial"/>
          <w:bCs/>
          <w:szCs w:val="24"/>
        </w:rPr>
        <w:t xml:space="preserve"> citations for which no </w:t>
      </w:r>
      <w:r w:rsidR="00A63893">
        <w:rPr>
          <w:rFonts w:cs="Arial"/>
          <w:bCs/>
          <w:szCs w:val="24"/>
        </w:rPr>
        <w:t>publication</w:t>
      </w:r>
      <w:r w:rsidR="00945837">
        <w:rPr>
          <w:rFonts w:cs="Arial"/>
          <w:bCs/>
          <w:szCs w:val="24"/>
        </w:rPr>
        <w:t xml:space="preserve"> existed</w:t>
      </w:r>
      <w:r>
        <w:rPr>
          <w:rFonts w:cs="Arial"/>
          <w:bCs/>
          <w:szCs w:val="24"/>
        </w:rPr>
        <w:t xml:space="preserve">; </w:t>
      </w:r>
      <w:r w:rsidR="000444F6">
        <w:rPr>
          <w:rFonts w:cs="Arial"/>
          <w:bCs/>
          <w:szCs w:val="24"/>
        </w:rPr>
        <w:t>2</w:t>
      </w:r>
      <w:r w:rsidR="00A63893">
        <w:rPr>
          <w:rFonts w:cs="Arial"/>
          <w:bCs/>
          <w:szCs w:val="24"/>
        </w:rPr>
        <w:t>0</w:t>
      </w:r>
      <w:r w:rsidR="00165F85">
        <w:rPr>
          <w:rFonts w:cs="Arial"/>
          <w:bCs/>
          <w:szCs w:val="24"/>
        </w:rPr>
        <w:t>0</w:t>
      </w:r>
      <w:r>
        <w:rPr>
          <w:rFonts w:cs="Arial"/>
          <w:bCs/>
          <w:szCs w:val="24"/>
        </w:rPr>
        <w:t xml:space="preserve"> articles were further removed because they were not related to the research topic (1</w:t>
      </w:r>
      <w:r w:rsidR="00165F85">
        <w:rPr>
          <w:rFonts w:cs="Arial"/>
          <w:bCs/>
          <w:szCs w:val="24"/>
        </w:rPr>
        <w:t>78</w:t>
      </w:r>
      <w:r>
        <w:rPr>
          <w:rFonts w:cs="Arial"/>
          <w:bCs/>
          <w:szCs w:val="24"/>
        </w:rPr>
        <w:t xml:space="preserve"> removed based on title and abstract review; 2</w:t>
      </w:r>
      <w:r w:rsidR="00A63893">
        <w:rPr>
          <w:rFonts w:cs="Arial"/>
          <w:bCs/>
          <w:szCs w:val="24"/>
        </w:rPr>
        <w:t>2</w:t>
      </w:r>
      <w:r>
        <w:rPr>
          <w:rFonts w:cs="Arial"/>
          <w:bCs/>
          <w:szCs w:val="24"/>
        </w:rPr>
        <w:t xml:space="preserve"> removed following full text review). Seventy-</w:t>
      </w:r>
      <w:r w:rsidR="00945837">
        <w:rPr>
          <w:rFonts w:cs="Arial"/>
          <w:bCs/>
          <w:szCs w:val="24"/>
        </w:rPr>
        <w:t>two</w:t>
      </w:r>
      <w:r>
        <w:rPr>
          <w:rFonts w:cs="Arial"/>
          <w:bCs/>
          <w:szCs w:val="24"/>
        </w:rPr>
        <w:t xml:space="preserve"> articles from this stage of search were included in this literature review summary. </w:t>
      </w:r>
    </w:p>
    <w:p w:rsidR="0009227B" w:rsidP="000261F3" w14:paraId="6A23EBF8" w14:textId="3CEB327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5"/>
        <w:gridCol w:w="6835"/>
      </w:tblGrid>
      <w:tr w14:paraId="1234DF3E" w14:textId="77777777" w:rsidTr="0094583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28"/>
        </w:trPr>
        <w:tc>
          <w:tcPr>
            <w:tcW w:w="2515" w:type="dxa"/>
            <w:shd w:val="clear" w:color="auto" w:fill="FBE5D5" w:themeFill="accent2" w:themeFillTint="33"/>
            <w:vAlign w:val="center"/>
          </w:tcPr>
          <w:p w:rsidR="00AB07A0" w:rsidP="001C1AB8" w14:paraId="2B73CE13" w14:textId="0C3B5CAA">
            <w:pPr>
              <w:ind w:left="345"/>
            </w:pPr>
            <w:r w:rsidRPr="001C1AB8">
              <w:rPr>
                <w:b/>
              </w:rPr>
              <w:t>Identification</w:t>
            </w:r>
          </w:p>
        </w:tc>
        <w:bookmarkStart w:id="15" w:name="_Toc114093153"/>
        <w:bookmarkStart w:id="16" w:name="_Toc114093291"/>
        <w:tc>
          <w:tcPr>
            <w:tcW w:w="6835" w:type="dxa"/>
            <w:shd w:val="clear" w:color="auto" w:fill="FBE5D5" w:themeFill="accent2" w:themeFillTint="33"/>
          </w:tcPr>
          <w:p w:rsidR="00AB07A0" w:rsidP="000261F3" w14:paraId="14B5817A" w14:textId="11033CB8">
            <w:r>
              <w:rPr>
                <w:noProof/>
              </w:rPr>
              <mc:AlternateContent>
                <mc:Choice Requires="wps">
                  <w:drawing>
                    <wp:anchor distT="0" distB="0" distL="114300" distR="114300" simplePos="0" relativeHeight="251672576" behindDoc="0" locked="0" layoutInCell="1" allowOverlap="1">
                      <wp:simplePos x="0" y="0"/>
                      <wp:positionH relativeFrom="column">
                        <wp:posOffset>1339988</wp:posOffset>
                      </wp:positionH>
                      <wp:positionV relativeFrom="paragraph">
                        <wp:posOffset>572687</wp:posOffset>
                      </wp:positionV>
                      <wp:extent cx="164134" cy="572494"/>
                      <wp:effectExtent l="19050" t="0" r="26670" b="37465"/>
                      <wp:wrapNone/>
                      <wp:docPr id="36" name="Arrow: Down 36"/>
                      <wp:cNvGraphicFramePr/>
                      <a:graphic xmlns:a="http://schemas.openxmlformats.org/drawingml/2006/main">
                        <a:graphicData uri="http://schemas.microsoft.com/office/word/2010/wordprocessingShape">
                          <wps:wsp xmlns:wps="http://schemas.microsoft.com/office/word/2010/wordprocessingShape">
                            <wps:cNvSpPr/>
                            <wps:spPr>
                              <a:xfrm>
                                <a:off x="0" y="0"/>
                                <a:ext cx="164134" cy="572494"/>
                              </a:xfrm>
                              <a:prstGeom prst="downArrow">
                                <a:avLst/>
                              </a:prstGeom>
                              <a:ln>
                                <a:solidFill>
                                  <a:schemeClr val="accent2">
                                    <a:lumMod val="20000"/>
                                    <a:lumOff val="8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6" o:spid="_x0000_s1025" type="#_x0000_t67" style="width:12.9pt;height:45.1pt;margin-top:45.1pt;margin-left:105.5pt;mso-height-percent:0;mso-height-relative:margin;mso-width-percent:0;mso-width-relative:margin;mso-wrap-distance-bottom:0;mso-wrap-distance-left:9pt;mso-wrap-distance-right:9pt;mso-wrap-distance-top:0;mso-wrap-style:square;position:absolute;visibility:visible;v-text-anchor:middle;z-index:251673600" adj="18504" fillcolor="#ed7d31" strokecolor="#fbe4d5" strokeweight="1pt"/>
                  </w:pict>
                </mc:Fallback>
              </mc:AlternateContent>
            </w:r>
            <w:r w:rsidR="00681D9F">
              <w:rPr>
                <w:noProof/>
              </w:rPr>
              <mc:AlternateContent>
                <mc:Choice Requires="wps">
                  <w:drawing>
                    <wp:anchor distT="0" distB="0" distL="114300" distR="114300" simplePos="0" relativeHeight="251666432" behindDoc="0" locked="0" layoutInCell="1" allowOverlap="1">
                      <wp:simplePos x="0" y="0"/>
                      <wp:positionH relativeFrom="column">
                        <wp:posOffset>1920433</wp:posOffset>
                      </wp:positionH>
                      <wp:positionV relativeFrom="paragraph">
                        <wp:posOffset>612443</wp:posOffset>
                      </wp:positionV>
                      <wp:extent cx="2286000" cy="428873"/>
                      <wp:effectExtent l="0" t="0" r="19050" b="28575"/>
                      <wp:wrapNone/>
                      <wp:docPr id="30" name="Flowchart: Alternate Process 30"/>
                      <wp:cNvGraphicFramePr/>
                      <a:graphic xmlns:a="http://schemas.openxmlformats.org/drawingml/2006/main">
                        <a:graphicData uri="http://schemas.microsoft.com/office/word/2010/wordprocessingShape">
                          <wps:wsp xmlns:wps="http://schemas.microsoft.com/office/word/2010/wordprocessingShape">
                            <wps:cNvSpPr/>
                            <wps:spPr>
                              <a:xfrm>
                                <a:off x="0" y="0"/>
                                <a:ext cx="2286000" cy="428873"/>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94270" w:rsidRPr="001B3AFB" w:rsidP="00681D9F" w14:textId="1CB54F3E">
                                  <w:pPr>
                                    <w:spacing w:after="0"/>
                                    <w:jc w:val="center"/>
                                    <w:rPr>
                                      <w:sz w:val="12"/>
                                      <w:szCs w:val="12"/>
                                    </w:rPr>
                                  </w:pPr>
                                  <w:r>
                                    <w:rPr>
                                      <w:sz w:val="12"/>
                                      <w:szCs w:val="12"/>
                                    </w:rPr>
                                    <w:t>Duplicate articles removed based on (1) previous literature review and (2) initial title review (N=274); Citations without publication removed (N =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0" o:spid="_x0000_s1026" type="#_x0000_t176" style="width:180pt;height:33.75pt;margin-top:48.2pt;margin-left:151.2pt;mso-height-percent:0;mso-height-relative:margin;mso-width-percent:0;mso-width-relative:margin;mso-wrap-distance-bottom:0;mso-wrap-distance-left:9pt;mso-wrap-distance-right:9pt;mso-wrap-distance-top:0;mso-wrap-style:square;position:absolute;visibility:visible;v-text-anchor:middle;z-index:251667456" fillcolor="white" strokecolor="black" strokeweight="1pt">
                      <v:textbox>
                        <w:txbxContent>
                          <w:p w:rsidR="00094270" w:rsidRPr="001B3AFB" w:rsidP="00681D9F" w14:paraId="18D7454D" w14:textId="1CB54F3E">
                            <w:pPr>
                              <w:spacing w:after="0"/>
                              <w:jc w:val="center"/>
                              <w:rPr>
                                <w:sz w:val="12"/>
                                <w:szCs w:val="12"/>
                              </w:rPr>
                            </w:pPr>
                            <w:r>
                              <w:rPr>
                                <w:sz w:val="12"/>
                                <w:szCs w:val="12"/>
                              </w:rPr>
                              <w:t>Duplicate articles removed based on (1) previous literature review and (2) initial title review (N=274); Citations without publication removed (N = 15)</w:t>
                            </w:r>
                          </w:p>
                        </w:txbxContent>
                      </v:textbox>
                    </v:shape>
                  </w:pict>
                </mc:Fallback>
              </mc:AlternateContent>
            </w:r>
            <w:r w:rsidR="001B3AFB">
              <w:rPr>
                <w:noProof/>
              </w:rPr>
              <mc:AlternateContent>
                <mc:Choice Requires="wps">
                  <w:drawing>
                    <wp:anchor distT="0" distB="0" distL="114300" distR="114300" simplePos="0" relativeHeight="251658240" behindDoc="0" locked="0" layoutInCell="1" allowOverlap="1">
                      <wp:simplePos x="0" y="0"/>
                      <wp:positionH relativeFrom="column">
                        <wp:posOffset>-22448</wp:posOffset>
                      </wp:positionH>
                      <wp:positionV relativeFrom="paragraph">
                        <wp:posOffset>102235</wp:posOffset>
                      </wp:positionV>
                      <wp:extent cx="2770496" cy="433449"/>
                      <wp:effectExtent l="0" t="0" r="11430" b="24130"/>
                      <wp:wrapNone/>
                      <wp:docPr id="17" name="Flowchart: Alternate Process 17"/>
                      <wp:cNvGraphicFramePr/>
                      <a:graphic xmlns:a="http://schemas.openxmlformats.org/drawingml/2006/main">
                        <a:graphicData uri="http://schemas.microsoft.com/office/word/2010/wordprocessingShape">
                          <wps:wsp xmlns:wps="http://schemas.microsoft.com/office/word/2010/wordprocessingShape">
                            <wps:cNvSpPr/>
                            <wps:spPr>
                              <a:xfrm>
                                <a:off x="0" y="0"/>
                                <a:ext cx="2770496" cy="433449"/>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94270" w:rsidRPr="001B3AFB" w:rsidP="00681D9F" w14:textId="6573D693">
                                  <w:pPr>
                                    <w:spacing w:after="0"/>
                                    <w:jc w:val="center"/>
                                    <w:rPr>
                                      <w:sz w:val="12"/>
                                      <w:szCs w:val="12"/>
                                    </w:rPr>
                                  </w:pPr>
                                  <w:r w:rsidRPr="001B3AFB">
                                    <w:rPr>
                                      <w:sz w:val="12"/>
                                      <w:szCs w:val="12"/>
                                    </w:rPr>
                                    <w:t>Total number of articles identified through Phase IV search (January 2021 – August 2022) plus FDA Web of Science alerts</w:t>
                                  </w:r>
                                </w:p>
                                <w:p w:rsidR="00094270" w:rsidRPr="001B3AFB" w:rsidP="00681D9F" w14:textId="36D10DFB">
                                  <w:pPr>
                                    <w:spacing w:after="0"/>
                                    <w:jc w:val="center"/>
                                    <w:rPr>
                                      <w:sz w:val="12"/>
                                      <w:szCs w:val="12"/>
                                    </w:rPr>
                                  </w:pPr>
                                  <w:r>
                                    <w:rPr>
                                      <w:sz w:val="12"/>
                                      <w:szCs w:val="12"/>
                                    </w:rPr>
                                    <w:t xml:space="preserve">(N = </w:t>
                                  </w:r>
                                  <w:r w:rsidRPr="001B3AFB">
                                    <w:rPr>
                                      <w:sz w:val="12"/>
                                      <w:szCs w:val="12"/>
                                    </w:rPr>
                                    <w:t>55</w:t>
                                  </w:r>
                                  <w:r>
                                    <w:rPr>
                                      <w:sz w:val="12"/>
                                      <w:szCs w:val="1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Flowchart: Alternate Process 17" o:spid="_x0000_s1027" type="#_x0000_t176" style="width:218.15pt;height:34.15pt;margin-top:8.05pt;margin-left:-1.75pt;mso-height-percent:0;mso-height-relative:margin;mso-wrap-distance-bottom:0;mso-wrap-distance-left:9pt;mso-wrap-distance-right:9pt;mso-wrap-distance-top:0;mso-wrap-style:square;position:absolute;visibility:visible;v-text-anchor:middle;z-index:251659264" fillcolor="white" strokecolor="black" strokeweight="1pt">
                      <v:textbox>
                        <w:txbxContent>
                          <w:p w:rsidR="00094270" w:rsidRPr="001B3AFB" w:rsidP="00681D9F" w14:paraId="14720F46" w14:textId="6573D693">
                            <w:pPr>
                              <w:spacing w:after="0"/>
                              <w:jc w:val="center"/>
                              <w:rPr>
                                <w:sz w:val="12"/>
                                <w:szCs w:val="12"/>
                              </w:rPr>
                            </w:pPr>
                            <w:r w:rsidRPr="001B3AFB">
                              <w:rPr>
                                <w:sz w:val="12"/>
                                <w:szCs w:val="12"/>
                              </w:rPr>
                              <w:t>Total number of articles identified through Phase IV search (January 2021 – August 2022) plus FDA Web of Science alerts</w:t>
                            </w:r>
                          </w:p>
                          <w:p w:rsidR="00094270" w:rsidRPr="001B3AFB" w:rsidP="00681D9F" w14:paraId="27FBB2E0" w14:textId="36D10DFB">
                            <w:pPr>
                              <w:spacing w:after="0"/>
                              <w:jc w:val="center"/>
                              <w:rPr>
                                <w:sz w:val="12"/>
                                <w:szCs w:val="12"/>
                              </w:rPr>
                            </w:pPr>
                            <w:r>
                              <w:rPr>
                                <w:sz w:val="12"/>
                                <w:szCs w:val="12"/>
                              </w:rPr>
                              <w:t xml:space="preserve">(N = </w:t>
                            </w:r>
                            <w:r w:rsidRPr="001B3AFB">
                              <w:rPr>
                                <w:sz w:val="12"/>
                                <w:szCs w:val="12"/>
                              </w:rPr>
                              <w:t>55</w:t>
                            </w:r>
                            <w:r>
                              <w:rPr>
                                <w:sz w:val="12"/>
                                <w:szCs w:val="12"/>
                              </w:rPr>
                              <w:t>7)</w:t>
                            </w:r>
                          </w:p>
                        </w:txbxContent>
                      </v:textbox>
                    </v:shape>
                  </w:pict>
                </mc:Fallback>
              </mc:AlternateContent>
            </w:r>
            <w:bookmarkEnd w:id="15"/>
            <w:bookmarkEnd w:id="16"/>
            <w:r w:rsidR="00AB07A0">
              <w:tab/>
            </w:r>
          </w:p>
        </w:tc>
      </w:tr>
      <w:tr w14:paraId="565BC905" w14:textId="77777777" w:rsidTr="00681D9F">
        <w:tblPrEx>
          <w:tblW w:w="0" w:type="auto"/>
          <w:tblLook w:val="04A0"/>
        </w:tblPrEx>
        <w:trPr>
          <w:trHeight w:val="20"/>
        </w:trPr>
        <w:tc>
          <w:tcPr>
            <w:tcW w:w="2515" w:type="dxa"/>
          </w:tcPr>
          <w:p w:rsidR="00AB07A0" w:rsidRPr="000261F3" w:rsidP="000261F3" w14:paraId="116510AA" w14:textId="77777777">
            <w:pPr>
              <w:rPr>
                <w:sz w:val="12"/>
                <w:szCs w:val="12"/>
              </w:rPr>
            </w:pPr>
          </w:p>
        </w:tc>
        <w:tc>
          <w:tcPr>
            <w:tcW w:w="6835" w:type="dxa"/>
          </w:tcPr>
          <w:p w:rsidR="00AB07A0" w:rsidRPr="000261F3" w:rsidP="000261F3" w14:paraId="6D3CF3A4" w14:textId="77777777">
            <w:pPr>
              <w:rPr>
                <w:sz w:val="12"/>
                <w:szCs w:val="12"/>
              </w:rPr>
            </w:pPr>
          </w:p>
        </w:tc>
      </w:tr>
      <w:tr w14:paraId="4AA3553B" w14:textId="77777777" w:rsidTr="00681D9F">
        <w:tblPrEx>
          <w:tblW w:w="0" w:type="auto"/>
          <w:tblLook w:val="04A0"/>
        </w:tblPrEx>
        <w:trPr>
          <w:trHeight w:val="3024"/>
        </w:trPr>
        <w:tc>
          <w:tcPr>
            <w:tcW w:w="2515" w:type="dxa"/>
            <w:shd w:val="clear" w:color="auto" w:fill="FBE5D5" w:themeFill="accent2" w:themeFillTint="33"/>
            <w:vAlign w:val="center"/>
          </w:tcPr>
          <w:p w:rsidR="00AB07A0" w:rsidRPr="001C1AB8" w:rsidP="001C1AB8" w14:paraId="308DE9FF" w14:textId="77777777">
            <w:pPr>
              <w:ind w:left="345"/>
              <w:rPr>
                <w:b/>
              </w:rPr>
            </w:pPr>
            <w:r w:rsidRPr="001C1AB8">
              <w:rPr>
                <w:b/>
              </w:rPr>
              <w:t>Screening and</w:t>
            </w:r>
          </w:p>
          <w:p w:rsidR="00AB07A0" w:rsidRPr="00AB07A0" w:rsidP="001C1AB8" w14:paraId="1A3BBB21" w14:textId="1411E861">
            <w:pPr>
              <w:ind w:left="345"/>
              <w:rPr>
                <w:b/>
              </w:rPr>
            </w:pPr>
            <w:r w:rsidRPr="00AB07A0">
              <w:rPr>
                <w:b/>
              </w:rPr>
              <w:t>Eligibility</w:t>
            </w:r>
          </w:p>
        </w:tc>
        <w:tc>
          <w:tcPr>
            <w:tcW w:w="6835" w:type="dxa"/>
            <w:shd w:val="clear" w:color="auto" w:fill="FBE5D5" w:themeFill="accent2" w:themeFillTint="33"/>
          </w:tcPr>
          <w:p w:rsidR="00AB07A0" w:rsidP="000261F3" w14:paraId="0086B390" w14:textId="16BB1C5D">
            <w:bookmarkStart w:id="17" w:name="_Toc114093292"/>
            <w:r>
              <w:rPr>
                <w:noProof/>
              </w:rPr>
              <mc:AlternateContent>
                <mc:Choice Requires="wps">
                  <w:drawing>
                    <wp:anchor distT="0" distB="0" distL="114300" distR="114300" simplePos="0" relativeHeight="251670528" behindDoc="0" locked="0" layoutInCell="1" allowOverlap="1">
                      <wp:simplePos x="0" y="0"/>
                      <wp:positionH relativeFrom="column">
                        <wp:posOffset>1922780</wp:posOffset>
                      </wp:positionH>
                      <wp:positionV relativeFrom="paragraph">
                        <wp:posOffset>1527810</wp:posOffset>
                      </wp:positionV>
                      <wp:extent cx="2286000" cy="320040"/>
                      <wp:effectExtent l="0" t="0" r="19050" b="22860"/>
                      <wp:wrapNone/>
                      <wp:docPr id="34" name="Flowchart: Alternate Process 34"/>
                      <wp:cNvGraphicFramePr/>
                      <a:graphic xmlns:a="http://schemas.openxmlformats.org/drawingml/2006/main">
                        <a:graphicData uri="http://schemas.microsoft.com/office/word/2010/wordprocessingShape">
                          <wps:wsp xmlns:wps="http://schemas.microsoft.com/office/word/2010/wordprocessingShape">
                            <wps:cNvSpPr/>
                            <wps:spPr>
                              <a:xfrm>
                                <a:off x="0" y="0"/>
                                <a:ext cx="2286000" cy="32004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94270" w:rsidRPr="001B3AFB" w:rsidP="00681D9F" w14:textId="129ABD63">
                                  <w:pPr>
                                    <w:spacing w:after="0"/>
                                    <w:jc w:val="center"/>
                                    <w:rPr>
                                      <w:sz w:val="12"/>
                                      <w:szCs w:val="12"/>
                                    </w:rPr>
                                  </w:pPr>
                                  <w:r>
                                    <w:rPr>
                                      <w:sz w:val="12"/>
                                      <w:szCs w:val="12"/>
                                    </w:rPr>
                                    <w:t>Unrelated articles removed based full text scan (N=22)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Flowchart: Alternate Process 34" o:spid="_x0000_s1028" type="#_x0000_t176" style="width:180pt;height:25.2pt;margin-top:120.3pt;margin-left:151.4pt;mso-height-percent:0;mso-height-relative:margin;mso-width-percent:0;mso-width-relative:margin;mso-wrap-distance-bottom:0;mso-wrap-distance-left:9pt;mso-wrap-distance-right:9pt;mso-wrap-distance-top:0;mso-wrap-style:square;position:absolute;visibility:visible;v-text-anchor:middle;z-index:251671552" fillcolor="white" strokecolor="black" strokeweight="1pt">
                      <v:textbox>
                        <w:txbxContent>
                          <w:p w:rsidR="00094270" w:rsidRPr="001B3AFB" w:rsidP="00681D9F" w14:paraId="0B17A0E4" w14:textId="129ABD63">
                            <w:pPr>
                              <w:spacing w:after="0"/>
                              <w:jc w:val="center"/>
                              <w:rPr>
                                <w:sz w:val="12"/>
                                <w:szCs w:val="12"/>
                              </w:rPr>
                            </w:pPr>
                            <w:r>
                              <w:rPr>
                                <w:sz w:val="12"/>
                                <w:szCs w:val="12"/>
                              </w:rPr>
                              <w:t>Unrelated articles removed based full text scan (N=22)</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1922780</wp:posOffset>
                      </wp:positionH>
                      <wp:positionV relativeFrom="paragraph">
                        <wp:posOffset>506095</wp:posOffset>
                      </wp:positionV>
                      <wp:extent cx="2282825" cy="320040"/>
                      <wp:effectExtent l="0" t="0" r="22225" b="22860"/>
                      <wp:wrapNone/>
                      <wp:docPr id="32" name="Flowchart: Alternate Process 32"/>
                      <wp:cNvGraphicFramePr/>
                      <a:graphic xmlns:a="http://schemas.openxmlformats.org/drawingml/2006/main">
                        <a:graphicData uri="http://schemas.microsoft.com/office/word/2010/wordprocessingShape">
                          <wps:wsp xmlns:wps="http://schemas.microsoft.com/office/word/2010/wordprocessingShape">
                            <wps:cNvSpPr/>
                            <wps:spPr>
                              <a:xfrm>
                                <a:off x="0" y="0"/>
                                <a:ext cx="2282825" cy="32004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94270" w:rsidRPr="001B3AFB" w:rsidP="00681D9F" w14:textId="42D0C9F9">
                                  <w:pPr>
                                    <w:spacing w:after="0"/>
                                    <w:jc w:val="center"/>
                                    <w:rPr>
                                      <w:sz w:val="12"/>
                                      <w:szCs w:val="12"/>
                                    </w:rPr>
                                  </w:pPr>
                                  <w:r>
                                    <w:rPr>
                                      <w:sz w:val="12"/>
                                      <w:szCs w:val="12"/>
                                    </w:rPr>
                                    <w:t>Unrelated articles removed based on title and abstract review (N=178)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Flowchart: Alternate Process 32" o:spid="_x0000_s1029" type="#_x0000_t176" style="width:179.75pt;height:25.2pt;margin-top:39.85pt;margin-left:151.4pt;mso-height-percent:0;mso-height-relative:margin;mso-width-percent:0;mso-width-relative:margin;mso-wrap-distance-bottom:0;mso-wrap-distance-left:9pt;mso-wrap-distance-right:9pt;mso-wrap-distance-top:0;mso-wrap-style:square;position:absolute;visibility:visible;v-text-anchor:middle;z-index:251669504" fillcolor="white" strokecolor="black" strokeweight="1pt">
                      <v:textbox>
                        <w:txbxContent>
                          <w:p w:rsidR="00094270" w:rsidRPr="001B3AFB" w:rsidP="00681D9F" w14:paraId="6E30B5A7" w14:textId="42D0C9F9">
                            <w:pPr>
                              <w:spacing w:after="0"/>
                              <w:jc w:val="center"/>
                              <w:rPr>
                                <w:sz w:val="12"/>
                                <w:szCs w:val="12"/>
                              </w:rPr>
                            </w:pPr>
                            <w:r>
                              <w:rPr>
                                <w:sz w:val="12"/>
                                <w:szCs w:val="12"/>
                              </w:rPr>
                              <w:t>Unrelated articles removed based on title and abstract review (N=178)</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1341912</wp:posOffset>
                      </wp:positionH>
                      <wp:positionV relativeFrom="paragraph">
                        <wp:posOffset>1528520</wp:posOffset>
                      </wp:positionV>
                      <wp:extent cx="172192" cy="469075"/>
                      <wp:effectExtent l="19050" t="0" r="18415" b="45720"/>
                      <wp:wrapNone/>
                      <wp:docPr id="44" name="Arrow: Down 44"/>
                      <wp:cNvGraphicFramePr/>
                      <a:graphic xmlns:a="http://schemas.openxmlformats.org/drawingml/2006/main">
                        <a:graphicData uri="http://schemas.microsoft.com/office/word/2010/wordprocessingShape">
                          <wps:wsp xmlns:wps="http://schemas.microsoft.com/office/word/2010/wordprocessingShape">
                            <wps:cNvSpPr/>
                            <wps:spPr>
                              <a:xfrm>
                                <a:off x="0" y="0"/>
                                <a:ext cx="172192" cy="469075"/>
                              </a:xfrm>
                              <a:prstGeom prst="downArrow">
                                <a:avLst/>
                              </a:prstGeom>
                              <a:ln>
                                <a:solidFill>
                                  <a:schemeClr val="accent2">
                                    <a:lumMod val="20000"/>
                                    <a:lumOff val="8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Arrow: Down 44" o:spid="_x0000_s1030" type="#_x0000_t67" style="width:13.55pt;height:36.95pt;margin-top:120.35pt;margin-left:105.65pt;mso-width-percent:0;mso-width-relative:margin;mso-wrap-distance-bottom:0;mso-wrap-distance-left:9pt;mso-wrap-distance-right:9pt;mso-wrap-distance-top:0;mso-wrap-style:square;position:absolute;visibility:visible;v-text-anchor:middle;z-index:251677696" adj="17635" fillcolor="#ed7d31" strokecolor="#fbe4d5" strokeweight="1p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1341912</wp:posOffset>
                      </wp:positionH>
                      <wp:positionV relativeFrom="paragraph">
                        <wp:posOffset>507242</wp:posOffset>
                      </wp:positionV>
                      <wp:extent cx="172192" cy="469075"/>
                      <wp:effectExtent l="19050" t="0" r="18415" b="45720"/>
                      <wp:wrapNone/>
                      <wp:docPr id="42" name="Arrow: Down 42"/>
                      <wp:cNvGraphicFramePr/>
                      <a:graphic xmlns:a="http://schemas.openxmlformats.org/drawingml/2006/main">
                        <a:graphicData uri="http://schemas.microsoft.com/office/word/2010/wordprocessingShape">
                          <wps:wsp xmlns:wps="http://schemas.microsoft.com/office/word/2010/wordprocessingShape">
                            <wps:cNvSpPr/>
                            <wps:spPr>
                              <a:xfrm>
                                <a:off x="0" y="0"/>
                                <a:ext cx="172192" cy="469075"/>
                              </a:xfrm>
                              <a:prstGeom prst="downArrow">
                                <a:avLst/>
                              </a:prstGeom>
                              <a:ln>
                                <a:solidFill>
                                  <a:schemeClr val="accent2">
                                    <a:lumMod val="20000"/>
                                    <a:lumOff val="8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Arrow: Down 42" o:spid="_x0000_s1031" type="#_x0000_t67" style="width:13.55pt;height:36.95pt;margin-top:39.95pt;margin-left:105.65pt;mso-width-percent:0;mso-width-relative:margin;mso-wrap-distance-bottom:0;mso-wrap-distance-left:9pt;mso-wrap-distance-right:9pt;mso-wrap-distance-top:0;mso-wrap-style:square;position:absolute;visibility:visible;v-text-anchor:middle;z-index:251675648" adj="17635" fillcolor="#ed7d31" strokecolor="#fbe4d5" strokeweight="1pt"/>
                  </w:pict>
                </mc:Fallback>
              </mc:AlternateContent>
            </w:r>
            <w:r w:rsidR="001B3AFB">
              <w:rPr>
                <w:noProof/>
              </w:rPr>
              <mc:AlternateContent>
                <mc:Choice Requires="wps">
                  <w:drawing>
                    <wp:anchor distT="0" distB="0" distL="114300" distR="114300" simplePos="0" relativeHeight="251664384" behindDoc="0" locked="0" layoutInCell="1" allowOverlap="1">
                      <wp:simplePos x="0" y="0"/>
                      <wp:positionH relativeFrom="column">
                        <wp:posOffset>-43543</wp:posOffset>
                      </wp:positionH>
                      <wp:positionV relativeFrom="paragraph">
                        <wp:posOffset>1045589</wp:posOffset>
                      </wp:positionV>
                      <wp:extent cx="2770496" cy="433449"/>
                      <wp:effectExtent l="0" t="0" r="11430" b="24130"/>
                      <wp:wrapNone/>
                      <wp:docPr id="28" name="Flowchart: Alternate Process 28"/>
                      <wp:cNvGraphicFramePr/>
                      <a:graphic xmlns:a="http://schemas.openxmlformats.org/drawingml/2006/main">
                        <a:graphicData uri="http://schemas.microsoft.com/office/word/2010/wordprocessingShape">
                          <wps:wsp xmlns:wps="http://schemas.microsoft.com/office/word/2010/wordprocessingShape">
                            <wps:cNvSpPr/>
                            <wps:spPr>
                              <a:xfrm>
                                <a:off x="0" y="0"/>
                                <a:ext cx="2770496" cy="433449"/>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94270" w:rsidRPr="001B3AFB" w:rsidP="001B3AFB" w14:textId="3D99765E">
                                  <w:pPr>
                                    <w:spacing w:after="0"/>
                                    <w:jc w:val="center"/>
                                    <w:rPr>
                                      <w:sz w:val="12"/>
                                      <w:szCs w:val="12"/>
                                    </w:rPr>
                                  </w:pPr>
                                  <w:r>
                                    <w:rPr>
                                      <w:sz w:val="12"/>
                                      <w:szCs w:val="12"/>
                                    </w:rPr>
                                    <w:t>Articles included for full-text scan</w:t>
                                  </w:r>
                                </w:p>
                                <w:p w:rsidR="00094270" w:rsidRPr="001B3AFB" w:rsidP="00681D9F" w14:textId="37023635">
                                  <w:pPr>
                                    <w:spacing w:after="0"/>
                                    <w:jc w:val="center"/>
                                    <w:rPr>
                                      <w:sz w:val="12"/>
                                      <w:szCs w:val="12"/>
                                    </w:rPr>
                                  </w:pPr>
                                  <w:r>
                                    <w:rPr>
                                      <w:sz w:val="12"/>
                                      <w:szCs w:val="12"/>
                                    </w:rPr>
                                    <w:t>(N = 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Flowchart: Alternate Process 28" o:spid="_x0000_s1032" type="#_x0000_t176" style="width:218.15pt;height:34.15pt;margin-top:82.35pt;margin-left:-3.45pt;mso-height-percent:0;mso-height-relative:margin;mso-wrap-distance-bottom:0;mso-wrap-distance-left:9pt;mso-wrap-distance-right:9pt;mso-wrap-distance-top:0;mso-wrap-style:square;position:absolute;visibility:visible;v-text-anchor:middle;z-index:251665408" fillcolor="white" strokecolor="black" strokeweight="1pt">
                      <v:textbox>
                        <w:txbxContent>
                          <w:p w:rsidR="00094270" w:rsidRPr="001B3AFB" w:rsidP="001B3AFB" w14:paraId="71C22FE7" w14:textId="3D99765E">
                            <w:pPr>
                              <w:spacing w:after="0"/>
                              <w:jc w:val="center"/>
                              <w:rPr>
                                <w:sz w:val="12"/>
                                <w:szCs w:val="12"/>
                              </w:rPr>
                            </w:pPr>
                            <w:r>
                              <w:rPr>
                                <w:sz w:val="12"/>
                                <w:szCs w:val="12"/>
                              </w:rPr>
                              <w:t>Articles included for full-text scan</w:t>
                            </w:r>
                          </w:p>
                          <w:p w:rsidR="00094270" w:rsidRPr="001B3AFB" w:rsidP="00681D9F" w14:paraId="41B4AB0D" w14:textId="37023635">
                            <w:pPr>
                              <w:spacing w:after="0"/>
                              <w:jc w:val="center"/>
                              <w:rPr>
                                <w:sz w:val="12"/>
                                <w:szCs w:val="12"/>
                              </w:rPr>
                            </w:pPr>
                            <w:r>
                              <w:rPr>
                                <w:sz w:val="12"/>
                                <w:szCs w:val="12"/>
                              </w:rPr>
                              <w:t>(N = 94)</w:t>
                            </w:r>
                          </w:p>
                        </w:txbxContent>
                      </v:textbox>
                    </v:shape>
                  </w:pict>
                </mc:Fallback>
              </mc:AlternateContent>
            </w:r>
            <w:r w:rsidR="001B3AFB">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2770496" cy="433449"/>
                      <wp:effectExtent l="0" t="0" r="11430" b="24130"/>
                      <wp:wrapNone/>
                      <wp:docPr id="24" name="Flowchart: Alternate Process 24"/>
                      <wp:cNvGraphicFramePr/>
                      <a:graphic xmlns:a="http://schemas.openxmlformats.org/drawingml/2006/main">
                        <a:graphicData uri="http://schemas.microsoft.com/office/word/2010/wordprocessingShape">
                          <wps:wsp xmlns:wps="http://schemas.microsoft.com/office/word/2010/wordprocessingShape">
                            <wps:cNvSpPr/>
                            <wps:spPr>
                              <a:xfrm>
                                <a:off x="0" y="0"/>
                                <a:ext cx="2770496" cy="433449"/>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94270" w:rsidRPr="001B3AFB" w:rsidP="00681D9F" w14:textId="3111510B">
                                  <w:pPr>
                                    <w:spacing w:after="0"/>
                                    <w:jc w:val="center"/>
                                    <w:rPr>
                                      <w:sz w:val="12"/>
                                      <w:szCs w:val="12"/>
                                    </w:rPr>
                                  </w:pPr>
                                  <w:r>
                                    <w:rPr>
                                      <w:sz w:val="12"/>
                                      <w:szCs w:val="12"/>
                                    </w:rPr>
                                    <w:t>Articles included for abstract and title review</w:t>
                                  </w:r>
                                </w:p>
                                <w:p w:rsidR="00094270" w:rsidRPr="001B3AFB" w:rsidP="00681D9F" w14:textId="5912AF12">
                                  <w:pPr>
                                    <w:spacing w:after="0"/>
                                    <w:jc w:val="center"/>
                                    <w:rPr>
                                      <w:sz w:val="12"/>
                                      <w:szCs w:val="12"/>
                                    </w:rPr>
                                  </w:pPr>
                                  <w:r>
                                    <w:rPr>
                                      <w:sz w:val="12"/>
                                      <w:szCs w:val="12"/>
                                    </w:rPr>
                                    <w:t>(N = 272)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Flowchart: Alternate Process 24" o:spid="_x0000_s1033" type="#_x0000_t176" style="width:218.15pt;height:34.15pt;margin-top:0.2pt;margin-left:0;mso-height-percent:0;mso-height-relative:margin;mso-wrap-distance-bottom:0;mso-wrap-distance-left:9pt;mso-wrap-distance-right:9pt;mso-wrap-distance-top:0;mso-wrap-style:square;position:absolute;visibility:visible;v-text-anchor:middle;z-index:251661312" fillcolor="white" strokecolor="black" strokeweight="1pt">
                      <v:textbox>
                        <w:txbxContent>
                          <w:p w:rsidR="00094270" w:rsidRPr="001B3AFB" w:rsidP="00681D9F" w14:paraId="2233E852" w14:textId="3111510B">
                            <w:pPr>
                              <w:spacing w:after="0"/>
                              <w:jc w:val="center"/>
                              <w:rPr>
                                <w:sz w:val="12"/>
                                <w:szCs w:val="12"/>
                              </w:rPr>
                            </w:pPr>
                            <w:r>
                              <w:rPr>
                                <w:sz w:val="12"/>
                                <w:szCs w:val="12"/>
                              </w:rPr>
                              <w:t>Articles included for abstract and title review</w:t>
                            </w:r>
                          </w:p>
                          <w:p w:rsidR="00094270" w:rsidRPr="001B3AFB" w:rsidP="00681D9F" w14:paraId="3C6449E9" w14:textId="5912AF12">
                            <w:pPr>
                              <w:spacing w:after="0"/>
                              <w:jc w:val="center"/>
                              <w:rPr>
                                <w:sz w:val="12"/>
                                <w:szCs w:val="12"/>
                              </w:rPr>
                            </w:pPr>
                            <w:r>
                              <w:rPr>
                                <w:sz w:val="12"/>
                                <w:szCs w:val="12"/>
                              </w:rPr>
                              <w:t>(N = 272)</w:t>
                            </w:r>
                          </w:p>
                        </w:txbxContent>
                      </v:textbox>
                    </v:shape>
                  </w:pict>
                </mc:Fallback>
              </mc:AlternateContent>
            </w:r>
            <w:bookmarkEnd w:id="17"/>
          </w:p>
        </w:tc>
      </w:tr>
      <w:tr w14:paraId="66C45332" w14:textId="77777777" w:rsidTr="00681D9F">
        <w:tblPrEx>
          <w:tblW w:w="0" w:type="auto"/>
          <w:tblLook w:val="04A0"/>
        </w:tblPrEx>
        <w:tc>
          <w:tcPr>
            <w:tcW w:w="2515" w:type="dxa"/>
          </w:tcPr>
          <w:p w:rsidR="00AB07A0" w:rsidRPr="000261F3" w:rsidP="000261F3" w14:paraId="7709A1EE" w14:textId="77777777">
            <w:pPr>
              <w:rPr>
                <w:sz w:val="12"/>
                <w:szCs w:val="12"/>
              </w:rPr>
            </w:pPr>
          </w:p>
        </w:tc>
        <w:tc>
          <w:tcPr>
            <w:tcW w:w="6835" w:type="dxa"/>
          </w:tcPr>
          <w:p w:rsidR="00AB07A0" w:rsidRPr="000261F3" w:rsidP="000261F3" w14:paraId="47962989" w14:textId="7A61628D">
            <w:pPr>
              <w:rPr>
                <w:sz w:val="12"/>
                <w:szCs w:val="12"/>
              </w:rPr>
            </w:pPr>
          </w:p>
        </w:tc>
      </w:tr>
      <w:tr w14:paraId="5BD51EB6" w14:textId="77777777" w:rsidTr="00681D9F">
        <w:tblPrEx>
          <w:tblW w:w="0" w:type="auto"/>
          <w:tblLook w:val="04A0"/>
        </w:tblPrEx>
        <w:trPr>
          <w:trHeight w:val="864"/>
        </w:trPr>
        <w:tc>
          <w:tcPr>
            <w:tcW w:w="2515" w:type="dxa"/>
            <w:shd w:val="clear" w:color="auto" w:fill="FBE5D5" w:themeFill="accent2" w:themeFillTint="33"/>
            <w:vAlign w:val="center"/>
          </w:tcPr>
          <w:p w:rsidR="00AB07A0" w:rsidP="001C1AB8" w14:paraId="14B88A9F" w14:textId="12D5BAE2">
            <w:pPr>
              <w:ind w:left="345"/>
            </w:pPr>
            <w:r w:rsidRPr="001C1AB8">
              <w:rPr>
                <w:b/>
              </w:rPr>
              <w:t>Inclusion</w:t>
            </w:r>
          </w:p>
        </w:tc>
        <w:tc>
          <w:tcPr>
            <w:tcW w:w="6835" w:type="dxa"/>
            <w:shd w:val="clear" w:color="auto" w:fill="FBE5D5" w:themeFill="accent2" w:themeFillTint="33"/>
          </w:tcPr>
          <w:p w:rsidR="00AB07A0" w:rsidP="000261F3" w14:paraId="06AAA6FE" w14:textId="6B38210A">
            <w:bookmarkStart w:id="18" w:name="_Toc114093293"/>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37053</wp:posOffset>
                      </wp:positionV>
                      <wp:extent cx="2770496" cy="433449"/>
                      <wp:effectExtent l="0" t="0" r="11430" b="24130"/>
                      <wp:wrapNone/>
                      <wp:docPr id="26" name="Flowchart: Alternate Process 26"/>
                      <wp:cNvGraphicFramePr/>
                      <a:graphic xmlns:a="http://schemas.openxmlformats.org/drawingml/2006/main">
                        <a:graphicData uri="http://schemas.microsoft.com/office/word/2010/wordprocessingShape">
                          <wps:wsp xmlns:wps="http://schemas.microsoft.com/office/word/2010/wordprocessingShape">
                            <wps:cNvSpPr/>
                            <wps:spPr>
                              <a:xfrm>
                                <a:off x="0" y="0"/>
                                <a:ext cx="2770496" cy="433449"/>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94270" w:rsidP="00681D9F" w14:textId="0C3EE8EE">
                                  <w:pPr>
                                    <w:spacing w:after="0"/>
                                    <w:jc w:val="center"/>
                                    <w:rPr>
                                      <w:sz w:val="12"/>
                                      <w:szCs w:val="12"/>
                                    </w:rPr>
                                  </w:pPr>
                                  <w:r>
                                    <w:rPr>
                                      <w:sz w:val="12"/>
                                      <w:szCs w:val="12"/>
                                    </w:rPr>
                                    <w:t>Final articles included for this literature review summary</w:t>
                                  </w:r>
                                </w:p>
                                <w:p w:rsidR="00094270" w:rsidRPr="001B3AFB" w:rsidP="00681D9F" w14:textId="73EBE618">
                                  <w:pPr>
                                    <w:spacing w:after="0"/>
                                    <w:jc w:val="center"/>
                                    <w:rPr>
                                      <w:sz w:val="12"/>
                                      <w:szCs w:val="12"/>
                                    </w:rPr>
                                  </w:pPr>
                                  <w:r>
                                    <w:rPr>
                                      <w:sz w:val="12"/>
                                      <w:szCs w:val="12"/>
                                    </w:rPr>
                                    <w:t>(N = 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Flowchart: Alternate Process 26" o:spid="_x0000_s1034" type="#_x0000_t176" style="width:218.15pt;height:34.15pt;margin-top:2.9pt;margin-left:0;mso-height-percent:0;mso-height-relative:margin;mso-wrap-distance-bottom:0;mso-wrap-distance-left:9pt;mso-wrap-distance-right:9pt;mso-wrap-distance-top:0;mso-wrap-style:square;position:absolute;visibility:visible;v-text-anchor:middle;z-index:251663360" fillcolor="white" strokecolor="black" strokeweight="1pt">
                      <v:textbox>
                        <w:txbxContent>
                          <w:p w:rsidR="00094270" w:rsidP="00681D9F" w14:paraId="2578CEBD" w14:textId="0C3EE8EE">
                            <w:pPr>
                              <w:spacing w:after="0"/>
                              <w:jc w:val="center"/>
                              <w:rPr>
                                <w:sz w:val="12"/>
                                <w:szCs w:val="12"/>
                              </w:rPr>
                            </w:pPr>
                            <w:r>
                              <w:rPr>
                                <w:sz w:val="12"/>
                                <w:szCs w:val="12"/>
                              </w:rPr>
                              <w:t>Final articles included for this literature review summary</w:t>
                            </w:r>
                          </w:p>
                          <w:p w:rsidR="00094270" w:rsidRPr="001B3AFB" w:rsidP="00681D9F" w14:paraId="647AA735" w14:textId="73EBE618">
                            <w:pPr>
                              <w:spacing w:after="0"/>
                              <w:jc w:val="center"/>
                              <w:rPr>
                                <w:sz w:val="12"/>
                                <w:szCs w:val="12"/>
                              </w:rPr>
                            </w:pPr>
                            <w:r>
                              <w:rPr>
                                <w:sz w:val="12"/>
                                <w:szCs w:val="12"/>
                              </w:rPr>
                              <w:t>(N = 72)</w:t>
                            </w:r>
                          </w:p>
                        </w:txbxContent>
                      </v:textbox>
                    </v:shape>
                  </w:pict>
                </mc:Fallback>
              </mc:AlternateContent>
            </w:r>
            <w:bookmarkEnd w:id="18"/>
          </w:p>
        </w:tc>
      </w:tr>
    </w:tbl>
    <w:p w:rsidR="0009227B" w:rsidRPr="00382CE6" w:rsidP="00382CE6" w14:paraId="4F89E9F7" w14:textId="40E7FEE5">
      <w:pPr>
        <w:jc w:val="right"/>
        <w:rPr>
          <w:b/>
          <w:sz w:val="20"/>
          <w:szCs w:val="20"/>
        </w:rPr>
      </w:pPr>
      <w:r w:rsidRPr="00382CE6">
        <w:rPr>
          <w:b/>
          <w:sz w:val="20"/>
          <w:szCs w:val="20"/>
        </w:rPr>
        <w:t>Stage IV</w:t>
      </w:r>
    </w:p>
    <w:p w:rsidR="00681D9F" w:rsidRPr="00681D9F" w:rsidP="00681D9F" w14:paraId="62EF6AA6" w14:textId="77777777"/>
    <w:p w:rsidR="002111D4" w:rsidP="002111D4" w14:paraId="1E056B7B" w14:textId="4456C32A">
      <w:pPr>
        <w:pStyle w:val="Heading2"/>
      </w:pPr>
      <w:bookmarkStart w:id="19" w:name="_Toc115261532"/>
      <w:r w:rsidRPr="004966E9">
        <w:t xml:space="preserve">Mechanism </w:t>
      </w:r>
      <w:r>
        <w:t>U</w:t>
      </w:r>
      <w:r w:rsidRPr="004966E9">
        <w:t xml:space="preserve">sed to </w:t>
      </w:r>
      <w:r>
        <w:t>M</w:t>
      </w:r>
      <w:r w:rsidRPr="004966E9">
        <w:t xml:space="preserve">anage the </w:t>
      </w:r>
      <w:r>
        <w:t>R</w:t>
      </w:r>
      <w:r w:rsidRPr="004966E9">
        <w:t>eview</w:t>
      </w:r>
      <w:bookmarkEnd w:id="19"/>
    </w:p>
    <w:p w:rsidR="002111D4" w:rsidRPr="002965D2" w:rsidP="002111D4" w14:paraId="50F9195C" w14:textId="56652FA6">
      <w:pPr>
        <w:spacing w:after="0"/>
      </w:pPr>
      <w:r>
        <w:t>Search results were downloaded to- and delivered in- EndNote (</w:t>
      </w:r>
      <w:r w:rsidR="0015724A">
        <w:t>20.4.1, Bld 16297</w:t>
      </w:r>
      <w:r>
        <w:t>), a reference management software program supported by FDA’s reference library.</w:t>
      </w:r>
    </w:p>
    <w:p w:rsidR="002111D4" w:rsidP="002111D4" w14:paraId="7F4EC9CA" w14:textId="77777777">
      <w:pPr>
        <w:spacing w:after="0"/>
        <w:rPr>
          <w:b/>
        </w:rPr>
      </w:pPr>
    </w:p>
    <w:p w:rsidR="002111D4" w:rsidP="002111D4" w14:paraId="0CA055C1" w14:textId="77777777">
      <w:pPr>
        <w:pStyle w:val="Heading2"/>
      </w:pPr>
      <w:bookmarkStart w:id="20" w:name="_Toc115261533"/>
      <w:r>
        <w:t>Selection Process</w:t>
      </w:r>
      <w:bookmarkEnd w:id="20"/>
    </w:p>
    <w:p w:rsidR="002111D4" w:rsidP="002111D4" w14:paraId="7E067AE4" w14:textId="13761FDB">
      <w:pPr>
        <w:spacing w:after="0"/>
      </w:pPr>
      <w:r>
        <w:t xml:space="preserve">Researchers imported basic information for each of the </w:t>
      </w:r>
      <w:r w:rsidR="00456430">
        <w:rPr>
          <w:rFonts w:cs="Arial"/>
          <w:bCs/>
          <w:szCs w:val="24"/>
        </w:rPr>
        <w:t>9</w:t>
      </w:r>
      <w:r w:rsidR="00A63893">
        <w:rPr>
          <w:rFonts w:cs="Arial"/>
          <w:bCs/>
          <w:szCs w:val="24"/>
        </w:rPr>
        <w:t>4</w:t>
      </w:r>
      <w:r w:rsidR="00456430">
        <w:t xml:space="preserve"> </w:t>
      </w:r>
      <w:r>
        <w:t xml:space="preserve">identified articles </w:t>
      </w:r>
      <w:r w:rsidR="00456430">
        <w:t xml:space="preserve">identified </w:t>
      </w:r>
      <w:r w:rsidR="0031494D">
        <w:t xml:space="preserve">in Phase IV </w:t>
      </w:r>
      <w:r>
        <w:t xml:space="preserve">into Excel, into a file that listed author, year, title, study type, method, sample size, type of </w:t>
      </w:r>
      <w:r w:rsidR="00F638F1">
        <w:t>FOP</w:t>
      </w:r>
      <w:r>
        <w:t xml:space="preserve">, </w:t>
      </w:r>
      <w:r w:rsidR="00F638F1">
        <w:t>FOP</w:t>
      </w:r>
      <w:r>
        <w:t xml:space="preserve"> image, country, highlight of findings, and whether the study included “education” as a variable. The articles were divided evenly </w:t>
      </w:r>
      <w:r w:rsidRPr="00A57528">
        <w:t xml:space="preserve">among </w:t>
      </w:r>
      <w:r w:rsidR="00933D90">
        <w:t>five</w:t>
      </w:r>
      <w:r w:rsidRPr="00A57528">
        <w:t xml:space="preserve"> researchers</w:t>
      </w:r>
      <w:r>
        <w:t xml:space="preserve"> who read them and sorted them into the summary categories that had been used by the prior studies: Attention and processing; Liking, satisfaction, and label preference; Understanding, Effects on use and likely purchase; Effects on sales (purchases and </w:t>
      </w:r>
      <w:r>
        <w:t xml:space="preserve">consumption); Effects on Diverse Populations; and Evaluation of Government </w:t>
      </w:r>
      <w:r w:rsidR="00F638F1">
        <w:t>FOP</w:t>
      </w:r>
      <w:r>
        <w:t xml:space="preserve"> Nutrition Symbols. At the request of the HSIT, we added a category for Effects on Educational Differences. Researchers also wrote a summary of each article’s findings. These summaries were used to develop overall conclusions by category.</w:t>
      </w:r>
      <w:r w:rsidR="0031494D">
        <w:t xml:space="preserve"> The Phase IV reviews were completed by one researcher, who sorted the articles into the same categories used in Phase III and summarized </w:t>
      </w:r>
      <w:r w:rsidR="00230F27">
        <w:t>the articles</w:t>
      </w:r>
      <w:r w:rsidR="00665EDB">
        <w:t>’</w:t>
      </w:r>
      <w:r w:rsidR="00230F27">
        <w:t xml:space="preserve"> findings.</w:t>
      </w:r>
    </w:p>
    <w:p w:rsidR="00280DF2" w:rsidP="004251BD" w14:paraId="2A03B48C" w14:textId="77777777">
      <w:pPr>
        <w:pStyle w:val="Heading1"/>
        <w:jc w:val="center"/>
      </w:pPr>
    </w:p>
    <w:p w:rsidR="00DB534B" w:rsidP="004251BD" w14:paraId="500E8DDE" w14:textId="6D77B7DE">
      <w:pPr>
        <w:pStyle w:val="Heading1"/>
        <w:jc w:val="center"/>
      </w:pPr>
      <w:bookmarkStart w:id="21" w:name="_Toc115261534"/>
      <w:r>
        <w:t xml:space="preserve">Appendix C: Summary of </w:t>
      </w:r>
      <w:r w:rsidR="4597EED5">
        <w:t>A</w:t>
      </w:r>
      <w:r>
        <w:t xml:space="preserve">rticles </w:t>
      </w:r>
      <w:r w:rsidR="14959B98">
        <w:t>I</w:t>
      </w:r>
      <w:r w:rsidR="3FE0D96E">
        <w:t>n</w:t>
      </w:r>
      <w:r w:rsidR="52AFDC58">
        <w:t xml:space="preserve">cluded in FDA </w:t>
      </w:r>
      <w:r w:rsidR="0013439B">
        <w:t>Healthy Symbol</w:t>
      </w:r>
      <w:r>
        <w:t xml:space="preserve"> </w:t>
      </w:r>
      <w:r w:rsidR="4597EED5">
        <w:t>L</w:t>
      </w:r>
      <w:r>
        <w:t xml:space="preserve">iterature </w:t>
      </w:r>
      <w:r w:rsidR="4597EED5">
        <w:t>R</w:t>
      </w:r>
      <w:r>
        <w:t>eview</w:t>
      </w:r>
      <w:r w:rsidR="624FD436">
        <w:t xml:space="preserve"> </w:t>
      </w:r>
      <w:bookmarkEnd w:id="21"/>
      <w:r>
        <w:t xml:space="preserve"> </w:t>
      </w:r>
      <w:r w:rsidR="48463019">
        <w:t>(</w:t>
      </w:r>
      <w:r w:rsidR="48463019">
        <w:t>2016 to 2022)</w:t>
      </w:r>
    </w:p>
    <w:p w:rsidR="00EB7780" w:rsidP="00EB7780" w14:paraId="59656F77" w14:textId="77777777"/>
    <w:p w:rsidR="00DB534B" w:rsidP="00DB534B" w14:paraId="2371FEB3" w14:textId="77777777">
      <w:pPr>
        <w:sectPr w:rsidSect="009A573F">
          <w:headerReference w:type="default" r:id="rId19"/>
          <w:footerReference w:type="default" r:id="rId20"/>
          <w:pgSz w:w="12240" w:h="15840"/>
          <w:pgMar w:top="1440" w:right="1440" w:bottom="1440" w:left="1440" w:header="720" w:footer="720" w:gutter="0"/>
          <w:cols w:space="720"/>
          <w:docGrid w:linePitch="360"/>
        </w:sectPr>
      </w:pPr>
    </w:p>
    <w:tbl>
      <w:tblPr>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23"/>
        <w:gridCol w:w="2101"/>
        <w:gridCol w:w="330"/>
        <w:gridCol w:w="3553"/>
        <w:gridCol w:w="1199"/>
        <w:gridCol w:w="1199"/>
        <w:gridCol w:w="550"/>
        <w:gridCol w:w="3487"/>
      </w:tblGrid>
      <w:tr w14:paraId="530694F1" w14:textId="77777777" w:rsidTr="2F9D3AFB">
        <w:tblPrEx>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150"/>
          <w:tblHeader/>
        </w:trPr>
        <w:tc>
          <w:tcPr>
            <w:tcW w:w="1023" w:type="dxa"/>
          </w:tcPr>
          <w:p w:rsidR="00280DF2" w:rsidP="009C5286" w14:paraId="6744E407" w14:textId="77777777">
            <w:pPr>
              <w:pStyle w:val="TableParagraph"/>
              <w:spacing w:line="130" w:lineRule="exact"/>
              <w:rPr>
                <w:b/>
                <w:sz w:val="12"/>
              </w:rPr>
            </w:pPr>
            <w:bookmarkStart w:id="22" w:name="_Hlk24551626"/>
            <w:r>
              <w:rPr>
                <w:b/>
                <w:sz w:val="12"/>
              </w:rPr>
              <w:t>Author</w:t>
            </w:r>
          </w:p>
        </w:tc>
        <w:tc>
          <w:tcPr>
            <w:tcW w:w="2101" w:type="dxa"/>
          </w:tcPr>
          <w:p w:rsidR="00280DF2" w:rsidP="009C5286" w14:paraId="58ECD9ED" w14:textId="77777777">
            <w:pPr>
              <w:pStyle w:val="TableParagraph"/>
              <w:spacing w:line="130" w:lineRule="exact"/>
              <w:rPr>
                <w:b/>
                <w:sz w:val="12"/>
              </w:rPr>
            </w:pPr>
            <w:r>
              <w:rPr>
                <w:b/>
                <w:sz w:val="12"/>
              </w:rPr>
              <w:t>Title</w:t>
            </w:r>
          </w:p>
        </w:tc>
        <w:tc>
          <w:tcPr>
            <w:tcW w:w="330" w:type="dxa"/>
          </w:tcPr>
          <w:p w:rsidR="00280DF2" w:rsidP="009C5286" w14:paraId="11713CD5" w14:textId="77777777">
            <w:pPr>
              <w:pStyle w:val="TableParagraph"/>
              <w:spacing w:line="130" w:lineRule="exact"/>
              <w:rPr>
                <w:b/>
                <w:sz w:val="12"/>
              </w:rPr>
            </w:pPr>
            <w:r>
              <w:rPr>
                <w:b/>
                <w:sz w:val="12"/>
              </w:rPr>
              <w:t>Year</w:t>
            </w:r>
          </w:p>
        </w:tc>
        <w:tc>
          <w:tcPr>
            <w:tcW w:w="3553" w:type="dxa"/>
          </w:tcPr>
          <w:p w:rsidR="00280DF2" w:rsidP="009C5286" w14:paraId="403761CA" w14:textId="77777777">
            <w:pPr>
              <w:pStyle w:val="TableParagraph"/>
              <w:spacing w:line="130" w:lineRule="exact"/>
              <w:rPr>
                <w:b/>
                <w:sz w:val="12"/>
              </w:rPr>
            </w:pPr>
            <w:r>
              <w:rPr>
                <w:b/>
                <w:sz w:val="12"/>
              </w:rPr>
              <w:t>Method</w:t>
            </w:r>
          </w:p>
        </w:tc>
        <w:tc>
          <w:tcPr>
            <w:tcW w:w="1199" w:type="dxa"/>
          </w:tcPr>
          <w:p w:rsidR="00280DF2" w:rsidP="009C5286" w14:paraId="27AF54E1" w14:textId="072AF8F6">
            <w:pPr>
              <w:pStyle w:val="TableParagraph"/>
              <w:spacing w:line="130" w:lineRule="exact"/>
              <w:rPr>
                <w:b/>
                <w:sz w:val="12"/>
              </w:rPr>
            </w:pPr>
            <w:r>
              <w:rPr>
                <w:b/>
                <w:sz w:val="12"/>
              </w:rPr>
              <w:t>FOP</w:t>
            </w:r>
          </w:p>
        </w:tc>
        <w:tc>
          <w:tcPr>
            <w:tcW w:w="1199" w:type="dxa"/>
          </w:tcPr>
          <w:p w:rsidR="00280DF2" w:rsidP="009C5286" w14:paraId="0C58150E" w14:textId="38664386">
            <w:pPr>
              <w:pStyle w:val="TableParagraph"/>
              <w:spacing w:line="130" w:lineRule="exact"/>
              <w:rPr>
                <w:b/>
                <w:sz w:val="12"/>
              </w:rPr>
            </w:pPr>
            <w:r>
              <w:rPr>
                <w:b/>
                <w:sz w:val="12"/>
              </w:rPr>
              <w:t>FOP</w:t>
            </w:r>
            <w:r>
              <w:rPr>
                <w:b/>
                <w:sz w:val="12"/>
              </w:rPr>
              <w:t xml:space="preserve"> Image</w:t>
            </w:r>
          </w:p>
        </w:tc>
        <w:tc>
          <w:tcPr>
            <w:tcW w:w="550" w:type="dxa"/>
          </w:tcPr>
          <w:p w:rsidR="00280DF2" w:rsidP="009C5286" w14:paraId="2A2C8158" w14:textId="77777777">
            <w:pPr>
              <w:pStyle w:val="TableParagraph"/>
              <w:spacing w:line="130" w:lineRule="exact"/>
              <w:rPr>
                <w:b/>
                <w:sz w:val="12"/>
              </w:rPr>
            </w:pPr>
            <w:r>
              <w:rPr>
                <w:b/>
                <w:sz w:val="12"/>
              </w:rPr>
              <w:t>Country</w:t>
            </w:r>
          </w:p>
        </w:tc>
        <w:tc>
          <w:tcPr>
            <w:tcW w:w="3487" w:type="dxa"/>
          </w:tcPr>
          <w:p w:rsidR="00280DF2" w:rsidP="009C5286" w14:paraId="086ADCD9" w14:textId="77777777">
            <w:pPr>
              <w:pStyle w:val="TableParagraph"/>
              <w:spacing w:line="130" w:lineRule="exact"/>
              <w:rPr>
                <w:b/>
                <w:sz w:val="12"/>
              </w:rPr>
            </w:pPr>
            <w:r>
              <w:rPr>
                <w:b/>
                <w:sz w:val="12"/>
              </w:rPr>
              <w:t>Highlights of Findings</w:t>
            </w:r>
          </w:p>
        </w:tc>
      </w:tr>
      <w:tr w14:paraId="68F56F98" w14:textId="77777777" w:rsidTr="2F9D3AFB">
        <w:tblPrEx>
          <w:tblW w:w="0" w:type="auto"/>
          <w:tblInd w:w="113" w:type="dxa"/>
          <w:tblLayout w:type="fixed"/>
          <w:tblCellMar>
            <w:left w:w="0" w:type="dxa"/>
            <w:right w:w="0" w:type="dxa"/>
          </w:tblCellMar>
          <w:tblLook w:val="01E0"/>
        </w:tblPrEx>
        <w:trPr>
          <w:trHeight w:val="858"/>
        </w:trPr>
        <w:tc>
          <w:tcPr>
            <w:tcW w:w="1023" w:type="dxa"/>
          </w:tcPr>
          <w:p w:rsidR="00280DF2" w:rsidP="009C5286" w14:paraId="3E8CCAAD" w14:textId="77777777">
            <w:pPr>
              <w:pStyle w:val="TableParagraph"/>
              <w:spacing w:line="140" w:lineRule="exact"/>
              <w:rPr>
                <w:sz w:val="12"/>
              </w:rPr>
            </w:pPr>
            <w:r>
              <w:rPr>
                <w:sz w:val="12"/>
              </w:rPr>
              <w:t>Akgüngör</w:t>
            </w:r>
            <w:r>
              <w:rPr>
                <w:sz w:val="12"/>
              </w:rPr>
              <w:t>, et al.</w:t>
            </w:r>
          </w:p>
        </w:tc>
        <w:tc>
          <w:tcPr>
            <w:tcW w:w="2101" w:type="dxa"/>
          </w:tcPr>
          <w:p w:rsidR="00280DF2" w:rsidP="009C5286" w14:paraId="3A48229E" w14:textId="296F81CB">
            <w:pPr>
              <w:pStyle w:val="TableParagraph"/>
              <w:spacing w:line="252" w:lineRule="auto"/>
              <w:rPr>
                <w:sz w:val="12"/>
              </w:rPr>
            </w:pPr>
            <w:r>
              <w:rPr>
                <w:sz w:val="12"/>
              </w:rPr>
              <w:t>The impact of nutrition labels on food sales: an i</w:t>
            </w:r>
            <w:r w:rsidR="004B6E26">
              <w:rPr>
                <w:sz w:val="12"/>
              </w:rPr>
              <w:t>Nutri-Score</w:t>
            </w:r>
            <w:r>
              <w:rPr>
                <w:sz w:val="12"/>
              </w:rPr>
              <w:t>tore experiment in a Turkish supermarket</w:t>
            </w:r>
          </w:p>
        </w:tc>
        <w:tc>
          <w:tcPr>
            <w:tcW w:w="330" w:type="dxa"/>
          </w:tcPr>
          <w:p w:rsidR="00280DF2" w:rsidP="009C5286" w14:paraId="7C64E415" w14:textId="77777777">
            <w:pPr>
              <w:pStyle w:val="TableParagraph"/>
              <w:spacing w:line="140" w:lineRule="exact"/>
              <w:rPr>
                <w:sz w:val="12"/>
              </w:rPr>
            </w:pPr>
            <w:r>
              <w:rPr>
                <w:sz w:val="12"/>
              </w:rPr>
              <w:t>2016</w:t>
            </w:r>
          </w:p>
        </w:tc>
        <w:tc>
          <w:tcPr>
            <w:tcW w:w="3553" w:type="dxa"/>
          </w:tcPr>
          <w:p w:rsidR="00280DF2" w:rsidP="009C5286" w14:paraId="458EEDEB" w14:textId="35D31F10">
            <w:pPr>
              <w:pStyle w:val="TableParagraph"/>
              <w:spacing w:line="140" w:lineRule="exact"/>
              <w:rPr>
                <w:sz w:val="12"/>
              </w:rPr>
            </w:pPr>
            <w:r>
              <w:rPr>
                <w:sz w:val="12"/>
              </w:rPr>
              <w:t>Quantitative 1. I</w:t>
            </w:r>
            <w:r w:rsidR="004B6E26">
              <w:rPr>
                <w:sz w:val="12"/>
              </w:rPr>
              <w:t>Nutri-Score</w:t>
            </w:r>
            <w:r>
              <w:rPr>
                <w:sz w:val="12"/>
              </w:rPr>
              <w:t>tore experiment</w:t>
            </w:r>
          </w:p>
          <w:p w:rsidR="00280DF2" w:rsidP="009C5286" w14:paraId="174A269E" w14:textId="77777777">
            <w:pPr>
              <w:pStyle w:val="TableParagraph"/>
              <w:numPr>
                <w:ilvl w:val="0"/>
                <w:numId w:val="93"/>
              </w:numPr>
              <w:tabs>
                <w:tab w:val="left" w:pos="147"/>
              </w:tabs>
              <w:spacing w:before="7" w:line="252" w:lineRule="auto"/>
              <w:ind w:right="257" w:firstLine="0"/>
              <w:rPr>
                <w:sz w:val="12"/>
              </w:rPr>
            </w:pPr>
            <w:r>
              <w:rPr>
                <w:sz w:val="12"/>
              </w:rPr>
              <w:t xml:space="preserve">Stickers of nutrition info were put on the front of selected </w:t>
            </w:r>
            <w:r>
              <w:rPr>
                <w:spacing w:val="-3"/>
                <w:sz w:val="12"/>
              </w:rPr>
              <w:t xml:space="preserve">wafer </w:t>
            </w:r>
            <w:r>
              <w:rPr>
                <w:sz w:val="12"/>
              </w:rPr>
              <w:t>packages,</w:t>
            </w:r>
            <w:r>
              <w:rPr>
                <w:spacing w:val="-2"/>
                <w:sz w:val="12"/>
              </w:rPr>
              <w:t xml:space="preserve"> </w:t>
            </w:r>
            <w:r>
              <w:rPr>
                <w:spacing w:val="1"/>
                <w:sz w:val="12"/>
              </w:rPr>
              <w:t>including</w:t>
            </w:r>
            <w:r>
              <w:rPr>
                <w:spacing w:val="-7"/>
                <w:sz w:val="12"/>
              </w:rPr>
              <w:t xml:space="preserve"> </w:t>
            </w:r>
            <w:r>
              <w:rPr>
                <w:sz w:val="12"/>
              </w:rPr>
              <w:t>numeric</w:t>
            </w:r>
            <w:r>
              <w:rPr>
                <w:spacing w:val="-1"/>
                <w:sz w:val="12"/>
              </w:rPr>
              <w:t xml:space="preserve"> </w:t>
            </w:r>
            <w:r>
              <w:rPr>
                <w:sz w:val="12"/>
              </w:rPr>
              <w:t>nutrition</w:t>
            </w:r>
            <w:r>
              <w:rPr>
                <w:spacing w:val="-2"/>
                <w:sz w:val="12"/>
              </w:rPr>
              <w:t xml:space="preserve"> </w:t>
            </w:r>
            <w:r>
              <w:rPr>
                <w:sz w:val="12"/>
              </w:rPr>
              <w:t>info</w:t>
            </w:r>
            <w:r>
              <w:rPr>
                <w:spacing w:val="-2"/>
                <w:sz w:val="12"/>
              </w:rPr>
              <w:t xml:space="preserve"> </w:t>
            </w:r>
            <w:r>
              <w:rPr>
                <w:sz w:val="12"/>
              </w:rPr>
              <w:t>+</w:t>
            </w:r>
            <w:r>
              <w:rPr>
                <w:spacing w:val="-10"/>
                <w:sz w:val="12"/>
              </w:rPr>
              <w:t xml:space="preserve"> </w:t>
            </w:r>
            <w:r>
              <w:rPr>
                <w:sz w:val="12"/>
              </w:rPr>
              <w:t>health</w:t>
            </w:r>
            <w:r>
              <w:rPr>
                <w:spacing w:val="-2"/>
                <w:sz w:val="12"/>
              </w:rPr>
              <w:t xml:space="preserve"> </w:t>
            </w:r>
            <w:r>
              <w:rPr>
                <w:spacing w:val="1"/>
                <w:sz w:val="12"/>
              </w:rPr>
              <w:t>tick</w:t>
            </w:r>
          </w:p>
          <w:p w:rsidR="00280DF2" w:rsidP="009C5286" w14:paraId="12B83180" w14:textId="77777777">
            <w:pPr>
              <w:pStyle w:val="TableParagraph"/>
              <w:numPr>
                <w:ilvl w:val="0"/>
                <w:numId w:val="93"/>
              </w:numPr>
              <w:tabs>
                <w:tab w:val="left" w:pos="147"/>
              </w:tabs>
              <w:spacing w:before="1" w:line="252" w:lineRule="auto"/>
              <w:ind w:right="426" w:firstLine="0"/>
              <w:rPr>
                <w:sz w:val="12"/>
              </w:rPr>
            </w:pPr>
            <w:r>
              <w:rPr>
                <w:sz w:val="12"/>
              </w:rPr>
              <w:t xml:space="preserve">Sales of </w:t>
            </w:r>
            <w:r>
              <w:rPr>
                <w:spacing w:val="-3"/>
                <w:sz w:val="12"/>
              </w:rPr>
              <w:t xml:space="preserve">wafers </w:t>
            </w:r>
            <w:r>
              <w:rPr>
                <w:sz w:val="12"/>
              </w:rPr>
              <w:t xml:space="preserve">were monitored before, during, and </w:t>
            </w:r>
            <w:r>
              <w:rPr>
                <w:spacing w:val="-3"/>
                <w:sz w:val="12"/>
              </w:rPr>
              <w:t xml:space="preserve">after </w:t>
            </w:r>
            <w:r>
              <w:rPr>
                <w:sz w:val="12"/>
              </w:rPr>
              <w:t>the experiment</w:t>
            </w:r>
          </w:p>
        </w:tc>
        <w:tc>
          <w:tcPr>
            <w:tcW w:w="1199" w:type="dxa"/>
          </w:tcPr>
          <w:p w:rsidR="00280DF2" w:rsidP="009C5286" w14:paraId="3F4FB485" w14:textId="77777777">
            <w:pPr>
              <w:pStyle w:val="TableParagraph"/>
              <w:numPr>
                <w:ilvl w:val="0"/>
                <w:numId w:val="92"/>
              </w:numPr>
              <w:tabs>
                <w:tab w:val="left" w:pos="147"/>
              </w:tabs>
              <w:spacing w:line="140" w:lineRule="exact"/>
              <w:ind w:hanging="121"/>
              <w:rPr>
                <w:sz w:val="12"/>
              </w:rPr>
            </w:pPr>
            <w:r>
              <w:rPr>
                <w:sz w:val="12"/>
              </w:rPr>
              <w:t>Nutrient</w:t>
            </w:r>
            <w:r>
              <w:rPr>
                <w:spacing w:val="12"/>
                <w:sz w:val="12"/>
              </w:rPr>
              <w:t xml:space="preserve"> </w:t>
            </w:r>
            <w:r>
              <w:rPr>
                <w:sz w:val="12"/>
              </w:rPr>
              <w:t>specific</w:t>
            </w:r>
          </w:p>
          <w:p w:rsidR="00280DF2" w:rsidP="009C5286" w14:paraId="6FCD34EB" w14:textId="77777777">
            <w:pPr>
              <w:pStyle w:val="TableParagraph"/>
              <w:numPr>
                <w:ilvl w:val="0"/>
                <w:numId w:val="92"/>
              </w:numPr>
              <w:tabs>
                <w:tab w:val="left" w:pos="147"/>
              </w:tabs>
              <w:spacing w:before="7"/>
              <w:ind w:hanging="121"/>
              <w:rPr>
                <w:sz w:val="12"/>
              </w:rPr>
            </w:pPr>
            <w:r>
              <w:rPr>
                <w:sz w:val="12"/>
              </w:rPr>
              <w:t>Health</w:t>
            </w:r>
            <w:r>
              <w:rPr>
                <w:spacing w:val="11"/>
                <w:sz w:val="12"/>
              </w:rPr>
              <w:t xml:space="preserve"> </w:t>
            </w:r>
            <w:r>
              <w:rPr>
                <w:sz w:val="12"/>
              </w:rPr>
              <w:t>tick/check</w:t>
            </w:r>
          </w:p>
        </w:tc>
        <w:tc>
          <w:tcPr>
            <w:tcW w:w="1199" w:type="dxa"/>
          </w:tcPr>
          <w:p w:rsidR="00280DF2" w:rsidP="009C5286" w14:paraId="2E741D13" w14:textId="77777777">
            <w:pPr>
              <w:pStyle w:val="TableParagraph"/>
              <w:spacing w:before="7"/>
              <w:ind w:left="0"/>
              <w:rPr>
                <w:rFonts w:ascii="Times New Roman"/>
                <w:sz w:val="8"/>
              </w:rPr>
            </w:pPr>
          </w:p>
          <w:p w:rsidR="00280DF2" w:rsidP="009C5286" w14:paraId="378C2590" w14:textId="77777777">
            <w:pPr>
              <w:pStyle w:val="TableParagraph"/>
              <w:ind w:left="56"/>
              <w:rPr>
                <w:rFonts w:ascii="Times New Roman"/>
                <w:sz w:val="20"/>
              </w:rPr>
            </w:pPr>
            <w:r>
              <w:rPr>
                <w:noProof/>
              </w:rPr>
              <w:drawing>
                <wp:inline distT="0" distB="0" distL="0" distR="0">
                  <wp:extent cx="581025" cy="4005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1025" cy="400534"/>
                          </a:xfrm>
                          <a:prstGeom prst="rect">
                            <a:avLst/>
                          </a:prstGeom>
                        </pic:spPr>
                      </pic:pic>
                    </a:graphicData>
                  </a:graphic>
                </wp:inline>
              </w:drawing>
            </w:r>
          </w:p>
        </w:tc>
        <w:tc>
          <w:tcPr>
            <w:tcW w:w="550" w:type="dxa"/>
          </w:tcPr>
          <w:p w:rsidR="00280DF2" w:rsidP="009C5286" w14:paraId="1689DFFB" w14:textId="77777777">
            <w:pPr>
              <w:pStyle w:val="TableParagraph"/>
              <w:spacing w:line="140" w:lineRule="exact"/>
              <w:rPr>
                <w:sz w:val="12"/>
              </w:rPr>
            </w:pPr>
            <w:r>
              <w:rPr>
                <w:sz w:val="12"/>
              </w:rPr>
              <w:t>Turkey</w:t>
            </w:r>
          </w:p>
        </w:tc>
        <w:tc>
          <w:tcPr>
            <w:tcW w:w="3487" w:type="dxa"/>
          </w:tcPr>
          <w:p w:rsidR="00280DF2" w:rsidP="009C5286" w14:paraId="42624B6B" w14:textId="4CF8E535">
            <w:pPr>
              <w:pStyle w:val="TableParagraph"/>
              <w:numPr>
                <w:ilvl w:val="0"/>
                <w:numId w:val="91"/>
              </w:numPr>
              <w:tabs>
                <w:tab w:val="left" w:pos="147"/>
              </w:tabs>
              <w:spacing w:line="252" w:lineRule="auto"/>
              <w:ind w:right="25" w:firstLine="0"/>
              <w:rPr>
                <w:sz w:val="12"/>
              </w:rPr>
            </w:pPr>
            <w:r>
              <w:rPr>
                <w:sz w:val="12"/>
              </w:rPr>
              <w:t>The</w:t>
            </w:r>
            <w:r>
              <w:rPr>
                <w:spacing w:val="-11"/>
                <w:sz w:val="12"/>
              </w:rPr>
              <w:t xml:space="preserve"> </w:t>
            </w:r>
            <w:r>
              <w:rPr>
                <w:sz w:val="12"/>
              </w:rPr>
              <w:t>presence</w:t>
            </w:r>
            <w:r>
              <w:rPr>
                <w:spacing w:val="-11"/>
                <w:sz w:val="12"/>
              </w:rPr>
              <w:t xml:space="preserve"> </w:t>
            </w:r>
            <w:r>
              <w:rPr>
                <w:sz w:val="12"/>
              </w:rPr>
              <w:t>of</w:t>
            </w:r>
            <w:r>
              <w:rPr>
                <w:spacing w:val="-10"/>
                <w:sz w:val="12"/>
              </w:rPr>
              <w:t xml:space="preserve"> </w:t>
            </w:r>
            <w:r>
              <w:rPr>
                <w:sz w:val="12"/>
              </w:rPr>
              <w:t>the</w:t>
            </w:r>
            <w:r>
              <w:rPr>
                <w:spacing w:val="-11"/>
                <w:sz w:val="12"/>
              </w:rPr>
              <w:t xml:space="preserve"> </w:t>
            </w:r>
            <w:r w:rsidR="00F638F1">
              <w:rPr>
                <w:sz w:val="12"/>
              </w:rPr>
              <w:t>FOP</w:t>
            </w:r>
            <w:r>
              <w:rPr>
                <w:spacing w:val="-2"/>
                <w:sz w:val="12"/>
              </w:rPr>
              <w:t xml:space="preserve"> </w:t>
            </w:r>
            <w:r>
              <w:rPr>
                <w:sz w:val="12"/>
              </w:rPr>
              <w:t>label itself</w:t>
            </w:r>
            <w:r>
              <w:rPr>
                <w:spacing w:val="-10"/>
                <w:sz w:val="12"/>
              </w:rPr>
              <w:t xml:space="preserve"> </w:t>
            </w:r>
            <w:r>
              <w:rPr>
                <w:sz w:val="12"/>
              </w:rPr>
              <w:t>increased</w:t>
            </w:r>
            <w:r>
              <w:rPr>
                <w:spacing w:val="-3"/>
                <w:sz w:val="12"/>
              </w:rPr>
              <w:t xml:space="preserve"> </w:t>
            </w:r>
            <w:r>
              <w:rPr>
                <w:sz w:val="12"/>
              </w:rPr>
              <w:t>consumer</w:t>
            </w:r>
            <w:r>
              <w:rPr>
                <w:spacing w:val="-4"/>
                <w:sz w:val="12"/>
              </w:rPr>
              <w:t xml:space="preserve"> </w:t>
            </w:r>
            <w:r>
              <w:rPr>
                <w:sz w:val="12"/>
              </w:rPr>
              <w:t>demand</w:t>
            </w:r>
            <w:r>
              <w:rPr>
                <w:spacing w:val="-3"/>
                <w:sz w:val="12"/>
              </w:rPr>
              <w:t xml:space="preserve"> </w:t>
            </w:r>
            <w:r>
              <w:rPr>
                <w:sz w:val="12"/>
              </w:rPr>
              <w:t xml:space="preserve">for the follower brand (but not for the leader brands). The impact of the </w:t>
            </w:r>
            <w:r w:rsidR="00F638F1">
              <w:rPr>
                <w:sz w:val="12"/>
              </w:rPr>
              <w:t>FOP</w:t>
            </w:r>
            <w:r>
              <w:rPr>
                <w:spacing w:val="-2"/>
                <w:sz w:val="12"/>
              </w:rPr>
              <w:t xml:space="preserve"> </w:t>
            </w:r>
            <w:r>
              <w:rPr>
                <w:sz w:val="12"/>
              </w:rPr>
              <w:t>on</w:t>
            </w:r>
            <w:r>
              <w:rPr>
                <w:spacing w:val="-3"/>
                <w:sz w:val="12"/>
              </w:rPr>
              <w:t xml:space="preserve"> </w:t>
            </w:r>
            <w:r>
              <w:rPr>
                <w:sz w:val="12"/>
              </w:rPr>
              <w:t>sales</w:t>
            </w:r>
            <w:r>
              <w:rPr>
                <w:spacing w:val="-9"/>
                <w:sz w:val="12"/>
              </w:rPr>
              <w:t xml:space="preserve"> </w:t>
            </w:r>
            <w:r>
              <w:rPr>
                <w:sz w:val="12"/>
              </w:rPr>
              <w:t>differs</w:t>
            </w:r>
            <w:r>
              <w:rPr>
                <w:spacing w:val="-9"/>
                <w:sz w:val="12"/>
              </w:rPr>
              <w:t xml:space="preserve"> </w:t>
            </w:r>
            <w:r>
              <w:rPr>
                <w:sz w:val="12"/>
              </w:rPr>
              <w:t>across</w:t>
            </w:r>
            <w:r>
              <w:rPr>
                <w:spacing w:val="-9"/>
                <w:sz w:val="12"/>
              </w:rPr>
              <w:t xml:space="preserve"> </w:t>
            </w:r>
            <w:r>
              <w:rPr>
                <w:sz w:val="12"/>
              </w:rPr>
              <w:t>brands</w:t>
            </w:r>
            <w:r>
              <w:rPr>
                <w:spacing w:val="-9"/>
                <w:sz w:val="12"/>
              </w:rPr>
              <w:t xml:space="preserve"> </w:t>
            </w:r>
            <w:r>
              <w:rPr>
                <w:sz w:val="12"/>
              </w:rPr>
              <w:t>for</w:t>
            </w:r>
            <w:r>
              <w:rPr>
                <w:spacing w:val="-4"/>
                <w:sz w:val="12"/>
              </w:rPr>
              <w:t xml:space="preserve"> </w:t>
            </w:r>
            <w:r>
              <w:rPr>
                <w:sz w:val="12"/>
              </w:rPr>
              <w:t>foods</w:t>
            </w:r>
            <w:r>
              <w:rPr>
                <w:spacing w:val="-9"/>
                <w:sz w:val="12"/>
              </w:rPr>
              <w:t xml:space="preserve"> </w:t>
            </w:r>
            <w:r>
              <w:rPr>
                <w:spacing w:val="1"/>
                <w:sz w:val="12"/>
              </w:rPr>
              <w:t>in</w:t>
            </w:r>
            <w:r>
              <w:rPr>
                <w:spacing w:val="-3"/>
                <w:sz w:val="12"/>
              </w:rPr>
              <w:t xml:space="preserve"> </w:t>
            </w:r>
            <w:r>
              <w:rPr>
                <w:sz w:val="12"/>
              </w:rPr>
              <w:t>the</w:t>
            </w:r>
            <w:r>
              <w:rPr>
                <w:spacing w:val="-11"/>
                <w:sz w:val="12"/>
              </w:rPr>
              <w:t xml:space="preserve"> </w:t>
            </w:r>
            <w:r>
              <w:rPr>
                <w:sz w:val="12"/>
              </w:rPr>
              <w:t>same</w:t>
            </w:r>
            <w:r>
              <w:rPr>
                <w:spacing w:val="-11"/>
                <w:sz w:val="12"/>
              </w:rPr>
              <w:t xml:space="preserve"> </w:t>
            </w:r>
            <w:r>
              <w:rPr>
                <w:sz w:val="12"/>
              </w:rPr>
              <w:t>category.</w:t>
            </w:r>
          </w:p>
          <w:p w:rsidR="00280DF2" w:rsidP="009C5286" w14:paraId="4FF41A4B" w14:textId="12963DE5">
            <w:pPr>
              <w:pStyle w:val="TableParagraph"/>
              <w:numPr>
                <w:ilvl w:val="0"/>
                <w:numId w:val="91"/>
              </w:numPr>
              <w:tabs>
                <w:tab w:val="left" w:pos="147"/>
              </w:tabs>
              <w:spacing w:line="252" w:lineRule="auto"/>
              <w:ind w:right="30" w:firstLine="0"/>
              <w:rPr>
                <w:sz w:val="12"/>
              </w:rPr>
            </w:pPr>
            <w:r>
              <w:rPr>
                <w:sz w:val="12"/>
              </w:rPr>
              <w:t>The</w:t>
            </w:r>
            <w:r>
              <w:rPr>
                <w:spacing w:val="-10"/>
                <w:sz w:val="12"/>
              </w:rPr>
              <w:t xml:space="preserve"> </w:t>
            </w:r>
            <w:r>
              <w:rPr>
                <w:sz w:val="12"/>
              </w:rPr>
              <w:t>presence</w:t>
            </w:r>
            <w:r>
              <w:rPr>
                <w:spacing w:val="-10"/>
                <w:sz w:val="12"/>
              </w:rPr>
              <w:t xml:space="preserve"> </w:t>
            </w:r>
            <w:r>
              <w:rPr>
                <w:sz w:val="12"/>
              </w:rPr>
              <w:t>of</w:t>
            </w:r>
            <w:r>
              <w:rPr>
                <w:spacing w:val="-9"/>
                <w:sz w:val="12"/>
              </w:rPr>
              <w:t xml:space="preserve"> </w:t>
            </w:r>
            <w:r>
              <w:rPr>
                <w:sz w:val="12"/>
              </w:rPr>
              <w:t>a</w:t>
            </w:r>
            <w:r>
              <w:rPr>
                <w:spacing w:val="-7"/>
                <w:sz w:val="12"/>
              </w:rPr>
              <w:t xml:space="preserve"> </w:t>
            </w:r>
            <w:r>
              <w:rPr>
                <w:sz w:val="12"/>
              </w:rPr>
              <w:t>health</w:t>
            </w:r>
            <w:r>
              <w:rPr>
                <w:spacing w:val="-1"/>
                <w:sz w:val="12"/>
              </w:rPr>
              <w:t xml:space="preserve"> </w:t>
            </w:r>
            <w:r>
              <w:rPr>
                <w:spacing w:val="1"/>
                <w:sz w:val="12"/>
              </w:rPr>
              <w:t>tick</w:t>
            </w:r>
            <w:r>
              <w:rPr>
                <w:spacing w:val="-4"/>
                <w:sz w:val="12"/>
              </w:rPr>
              <w:t xml:space="preserve"> </w:t>
            </w:r>
            <w:r>
              <w:rPr>
                <w:sz w:val="12"/>
              </w:rPr>
              <w:t>on</w:t>
            </w:r>
            <w:r>
              <w:rPr>
                <w:spacing w:val="-1"/>
                <w:sz w:val="12"/>
              </w:rPr>
              <w:t xml:space="preserve"> </w:t>
            </w:r>
            <w:r>
              <w:rPr>
                <w:sz w:val="12"/>
              </w:rPr>
              <w:t>the</w:t>
            </w:r>
            <w:r>
              <w:rPr>
                <w:spacing w:val="-10"/>
                <w:sz w:val="12"/>
              </w:rPr>
              <w:t xml:space="preserve"> </w:t>
            </w:r>
            <w:r w:rsidR="00F638F1">
              <w:rPr>
                <w:sz w:val="12"/>
              </w:rPr>
              <w:t>FOP</w:t>
            </w:r>
            <w:r>
              <w:rPr>
                <w:sz w:val="12"/>
              </w:rPr>
              <w:t xml:space="preserve"> did</w:t>
            </w:r>
            <w:r>
              <w:rPr>
                <w:spacing w:val="-1"/>
                <w:sz w:val="12"/>
              </w:rPr>
              <w:t xml:space="preserve"> </w:t>
            </w:r>
            <w:r>
              <w:rPr>
                <w:sz w:val="12"/>
              </w:rPr>
              <w:t xml:space="preserve">not </w:t>
            </w:r>
            <w:r>
              <w:rPr>
                <w:spacing w:val="-3"/>
                <w:sz w:val="12"/>
              </w:rPr>
              <w:t>affect</w:t>
            </w:r>
            <w:r>
              <w:rPr>
                <w:sz w:val="12"/>
              </w:rPr>
              <w:t xml:space="preserve"> sales</w:t>
            </w:r>
            <w:r>
              <w:rPr>
                <w:spacing w:val="-7"/>
                <w:sz w:val="12"/>
              </w:rPr>
              <w:t xml:space="preserve"> </w:t>
            </w:r>
            <w:r>
              <w:rPr>
                <w:sz w:val="12"/>
              </w:rPr>
              <w:t>of</w:t>
            </w:r>
            <w:r>
              <w:rPr>
                <w:spacing w:val="-9"/>
                <w:sz w:val="12"/>
              </w:rPr>
              <w:t xml:space="preserve"> </w:t>
            </w:r>
            <w:r>
              <w:rPr>
                <w:sz w:val="12"/>
              </w:rPr>
              <w:t>more healthful foods.</w:t>
            </w:r>
          </w:p>
        </w:tc>
      </w:tr>
      <w:tr w14:paraId="1F1181A5" w14:textId="77777777" w:rsidTr="2F9D3AFB">
        <w:tblPrEx>
          <w:tblW w:w="0" w:type="auto"/>
          <w:tblInd w:w="113" w:type="dxa"/>
          <w:tblLayout w:type="fixed"/>
          <w:tblCellMar>
            <w:left w:w="0" w:type="dxa"/>
            <w:right w:w="0" w:type="dxa"/>
          </w:tblCellMar>
          <w:tblLook w:val="01E0"/>
        </w:tblPrEx>
        <w:trPr>
          <w:trHeight w:val="1155"/>
        </w:trPr>
        <w:tc>
          <w:tcPr>
            <w:tcW w:w="1023" w:type="dxa"/>
          </w:tcPr>
          <w:p w:rsidR="00280DF2" w:rsidP="009C5286" w14:paraId="2AC71015" w14:textId="77777777">
            <w:pPr>
              <w:pStyle w:val="TableParagraph"/>
              <w:spacing w:line="140" w:lineRule="exact"/>
              <w:rPr>
                <w:sz w:val="12"/>
              </w:rPr>
            </w:pPr>
            <w:r>
              <w:rPr>
                <w:sz w:val="12"/>
              </w:rPr>
              <w:t>Epstein, et al.</w:t>
            </w:r>
          </w:p>
        </w:tc>
        <w:tc>
          <w:tcPr>
            <w:tcW w:w="2101" w:type="dxa"/>
          </w:tcPr>
          <w:p w:rsidR="00280DF2" w:rsidP="009C5286" w14:paraId="31C0C4C1" w14:textId="77777777">
            <w:pPr>
              <w:pStyle w:val="TableParagraph"/>
              <w:spacing w:line="252" w:lineRule="auto"/>
              <w:rPr>
                <w:sz w:val="12"/>
              </w:rPr>
            </w:pPr>
            <w:r>
              <w:rPr>
                <w:sz w:val="12"/>
              </w:rPr>
              <w:t>Effects of nutrient profiling and price changes based on NuVal® scores on food purchasing in an online experimental supermarket</w:t>
            </w:r>
          </w:p>
        </w:tc>
        <w:tc>
          <w:tcPr>
            <w:tcW w:w="330" w:type="dxa"/>
          </w:tcPr>
          <w:p w:rsidR="00280DF2" w:rsidP="009C5286" w14:paraId="4B48F2C2" w14:textId="77777777">
            <w:pPr>
              <w:pStyle w:val="TableParagraph"/>
              <w:spacing w:line="140" w:lineRule="exact"/>
              <w:rPr>
                <w:sz w:val="12"/>
              </w:rPr>
            </w:pPr>
            <w:r>
              <w:rPr>
                <w:sz w:val="12"/>
              </w:rPr>
              <w:t>2016</w:t>
            </w:r>
          </w:p>
        </w:tc>
        <w:tc>
          <w:tcPr>
            <w:tcW w:w="3553" w:type="dxa"/>
          </w:tcPr>
          <w:p w:rsidR="00280DF2" w:rsidP="009C5286" w14:paraId="4895E3BA" w14:textId="77777777">
            <w:pPr>
              <w:pStyle w:val="TableParagraph"/>
              <w:spacing w:line="140" w:lineRule="exact"/>
              <w:rPr>
                <w:sz w:val="12"/>
              </w:rPr>
            </w:pPr>
            <w:r>
              <w:rPr>
                <w:sz w:val="12"/>
              </w:rPr>
              <w:t>Quantitative</w:t>
            </w:r>
          </w:p>
          <w:p w:rsidR="00280DF2" w:rsidP="009C5286" w14:paraId="394E3BF3" w14:textId="77777777">
            <w:pPr>
              <w:pStyle w:val="TableParagraph"/>
              <w:numPr>
                <w:ilvl w:val="0"/>
                <w:numId w:val="90"/>
              </w:numPr>
              <w:tabs>
                <w:tab w:val="left" w:pos="169"/>
              </w:tabs>
              <w:spacing w:before="7"/>
              <w:ind w:hanging="121"/>
              <w:rPr>
                <w:sz w:val="12"/>
              </w:rPr>
            </w:pPr>
            <w:r>
              <w:rPr>
                <w:sz w:val="12"/>
              </w:rPr>
              <w:t>Online virtual</w:t>
            </w:r>
            <w:r>
              <w:rPr>
                <w:spacing w:val="-11"/>
                <w:sz w:val="12"/>
              </w:rPr>
              <w:t xml:space="preserve"> </w:t>
            </w:r>
            <w:r>
              <w:rPr>
                <w:sz w:val="12"/>
              </w:rPr>
              <w:t>supermarket</w:t>
            </w:r>
          </w:p>
          <w:p w:rsidR="00280DF2" w:rsidP="009C5286" w14:paraId="095EA9E7" w14:textId="77777777">
            <w:pPr>
              <w:pStyle w:val="TableParagraph"/>
              <w:numPr>
                <w:ilvl w:val="0"/>
                <w:numId w:val="90"/>
              </w:numPr>
              <w:tabs>
                <w:tab w:val="left" w:pos="147"/>
              </w:tabs>
              <w:spacing w:before="8"/>
              <w:ind w:left="146" w:hanging="121"/>
              <w:rPr>
                <w:sz w:val="12"/>
              </w:rPr>
            </w:pPr>
            <w:r>
              <w:rPr>
                <w:sz w:val="12"/>
              </w:rPr>
              <w:t>2 x 2 factorial</w:t>
            </w:r>
            <w:r>
              <w:rPr>
                <w:spacing w:val="-5"/>
                <w:sz w:val="12"/>
              </w:rPr>
              <w:t xml:space="preserve"> </w:t>
            </w:r>
            <w:r>
              <w:rPr>
                <w:sz w:val="12"/>
              </w:rPr>
              <w:t>design</w:t>
            </w:r>
          </w:p>
          <w:p w:rsidR="00280DF2" w:rsidP="009C5286" w14:paraId="0FA8C77B" w14:textId="77777777">
            <w:pPr>
              <w:pStyle w:val="TableParagraph"/>
              <w:numPr>
                <w:ilvl w:val="0"/>
                <w:numId w:val="89"/>
              </w:numPr>
              <w:tabs>
                <w:tab w:val="left" w:pos="169"/>
              </w:tabs>
              <w:spacing w:before="7"/>
              <w:ind w:hanging="55"/>
              <w:rPr>
                <w:sz w:val="12"/>
              </w:rPr>
            </w:pPr>
            <w:r>
              <w:rPr>
                <w:sz w:val="12"/>
              </w:rPr>
              <w:t>Nutrient profiling using</w:t>
            </w:r>
            <w:r>
              <w:rPr>
                <w:spacing w:val="-17"/>
                <w:sz w:val="12"/>
              </w:rPr>
              <w:t xml:space="preserve"> </w:t>
            </w:r>
            <w:r>
              <w:rPr>
                <w:sz w:val="12"/>
              </w:rPr>
              <w:t>NuVal</w:t>
            </w:r>
          </w:p>
          <w:p w:rsidR="00280DF2" w:rsidP="009C5286" w14:paraId="58F974E0" w14:textId="77777777">
            <w:pPr>
              <w:pStyle w:val="TableParagraph"/>
              <w:numPr>
                <w:ilvl w:val="0"/>
                <w:numId w:val="89"/>
              </w:numPr>
              <w:tabs>
                <w:tab w:val="left" w:pos="169"/>
              </w:tabs>
              <w:spacing w:before="8"/>
              <w:ind w:hanging="55"/>
              <w:rPr>
                <w:sz w:val="12"/>
              </w:rPr>
            </w:pPr>
            <w:r>
              <w:rPr>
                <w:sz w:val="12"/>
              </w:rPr>
              <w:t xml:space="preserve">Taxes/subsidies </w:t>
            </w:r>
            <w:r>
              <w:rPr>
                <w:spacing w:val="-3"/>
                <w:sz w:val="12"/>
              </w:rPr>
              <w:t xml:space="preserve">based </w:t>
            </w:r>
            <w:r>
              <w:rPr>
                <w:sz w:val="12"/>
              </w:rPr>
              <w:t>on nutrient</w:t>
            </w:r>
            <w:r>
              <w:rPr>
                <w:spacing w:val="-12"/>
                <w:sz w:val="12"/>
              </w:rPr>
              <w:t xml:space="preserve"> </w:t>
            </w:r>
            <w:r>
              <w:rPr>
                <w:sz w:val="12"/>
              </w:rPr>
              <w:t>profiling</w:t>
            </w:r>
          </w:p>
          <w:p w:rsidR="00280DF2" w:rsidP="009C5286" w14:paraId="7505A23E" w14:textId="77777777">
            <w:pPr>
              <w:pStyle w:val="TableParagraph"/>
              <w:numPr>
                <w:ilvl w:val="0"/>
                <w:numId w:val="89"/>
              </w:numPr>
              <w:tabs>
                <w:tab w:val="left" w:pos="169"/>
              </w:tabs>
              <w:spacing w:before="7"/>
              <w:ind w:hanging="55"/>
              <w:rPr>
                <w:sz w:val="12"/>
              </w:rPr>
            </w:pPr>
            <w:r>
              <w:rPr>
                <w:sz w:val="12"/>
              </w:rPr>
              <w:t>781</w:t>
            </w:r>
            <w:r>
              <w:rPr>
                <w:spacing w:val="-1"/>
                <w:sz w:val="12"/>
              </w:rPr>
              <w:t xml:space="preserve"> </w:t>
            </w:r>
            <w:r>
              <w:rPr>
                <w:sz w:val="12"/>
              </w:rPr>
              <w:t>women</w:t>
            </w:r>
          </w:p>
        </w:tc>
        <w:tc>
          <w:tcPr>
            <w:tcW w:w="1199" w:type="dxa"/>
          </w:tcPr>
          <w:p w:rsidR="00280DF2" w:rsidP="009C5286" w14:paraId="742E21CD" w14:textId="77777777">
            <w:pPr>
              <w:pStyle w:val="TableParagraph"/>
              <w:spacing w:line="140" w:lineRule="exact"/>
              <w:rPr>
                <w:sz w:val="12"/>
              </w:rPr>
            </w:pPr>
            <w:r>
              <w:rPr>
                <w:sz w:val="12"/>
              </w:rPr>
              <w:t>NuVal</w:t>
            </w:r>
          </w:p>
        </w:tc>
        <w:tc>
          <w:tcPr>
            <w:tcW w:w="1199" w:type="dxa"/>
          </w:tcPr>
          <w:p w:rsidR="00280DF2" w:rsidP="009C5286" w14:paraId="28D3AA4A" w14:textId="77777777">
            <w:pPr>
              <w:pStyle w:val="TableParagraph"/>
              <w:spacing w:before="12"/>
              <w:ind w:left="44"/>
              <w:rPr>
                <w:sz w:val="12"/>
              </w:rPr>
            </w:pPr>
            <w:r>
              <w:rPr>
                <w:sz w:val="12"/>
              </w:rPr>
              <w:t>N/A</w:t>
            </w:r>
          </w:p>
        </w:tc>
        <w:tc>
          <w:tcPr>
            <w:tcW w:w="550" w:type="dxa"/>
          </w:tcPr>
          <w:p w:rsidR="00280DF2" w:rsidP="009C5286" w14:paraId="5B389340" w14:textId="77777777">
            <w:pPr>
              <w:pStyle w:val="TableParagraph"/>
              <w:spacing w:line="140" w:lineRule="exact"/>
              <w:rPr>
                <w:sz w:val="12"/>
              </w:rPr>
            </w:pPr>
            <w:r>
              <w:rPr>
                <w:sz w:val="12"/>
              </w:rPr>
              <w:t>US</w:t>
            </w:r>
          </w:p>
        </w:tc>
        <w:tc>
          <w:tcPr>
            <w:tcW w:w="3487" w:type="dxa"/>
          </w:tcPr>
          <w:p w:rsidR="00280DF2" w:rsidP="009C5286" w14:paraId="2475EB33" w14:textId="77777777">
            <w:pPr>
              <w:pStyle w:val="TableParagraph"/>
              <w:numPr>
                <w:ilvl w:val="0"/>
                <w:numId w:val="88"/>
              </w:numPr>
              <w:tabs>
                <w:tab w:val="left" w:pos="147"/>
              </w:tabs>
              <w:spacing w:line="252" w:lineRule="auto"/>
              <w:ind w:right="148" w:firstLine="0"/>
              <w:rPr>
                <w:sz w:val="12"/>
              </w:rPr>
            </w:pPr>
            <w:r>
              <w:rPr>
                <w:sz w:val="12"/>
              </w:rPr>
              <w:t>Providing nutrient profiling scores (NuVal) improved overall diet quality</w:t>
            </w:r>
            <w:r>
              <w:rPr>
                <w:spacing w:val="-5"/>
                <w:sz w:val="12"/>
              </w:rPr>
              <w:t xml:space="preserve"> </w:t>
            </w:r>
            <w:r>
              <w:rPr>
                <w:sz w:val="12"/>
              </w:rPr>
              <w:t>of</w:t>
            </w:r>
            <w:r>
              <w:rPr>
                <w:spacing w:val="-10"/>
                <w:sz w:val="12"/>
              </w:rPr>
              <w:t xml:space="preserve"> </w:t>
            </w:r>
            <w:r>
              <w:rPr>
                <w:sz w:val="12"/>
              </w:rPr>
              <w:t>foods</w:t>
            </w:r>
            <w:r>
              <w:rPr>
                <w:spacing w:val="-9"/>
                <w:sz w:val="12"/>
              </w:rPr>
              <w:t xml:space="preserve"> </w:t>
            </w:r>
            <w:r>
              <w:rPr>
                <w:sz w:val="12"/>
              </w:rPr>
              <w:t>purchased.</w:t>
            </w:r>
          </w:p>
          <w:p w:rsidR="00280DF2" w:rsidP="009C5286" w14:paraId="5ACCBB0C" w14:textId="77777777">
            <w:pPr>
              <w:pStyle w:val="TableParagraph"/>
              <w:numPr>
                <w:ilvl w:val="0"/>
                <w:numId w:val="88"/>
              </w:numPr>
              <w:tabs>
                <w:tab w:val="left" w:pos="147"/>
              </w:tabs>
              <w:spacing w:line="252" w:lineRule="auto"/>
              <w:ind w:right="47" w:firstLine="0"/>
              <w:rPr>
                <w:sz w:val="12"/>
              </w:rPr>
            </w:pPr>
            <w:r>
              <w:rPr>
                <w:sz w:val="12"/>
              </w:rPr>
              <w:t xml:space="preserve">Price changes were associated with an increase </w:t>
            </w:r>
            <w:r>
              <w:rPr>
                <w:spacing w:val="1"/>
                <w:sz w:val="12"/>
              </w:rPr>
              <w:t xml:space="preserve">in </w:t>
            </w:r>
            <w:r>
              <w:rPr>
                <w:sz w:val="12"/>
              </w:rPr>
              <w:t xml:space="preserve">protein purchased, an increase </w:t>
            </w:r>
            <w:r>
              <w:rPr>
                <w:spacing w:val="1"/>
                <w:sz w:val="12"/>
              </w:rPr>
              <w:t xml:space="preserve">in </w:t>
            </w:r>
            <w:r>
              <w:rPr>
                <w:spacing w:val="-3"/>
                <w:sz w:val="12"/>
              </w:rPr>
              <w:t xml:space="preserve">energy </w:t>
            </w:r>
            <w:r>
              <w:rPr>
                <w:sz w:val="12"/>
              </w:rPr>
              <w:t>cost, and reduced carbohydrate and protein</w:t>
            </w:r>
            <w:r>
              <w:rPr>
                <w:spacing w:val="-3"/>
                <w:sz w:val="12"/>
              </w:rPr>
              <w:t xml:space="preserve"> </w:t>
            </w:r>
            <w:r>
              <w:rPr>
                <w:sz w:val="12"/>
              </w:rPr>
              <w:t>costs.</w:t>
            </w:r>
          </w:p>
          <w:p w:rsidR="00280DF2" w:rsidP="009C5286" w14:paraId="7B30AC0C" w14:textId="77777777">
            <w:pPr>
              <w:pStyle w:val="TableParagraph"/>
              <w:numPr>
                <w:ilvl w:val="0"/>
                <w:numId w:val="88"/>
              </w:numPr>
              <w:tabs>
                <w:tab w:val="left" w:pos="147"/>
              </w:tabs>
              <w:spacing w:line="252" w:lineRule="auto"/>
              <w:ind w:right="26" w:firstLine="0"/>
              <w:rPr>
                <w:sz w:val="12"/>
              </w:rPr>
            </w:pPr>
            <w:r>
              <w:rPr>
                <w:sz w:val="12"/>
              </w:rPr>
              <w:t>Price changes and nutrient profiling combined were not associated with unique benefits beyond price changes or nutrient profiling alone.</w:t>
            </w:r>
          </w:p>
        </w:tc>
      </w:tr>
      <w:tr w14:paraId="6F16E011" w14:textId="77777777" w:rsidTr="2F9D3AFB">
        <w:tblPrEx>
          <w:tblW w:w="0" w:type="auto"/>
          <w:tblInd w:w="113" w:type="dxa"/>
          <w:tblLayout w:type="fixed"/>
          <w:tblCellMar>
            <w:left w:w="0" w:type="dxa"/>
            <w:right w:w="0" w:type="dxa"/>
          </w:tblCellMar>
          <w:tblLook w:val="01E0"/>
        </w:tblPrEx>
        <w:trPr>
          <w:trHeight w:val="2119"/>
        </w:trPr>
        <w:tc>
          <w:tcPr>
            <w:tcW w:w="1023" w:type="dxa"/>
          </w:tcPr>
          <w:p w:rsidR="00280DF2" w:rsidP="009C5286" w14:paraId="7DA76B4F" w14:textId="77777777">
            <w:pPr>
              <w:pStyle w:val="TableParagraph"/>
              <w:spacing w:line="140" w:lineRule="exact"/>
              <w:rPr>
                <w:sz w:val="12"/>
              </w:rPr>
            </w:pPr>
            <w:r>
              <w:rPr>
                <w:sz w:val="12"/>
              </w:rPr>
              <w:t>Julia, et al.</w:t>
            </w:r>
          </w:p>
        </w:tc>
        <w:tc>
          <w:tcPr>
            <w:tcW w:w="2101" w:type="dxa"/>
          </w:tcPr>
          <w:p w:rsidR="00280DF2" w:rsidP="009C5286" w14:paraId="1ACCA3C5" w14:textId="77777777">
            <w:pPr>
              <w:pStyle w:val="TableParagraph"/>
              <w:spacing w:line="252" w:lineRule="auto"/>
              <w:rPr>
                <w:sz w:val="12"/>
              </w:rPr>
            </w:pPr>
            <w:r>
              <w:rPr>
                <w:sz w:val="12"/>
              </w:rPr>
              <w:t>Impact of the front-of-pack 5-colour nutrition label (5-CNL) on the nutritional quality of purchases: an experimental study</w:t>
            </w:r>
          </w:p>
        </w:tc>
        <w:tc>
          <w:tcPr>
            <w:tcW w:w="330" w:type="dxa"/>
          </w:tcPr>
          <w:p w:rsidR="00280DF2" w:rsidP="009C5286" w14:paraId="37B38FF6" w14:textId="77777777">
            <w:pPr>
              <w:pStyle w:val="TableParagraph"/>
              <w:spacing w:line="140" w:lineRule="exact"/>
              <w:rPr>
                <w:sz w:val="12"/>
              </w:rPr>
            </w:pPr>
            <w:r>
              <w:rPr>
                <w:sz w:val="12"/>
              </w:rPr>
              <w:t>2016</w:t>
            </w:r>
          </w:p>
        </w:tc>
        <w:tc>
          <w:tcPr>
            <w:tcW w:w="3553" w:type="dxa"/>
          </w:tcPr>
          <w:p w:rsidR="00280DF2" w:rsidP="009C5286" w14:paraId="7EA6B092" w14:textId="77777777">
            <w:pPr>
              <w:pStyle w:val="TableParagraph"/>
              <w:spacing w:line="140" w:lineRule="exact"/>
              <w:rPr>
                <w:sz w:val="12"/>
              </w:rPr>
            </w:pPr>
            <w:r>
              <w:rPr>
                <w:sz w:val="12"/>
              </w:rPr>
              <w:t>Quantitative 1.</w:t>
            </w:r>
          </w:p>
          <w:p w:rsidR="00280DF2" w:rsidP="009C5286" w14:paraId="5BD0D9EF" w14:textId="77777777">
            <w:pPr>
              <w:pStyle w:val="TableParagraph"/>
              <w:spacing w:before="7" w:line="252" w:lineRule="auto"/>
              <w:ind w:right="125"/>
              <w:rPr>
                <w:sz w:val="12"/>
              </w:rPr>
            </w:pPr>
            <w:r>
              <w:rPr>
                <w:sz w:val="12"/>
              </w:rPr>
              <w:t xml:space="preserve">LabStores: shopper laboratory stores, </w:t>
            </w:r>
            <w:r>
              <w:rPr>
                <w:sz w:val="12"/>
              </w:rPr>
              <w:t>similar to</w:t>
            </w:r>
            <w:r>
              <w:rPr>
                <w:sz w:val="12"/>
              </w:rPr>
              <w:t xml:space="preserve"> regular stores except no other customers</w:t>
            </w:r>
          </w:p>
          <w:p w:rsidR="00280DF2" w:rsidP="009C5286" w14:paraId="76457A44" w14:textId="77777777">
            <w:pPr>
              <w:pStyle w:val="TableParagraph"/>
              <w:numPr>
                <w:ilvl w:val="0"/>
                <w:numId w:val="87"/>
              </w:numPr>
              <w:tabs>
                <w:tab w:val="left" w:pos="147"/>
              </w:tabs>
              <w:spacing w:before="1" w:line="252" w:lineRule="auto"/>
              <w:ind w:right="466" w:firstLine="0"/>
              <w:rPr>
                <w:sz w:val="12"/>
              </w:rPr>
            </w:pPr>
            <w:r>
              <w:rPr>
                <w:sz w:val="12"/>
              </w:rPr>
              <w:t xml:space="preserve">General purchase instruction, assessment of shopping cart, customers didn't </w:t>
            </w:r>
            <w:r>
              <w:rPr>
                <w:spacing w:val="-3"/>
                <w:sz w:val="12"/>
              </w:rPr>
              <w:t xml:space="preserve">need </w:t>
            </w:r>
            <w:r>
              <w:rPr>
                <w:sz w:val="12"/>
              </w:rPr>
              <w:t>to</w:t>
            </w:r>
            <w:r>
              <w:rPr>
                <w:spacing w:val="-13"/>
                <w:sz w:val="12"/>
              </w:rPr>
              <w:t xml:space="preserve"> </w:t>
            </w:r>
            <w:r>
              <w:rPr>
                <w:sz w:val="12"/>
              </w:rPr>
              <w:t>pay</w:t>
            </w:r>
          </w:p>
          <w:p w:rsidR="00280DF2" w:rsidP="009C5286" w14:paraId="627077BD" w14:textId="77777777">
            <w:pPr>
              <w:pStyle w:val="TableParagraph"/>
              <w:numPr>
                <w:ilvl w:val="0"/>
                <w:numId w:val="87"/>
              </w:numPr>
              <w:tabs>
                <w:tab w:val="left" w:pos="147"/>
              </w:tabs>
              <w:ind w:firstLine="0"/>
              <w:rPr>
                <w:sz w:val="12"/>
              </w:rPr>
            </w:pPr>
            <w:r>
              <w:rPr>
                <w:sz w:val="12"/>
              </w:rPr>
              <w:t>Three experimental</w:t>
            </w:r>
            <w:r>
              <w:rPr>
                <w:spacing w:val="11"/>
                <w:sz w:val="12"/>
              </w:rPr>
              <w:t xml:space="preserve"> </w:t>
            </w:r>
            <w:r>
              <w:rPr>
                <w:sz w:val="12"/>
              </w:rPr>
              <w:t>conditions:</w:t>
            </w:r>
          </w:p>
          <w:p w:rsidR="00280DF2" w:rsidP="009C5286" w14:paraId="0FAE8360" w14:textId="77777777">
            <w:pPr>
              <w:pStyle w:val="TableParagraph"/>
              <w:numPr>
                <w:ilvl w:val="0"/>
                <w:numId w:val="86"/>
              </w:numPr>
              <w:tabs>
                <w:tab w:val="left" w:pos="169"/>
              </w:tabs>
              <w:spacing w:before="7"/>
              <w:ind w:firstLine="88"/>
              <w:rPr>
                <w:sz w:val="12"/>
              </w:rPr>
            </w:pPr>
            <w:r>
              <w:rPr>
                <w:sz w:val="12"/>
              </w:rPr>
              <w:t>Control</w:t>
            </w:r>
          </w:p>
          <w:p w:rsidR="00280DF2" w:rsidP="009C5286" w14:paraId="34F2BB10" w14:textId="77777777">
            <w:pPr>
              <w:pStyle w:val="TableParagraph"/>
              <w:numPr>
                <w:ilvl w:val="0"/>
                <w:numId w:val="86"/>
              </w:numPr>
              <w:tabs>
                <w:tab w:val="left" w:pos="169"/>
              </w:tabs>
              <w:spacing w:before="8"/>
              <w:ind w:firstLine="88"/>
              <w:rPr>
                <w:sz w:val="12"/>
              </w:rPr>
            </w:pPr>
            <w:r>
              <w:rPr>
                <w:sz w:val="12"/>
              </w:rPr>
              <w:t>5-CNL</w:t>
            </w:r>
            <w:r>
              <w:rPr>
                <w:spacing w:val="-1"/>
                <w:sz w:val="12"/>
              </w:rPr>
              <w:t xml:space="preserve"> </w:t>
            </w:r>
            <w:r>
              <w:rPr>
                <w:sz w:val="12"/>
              </w:rPr>
              <w:t>alone</w:t>
            </w:r>
          </w:p>
          <w:p w:rsidR="00280DF2" w:rsidP="009C5286" w14:paraId="5EFF2FB3" w14:textId="77777777">
            <w:pPr>
              <w:pStyle w:val="TableParagraph"/>
              <w:numPr>
                <w:ilvl w:val="0"/>
                <w:numId w:val="86"/>
              </w:numPr>
              <w:tabs>
                <w:tab w:val="left" w:pos="169"/>
              </w:tabs>
              <w:spacing w:before="8" w:line="252" w:lineRule="auto"/>
              <w:ind w:right="203" w:firstLine="88"/>
              <w:rPr>
                <w:sz w:val="12"/>
              </w:rPr>
            </w:pPr>
            <w:r>
              <w:rPr>
                <w:sz w:val="12"/>
              </w:rPr>
              <w:t>5-CNL + consumer information (on use and understanding of the label)</w:t>
            </w:r>
          </w:p>
          <w:p w:rsidR="00280DF2" w:rsidP="009C5286" w14:paraId="7ED5CC87" w14:textId="77777777">
            <w:pPr>
              <w:pStyle w:val="TableParagraph"/>
              <w:spacing w:line="252" w:lineRule="auto"/>
              <w:rPr>
                <w:sz w:val="12"/>
              </w:rPr>
            </w:pPr>
            <w:r>
              <w:rPr>
                <w:sz w:val="12"/>
              </w:rPr>
              <w:t>4. Outcome: nutritional quality of items purchased, awareness and understanding of the label</w:t>
            </w:r>
          </w:p>
          <w:p w:rsidR="00280DF2" w:rsidP="009C5286" w14:paraId="6B144376" w14:textId="77777777">
            <w:pPr>
              <w:pStyle w:val="TableParagraph"/>
              <w:rPr>
                <w:sz w:val="12"/>
              </w:rPr>
            </w:pPr>
            <w:r>
              <w:rPr>
                <w:sz w:val="12"/>
              </w:rPr>
              <w:t>901 participants.</w:t>
            </w:r>
          </w:p>
        </w:tc>
        <w:tc>
          <w:tcPr>
            <w:tcW w:w="1199" w:type="dxa"/>
          </w:tcPr>
          <w:p w:rsidR="00280DF2" w:rsidP="009C5286" w14:paraId="036CFFC8" w14:textId="77777777">
            <w:pPr>
              <w:pStyle w:val="TableParagraph"/>
              <w:spacing w:line="252" w:lineRule="auto"/>
              <w:ind w:right="257"/>
              <w:rPr>
                <w:sz w:val="12"/>
              </w:rPr>
            </w:pPr>
            <w:r>
              <w:rPr>
                <w:sz w:val="12"/>
              </w:rPr>
              <w:t>5-Color Nutrition Label (5-CNL)</w:t>
            </w:r>
          </w:p>
        </w:tc>
        <w:tc>
          <w:tcPr>
            <w:tcW w:w="1199" w:type="dxa"/>
          </w:tcPr>
          <w:p w:rsidR="00280DF2" w:rsidP="009C5286" w14:paraId="079D3D27" w14:textId="77777777">
            <w:pPr>
              <w:pStyle w:val="TableParagraph"/>
              <w:spacing w:before="7"/>
              <w:ind w:left="0"/>
              <w:rPr>
                <w:rFonts w:ascii="Times New Roman"/>
                <w:sz w:val="2"/>
              </w:rPr>
            </w:pPr>
          </w:p>
          <w:p w:rsidR="00280DF2" w:rsidP="009C5286" w14:paraId="363FBC10" w14:textId="77777777">
            <w:pPr>
              <w:pStyle w:val="TableParagraph"/>
              <w:ind w:left="41" w:right="-3"/>
              <w:rPr>
                <w:rFonts w:ascii="Times New Roman"/>
                <w:sz w:val="20"/>
              </w:rPr>
            </w:pPr>
            <w:r>
              <w:rPr>
                <w:noProof/>
              </w:rPr>
              <w:drawing>
                <wp:inline distT="0" distB="0" distL="0" distR="0">
                  <wp:extent cx="701633" cy="7761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01633" cy="776192"/>
                          </a:xfrm>
                          <a:prstGeom prst="rect">
                            <a:avLst/>
                          </a:prstGeom>
                        </pic:spPr>
                      </pic:pic>
                    </a:graphicData>
                  </a:graphic>
                </wp:inline>
              </w:drawing>
            </w:r>
          </w:p>
        </w:tc>
        <w:tc>
          <w:tcPr>
            <w:tcW w:w="550" w:type="dxa"/>
          </w:tcPr>
          <w:p w:rsidR="00280DF2" w:rsidP="009C5286" w14:paraId="461E82CF" w14:textId="77777777">
            <w:pPr>
              <w:pStyle w:val="TableParagraph"/>
              <w:spacing w:line="140" w:lineRule="exact"/>
              <w:rPr>
                <w:sz w:val="12"/>
              </w:rPr>
            </w:pPr>
            <w:r>
              <w:rPr>
                <w:sz w:val="12"/>
              </w:rPr>
              <w:t>France</w:t>
            </w:r>
          </w:p>
        </w:tc>
        <w:tc>
          <w:tcPr>
            <w:tcW w:w="3487" w:type="dxa"/>
          </w:tcPr>
          <w:p w:rsidR="00280DF2" w:rsidP="009C5286" w14:paraId="1B8D269A" w14:textId="77777777">
            <w:pPr>
              <w:pStyle w:val="TableParagraph"/>
              <w:spacing w:line="140" w:lineRule="exact"/>
              <w:rPr>
                <w:sz w:val="12"/>
              </w:rPr>
            </w:pPr>
            <w:r>
              <w:rPr>
                <w:sz w:val="12"/>
              </w:rPr>
              <w:t>1. Sales/purchase: the nutritional quality of items purchased</w:t>
            </w:r>
          </w:p>
          <w:p w:rsidR="00280DF2" w:rsidP="009C5286" w14:paraId="110EAEE6" w14:textId="77777777">
            <w:pPr>
              <w:pStyle w:val="TableParagraph"/>
              <w:numPr>
                <w:ilvl w:val="0"/>
                <w:numId w:val="85"/>
              </w:numPr>
              <w:tabs>
                <w:tab w:val="left" w:pos="169"/>
              </w:tabs>
              <w:spacing w:before="7" w:line="252" w:lineRule="auto"/>
              <w:ind w:right="398" w:firstLine="88"/>
              <w:rPr>
                <w:sz w:val="12"/>
              </w:rPr>
            </w:pPr>
            <w:r>
              <w:rPr>
                <w:spacing w:val="-4"/>
                <w:sz w:val="12"/>
              </w:rPr>
              <w:t xml:space="preserve">sweet </w:t>
            </w:r>
            <w:r>
              <w:rPr>
                <w:sz w:val="12"/>
              </w:rPr>
              <w:t>biscuits: label + communication group picked higher nutritional quality products than other</w:t>
            </w:r>
            <w:r>
              <w:rPr>
                <w:spacing w:val="-11"/>
                <w:sz w:val="12"/>
              </w:rPr>
              <w:t xml:space="preserve"> </w:t>
            </w:r>
            <w:r>
              <w:rPr>
                <w:sz w:val="12"/>
              </w:rPr>
              <w:t>groups</w:t>
            </w:r>
          </w:p>
          <w:p w:rsidR="00280DF2" w:rsidP="009C5286" w14:paraId="7B5875EF" w14:textId="77777777">
            <w:pPr>
              <w:pStyle w:val="TableParagraph"/>
              <w:numPr>
                <w:ilvl w:val="0"/>
                <w:numId w:val="85"/>
              </w:numPr>
              <w:tabs>
                <w:tab w:val="left" w:pos="169"/>
              </w:tabs>
              <w:spacing w:before="1"/>
              <w:ind w:firstLine="88"/>
              <w:rPr>
                <w:sz w:val="12"/>
              </w:rPr>
            </w:pPr>
            <w:r>
              <w:rPr>
                <w:sz w:val="12"/>
              </w:rPr>
              <w:t>no</w:t>
            </w:r>
            <w:r>
              <w:rPr>
                <w:spacing w:val="-3"/>
                <w:sz w:val="12"/>
              </w:rPr>
              <w:t xml:space="preserve"> </w:t>
            </w:r>
            <w:r>
              <w:rPr>
                <w:sz w:val="12"/>
              </w:rPr>
              <w:t>other</w:t>
            </w:r>
            <w:r>
              <w:rPr>
                <w:spacing w:val="-4"/>
                <w:sz w:val="12"/>
              </w:rPr>
              <w:t xml:space="preserve"> </w:t>
            </w:r>
            <w:r>
              <w:rPr>
                <w:sz w:val="12"/>
              </w:rPr>
              <w:t>difference</w:t>
            </w:r>
            <w:r>
              <w:rPr>
                <w:spacing w:val="-11"/>
                <w:sz w:val="12"/>
              </w:rPr>
              <w:t xml:space="preserve"> </w:t>
            </w:r>
            <w:r>
              <w:rPr>
                <w:sz w:val="12"/>
              </w:rPr>
              <w:t>observed</w:t>
            </w:r>
            <w:r>
              <w:rPr>
                <w:spacing w:val="-3"/>
                <w:sz w:val="12"/>
              </w:rPr>
              <w:t xml:space="preserve"> </w:t>
            </w:r>
            <w:r>
              <w:rPr>
                <w:sz w:val="12"/>
              </w:rPr>
              <w:t>for</w:t>
            </w:r>
            <w:r>
              <w:rPr>
                <w:spacing w:val="-4"/>
                <w:sz w:val="12"/>
              </w:rPr>
              <w:t xml:space="preserve"> </w:t>
            </w:r>
            <w:r>
              <w:rPr>
                <w:sz w:val="12"/>
              </w:rPr>
              <w:t>other</w:t>
            </w:r>
            <w:r>
              <w:rPr>
                <w:spacing w:val="-4"/>
                <w:sz w:val="12"/>
              </w:rPr>
              <w:t xml:space="preserve"> </w:t>
            </w:r>
            <w:r>
              <w:rPr>
                <w:sz w:val="12"/>
              </w:rPr>
              <w:t>food</w:t>
            </w:r>
            <w:r>
              <w:rPr>
                <w:spacing w:val="-3"/>
                <w:sz w:val="12"/>
              </w:rPr>
              <w:t xml:space="preserve"> </w:t>
            </w:r>
            <w:r>
              <w:rPr>
                <w:sz w:val="12"/>
              </w:rPr>
              <w:t>categories</w:t>
            </w:r>
          </w:p>
          <w:p w:rsidR="00280DF2" w:rsidP="009C5286" w14:paraId="0BB13D80" w14:textId="77777777">
            <w:pPr>
              <w:pStyle w:val="TableParagraph"/>
              <w:numPr>
                <w:ilvl w:val="0"/>
                <w:numId w:val="84"/>
              </w:numPr>
              <w:tabs>
                <w:tab w:val="left" w:pos="147"/>
              </w:tabs>
              <w:spacing w:before="7" w:line="252" w:lineRule="auto"/>
              <w:ind w:right="191" w:firstLine="0"/>
              <w:rPr>
                <w:sz w:val="12"/>
              </w:rPr>
            </w:pPr>
            <w:r>
              <w:rPr>
                <w:sz w:val="12"/>
              </w:rPr>
              <w:t xml:space="preserve">Attention (recall of 5-CNL): higher </w:t>
            </w:r>
            <w:r>
              <w:rPr>
                <w:spacing w:val="1"/>
                <w:sz w:val="12"/>
              </w:rPr>
              <w:t xml:space="preserve">in </w:t>
            </w:r>
            <w:r>
              <w:rPr>
                <w:sz w:val="12"/>
              </w:rPr>
              <w:t>the label + communication group</w:t>
            </w:r>
          </w:p>
          <w:p w:rsidR="00280DF2" w:rsidP="009C5286" w14:paraId="29910BBA" w14:textId="77777777">
            <w:pPr>
              <w:pStyle w:val="TableParagraph"/>
              <w:numPr>
                <w:ilvl w:val="0"/>
                <w:numId w:val="84"/>
              </w:numPr>
              <w:tabs>
                <w:tab w:val="left" w:pos="147"/>
              </w:tabs>
              <w:spacing w:line="252" w:lineRule="auto"/>
              <w:ind w:right="62" w:firstLine="0"/>
              <w:rPr>
                <w:sz w:val="12"/>
              </w:rPr>
            </w:pPr>
            <w:r>
              <w:rPr>
                <w:sz w:val="12"/>
              </w:rPr>
              <w:t>Self-reported understanding: label + communication &gt; label only &gt; control</w:t>
            </w:r>
          </w:p>
        </w:tc>
      </w:tr>
      <w:tr w14:paraId="5DB64A8D" w14:textId="77777777" w:rsidTr="2F9D3AFB">
        <w:tblPrEx>
          <w:tblW w:w="0" w:type="auto"/>
          <w:tblInd w:w="113" w:type="dxa"/>
          <w:tblLayout w:type="fixed"/>
          <w:tblCellMar>
            <w:left w:w="0" w:type="dxa"/>
            <w:right w:w="0" w:type="dxa"/>
          </w:tblCellMar>
          <w:tblLook w:val="01E0"/>
        </w:tblPrEx>
        <w:trPr>
          <w:trHeight w:val="1459"/>
        </w:trPr>
        <w:tc>
          <w:tcPr>
            <w:tcW w:w="1023" w:type="dxa"/>
          </w:tcPr>
          <w:p w:rsidR="00280DF2" w:rsidP="009C5286" w14:paraId="5B9EE482" w14:textId="77777777">
            <w:pPr>
              <w:pStyle w:val="TableParagraph"/>
              <w:spacing w:line="140" w:lineRule="exact"/>
              <w:rPr>
                <w:sz w:val="12"/>
              </w:rPr>
            </w:pPr>
            <w:r>
              <w:rPr>
                <w:sz w:val="12"/>
              </w:rPr>
              <w:t>Wang, et al.</w:t>
            </w:r>
          </w:p>
        </w:tc>
        <w:tc>
          <w:tcPr>
            <w:tcW w:w="2101" w:type="dxa"/>
          </w:tcPr>
          <w:p w:rsidR="00280DF2" w:rsidP="009C5286" w14:paraId="79B144A3" w14:textId="77777777">
            <w:pPr>
              <w:pStyle w:val="TableParagraph"/>
              <w:spacing w:line="252" w:lineRule="auto"/>
              <w:rPr>
                <w:sz w:val="12"/>
              </w:rPr>
            </w:pPr>
            <w:r>
              <w:rPr>
                <w:sz w:val="12"/>
              </w:rPr>
              <w:t>Snacks with nutrition labels: tastiness perception, healthiness perception, and willingness to pay by Norwegian adolescents</w:t>
            </w:r>
          </w:p>
        </w:tc>
        <w:tc>
          <w:tcPr>
            <w:tcW w:w="330" w:type="dxa"/>
          </w:tcPr>
          <w:p w:rsidR="00280DF2" w:rsidP="009C5286" w14:paraId="20A31342" w14:textId="77777777">
            <w:pPr>
              <w:pStyle w:val="TableParagraph"/>
              <w:spacing w:line="140" w:lineRule="exact"/>
              <w:rPr>
                <w:sz w:val="12"/>
              </w:rPr>
            </w:pPr>
            <w:r>
              <w:rPr>
                <w:sz w:val="12"/>
              </w:rPr>
              <w:t>2016</w:t>
            </w:r>
          </w:p>
        </w:tc>
        <w:tc>
          <w:tcPr>
            <w:tcW w:w="3553" w:type="dxa"/>
          </w:tcPr>
          <w:p w:rsidR="00280DF2" w:rsidP="009C5286" w14:paraId="2B269023" w14:textId="77777777">
            <w:pPr>
              <w:pStyle w:val="TableParagraph"/>
              <w:spacing w:line="140" w:lineRule="exact"/>
              <w:rPr>
                <w:sz w:val="12"/>
              </w:rPr>
            </w:pPr>
            <w:r>
              <w:rPr>
                <w:sz w:val="12"/>
              </w:rPr>
              <w:t>Quantitative</w:t>
            </w:r>
          </w:p>
          <w:p w:rsidR="00280DF2" w:rsidP="009C5286" w14:paraId="01745B4C" w14:textId="77777777">
            <w:pPr>
              <w:pStyle w:val="TableParagraph"/>
              <w:spacing w:before="7"/>
              <w:rPr>
                <w:sz w:val="12"/>
              </w:rPr>
            </w:pPr>
            <w:r>
              <w:rPr>
                <w:sz w:val="12"/>
              </w:rPr>
              <w:t>1. Experiment: 3 tasks (compare healthfulness, provide prices, use of</w:t>
            </w:r>
          </w:p>
          <w:p w:rsidR="00280DF2" w:rsidP="009C5286" w14:paraId="67DF1825" w14:textId="77777777">
            <w:pPr>
              <w:pStyle w:val="TableParagraph"/>
              <w:spacing w:before="8" w:line="252" w:lineRule="auto"/>
              <w:rPr>
                <w:sz w:val="12"/>
              </w:rPr>
            </w:pPr>
            <w:r>
              <w:rPr>
                <w:sz w:val="12"/>
              </w:rPr>
              <w:t>%DV to identify healthier products), 3 conditions - on the front of packages</w:t>
            </w:r>
          </w:p>
          <w:p w:rsidR="00280DF2" w:rsidP="009C5286" w14:paraId="74AE43B8" w14:textId="77777777">
            <w:pPr>
              <w:pStyle w:val="TableParagraph"/>
              <w:numPr>
                <w:ilvl w:val="0"/>
                <w:numId w:val="83"/>
              </w:numPr>
              <w:tabs>
                <w:tab w:val="left" w:pos="169"/>
              </w:tabs>
              <w:ind w:hanging="55"/>
              <w:rPr>
                <w:sz w:val="12"/>
              </w:rPr>
            </w:pPr>
            <w:r>
              <w:rPr>
                <w:sz w:val="12"/>
              </w:rPr>
              <w:t>Plain label (not nutrition</w:t>
            </w:r>
            <w:r>
              <w:rPr>
                <w:spacing w:val="-6"/>
                <w:sz w:val="12"/>
              </w:rPr>
              <w:t xml:space="preserve"> </w:t>
            </w:r>
            <w:r>
              <w:rPr>
                <w:sz w:val="12"/>
              </w:rPr>
              <w:t>info)</w:t>
            </w:r>
          </w:p>
          <w:p w:rsidR="00280DF2" w:rsidP="009C5286" w14:paraId="5C68CDF2" w14:textId="77777777">
            <w:pPr>
              <w:pStyle w:val="TableParagraph"/>
              <w:numPr>
                <w:ilvl w:val="0"/>
                <w:numId w:val="83"/>
              </w:numPr>
              <w:tabs>
                <w:tab w:val="left" w:pos="169"/>
              </w:tabs>
              <w:spacing w:before="8"/>
              <w:ind w:hanging="55"/>
              <w:rPr>
                <w:sz w:val="12"/>
              </w:rPr>
            </w:pPr>
            <w:r>
              <w:rPr>
                <w:sz w:val="12"/>
              </w:rPr>
              <w:t>Plain label +</w:t>
            </w:r>
            <w:r>
              <w:rPr>
                <w:spacing w:val="-14"/>
                <w:sz w:val="12"/>
              </w:rPr>
              <w:t xml:space="preserve"> </w:t>
            </w:r>
            <w:r>
              <w:rPr>
                <w:sz w:val="12"/>
              </w:rPr>
              <w:t>Keyhole</w:t>
            </w:r>
          </w:p>
          <w:p w:rsidR="00280DF2" w:rsidP="009C5286" w14:paraId="3BB1B087" w14:textId="77777777">
            <w:pPr>
              <w:pStyle w:val="TableParagraph"/>
              <w:numPr>
                <w:ilvl w:val="0"/>
                <w:numId w:val="83"/>
              </w:numPr>
              <w:tabs>
                <w:tab w:val="left" w:pos="169"/>
              </w:tabs>
              <w:spacing w:before="7"/>
              <w:ind w:hanging="55"/>
              <w:rPr>
                <w:sz w:val="12"/>
              </w:rPr>
            </w:pPr>
            <w:r>
              <w:rPr>
                <w:sz w:val="12"/>
              </w:rPr>
              <w:t>Plain</w:t>
            </w:r>
            <w:r>
              <w:rPr>
                <w:spacing w:val="-3"/>
                <w:sz w:val="12"/>
              </w:rPr>
              <w:t xml:space="preserve"> </w:t>
            </w:r>
            <w:r>
              <w:rPr>
                <w:sz w:val="12"/>
              </w:rPr>
              <w:t>label +</w:t>
            </w:r>
            <w:r>
              <w:rPr>
                <w:spacing w:val="-11"/>
                <w:sz w:val="12"/>
              </w:rPr>
              <w:t xml:space="preserve"> </w:t>
            </w:r>
            <w:r>
              <w:rPr>
                <w:sz w:val="12"/>
              </w:rPr>
              <w:t>%DV</w:t>
            </w:r>
            <w:r>
              <w:rPr>
                <w:spacing w:val="-8"/>
                <w:sz w:val="12"/>
              </w:rPr>
              <w:t xml:space="preserve"> </w:t>
            </w:r>
            <w:r>
              <w:rPr>
                <w:sz w:val="12"/>
              </w:rPr>
              <w:t>nutrition</w:t>
            </w:r>
            <w:r>
              <w:rPr>
                <w:spacing w:val="-3"/>
                <w:sz w:val="12"/>
              </w:rPr>
              <w:t xml:space="preserve"> </w:t>
            </w:r>
            <w:r>
              <w:rPr>
                <w:sz w:val="12"/>
              </w:rPr>
              <w:t>facts</w:t>
            </w:r>
          </w:p>
          <w:p w:rsidR="00280DF2" w:rsidP="009C5286" w14:paraId="2ACE0F4C" w14:textId="77777777">
            <w:pPr>
              <w:pStyle w:val="TableParagraph"/>
              <w:spacing w:before="8"/>
              <w:rPr>
                <w:sz w:val="12"/>
              </w:rPr>
            </w:pPr>
            <w:r>
              <w:rPr>
                <w:sz w:val="12"/>
              </w:rPr>
              <w:t>2. Survey</w:t>
            </w:r>
          </w:p>
          <w:p w:rsidR="00280DF2" w:rsidP="009C5286" w14:paraId="3E2DB1CC" w14:textId="77777777">
            <w:pPr>
              <w:pStyle w:val="TableParagraph"/>
              <w:spacing w:before="7"/>
              <w:rPr>
                <w:sz w:val="12"/>
              </w:rPr>
            </w:pPr>
            <w:r>
              <w:rPr>
                <w:sz w:val="12"/>
              </w:rPr>
              <w:t>n=566 adolescents</w:t>
            </w:r>
          </w:p>
        </w:tc>
        <w:tc>
          <w:tcPr>
            <w:tcW w:w="1199" w:type="dxa"/>
          </w:tcPr>
          <w:p w:rsidR="00280DF2" w:rsidP="009C5286" w14:paraId="7A0ABB1E" w14:textId="77777777">
            <w:pPr>
              <w:pStyle w:val="TableParagraph"/>
              <w:numPr>
                <w:ilvl w:val="0"/>
                <w:numId w:val="82"/>
              </w:numPr>
              <w:tabs>
                <w:tab w:val="left" w:pos="147"/>
              </w:tabs>
              <w:spacing w:line="140" w:lineRule="exact"/>
              <w:ind w:hanging="121"/>
              <w:rPr>
                <w:sz w:val="12"/>
              </w:rPr>
            </w:pPr>
            <w:r>
              <w:rPr>
                <w:sz w:val="12"/>
              </w:rPr>
              <w:t>Keyhole</w:t>
            </w:r>
            <w:r>
              <w:rPr>
                <w:spacing w:val="-11"/>
                <w:sz w:val="12"/>
              </w:rPr>
              <w:t xml:space="preserve"> </w:t>
            </w:r>
            <w:r>
              <w:rPr>
                <w:sz w:val="12"/>
              </w:rPr>
              <w:t>symbol</w:t>
            </w:r>
          </w:p>
          <w:p w:rsidR="00280DF2" w:rsidP="009C5286" w14:paraId="08B97034" w14:textId="77777777">
            <w:pPr>
              <w:pStyle w:val="TableParagraph"/>
              <w:numPr>
                <w:ilvl w:val="0"/>
                <w:numId w:val="82"/>
              </w:numPr>
              <w:tabs>
                <w:tab w:val="left" w:pos="147"/>
              </w:tabs>
              <w:spacing w:before="7"/>
              <w:ind w:hanging="121"/>
              <w:rPr>
                <w:sz w:val="12"/>
              </w:rPr>
            </w:pPr>
            <w:r>
              <w:rPr>
                <w:sz w:val="12"/>
              </w:rPr>
              <w:t>%</w:t>
            </w:r>
            <w:r>
              <w:rPr>
                <w:spacing w:val="-4"/>
                <w:sz w:val="12"/>
              </w:rPr>
              <w:t xml:space="preserve"> </w:t>
            </w:r>
            <w:r>
              <w:rPr>
                <w:sz w:val="12"/>
              </w:rPr>
              <w:t>DV</w:t>
            </w:r>
          </w:p>
        </w:tc>
        <w:tc>
          <w:tcPr>
            <w:tcW w:w="1199" w:type="dxa"/>
          </w:tcPr>
          <w:p w:rsidR="00280DF2" w:rsidP="009C5286" w14:paraId="4D122992" w14:textId="77777777">
            <w:pPr>
              <w:pStyle w:val="TableParagraph"/>
              <w:spacing w:before="3"/>
              <w:ind w:left="0"/>
              <w:rPr>
                <w:rFonts w:ascii="Times New Roman"/>
                <w:sz w:val="2"/>
              </w:rPr>
            </w:pPr>
          </w:p>
          <w:p w:rsidR="00280DF2" w:rsidP="009C5286" w14:paraId="4CD1A619" w14:textId="77777777">
            <w:pPr>
              <w:pStyle w:val="TableParagraph"/>
              <w:ind w:left="27" w:right="-32"/>
              <w:rPr>
                <w:rFonts w:ascii="Times New Roman"/>
                <w:sz w:val="20"/>
              </w:rPr>
            </w:pPr>
            <w:r>
              <w:rPr>
                <w:noProof/>
              </w:rPr>
              <w:drawing>
                <wp:inline distT="0" distB="0" distL="0" distR="0">
                  <wp:extent cx="729268" cy="1948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729268" cy="194881"/>
                          </a:xfrm>
                          <a:prstGeom prst="rect">
                            <a:avLst/>
                          </a:prstGeom>
                        </pic:spPr>
                      </pic:pic>
                    </a:graphicData>
                  </a:graphic>
                </wp:inline>
              </w:drawing>
            </w:r>
          </w:p>
          <w:p w:rsidR="00280DF2" w:rsidP="009C5286" w14:paraId="21DDE1AE" w14:textId="77777777">
            <w:pPr>
              <w:pStyle w:val="TableParagraph"/>
              <w:spacing w:before="10"/>
              <w:ind w:left="0"/>
              <w:rPr>
                <w:rFonts w:ascii="Times New Roman"/>
                <w:sz w:val="5"/>
              </w:rPr>
            </w:pPr>
          </w:p>
          <w:p w:rsidR="00280DF2" w:rsidP="009C5286" w14:paraId="58278675" w14:textId="77777777">
            <w:pPr>
              <w:pStyle w:val="TableParagraph"/>
              <w:ind w:left="35"/>
              <w:rPr>
                <w:rFonts w:ascii="Times New Roman"/>
                <w:sz w:val="20"/>
              </w:rPr>
            </w:pPr>
            <w:r>
              <w:rPr>
                <w:noProof/>
              </w:rPr>
              <w:drawing>
                <wp:inline distT="0" distB="0" distL="0" distR="0">
                  <wp:extent cx="258699" cy="266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8699" cy="266700"/>
                          </a:xfrm>
                          <a:prstGeom prst="rect">
                            <a:avLst/>
                          </a:prstGeom>
                        </pic:spPr>
                      </pic:pic>
                    </a:graphicData>
                  </a:graphic>
                </wp:inline>
              </w:drawing>
            </w:r>
          </w:p>
        </w:tc>
        <w:tc>
          <w:tcPr>
            <w:tcW w:w="550" w:type="dxa"/>
          </w:tcPr>
          <w:p w:rsidR="00280DF2" w:rsidP="009C5286" w14:paraId="7F5E23D2" w14:textId="77777777">
            <w:pPr>
              <w:pStyle w:val="TableParagraph"/>
              <w:spacing w:line="140" w:lineRule="exact"/>
              <w:rPr>
                <w:sz w:val="12"/>
              </w:rPr>
            </w:pPr>
            <w:r>
              <w:rPr>
                <w:sz w:val="12"/>
              </w:rPr>
              <w:t>Norway</w:t>
            </w:r>
          </w:p>
        </w:tc>
        <w:tc>
          <w:tcPr>
            <w:tcW w:w="3487" w:type="dxa"/>
          </w:tcPr>
          <w:p w:rsidR="00280DF2" w:rsidP="009C5286" w14:paraId="59913004" w14:textId="77777777">
            <w:pPr>
              <w:pStyle w:val="TableParagraph"/>
              <w:numPr>
                <w:ilvl w:val="0"/>
                <w:numId w:val="81"/>
              </w:numPr>
              <w:tabs>
                <w:tab w:val="left" w:pos="147"/>
              </w:tabs>
              <w:spacing w:line="252" w:lineRule="auto"/>
              <w:ind w:right="511" w:firstLine="0"/>
              <w:rPr>
                <w:sz w:val="12"/>
              </w:rPr>
            </w:pPr>
            <w:r>
              <w:rPr>
                <w:sz w:val="12"/>
              </w:rPr>
              <w:t>The Keyhole symbol increased health perception without influencing</w:t>
            </w:r>
            <w:r>
              <w:rPr>
                <w:spacing w:val="-7"/>
                <w:sz w:val="12"/>
              </w:rPr>
              <w:t xml:space="preserve"> </w:t>
            </w:r>
            <w:r>
              <w:rPr>
                <w:sz w:val="12"/>
              </w:rPr>
              <w:t>taste</w:t>
            </w:r>
            <w:r>
              <w:rPr>
                <w:spacing w:val="-10"/>
                <w:sz w:val="12"/>
              </w:rPr>
              <w:t xml:space="preserve"> </w:t>
            </w:r>
            <w:r>
              <w:rPr>
                <w:sz w:val="12"/>
              </w:rPr>
              <w:t>perception</w:t>
            </w:r>
            <w:r>
              <w:rPr>
                <w:spacing w:val="-1"/>
                <w:sz w:val="12"/>
              </w:rPr>
              <w:t xml:space="preserve"> </w:t>
            </w:r>
            <w:r>
              <w:rPr>
                <w:sz w:val="12"/>
              </w:rPr>
              <w:t>or</w:t>
            </w:r>
            <w:r>
              <w:rPr>
                <w:spacing w:val="-2"/>
                <w:sz w:val="12"/>
              </w:rPr>
              <w:t xml:space="preserve"> </w:t>
            </w:r>
            <w:r>
              <w:rPr>
                <w:sz w:val="12"/>
              </w:rPr>
              <w:t>willingness</w:t>
            </w:r>
            <w:r>
              <w:rPr>
                <w:spacing w:val="-8"/>
                <w:sz w:val="12"/>
              </w:rPr>
              <w:t xml:space="preserve"> </w:t>
            </w:r>
            <w:r>
              <w:rPr>
                <w:sz w:val="12"/>
              </w:rPr>
              <w:t>to</w:t>
            </w:r>
            <w:r>
              <w:rPr>
                <w:spacing w:val="-1"/>
                <w:sz w:val="12"/>
              </w:rPr>
              <w:t xml:space="preserve"> </w:t>
            </w:r>
            <w:r>
              <w:rPr>
                <w:sz w:val="12"/>
              </w:rPr>
              <w:t>pay.</w:t>
            </w:r>
          </w:p>
          <w:p w:rsidR="00280DF2" w:rsidP="009C5286" w14:paraId="31EBE5B1" w14:textId="77777777">
            <w:pPr>
              <w:pStyle w:val="TableParagraph"/>
              <w:numPr>
                <w:ilvl w:val="0"/>
                <w:numId w:val="81"/>
              </w:numPr>
              <w:tabs>
                <w:tab w:val="left" w:pos="147"/>
              </w:tabs>
              <w:spacing w:line="252" w:lineRule="auto"/>
              <w:ind w:right="184" w:firstLine="0"/>
              <w:rPr>
                <w:sz w:val="12"/>
              </w:rPr>
            </w:pPr>
            <w:r>
              <w:rPr>
                <w:sz w:val="12"/>
              </w:rPr>
              <w:t xml:space="preserve">When </w:t>
            </w:r>
            <w:r>
              <w:rPr>
                <w:spacing w:val="-3"/>
                <w:sz w:val="12"/>
              </w:rPr>
              <w:t xml:space="preserve">asked </w:t>
            </w:r>
            <w:r>
              <w:rPr>
                <w:sz w:val="12"/>
              </w:rPr>
              <w:t>to make a purchase from among the different products: 47.2% of the participants chose a snack product with Keyhole symbol, 25.8% chose one with the %DV, 27% chose plain- label</w:t>
            </w:r>
            <w:r>
              <w:rPr>
                <w:spacing w:val="-1"/>
                <w:sz w:val="12"/>
              </w:rPr>
              <w:t xml:space="preserve"> </w:t>
            </w:r>
            <w:r>
              <w:rPr>
                <w:sz w:val="12"/>
              </w:rPr>
              <w:t>snacks.</w:t>
            </w:r>
          </w:p>
          <w:p w:rsidR="00280DF2" w:rsidP="009C5286" w14:paraId="41D781C8" w14:textId="77777777">
            <w:pPr>
              <w:pStyle w:val="TableParagraph"/>
              <w:numPr>
                <w:ilvl w:val="0"/>
                <w:numId w:val="81"/>
              </w:numPr>
              <w:tabs>
                <w:tab w:val="left" w:pos="147"/>
              </w:tabs>
              <w:spacing w:line="252" w:lineRule="auto"/>
              <w:ind w:right="40" w:firstLine="0"/>
              <w:rPr>
                <w:sz w:val="12"/>
              </w:rPr>
            </w:pPr>
            <w:r>
              <w:rPr>
                <w:sz w:val="12"/>
              </w:rPr>
              <w:t>Norwegian adolescents had limited abilities to understand and use the %DV</w:t>
            </w:r>
            <w:r>
              <w:rPr>
                <w:spacing w:val="-19"/>
                <w:sz w:val="12"/>
              </w:rPr>
              <w:t xml:space="preserve"> </w:t>
            </w:r>
            <w:r>
              <w:rPr>
                <w:sz w:val="12"/>
              </w:rPr>
              <w:t>info.</w:t>
            </w:r>
          </w:p>
        </w:tc>
      </w:tr>
      <w:tr w14:paraId="2E7EBADB" w14:textId="77777777" w:rsidTr="2F9D3AFB">
        <w:tblPrEx>
          <w:tblW w:w="0" w:type="auto"/>
          <w:tblInd w:w="113" w:type="dxa"/>
          <w:tblLayout w:type="fixed"/>
          <w:tblCellMar>
            <w:left w:w="0" w:type="dxa"/>
            <w:right w:w="0" w:type="dxa"/>
          </w:tblCellMar>
          <w:tblLook w:val="01E0"/>
        </w:tblPrEx>
        <w:trPr>
          <w:trHeight w:val="2118"/>
        </w:trPr>
        <w:tc>
          <w:tcPr>
            <w:tcW w:w="1023" w:type="dxa"/>
          </w:tcPr>
          <w:p w:rsidR="00280DF2" w:rsidP="009C5286" w14:paraId="3556F7BD" w14:textId="77777777">
            <w:pPr>
              <w:pStyle w:val="TableParagraph"/>
              <w:spacing w:line="140" w:lineRule="exact"/>
              <w:rPr>
                <w:sz w:val="12"/>
              </w:rPr>
            </w:pPr>
            <w:r>
              <w:rPr>
                <w:sz w:val="12"/>
              </w:rPr>
              <w:t>Reis, et al.</w:t>
            </w:r>
          </w:p>
        </w:tc>
        <w:tc>
          <w:tcPr>
            <w:tcW w:w="2101" w:type="dxa"/>
          </w:tcPr>
          <w:p w:rsidR="00280DF2" w:rsidP="009C5286" w14:paraId="646AD271" w14:textId="77777777">
            <w:pPr>
              <w:pStyle w:val="TableParagraph"/>
              <w:spacing w:line="252" w:lineRule="auto"/>
              <w:ind w:right="16"/>
              <w:rPr>
                <w:sz w:val="12"/>
              </w:rPr>
            </w:pPr>
            <w:r>
              <w:rPr>
                <w:sz w:val="12"/>
              </w:rPr>
              <w:t>Does a time constraint modify results from rating-based conjoint analysis? Case study with orange/pomegranate juice bottles</w:t>
            </w:r>
          </w:p>
        </w:tc>
        <w:tc>
          <w:tcPr>
            <w:tcW w:w="330" w:type="dxa"/>
          </w:tcPr>
          <w:p w:rsidR="00280DF2" w:rsidP="009C5286" w14:paraId="71182F82" w14:textId="77777777">
            <w:pPr>
              <w:pStyle w:val="TableParagraph"/>
              <w:spacing w:line="140" w:lineRule="exact"/>
              <w:rPr>
                <w:sz w:val="12"/>
              </w:rPr>
            </w:pPr>
            <w:r>
              <w:rPr>
                <w:sz w:val="12"/>
              </w:rPr>
              <w:t>2016</w:t>
            </w:r>
          </w:p>
        </w:tc>
        <w:tc>
          <w:tcPr>
            <w:tcW w:w="3553" w:type="dxa"/>
          </w:tcPr>
          <w:p w:rsidR="00280DF2" w:rsidP="009C5286" w14:paraId="47E39519" w14:textId="77777777">
            <w:pPr>
              <w:pStyle w:val="TableParagraph"/>
              <w:spacing w:line="140" w:lineRule="exact"/>
              <w:rPr>
                <w:sz w:val="12"/>
              </w:rPr>
            </w:pPr>
            <w:r>
              <w:rPr>
                <w:sz w:val="12"/>
              </w:rPr>
              <w:t>Quantitative</w:t>
            </w:r>
          </w:p>
          <w:p w:rsidR="00280DF2" w:rsidP="009C5286" w14:paraId="00DBB821" w14:textId="7D13BC4E">
            <w:pPr>
              <w:pStyle w:val="TableParagraph"/>
              <w:numPr>
                <w:ilvl w:val="0"/>
                <w:numId w:val="80"/>
              </w:numPr>
              <w:tabs>
                <w:tab w:val="left" w:pos="147"/>
              </w:tabs>
              <w:spacing w:before="7" w:line="252" w:lineRule="auto"/>
              <w:ind w:right="192" w:firstLine="0"/>
              <w:rPr>
                <w:sz w:val="12"/>
              </w:rPr>
            </w:pPr>
            <w:r>
              <w:rPr>
                <w:sz w:val="12"/>
              </w:rPr>
              <w:t xml:space="preserve">2 x 2 x 2 x 2 full factorial experimental design: bottle design, </w:t>
            </w:r>
            <w:r w:rsidR="00F638F1">
              <w:rPr>
                <w:sz w:val="12"/>
              </w:rPr>
              <w:t>FOP</w:t>
            </w:r>
            <w:r>
              <w:rPr>
                <w:sz w:val="12"/>
              </w:rPr>
              <w:t xml:space="preserve"> label, nutrition claim, processing</w:t>
            </w:r>
            <w:r>
              <w:rPr>
                <w:spacing w:val="-14"/>
                <w:sz w:val="12"/>
              </w:rPr>
              <w:t xml:space="preserve"> </w:t>
            </w:r>
            <w:r>
              <w:rPr>
                <w:spacing w:val="1"/>
                <w:sz w:val="12"/>
              </w:rPr>
              <w:t>claim</w:t>
            </w:r>
          </w:p>
          <w:p w:rsidR="00280DF2" w:rsidP="009C5286" w14:paraId="08336784" w14:textId="77777777">
            <w:pPr>
              <w:pStyle w:val="TableParagraph"/>
              <w:numPr>
                <w:ilvl w:val="0"/>
                <w:numId w:val="80"/>
              </w:numPr>
              <w:tabs>
                <w:tab w:val="left" w:pos="147"/>
              </w:tabs>
              <w:spacing w:before="1"/>
              <w:ind w:firstLine="0"/>
              <w:rPr>
                <w:sz w:val="12"/>
              </w:rPr>
            </w:pPr>
            <w:r>
              <w:rPr>
                <w:spacing w:val="-3"/>
                <w:sz w:val="12"/>
              </w:rPr>
              <w:t xml:space="preserve">Used </w:t>
            </w:r>
            <w:r>
              <w:rPr>
                <w:sz w:val="12"/>
              </w:rPr>
              <w:t>eye-tracking</w:t>
            </w:r>
            <w:r>
              <w:rPr>
                <w:spacing w:val="-8"/>
                <w:sz w:val="12"/>
              </w:rPr>
              <w:t xml:space="preserve"> </w:t>
            </w:r>
            <w:r>
              <w:rPr>
                <w:sz w:val="12"/>
              </w:rPr>
              <w:t>technique</w:t>
            </w:r>
          </w:p>
          <w:p w:rsidR="00280DF2" w:rsidP="009C5286" w14:paraId="3716D5CC" w14:textId="77777777">
            <w:pPr>
              <w:pStyle w:val="TableParagraph"/>
              <w:numPr>
                <w:ilvl w:val="0"/>
                <w:numId w:val="80"/>
              </w:numPr>
              <w:tabs>
                <w:tab w:val="left" w:pos="147"/>
              </w:tabs>
              <w:spacing w:before="7"/>
              <w:ind w:firstLine="0"/>
              <w:rPr>
                <w:sz w:val="12"/>
              </w:rPr>
            </w:pPr>
            <w:r>
              <w:rPr>
                <w:sz w:val="12"/>
              </w:rPr>
              <w:t>Examined participants' purchase</w:t>
            </w:r>
            <w:r>
              <w:rPr>
                <w:spacing w:val="-22"/>
                <w:sz w:val="12"/>
              </w:rPr>
              <w:t xml:space="preserve"> </w:t>
            </w:r>
            <w:r>
              <w:rPr>
                <w:sz w:val="12"/>
              </w:rPr>
              <w:t>intention</w:t>
            </w:r>
          </w:p>
          <w:p w:rsidR="00280DF2" w:rsidP="009C5286" w14:paraId="0214C3D9" w14:textId="77777777">
            <w:pPr>
              <w:pStyle w:val="TableParagraph"/>
              <w:numPr>
                <w:ilvl w:val="0"/>
                <w:numId w:val="79"/>
              </w:numPr>
              <w:tabs>
                <w:tab w:val="left" w:pos="169"/>
              </w:tabs>
              <w:spacing w:before="8"/>
              <w:ind w:firstLine="88"/>
              <w:rPr>
                <w:sz w:val="12"/>
              </w:rPr>
            </w:pPr>
            <w:r>
              <w:rPr>
                <w:sz w:val="12"/>
              </w:rPr>
              <w:t>with</w:t>
            </w:r>
            <w:r>
              <w:rPr>
                <w:spacing w:val="-3"/>
                <w:sz w:val="12"/>
              </w:rPr>
              <w:t xml:space="preserve"> </w:t>
            </w:r>
            <w:r>
              <w:rPr>
                <w:sz w:val="12"/>
              </w:rPr>
              <w:t>time-constraint</w:t>
            </w:r>
          </w:p>
          <w:p w:rsidR="00280DF2" w:rsidP="009C5286" w14:paraId="71AA179F" w14:textId="77777777">
            <w:pPr>
              <w:pStyle w:val="TableParagraph"/>
              <w:numPr>
                <w:ilvl w:val="0"/>
                <w:numId w:val="79"/>
              </w:numPr>
              <w:tabs>
                <w:tab w:val="left" w:pos="169"/>
              </w:tabs>
              <w:spacing w:before="7" w:line="252" w:lineRule="auto"/>
              <w:ind w:right="2121" w:firstLine="88"/>
              <w:rPr>
                <w:sz w:val="12"/>
              </w:rPr>
            </w:pPr>
            <w:r>
              <w:rPr>
                <w:sz w:val="12"/>
              </w:rPr>
              <w:t xml:space="preserve">without time-constraint n=100 fruit </w:t>
            </w:r>
            <w:r>
              <w:rPr>
                <w:spacing w:val="1"/>
                <w:sz w:val="12"/>
              </w:rPr>
              <w:t>juice</w:t>
            </w:r>
            <w:r>
              <w:rPr>
                <w:spacing w:val="5"/>
                <w:sz w:val="12"/>
              </w:rPr>
              <w:t xml:space="preserve"> </w:t>
            </w:r>
            <w:r>
              <w:rPr>
                <w:sz w:val="12"/>
              </w:rPr>
              <w:t>consumers</w:t>
            </w:r>
          </w:p>
        </w:tc>
        <w:tc>
          <w:tcPr>
            <w:tcW w:w="1199" w:type="dxa"/>
          </w:tcPr>
          <w:p w:rsidR="00280DF2" w:rsidP="009C5286" w14:paraId="25592D05" w14:textId="77777777">
            <w:pPr>
              <w:pStyle w:val="TableParagraph"/>
              <w:spacing w:line="140" w:lineRule="exact"/>
              <w:rPr>
                <w:sz w:val="12"/>
              </w:rPr>
            </w:pPr>
            <w:r>
              <w:rPr>
                <w:sz w:val="12"/>
              </w:rPr>
              <w:t>Traffic light</w:t>
            </w:r>
          </w:p>
        </w:tc>
        <w:tc>
          <w:tcPr>
            <w:tcW w:w="1199" w:type="dxa"/>
          </w:tcPr>
          <w:p w:rsidR="00280DF2" w:rsidP="009C5286" w14:paraId="6920E5C4" w14:textId="77777777">
            <w:pPr>
              <w:pStyle w:val="TableParagraph"/>
              <w:spacing w:before="4"/>
              <w:ind w:left="0"/>
              <w:rPr>
                <w:rFonts w:ascii="Times New Roman"/>
                <w:sz w:val="2"/>
              </w:rPr>
            </w:pPr>
          </w:p>
          <w:p w:rsidR="00280DF2" w:rsidP="009C5286" w14:paraId="2E1B7EF3" w14:textId="77777777">
            <w:pPr>
              <w:pStyle w:val="TableParagraph"/>
              <w:ind w:left="35" w:right="-17"/>
              <w:rPr>
                <w:rFonts w:ascii="Times New Roman"/>
                <w:sz w:val="20"/>
              </w:rPr>
            </w:pPr>
            <w:r>
              <w:rPr>
                <w:noProof/>
              </w:rPr>
              <w:drawing>
                <wp:inline distT="0" distB="0" distL="0" distR="0">
                  <wp:extent cx="714093" cy="4371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14093" cy="437197"/>
                          </a:xfrm>
                          <a:prstGeom prst="rect">
                            <a:avLst/>
                          </a:prstGeom>
                        </pic:spPr>
                      </pic:pic>
                    </a:graphicData>
                  </a:graphic>
                </wp:inline>
              </w:drawing>
            </w:r>
          </w:p>
        </w:tc>
        <w:tc>
          <w:tcPr>
            <w:tcW w:w="550" w:type="dxa"/>
          </w:tcPr>
          <w:p w:rsidR="00280DF2" w:rsidP="009C5286" w14:paraId="6FE1F595" w14:textId="77777777">
            <w:pPr>
              <w:pStyle w:val="TableParagraph"/>
              <w:spacing w:line="140" w:lineRule="exact"/>
              <w:rPr>
                <w:sz w:val="12"/>
              </w:rPr>
            </w:pPr>
            <w:r>
              <w:rPr>
                <w:sz w:val="12"/>
              </w:rPr>
              <w:t>Uruguay</w:t>
            </w:r>
          </w:p>
        </w:tc>
        <w:tc>
          <w:tcPr>
            <w:tcW w:w="3487" w:type="dxa"/>
          </w:tcPr>
          <w:p w:rsidR="00280DF2" w:rsidP="009C5286" w14:paraId="4A975601" w14:textId="2744CEBA">
            <w:pPr>
              <w:pStyle w:val="TableParagraph"/>
              <w:numPr>
                <w:ilvl w:val="0"/>
                <w:numId w:val="78"/>
              </w:numPr>
              <w:tabs>
                <w:tab w:val="left" w:pos="147"/>
              </w:tabs>
              <w:spacing w:line="252" w:lineRule="auto"/>
              <w:ind w:right="14" w:firstLine="0"/>
              <w:rPr>
                <w:sz w:val="12"/>
              </w:rPr>
            </w:pPr>
            <w:r>
              <w:rPr>
                <w:sz w:val="12"/>
              </w:rPr>
              <w:t xml:space="preserve">Attention (eye-tracking): when there's a time-constraint, there's a decrease </w:t>
            </w:r>
            <w:r>
              <w:rPr>
                <w:spacing w:val="1"/>
                <w:sz w:val="12"/>
              </w:rPr>
              <w:t xml:space="preserve">in </w:t>
            </w:r>
            <w:r>
              <w:rPr>
                <w:sz w:val="12"/>
              </w:rPr>
              <w:t xml:space="preserve">the percentage of consumers who fixated their </w:t>
            </w:r>
            <w:r>
              <w:rPr>
                <w:spacing w:val="-3"/>
                <w:sz w:val="12"/>
              </w:rPr>
              <w:t xml:space="preserve">gaze </w:t>
            </w:r>
            <w:r>
              <w:rPr>
                <w:sz w:val="12"/>
              </w:rPr>
              <w:t xml:space="preserve">on nutrition claim and </w:t>
            </w:r>
            <w:r w:rsidR="00F638F1">
              <w:rPr>
                <w:sz w:val="12"/>
              </w:rPr>
              <w:t>FOP</w:t>
            </w:r>
            <w:r>
              <w:rPr>
                <w:sz w:val="12"/>
              </w:rPr>
              <w:t xml:space="preserve">. But </w:t>
            </w:r>
            <w:r>
              <w:rPr>
                <w:spacing w:val="1"/>
                <w:sz w:val="12"/>
              </w:rPr>
              <w:t xml:space="preserve">in </w:t>
            </w:r>
            <w:r>
              <w:rPr>
                <w:sz w:val="12"/>
              </w:rPr>
              <w:t>general, time-constraint didn't largely change</w:t>
            </w:r>
            <w:r>
              <w:rPr>
                <w:spacing w:val="-11"/>
                <w:sz w:val="12"/>
              </w:rPr>
              <w:t xml:space="preserve"> </w:t>
            </w:r>
            <w:r>
              <w:rPr>
                <w:sz w:val="12"/>
              </w:rPr>
              <w:t>the</w:t>
            </w:r>
            <w:r>
              <w:rPr>
                <w:spacing w:val="-11"/>
                <w:sz w:val="12"/>
              </w:rPr>
              <w:t xml:space="preserve"> </w:t>
            </w:r>
            <w:r>
              <w:rPr>
                <w:sz w:val="12"/>
              </w:rPr>
              <w:t>way</w:t>
            </w:r>
            <w:r>
              <w:rPr>
                <w:spacing w:val="-4"/>
                <w:sz w:val="12"/>
              </w:rPr>
              <w:t xml:space="preserve"> </w:t>
            </w:r>
            <w:r>
              <w:rPr>
                <w:sz w:val="12"/>
              </w:rPr>
              <w:t>consumers</w:t>
            </w:r>
            <w:r>
              <w:rPr>
                <w:spacing w:val="-8"/>
                <w:sz w:val="12"/>
              </w:rPr>
              <w:t xml:space="preserve"> </w:t>
            </w:r>
            <w:r>
              <w:rPr>
                <w:sz w:val="12"/>
              </w:rPr>
              <w:t>visually</w:t>
            </w:r>
            <w:r>
              <w:rPr>
                <w:spacing w:val="-4"/>
                <w:sz w:val="12"/>
              </w:rPr>
              <w:t xml:space="preserve"> </w:t>
            </w:r>
            <w:r>
              <w:rPr>
                <w:sz w:val="12"/>
              </w:rPr>
              <w:t>processed</w:t>
            </w:r>
            <w:r>
              <w:rPr>
                <w:spacing w:val="-2"/>
                <w:sz w:val="12"/>
              </w:rPr>
              <w:t xml:space="preserve"> </w:t>
            </w:r>
            <w:r>
              <w:rPr>
                <w:sz w:val="12"/>
              </w:rPr>
              <w:t>bottle</w:t>
            </w:r>
            <w:r>
              <w:rPr>
                <w:spacing w:val="-11"/>
                <w:sz w:val="12"/>
              </w:rPr>
              <w:t xml:space="preserve"> </w:t>
            </w:r>
            <w:r>
              <w:rPr>
                <w:sz w:val="12"/>
              </w:rPr>
              <w:t>images.</w:t>
            </w:r>
          </w:p>
          <w:p w:rsidR="00280DF2" w:rsidP="009C5286" w14:paraId="2ACB4E63" w14:textId="54CD5F98">
            <w:pPr>
              <w:pStyle w:val="TableParagraph"/>
              <w:numPr>
                <w:ilvl w:val="0"/>
                <w:numId w:val="78"/>
              </w:numPr>
              <w:tabs>
                <w:tab w:val="left" w:pos="147"/>
              </w:tabs>
              <w:spacing w:line="252" w:lineRule="auto"/>
              <w:ind w:right="84" w:firstLine="0"/>
              <w:rPr>
                <w:sz w:val="12"/>
              </w:rPr>
            </w:pPr>
            <w:r>
              <w:rPr>
                <w:sz w:val="12"/>
              </w:rPr>
              <w:t xml:space="preserve">Attention (eye-tracking): when there's a time-constraint and evaluating time fixating on </w:t>
            </w:r>
            <w:r>
              <w:rPr>
                <w:spacing w:val="-3"/>
                <w:sz w:val="12"/>
              </w:rPr>
              <w:t xml:space="preserve">areas </w:t>
            </w:r>
            <w:r>
              <w:rPr>
                <w:sz w:val="12"/>
              </w:rPr>
              <w:t xml:space="preserve">of interests </w:t>
            </w:r>
            <w:r>
              <w:rPr>
                <w:spacing w:val="1"/>
                <w:sz w:val="12"/>
              </w:rPr>
              <w:t xml:space="preserve">in </w:t>
            </w:r>
            <w:r>
              <w:rPr>
                <w:sz w:val="12"/>
              </w:rPr>
              <w:t xml:space="preserve">relation to the whole bottle, consumers spent more time on the information that differentiated among labels (nutrition claim, processing claim, and </w:t>
            </w:r>
            <w:r w:rsidR="00F638F1">
              <w:rPr>
                <w:sz w:val="12"/>
              </w:rPr>
              <w:t>FOP</w:t>
            </w:r>
            <w:r>
              <w:rPr>
                <w:sz w:val="12"/>
              </w:rPr>
              <w:t>).</w:t>
            </w:r>
          </w:p>
          <w:p w:rsidR="00280DF2" w:rsidP="009C5286" w14:paraId="548B06A1" w14:textId="59798064">
            <w:pPr>
              <w:pStyle w:val="TableParagraph"/>
              <w:numPr>
                <w:ilvl w:val="0"/>
                <w:numId w:val="78"/>
              </w:numPr>
              <w:tabs>
                <w:tab w:val="left" w:pos="147"/>
              </w:tabs>
              <w:spacing w:line="252" w:lineRule="auto"/>
              <w:ind w:right="290" w:firstLine="0"/>
              <w:rPr>
                <w:sz w:val="12"/>
              </w:rPr>
            </w:pPr>
            <w:r>
              <w:rPr>
                <w:sz w:val="12"/>
              </w:rPr>
              <w:t xml:space="preserve">Purchase intention: Bottle design </w:t>
            </w:r>
            <w:r>
              <w:rPr>
                <w:spacing w:val="-4"/>
                <w:sz w:val="12"/>
              </w:rPr>
              <w:t xml:space="preserve">seemed </w:t>
            </w:r>
            <w:r>
              <w:rPr>
                <w:sz w:val="12"/>
              </w:rPr>
              <w:t>to matter the most, followed by processing claim, and</w:t>
            </w:r>
            <w:r>
              <w:rPr>
                <w:spacing w:val="-20"/>
                <w:sz w:val="12"/>
              </w:rPr>
              <w:t xml:space="preserve"> </w:t>
            </w:r>
            <w:r w:rsidR="00F638F1">
              <w:rPr>
                <w:sz w:val="12"/>
              </w:rPr>
              <w:t>FOP</w:t>
            </w:r>
            <w:r>
              <w:rPr>
                <w:sz w:val="12"/>
              </w:rPr>
              <w:t>.</w:t>
            </w:r>
          </w:p>
          <w:p w:rsidR="00280DF2" w:rsidP="009C5286" w14:paraId="748A2015" w14:textId="77777777">
            <w:pPr>
              <w:pStyle w:val="TableParagraph"/>
              <w:numPr>
                <w:ilvl w:val="0"/>
                <w:numId w:val="78"/>
              </w:numPr>
              <w:tabs>
                <w:tab w:val="left" w:pos="147"/>
              </w:tabs>
              <w:spacing w:line="252" w:lineRule="auto"/>
              <w:ind w:right="492" w:firstLine="0"/>
              <w:rPr>
                <w:sz w:val="12"/>
              </w:rPr>
            </w:pPr>
            <w:r>
              <w:rPr>
                <w:sz w:val="12"/>
              </w:rPr>
              <w:t>Purchase intention: higher purchase intention with time- constraint.</w:t>
            </w:r>
          </w:p>
        </w:tc>
      </w:tr>
      <w:tr w14:paraId="25D3DEDE" w14:textId="77777777" w:rsidTr="2F9D3AFB">
        <w:tblPrEx>
          <w:tblW w:w="0" w:type="auto"/>
          <w:tblInd w:w="113" w:type="dxa"/>
          <w:tblLayout w:type="fixed"/>
          <w:tblCellMar>
            <w:left w:w="0" w:type="dxa"/>
            <w:right w:w="0" w:type="dxa"/>
          </w:tblCellMar>
          <w:tblLook w:val="01E0"/>
        </w:tblPrEx>
        <w:trPr>
          <w:trHeight w:val="2284"/>
        </w:trPr>
        <w:tc>
          <w:tcPr>
            <w:tcW w:w="1023" w:type="dxa"/>
          </w:tcPr>
          <w:p w:rsidR="00280DF2" w:rsidP="009C5286" w14:paraId="4ED32F03" w14:textId="77777777">
            <w:pPr>
              <w:pStyle w:val="TableParagraph"/>
              <w:spacing w:line="140" w:lineRule="exact"/>
              <w:rPr>
                <w:sz w:val="12"/>
              </w:rPr>
            </w:pPr>
            <w:r>
              <w:rPr>
                <w:sz w:val="12"/>
              </w:rPr>
              <w:t>Talati, et al.</w:t>
            </w:r>
          </w:p>
        </w:tc>
        <w:tc>
          <w:tcPr>
            <w:tcW w:w="2101" w:type="dxa"/>
          </w:tcPr>
          <w:p w:rsidR="00280DF2" w:rsidP="009C5286" w14:paraId="16BF5C8F" w14:textId="77777777">
            <w:pPr>
              <w:pStyle w:val="TableParagraph"/>
              <w:spacing w:line="252" w:lineRule="auto"/>
              <w:ind w:right="308"/>
              <w:rPr>
                <w:sz w:val="12"/>
              </w:rPr>
            </w:pPr>
            <w:r>
              <w:rPr>
                <w:sz w:val="12"/>
              </w:rPr>
              <w:t>Do Health Claims and Front-of-Pack Labels Lead to a Positivity Bias in Unhealthy Foods?</w:t>
            </w:r>
          </w:p>
        </w:tc>
        <w:tc>
          <w:tcPr>
            <w:tcW w:w="330" w:type="dxa"/>
          </w:tcPr>
          <w:p w:rsidR="00280DF2" w:rsidP="009C5286" w14:paraId="464EA4F4" w14:textId="77777777">
            <w:pPr>
              <w:pStyle w:val="TableParagraph"/>
              <w:spacing w:line="140" w:lineRule="exact"/>
              <w:rPr>
                <w:sz w:val="12"/>
              </w:rPr>
            </w:pPr>
            <w:r>
              <w:rPr>
                <w:sz w:val="12"/>
              </w:rPr>
              <w:t>2016</w:t>
            </w:r>
          </w:p>
        </w:tc>
        <w:tc>
          <w:tcPr>
            <w:tcW w:w="3553" w:type="dxa"/>
          </w:tcPr>
          <w:p w:rsidR="00280DF2" w:rsidP="009C5286" w14:paraId="521AF7A9" w14:textId="77777777">
            <w:pPr>
              <w:pStyle w:val="TableParagraph"/>
              <w:spacing w:line="140" w:lineRule="exact"/>
              <w:rPr>
                <w:sz w:val="12"/>
              </w:rPr>
            </w:pPr>
            <w:r>
              <w:rPr>
                <w:sz w:val="12"/>
              </w:rPr>
              <w:t>Quantitative</w:t>
            </w:r>
          </w:p>
          <w:p w:rsidR="00280DF2" w:rsidP="009C5286" w14:paraId="6F9BF21F" w14:textId="77777777">
            <w:pPr>
              <w:pStyle w:val="TableParagraph"/>
              <w:numPr>
                <w:ilvl w:val="0"/>
                <w:numId w:val="77"/>
              </w:numPr>
              <w:tabs>
                <w:tab w:val="left" w:pos="147"/>
              </w:tabs>
              <w:spacing w:before="7" w:line="252" w:lineRule="auto"/>
              <w:ind w:right="238" w:firstLine="0"/>
              <w:rPr>
                <w:sz w:val="12"/>
              </w:rPr>
            </w:pPr>
            <w:r>
              <w:rPr>
                <w:sz w:val="12"/>
              </w:rPr>
              <w:t>Experimental design</w:t>
            </w:r>
            <w:r>
              <w:rPr>
                <w:spacing w:val="-2"/>
                <w:sz w:val="12"/>
              </w:rPr>
              <w:t xml:space="preserve"> </w:t>
            </w:r>
            <w:r>
              <w:rPr>
                <w:sz w:val="12"/>
              </w:rPr>
              <w:t>+</w:t>
            </w:r>
            <w:r>
              <w:rPr>
                <w:spacing w:val="-10"/>
                <w:sz w:val="12"/>
              </w:rPr>
              <w:t xml:space="preserve"> </w:t>
            </w:r>
            <w:r>
              <w:rPr>
                <w:spacing w:val="1"/>
                <w:sz w:val="12"/>
              </w:rPr>
              <w:t>online</w:t>
            </w:r>
            <w:r>
              <w:rPr>
                <w:spacing w:val="-10"/>
                <w:sz w:val="12"/>
              </w:rPr>
              <w:t xml:space="preserve"> </w:t>
            </w:r>
            <w:r>
              <w:rPr>
                <w:sz w:val="12"/>
              </w:rPr>
              <w:t>survey</w:t>
            </w:r>
            <w:r>
              <w:rPr>
                <w:spacing w:val="-4"/>
                <w:sz w:val="12"/>
              </w:rPr>
              <w:t xml:space="preserve"> </w:t>
            </w:r>
            <w:r>
              <w:rPr>
                <w:sz w:val="12"/>
              </w:rPr>
              <w:t>with</w:t>
            </w:r>
            <w:r>
              <w:rPr>
                <w:spacing w:val="-2"/>
                <w:sz w:val="12"/>
              </w:rPr>
              <w:t xml:space="preserve"> </w:t>
            </w:r>
            <w:r>
              <w:rPr>
                <w:sz w:val="12"/>
              </w:rPr>
              <w:t>a</w:t>
            </w:r>
            <w:r>
              <w:rPr>
                <w:spacing w:val="-8"/>
                <w:sz w:val="12"/>
              </w:rPr>
              <w:t xml:space="preserve"> </w:t>
            </w:r>
            <w:r>
              <w:rPr>
                <w:sz w:val="12"/>
              </w:rPr>
              <w:t>web</w:t>
            </w:r>
            <w:r>
              <w:rPr>
                <w:spacing w:val="-2"/>
                <w:sz w:val="12"/>
              </w:rPr>
              <w:t xml:space="preserve"> </w:t>
            </w:r>
            <w:r>
              <w:rPr>
                <w:sz w:val="12"/>
              </w:rPr>
              <w:t>panel provider</w:t>
            </w:r>
            <w:r>
              <w:rPr>
                <w:spacing w:val="-3"/>
                <w:sz w:val="12"/>
              </w:rPr>
              <w:t xml:space="preserve"> </w:t>
            </w:r>
            <w:r>
              <w:rPr>
                <w:sz w:val="12"/>
              </w:rPr>
              <w:t>+ mock</w:t>
            </w:r>
            <w:r>
              <w:rPr>
                <w:spacing w:val="-6"/>
                <w:sz w:val="12"/>
              </w:rPr>
              <w:t xml:space="preserve"> </w:t>
            </w:r>
            <w:r>
              <w:rPr>
                <w:sz w:val="12"/>
              </w:rPr>
              <w:t>packs</w:t>
            </w:r>
          </w:p>
          <w:p w:rsidR="00280DF2" w:rsidP="009C5286" w14:paraId="4CA48666" w14:textId="77777777">
            <w:pPr>
              <w:pStyle w:val="TableParagraph"/>
              <w:numPr>
                <w:ilvl w:val="0"/>
                <w:numId w:val="77"/>
              </w:numPr>
              <w:tabs>
                <w:tab w:val="left" w:pos="147"/>
              </w:tabs>
              <w:spacing w:before="1"/>
              <w:ind w:firstLine="0"/>
              <w:rPr>
                <w:sz w:val="12"/>
              </w:rPr>
            </w:pPr>
            <w:r>
              <w:rPr>
                <w:sz w:val="12"/>
              </w:rPr>
              <w:t>4 x 4 x 4</w:t>
            </w:r>
            <w:r>
              <w:rPr>
                <w:spacing w:val="-9"/>
                <w:sz w:val="12"/>
              </w:rPr>
              <w:t xml:space="preserve"> </w:t>
            </w:r>
            <w:r>
              <w:rPr>
                <w:sz w:val="12"/>
              </w:rPr>
              <w:t>design:</w:t>
            </w:r>
          </w:p>
          <w:p w:rsidR="00280DF2" w:rsidP="009C5286" w14:paraId="5EC4C9B3" w14:textId="77777777">
            <w:pPr>
              <w:pStyle w:val="TableParagraph"/>
              <w:numPr>
                <w:ilvl w:val="0"/>
                <w:numId w:val="76"/>
              </w:numPr>
              <w:tabs>
                <w:tab w:val="left" w:pos="169"/>
              </w:tabs>
              <w:spacing w:before="7"/>
              <w:ind w:firstLine="88"/>
              <w:rPr>
                <w:sz w:val="12"/>
              </w:rPr>
            </w:pPr>
            <w:r>
              <w:rPr>
                <w:sz w:val="12"/>
              </w:rPr>
              <w:t>food</w:t>
            </w:r>
            <w:r>
              <w:rPr>
                <w:spacing w:val="-3"/>
                <w:sz w:val="12"/>
              </w:rPr>
              <w:t xml:space="preserve"> </w:t>
            </w:r>
            <w:r>
              <w:rPr>
                <w:sz w:val="12"/>
              </w:rPr>
              <w:t>type</w:t>
            </w:r>
            <w:r>
              <w:rPr>
                <w:spacing w:val="-11"/>
                <w:sz w:val="12"/>
              </w:rPr>
              <w:t xml:space="preserve"> </w:t>
            </w:r>
            <w:r>
              <w:rPr>
                <w:sz w:val="12"/>
              </w:rPr>
              <w:t>(cookies,</w:t>
            </w:r>
            <w:r>
              <w:rPr>
                <w:spacing w:val="-3"/>
                <w:sz w:val="12"/>
              </w:rPr>
              <w:t xml:space="preserve"> </w:t>
            </w:r>
            <w:r>
              <w:rPr>
                <w:sz w:val="12"/>
              </w:rPr>
              <w:t>corn</w:t>
            </w:r>
            <w:r>
              <w:rPr>
                <w:spacing w:val="-3"/>
                <w:sz w:val="12"/>
              </w:rPr>
              <w:t xml:space="preserve"> </w:t>
            </w:r>
            <w:r>
              <w:rPr>
                <w:sz w:val="12"/>
              </w:rPr>
              <w:t>flakes,</w:t>
            </w:r>
            <w:r>
              <w:rPr>
                <w:spacing w:val="-3"/>
                <w:sz w:val="12"/>
              </w:rPr>
              <w:t xml:space="preserve"> </w:t>
            </w:r>
            <w:r>
              <w:rPr>
                <w:sz w:val="12"/>
              </w:rPr>
              <w:t>pizza,</w:t>
            </w:r>
            <w:r>
              <w:rPr>
                <w:spacing w:val="-3"/>
                <w:sz w:val="12"/>
              </w:rPr>
              <w:t xml:space="preserve"> </w:t>
            </w:r>
            <w:r>
              <w:rPr>
                <w:sz w:val="12"/>
              </w:rPr>
              <w:t>yoghurt)</w:t>
            </w:r>
          </w:p>
          <w:p w:rsidR="00280DF2" w:rsidP="009C5286" w14:paraId="3E7ABF47" w14:textId="77777777">
            <w:pPr>
              <w:pStyle w:val="TableParagraph"/>
              <w:numPr>
                <w:ilvl w:val="0"/>
                <w:numId w:val="76"/>
              </w:numPr>
              <w:tabs>
                <w:tab w:val="left" w:pos="169"/>
              </w:tabs>
              <w:spacing w:before="8"/>
              <w:ind w:firstLine="88"/>
              <w:rPr>
                <w:sz w:val="12"/>
              </w:rPr>
            </w:pPr>
            <w:r>
              <w:rPr>
                <w:sz w:val="12"/>
              </w:rPr>
              <w:t xml:space="preserve">health claim (none, nutrient content, </w:t>
            </w:r>
            <w:r>
              <w:rPr>
                <w:spacing w:val="-3"/>
                <w:sz w:val="12"/>
              </w:rPr>
              <w:t xml:space="preserve">general </w:t>
            </w:r>
            <w:r>
              <w:rPr>
                <w:sz w:val="12"/>
              </w:rPr>
              <w:t>level, higher</w:t>
            </w:r>
            <w:r>
              <w:rPr>
                <w:spacing w:val="5"/>
                <w:sz w:val="12"/>
              </w:rPr>
              <w:t xml:space="preserve"> </w:t>
            </w:r>
            <w:r>
              <w:rPr>
                <w:sz w:val="12"/>
              </w:rPr>
              <w:t>level)</w:t>
            </w:r>
          </w:p>
          <w:p w:rsidR="00280DF2" w:rsidP="009C5286" w14:paraId="0608EC2D" w14:textId="0C9CA17B">
            <w:pPr>
              <w:pStyle w:val="TableParagraph"/>
              <w:numPr>
                <w:ilvl w:val="0"/>
                <w:numId w:val="76"/>
              </w:numPr>
              <w:tabs>
                <w:tab w:val="left" w:pos="169"/>
              </w:tabs>
              <w:spacing w:before="7" w:line="252" w:lineRule="auto"/>
              <w:ind w:right="299" w:firstLine="88"/>
              <w:rPr>
                <w:sz w:val="12"/>
              </w:rPr>
            </w:pPr>
            <w:r>
              <w:rPr>
                <w:sz w:val="12"/>
              </w:rPr>
              <w:t>FOP</w:t>
            </w:r>
            <w:r>
              <w:rPr>
                <w:sz w:val="12"/>
              </w:rPr>
              <w:t xml:space="preserve"> (none, Daily Intake Guide/DIG, Multiple Traffic Light/MTL, Health Star</w:t>
            </w:r>
            <w:r>
              <w:rPr>
                <w:spacing w:val="-7"/>
                <w:sz w:val="12"/>
              </w:rPr>
              <w:t xml:space="preserve"> </w:t>
            </w:r>
            <w:r>
              <w:rPr>
                <w:sz w:val="12"/>
              </w:rPr>
              <w:t>Rating/HSR)</w:t>
            </w:r>
          </w:p>
          <w:p w:rsidR="00280DF2" w:rsidP="009C5286" w14:paraId="1F59249C" w14:textId="40819452">
            <w:pPr>
              <w:pStyle w:val="TableParagraph"/>
              <w:numPr>
                <w:ilvl w:val="0"/>
                <w:numId w:val="75"/>
              </w:numPr>
              <w:tabs>
                <w:tab w:val="left" w:pos="147"/>
              </w:tabs>
              <w:spacing w:before="1" w:line="252" w:lineRule="auto"/>
              <w:ind w:right="246" w:firstLine="0"/>
              <w:rPr>
                <w:sz w:val="12"/>
              </w:rPr>
            </w:pPr>
            <w:r>
              <w:rPr>
                <w:sz w:val="12"/>
              </w:rPr>
              <w:t xml:space="preserve">To </w:t>
            </w:r>
            <w:r>
              <w:rPr>
                <w:spacing w:val="-4"/>
                <w:sz w:val="12"/>
              </w:rPr>
              <w:t xml:space="preserve">assess </w:t>
            </w:r>
            <w:r>
              <w:rPr>
                <w:sz w:val="12"/>
              </w:rPr>
              <w:t xml:space="preserve">whether a positivity bias would occur </w:t>
            </w:r>
            <w:r>
              <w:rPr>
                <w:spacing w:val="1"/>
                <w:sz w:val="12"/>
              </w:rPr>
              <w:t xml:space="preserve">in </w:t>
            </w:r>
            <w:r>
              <w:rPr>
                <w:sz w:val="12"/>
              </w:rPr>
              <w:t xml:space="preserve">unhealthy variations of four products that feature different health claims and </w:t>
            </w:r>
            <w:r w:rsidR="00F638F1">
              <w:rPr>
                <w:sz w:val="12"/>
              </w:rPr>
              <w:t>FOP</w:t>
            </w:r>
            <w:r>
              <w:rPr>
                <w:sz w:val="12"/>
              </w:rPr>
              <w:t>s.</w:t>
            </w:r>
          </w:p>
          <w:p w:rsidR="00280DF2" w:rsidP="009C5286" w14:paraId="39DE393B" w14:textId="77777777">
            <w:pPr>
              <w:pStyle w:val="TableParagraph"/>
              <w:numPr>
                <w:ilvl w:val="0"/>
                <w:numId w:val="75"/>
              </w:numPr>
              <w:tabs>
                <w:tab w:val="left" w:pos="147"/>
              </w:tabs>
              <w:spacing w:line="252" w:lineRule="auto"/>
              <w:ind w:right="554" w:firstLine="0"/>
              <w:rPr>
                <w:sz w:val="12"/>
              </w:rPr>
            </w:pPr>
            <w:r>
              <w:rPr>
                <w:sz w:val="12"/>
              </w:rPr>
              <w:t>Perceived healthiness, global evaluations (taste, etc.), and willingness</w:t>
            </w:r>
            <w:r>
              <w:rPr>
                <w:spacing w:val="-9"/>
                <w:sz w:val="12"/>
              </w:rPr>
              <w:t xml:space="preserve"> </w:t>
            </w:r>
            <w:r>
              <w:rPr>
                <w:sz w:val="12"/>
              </w:rPr>
              <w:t>to</w:t>
            </w:r>
            <w:r>
              <w:rPr>
                <w:spacing w:val="-4"/>
                <w:sz w:val="12"/>
              </w:rPr>
              <w:t xml:space="preserve"> </w:t>
            </w:r>
            <w:r>
              <w:rPr>
                <w:sz w:val="12"/>
              </w:rPr>
              <w:t>buy</w:t>
            </w:r>
            <w:r>
              <w:rPr>
                <w:spacing w:val="-5"/>
                <w:sz w:val="12"/>
              </w:rPr>
              <w:t xml:space="preserve"> </w:t>
            </w:r>
            <w:r>
              <w:rPr>
                <w:sz w:val="12"/>
              </w:rPr>
              <w:t>were</w:t>
            </w:r>
            <w:r>
              <w:rPr>
                <w:spacing w:val="-11"/>
                <w:sz w:val="12"/>
              </w:rPr>
              <w:t xml:space="preserve"> </w:t>
            </w:r>
            <w:r>
              <w:rPr>
                <w:sz w:val="12"/>
              </w:rPr>
              <w:t>measured.</w:t>
            </w:r>
          </w:p>
          <w:p w:rsidR="00280DF2" w:rsidP="009C5286" w14:paraId="1D466DFE" w14:textId="77777777">
            <w:pPr>
              <w:pStyle w:val="TableParagraph"/>
              <w:rPr>
                <w:sz w:val="12"/>
              </w:rPr>
            </w:pPr>
            <w:r>
              <w:rPr>
                <w:sz w:val="12"/>
              </w:rPr>
              <w:t>n=1,984 participants (adults + children over 10 yrs.)</w:t>
            </w:r>
          </w:p>
        </w:tc>
        <w:tc>
          <w:tcPr>
            <w:tcW w:w="1199" w:type="dxa"/>
          </w:tcPr>
          <w:p w:rsidR="00280DF2" w:rsidP="009C5286" w14:paraId="31F66FC8" w14:textId="77777777">
            <w:pPr>
              <w:pStyle w:val="TableParagraph"/>
              <w:numPr>
                <w:ilvl w:val="0"/>
                <w:numId w:val="74"/>
              </w:numPr>
              <w:tabs>
                <w:tab w:val="left" w:pos="147"/>
              </w:tabs>
              <w:spacing w:line="252" w:lineRule="auto"/>
              <w:ind w:right="128" w:firstLine="0"/>
              <w:rPr>
                <w:sz w:val="12"/>
              </w:rPr>
            </w:pPr>
            <w:r>
              <w:rPr>
                <w:sz w:val="12"/>
              </w:rPr>
              <w:t>Daily Intake Guide (DIG)</w:t>
            </w:r>
          </w:p>
          <w:p w:rsidR="00280DF2" w:rsidP="009C5286" w14:paraId="562B2292" w14:textId="77777777">
            <w:pPr>
              <w:pStyle w:val="TableParagraph"/>
              <w:numPr>
                <w:ilvl w:val="0"/>
                <w:numId w:val="74"/>
              </w:numPr>
              <w:tabs>
                <w:tab w:val="left" w:pos="147"/>
              </w:tabs>
              <w:spacing w:line="252" w:lineRule="auto"/>
              <w:ind w:right="247" w:firstLine="0"/>
              <w:rPr>
                <w:sz w:val="12"/>
              </w:rPr>
            </w:pPr>
            <w:r>
              <w:rPr>
                <w:spacing w:val="1"/>
                <w:sz w:val="12"/>
              </w:rPr>
              <w:t>Multiple</w:t>
            </w:r>
            <w:r>
              <w:rPr>
                <w:spacing w:val="-11"/>
                <w:sz w:val="12"/>
              </w:rPr>
              <w:t xml:space="preserve"> </w:t>
            </w:r>
            <w:r>
              <w:rPr>
                <w:sz w:val="12"/>
              </w:rPr>
              <w:t>Traffic Light</w:t>
            </w:r>
            <w:r>
              <w:rPr>
                <w:spacing w:val="-2"/>
                <w:sz w:val="12"/>
              </w:rPr>
              <w:t xml:space="preserve"> </w:t>
            </w:r>
            <w:r>
              <w:rPr>
                <w:sz w:val="12"/>
              </w:rPr>
              <w:t>(MTL)</w:t>
            </w:r>
          </w:p>
          <w:p w:rsidR="00280DF2" w:rsidP="009C5286" w14:paraId="4FDA2FDA" w14:textId="77777777">
            <w:pPr>
              <w:pStyle w:val="TableParagraph"/>
              <w:numPr>
                <w:ilvl w:val="0"/>
                <w:numId w:val="74"/>
              </w:numPr>
              <w:tabs>
                <w:tab w:val="left" w:pos="147"/>
              </w:tabs>
              <w:spacing w:line="252" w:lineRule="auto"/>
              <w:ind w:right="142" w:firstLine="0"/>
              <w:rPr>
                <w:sz w:val="12"/>
              </w:rPr>
            </w:pPr>
            <w:r>
              <w:rPr>
                <w:sz w:val="12"/>
              </w:rPr>
              <w:t>Health Star Rating (HSR)</w:t>
            </w:r>
          </w:p>
        </w:tc>
        <w:tc>
          <w:tcPr>
            <w:tcW w:w="1199" w:type="dxa"/>
          </w:tcPr>
          <w:p w:rsidR="00280DF2" w:rsidP="009C5286" w14:paraId="006A9EDB" w14:textId="77777777">
            <w:pPr>
              <w:pStyle w:val="TableParagraph"/>
              <w:spacing w:before="2"/>
              <w:ind w:left="0"/>
              <w:rPr>
                <w:rFonts w:ascii="Times New Roman"/>
                <w:sz w:val="4"/>
              </w:rPr>
            </w:pPr>
          </w:p>
          <w:p w:rsidR="00280DF2" w:rsidP="009C5286" w14:paraId="155CF72D" w14:textId="77777777">
            <w:pPr>
              <w:pStyle w:val="TableParagraph"/>
              <w:ind w:left="57"/>
              <w:rPr>
                <w:rFonts w:ascii="Times New Roman"/>
                <w:sz w:val="20"/>
              </w:rPr>
            </w:pPr>
            <w:r>
              <w:rPr>
                <w:noProof/>
              </w:rPr>
              <w:drawing>
                <wp:inline distT="0" distB="0" distL="0" distR="0">
                  <wp:extent cx="679080" cy="1760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79080" cy="176022"/>
                          </a:xfrm>
                          <a:prstGeom prst="rect">
                            <a:avLst/>
                          </a:prstGeom>
                        </pic:spPr>
                      </pic:pic>
                    </a:graphicData>
                  </a:graphic>
                </wp:inline>
              </w:drawing>
            </w:r>
          </w:p>
        </w:tc>
        <w:tc>
          <w:tcPr>
            <w:tcW w:w="550" w:type="dxa"/>
          </w:tcPr>
          <w:p w:rsidR="00280DF2" w:rsidP="009C5286" w14:paraId="2A8334FE" w14:textId="77777777">
            <w:pPr>
              <w:pStyle w:val="TableParagraph"/>
              <w:spacing w:line="140" w:lineRule="exact"/>
              <w:rPr>
                <w:sz w:val="12"/>
              </w:rPr>
            </w:pPr>
            <w:r>
              <w:rPr>
                <w:sz w:val="12"/>
              </w:rPr>
              <w:t>Australia</w:t>
            </w:r>
          </w:p>
        </w:tc>
        <w:tc>
          <w:tcPr>
            <w:tcW w:w="3487" w:type="dxa"/>
          </w:tcPr>
          <w:p w:rsidR="00280DF2" w:rsidP="009C5286" w14:paraId="0694C9BC" w14:textId="77777777">
            <w:pPr>
              <w:pStyle w:val="TableParagraph"/>
              <w:numPr>
                <w:ilvl w:val="0"/>
                <w:numId w:val="73"/>
              </w:numPr>
              <w:tabs>
                <w:tab w:val="left" w:pos="147"/>
              </w:tabs>
              <w:spacing w:line="140" w:lineRule="exact"/>
              <w:ind w:hanging="121"/>
              <w:rPr>
                <w:sz w:val="12"/>
              </w:rPr>
            </w:pPr>
            <w:r>
              <w:rPr>
                <w:sz w:val="12"/>
              </w:rPr>
              <w:t>Health</w:t>
            </w:r>
            <w:r>
              <w:rPr>
                <w:spacing w:val="-2"/>
                <w:sz w:val="12"/>
              </w:rPr>
              <w:t xml:space="preserve"> </w:t>
            </w:r>
            <w:r>
              <w:rPr>
                <w:sz w:val="12"/>
              </w:rPr>
              <w:t>claims</w:t>
            </w:r>
            <w:r>
              <w:rPr>
                <w:spacing w:val="-8"/>
                <w:sz w:val="12"/>
              </w:rPr>
              <w:t xml:space="preserve"> </w:t>
            </w:r>
            <w:r>
              <w:rPr>
                <w:sz w:val="12"/>
              </w:rPr>
              <w:t>did</w:t>
            </w:r>
            <w:r>
              <w:rPr>
                <w:spacing w:val="-2"/>
                <w:sz w:val="12"/>
              </w:rPr>
              <w:t xml:space="preserve"> </w:t>
            </w:r>
            <w:r>
              <w:rPr>
                <w:sz w:val="12"/>
              </w:rPr>
              <w:t>not</w:t>
            </w:r>
            <w:r>
              <w:rPr>
                <w:spacing w:val="-1"/>
                <w:sz w:val="12"/>
              </w:rPr>
              <w:t xml:space="preserve"> </w:t>
            </w:r>
            <w:r>
              <w:rPr>
                <w:sz w:val="12"/>
              </w:rPr>
              <w:t>produce</w:t>
            </w:r>
            <w:r>
              <w:rPr>
                <w:spacing w:val="-10"/>
                <w:sz w:val="12"/>
              </w:rPr>
              <w:t xml:space="preserve"> </w:t>
            </w:r>
            <w:r>
              <w:rPr>
                <w:sz w:val="12"/>
              </w:rPr>
              <w:t>a</w:t>
            </w:r>
            <w:r>
              <w:rPr>
                <w:spacing w:val="-8"/>
                <w:sz w:val="12"/>
              </w:rPr>
              <w:t xml:space="preserve"> </w:t>
            </w:r>
            <w:r>
              <w:rPr>
                <w:sz w:val="12"/>
              </w:rPr>
              <w:t>positivity</w:t>
            </w:r>
            <w:r>
              <w:rPr>
                <w:spacing w:val="-4"/>
                <w:sz w:val="12"/>
              </w:rPr>
              <w:t xml:space="preserve"> </w:t>
            </w:r>
            <w:r>
              <w:rPr>
                <w:sz w:val="12"/>
              </w:rPr>
              <w:t>bias.</w:t>
            </w:r>
          </w:p>
          <w:p w:rsidR="00280DF2" w:rsidP="009C5286" w14:paraId="150BD7C7" w14:textId="6ACA5989">
            <w:pPr>
              <w:pStyle w:val="TableParagraph"/>
              <w:numPr>
                <w:ilvl w:val="0"/>
                <w:numId w:val="73"/>
              </w:numPr>
              <w:tabs>
                <w:tab w:val="left" w:pos="147"/>
              </w:tabs>
              <w:spacing w:before="7"/>
              <w:ind w:hanging="121"/>
              <w:rPr>
                <w:sz w:val="12"/>
              </w:rPr>
            </w:pPr>
            <w:r>
              <w:rPr>
                <w:sz w:val="12"/>
              </w:rPr>
              <w:t>FOP</w:t>
            </w:r>
            <w:r>
              <w:rPr>
                <w:sz w:val="12"/>
              </w:rPr>
              <w:t xml:space="preserve"> did elicit positivity</w:t>
            </w:r>
            <w:r>
              <w:rPr>
                <w:spacing w:val="-10"/>
                <w:sz w:val="12"/>
              </w:rPr>
              <w:t xml:space="preserve"> </w:t>
            </w:r>
            <w:r>
              <w:rPr>
                <w:sz w:val="12"/>
              </w:rPr>
              <w:t>bias:</w:t>
            </w:r>
          </w:p>
          <w:p w:rsidR="00280DF2" w:rsidP="009C5286" w14:paraId="0261980B" w14:textId="77777777">
            <w:pPr>
              <w:pStyle w:val="TableParagraph"/>
              <w:numPr>
                <w:ilvl w:val="1"/>
                <w:numId w:val="73"/>
              </w:numPr>
              <w:tabs>
                <w:tab w:val="left" w:pos="268"/>
              </w:tabs>
              <w:spacing w:before="8" w:line="252" w:lineRule="auto"/>
              <w:ind w:right="354" w:firstLine="88"/>
              <w:rPr>
                <w:sz w:val="12"/>
              </w:rPr>
            </w:pPr>
            <w:r>
              <w:rPr>
                <w:sz w:val="12"/>
              </w:rPr>
              <w:t>DIG &gt; MTL, led to positive global evaluations compared to control, but not on perceived healthiness or willingness to</w:t>
            </w:r>
            <w:r>
              <w:rPr>
                <w:spacing w:val="20"/>
                <w:sz w:val="12"/>
              </w:rPr>
              <w:t xml:space="preserve"> </w:t>
            </w:r>
            <w:r>
              <w:rPr>
                <w:sz w:val="12"/>
              </w:rPr>
              <w:t>buy</w:t>
            </w:r>
          </w:p>
          <w:p w:rsidR="00280DF2" w:rsidP="009C5286" w14:paraId="7512964D" w14:textId="77777777">
            <w:pPr>
              <w:pStyle w:val="TableParagraph"/>
              <w:numPr>
                <w:ilvl w:val="1"/>
                <w:numId w:val="73"/>
              </w:numPr>
              <w:tabs>
                <w:tab w:val="left" w:pos="268"/>
              </w:tabs>
              <w:spacing w:line="252" w:lineRule="auto"/>
              <w:ind w:right="189" w:firstLine="88"/>
              <w:rPr>
                <w:sz w:val="12"/>
              </w:rPr>
            </w:pPr>
            <w:r>
              <w:rPr>
                <w:sz w:val="12"/>
              </w:rPr>
              <w:t>HSR</w:t>
            </w:r>
            <w:r>
              <w:rPr>
                <w:spacing w:val="-4"/>
                <w:sz w:val="12"/>
              </w:rPr>
              <w:t xml:space="preserve"> </w:t>
            </w:r>
            <w:r>
              <w:rPr>
                <w:sz w:val="12"/>
              </w:rPr>
              <w:t>did</w:t>
            </w:r>
            <w:r>
              <w:rPr>
                <w:spacing w:val="-2"/>
                <w:sz w:val="12"/>
              </w:rPr>
              <w:t xml:space="preserve"> </w:t>
            </w:r>
            <w:r>
              <w:rPr>
                <w:sz w:val="12"/>
              </w:rPr>
              <w:t>not</w:t>
            </w:r>
            <w:r>
              <w:rPr>
                <w:spacing w:val="-1"/>
                <w:sz w:val="12"/>
              </w:rPr>
              <w:t xml:space="preserve"> </w:t>
            </w:r>
            <w:r>
              <w:rPr>
                <w:sz w:val="12"/>
              </w:rPr>
              <w:t>result</w:t>
            </w:r>
            <w:r>
              <w:rPr>
                <w:spacing w:val="-1"/>
                <w:sz w:val="12"/>
              </w:rPr>
              <w:t xml:space="preserve"> </w:t>
            </w:r>
            <w:r>
              <w:rPr>
                <w:spacing w:val="1"/>
                <w:sz w:val="12"/>
              </w:rPr>
              <w:t>in</w:t>
            </w:r>
            <w:r>
              <w:rPr>
                <w:spacing w:val="-2"/>
                <w:sz w:val="12"/>
              </w:rPr>
              <w:t xml:space="preserve"> </w:t>
            </w:r>
            <w:r>
              <w:rPr>
                <w:sz w:val="12"/>
              </w:rPr>
              <w:t>judgements</w:t>
            </w:r>
            <w:r>
              <w:rPr>
                <w:spacing w:val="-8"/>
                <w:sz w:val="12"/>
              </w:rPr>
              <w:t xml:space="preserve"> </w:t>
            </w:r>
            <w:r>
              <w:rPr>
                <w:sz w:val="12"/>
              </w:rPr>
              <w:t>that</w:t>
            </w:r>
            <w:r>
              <w:rPr>
                <w:spacing w:val="-1"/>
                <w:sz w:val="12"/>
              </w:rPr>
              <w:t xml:space="preserve"> </w:t>
            </w:r>
            <w:r>
              <w:rPr>
                <w:sz w:val="12"/>
              </w:rPr>
              <w:t>were</w:t>
            </w:r>
            <w:r>
              <w:rPr>
                <w:spacing w:val="-10"/>
                <w:sz w:val="12"/>
              </w:rPr>
              <w:t xml:space="preserve"> </w:t>
            </w:r>
            <w:r>
              <w:rPr>
                <w:sz w:val="12"/>
              </w:rPr>
              <w:t>sig.</w:t>
            </w:r>
            <w:r>
              <w:rPr>
                <w:spacing w:val="-2"/>
                <w:sz w:val="12"/>
              </w:rPr>
              <w:t xml:space="preserve"> </w:t>
            </w:r>
            <w:r>
              <w:rPr>
                <w:sz w:val="12"/>
              </w:rPr>
              <w:t>different</w:t>
            </w:r>
            <w:r>
              <w:rPr>
                <w:spacing w:val="-1"/>
                <w:sz w:val="12"/>
              </w:rPr>
              <w:t xml:space="preserve"> </w:t>
            </w:r>
            <w:r>
              <w:rPr>
                <w:sz w:val="12"/>
              </w:rPr>
              <w:t>from the control</w:t>
            </w:r>
            <w:r>
              <w:rPr>
                <w:spacing w:val="-11"/>
                <w:sz w:val="12"/>
              </w:rPr>
              <w:t xml:space="preserve"> </w:t>
            </w:r>
            <w:r>
              <w:rPr>
                <w:sz w:val="12"/>
              </w:rPr>
              <w:t>group.</w:t>
            </w:r>
          </w:p>
        </w:tc>
      </w:tr>
      <w:tr w14:paraId="3C73F971" w14:textId="77777777" w:rsidTr="2F9D3AFB">
        <w:tblPrEx>
          <w:tblW w:w="0" w:type="auto"/>
          <w:tblInd w:w="113" w:type="dxa"/>
          <w:tblLayout w:type="fixed"/>
          <w:tblCellMar>
            <w:left w:w="0" w:type="dxa"/>
            <w:right w:w="0" w:type="dxa"/>
          </w:tblCellMar>
          <w:tblLook w:val="01E0"/>
        </w:tblPrEx>
        <w:trPr>
          <w:trHeight w:val="1282"/>
        </w:trPr>
        <w:tc>
          <w:tcPr>
            <w:tcW w:w="1023" w:type="dxa"/>
          </w:tcPr>
          <w:p w:rsidR="00280DF2" w:rsidP="009C5286" w14:paraId="6F8DAFD6" w14:textId="77777777">
            <w:pPr>
              <w:pStyle w:val="TableParagraph"/>
              <w:spacing w:line="140" w:lineRule="exact"/>
              <w:rPr>
                <w:sz w:val="12"/>
              </w:rPr>
            </w:pPr>
            <w:r>
              <w:rPr>
                <w:sz w:val="12"/>
              </w:rPr>
              <w:t>Talati, et al.</w:t>
            </w:r>
          </w:p>
        </w:tc>
        <w:tc>
          <w:tcPr>
            <w:tcW w:w="2101" w:type="dxa"/>
          </w:tcPr>
          <w:p w:rsidR="00280DF2" w:rsidP="009C5286" w14:paraId="299FA8FE" w14:textId="77777777">
            <w:pPr>
              <w:pStyle w:val="TableParagraph"/>
              <w:spacing w:line="252" w:lineRule="auto"/>
              <w:rPr>
                <w:sz w:val="12"/>
              </w:rPr>
            </w:pPr>
            <w:r>
              <w:rPr>
                <w:sz w:val="12"/>
              </w:rPr>
              <w:t>The combined effect of front-of-pack nutrition labels and health claims on consumers' evaluation of food products</w:t>
            </w:r>
          </w:p>
        </w:tc>
        <w:tc>
          <w:tcPr>
            <w:tcW w:w="330" w:type="dxa"/>
          </w:tcPr>
          <w:p w:rsidR="00280DF2" w:rsidP="009C5286" w14:paraId="6D22E2AD" w14:textId="77777777">
            <w:pPr>
              <w:pStyle w:val="TableParagraph"/>
              <w:spacing w:line="140" w:lineRule="exact"/>
              <w:rPr>
                <w:sz w:val="12"/>
              </w:rPr>
            </w:pPr>
            <w:r>
              <w:rPr>
                <w:sz w:val="12"/>
              </w:rPr>
              <w:t>2016</w:t>
            </w:r>
          </w:p>
        </w:tc>
        <w:tc>
          <w:tcPr>
            <w:tcW w:w="3553" w:type="dxa"/>
          </w:tcPr>
          <w:p w:rsidR="00280DF2" w:rsidP="009C5286" w14:paraId="6E5EEED8" w14:textId="77777777">
            <w:pPr>
              <w:pStyle w:val="TableParagraph"/>
              <w:spacing w:line="140" w:lineRule="exact"/>
              <w:rPr>
                <w:sz w:val="12"/>
              </w:rPr>
            </w:pPr>
            <w:r>
              <w:rPr>
                <w:sz w:val="12"/>
              </w:rPr>
              <w:t>Qualitative</w:t>
            </w:r>
          </w:p>
          <w:p w:rsidR="00280DF2" w:rsidP="009C5286" w14:paraId="4AFDD92B" w14:textId="77777777">
            <w:pPr>
              <w:pStyle w:val="TableParagraph"/>
              <w:numPr>
                <w:ilvl w:val="0"/>
                <w:numId w:val="72"/>
              </w:numPr>
              <w:tabs>
                <w:tab w:val="left" w:pos="147"/>
              </w:tabs>
              <w:spacing w:before="7"/>
              <w:ind w:firstLine="0"/>
              <w:rPr>
                <w:sz w:val="12"/>
              </w:rPr>
            </w:pPr>
            <w:r>
              <w:rPr>
                <w:sz w:val="12"/>
              </w:rPr>
              <w:t>Focus</w:t>
            </w:r>
            <w:r>
              <w:rPr>
                <w:spacing w:val="6"/>
                <w:sz w:val="12"/>
              </w:rPr>
              <w:t xml:space="preserve"> </w:t>
            </w:r>
            <w:r>
              <w:rPr>
                <w:sz w:val="12"/>
              </w:rPr>
              <w:t>groups</w:t>
            </w:r>
          </w:p>
          <w:p w:rsidR="00280DF2" w:rsidP="009C5286" w14:paraId="0781147A" w14:textId="13E24F80">
            <w:pPr>
              <w:pStyle w:val="TableParagraph"/>
              <w:numPr>
                <w:ilvl w:val="0"/>
                <w:numId w:val="72"/>
              </w:numPr>
              <w:tabs>
                <w:tab w:val="left" w:pos="147"/>
              </w:tabs>
              <w:spacing w:before="8" w:line="252" w:lineRule="auto"/>
              <w:ind w:right="115" w:firstLine="0"/>
              <w:rPr>
                <w:sz w:val="12"/>
              </w:rPr>
            </w:pPr>
            <w:r>
              <w:rPr>
                <w:sz w:val="12"/>
              </w:rPr>
              <w:t xml:space="preserve">To explore participants' reactions when presented with both a </w:t>
            </w:r>
            <w:r w:rsidR="00F638F1">
              <w:rPr>
                <w:sz w:val="12"/>
              </w:rPr>
              <w:t>FOP</w:t>
            </w:r>
            <w:r>
              <w:rPr>
                <w:sz w:val="12"/>
              </w:rPr>
              <w:t xml:space="preserve"> (Daily Intake Guide/DIG, Multiple Traffic Light/MTL, Health Star Rating/HSR) and a health claim (nutrient content, general-level-, or high-level), particularly how participants process discrepant information</w:t>
            </w:r>
          </w:p>
          <w:p w:rsidR="00280DF2" w:rsidP="009C5286" w14:paraId="7DFB353A" w14:textId="77777777">
            <w:pPr>
              <w:pStyle w:val="TableParagraph"/>
              <w:spacing w:before="1"/>
              <w:rPr>
                <w:sz w:val="12"/>
              </w:rPr>
            </w:pPr>
            <w:r>
              <w:rPr>
                <w:sz w:val="12"/>
              </w:rPr>
              <w:t xml:space="preserve">n=85 participants (adults + children over 10 </w:t>
            </w:r>
            <w:r>
              <w:rPr>
                <w:sz w:val="12"/>
              </w:rPr>
              <w:t>yrs</w:t>
            </w:r>
            <w:r>
              <w:rPr>
                <w:sz w:val="12"/>
              </w:rPr>
              <w:t>)</w:t>
            </w:r>
          </w:p>
        </w:tc>
        <w:tc>
          <w:tcPr>
            <w:tcW w:w="1199" w:type="dxa"/>
          </w:tcPr>
          <w:p w:rsidR="00280DF2" w:rsidP="009C5286" w14:paraId="2935F905" w14:textId="77777777">
            <w:pPr>
              <w:pStyle w:val="TableParagraph"/>
              <w:numPr>
                <w:ilvl w:val="0"/>
                <w:numId w:val="71"/>
              </w:numPr>
              <w:tabs>
                <w:tab w:val="left" w:pos="147"/>
              </w:tabs>
              <w:spacing w:line="252" w:lineRule="auto"/>
              <w:ind w:right="128" w:firstLine="0"/>
              <w:rPr>
                <w:sz w:val="12"/>
              </w:rPr>
            </w:pPr>
            <w:r>
              <w:rPr>
                <w:sz w:val="12"/>
              </w:rPr>
              <w:t>Daily Intake Guide (DIG)</w:t>
            </w:r>
          </w:p>
          <w:p w:rsidR="00280DF2" w:rsidP="009C5286" w14:paraId="169EED8A" w14:textId="77777777">
            <w:pPr>
              <w:pStyle w:val="TableParagraph"/>
              <w:numPr>
                <w:ilvl w:val="0"/>
                <w:numId w:val="71"/>
              </w:numPr>
              <w:tabs>
                <w:tab w:val="left" w:pos="147"/>
              </w:tabs>
              <w:spacing w:line="252" w:lineRule="auto"/>
              <w:ind w:right="247" w:firstLine="0"/>
              <w:rPr>
                <w:sz w:val="12"/>
              </w:rPr>
            </w:pPr>
            <w:r>
              <w:rPr>
                <w:spacing w:val="1"/>
                <w:sz w:val="12"/>
              </w:rPr>
              <w:t>Multiple</w:t>
            </w:r>
            <w:r>
              <w:rPr>
                <w:spacing w:val="-11"/>
                <w:sz w:val="12"/>
              </w:rPr>
              <w:t xml:space="preserve"> </w:t>
            </w:r>
            <w:r>
              <w:rPr>
                <w:sz w:val="12"/>
              </w:rPr>
              <w:t>Traffic Light</w:t>
            </w:r>
            <w:r>
              <w:rPr>
                <w:spacing w:val="-2"/>
                <w:sz w:val="12"/>
              </w:rPr>
              <w:t xml:space="preserve"> </w:t>
            </w:r>
            <w:r>
              <w:rPr>
                <w:sz w:val="12"/>
              </w:rPr>
              <w:t>(MTL)</w:t>
            </w:r>
          </w:p>
          <w:p w:rsidR="00280DF2" w:rsidP="009C5286" w14:paraId="6A0B8DDD" w14:textId="77777777">
            <w:pPr>
              <w:pStyle w:val="TableParagraph"/>
              <w:numPr>
                <w:ilvl w:val="0"/>
                <w:numId w:val="71"/>
              </w:numPr>
              <w:tabs>
                <w:tab w:val="left" w:pos="147"/>
              </w:tabs>
              <w:spacing w:line="252" w:lineRule="auto"/>
              <w:ind w:right="142" w:firstLine="0"/>
              <w:rPr>
                <w:sz w:val="12"/>
              </w:rPr>
            </w:pPr>
            <w:r>
              <w:rPr>
                <w:sz w:val="12"/>
              </w:rPr>
              <w:t>Health Star Rating (HSR)</w:t>
            </w:r>
          </w:p>
        </w:tc>
        <w:tc>
          <w:tcPr>
            <w:tcW w:w="1199" w:type="dxa"/>
          </w:tcPr>
          <w:p w:rsidR="00280DF2" w:rsidP="009C5286" w14:paraId="584E431B" w14:textId="77777777">
            <w:pPr>
              <w:pStyle w:val="TableParagraph"/>
              <w:spacing w:before="9"/>
              <w:ind w:left="0"/>
              <w:rPr>
                <w:rFonts w:ascii="Times New Roman"/>
                <w:sz w:val="2"/>
              </w:rPr>
            </w:pPr>
          </w:p>
          <w:p w:rsidR="00280DF2" w:rsidP="009C5286" w14:paraId="4D714B42" w14:textId="77777777">
            <w:pPr>
              <w:pStyle w:val="TableParagraph"/>
              <w:ind w:left="35" w:right="-10"/>
              <w:rPr>
                <w:rFonts w:ascii="Times New Roman"/>
                <w:sz w:val="20"/>
              </w:rPr>
            </w:pPr>
            <w:r>
              <w:rPr>
                <w:noProof/>
              </w:rPr>
              <w:drawing>
                <wp:inline distT="0" distB="0" distL="0" distR="0">
                  <wp:extent cx="709518" cy="6946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09518" cy="694658"/>
                          </a:xfrm>
                          <a:prstGeom prst="rect">
                            <a:avLst/>
                          </a:prstGeom>
                        </pic:spPr>
                      </pic:pic>
                    </a:graphicData>
                  </a:graphic>
                </wp:inline>
              </w:drawing>
            </w:r>
          </w:p>
        </w:tc>
        <w:tc>
          <w:tcPr>
            <w:tcW w:w="550" w:type="dxa"/>
          </w:tcPr>
          <w:p w:rsidR="00280DF2" w:rsidP="009C5286" w14:paraId="0E6104C3" w14:textId="77777777">
            <w:pPr>
              <w:pStyle w:val="TableParagraph"/>
              <w:spacing w:line="140" w:lineRule="exact"/>
              <w:ind w:left="0" w:right="39"/>
              <w:jc w:val="center"/>
              <w:rPr>
                <w:sz w:val="12"/>
              </w:rPr>
            </w:pPr>
            <w:r>
              <w:rPr>
                <w:sz w:val="12"/>
              </w:rPr>
              <w:t>Australia</w:t>
            </w:r>
          </w:p>
        </w:tc>
        <w:tc>
          <w:tcPr>
            <w:tcW w:w="3487" w:type="dxa"/>
          </w:tcPr>
          <w:p w:rsidR="00280DF2" w:rsidP="009C5286" w14:paraId="3B0061E4" w14:textId="549A3C32">
            <w:pPr>
              <w:pStyle w:val="TableParagraph"/>
              <w:numPr>
                <w:ilvl w:val="0"/>
                <w:numId w:val="70"/>
              </w:numPr>
              <w:tabs>
                <w:tab w:val="left" w:pos="147"/>
              </w:tabs>
              <w:spacing w:line="252" w:lineRule="auto"/>
              <w:ind w:right="194" w:firstLine="0"/>
              <w:rPr>
                <w:sz w:val="12"/>
              </w:rPr>
            </w:pPr>
            <w:r>
              <w:rPr>
                <w:sz w:val="12"/>
              </w:rPr>
              <w:t xml:space="preserve">Results indicate that consumers generally find </w:t>
            </w:r>
            <w:r w:rsidR="00F638F1">
              <w:rPr>
                <w:sz w:val="12"/>
              </w:rPr>
              <w:t>FOP</w:t>
            </w:r>
            <w:r>
              <w:rPr>
                <w:sz w:val="12"/>
              </w:rPr>
              <w:t>s more useful than health</w:t>
            </w:r>
            <w:r>
              <w:rPr>
                <w:spacing w:val="-6"/>
                <w:sz w:val="12"/>
              </w:rPr>
              <w:t xml:space="preserve"> </w:t>
            </w:r>
            <w:r>
              <w:rPr>
                <w:sz w:val="12"/>
              </w:rPr>
              <w:t>claims.</w:t>
            </w:r>
          </w:p>
          <w:p w:rsidR="00280DF2" w:rsidP="009C5286" w14:paraId="18B83262" w14:textId="0880EE09">
            <w:pPr>
              <w:pStyle w:val="TableParagraph"/>
              <w:numPr>
                <w:ilvl w:val="0"/>
                <w:numId w:val="70"/>
              </w:numPr>
              <w:tabs>
                <w:tab w:val="left" w:pos="147"/>
              </w:tabs>
              <w:spacing w:line="252" w:lineRule="auto"/>
              <w:ind w:right="114" w:firstLine="0"/>
              <w:rPr>
                <w:sz w:val="12"/>
              </w:rPr>
            </w:pPr>
            <w:r>
              <w:rPr>
                <w:sz w:val="12"/>
              </w:rPr>
              <w:t xml:space="preserve">Trust and </w:t>
            </w:r>
            <w:r>
              <w:rPr>
                <w:spacing w:val="-4"/>
                <w:sz w:val="12"/>
              </w:rPr>
              <w:t xml:space="preserve">ease </w:t>
            </w:r>
            <w:r>
              <w:rPr>
                <w:sz w:val="12"/>
              </w:rPr>
              <w:t xml:space="preserve">of interpretation were most important for </w:t>
            </w:r>
            <w:r w:rsidR="00F638F1">
              <w:rPr>
                <w:sz w:val="12"/>
              </w:rPr>
              <w:t>FOP</w:t>
            </w:r>
            <w:r>
              <w:rPr>
                <w:sz w:val="12"/>
              </w:rPr>
              <w:t xml:space="preserve">s, which were more likely than health claims to </w:t>
            </w:r>
            <w:r>
              <w:rPr>
                <w:spacing w:val="-3"/>
                <w:sz w:val="12"/>
              </w:rPr>
              <w:t xml:space="preserve">meet </w:t>
            </w:r>
            <w:r>
              <w:rPr>
                <w:sz w:val="12"/>
              </w:rPr>
              <w:t>criteria and be considered during product evaluation (especially the HSR and</w:t>
            </w:r>
            <w:r>
              <w:rPr>
                <w:spacing w:val="-1"/>
                <w:sz w:val="12"/>
              </w:rPr>
              <w:t xml:space="preserve"> </w:t>
            </w:r>
            <w:r>
              <w:rPr>
                <w:sz w:val="12"/>
              </w:rPr>
              <w:t>MTL).</w:t>
            </w:r>
          </w:p>
        </w:tc>
      </w:tr>
      <w:tr w14:paraId="7A6A72D7" w14:textId="77777777" w:rsidTr="2F9D3AFB">
        <w:tblPrEx>
          <w:tblW w:w="0" w:type="auto"/>
          <w:tblInd w:w="113" w:type="dxa"/>
          <w:tblLayout w:type="fixed"/>
          <w:tblCellMar>
            <w:left w:w="0" w:type="dxa"/>
            <w:right w:w="0" w:type="dxa"/>
          </w:tblCellMar>
          <w:tblLook w:val="01E0"/>
        </w:tblPrEx>
        <w:trPr>
          <w:trHeight w:val="1459"/>
        </w:trPr>
        <w:tc>
          <w:tcPr>
            <w:tcW w:w="1023" w:type="dxa"/>
          </w:tcPr>
          <w:p w:rsidR="00280DF2" w:rsidP="009C5286" w14:paraId="483532A6" w14:textId="77777777">
            <w:pPr>
              <w:pStyle w:val="TableParagraph"/>
              <w:spacing w:line="140" w:lineRule="exact"/>
              <w:rPr>
                <w:sz w:val="12"/>
              </w:rPr>
            </w:pPr>
            <w:r>
              <w:rPr>
                <w:sz w:val="12"/>
              </w:rPr>
              <w:t>Thomson, et al.</w:t>
            </w:r>
          </w:p>
        </w:tc>
        <w:tc>
          <w:tcPr>
            <w:tcW w:w="2101" w:type="dxa"/>
          </w:tcPr>
          <w:p w:rsidR="00280DF2" w:rsidP="009C5286" w14:paraId="3BE4F8E6" w14:textId="77777777">
            <w:pPr>
              <w:pStyle w:val="TableParagraph"/>
              <w:spacing w:line="252" w:lineRule="auto"/>
              <w:rPr>
                <w:sz w:val="12"/>
              </w:rPr>
            </w:pPr>
            <w:r>
              <w:rPr>
                <w:sz w:val="12"/>
              </w:rPr>
              <w:t>Tick front-of-pack label has a positive nutritional impact on foods sold in New Zealand</w:t>
            </w:r>
          </w:p>
        </w:tc>
        <w:tc>
          <w:tcPr>
            <w:tcW w:w="330" w:type="dxa"/>
          </w:tcPr>
          <w:p w:rsidR="00280DF2" w:rsidP="009C5286" w14:paraId="5A2D6D4A" w14:textId="77777777">
            <w:pPr>
              <w:pStyle w:val="TableParagraph"/>
              <w:spacing w:line="140" w:lineRule="exact"/>
              <w:rPr>
                <w:sz w:val="12"/>
              </w:rPr>
            </w:pPr>
            <w:r>
              <w:rPr>
                <w:sz w:val="12"/>
              </w:rPr>
              <w:t>2016</w:t>
            </w:r>
          </w:p>
        </w:tc>
        <w:tc>
          <w:tcPr>
            <w:tcW w:w="3553" w:type="dxa"/>
          </w:tcPr>
          <w:p w:rsidR="00280DF2" w:rsidP="009C5286" w14:paraId="1BC692A4" w14:textId="77777777">
            <w:pPr>
              <w:pStyle w:val="TableParagraph"/>
              <w:spacing w:line="140" w:lineRule="exact"/>
              <w:rPr>
                <w:sz w:val="12"/>
              </w:rPr>
            </w:pPr>
            <w:r>
              <w:rPr>
                <w:sz w:val="12"/>
              </w:rPr>
              <w:t>Quantitative</w:t>
            </w:r>
          </w:p>
          <w:p w:rsidR="00280DF2" w:rsidP="009C5286" w14:paraId="2BF4607E" w14:textId="77777777">
            <w:pPr>
              <w:pStyle w:val="TableParagraph"/>
              <w:numPr>
                <w:ilvl w:val="0"/>
                <w:numId w:val="69"/>
              </w:numPr>
              <w:tabs>
                <w:tab w:val="left" w:pos="147"/>
              </w:tabs>
              <w:spacing w:before="7" w:line="252" w:lineRule="auto"/>
              <w:ind w:right="185" w:firstLine="0"/>
              <w:rPr>
                <w:sz w:val="12"/>
              </w:rPr>
            </w:pPr>
            <w:r>
              <w:rPr>
                <w:sz w:val="12"/>
              </w:rPr>
              <w:t>Analyses of newly licensed Tick products (nutrient content + sales data) -45 newly licensed</w:t>
            </w:r>
            <w:r>
              <w:rPr>
                <w:spacing w:val="-17"/>
                <w:sz w:val="12"/>
              </w:rPr>
              <w:t xml:space="preserve"> </w:t>
            </w:r>
            <w:r>
              <w:rPr>
                <w:sz w:val="12"/>
              </w:rPr>
              <w:t>products</w:t>
            </w:r>
          </w:p>
          <w:p w:rsidR="00280DF2" w:rsidP="009C5286" w14:paraId="59267D1E" w14:textId="77777777">
            <w:pPr>
              <w:pStyle w:val="TableParagraph"/>
              <w:numPr>
                <w:ilvl w:val="0"/>
                <w:numId w:val="69"/>
              </w:numPr>
              <w:tabs>
                <w:tab w:val="left" w:pos="147"/>
              </w:tabs>
              <w:spacing w:before="1" w:line="252" w:lineRule="auto"/>
              <w:ind w:right="754" w:firstLine="0"/>
              <w:rPr>
                <w:sz w:val="12"/>
              </w:rPr>
            </w:pPr>
            <w:r>
              <w:rPr>
                <w:sz w:val="12"/>
              </w:rPr>
              <w:t>Interviews</w:t>
            </w:r>
            <w:r>
              <w:rPr>
                <w:spacing w:val="-6"/>
                <w:sz w:val="12"/>
              </w:rPr>
              <w:t xml:space="preserve"> </w:t>
            </w:r>
            <w:r>
              <w:rPr>
                <w:sz w:val="12"/>
              </w:rPr>
              <w:t>of</w:t>
            </w:r>
            <w:r>
              <w:rPr>
                <w:spacing w:val="-7"/>
                <w:sz w:val="12"/>
              </w:rPr>
              <w:t xml:space="preserve"> </w:t>
            </w:r>
            <w:r>
              <w:rPr>
                <w:sz w:val="12"/>
              </w:rPr>
              <w:t>four manufacturers</w:t>
            </w:r>
            <w:r>
              <w:rPr>
                <w:spacing w:val="-6"/>
                <w:sz w:val="12"/>
              </w:rPr>
              <w:t xml:space="preserve"> </w:t>
            </w:r>
            <w:r>
              <w:rPr>
                <w:sz w:val="12"/>
              </w:rPr>
              <w:t>of</w:t>
            </w:r>
            <w:r>
              <w:rPr>
                <w:spacing w:val="-7"/>
                <w:sz w:val="12"/>
              </w:rPr>
              <w:t xml:space="preserve"> </w:t>
            </w:r>
            <w:r>
              <w:rPr>
                <w:sz w:val="12"/>
              </w:rPr>
              <w:t>these</w:t>
            </w:r>
            <w:r>
              <w:rPr>
                <w:spacing w:val="-8"/>
                <w:sz w:val="12"/>
              </w:rPr>
              <w:t xml:space="preserve"> </w:t>
            </w:r>
            <w:r>
              <w:rPr>
                <w:sz w:val="12"/>
              </w:rPr>
              <w:t>products</w:t>
            </w:r>
            <w:r>
              <w:rPr>
                <w:spacing w:val="-6"/>
                <w:sz w:val="12"/>
              </w:rPr>
              <w:t xml:space="preserve"> </w:t>
            </w:r>
            <w:r>
              <w:rPr>
                <w:sz w:val="12"/>
              </w:rPr>
              <w:t>-</w:t>
            </w:r>
            <w:r>
              <w:rPr>
                <w:spacing w:val="-7"/>
                <w:sz w:val="12"/>
              </w:rPr>
              <w:t xml:space="preserve"> </w:t>
            </w:r>
            <w:r>
              <w:rPr>
                <w:sz w:val="12"/>
              </w:rPr>
              <w:t>4 manufacturers</w:t>
            </w:r>
          </w:p>
        </w:tc>
        <w:tc>
          <w:tcPr>
            <w:tcW w:w="1199" w:type="dxa"/>
          </w:tcPr>
          <w:p w:rsidR="00280DF2" w:rsidP="009C5286" w14:paraId="349ABC58" w14:textId="77777777">
            <w:pPr>
              <w:pStyle w:val="TableParagraph"/>
              <w:spacing w:line="140" w:lineRule="exact"/>
              <w:rPr>
                <w:sz w:val="12"/>
              </w:rPr>
            </w:pPr>
            <w:r>
              <w:rPr>
                <w:sz w:val="12"/>
              </w:rPr>
              <w:t>Tick (voluntary)</w:t>
            </w:r>
          </w:p>
        </w:tc>
        <w:tc>
          <w:tcPr>
            <w:tcW w:w="1199" w:type="dxa"/>
          </w:tcPr>
          <w:p w:rsidR="00280DF2" w:rsidP="009C5286" w14:paraId="2F384AA5" w14:textId="77777777">
            <w:pPr>
              <w:pStyle w:val="TableParagraph"/>
              <w:ind w:left="0"/>
              <w:rPr>
                <w:rFonts w:ascii="Times New Roman"/>
                <w:sz w:val="6"/>
              </w:rPr>
            </w:pPr>
          </w:p>
          <w:p w:rsidR="00280DF2" w:rsidP="009C5286" w14:paraId="1D946B25" w14:textId="77777777">
            <w:pPr>
              <w:pStyle w:val="TableParagraph"/>
              <w:ind w:left="130"/>
              <w:rPr>
                <w:rFonts w:ascii="Times New Roman"/>
                <w:sz w:val="20"/>
              </w:rPr>
            </w:pPr>
            <w:r>
              <w:rPr>
                <w:noProof/>
              </w:rPr>
              <w:drawing>
                <wp:inline distT="0" distB="0" distL="0" distR="0">
                  <wp:extent cx="637789" cy="5196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637789" cy="519684"/>
                          </a:xfrm>
                          <a:prstGeom prst="rect">
                            <a:avLst/>
                          </a:prstGeom>
                        </pic:spPr>
                      </pic:pic>
                    </a:graphicData>
                  </a:graphic>
                </wp:inline>
              </w:drawing>
            </w:r>
          </w:p>
        </w:tc>
        <w:tc>
          <w:tcPr>
            <w:tcW w:w="550" w:type="dxa"/>
          </w:tcPr>
          <w:p w:rsidR="00280DF2" w:rsidP="009C5286" w14:paraId="61DF1DB1" w14:textId="77777777">
            <w:pPr>
              <w:pStyle w:val="TableParagraph"/>
              <w:spacing w:line="252" w:lineRule="auto"/>
              <w:ind w:right="105"/>
              <w:rPr>
                <w:sz w:val="12"/>
              </w:rPr>
            </w:pPr>
            <w:r>
              <w:rPr>
                <w:sz w:val="12"/>
              </w:rPr>
              <w:t>New Zealand</w:t>
            </w:r>
          </w:p>
        </w:tc>
        <w:tc>
          <w:tcPr>
            <w:tcW w:w="3487" w:type="dxa"/>
          </w:tcPr>
          <w:p w:rsidR="00280DF2" w:rsidP="009C5286" w14:paraId="4782F26E" w14:textId="77777777">
            <w:pPr>
              <w:pStyle w:val="TableParagraph"/>
              <w:numPr>
                <w:ilvl w:val="0"/>
                <w:numId w:val="68"/>
              </w:numPr>
              <w:tabs>
                <w:tab w:val="left" w:pos="147"/>
              </w:tabs>
              <w:spacing w:line="252" w:lineRule="auto"/>
              <w:ind w:right="113" w:firstLine="0"/>
              <w:rPr>
                <w:sz w:val="12"/>
              </w:rPr>
            </w:pPr>
            <w:r>
              <w:rPr>
                <w:sz w:val="12"/>
              </w:rPr>
              <w:t xml:space="preserve">Eligible products (31% of all Tick products </w:t>
            </w:r>
            <w:r>
              <w:rPr>
                <w:spacing w:val="1"/>
                <w:sz w:val="12"/>
              </w:rPr>
              <w:t xml:space="preserve">in </w:t>
            </w:r>
            <w:r>
              <w:rPr>
                <w:sz w:val="12"/>
              </w:rPr>
              <w:t>these categories) removed</w:t>
            </w:r>
            <w:r>
              <w:rPr>
                <w:spacing w:val="-1"/>
                <w:sz w:val="12"/>
              </w:rPr>
              <w:t xml:space="preserve"> </w:t>
            </w:r>
            <w:r>
              <w:rPr>
                <w:sz w:val="12"/>
              </w:rPr>
              <w:t xml:space="preserve">4.1 </w:t>
            </w:r>
            <w:r>
              <w:rPr>
                <w:spacing w:val="2"/>
                <w:sz w:val="12"/>
              </w:rPr>
              <w:t>million</w:t>
            </w:r>
            <w:r>
              <w:rPr>
                <w:spacing w:val="-1"/>
                <w:sz w:val="12"/>
              </w:rPr>
              <w:t xml:space="preserve"> </w:t>
            </w:r>
            <w:r>
              <w:rPr>
                <w:sz w:val="12"/>
              </w:rPr>
              <w:t>megajoules</w:t>
            </w:r>
            <w:r>
              <w:rPr>
                <w:spacing w:val="-8"/>
                <w:sz w:val="12"/>
              </w:rPr>
              <w:t xml:space="preserve"> </w:t>
            </w:r>
            <w:r>
              <w:rPr>
                <w:sz w:val="12"/>
              </w:rPr>
              <w:t>of</w:t>
            </w:r>
            <w:r>
              <w:rPr>
                <w:spacing w:val="-9"/>
                <w:sz w:val="12"/>
              </w:rPr>
              <w:t xml:space="preserve"> </w:t>
            </w:r>
            <w:r>
              <w:rPr>
                <w:sz w:val="12"/>
              </w:rPr>
              <w:t>energy,</w:t>
            </w:r>
            <w:r>
              <w:rPr>
                <w:spacing w:val="-1"/>
                <w:sz w:val="12"/>
              </w:rPr>
              <w:t xml:space="preserve"> </w:t>
            </w:r>
            <w:r>
              <w:rPr>
                <w:sz w:val="12"/>
              </w:rPr>
              <w:t>156 tonnes</w:t>
            </w:r>
            <w:r>
              <w:rPr>
                <w:spacing w:val="-8"/>
                <w:sz w:val="12"/>
              </w:rPr>
              <w:t xml:space="preserve"> </w:t>
            </w:r>
            <w:r>
              <w:rPr>
                <w:sz w:val="12"/>
              </w:rPr>
              <w:t>of</w:t>
            </w:r>
            <w:r>
              <w:rPr>
                <w:spacing w:val="-9"/>
                <w:sz w:val="12"/>
              </w:rPr>
              <w:t xml:space="preserve"> </w:t>
            </w:r>
            <w:r>
              <w:rPr>
                <w:sz w:val="12"/>
              </w:rPr>
              <w:t>saturated fat, 15.4 tonnes of trans-fat and 4 tonnes of sodium from food products</w:t>
            </w:r>
            <w:r>
              <w:rPr>
                <w:spacing w:val="-9"/>
                <w:sz w:val="12"/>
              </w:rPr>
              <w:t xml:space="preserve"> </w:t>
            </w:r>
            <w:r>
              <w:rPr>
                <w:sz w:val="12"/>
              </w:rPr>
              <w:t>sold</w:t>
            </w:r>
            <w:r>
              <w:rPr>
                <w:spacing w:val="-3"/>
                <w:sz w:val="12"/>
              </w:rPr>
              <w:t xml:space="preserve"> </w:t>
            </w:r>
            <w:r>
              <w:rPr>
                <w:spacing w:val="1"/>
                <w:sz w:val="12"/>
              </w:rPr>
              <w:t>in</w:t>
            </w:r>
            <w:r>
              <w:rPr>
                <w:spacing w:val="-3"/>
                <w:sz w:val="12"/>
              </w:rPr>
              <w:t xml:space="preserve"> </w:t>
            </w:r>
            <w:r>
              <w:rPr>
                <w:sz w:val="12"/>
              </w:rPr>
              <w:t>New</w:t>
            </w:r>
            <w:r>
              <w:rPr>
                <w:spacing w:val="-11"/>
                <w:sz w:val="12"/>
              </w:rPr>
              <w:t xml:space="preserve"> </w:t>
            </w:r>
            <w:r>
              <w:rPr>
                <w:sz w:val="12"/>
              </w:rPr>
              <w:t>Zealand</w:t>
            </w:r>
            <w:r>
              <w:rPr>
                <w:spacing w:val="-3"/>
                <w:sz w:val="12"/>
              </w:rPr>
              <w:t xml:space="preserve"> </w:t>
            </w:r>
            <w:r>
              <w:rPr>
                <w:sz w:val="12"/>
              </w:rPr>
              <w:t>over</w:t>
            </w:r>
            <w:r>
              <w:rPr>
                <w:spacing w:val="-4"/>
                <w:sz w:val="12"/>
              </w:rPr>
              <w:t xml:space="preserve"> </w:t>
            </w:r>
            <w:r>
              <w:rPr>
                <w:sz w:val="12"/>
              </w:rPr>
              <w:t>three</w:t>
            </w:r>
            <w:r>
              <w:rPr>
                <w:spacing w:val="-11"/>
                <w:sz w:val="12"/>
              </w:rPr>
              <w:t xml:space="preserve"> </w:t>
            </w:r>
            <w:r>
              <w:rPr>
                <w:spacing w:val="-3"/>
                <w:sz w:val="12"/>
              </w:rPr>
              <w:t>years.</w:t>
            </w:r>
          </w:p>
          <w:p w:rsidR="00280DF2" w:rsidP="009C5286" w14:paraId="059B4BB8" w14:textId="77777777">
            <w:pPr>
              <w:pStyle w:val="TableParagraph"/>
              <w:numPr>
                <w:ilvl w:val="0"/>
                <w:numId w:val="68"/>
              </w:numPr>
              <w:tabs>
                <w:tab w:val="left" w:pos="147"/>
              </w:tabs>
              <w:spacing w:line="252" w:lineRule="auto"/>
              <w:ind w:right="81" w:firstLine="0"/>
              <w:rPr>
                <w:sz w:val="12"/>
              </w:rPr>
            </w:pPr>
            <w:r>
              <w:rPr>
                <w:sz w:val="12"/>
              </w:rPr>
              <w:t xml:space="preserve">On </w:t>
            </w:r>
            <w:r>
              <w:rPr>
                <w:spacing w:val="-3"/>
                <w:sz w:val="12"/>
              </w:rPr>
              <w:t xml:space="preserve">average, </w:t>
            </w:r>
            <w:r>
              <w:rPr>
                <w:sz w:val="12"/>
              </w:rPr>
              <w:t xml:space="preserve">Tick products were 14-76% lower </w:t>
            </w:r>
            <w:r>
              <w:rPr>
                <w:spacing w:val="1"/>
                <w:sz w:val="12"/>
              </w:rPr>
              <w:t xml:space="preserve">in </w:t>
            </w:r>
            <w:r>
              <w:rPr>
                <w:sz w:val="12"/>
              </w:rPr>
              <w:t>energy, saturated fat, trans-</w:t>
            </w:r>
            <w:r>
              <w:rPr>
                <w:sz w:val="12"/>
              </w:rPr>
              <w:t>fat</w:t>
            </w:r>
            <w:r>
              <w:rPr>
                <w:sz w:val="12"/>
              </w:rPr>
              <w:t xml:space="preserve"> and sodium than non-Tick</w:t>
            </w:r>
            <w:r>
              <w:rPr>
                <w:spacing w:val="-17"/>
                <w:sz w:val="12"/>
              </w:rPr>
              <w:t xml:space="preserve"> </w:t>
            </w:r>
            <w:r>
              <w:rPr>
                <w:sz w:val="12"/>
              </w:rPr>
              <w:t>products.</w:t>
            </w:r>
          </w:p>
          <w:p w:rsidR="00280DF2" w:rsidP="009C5286" w14:paraId="31B47895" w14:textId="77777777">
            <w:pPr>
              <w:pStyle w:val="TableParagraph"/>
              <w:numPr>
                <w:ilvl w:val="0"/>
                <w:numId w:val="68"/>
              </w:numPr>
              <w:tabs>
                <w:tab w:val="left" w:pos="147"/>
              </w:tabs>
              <w:spacing w:line="252" w:lineRule="auto"/>
              <w:ind w:right="10" w:firstLine="0"/>
              <w:rPr>
                <w:sz w:val="12"/>
              </w:rPr>
            </w:pPr>
            <w:r>
              <w:rPr>
                <w:sz w:val="12"/>
              </w:rPr>
              <w:t>Tick</w:t>
            </w:r>
            <w:r>
              <w:rPr>
                <w:spacing w:val="-5"/>
                <w:sz w:val="12"/>
              </w:rPr>
              <w:t xml:space="preserve"> </w:t>
            </w:r>
            <w:r>
              <w:rPr>
                <w:sz w:val="12"/>
              </w:rPr>
              <w:t>was</w:t>
            </w:r>
            <w:r>
              <w:rPr>
                <w:spacing w:val="-8"/>
                <w:sz w:val="12"/>
              </w:rPr>
              <w:t xml:space="preserve"> </w:t>
            </w:r>
            <w:r>
              <w:rPr>
                <w:spacing w:val="-3"/>
                <w:sz w:val="12"/>
              </w:rPr>
              <w:t>used</w:t>
            </w:r>
            <w:r>
              <w:rPr>
                <w:spacing w:val="-2"/>
                <w:sz w:val="12"/>
              </w:rPr>
              <w:t xml:space="preserve"> </w:t>
            </w:r>
            <w:r>
              <w:rPr>
                <w:sz w:val="12"/>
              </w:rPr>
              <w:t>as</w:t>
            </w:r>
            <w:r>
              <w:rPr>
                <w:spacing w:val="-8"/>
                <w:sz w:val="12"/>
              </w:rPr>
              <w:t xml:space="preserve"> </w:t>
            </w:r>
            <w:r>
              <w:rPr>
                <w:sz w:val="12"/>
              </w:rPr>
              <w:t>part</w:t>
            </w:r>
            <w:r>
              <w:rPr>
                <w:spacing w:val="-1"/>
                <w:sz w:val="12"/>
              </w:rPr>
              <w:t xml:space="preserve"> </w:t>
            </w:r>
            <w:r>
              <w:rPr>
                <w:sz w:val="12"/>
              </w:rPr>
              <w:t>of</w:t>
            </w:r>
            <w:r>
              <w:rPr>
                <w:spacing w:val="-9"/>
                <w:sz w:val="12"/>
              </w:rPr>
              <w:t xml:space="preserve"> </w:t>
            </w:r>
            <w:r>
              <w:rPr>
                <w:sz w:val="12"/>
              </w:rPr>
              <w:t>manufacturers'</w:t>
            </w:r>
            <w:r>
              <w:rPr>
                <w:spacing w:val="-9"/>
                <w:sz w:val="12"/>
              </w:rPr>
              <w:t xml:space="preserve"> </w:t>
            </w:r>
            <w:r>
              <w:rPr>
                <w:sz w:val="12"/>
              </w:rPr>
              <w:t>marketing</w:t>
            </w:r>
            <w:r>
              <w:rPr>
                <w:spacing w:val="-7"/>
                <w:sz w:val="12"/>
              </w:rPr>
              <w:t xml:space="preserve"> </w:t>
            </w:r>
            <w:r>
              <w:rPr>
                <w:sz w:val="12"/>
              </w:rPr>
              <w:t>strategy,</w:t>
            </w:r>
            <w:r>
              <w:rPr>
                <w:spacing w:val="-2"/>
                <w:sz w:val="12"/>
              </w:rPr>
              <w:t xml:space="preserve"> </w:t>
            </w:r>
            <w:r>
              <w:rPr>
                <w:sz w:val="12"/>
              </w:rPr>
              <w:t>as</w:t>
            </w:r>
            <w:r>
              <w:rPr>
                <w:spacing w:val="-8"/>
                <w:sz w:val="12"/>
              </w:rPr>
              <w:t xml:space="preserve"> </w:t>
            </w:r>
            <w:r>
              <w:rPr>
                <w:spacing w:val="1"/>
                <w:sz w:val="12"/>
              </w:rPr>
              <w:t>it</w:t>
            </w:r>
            <w:r>
              <w:rPr>
                <w:spacing w:val="-1"/>
                <w:sz w:val="12"/>
              </w:rPr>
              <w:t xml:space="preserve"> </w:t>
            </w:r>
            <w:r>
              <w:rPr>
                <w:sz w:val="12"/>
              </w:rPr>
              <w:t xml:space="preserve">was perceived as a credible, well-recognized logo for </w:t>
            </w:r>
            <w:r>
              <w:rPr>
                <w:spacing w:val="-3"/>
                <w:sz w:val="12"/>
              </w:rPr>
              <w:t xml:space="preserve">New </w:t>
            </w:r>
            <w:r>
              <w:rPr>
                <w:sz w:val="12"/>
              </w:rPr>
              <w:t>Zealand consumers.</w:t>
            </w:r>
          </w:p>
        </w:tc>
      </w:tr>
      <w:tr w14:paraId="299230BE" w14:textId="77777777" w:rsidTr="2F9D3AFB">
        <w:tblPrEx>
          <w:tblW w:w="0" w:type="auto"/>
          <w:tblInd w:w="113" w:type="dxa"/>
          <w:tblLayout w:type="fixed"/>
          <w:tblCellMar>
            <w:left w:w="0" w:type="dxa"/>
            <w:right w:w="0" w:type="dxa"/>
          </w:tblCellMar>
          <w:tblLook w:val="01E0"/>
        </w:tblPrEx>
        <w:trPr>
          <w:trHeight w:val="1294"/>
        </w:trPr>
        <w:tc>
          <w:tcPr>
            <w:tcW w:w="1023" w:type="dxa"/>
          </w:tcPr>
          <w:p w:rsidR="00280DF2" w:rsidP="009C5286" w14:paraId="60C4A3CE" w14:textId="77777777">
            <w:pPr>
              <w:pStyle w:val="TableParagraph"/>
              <w:spacing w:line="140" w:lineRule="exact"/>
              <w:rPr>
                <w:sz w:val="12"/>
              </w:rPr>
            </w:pPr>
            <w:r>
              <w:rPr>
                <w:sz w:val="12"/>
              </w:rPr>
              <w:t>Yang, et al.</w:t>
            </w:r>
          </w:p>
        </w:tc>
        <w:tc>
          <w:tcPr>
            <w:tcW w:w="2101" w:type="dxa"/>
          </w:tcPr>
          <w:p w:rsidR="00280DF2" w:rsidP="009C5286" w14:paraId="72CCFFDB" w14:textId="77777777">
            <w:pPr>
              <w:pStyle w:val="TableParagraph"/>
              <w:spacing w:line="252" w:lineRule="auto"/>
              <w:ind w:right="322"/>
              <w:rPr>
                <w:sz w:val="12"/>
              </w:rPr>
            </w:pPr>
            <w:r>
              <w:rPr>
                <w:sz w:val="12"/>
              </w:rPr>
              <w:t>Analysis of Front-of-Pack labelling systems on packaged non-alcoholic beverages for Australian consumer guidance</w:t>
            </w:r>
          </w:p>
        </w:tc>
        <w:tc>
          <w:tcPr>
            <w:tcW w:w="330" w:type="dxa"/>
          </w:tcPr>
          <w:p w:rsidR="00280DF2" w:rsidRPr="008F5201" w:rsidP="009C5286" w14:paraId="3D807596" w14:textId="77777777">
            <w:pPr>
              <w:pStyle w:val="TableParagraph"/>
              <w:spacing w:line="140" w:lineRule="exact"/>
              <w:rPr>
                <w:color w:val="000000" w:themeColor="text1"/>
                <w:sz w:val="12"/>
              </w:rPr>
            </w:pPr>
            <w:r w:rsidRPr="008F5201">
              <w:rPr>
                <w:color w:val="000000" w:themeColor="text1"/>
                <w:sz w:val="12"/>
              </w:rPr>
              <w:t>2016</w:t>
            </w:r>
          </w:p>
        </w:tc>
        <w:tc>
          <w:tcPr>
            <w:tcW w:w="3553" w:type="dxa"/>
          </w:tcPr>
          <w:p w:rsidR="00280DF2" w:rsidP="009C5286" w14:paraId="042BCD3E" w14:textId="77777777">
            <w:pPr>
              <w:pStyle w:val="TableParagraph"/>
              <w:spacing w:line="140" w:lineRule="exact"/>
              <w:rPr>
                <w:sz w:val="12"/>
              </w:rPr>
            </w:pPr>
            <w:r>
              <w:rPr>
                <w:sz w:val="12"/>
              </w:rPr>
              <w:t>Quantitative.</w:t>
            </w:r>
          </w:p>
          <w:p w:rsidR="00280DF2" w:rsidP="009C5286" w14:paraId="1F6D7D85" w14:textId="745E66A9">
            <w:pPr>
              <w:pStyle w:val="TableParagraph"/>
              <w:spacing w:before="7" w:line="252" w:lineRule="auto"/>
              <w:rPr>
                <w:sz w:val="12"/>
              </w:rPr>
            </w:pPr>
            <w:r>
              <w:rPr>
                <w:sz w:val="12"/>
              </w:rPr>
              <w:t xml:space="preserve">To apply three </w:t>
            </w:r>
            <w:r w:rsidR="00F638F1">
              <w:rPr>
                <w:sz w:val="12"/>
              </w:rPr>
              <w:t>FOP</w:t>
            </w:r>
            <w:r>
              <w:rPr>
                <w:sz w:val="12"/>
              </w:rPr>
              <w:t xml:space="preserve"> systems: TLS, %DI, and HSR to a selection of representative non-alcoholic beverages to assess these systems in terms of their potential comprehensiveness, </w:t>
            </w:r>
            <w:r>
              <w:rPr>
                <w:sz w:val="12"/>
              </w:rPr>
              <w:t>consistency</w:t>
            </w:r>
            <w:r>
              <w:rPr>
                <w:sz w:val="12"/>
              </w:rPr>
              <w:t xml:space="preserve"> and utility.</w:t>
            </w:r>
          </w:p>
        </w:tc>
        <w:tc>
          <w:tcPr>
            <w:tcW w:w="1199" w:type="dxa"/>
          </w:tcPr>
          <w:p w:rsidR="00280DF2" w:rsidP="009C5286" w14:paraId="4675216C" w14:textId="77777777">
            <w:pPr>
              <w:pStyle w:val="TableParagraph"/>
              <w:numPr>
                <w:ilvl w:val="0"/>
                <w:numId w:val="67"/>
              </w:numPr>
              <w:tabs>
                <w:tab w:val="left" w:pos="147"/>
              </w:tabs>
              <w:spacing w:line="140" w:lineRule="exact"/>
              <w:ind w:firstLine="0"/>
              <w:rPr>
                <w:sz w:val="12"/>
              </w:rPr>
            </w:pPr>
            <w:r>
              <w:rPr>
                <w:sz w:val="12"/>
              </w:rPr>
              <w:t>% Daily Intake</w:t>
            </w:r>
            <w:r>
              <w:rPr>
                <w:spacing w:val="-10"/>
                <w:sz w:val="12"/>
              </w:rPr>
              <w:t xml:space="preserve"> </w:t>
            </w:r>
            <w:r>
              <w:rPr>
                <w:sz w:val="12"/>
              </w:rPr>
              <w:t>(%DI)</w:t>
            </w:r>
          </w:p>
          <w:p w:rsidR="00280DF2" w:rsidP="009C5286" w14:paraId="168FF85D" w14:textId="77777777">
            <w:pPr>
              <w:pStyle w:val="TableParagraph"/>
              <w:numPr>
                <w:ilvl w:val="0"/>
                <w:numId w:val="67"/>
              </w:numPr>
              <w:tabs>
                <w:tab w:val="left" w:pos="147"/>
              </w:tabs>
              <w:spacing w:before="7" w:line="252" w:lineRule="auto"/>
              <w:ind w:right="247" w:firstLine="0"/>
              <w:rPr>
                <w:sz w:val="12"/>
              </w:rPr>
            </w:pPr>
            <w:r>
              <w:rPr>
                <w:spacing w:val="1"/>
                <w:sz w:val="12"/>
              </w:rPr>
              <w:t>Multiple</w:t>
            </w:r>
            <w:r>
              <w:rPr>
                <w:spacing w:val="-11"/>
                <w:sz w:val="12"/>
              </w:rPr>
              <w:t xml:space="preserve"> </w:t>
            </w:r>
            <w:r>
              <w:rPr>
                <w:sz w:val="12"/>
              </w:rPr>
              <w:t>Traffic Light</w:t>
            </w:r>
            <w:r>
              <w:rPr>
                <w:spacing w:val="-2"/>
                <w:sz w:val="12"/>
              </w:rPr>
              <w:t xml:space="preserve"> </w:t>
            </w:r>
            <w:r>
              <w:rPr>
                <w:sz w:val="12"/>
              </w:rPr>
              <w:t>(MTL)</w:t>
            </w:r>
          </w:p>
          <w:p w:rsidR="00280DF2" w:rsidP="009C5286" w14:paraId="2C37D03E" w14:textId="77777777">
            <w:pPr>
              <w:pStyle w:val="TableParagraph"/>
              <w:numPr>
                <w:ilvl w:val="0"/>
                <w:numId w:val="67"/>
              </w:numPr>
              <w:tabs>
                <w:tab w:val="left" w:pos="147"/>
              </w:tabs>
              <w:spacing w:before="1" w:line="252" w:lineRule="auto"/>
              <w:ind w:right="142" w:firstLine="0"/>
              <w:rPr>
                <w:sz w:val="12"/>
              </w:rPr>
            </w:pPr>
            <w:r>
              <w:rPr>
                <w:sz w:val="12"/>
              </w:rPr>
              <w:t>Health Star Rating (HSR)</w:t>
            </w:r>
          </w:p>
        </w:tc>
        <w:tc>
          <w:tcPr>
            <w:tcW w:w="1199" w:type="dxa"/>
          </w:tcPr>
          <w:p w:rsidR="00280DF2" w:rsidP="009C5286" w14:paraId="743CA6CC" w14:textId="77777777">
            <w:pPr>
              <w:pStyle w:val="TableParagraph"/>
              <w:spacing w:before="6"/>
              <w:ind w:left="0"/>
              <w:rPr>
                <w:rFonts w:ascii="Times New Roman"/>
                <w:sz w:val="4"/>
              </w:rPr>
            </w:pPr>
          </w:p>
          <w:p w:rsidR="00280DF2" w:rsidP="009C5286" w14:paraId="55D7DCDD" w14:textId="77777777">
            <w:pPr>
              <w:pStyle w:val="TableParagraph"/>
              <w:ind w:left="61"/>
              <w:rPr>
                <w:rFonts w:ascii="Times New Roman"/>
                <w:sz w:val="20"/>
              </w:rPr>
            </w:pPr>
            <w:r>
              <w:rPr>
                <w:noProof/>
              </w:rPr>
              <w:drawing>
                <wp:inline distT="0" distB="0" distL="0" distR="0">
                  <wp:extent cx="673330" cy="34928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73330" cy="349281"/>
                          </a:xfrm>
                          <a:prstGeom prst="rect">
                            <a:avLst/>
                          </a:prstGeom>
                        </pic:spPr>
                      </pic:pic>
                    </a:graphicData>
                  </a:graphic>
                </wp:inline>
              </w:drawing>
            </w:r>
          </w:p>
        </w:tc>
        <w:tc>
          <w:tcPr>
            <w:tcW w:w="550" w:type="dxa"/>
          </w:tcPr>
          <w:p w:rsidR="00280DF2" w:rsidP="009C5286" w14:paraId="5540F4C2" w14:textId="77777777">
            <w:pPr>
              <w:pStyle w:val="TableParagraph"/>
              <w:spacing w:line="140" w:lineRule="exact"/>
              <w:ind w:left="0" w:right="39"/>
              <w:jc w:val="center"/>
              <w:rPr>
                <w:sz w:val="12"/>
              </w:rPr>
            </w:pPr>
            <w:r>
              <w:rPr>
                <w:sz w:val="12"/>
              </w:rPr>
              <w:t>Australia</w:t>
            </w:r>
          </w:p>
        </w:tc>
        <w:tc>
          <w:tcPr>
            <w:tcW w:w="3487" w:type="dxa"/>
          </w:tcPr>
          <w:p w:rsidR="00280DF2" w:rsidP="009C5286" w14:paraId="37FA9496" w14:textId="77777777">
            <w:pPr>
              <w:pStyle w:val="TableParagraph"/>
              <w:numPr>
                <w:ilvl w:val="0"/>
                <w:numId w:val="66"/>
              </w:numPr>
              <w:tabs>
                <w:tab w:val="left" w:pos="147"/>
              </w:tabs>
              <w:spacing w:line="252" w:lineRule="auto"/>
              <w:ind w:right="31" w:firstLine="0"/>
              <w:rPr>
                <w:sz w:val="12"/>
              </w:rPr>
            </w:pPr>
            <w:r>
              <w:rPr>
                <w:sz w:val="12"/>
              </w:rPr>
              <w:t xml:space="preserve">The HSR </w:t>
            </w:r>
            <w:r>
              <w:rPr>
                <w:spacing w:val="-2"/>
                <w:sz w:val="12"/>
              </w:rPr>
              <w:t xml:space="preserve">system </w:t>
            </w:r>
            <w:r>
              <w:rPr>
                <w:sz w:val="12"/>
              </w:rPr>
              <w:t xml:space="preserve">was concluded to be more suitable to label </w:t>
            </w:r>
            <w:r>
              <w:rPr>
                <w:spacing w:val="-3"/>
                <w:sz w:val="12"/>
              </w:rPr>
              <w:t xml:space="preserve">beverages based </w:t>
            </w:r>
            <w:r>
              <w:rPr>
                <w:sz w:val="12"/>
              </w:rPr>
              <w:t xml:space="preserve">on better </w:t>
            </w:r>
            <w:r>
              <w:rPr>
                <w:spacing w:val="1"/>
                <w:sz w:val="12"/>
              </w:rPr>
              <w:t xml:space="preserve">utility, </w:t>
            </w:r>
            <w:r>
              <w:rPr>
                <w:sz w:val="12"/>
              </w:rPr>
              <w:t>applicability</w:t>
            </w:r>
            <w:r>
              <w:rPr>
                <w:sz w:val="12"/>
              </w:rPr>
              <w:t xml:space="preserve"> and </w:t>
            </w:r>
            <w:r>
              <w:rPr>
                <w:spacing w:val="-4"/>
                <w:sz w:val="12"/>
              </w:rPr>
              <w:t xml:space="preserve">ease </w:t>
            </w:r>
            <w:r>
              <w:rPr>
                <w:sz w:val="12"/>
              </w:rPr>
              <w:t xml:space="preserve">of identifying healthier beverage choices; however, this </w:t>
            </w:r>
            <w:r>
              <w:rPr>
                <w:spacing w:val="-2"/>
                <w:sz w:val="12"/>
              </w:rPr>
              <w:t xml:space="preserve">system </w:t>
            </w:r>
            <w:r>
              <w:rPr>
                <w:sz w:val="12"/>
              </w:rPr>
              <w:t>would benefit from further</w:t>
            </w:r>
            <w:r>
              <w:rPr>
                <w:spacing w:val="-4"/>
                <w:sz w:val="12"/>
              </w:rPr>
              <w:t xml:space="preserve"> </w:t>
            </w:r>
            <w:r>
              <w:rPr>
                <w:sz w:val="12"/>
              </w:rPr>
              <w:t>refinement.</w:t>
            </w:r>
          </w:p>
          <w:p w:rsidR="00280DF2" w:rsidP="009C5286" w14:paraId="23231DBA" w14:textId="77777777">
            <w:pPr>
              <w:pStyle w:val="TableParagraph"/>
              <w:numPr>
                <w:ilvl w:val="0"/>
                <w:numId w:val="66"/>
              </w:numPr>
              <w:tabs>
                <w:tab w:val="left" w:pos="147"/>
              </w:tabs>
              <w:spacing w:line="252" w:lineRule="auto"/>
              <w:ind w:right="104" w:firstLine="0"/>
              <w:rPr>
                <w:sz w:val="12"/>
              </w:rPr>
            </w:pPr>
            <w:r>
              <w:rPr>
                <w:sz w:val="12"/>
              </w:rPr>
              <w:t>In</w:t>
            </w:r>
            <w:r>
              <w:rPr>
                <w:spacing w:val="-2"/>
                <w:sz w:val="12"/>
              </w:rPr>
              <w:t xml:space="preserve"> </w:t>
            </w:r>
            <w:r>
              <w:rPr>
                <w:sz w:val="12"/>
              </w:rPr>
              <w:t>the</w:t>
            </w:r>
            <w:r>
              <w:rPr>
                <w:spacing w:val="-11"/>
                <w:sz w:val="12"/>
              </w:rPr>
              <w:t xml:space="preserve"> </w:t>
            </w:r>
            <w:r>
              <w:rPr>
                <w:sz w:val="12"/>
              </w:rPr>
              <w:t>HSR</w:t>
            </w:r>
            <w:r>
              <w:rPr>
                <w:spacing w:val="-5"/>
                <w:sz w:val="12"/>
              </w:rPr>
              <w:t xml:space="preserve"> </w:t>
            </w:r>
            <w:r>
              <w:rPr>
                <w:sz w:val="12"/>
              </w:rPr>
              <w:t>system,</w:t>
            </w:r>
            <w:r>
              <w:rPr>
                <w:spacing w:val="-2"/>
                <w:sz w:val="12"/>
              </w:rPr>
              <w:t xml:space="preserve"> </w:t>
            </w:r>
            <w:r>
              <w:rPr>
                <w:sz w:val="12"/>
              </w:rPr>
              <w:t>regular</w:t>
            </w:r>
            <w:r>
              <w:rPr>
                <w:spacing w:val="-4"/>
                <w:sz w:val="12"/>
              </w:rPr>
              <w:t xml:space="preserve"> </w:t>
            </w:r>
            <w:r>
              <w:rPr>
                <w:sz w:val="12"/>
              </w:rPr>
              <w:t>soft</w:t>
            </w:r>
            <w:r>
              <w:rPr>
                <w:spacing w:val="-1"/>
                <w:sz w:val="12"/>
              </w:rPr>
              <w:t xml:space="preserve"> </w:t>
            </w:r>
            <w:r>
              <w:rPr>
                <w:sz w:val="12"/>
              </w:rPr>
              <w:t>drinks</w:t>
            </w:r>
            <w:r>
              <w:rPr>
                <w:spacing w:val="-9"/>
                <w:sz w:val="12"/>
              </w:rPr>
              <w:t xml:space="preserve"> </w:t>
            </w:r>
            <w:r>
              <w:rPr>
                <w:sz w:val="12"/>
              </w:rPr>
              <w:t>scored</w:t>
            </w:r>
            <w:r>
              <w:rPr>
                <w:spacing w:val="-2"/>
                <w:sz w:val="12"/>
              </w:rPr>
              <w:t xml:space="preserve"> </w:t>
            </w:r>
            <w:r>
              <w:rPr>
                <w:sz w:val="12"/>
              </w:rPr>
              <w:t>one</w:t>
            </w:r>
            <w:r>
              <w:rPr>
                <w:spacing w:val="-11"/>
                <w:sz w:val="12"/>
              </w:rPr>
              <w:t xml:space="preserve"> </w:t>
            </w:r>
            <w:r>
              <w:rPr>
                <w:sz w:val="12"/>
              </w:rPr>
              <w:t>star</w:t>
            </w:r>
            <w:r>
              <w:rPr>
                <w:spacing w:val="-4"/>
                <w:sz w:val="12"/>
              </w:rPr>
              <w:t xml:space="preserve"> </w:t>
            </w:r>
            <w:r>
              <w:rPr>
                <w:sz w:val="12"/>
              </w:rPr>
              <w:t>and</w:t>
            </w:r>
            <w:r>
              <w:rPr>
                <w:spacing w:val="-2"/>
                <w:sz w:val="12"/>
              </w:rPr>
              <w:t xml:space="preserve"> </w:t>
            </w:r>
            <w:r>
              <w:rPr>
                <w:sz w:val="12"/>
              </w:rPr>
              <w:t>diet</w:t>
            </w:r>
            <w:r>
              <w:rPr>
                <w:spacing w:val="-1"/>
                <w:sz w:val="12"/>
              </w:rPr>
              <w:t xml:space="preserve"> </w:t>
            </w:r>
            <w:r>
              <w:rPr>
                <w:sz w:val="12"/>
              </w:rPr>
              <w:t xml:space="preserve">soft drinks scored two stars. For TLS, total </w:t>
            </w:r>
            <w:r>
              <w:rPr>
                <w:spacing w:val="-3"/>
                <w:sz w:val="12"/>
              </w:rPr>
              <w:t xml:space="preserve">fat </w:t>
            </w:r>
            <w:r>
              <w:rPr>
                <w:sz w:val="12"/>
              </w:rPr>
              <w:t xml:space="preserve">for all </w:t>
            </w:r>
            <w:r>
              <w:rPr>
                <w:spacing w:val="-3"/>
                <w:sz w:val="12"/>
              </w:rPr>
              <w:t xml:space="preserve">beverages </w:t>
            </w:r>
            <w:r>
              <w:rPr>
                <w:sz w:val="12"/>
              </w:rPr>
              <w:t xml:space="preserve">was low </w:t>
            </w:r>
            <w:r>
              <w:rPr>
                <w:spacing w:val="-3"/>
                <w:sz w:val="12"/>
              </w:rPr>
              <w:t xml:space="preserve">(green) </w:t>
            </w:r>
            <w:r>
              <w:rPr>
                <w:sz w:val="12"/>
              </w:rPr>
              <w:t xml:space="preserve">except for dairy </w:t>
            </w:r>
            <w:r>
              <w:rPr>
                <w:spacing w:val="-3"/>
                <w:sz w:val="12"/>
              </w:rPr>
              <w:t xml:space="preserve">beverages </w:t>
            </w:r>
            <w:r>
              <w:rPr>
                <w:sz w:val="12"/>
              </w:rPr>
              <w:t xml:space="preserve">which showed medium </w:t>
            </w:r>
            <w:r>
              <w:rPr>
                <w:spacing w:val="-3"/>
                <w:sz w:val="12"/>
              </w:rPr>
              <w:t>(amber).</w:t>
            </w:r>
          </w:p>
        </w:tc>
      </w:tr>
      <w:tr w14:paraId="642B8D4F" w14:textId="77777777" w:rsidTr="2F9D3AFB">
        <w:tblPrEx>
          <w:tblW w:w="0" w:type="auto"/>
          <w:tblInd w:w="113" w:type="dxa"/>
          <w:tblLayout w:type="fixed"/>
          <w:tblCellMar>
            <w:left w:w="0" w:type="dxa"/>
            <w:right w:w="0" w:type="dxa"/>
          </w:tblCellMar>
          <w:tblLook w:val="01E0"/>
        </w:tblPrEx>
        <w:trPr>
          <w:trHeight w:val="1788"/>
        </w:trPr>
        <w:tc>
          <w:tcPr>
            <w:tcW w:w="1023" w:type="dxa"/>
          </w:tcPr>
          <w:p w:rsidR="00280DF2" w:rsidP="009C5286" w14:paraId="6864ABDB" w14:textId="77777777">
            <w:pPr>
              <w:pStyle w:val="TableParagraph"/>
              <w:spacing w:line="140" w:lineRule="exact"/>
              <w:rPr>
                <w:sz w:val="12"/>
              </w:rPr>
            </w:pPr>
            <w:r>
              <w:rPr>
                <w:sz w:val="12"/>
              </w:rPr>
              <w:t>Arrua, et al.</w:t>
            </w:r>
          </w:p>
        </w:tc>
        <w:tc>
          <w:tcPr>
            <w:tcW w:w="2101" w:type="dxa"/>
          </w:tcPr>
          <w:p w:rsidR="00280DF2" w:rsidP="009C5286" w14:paraId="7921F1A8" w14:textId="77777777">
            <w:pPr>
              <w:pStyle w:val="TableParagraph"/>
              <w:spacing w:line="252" w:lineRule="auto"/>
              <w:ind w:right="102"/>
              <w:rPr>
                <w:sz w:val="12"/>
              </w:rPr>
            </w:pPr>
            <w:r>
              <w:rPr>
                <w:sz w:val="12"/>
              </w:rPr>
              <w:t>Impact of front-of-pack nutrition information and label design on children's choice of two snack foods: Comparison of warnings and the traffic- light system</w:t>
            </w:r>
          </w:p>
        </w:tc>
        <w:tc>
          <w:tcPr>
            <w:tcW w:w="330" w:type="dxa"/>
          </w:tcPr>
          <w:p w:rsidR="00280DF2" w:rsidRPr="00E33286" w:rsidP="009C5286" w14:paraId="2640B8F6" w14:textId="77777777">
            <w:pPr>
              <w:pStyle w:val="TableParagraph"/>
              <w:spacing w:line="140" w:lineRule="exact"/>
              <w:rPr>
                <w:color w:val="AF3A3C"/>
                <w:sz w:val="12"/>
              </w:rPr>
            </w:pPr>
            <w:r w:rsidRPr="00E33286">
              <w:rPr>
                <w:color w:val="AF3A3C"/>
                <w:sz w:val="12"/>
              </w:rPr>
              <w:t>2017</w:t>
            </w:r>
          </w:p>
        </w:tc>
        <w:tc>
          <w:tcPr>
            <w:tcW w:w="3553" w:type="dxa"/>
          </w:tcPr>
          <w:p w:rsidR="00280DF2" w:rsidP="009C5286" w14:paraId="1C0483D2" w14:textId="77777777">
            <w:pPr>
              <w:pStyle w:val="TableParagraph"/>
              <w:spacing w:line="140" w:lineRule="exact"/>
              <w:rPr>
                <w:sz w:val="12"/>
              </w:rPr>
            </w:pPr>
            <w:r>
              <w:rPr>
                <w:sz w:val="12"/>
              </w:rPr>
              <w:t>Quantitative.</w:t>
            </w:r>
          </w:p>
          <w:p w:rsidR="00280DF2" w:rsidP="009C5286" w14:paraId="7441C995" w14:textId="4DFCA84D">
            <w:pPr>
              <w:pStyle w:val="TableParagraph"/>
              <w:numPr>
                <w:ilvl w:val="0"/>
                <w:numId w:val="65"/>
              </w:numPr>
              <w:tabs>
                <w:tab w:val="left" w:pos="125"/>
              </w:tabs>
              <w:spacing w:before="7" w:line="252" w:lineRule="auto"/>
              <w:ind w:right="91" w:firstLine="0"/>
              <w:rPr>
                <w:sz w:val="12"/>
              </w:rPr>
            </w:pPr>
            <w:r>
              <w:rPr>
                <w:sz w:val="12"/>
              </w:rPr>
              <w:t xml:space="preserve">The aim was to evaluate the relative influence of two </w:t>
            </w:r>
            <w:r w:rsidR="00F638F1">
              <w:rPr>
                <w:sz w:val="12"/>
              </w:rPr>
              <w:t>FOP</w:t>
            </w:r>
            <w:r>
              <w:rPr>
                <w:sz w:val="12"/>
              </w:rPr>
              <w:t xml:space="preserve"> nutrition labelling schemes, the traffic light </w:t>
            </w:r>
            <w:r>
              <w:rPr>
                <w:spacing w:val="-2"/>
                <w:sz w:val="12"/>
              </w:rPr>
              <w:t xml:space="preserve">system </w:t>
            </w:r>
            <w:r>
              <w:rPr>
                <w:sz w:val="12"/>
              </w:rPr>
              <w:t xml:space="preserve">and Chilean warning </w:t>
            </w:r>
            <w:r>
              <w:rPr>
                <w:spacing w:val="-2"/>
                <w:sz w:val="12"/>
              </w:rPr>
              <w:t xml:space="preserve">system </w:t>
            </w:r>
            <w:r>
              <w:rPr>
                <w:sz w:val="12"/>
              </w:rPr>
              <w:t>on 2 popular snack</w:t>
            </w:r>
            <w:r>
              <w:rPr>
                <w:spacing w:val="-14"/>
                <w:sz w:val="12"/>
              </w:rPr>
              <w:t xml:space="preserve"> </w:t>
            </w:r>
            <w:r>
              <w:rPr>
                <w:sz w:val="12"/>
              </w:rPr>
              <w:t>foods</w:t>
            </w:r>
          </w:p>
          <w:p w:rsidR="00280DF2" w:rsidP="009C5286" w14:paraId="1ADF3F1C" w14:textId="2B5E908A">
            <w:pPr>
              <w:pStyle w:val="TableParagraph"/>
              <w:numPr>
                <w:ilvl w:val="0"/>
                <w:numId w:val="65"/>
              </w:numPr>
              <w:tabs>
                <w:tab w:val="left" w:pos="147"/>
              </w:tabs>
              <w:spacing w:before="1" w:line="252" w:lineRule="auto"/>
              <w:ind w:right="152" w:firstLine="0"/>
              <w:rPr>
                <w:sz w:val="12"/>
              </w:rPr>
            </w:pPr>
            <w:r>
              <w:rPr>
                <w:sz w:val="12"/>
              </w:rPr>
              <w:t xml:space="preserve">The children were </w:t>
            </w:r>
            <w:r>
              <w:rPr>
                <w:spacing w:val="-3"/>
                <w:sz w:val="12"/>
              </w:rPr>
              <w:t xml:space="preserve">asked </w:t>
            </w:r>
            <w:r>
              <w:rPr>
                <w:sz w:val="12"/>
              </w:rPr>
              <w:t xml:space="preserve">to complete a choice-conjoint task with </w:t>
            </w:r>
            <w:r>
              <w:rPr>
                <w:spacing w:val="-3"/>
                <w:sz w:val="12"/>
              </w:rPr>
              <w:t xml:space="preserve">wafer </w:t>
            </w:r>
            <w:r>
              <w:rPr>
                <w:sz w:val="12"/>
              </w:rPr>
              <w:t xml:space="preserve">cookies and orange </w:t>
            </w:r>
            <w:r>
              <w:rPr>
                <w:spacing w:val="1"/>
                <w:sz w:val="12"/>
              </w:rPr>
              <w:t xml:space="preserve">juice </w:t>
            </w:r>
            <w:r>
              <w:rPr>
                <w:sz w:val="12"/>
              </w:rPr>
              <w:t xml:space="preserve">labels, varying </w:t>
            </w:r>
            <w:r>
              <w:rPr>
                <w:spacing w:val="1"/>
                <w:sz w:val="12"/>
              </w:rPr>
              <w:t xml:space="preserve">in </w:t>
            </w:r>
            <w:r>
              <w:rPr>
                <w:sz w:val="12"/>
              </w:rPr>
              <w:t xml:space="preserve">label design and the inclusion of </w:t>
            </w:r>
            <w:r w:rsidR="00F638F1">
              <w:rPr>
                <w:sz w:val="12"/>
              </w:rPr>
              <w:t>FOP</w:t>
            </w:r>
            <w:r>
              <w:rPr>
                <w:sz w:val="12"/>
              </w:rPr>
              <w:t xml:space="preserve"> nutrition</w:t>
            </w:r>
            <w:r>
              <w:rPr>
                <w:spacing w:val="-14"/>
                <w:sz w:val="12"/>
              </w:rPr>
              <w:t xml:space="preserve"> </w:t>
            </w:r>
            <w:r>
              <w:rPr>
                <w:sz w:val="12"/>
              </w:rPr>
              <w:t>information.</w:t>
            </w:r>
          </w:p>
          <w:p w:rsidR="00280DF2" w:rsidP="009C5286" w14:paraId="0184D0E5" w14:textId="77777777">
            <w:pPr>
              <w:pStyle w:val="TableParagraph"/>
              <w:numPr>
                <w:ilvl w:val="0"/>
                <w:numId w:val="65"/>
              </w:numPr>
              <w:tabs>
                <w:tab w:val="left" w:pos="125"/>
              </w:tabs>
              <w:spacing w:line="252" w:lineRule="auto"/>
              <w:ind w:right="73" w:firstLine="0"/>
              <w:rPr>
                <w:sz w:val="12"/>
              </w:rPr>
            </w:pPr>
            <w:r>
              <w:rPr>
                <w:sz w:val="12"/>
              </w:rPr>
              <w:t xml:space="preserve">Half of the children completed the task with labels featuring the traffic-light </w:t>
            </w:r>
            <w:r>
              <w:rPr>
                <w:spacing w:val="-2"/>
                <w:sz w:val="12"/>
              </w:rPr>
              <w:t xml:space="preserve">system </w:t>
            </w:r>
            <w:r>
              <w:rPr>
                <w:sz w:val="12"/>
              </w:rPr>
              <w:t xml:space="preserve">(n=217) and the other half with labels featuring the Chilean warning </w:t>
            </w:r>
            <w:r>
              <w:rPr>
                <w:spacing w:val="-2"/>
                <w:sz w:val="12"/>
              </w:rPr>
              <w:t>system</w:t>
            </w:r>
            <w:r>
              <w:rPr>
                <w:spacing w:val="-13"/>
                <w:sz w:val="12"/>
              </w:rPr>
              <w:t xml:space="preserve"> </w:t>
            </w:r>
            <w:r>
              <w:rPr>
                <w:sz w:val="12"/>
              </w:rPr>
              <w:t>(n=225)</w:t>
            </w:r>
          </w:p>
          <w:p w:rsidR="00280DF2" w:rsidP="009C5286" w14:paraId="5F4E8BC0" w14:textId="77777777">
            <w:pPr>
              <w:pStyle w:val="TableParagraph"/>
              <w:spacing w:before="1"/>
              <w:rPr>
                <w:sz w:val="12"/>
              </w:rPr>
            </w:pPr>
            <w:r>
              <w:rPr>
                <w:sz w:val="12"/>
              </w:rPr>
              <w:t>n= 442 children</w:t>
            </w:r>
          </w:p>
        </w:tc>
        <w:tc>
          <w:tcPr>
            <w:tcW w:w="1199" w:type="dxa"/>
          </w:tcPr>
          <w:p w:rsidR="00280DF2" w:rsidP="009C5286" w14:paraId="6354252F" w14:textId="77777777">
            <w:pPr>
              <w:pStyle w:val="TableParagraph"/>
              <w:numPr>
                <w:ilvl w:val="0"/>
                <w:numId w:val="64"/>
              </w:numPr>
              <w:tabs>
                <w:tab w:val="left" w:pos="147"/>
              </w:tabs>
              <w:spacing w:line="140" w:lineRule="exact"/>
              <w:ind w:firstLine="0"/>
              <w:rPr>
                <w:sz w:val="12"/>
              </w:rPr>
            </w:pPr>
            <w:r>
              <w:rPr>
                <w:sz w:val="12"/>
              </w:rPr>
              <w:t>Traffic</w:t>
            </w:r>
            <w:r>
              <w:rPr>
                <w:spacing w:val="-2"/>
                <w:sz w:val="12"/>
              </w:rPr>
              <w:t xml:space="preserve"> </w:t>
            </w:r>
            <w:r>
              <w:rPr>
                <w:sz w:val="12"/>
              </w:rPr>
              <w:t>Light</w:t>
            </w:r>
          </w:p>
          <w:p w:rsidR="00280DF2" w:rsidP="009C5286" w14:paraId="2E23589D" w14:textId="77777777">
            <w:pPr>
              <w:pStyle w:val="TableParagraph"/>
              <w:numPr>
                <w:ilvl w:val="0"/>
                <w:numId w:val="64"/>
              </w:numPr>
              <w:tabs>
                <w:tab w:val="left" w:pos="147"/>
              </w:tabs>
              <w:spacing w:before="7" w:line="252" w:lineRule="auto"/>
              <w:ind w:right="230" w:firstLine="0"/>
              <w:rPr>
                <w:sz w:val="12"/>
              </w:rPr>
            </w:pPr>
            <w:r>
              <w:rPr>
                <w:sz w:val="12"/>
              </w:rPr>
              <w:t xml:space="preserve">Chilean warning </w:t>
            </w:r>
            <w:r>
              <w:rPr>
                <w:spacing w:val="-2"/>
                <w:sz w:val="12"/>
              </w:rPr>
              <w:t>system</w:t>
            </w:r>
          </w:p>
        </w:tc>
        <w:tc>
          <w:tcPr>
            <w:tcW w:w="1199" w:type="dxa"/>
          </w:tcPr>
          <w:p w:rsidR="00280DF2" w:rsidP="009C5286" w14:paraId="1D0B3F07" w14:textId="77777777">
            <w:pPr>
              <w:pStyle w:val="TableParagraph"/>
              <w:spacing w:before="9"/>
              <w:ind w:left="0"/>
              <w:rPr>
                <w:rFonts w:ascii="Times New Roman"/>
                <w:sz w:val="5"/>
              </w:rPr>
            </w:pPr>
          </w:p>
          <w:p w:rsidR="00280DF2" w:rsidP="009C5286" w14:paraId="537DA7AA" w14:textId="77777777">
            <w:pPr>
              <w:pStyle w:val="TableParagraph"/>
              <w:ind w:left="44"/>
              <w:rPr>
                <w:rFonts w:ascii="Times New Roman"/>
                <w:sz w:val="20"/>
              </w:rPr>
            </w:pPr>
            <w:r>
              <w:rPr>
                <w:noProof/>
              </w:rPr>
              <w:drawing>
                <wp:inline distT="0" distB="0" distL="0" distR="0">
                  <wp:extent cx="690578" cy="35813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690578" cy="358139"/>
                          </a:xfrm>
                          <a:prstGeom prst="rect">
                            <a:avLst/>
                          </a:prstGeom>
                        </pic:spPr>
                      </pic:pic>
                    </a:graphicData>
                  </a:graphic>
                </wp:inline>
              </w:drawing>
            </w:r>
          </w:p>
        </w:tc>
        <w:tc>
          <w:tcPr>
            <w:tcW w:w="550" w:type="dxa"/>
          </w:tcPr>
          <w:p w:rsidR="00280DF2" w:rsidP="009C5286" w14:paraId="16960079" w14:textId="77777777">
            <w:pPr>
              <w:pStyle w:val="TableParagraph"/>
              <w:spacing w:line="140" w:lineRule="exact"/>
              <w:ind w:left="8" w:right="72"/>
              <w:jc w:val="center"/>
              <w:rPr>
                <w:sz w:val="12"/>
              </w:rPr>
            </w:pPr>
            <w:r>
              <w:rPr>
                <w:sz w:val="12"/>
              </w:rPr>
              <w:t>Uruguay</w:t>
            </w:r>
          </w:p>
        </w:tc>
        <w:tc>
          <w:tcPr>
            <w:tcW w:w="3487" w:type="dxa"/>
          </w:tcPr>
          <w:p w:rsidR="00280DF2" w:rsidP="009C5286" w14:paraId="139CE206" w14:textId="77777777">
            <w:pPr>
              <w:pStyle w:val="TableParagraph"/>
              <w:numPr>
                <w:ilvl w:val="0"/>
                <w:numId w:val="63"/>
              </w:numPr>
              <w:tabs>
                <w:tab w:val="left" w:pos="147"/>
              </w:tabs>
              <w:spacing w:line="140" w:lineRule="exact"/>
              <w:ind w:firstLine="0"/>
              <w:rPr>
                <w:sz w:val="12"/>
              </w:rPr>
            </w:pPr>
            <w:r>
              <w:rPr>
                <w:sz w:val="12"/>
              </w:rPr>
              <w:t>Children's</w:t>
            </w:r>
            <w:r>
              <w:rPr>
                <w:spacing w:val="-8"/>
                <w:sz w:val="12"/>
              </w:rPr>
              <w:t xml:space="preserve"> </w:t>
            </w:r>
            <w:r>
              <w:rPr>
                <w:sz w:val="12"/>
              </w:rPr>
              <w:t>choices</w:t>
            </w:r>
            <w:r>
              <w:rPr>
                <w:spacing w:val="-8"/>
                <w:sz w:val="12"/>
              </w:rPr>
              <w:t xml:space="preserve"> </w:t>
            </w:r>
            <w:r>
              <w:rPr>
                <w:sz w:val="12"/>
              </w:rPr>
              <w:t>of</w:t>
            </w:r>
            <w:r>
              <w:rPr>
                <w:spacing w:val="-9"/>
                <w:sz w:val="12"/>
              </w:rPr>
              <w:t xml:space="preserve"> </w:t>
            </w:r>
            <w:r>
              <w:rPr>
                <w:spacing w:val="-3"/>
                <w:sz w:val="12"/>
              </w:rPr>
              <w:t xml:space="preserve">wafer </w:t>
            </w:r>
            <w:r>
              <w:rPr>
                <w:sz w:val="12"/>
              </w:rPr>
              <w:t>cookies</w:t>
            </w:r>
            <w:r>
              <w:rPr>
                <w:spacing w:val="-8"/>
                <w:sz w:val="12"/>
              </w:rPr>
              <w:t xml:space="preserve"> </w:t>
            </w:r>
            <w:r>
              <w:rPr>
                <w:sz w:val="12"/>
              </w:rPr>
              <w:t>and</w:t>
            </w:r>
            <w:r>
              <w:rPr>
                <w:spacing w:val="-2"/>
                <w:sz w:val="12"/>
              </w:rPr>
              <w:t xml:space="preserve"> </w:t>
            </w:r>
            <w:r>
              <w:rPr>
                <w:spacing w:val="1"/>
                <w:sz w:val="12"/>
              </w:rPr>
              <w:t>juice</w:t>
            </w:r>
            <w:r>
              <w:rPr>
                <w:spacing w:val="-10"/>
                <w:sz w:val="12"/>
              </w:rPr>
              <w:t xml:space="preserve"> </w:t>
            </w:r>
            <w:r>
              <w:rPr>
                <w:sz w:val="12"/>
              </w:rPr>
              <w:t>labels</w:t>
            </w:r>
            <w:r>
              <w:rPr>
                <w:spacing w:val="-8"/>
                <w:sz w:val="12"/>
              </w:rPr>
              <w:t xml:space="preserve"> </w:t>
            </w:r>
            <w:r>
              <w:rPr>
                <w:sz w:val="12"/>
              </w:rPr>
              <w:t>was</w:t>
            </w:r>
          </w:p>
          <w:p w:rsidR="00280DF2" w:rsidP="009C5286" w14:paraId="0497BF46" w14:textId="3D2486B3">
            <w:pPr>
              <w:pStyle w:val="TableParagraph"/>
              <w:spacing w:before="7" w:line="252" w:lineRule="auto"/>
              <w:ind w:right="101"/>
              <w:rPr>
                <w:sz w:val="12"/>
              </w:rPr>
            </w:pPr>
            <w:r>
              <w:rPr>
                <w:sz w:val="12"/>
              </w:rPr>
              <w:t xml:space="preserve">significantly influenced by both label design and </w:t>
            </w:r>
            <w:r w:rsidR="00F638F1">
              <w:rPr>
                <w:sz w:val="12"/>
              </w:rPr>
              <w:t>FOP</w:t>
            </w:r>
            <w:r>
              <w:rPr>
                <w:sz w:val="12"/>
              </w:rPr>
              <w:t xml:space="preserve"> nutritional labels.</w:t>
            </w:r>
          </w:p>
          <w:p w:rsidR="00280DF2" w:rsidP="009C5286" w14:paraId="4C9191A8" w14:textId="4E5ECC75">
            <w:pPr>
              <w:pStyle w:val="TableParagraph"/>
              <w:numPr>
                <w:ilvl w:val="0"/>
                <w:numId w:val="63"/>
              </w:numPr>
              <w:tabs>
                <w:tab w:val="left" w:pos="125"/>
              </w:tabs>
              <w:spacing w:before="1" w:line="252" w:lineRule="auto"/>
              <w:ind w:right="192" w:firstLine="0"/>
              <w:rPr>
                <w:sz w:val="12"/>
              </w:rPr>
            </w:pPr>
            <w:r>
              <w:rPr>
                <w:sz w:val="12"/>
              </w:rPr>
              <w:t xml:space="preserve">The relative impact of </w:t>
            </w:r>
            <w:r w:rsidR="00F638F1">
              <w:rPr>
                <w:sz w:val="12"/>
              </w:rPr>
              <w:t>FOP</w:t>
            </w:r>
            <w:r>
              <w:rPr>
                <w:sz w:val="12"/>
              </w:rPr>
              <w:t xml:space="preserve"> nutritional labelling on children's choices was higher for the warning </w:t>
            </w:r>
            <w:r>
              <w:rPr>
                <w:spacing w:val="-2"/>
                <w:sz w:val="12"/>
              </w:rPr>
              <w:t xml:space="preserve">system </w:t>
            </w:r>
            <w:r>
              <w:rPr>
                <w:sz w:val="12"/>
              </w:rPr>
              <w:t>compared tothe traffic- light</w:t>
            </w:r>
            <w:r>
              <w:rPr>
                <w:spacing w:val="-2"/>
                <w:sz w:val="12"/>
              </w:rPr>
              <w:t xml:space="preserve"> system</w:t>
            </w:r>
          </w:p>
        </w:tc>
      </w:tr>
      <w:tr w14:paraId="35FD07C3" w14:textId="77777777" w:rsidTr="2F9D3AFB">
        <w:tblPrEx>
          <w:tblW w:w="0" w:type="auto"/>
          <w:tblInd w:w="113" w:type="dxa"/>
          <w:tblLayout w:type="fixed"/>
          <w:tblCellMar>
            <w:left w:w="0" w:type="dxa"/>
            <w:right w:w="0" w:type="dxa"/>
          </w:tblCellMar>
          <w:tblLook w:val="01E0"/>
        </w:tblPrEx>
        <w:trPr>
          <w:trHeight w:val="2119"/>
        </w:trPr>
        <w:tc>
          <w:tcPr>
            <w:tcW w:w="1023" w:type="dxa"/>
          </w:tcPr>
          <w:p w:rsidR="00280DF2" w:rsidRPr="007841EB" w:rsidP="009C5286" w14:paraId="75D8F90C" w14:textId="77777777">
            <w:pPr>
              <w:pStyle w:val="TableParagraph"/>
              <w:spacing w:line="140" w:lineRule="exact"/>
              <w:rPr>
                <w:color w:val="000000" w:themeColor="text1"/>
                <w:sz w:val="12"/>
              </w:rPr>
            </w:pPr>
            <w:r w:rsidRPr="007841EB">
              <w:rPr>
                <w:color w:val="000000" w:themeColor="text1"/>
                <w:sz w:val="12"/>
              </w:rPr>
              <w:t>Arrua, et al.</w:t>
            </w:r>
          </w:p>
        </w:tc>
        <w:tc>
          <w:tcPr>
            <w:tcW w:w="2101" w:type="dxa"/>
          </w:tcPr>
          <w:p w:rsidR="00280DF2" w:rsidRPr="007841EB" w:rsidP="009C5286" w14:paraId="1FD72A09" w14:textId="77777777">
            <w:pPr>
              <w:pStyle w:val="TableParagraph"/>
              <w:spacing w:line="252" w:lineRule="auto"/>
              <w:ind w:right="103"/>
              <w:rPr>
                <w:color w:val="000000" w:themeColor="text1"/>
                <w:sz w:val="12"/>
              </w:rPr>
            </w:pPr>
            <w:r w:rsidRPr="007841EB">
              <w:rPr>
                <w:color w:val="000000" w:themeColor="text1"/>
                <w:sz w:val="12"/>
              </w:rPr>
              <w:t>Warnings as a directive front-of-pack nutrition labelling scheme: comparison with the Guideline Daily Amount and traffic-light systems</w:t>
            </w:r>
          </w:p>
        </w:tc>
        <w:tc>
          <w:tcPr>
            <w:tcW w:w="330" w:type="dxa"/>
          </w:tcPr>
          <w:p w:rsidR="00280DF2" w:rsidRPr="00E33286" w:rsidP="009C5286" w14:paraId="1C746BAC" w14:textId="77777777">
            <w:pPr>
              <w:pStyle w:val="TableParagraph"/>
              <w:spacing w:line="140" w:lineRule="exact"/>
              <w:rPr>
                <w:color w:val="AF3A3C"/>
                <w:sz w:val="12"/>
              </w:rPr>
            </w:pPr>
            <w:r w:rsidRPr="00E33286">
              <w:rPr>
                <w:color w:val="AF3A3C"/>
                <w:sz w:val="12"/>
              </w:rPr>
              <w:t>2017</w:t>
            </w:r>
          </w:p>
        </w:tc>
        <w:tc>
          <w:tcPr>
            <w:tcW w:w="3553" w:type="dxa"/>
          </w:tcPr>
          <w:p w:rsidR="00280DF2" w:rsidRPr="007841EB" w:rsidP="009C5286" w14:paraId="39535524" w14:textId="77777777">
            <w:pPr>
              <w:pStyle w:val="TableParagraph"/>
              <w:spacing w:line="140" w:lineRule="exact"/>
              <w:rPr>
                <w:color w:val="000000" w:themeColor="text1"/>
                <w:sz w:val="12"/>
              </w:rPr>
            </w:pPr>
            <w:r w:rsidRPr="007841EB">
              <w:rPr>
                <w:color w:val="000000" w:themeColor="text1"/>
                <w:sz w:val="12"/>
              </w:rPr>
              <w:t>Quantitative.</w:t>
            </w:r>
          </w:p>
          <w:p w:rsidR="00280DF2" w:rsidRPr="007841EB" w:rsidP="009C5286" w14:paraId="4CF60DA2" w14:textId="77777777">
            <w:pPr>
              <w:pStyle w:val="TableParagraph"/>
              <w:numPr>
                <w:ilvl w:val="0"/>
                <w:numId w:val="62"/>
              </w:numPr>
              <w:tabs>
                <w:tab w:val="left" w:pos="147"/>
              </w:tabs>
              <w:spacing w:before="7" w:line="252" w:lineRule="auto"/>
              <w:ind w:right="51" w:firstLine="0"/>
              <w:rPr>
                <w:color w:val="000000" w:themeColor="text1"/>
                <w:sz w:val="12"/>
              </w:rPr>
            </w:pPr>
            <w:r w:rsidRPr="007841EB">
              <w:rPr>
                <w:color w:val="000000" w:themeColor="text1"/>
                <w:sz w:val="12"/>
              </w:rPr>
              <w:t xml:space="preserve">Warnings were compared to Guideline Daily Amounts (GDA) symbol and traffic lights </w:t>
            </w:r>
            <w:r w:rsidRPr="007841EB">
              <w:rPr>
                <w:color w:val="000000" w:themeColor="text1"/>
                <w:spacing w:val="1"/>
                <w:sz w:val="12"/>
              </w:rPr>
              <w:t xml:space="preserve">in </w:t>
            </w:r>
            <w:r w:rsidRPr="007841EB">
              <w:rPr>
                <w:color w:val="000000" w:themeColor="text1"/>
                <w:sz w:val="12"/>
              </w:rPr>
              <w:t>terms of goal-oriented attention, influence on perceived</w:t>
            </w:r>
            <w:r w:rsidRPr="007841EB">
              <w:rPr>
                <w:color w:val="000000" w:themeColor="text1"/>
                <w:spacing w:val="-2"/>
                <w:sz w:val="12"/>
              </w:rPr>
              <w:t xml:space="preserve"> </w:t>
            </w:r>
            <w:r w:rsidRPr="007841EB">
              <w:rPr>
                <w:color w:val="000000" w:themeColor="text1"/>
                <w:sz w:val="12"/>
              </w:rPr>
              <w:t>healthfulness</w:t>
            </w:r>
            <w:r w:rsidRPr="007841EB">
              <w:rPr>
                <w:color w:val="000000" w:themeColor="text1"/>
                <w:spacing w:val="-8"/>
                <w:sz w:val="12"/>
              </w:rPr>
              <w:t xml:space="preserve"> </w:t>
            </w:r>
            <w:r w:rsidRPr="007841EB">
              <w:rPr>
                <w:color w:val="000000" w:themeColor="text1"/>
                <w:sz w:val="12"/>
              </w:rPr>
              <w:t>and</w:t>
            </w:r>
            <w:r w:rsidRPr="007841EB">
              <w:rPr>
                <w:color w:val="000000" w:themeColor="text1"/>
                <w:spacing w:val="-2"/>
                <w:sz w:val="12"/>
              </w:rPr>
              <w:t xml:space="preserve"> </w:t>
            </w:r>
            <w:r w:rsidRPr="007841EB">
              <w:rPr>
                <w:color w:val="000000" w:themeColor="text1"/>
                <w:spacing w:val="1"/>
                <w:sz w:val="12"/>
              </w:rPr>
              <w:t>ability</w:t>
            </w:r>
            <w:r w:rsidRPr="007841EB">
              <w:rPr>
                <w:color w:val="000000" w:themeColor="text1"/>
                <w:spacing w:val="-4"/>
                <w:sz w:val="12"/>
              </w:rPr>
              <w:t xml:space="preserve"> </w:t>
            </w:r>
            <w:r w:rsidRPr="007841EB">
              <w:rPr>
                <w:color w:val="000000" w:themeColor="text1"/>
                <w:sz w:val="12"/>
              </w:rPr>
              <w:t>to</w:t>
            </w:r>
            <w:r w:rsidRPr="007841EB">
              <w:rPr>
                <w:color w:val="000000" w:themeColor="text1"/>
                <w:spacing w:val="-2"/>
                <w:sz w:val="12"/>
              </w:rPr>
              <w:t xml:space="preserve"> </w:t>
            </w:r>
            <w:r w:rsidRPr="007841EB">
              <w:rPr>
                <w:color w:val="000000" w:themeColor="text1"/>
                <w:sz w:val="12"/>
              </w:rPr>
              <w:t>differentiate</w:t>
            </w:r>
            <w:r w:rsidRPr="007841EB">
              <w:rPr>
                <w:color w:val="000000" w:themeColor="text1"/>
                <w:spacing w:val="-10"/>
                <w:sz w:val="12"/>
              </w:rPr>
              <w:t xml:space="preserve"> </w:t>
            </w:r>
            <w:r w:rsidRPr="007841EB">
              <w:rPr>
                <w:color w:val="000000" w:themeColor="text1"/>
                <w:sz w:val="12"/>
              </w:rPr>
              <w:t>b/w</w:t>
            </w:r>
            <w:r w:rsidRPr="007841EB">
              <w:rPr>
                <w:color w:val="000000" w:themeColor="text1"/>
                <w:spacing w:val="-3"/>
                <w:sz w:val="12"/>
              </w:rPr>
              <w:t xml:space="preserve"> </w:t>
            </w:r>
            <w:r w:rsidRPr="007841EB">
              <w:rPr>
                <w:color w:val="000000" w:themeColor="text1"/>
                <w:sz w:val="12"/>
              </w:rPr>
              <w:t>products</w:t>
            </w:r>
          </w:p>
          <w:p w:rsidR="00280DF2" w:rsidRPr="007841EB" w:rsidP="009C5286" w14:paraId="1675EB9A" w14:textId="332C6B73">
            <w:pPr>
              <w:pStyle w:val="TableParagraph"/>
              <w:numPr>
                <w:ilvl w:val="0"/>
                <w:numId w:val="62"/>
              </w:numPr>
              <w:tabs>
                <w:tab w:val="left" w:pos="147"/>
              </w:tabs>
              <w:spacing w:before="1" w:line="252" w:lineRule="auto"/>
              <w:ind w:right="103" w:firstLine="0"/>
              <w:rPr>
                <w:color w:val="000000" w:themeColor="text1"/>
                <w:sz w:val="12"/>
              </w:rPr>
            </w:pPr>
            <w:r w:rsidRPr="007841EB">
              <w:rPr>
                <w:color w:val="000000" w:themeColor="text1"/>
                <w:sz w:val="12"/>
              </w:rPr>
              <w:t xml:space="preserve">Goal-directed attention to </w:t>
            </w:r>
            <w:r w:rsidRPr="007841EB" w:rsidR="00F638F1">
              <w:rPr>
                <w:color w:val="000000" w:themeColor="text1"/>
                <w:sz w:val="12"/>
              </w:rPr>
              <w:t>FOP</w:t>
            </w:r>
            <w:r w:rsidRPr="007841EB">
              <w:rPr>
                <w:color w:val="000000" w:themeColor="text1"/>
                <w:sz w:val="12"/>
              </w:rPr>
              <w:t xml:space="preserve"> labels was evaluated using a visual search task </w:t>
            </w:r>
            <w:r w:rsidRPr="007841EB">
              <w:rPr>
                <w:color w:val="000000" w:themeColor="text1"/>
                <w:spacing w:val="1"/>
                <w:sz w:val="12"/>
              </w:rPr>
              <w:t xml:space="preserve">in </w:t>
            </w:r>
            <w:r w:rsidRPr="007841EB">
              <w:rPr>
                <w:color w:val="000000" w:themeColor="text1"/>
                <w:sz w:val="12"/>
              </w:rPr>
              <w:t xml:space="preserve">which participants were presented with labels on a computer </w:t>
            </w:r>
            <w:r w:rsidRPr="007841EB">
              <w:rPr>
                <w:color w:val="000000" w:themeColor="text1"/>
                <w:spacing w:val="-3"/>
                <w:sz w:val="12"/>
              </w:rPr>
              <w:t xml:space="preserve">screen </w:t>
            </w:r>
            <w:r w:rsidRPr="007841EB">
              <w:rPr>
                <w:color w:val="000000" w:themeColor="text1"/>
                <w:sz w:val="12"/>
              </w:rPr>
              <w:t xml:space="preserve">and were </w:t>
            </w:r>
            <w:r w:rsidRPr="007841EB">
              <w:rPr>
                <w:color w:val="000000" w:themeColor="text1"/>
                <w:spacing w:val="-3"/>
                <w:sz w:val="12"/>
              </w:rPr>
              <w:t xml:space="preserve">asked </w:t>
            </w:r>
            <w:r w:rsidRPr="007841EB">
              <w:rPr>
                <w:color w:val="000000" w:themeColor="text1"/>
                <w:sz w:val="12"/>
              </w:rPr>
              <w:t>to indicate whether labels with high sodium content were</w:t>
            </w:r>
            <w:r w:rsidRPr="007841EB">
              <w:rPr>
                <w:color w:val="000000" w:themeColor="text1"/>
                <w:spacing w:val="-22"/>
                <w:sz w:val="12"/>
              </w:rPr>
              <w:t xml:space="preserve"> </w:t>
            </w:r>
            <w:r w:rsidRPr="007841EB">
              <w:rPr>
                <w:color w:val="000000" w:themeColor="text1"/>
                <w:sz w:val="12"/>
              </w:rPr>
              <w:t>present or absent.</w:t>
            </w:r>
          </w:p>
          <w:p w:rsidR="00280DF2" w:rsidRPr="007841EB" w:rsidP="009C5286" w14:paraId="44DC2E10" w14:textId="3796BF86">
            <w:pPr>
              <w:pStyle w:val="TableParagraph"/>
              <w:numPr>
                <w:ilvl w:val="0"/>
                <w:numId w:val="62"/>
              </w:numPr>
              <w:tabs>
                <w:tab w:val="left" w:pos="147"/>
              </w:tabs>
              <w:spacing w:before="1" w:line="252" w:lineRule="auto"/>
              <w:ind w:right="184" w:firstLine="0"/>
              <w:rPr>
                <w:color w:val="000000" w:themeColor="text1"/>
                <w:sz w:val="12"/>
              </w:rPr>
            </w:pPr>
            <w:r w:rsidRPr="007841EB">
              <w:rPr>
                <w:color w:val="000000" w:themeColor="text1"/>
                <w:sz w:val="12"/>
              </w:rPr>
              <w:t xml:space="preserve">A survey with 387 participants was also carried out, </w:t>
            </w:r>
            <w:r w:rsidRPr="007841EB">
              <w:rPr>
                <w:color w:val="000000" w:themeColor="text1"/>
                <w:spacing w:val="1"/>
                <w:sz w:val="12"/>
              </w:rPr>
              <w:t xml:space="preserve">in </w:t>
            </w:r>
            <w:r w:rsidRPr="007841EB">
              <w:rPr>
                <w:color w:val="000000" w:themeColor="text1"/>
                <w:sz w:val="12"/>
              </w:rPr>
              <w:t xml:space="preserve">which the influence of </w:t>
            </w:r>
            <w:r w:rsidRPr="007841EB" w:rsidR="00F638F1">
              <w:rPr>
                <w:color w:val="000000" w:themeColor="text1"/>
                <w:sz w:val="12"/>
              </w:rPr>
              <w:t>FOP</w:t>
            </w:r>
            <w:r w:rsidRPr="007841EB">
              <w:rPr>
                <w:color w:val="000000" w:themeColor="text1"/>
                <w:sz w:val="12"/>
              </w:rPr>
              <w:t xml:space="preserve"> labels on perceived healthfulness and </w:t>
            </w:r>
            <w:r w:rsidRPr="007841EB">
              <w:rPr>
                <w:color w:val="000000" w:themeColor="text1"/>
                <w:spacing w:val="1"/>
                <w:sz w:val="12"/>
              </w:rPr>
              <w:t xml:space="preserve">ability </w:t>
            </w:r>
            <w:r w:rsidRPr="007841EB">
              <w:rPr>
                <w:color w:val="000000" w:themeColor="text1"/>
                <w:sz w:val="12"/>
              </w:rPr>
              <w:t>to identify</w:t>
            </w:r>
            <w:r w:rsidRPr="007841EB">
              <w:rPr>
                <w:color w:val="000000" w:themeColor="text1"/>
                <w:spacing w:val="-5"/>
                <w:sz w:val="12"/>
              </w:rPr>
              <w:t xml:space="preserve"> </w:t>
            </w:r>
            <w:r w:rsidRPr="007841EB">
              <w:rPr>
                <w:color w:val="000000" w:themeColor="text1"/>
                <w:sz w:val="12"/>
              </w:rPr>
              <w:t>the</w:t>
            </w:r>
            <w:r w:rsidRPr="007841EB">
              <w:rPr>
                <w:color w:val="000000" w:themeColor="text1"/>
                <w:spacing w:val="-11"/>
                <w:sz w:val="12"/>
              </w:rPr>
              <w:t xml:space="preserve"> </w:t>
            </w:r>
            <w:r w:rsidRPr="007841EB">
              <w:rPr>
                <w:color w:val="000000" w:themeColor="text1"/>
                <w:sz w:val="12"/>
              </w:rPr>
              <w:t>healthful alternative</w:t>
            </w:r>
            <w:r w:rsidRPr="007841EB">
              <w:rPr>
                <w:color w:val="000000" w:themeColor="text1"/>
                <w:spacing w:val="-11"/>
                <w:sz w:val="12"/>
              </w:rPr>
              <w:t xml:space="preserve"> </w:t>
            </w:r>
            <w:r w:rsidRPr="007841EB">
              <w:rPr>
                <w:color w:val="000000" w:themeColor="text1"/>
                <w:sz w:val="12"/>
              </w:rPr>
              <w:t>were</w:t>
            </w:r>
            <w:r w:rsidRPr="007841EB">
              <w:rPr>
                <w:color w:val="000000" w:themeColor="text1"/>
                <w:spacing w:val="-11"/>
                <w:sz w:val="12"/>
              </w:rPr>
              <w:t xml:space="preserve"> </w:t>
            </w:r>
            <w:r w:rsidRPr="007841EB">
              <w:rPr>
                <w:color w:val="000000" w:themeColor="text1"/>
                <w:sz w:val="12"/>
              </w:rPr>
              <w:t>evaluated.</w:t>
            </w:r>
          </w:p>
          <w:p w:rsidR="00280DF2" w:rsidRPr="007841EB" w:rsidP="009C5286" w14:paraId="4DE001B7" w14:textId="77777777">
            <w:pPr>
              <w:pStyle w:val="TableParagraph"/>
              <w:rPr>
                <w:color w:val="000000" w:themeColor="text1"/>
                <w:sz w:val="12"/>
              </w:rPr>
            </w:pPr>
            <w:r w:rsidRPr="007841EB">
              <w:rPr>
                <w:color w:val="000000" w:themeColor="text1"/>
                <w:sz w:val="12"/>
              </w:rPr>
              <w:t>n=387</w:t>
            </w:r>
          </w:p>
        </w:tc>
        <w:tc>
          <w:tcPr>
            <w:tcW w:w="1199" w:type="dxa"/>
          </w:tcPr>
          <w:p w:rsidR="00280DF2" w:rsidRPr="007841EB" w:rsidP="009C5286" w14:paraId="25AEA485" w14:textId="77777777">
            <w:pPr>
              <w:pStyle w:val="TableParagraph"/>
              <w:numPr>
                <w:ilvl w:val="0"/>
                <w:numId w:val="61"/>
              </w:numPr>
              <w:tabs>
                <w:tab w:val="left" w:pos="147"/>
              </w:tabs>
              <w:spacing w:line="140" w:lineRule="exact"/>
              <w:ind w:firstLine="0"/>
              <w:rPr>
                <w:color w:val="000000" w:themeColor="text1"/>
                <w:sz w:val="12"/>
              </w:rPr>
            </w:pPr>
            <w:r w:rsidRPr="007841EB">
              <w:rPr>
                <w:color w:val="000000" w:themeColor="text1"/>
                <w:sz w:val="12"/>
              </w:rPr>
              <w:t>Warnings</w:t>
            </w:r>
          </w:p>
          <w:p w:rsidR="00280DF2" w:rsidRPr="007841EB" w:rsidP="009C5286" w14:paraId="37EA5064" w14:textId="77777777">
            <w:pPr>
              <w:pStyle w:val="TableParagraph"/>
              <w:numPr>
                <w:ilvl w:val="0"/>
                <w:numId w:val="61"/>
              </w:numPr>
              <w:tabs>
                <w:tab w:val="left" w:pos="147"/>
              </w:tabs>
              <w:spacing w:before="7"/>
              <w:ind w:firstLine="0"/>
              <w:rPr>
                <w:color w:val="000000" w:themeColor="text1"/>
                <w:sz w:val="12"/>
              </w:rPr>
            </w:pPr>
            <w:r w:rsidRPr="007841EB">
              <w:rPr>
                <w:color w:val="000000" w:themeColor="text1"/>
                <w:sz w:val="12"/>
              </w:rPr>
              <w:t>Traffic</w:t>
            </w:r>
            <w:r w:rsidRPr="007841EB">
              <w:rPr>
                <w:color w:val="000000" w:themeColor="text1"/>
                <w:spacing w:val="-2"/>
                <w:sz w:val="12"/>
              </w:rPr>
              <w:t xml:space="preserve"> </w:t>
            </w:r>
            <w:r w:rsidRPr="007841EB">
              <w:rPr>
                <w:color w:val="000000" w:themeColor="text1"/>
                <w:sz w:val="12"/>
              </w:rPr>
              <w:t>Light</w:t>
            </w:r>
          </w:p>
          <w:p w:rsidR="00280DF2" w:rsidRPr="007841EB" w:rsidP="009C5286" w14:paraId="331AF082" w14:textId="77777777">
            <w:pPr>
              <w:pStyle w:val="TableParagraph"/>
              <w:numPr>
                <w:ilvl w:val="0"/>
                <w:numId w:val="61"/>
              </w:numPr>
              <w:tabs>
                <w:tab w:val="left" w:pos="147"/>
              </w:tabs>
              <w:spacing w:before="8" w:line="252" w:lineRule="auto"/>
              <w:ind w:right="276" w:firstLine="0"/>
              <w:rPr>
                <w:color w:val="000000" w:themeColor="text1"/>
                <w:sz w:val="12"/>
              </w:rPr>
            </w:pPr>
            <w:r w:rsidRPr="007841EB">
              <w:rPr>
                <w:color w:val="000000" w:themeColor="text1"/>
                <w:sz w:val="12"/>
              </w:rPr>
              <w:t>Guideline Daily Amounts</w:t>
            </w:r>
            <w:r w:rsidRPr="007841EB">
              <w:rPr>
                <w:color w:val="000000" w:themeColor="text1"/>
                <w:spacing w:val="-8"/>
                <w:sz w:val="12"/>
              </w:rPr>
              <w:t xml:space="preserve"> </w:t>
            </w:r>
            <w:r w:rsidRPr="007841EB">
              <w:rPr>
                <w:color w:val="000000" w:themeColor="text1"/>
                <w:spacing w:val="-3"/>
                <w:sz w:val="12"/>
              </w:rPr>
              <w:t>(GDA)</w:t>
            </w:r>
          </w:p>
        </w:tc>
        <w:tc>
          <w:tcPr>
            <w:tcW w:w="1199" w:type="dxa"/>
          </w:tcPr>
          <w:p w:rsidR="00280DF2" w:rsidRPr="007841EB" w:rsidP="009C5286" w14:paraId="2B897F73" w14:textId="77777777">
            <w:pPr>
              <w:pStyle w:val="TableParagraph"/>
              <w:ind w:left="35" w:right="-68"/>
              <w:rPr>
                <w:rFonts w:ascii="Times New Roman"/>
                <w:color w:val="000000" w:themeColor="text1"/>
                <w:sz w:val="20"/>
              </w:rPr>
            </w:pPr>
            <w:r w:rsidRPr="007841EB">
              <w:rPr>
                <w:noProof/>
                <w:color w:val="000000" w:themeColor="text1"/>
              </w:rPr>
              <w:drawing>
                <wp:inline distT="0" distB="0" distL="0" distR="0">
                  <wp:extent cx="746549" cy="2590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46549" cy="259080"/>
                          </a:xfrm>
                          <a:prstGeom prst="rect">
                            <a:avLst/>
                          </a:prstGeom>
                        </pic:spPr>
                      </pic:pic>
                    </a:graphicData>
                  </a:graphic>
                </wp:inline>
              </w:drawing>
            </w:r>
          </w:p>
        </w:tc>
        <w:tc>
          <w:tcPr>
            <w:tcW w:w="550" w:type="dxa"/>
          </w:tcPr>
          <w:p w:rsidR="00280DF2" w:rsidRPr="007841EB" w:rsidP="009C5286" w14:paraId="54EB188C" w14:textId="77777777">
            <w:pPr>
              <w:pStyle w:val="TableParagraph"/>
              <w:spacing w:line="140" w:lineRule="exact"/>
              <w:ind w:left="8" w:right="72"/>
              <w:jc w:val="center"/>
              <w:rPr>
                <w:color w:val="000000" w:themeColor="text1"/>
                <w:sz w:val="12"/>
              </w:rPr>
            </w:pPr>
            <w:r w:rsidRPr="007841EB">
              <w:rPr>
                <w:color w:val="000000" w:themeColor="text1"/>
                <w:sz w:val="12"/>
              </w:rPr>
              <w:t>Uruguay</w:t>
            </w:r>
          </w:p>
        </w:tc>
        <w:tc>
          <w:tcPr>
            <w:tcW w:w="3487" w:type="dxa"/>
          </w:tcPr>
          <w:p w:rsidR="00280DF2" w:rsidRPr="007841EB" w:rsidP="009C5286" w14:paraId="5A198E6C" w14:textId="77777777">
            <w:pPr>
              <w:pStyle w:val="TableParagraph"/>
              <w:spacing w:line="252" w:lineRule="auto"/>
              <w:ind w:right="36"/>
              <w:rPr>
                <w:color w:val="000000" w:themeColor="text1"/>
                <w:sz w:val="12"/>
              </w:rPr>
            </w:pPr>
            <w:r w:rsidRPr="007841EB">
              <w:rPr>
                <w:color w:val="000000" w:themeColor="text1"/>
                <w:sz w:val="12"/>
              </w:rPr>
              <w:t>1. Warnings improved consumers’ ability to correctly identify a product with high content of a key nutrient within a set of labels compared with GDA and received the highest goal-directed attention 2. Products with high energy, saturated fat, sugar and/or sodium content that featured warnings were perceived as less healthful than those featuring GDA or traffic light</w:t>
            </w:r>
          </w:p>
          <w:p w:rsidR="00280DF2" w:rsidRPr="007841EB" w:rsidP="009C5286" w14:paraId="21799DBA" w14:textId="77777777">
            <w:pPr>
              <w:pStyle w:val="TableParagraph"/>
              <w:spacing w:line="252" w:lineRule="auto"/>
              <w:rPr>
                <w:color w:val="000000" w:themeColor="text1"/>
                <w:sz w:val="12"/>
              </w:rPr>
            </w:pPr>
            <w:r w:rsidRPr="007841EB">
              <w:rPr>
                <w:color w:val="000000" w:themeColor="text1"/>
                <w:sz w:val="12"/>
              </w:rPr>
              <w:t>3. Warnings and the traffic-light system performed equally well in the identification of the most healthful product</w:t>
            </w:r>
          </w:p>
        </w:tc>
      </w:tr>
      <w:tr w14:paraId="00A8C4B8" w14:textId="77777777" w:rsidTr="2F9D3AFB">
        <w:tblPrEx>
          <w:tblW w:w="0" w:type="auto"/>
          <w:tblInd w:w="113" w:type="dxa"/>
          <w:tblLayout w:type="fixed"/>
          <w:tblCellMar>
            <w:left w:w="0" w:type="dxa"/>
            <w:right w:w="0" w:type="dxa"/>
          </w:tblCellMar>
          <w:tblLook w:val="01E0"/>
        </w:tblPrEx>
        <w:trPr>
          <w:trHeight w:val="1459"/>
        </w:trPr>
        <w:tc>
          <w:tcPr>
            <w:tcW w:w="1023" w:type="dxa"/>
          </w:tcPr>
          <w:p w:rsidR="00280DF2" w:rsidRPr="007841EB" w:rsidP="009C5286" w14:paraId="471F8B52" w14:textId="77777777">
            <w:pPr>
              <w:pStyle w:val="TableParagraph"/>
              <w:spacing w:line="140" w:lineRule="exact"/>
              <w:rPr>
                <w:color w:val="000000" w:themeColor="text1"/>
                <w:sz w:val="12"/>
              </w:rPr>
            </w:pPr>
            <w:r w:rsidRPr="007841EB">
              <w:rPr>
                <w:color w:val="000000" w:themeColor="text1"/>
                <w:sz w:val="12"/>
              </w:rPr>
              <w:t>Arrua, et al.</w:t>
            </w:r>
          </w:p>
        </w:tc>
        <w:tc>
          <w:tcPr>
            <w:tcW w:w="2101" w:type="dxa"/>
          </w:tcPr>
          <w:p w:rsidR="00280DF2" w:rsidRPr="007841EB" w:rsidP="009C5286" w14:paraId="2030AD92" w14:textId="77777777">
            <w:pPr>
              <w:pStyle w:val="TableParagraph"/>
              <w:spacing w:line="252" w:lineRule="auto"/>
              <w:ind w:right="156"/>
              <w:rPr>
                <w:color w:val="000000" w:themeColor="text1"/>
                <w:sz w:val="12"/>
              </w:rPr>
            </w:pPr>
            <w:r w:rsidRPr="007841EB">
              <w:rPr>
                <w:color w:val="000000" w:themeColor="text1"/>
                <w:sz w:val="12"/>
              </w:rPr>
              <w:t>Influence of Label Design on Children's Perception of 2 Snack Foods</w:t>
            </w:r>
          </w:p>
        </w:tc>
        <w:tc>
          <w:tcPr>
            <w:tcW w:w="330" w:type="dxa"/>
          </w:tcPr>
          <w:p w:rsidR="00280DF2" w:rsidRPr="00E33286" w:rsidP="009C5286" w14:paraId="067F7948" w14:textId="77777777">
            <w:pPr>
              <w:pStyle w:val="TableParagraph"/>
              <w:spacing w:line="140" w:lineRule="exact"/>
              <w:rPr>
                <w:color w:val="AF3A3C"/>
                <w:sz w:val="12"/>
              </w:rPr>
            </w:pPr>
            <w:r w:rsidRPr="00E33286">
              <w:rPr>
                <w:color w:val="AF3A3C"/>
                <w:sz w:val="12"/>
              </w:rPr>
              <w:t>2017</w:t>
            </w:r>
          </w:p>
        </w:tc>
        <w:tc>
          <w:tcPr>
            <w:tcW w:w="3553" w:type="dxa"/>
          </w:tcPr>
          <w:p w:rsidR="00280DF2" w:rsidRPr="007841EB" w:rsidP="009C5286" w14:paraId="635C7E52" w14:textId="77777777">
            <w:pPr>
              <w:pStyle w:val="TableParagraph"/>
              <w:spacing w:line="140" w:lineRule="exact"/>
              <w:rPr>
                <w:color w:val="000000" w:themeColor="text1"/>
                <w:sz w:val="12"/>
              </w:rPr>
            </w:pPr>
            <w:r w:rsidRPr="007841EB">
              <w:rPr>
                <w:color w:val="000000" w:themeColor="text1"/>
                <w:sz w:val="12"/>
              </w:rPr>
              <w:t>Quantitative.</w:t>
            </w:r>
          </w:p>
          <w:p w:rsidR="00280DF2" w:rsidRPr="007841EB" w:rsidP="009C5286" w14:paraId="6E66EE59" w14:textId="77777777">
            <w:pPr>
              <w:pStyle w:val="TableParagraph"/>
              <w:numPr>
                <w:ilvl w:val="0"/>
                <w:numId w:val="60"/>
              </w:numPr>
              <w:tabs>
                <w:tab w:val="left" w:pos="125"/>
              </w:tabs>
              <w:spacing w:before="7"/>
              <w:ind w:firstLine="0"/>
              <w:rPr>
                <w:color w:val="000000" w:themeColor="text1"/>
                <w:sz w:val="12"/>
              </w:rPr>
            </w:pPr>
            <w:r w:rsidRPr="007841EB">
              <w:rPr>
                <w:color w:val="000000" w:themeColor="text1"/>
                <w:sz w:val="12"/>
              </w:rPr>
              <w:t>Labels</w:t>
            </w:r>
            <w:r w:rsidRPr="007841EB">
              <w:rPr>
                <w:color w:val="000000" w:themeColor="text1"/>
                <w:spacing w:val="-8"/>
                <w:sz w:val="12"/>
              </w:rPr>
              <w:t xml:space="preserve"> </w:t>
            </w:r>
            <w:r w:rsidRPr="007841EB">
              <w:rPr>
                <w:color w:val="000000" w:themeColor="text1"/>
                <w:sz w:val="12"/>
              </w:rPr>
              <w:t>of</w:t>
            </w:r>
            <w:r w:rsidRPr="007841EB">
              <w:rPr>
                <w:color w:val="000000" w:themeColor="text1"/>
                <w:spacing w:val="-10"/>
                <w:sz w:val="12"/>
              </w:rPr>
              <w:t xml:space="preserve"> </w:t>
            </w:r>
            <w:r w:rsidRPr="007841EB">
              <w:rPr>
                <w:color w:val="000000" w:themeColor="text1"/>
                <w:sz w:val="12"/>
              </w:rPr>
              <w:t>2 snack</w:t>
            </w:r>
            <w:r w:rsidRPr="007841EB">
              <w:rPr>
                <w:color w:val="000000" w:themeColor="text1"/>
                <w:spacing w:val="-5"/>
                <w:sz w:val="12"/>
              </w:rPr>
              <w:t xml:space="preserve"> </w:t>
            </w:r>
            <w:r w:rsidRPr="007841EB">
              <w:rPr>
                <w:color w:val="000000" w:themeColor="text1"/>
                <w:sz w:val="12"/>
              </w:rPr>
              <w:t>products</w:t>
            </w:r>
            <w:r w:rsidRPr="007841EB">
              <w:rPr>
                <w:color w:val="000000" w:themeColor="text1"/>
                <w:spacing w:val="-8"/>
                <w:sz w:val="12"/>
              </w:rPr>
              <w:t xml:space="preserve"> </w:t>
            </w:r>
            <w:r w:rsidRPr="007841EB">
              <w:rPr>
                <w:color w:val="000000" w:themeColor="text1"/>
                <w:sz w:val="12"/>
              </w:rPr>
              <w:t>(yogurt</w:t>
            </w:r>
            <w:r w:rsidRPr="007841EB">
              <w:rPr>
                <w:color w:val="000000" w:themeColor="text1"/>
                <w:spacing w:val="-1"/>
                <w:sz w:val="12"/>
              </w:rPr>
              <w:t xml:space="preserve"> </w:t>
            </w:r>
            <w:r w:rsidRPr="007841EB">
              <w:rPr>
                <w:color w:val="000000" w:themeColor="text1"/>
                <w:sz w:val="12"/>
              </w:rPr>
              <w:t>&amp; sponge</w:t>
            </w:r>
            <w:r w:rsidRPr="007841EB">
              <w:rPr>
                <w:color w:val="000000" w:themeColor="text1"/>
                <w:spacing w:val="-11"/>
                <w:sz w:val="12"/>
              </w:rPr>
              <w:t xml:space="preserve"> </w:t>
            </w:r>
            <w:r w:rsidRPr="007841EB">
              <w:rPr>
                <w:color w:val="000000" w:themeColor="text1"/>
                <w:sz w:val="12"/>
              </w:rPr>
              <w:t>cake)</w:t>
            </w:r>
            <w:r w:rsidRPr="007841EB">
              <w:rPr>
                <w:color w:val="000000" w:themeColor="text1"/>
                <w:spacing w:val="-8"/>
                <w:sz w:val="12"/>
              </w:rPr>
              <w:t xml:space="preserve"> </w:t>
            </w:r>
            <w:r w:rsidRPr="007841EB">
              <w:rPr>
                <w:color w:val="000000" w:themeColor="text1"/>
                <w:sz w:val="12"/>
              </w:rPr>
              <w:t>were</w:t>
            </w:r>
            <w:r w:rsidRPr="007841EB">
              <w:rPr>
                <w:color w:val="000000" w:themeColor="text1"/>
                <w:spacing w:val="-11"/>
                <w:sz w:val="12"/>
              </w:rPr>
              <w:t xml:space="preserve"> </w:t>
            </w:r>
            <w:r w:rsidRPr="007841EB">
              <w:rPr>
                <w:color w:val="000000" w:themeColor="text1"/>
                <w:spacing w:val="-4"/>
                <w:sz w:val="12"/>
              </w:rPr>
              <w:t>assessed</w:t>
            </w:r>
          </w:p>
          <w:p w:rsidR="00280DF2" w:rsidRPr="007841EB" w:rsidP="009C5286" w14:paraId="7DD2AF02" w14:textId="77777777">
            <w:pPr>
              <w:pStyle w:val="TableParagraph"/>
              <w:numPr>
                <w:ilvl w:val="0"/>
                <w:numId w:val="60"/>
              </w:numPr>
              <w:tabs>
                <w:tab w:val="left" w:pos="147"/>
              </w:tabs>
              <w:spacing w:before="8"/>
              <w:ind w:left="146" w:hanging="121"/>
              <w:rPr>
                <w:color w:val="000000" w:themeColor="text1"/>
                <w:sz w:val="12"/>
              </w:rPr>
            </w:pPr>
            <w:r w:rsidRPr="007841EB">
              <w:rPr>
                <w:color w:val="000000" w:themeColor="text1"/>
                <w:sz w:val="12"/>
              </w:rPr>
              <w:t>Labels</w:t>
            </w:r>
            <w:r w:rsidRPr="007841EB">
              <w:rPr>
                <w:color w:val="000000" w:themeColor="text1"/>
                <w:spacing w:val="-9"/>
                <w:sz w:val="12"/>
              </w:rPr>
              <w:t xml:space="preserve"> </w:t>
            </w:r>
            <w:r w:rsidRPr="007841EB">
              <w:rPr>
                <w:color w:val="000000" w:themeColor="text1"/>
                <w:sz w:val="12"/>
              </w:rPr>
              <w:t>of</w:t>
            </w:r>
            <w:r w:rsidRPr="007841EB">
              <w:rPr>
                <w:color w:val="000000" w:themeColor="text1"/>
                <w:spacing w:val="-10"/>
                <w:sz w:val="12"/>
              </w:rPr>
              <w:t xml:space="preserve"> </w:t>
            </w:r>
            <w:r w:rsidRPr="007841EB">
              <w:rPr>
                <w:color w:val="000000" w:themeColor="text1"/>
                <w:sz w:val="12"/>
              </w:rPr>
              <w:t>each</w:t>
            </w:r>
            <w:r w:rsidRPr="007841EB">
              <w:rPr>
                <w:color w:val="000000" w:themeColor="text1"/>
                <w:spacing w:val="-3"/>
                <w:sz w:val="12"/>
              </w:rPr>
              <w:t xml:space="preserve"> </w:t>
            </w:r>
            <w:r w:rsidRPr="007841EB">
              <w:rPr>
                <w:color w:val="000000" w:themeColor="text1"/>
                <w:sz w:val="12"/>
              </w:rPr>
              <w:t>product</w:t>
            </w:r>
            <w:r w:rsidRPr="007841EB">
              <w:rPr>
                <w:color w:val="000000" w:themeColor="text1"/>
                <w:spacing w:val="-2"/>
                <w:sz w:val="12"/>
              </w:rPr>
              <w:t xml:space="preserve"> </w:t>
            </w:r>
            <w:r w:rsidRPr="007841EB">
              <w:rPr>
                <w:color w:val="000000" w:themeColor="text1"/>
                <w:sz w:val="12"/>
              </w:rPr>
              <w:t>were</w:t>
            </w:r>
            <w:r w:rsidRPr="007841EB">
              <w:rPr>
                <w:color w:val="000000" w:themeColor="text1"/>
                <w:spacing w:val="-11"/>
                <w:sz w:val="12"/>
              </w:rPr>
              <w:t xml:space="preserve"> </w:t>
            </w:r>
            <w:r w:rsidRPr="007841EB">
              <w:rPr>
                <w:color w:val="000000" w:themeColor="text1"/>
                <w:sz w:val="12"/>
              </w:rPr>
              <w:t>designed</w:t>
            </w:r>
            <w:r w:rsidRPr="007841EB">
              <w:rPr>
                <w:color w:val="000000" w:themeColor="text1"/>
                <w:spacing w:val="-3"/>
                <w:sz w:val="12"/>
              </w:rPr>
              <w:t xml:space="preserve"> </w:t>
            </w:r>
            <w:r w:rsidRPr="007841EB">
              <w:rPr>
                <w:color w:val="000000" w:themeColor="text1"/>
                <w:sz w:val="12"/>
              </w:rPr>
              <w:t>using</w:t>
            </w:r>
            <w:r w:rsidRPr="007841EB">
              <w:rPr>
                <w:color w:val="000000" w:themeColor="text1"/>
                <w:spacing w:val="-8"/>
                <w:sz w:val="12"/>
              </w:rPr>
              <w:t xml:space="preserve"> </w:t>
            </w:r>
            <w:r w:rsidRPr="007841EB">
              <w:rPr>
                <w:color w:val="000000" w:themeColor="text1"/>
                <w:sz w:val="12"/>
              </w:rPr>
              <w:t>3</w:t>
            </w:r>
            <w:r w:rsidRPr="007841EB">
              <w:rPr>
                <w:color w:val="000000" w:themeColor="text1"/>
                <w:spacing w:val="-1"/>
                <w:sz w:val="12"/>
              </w:rPr>
              <w:t xml:space="preserve"> </w:t>
            </w:r>
            <w:r w:rsidRPr="007841EB">
              <w:rPr>
                <w:color w:val="000000" w:themeColor="text1"/>
                <w:spacing w:val="2"/>
                <w:sz w:val="12"/>
              </w:rPr>
              <w:t>2-</w:t>
            </w:r>
          </w:p>
          <w:p w:rsidR="00280DF2" w:rsidRPr="007841EB" w:rsidP="009C5286" w14:paraId="1690E879" w14:textId="77777777">
            <w:pPr>
              <w:pStyle w:val="TableParagraph"/>
              <w:spacing w:before="7" w:line="252" w:lineRule="auto"/>
              <w:rPr>
                <w:color w:val="000000" w:themeColor="text1"/>
                <w:sz w:val="12"/>
              </w:rPr>
            </w:pPr>
            <w:r w:rsidRPr="007841EB">
              <w:rPr>
                <w:color w:val="000000" w:themeColor="text1"/>
                <w:sz w:val="12"/>
              </w:rPr>
              <w:t>level variables: cartoon character (present vs absent), nutrition claim (present vs absent), and front-of-package nutritional information (Guideline Daily Amount system vs traffic light system).</w:t>
            </w:r>
          </w:p>
          <w:p w:rsidR="00280DF2" w:rsidRPr="007841EB" w:rsidP="009C5286" w14:paraId="50333077" w14:textId="77777777">
            <w:pPr>
              <w:pStyle w:val="TableParagraph"/>
              <w:numPr>
                <w:ilvl w:val="0"/>
                <w:numId w:val="60"/>
              </w:numPr>
              <w:tabs>
                <w:tab w:val="left" w:pos="147"/>
              </w:tabs>
              <w:spacing w:before="1" w:line="252" w:lineRule="auto"/>
              <w:ind w:right="86" w:firstLine="0"/>
              <w:rPr>
                <w:color w:val="000000" w:themeColor="text1"/>
                <w:sz w:val="12"/>
              </w:rPr>
            </w:pPr>
            <w:r w:rsidRPr="007841EB">
              <w:rPr>
                <w:color w:val="000000" w:themeColor="text1"/>
                <w:sz w:val="12"/>
              </w:rPr>
              <w:t xml:space="preserve">The children examined 8 labels - 4 for each product </w:t>
            </w:r>
            <w:r w:rsidRPr="007841EB">
              <w:rPr>
                <w:color w:val="000000" w:themeColor="text1"/>
                <w:spacing w:val="-3"/>
                <w:sz w:val="12"/>
              </w:rPr>
              <w:t xml:space="preserve">after </w:t>
            </w:r>
            <w:r w:rsidRPr="007841EB">
              <w:rPr>
                <w:color w:val="000000" w:themeColor="text1"/>
                <w:sz w:val="12"/>
              </w:rPr>
              <w:t xml:space="preserve">a </w:t>
            </w:r>
            <w:r w:rsidRPr="007841EB">
              <w:rPr>
                <w:color w:val="000000" w:themeColor="text1"/>
                <w:spacing w:val="1"/>
                <w:sz w:val="12"/>
              </w:rPr>
              <w:t xml:space="preserve">Williams </w:t>
            </w:r>
            <w:r w:rsidRPr="007841EB">
              <w:rPr>
                <w:color w:val="000000" w:themeColor="text1"/>
                <w:sz w:val="12"/>
              </w:rPr>
              <w:t>Latin Square Experimental</w:t>
            </w:r>
            <w:r w:rsidRPr="007841EB">
              <w:rPr>
                <w:color w:val="000000" w:themeColor="text1"/>
                <w:spacing w:val="-14"/>
                <w:sz w:val="12"/>
              </w:rPr>
              <w:t xml:space="preserve"> </w:t>
            </w:r>
            <w:r w:rsidRPr="007841EB">
              <w:rPr>
                <w:color w:val="000000" w:themeColor="text1"/>
                <w:sz w:val="12"/>
              </w:rPr>
              <w:t>Design</w:t>
            </w:r>
          </w:p>
          <w:p w:rsidR="00280DF2" w:rsidRPr="007841EB" w:rsidP="009C5286" w14:paraId="56D71C25" w14:textId="77777777">
            <w:pPr>
              <w:pStyle w:val="TableParagraph"/>
              <w:rPr>
                <w:color w:val="000000" w:themeColor="text1"/>
                <w:sz w:val="12"/>
              </w:rPr>
            </w:pPr>
            <w:r w:rsidRPr="007841EB">
              <w:rPr>
                <w:color w:val="000000" w:themeColor="text1"/>
                <w:sz w:val="12"/>
              </w:rPr>
              <w:t>221 children from 3 SES levels (low, middle, high)</w:t>
            </w:r>
          </w:p>
        </w:tc>
        <w:tc>
          <w:tcPr>
            <w:tcW w:w="1199" w:type="dxa"/>
          </w:tcPr>
          <w:p w:rsidR="00280DF2" w:rsidRPr="007841EB" w:rsidP="009C5286" w14:paraId="155FAC42" w14:textId="77777777">
            <w:pPr>
              <w:pStyle w:val="TableParagraph"/>
              <w:numPr>
                <w:ilvl w:val="0"/>
                <w:numId w:val="59"/>
              </w:numPr>
              <w:tabs>
                <w:tab w:val="left" w:pos="147"/>
              </w:tabs>
              <w:spacing w:line="140" w:lineRule="exact"/>
              <w:ind w:firstLine="0"/>
              <w:rPr>
                <w:color w:val="000000" w:themeColor="text1"/>
                <w:sz w:val="12"/>
              </w:rPr>
            </w:pPr>
            <w:r w:rsidRPr="007841EB">
              <w:rPr>
                <w:color w:val="000000" w:themeColor="text1"/>
                <w:sz w:val="12"/>
              </w:rPr>
              <w:t>Traffic</w:t>
            </w:r>
            <w:r w:rsidRPr="007841EB">
              <w:rPr>
                <w:color w:val="000000" w:themeColor="text1"/>
                <w:spacing w:val="-2"/>
                <w:sz w:val="12"/>
              </w:rPr>
              <w:t xml:space="preserve"> </w:t>
            </w:r>
            <w:r w:rsidRPr="007841EB">
              <w:rPr>
                <w:color w:val="000000" w:themeColor="text1"/>
                <w:sz w:val="12"/>
              </w:rPr>
              <w:t>Light</w:t>
            </w:r>
          </w:p>
          <w:p w:rsidR="00280DF2" w:rsidRPr="007841EB" w:rsidP="009C5286" w14:paraId="12601A46" w14:textId="77777777">
            <w:pPr>
              <w:pStyle w:val="TableParagraph"/>
              <w:numPr>
                <w:ilvl w:val="0"/>
                <w:numId w:val="59"/>
              </w:numPr>
              <w:tabs>
                <w:tab w:val="left" w:pos="147"/>
              </w:tabs>
              <w:spacing w:before="7" w:line="252" w:lineRule="auto"/>
              <w:ind w:right="276" w:firstLine="0"/>
              <w:rPr>
                <w:color w:val="000000" w:themeColor="text1"/>
                <w:sz w:val="12"/>
              </w:rPr>
            </w:pPr>
            <w:r w:rsidRPr="007841EB">
              <w:rPr>
                <w:color w:val="000000" w:themeColor="text1"/>
                <w:sz w:val="12"/>
              </w:rPr>
              <w:t>Guideline Daily Amounts</w:t>
            </w:r>
            <w:r w:rsidRPr="007841EB">
              <w:rPr>
                <w:color w:val="000000" w:themeColor="text1"/>
                <w:spacing w:val="16"/>
                <w:sz w:val="12"/>
              </w:rPr>
              <w:t xml:space="preserve"> </w:t>
            </w:r>
            <w:r w:rsidRPr="007841EB">
              <w:rPr>
                <w:color w:val="000000" w:themeColor="text1"/>
                <w:spacing w:val="-3"/>
                <w:sz w:val="12"/>
              </w:rPr>
              <w:t>(GDA)</w:t>
            </w:r>
          </w:p>
        </w:tc>
        <w:tc>
          <w:tcPr>
            <w:tcW w:w="1199" w:type="dxa"/>
          </w:tcPr>
          <w:p w:rsidR="00280DF2" w:rsidRPr="007841EB" w:rsidP="009C5286" w14:paraId="0BDCAF0C" w14:textId="77777777">
            <w:pPr>
              <w:pStyle w:val="TableParagraph"/>
              <w:ind w:left="0"/>
              <w:rPr>
                <w:rFonts w:ascii="Times New Roman"/>
                <w:color w:val="000000" w:themeColor="text1"/>
                <w:sz w:val="20"/>
              </w:rPr>
            </w:pPr>
          </w:p>
          <w:p w:rsidR="00280DF2" w:rsidRPr="007841EB" w:rsidP="009C5286" w14:paraId="2C341B01" w14:textId="77777777">
            <w:pPr>
              <w:pStyle w:val="TableParagraph"/>
              <w:ind w:left="0"/>
              <w:rPr>
                <w:rFonts w:ascii="Times New Roman"/>
                <w:color w:val="000000" w:themeColor="text1"/>
                <w:sz w:val="20"/>
              </w:rPr>
            </w:pPr>
          </w:p>
          <w:p w:rsidR="00280DF2" w:rsidRPr="007841EB" w:rsidP="009C5286" w14:paraId="65FCBF51" w14:textId="77777777">
            <w:pPr>
              <w:pStyle w:val="TableParagraph"/>
              <w:spacing w:before="4"/>
              <w:ind w:left="0"/>
              <w:rPr>
                <w:rFonts w:ascii="Times New Roman"/>
                <w:color w:val="000000" w:themeColor="text1"/>
                <w:sz w:val="21"/>
              </w:rPr>
            </w:pPr>
          </w:p>
          <w:p w:rsidR="00280DF2" w:rsidRPr="007841EB" w:rsidP="009C5286" w14:paraId="2C446AFB" w14:textId="77777777">
            <w:pPr>
              <w:pStyle w:val="TableParagraph"/>
              <w:ind w:right="-91"/>
              <w:rPr>
                <w:rFonts w:ascii="Times New Roman"/>
                <w:color w:val="000000" w:themeColor="text1"/>
                <w:sz w:val="20"/>
              </w:rPr>
            </w:pPr>
            <w:r w:rsidRPr="007841EB">
              <w:rPr>
                <w:noProof/>
                <w:color w:val="000000" w:themeColor="text1"/>
              </w:rPr>
              <w:drawing>
                <wp:inline distT="0" distB="0" distL="0" distR="0">
                  <wp:extent cx="767414" cy="4400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67414" cy="440055"/>
                          </a:xfrm>
                          <a:prstGeom prst="rect">
                            <a:avLst/>
                          </a:prstGeom>
                        </pic:spPr>
                      </pic:pic>
                    </a:graphicData>
                  </a:graphic>
                </wp:inline>
              </w:drawing>
            </w:r>
          </w:p>
        </w:tc>
        <w:tc>
          <w:tcPr>
            <w:tcW w:w="550" w:type="dxa"/>
          </w:tcPr>
          <w:p w:rsidR="00280DF2" w:rsidRPr="007841EB" w:rsidP="009C5286" w14:paraId="57C8EFE1" w14:textId="77777777">
            <w:pPr>
              <w:pStyle w:val="TableParagraph"/>
              <w:spacing w:line="140" w:lineRule="exact"/>
              <w:ind w:left="8" w:right="72"/>
              <w:jc w:val="center"/>
              <w:rPr>
                <w:color w:val="000000" w:themeColor="text1"/>
                <w:sz w:val="12"/>
              </w:rPr>
            </w:pPr>
            <w:r w:rsidRPr="007841EB">
              <w:rPr>
                <w:color w:val="000000" w:themeColor="text1"/>
                <w:sz w:val="12"/>
              </w:rPr>
              <w:t>Uruguay</w:t>
            </w:r>
          </w:p>
        </w:tc>
        <w:tc>
          <w:tcPr>
            <w:tcW w:w="3487" w:type="dxa"/>
          </w:tcPr>
          <w:p w:rsidR="00280DF2" w:rsidRPr="007841EB" w:rsidP="009C5286" w14:paraId="52A77CA1" w14:textId="77777777">
            <w:pPr>
              <w:pStyle w:val="TableParagraph"/>
              <w:numPr>
                <w:ilvl w:val="0"/>
                <w:numId w:val="58"/>
              </w:numPr>
              <w:tabs>
                <w:tab w:val="left" w:pos="125"/>
              </w:tabs>
              <w:spacing w:line="252" w:lineRule="auto"/>
              <w:ind w:right="26" w:firstLine="0"/>
              <w:rPr>
                <w:color w:val="000000" w:themeColor="text1"/>
                <w:sz w:val="12"/>
              </w:rPr>
            </w:pPr>
            <w:r w:rsidRPr="007841EB">
              <w:rPr>
                <w:color w:val="000000" w:themeColor="text1"/>
                <w:sz w:val="12"/>
              </w:rPr>
              <w:t>Low-income children showed a more positive attitude toward the products than did middle- and high-income children. Traffic light had no</w:t>
            </w:r>
            <w:r w:rsidRPr="007841EB">
              <w:rPr>
                <w:color w:val="000000" w:themeColor="text1"/>
                <w:spacing w:val="-3"/>
                <w:sz w:val="12"/>
              </w:rPr>
              <w:t xml:space="preserve"> </w:t>
            </w:r>
            <w:r w:rsidRPr="007841EB">
              <w:rPr>
                <w:color w:val="000000" w:themeColor="text1"/>
                <w:sz w:val="12"/>
              </w:rPr>
              <w:t>impact</w:t>
            </w:r>
            <w:r w:rsidRPr="007841EB">
              <w:rPr>
                <w:color w:val="000000" w:themeColor="text1"/>
                <w:spacing w:val="-2"/>
                <w:sz w:val="12"/>
              </w:rPr>
              <w:t xml:space="preserve"> </w:t>
            </w:r>
            <w:r w:rsidRPr="007841EB">
              <w:rPr>
                <w:color w:val="000000" w:themeColor="text1"/>
                <w:sz w:val="12"/>
              </w:rPr>
              <w:t>on</w:t>
            </w:r>
            <w:r w:rsidRPr="007841EB">
              <w:rPr>
                <w:color w:val="000000" w:themeColor="text1"/>
                <w:spacing w:val="-3"/>
                <w:sz w:val="12"/>
              </w:rPr>
              <w:t xml:space="preserve"> </w:t>
            </w:r>
            <w:r w:rsidRPr="007841EB">
              <w:rPr>
                <w:color w:val="000000" w:themeColor="text1"/>
                <w:sz w:val="12"/>
              </w:rPr>
              <w:t>children's</w:t>
            </w:r>
            <w:r w:rsidRPr="007841EB">
              <w:rPr>
                <w:color w:val="000000" w:themeColor="text1"/>
                <w:spacing w:val="-9"/>
                <w:sz w:val="12"/>
              </w:rPr>
              <w:t xml:space="preserve"> </w:t>
            </w:r>
            <w:r w:rsidRPr="007841EB">
              <w:rPr>
                <w:color w:val="000000" w:themeColor="text1"/>
                <w:spacing w:val="1"/>
                <w:sz w:val="12"/>
              </w:rPr>
              <w:t>liking</w:t>
            </w:r>
            <w:r w:rsidRPr="007841EB">
              <w:rPr>
                <w:color w:val="000000" w:themeColor="text1"/>
                <w:spacing w:val="-8"/>
                <w:sz w:val="12"/>
              </w:rPr>
              <w:t xml:space="preserve"> </w:t>
            </w:r>
            <w:r w:rsidRPr="007841EB">
              <w:rPr>
                <w:color w:val="000000" w:themeColor="text1"/>
                <w:sz w:val="12"/>
              </w:rPr>
              <w:t>of</w:t>
            </w:r>
            <w:r w:rsidRPr="007841EB">
              <w:rPr>
                <w:color w:val="000000" w:themeColor="text1"/>
                <w:spacing w:val="-10"/>
                <w:sz w:val="12"/>
              </w:rPr>
              <w:t xml:space="preserve"> </w:t>
            </w:r>
            <w:r w:rsidRPr="007841EB">
              <w:rPr>
                <w:color w:val="000000" w:themeColor="text1"/>
                <w:sz w:val="12"/>
              </w:rPr>
              <w:t>product.</w:t>
            </w:r>
          </w:p>
          <w:p w:rsidR="00280DF2" w:rsidRPr="007841EB" w:rsidP="009C5286" w14:paraId="7E6509EC" w14:textId="77777777">
            <w:pPr>
              <w:pStyle w:val="TableParagraph"/>
              <w:numPr>
                <w:ilvl w:val="0"/>
                <w:numId w:val="58"/>
              </w:numPr>
              <w:tabs>
                <w:tab w:val="left" w:pos="125"/>
              </w:tabs>
              <w:ind w:firstLine="0"/>
              <w:rPr>
                <w:color w:val="000000" w:themeColor="text1"/>
                <w:sz w:val="12"/>
              </w:rPr>
            </w:pPr>
            <w:r w:rsidRPr="007841EB">
              <w:rPr>
                <w:color w:val="000000" w:themeColor="text1"/>
                <w:sz w:val="12"/>
              </w:rPr>
              <w:t>The</w:t>
            </w:r>
            <w:r w:rsidRPr="007841EB">
              <w:rPr>
                <w:color w:val="000000" w:themeColor="text1"/>
                <w:spacing w:val="-10"/>
                <w:sz w:val="12"/>
              </w:rPr>
              <w:t xml:space="preserve"> </w:t>
            </w:r>
            <w:r w:rsidRPr="007841EB">
              <w:rPr>
                <w:color w:val="000000" w:themeColor="text1"/>
                <w:sz w:val="12"/>
              </w:rPr>
              <w:t>inclusion</w:t>
            </w:r>
            <w:r w:rsidRPr="007841EB">
              <w:rPr>
                <w:color w:val="000000" w:themeColor="text1"/>
                <w:spacing w:val="-2"/>
                <w:sz w:val="12"/>
              </w:rPr>
              <w:t xml:space="preserve"> </w:t>
            </w:r>
            <w:r w:rsidRPr="007841EB">
              <w:rPr>
                <w:color w:val="000000" w:themeColor="text1"/>
                <w:sz w:val="12"/>
              </w:rPr>
              <w:t>of</w:t>
            </w:r>
            <w:r w:rsidRPr="007841EB">
              <w:rPr>
                <w:color w:val="000000" w:themeColor="text1"/>
                <w:spacing w:val="-9"/>
                <w:sz w:val="12"/>
              </w:rPr>
              <w:t xml:space="preserve"> </w:t>
            </w:r>
            <w:r w:rsidRPr="007841EB">
              <w:rPr>
                <w:color w:val="000000" w:themeColor="text1"/>
                <w:sz w:val="12"/>
              </w:rPr>
              <w:t>a</w:t>
            </w:r>
            <w:r w:rsidRPr="007841EB">
              <w:rPr>
                <w:color w:val="000000" w:themeColor="text1"/>
                <w:spacing w:val="-8"/>
                <w:sz w:val="12"/>
              </w:rPr>
              <w:t xml:space="preserve"> </w:t>
            </w:r>
            <w:r w:rsidRPr="007841EB">
              <w:rPr>
                <w:color w:val="000000" w:themeColor="text1"/>
                <w:sz w:val="12"/>
              </w:rPr>
              <w:t>cartoon</w:t>
            </w:r>
            <w:r w:rsidRPr="007841EB">
              <w:rPr>
                <w:color w:val="000000" w:themeColor="text1"/>
                <w:spacing w:val="-2"/>
                <w:sz w:val="12"/>
              </w:rPr>
              <w:t xml:space="preserve"> </w:t>
            </w:r>
            <w:r w:rsidRPr="007841EB">
              <w:rPr>
                <w:color w:val="000000" w:themeColor="text1"/>
                <w:sz w:val="12"/>
              </w:rPr>
              <w:t>character</w:t>
            </w:r>
            <w:r w:rsidRPr="007841EB">
              <w:rPr>
                <w:color w:val="000000" w:themeColor="text1"/>
                <w:spacing w:val="-3"/>
                <w:sz w:val="12"/>
              </w:rPr>
              <w:t xml:space="preserve"> </w:t>
            </w:r>
            <w:r w:rsidRPr="007841EB">
              <w:rPr>
                <w:color w:val="000000" w:themeColor="text1"/>
                <w:spacing w:val="1"/>
                <w:sz w:val="12"/>
              </w:rPr>
              <w:t>in</w:t>
            </w:r>
            <w:r w:rsidRPr="007841EB">
              <w:rPr>
                <w:color w:val="000000" w:themeColor="text1"/>
                <w:spacing w:val="-2"/>
                <w:sz w:val="12"/>
              </w:rPr>
              <w:t xml:space="preserve"> </w:t>
            </w:r>
            <w:r w:rsidRPr="007841EB">
              <w:rPr>
                <w:color w:val="000000" w:themeColor="text1"/>
                <w:sz w:val="12"/>
              </w:rPr>
              <w:t>sponge</w:t>
            </w:r>
            <w:r w:rsidRPr="007841EB">
              <w:rPr>
                <w:color w:val="000000" w:themeColor="text1"/>
                <w:spacing w:val="-10"/>
                <w:sz w:val="12"/>
              </w:rPr>
              <w:t xml:space="preserve"> </w:t>
            </w:r>
            <w:r w:rsidRPr="007841EB">
              <w:rPr>
                <w:color w:val="000000" w:themeColor="text1"/>
                <w:sz w:val="12"/>
              </w:rPr>
              <w:t>cake</w:t>
            </w:r>
            <w:r w:rsidRPr="007841EB">
              <w:rPr>
                <w:color w:val="000000" w:themeColor="text1"/>
                <w:spacing w:val="-10"/>
                <w:sz w:val="12"/>
              </w:rPr>
              <w:t xml:space="preserve"> </w:t>
            </w:r>
            <w:r w:rsidRPr="007841EB">
              <w:rPr>
                <w:color w:val="000000" w:themeColor="text1"/>
                <w:sz w:val="12"/>
              </w:rPr>
              <w:t>labels</w:t>
            </w:r>
          </w:p>
          <w:p w:rsidR="00280DF2" w:rsidRPr="007841EB" w:rsidP="009C5286" w14:paraId="053A8FFC" w14:textId="77777777">
            <w:pPr>
              <w:pStyle w:val="TableParagraph"/>
              <w:spacing w:before="2" w:line="252" w:lineRule="auto"/>
              <w:ind w:right="26"/>
              <w:rPr>
                <w:color w:val="000000" w:themeColor="text1"/>
                <w:sz w:val="12"/>
              </w:rPr>
            </w:pPr>
            <w:r w:rsidRPr="007841EB">
              <w:rPr>
                <w:color w:val="000000" w:themeColor="text1"/>
                <w:sz w:val="12"/>
              </w:rPr>
              <w:t>significantly affected hedonic expectations regardless of income. 3.Middle- and high-income children tended to use the term "funny" more frequently and the term "boring" less frequently to describe labels that included the cartoon character, compared with those that did not.</w:t>
            </w:r>
          </w:p>
        </w:tc>
      </w:tr>
      <w:bookmarkEnd w:id="22"/>
    </w:tbl>
    <w:p w:rsidR="00DB534B" w:rsidRPr="007841EB" w:rsidP="00DB534B" w14:paraId="658F7AC4" w14:textId="77777777">
      <w:pPr>
        <w:spacing w:line="140" w:lineRule="exact"/>
        <w:jc w:val="center"/>
        <w:rPr>
          <w:color w:val="000000" w:themeColor="text1"/>
          <w:sz w:val="12"/>
        </w:rPr>
        <w:sectPr w:rsidSect="0069778F">
          <w:headerReference w:type="default" r:id="rId33"/>
          <w:pgSz w:w="15840" w:h="12240" w:orient="landscape"/>
          <w:pgMar w:top="720" w:right="720" w:bottom="720" w:left="720" w:header="376" w:footer="523" w:gutter="0"/>
          <w:cols w:space="720"/>
          <w:docGrid w:linePitch="299"/>
        </w:sectPr>
      </w:pPr>
    </w:p>
    <w:tbl>
      <w:tblPr>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23"/>
        <w:gridCol w:w="2101"/>
        <w:gridCol w:w="330"/>
        <w:gridCol w:w="3553"/>
        <w:gridCol w:w="1199"/>
        <w:gridCol w:w="1199"/>
        <w:gridCol w:w="550"/>
        <w:gridCol w:w="3487"/>
      </w:tblGrid>
      <w:tr w14:paraId="77582877" w14:textId="77777777" w:rsidTr="2F9D3AFB">
        <w:tblPrEx>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150"/>
        </w:trPr>
        <w:tc>
          <w:tcPr>
            <w:tcW w:w="1023" w:type="dxa"/>
          </w:tcPr>
          <w:p w:rsidR="00280DF2" w:rsidRPr="007841EB" w:rsidP="009C5286" w14:paraId="4C65ACB0" w14:textId="77777777">
            <w:pPr>
              <w:pStyle w:val="TableParagraph"/>
              <w:spacing w:line="130" w:lineRule="exact"/>
              <w:rPr>
                <w:b/>
                <w:color w:val="000000" w:themeColor="text1"/>
                <w:sz w:val="12"/>
              </w:rPr>
            </w:pPr>
            <w:r w:rsidRPr="007841EB">
              <w:rPr>
                <w:b/>
                <w:color w:val="000000" w:themeColor="text1"/>
                <w:sz w:val="12"/>
              </w:rPr>
              <w:t>Author</w:t>
            </w:r>
          </w:p>
        </w:tc>
        <w:tc>
          <w:tcPr>
            <w:tcW w:w="2101" w:type="dxa"/>
          </w:tcPr>
          <w:p w:rsidR="00280DF2" w:rsidRPr="007841EB" w:rsidP="009C5286" w14:paraId="739EA810" w14:textId="77777777">
            <w:pPr>
              <w:pStyle w:val="TableParagraph"/>
              <w:spacing w:line="130" w:lineRule="exact"/>
              <w:rPr>
                <w:b/>
                <w:color w:val="000000" w:themeColor="text1"/>
                <w:sz w:val="12"/>
              </w:rPr>
            </w:pPr>
            <w:r w:rsidRPr="007841EB">
              <w:rPr>
                <w:b/>
                <w:color w:val="000000" w:themeColor="text1"/>
                <w:sz w:val="12"/>
              </w:rPr>
              <w:t>Title</w:t>
            </w:r>
          </w:p>
        </w:tc>
        <w:tc>
          <w:tcPr>
            <w:tcW w:w="330" w:type="dxa"/>
          </w:tcPr>
          <w:p w:rsidR="00280DF2" w:rsidRPr="007841EB" w:rsidP="009C5286" w14:paraId="28A25CA2" w14:textId="77777777">
            <w:pPr>
              <w:pStyle w:val="TableParagraph"/>
              <w:spacing w:line="130" w:lineRule="exact"/>
              <w:rPr>
                <w:b/>
                <w:color w:val="000000" w:themeColor="text1"/>
                <w:sz w:val="12"/>
              </w:rPr>
            </w:pPr>
            <w:r w:rsidRPr="007841EB">
              <w:rPr>
                <w:b/>
                <w:color w:val="000000" w:themeColor="text1"/>
                <w:sz w:val="12"/>
              </w:rPr>
              <w:t>Year</w:t>
            </w:r>
          </w:p>
        </w:tc>
        <w:tc>
          <w:tcPr>
            <w:tcW w:w="3553" w:type="dxa"/>
          </w:tcPr>
          <w:p w:rsidR="00280DF2" w:rsidRPr="007841EB" w:rsidP="009C5286" w14:paraId="77C87F33" w14:textId="77777777">
            <w:pPr>
              <w:pStyle w:val="TableParagraph"/>
              <w:spacing w:line="130" w:lineRule="exact"/>
              <w:rPr>
                <w:b/>
                <w:color w:val="000000" w:themeColor="text1"/>
                <w:sz w:val="12"/>
              </w:rPr>
            </w:pPr>
            <w:r w:rsidRPr="007841EB">
              <w:rPr>
                <w:b/>
                <w:color w:val="000000" w:themeColor="text1"/>
                <w:sz w:val="12"/>
              </w:rPr>
              <w:t>Method</w:t>
            </w:r>
          </w:p>
        </w:tc>
        <w:tc>
          <w:tcPr>
            <w:tcW w:w="1199" w:type="dxa"/>
          </w:tcPr>
          <w:p w:rsidR="00280DF2" w:rsidRPr="007841EB" w:rsidP="009C5286" w14:paraId="61C4CB40" w14:textId="72DB1C4A">
            <w:pPr>
              <w:pStyle w:val="TableParagraph"/>
              <w:spacing w:line="130" w:lineRule="exact"/>
              <w:rPr>
                <w:b/>
                <w:color w:val="000000" w:themeColor="text1"/>
                <w:sz w:val="12"/>
              </w:rPr>
            </w:pPr>
            <w:r w:rsidRPr="007841EB">
              <w:rPr>
                <w:b/>
                <w:color w:val="000000" w:themeColor="text1"/>
                <w:sz w:val="12"/>
              </w:rPr>
              <w:t>FOP</w:t>
            </w:r>
          </w:p>
        </w:tc>
        <w:tc>
          <w:tcPr>
            <w:tcW w:w="1199" w:type="dxa"/>
          </w:tcPr>
          <w:p w:rsidR="00280DF2" w:rsidRPr="007841EB" w:rsidP="009C5286" w14:paraId="55B63CAD" w14:textId="57A56624">
            <w:pPr>
              <w:pStyle w:val="TableParagraph"/>
              <w:spacing w:line="130" w:lineRule="exact"/>
              <w:rPr>
                <w:b/>
                <w:color w:val="000000" w:themeColor="text1"/>
                <w:sz w:val="12"/>
              </w:rPr>
            </w:pPr>
            <w:r w:rsidRPr="007841EB">
              <w:rPr>
                <w:b/>
                <w:color w:val="000000" w:themeColor="text1"/>
                <w:sz w:val="12"/>
              </w:rPr>
              <w:t>FOP</w:t>
            </w:r>
            <w:r w:rsidRPr="007841EB">
              <w:rPr>
                <w:b/>
                <w:color w:val="000000" w:themeColor="text1"/>
                <w:sz w:val="12"/>
              </w:rPr>
              <w:t xml:space="preserve"> Image</w:t>
            </w:r>
          </w:p>
        </w:tc>
        <w:tc>
          <w:tcPr>
            <w:tcW w:w="550" w:type="dxa"/>
          </w:tcPr>
          <w:p w:rsidR="00280DF2" w:rsidRPr="007841EB" w:rsidP="009C5286" w14:paraId="4B429E4D" w14:textId="77777777">
            <w:pPr>
              <w:pStyle w:val="TableParagraph"/>
              <w:spacing w:line="130" w:lineRule="exact"/>
              <w:rPr>
                <w:b/>
                <w:color w:val="000000" w:themeColor="text1"/>
                <w:sz w:val="12"/>
              </w:rPr>
            </w:pPr>
            <w:r w:rsidRPr="007841EB">
              <w:rPr>
                <w:b/>
                <w:color w:val="000000" w:themeColor="text1"/>
                <w:sz w:val="12"/>
              </w:rPr>
              <w:t>Country</w:t>
            </w:r>
          </w:p>
        </w:tc>
        <w:tc>
          <w:tcPr>
            <w:tcW w:w="3487" w:type="dxa"/>
          </w:tcPr>
          <w:p w:rsidR="00280DF2" w:rsidRPr="007841EB" w:rsidP="009C5286" w14:paraId="55BFC790" w14:textId="77777777">
            <w:pPr>
              <w:pStyle w:val="TableParagraph"/>
              <w:spacing w:line="130" w:lineRule="exact"/>
              <w:rPr>
                <w:b/>
                <w:color w:val="000000" w:themeColor="text1"/>
                <w:sz w:val="12"/>
              </w:rPr>
            </w:pPr>
            <w:r w:rsidRPr="007841EB">
              <w:rPr>
                <w:b/>
                <w:color w:val="000000" w:themeColor="text1"/>
                <w:sz w:val="12"/>
              </w:rPr>
              <w:t>Highlights of Findings</w:t>
            </w:r>
          </w:p>
        </w:tc>
      </w:tr>
      <w:tr w14:paraId="7BFC1CAA" w14:textId="77777777" w:rsidTr="2F9D3AFB">
        <w:tblPrEx>
          <w:tblW w:w="0" w:type="auto"/>
          <w:tblInd w:w="113" w:type="dxa"/>
          <w:tblLayout w:type="fixed"/>
          <w:tblCellMar>
            <w:left w:w="0" w:type="dxa"/>
            <w:right w:w="0" w:type="dxa"/>
          </w:tblCellMar>
          <w:tblLook w:val="01E0"/>
        </w:tblPrEx>
        <w:trPr>
          <w:trHeight w:val="1954"/>
        </w:trPr>
        <w:tc>
          <w:tcPr>
            <w:tcW w:w="1023" w:type="dxa"/>
          </w:tcPr>
          <w:p w:rsidR="00280DF2" w:rsidRPr="007841EB" w:rsidP="009C5286" w14:paraId="0C154695" w14:textId="77777777">
            <w:pPr>
              <w:pStyle w:val="TableParagraph"/>
              <w:spacing w:line="140" w:lineRule="exact"/>
              <w:rPr>
                <w:color w:val="000000" w:themeColor="text1"/>
                <w:sz w:val="12"/>
              </w:rPr>
            </w:pPr>
            <w:r w:rsidRPr="007841EB">
              <w:rPr>
                <w:color w:val="000000" w:themeColor="text1"/>
                <w:sz w:val="12"/>
              </w:rPr>
              <w:t>Brown, et al.</w:t>
            </w:r>
          </w:p>
        </w:tc>
        <w:tc>
          <w:tcPr>
            <w:tcW w:w="2101" w:type="dxa"/>
          </w:tcPr>
          <w:p w:rsidR="00280DF2" w:rsidRPr="007841EB" w:rsidP="009C5286" w14:paraId="27418498" w14:textId="77777777">
            <w:pPr>
              <w:pStyle w:val="TableParagraph"/>
              <w:spacing w:line="252" w:lineRule="auto"/>
              <w:ind w:right="106"/>
              <w:jc w:val="both"/>
              <w:rPr>
                <w:color w:val="000000" w:themeColor="text1"/>
                <w:sz w:val="12"/>
              </w:rPr>
            </w:pPr>
            <w:r w:rsidRPr="007841EB">
              <w:rPr>
                <w:color w:val="000000" w:themeColor="text1"/>
                <w:sz w:val="12"/>
              </w:rPr>
              <w:t>The influence of front-of-pack nutrition information on consumers' portion size perceptions</w:t>
            </w:r>
          </w:p>
        </w:tc>
        <w:tc>
          <w:tcPr>
            <w:tcW w:w="330" w:type="dxa"/>
          </w:tcPr>
          <w:p w:rsidR="00280DF2" w:rsidRPr="00E33286" w:rsidP="009C5286" w14:paraId="1788731E" w14:textId="77777777">
            <w:pPr>
              <w:pStyle w:val="TableParagraph"/>
              <w:spacing w:line="140" w:lineRule="exact"/>
              <w:rPr>
                <w:color w:val="AF3A3C"/>
                <w:sz w:val="12"/>
              </w:rPr>
            </w:pPr>
            <w:r w:rsidRPr="00E33286">
              <w:rPr>
                <w:color w:val="AF3A3C"/>
                <w:sz w:val="12"/>
              </w:rPr>
              <w:t>2017</w:t>
            </w:r>
          </w:p>
        </w:tc>
        <w:tc>
          <w:tcPr>
            <w:tcW w:w="3553" w:type="dxa"/>
          </w:tcPr>
          <w:p w:rsidR="00280DF2" w:rsidRPr="007841EB" w:rsidP="009C5286" w14:paraId="68B50CB4" w14:textId="77777777">
            <w:pPr>
              <w:pStyle w:val="TableParagraph"/>
              <w:spacing w:line="140" w:lineRule="exact"/>
              <w:rPr>
                <w:color w:val="000000" w:themeColor="text1"/>
                <w:sz w:val="12"/>
              </w:rPr>
            </w:pPr>
            <w:r w:rsidRPr="007841EB">
              <w:rPr>
                <w:color w:val="000000" w:themeColor="text1"/>
                <w:sz w:val="12"/>
              </w:rPr>
              <w:t>Quantitative.</w:t>
            </w:r>
          </w:p>
          <w:p w:rsidR="00280DF2" w:rsidRPr="007841EB" w:rsidP="009C5286" w14:paraId="04B5482F" w14:textId="77777777">
            <w:pPr>
              <w:pStyle w:val="TableParagraph"/>
              <w:numPr>
                <w:ilvl w:val="0"/>
                <w:numId w:val="57"/>
              </w:numPr>
              <w:tabs>
                <w:tab w:val="left" w:pos="147"/>
              </w:tabs>
              <w:spacing w:before="7" w:line="252" w:lineRule="auto"/>
              <w:ind w:right="75" w:firstLine="0"/>
              <w:rPr>
                <w:color w:val="000000" w:themeColor="text1"/>
                <w:sz w:val="12"/>
              </w:rPr>
            </w:pPr>
            <w:r w:rsidRPr="007841EB">
              <w:rPr>
                <w:color w:val="000000" w:themeColor="text1"/>
                <w:sz w:val="12"/>
              </w:rPr>
              <w:t xml:space="preserve">Participants (university students) were randomly assigned to one of 3 experimental groups: Group 1 viewed a kJ/100 g label, Group 2 viewed a HSR label and Group 3 received no information on nutrient composition (control). Genders were balanced </w:t>
            </w:r>
            <w:r w:rsidRPr="007841EB">
              <w:rPr>
                <w:color w:val="000000" w:themeColor="text1"/>
                <w:spacing w:val="-3"/>
                <w:sz w:val="12"/>
              </w:rPr>
              <w:t xml:space="preserve">between </w:t>
            </w:r>
            <w:r w:rsidRPr="007841EB">
              <w:rPr>
                <w:color w:val="000000" w:themeColor="text1"/>
                <w:sz w:val="12"/>
              </w:rPr>
              <w:t>the experimental groups.</w:t>
            </w:r>
          </w:p>
          <w:p w:rsidR="00280DF2" w:rsidRPr="007841EB" w:rsidP="009C5286" w14:paraId="399EF10A" w14:textId="77777777">
            <w:pPr>
              <w:pStyle w:val="TableParagraph"/>
              <w:numPr>
                <w:ilvl w:val="0"/>
                <w:numId w:val="57"/>
              </w:numPr>
              <w:tabs>
                <w:tab w:val="left" w:pos="147"/>
              </w:tabs>
              <w:spacing w:before="1" w:line="252" w:lineRule="auto"/>
              <w:ind w:right="180" w:firstLine="0"/>
              <w:rPr>
                <w:color w:val="000000" w:themeColor="text1"/>
                <w:sz w:val="12"/>
              </w:rPr>
            </w:pPr>
            <w:r w:rsidRPr="007841EB">
              <w:rPr>
                <w:color w:val="000000" w:themeColor="text1"/>
                <w:sz w:val="12"/>
              </w:rPr>
              <w:t xml:space="preserve">Participants were </w:t>
            </w:r>
            <w:r w:rsidRPr="007841EB">
              <w:rPr>
                <w:color w:val="000000" w:themeColor="text1"/>
                <w:spacing w:val="1"/>
                <w:sz w:val="12"/>
              </w:rPr>
              <w:t xml:space="preserve">individually </w:t>
            </w:r>
            <w:r w:rsidRPr="007841EB">
              <w:rPr>
                <w:color w:val="000000" w:themeColor="text1"/>
                <w:sz w:val="12"/>
              </w:rPr>
              <w:t>invited to serve themselves food portions</w:t>
            </w:r>
            <w:r w:rsidRPr="007841EB">
              <w:rPr>
                <w:color w:val="000000" w:themeColor="text1"/>
                <w:spacing w:val="-7"/>
                <w:sz w:val="12"/>
              </w:rPr>
              <w:t xml:space="preserve"> </w:t>
            </w:r>
            <w:r w:rsidRPr="007841EB">
              <w:rPr>
                <w:color w:val="000000" w:themeColor="text1"/>
                <w:sz w:val="12"/>
              </w:rPr>
              <w:t>they</w:t>
            </w:r>
            <w:r w:rsidRPr="007841EB">
              <w:rPr>
                <w:color w:val="000000" w:themeColor="text1"/>
                <w:spacing w:val="-2"/>
                <w:sz w:val="12"/>
              </w:rPr>
              <w:t xml:space="preserve"> </w:t>
            </w:r>
            <w:r w:rsidRPr="007841EB">
              <w:rPr>
                <w:color w:val="000000" w:themeColor="text1"/>
                <w:sz w:val="12"/>
              </w:rPr>
              <w:t>believed to be</w:t>
            </w:r>
            <w:r w:rsidRPr="007841EB">
              <w:rPr>
                <w:color w:val="000000" w:themeColor="text1"/>
                <w:spacing w:val="-9"/>
                <w:sz w:val="12"/>
              </w:rPr>
              <w:t xml:space="preserve"> </w:t>
            </w:r>
            <w:r w:rsidRPr="007841EB">
              <w:rPr>
                <w:color w:val="000000" w:themeColor="text1"/>
                <w:sz w:val="12"/>
              </w:rPr>
              <w:t>an adequate</w:t>
            </w:r>
            <w:r w:rsidRPr="007841EB">
              <w:rPr>
                <w:color w:val="000000" w:themeColor="text1"/>
                <w:spacing w:val="-9"/>
                <w:sz w:val="12"/>
              </w:rPr>
              <w:t xml:space="preserve"> </w:t>
            </w:r>
            <w:r w:rsidRPr="007841EB">
              <w:rPr>
                <w:color w:val="000000" w:themeColor="text1"/>
                <w:sz w:val="12"/>
              </w:rPr>
              <w:t>amount</w:t>
            </w:r>
            <w:r w:rsidRPr="007841EB">
              <w:rPr>
                <w:color w:val="000000" w:themeColor="text1"/>
                <w:spacing w:val="1"/>
                <w:sz w:val="12"/>
              </w:rPr>
              <w:t xml:space="preserve"> </w:t>
            </w:r>
            <w:r w:rsidRPr="007841EB">
              <w:rPr>
                <w:color w:val="000000" w:themeColor="text1"/>
                <w:sz w:val="12"/>
              </w:rPr>
              <w:t>for</w:t>
            </w:r>
            <w:r w:rsidRPr="007841EB">
              <w:rPr>
                <w:color w:val="000000" w:themeColor="text1"/>
                <w:spacing w:val="-1"/>
                <w:sz w:val="12"/>
              </w:rPr>
              <w:t xml:space="preserve"> </w:t>
            </w:r>
            <w:r w:rsidRPr="007841EB">
              <w:rPr>
                <w:color w:val="000000" w:themeColor="text1"/>
                <w:sz w:val="12"/>
              </w:rPr>
              <w:t>someone</w:t>
            </w:r>
            <w:r w:rsidRPr="007841EB">
              <w:rPr>
                <w:color w:val="000000" w:themeColor="text1"/>
                <w:spacing w:val="-9"/>
                <w:sz w:val="12"/>
              </w:rPr>
              <w:t xml:space="preserve"> </w:t>
            </w:r>
            <w:r w:rsidRPr="007841EB">
              <w:rPr>
                <w:color w:val="000000" w:themeColor="text1"/>
                <w:sz w:val="12"/>
              </w:rPr>
              <w:t>their age</w:t>
            </w:r>
            <w:r w:rsidRPr="007841EB">
              <w:rPr>
                <w:color w:val="000000" w:themeColor="text1"/>
                <w:spacing w:val="-11"/>
                <w:sz w:val="12"/>
              </w:rPr>
              <w:t xml:space="preserve"> </w:t>
            </w:r>
            <w:r w:rsidRPr="007841EB">
              <w:rPr>
                <w:color w:val="000000" w:themeColor="text1"/>
                <w:sz w:val="12"/>
              </w:rPr>
              <w:t>and</w:t>
            </w:r>
            <w:r w:rsidRPr="007841EB">
              <w:rPr>
                <w:color w:val="000000" w:themeColor="text1"/>
                <w:spacing w:val="-3"/>
                <w:sz w:val="12"/>
              </w:rPr>
              <w:t xml:space="preserve"> </w:t>
            </w:r>
            <w:r w:rsidRPr="007841EB">
              <w:rPr>
                <w:color w:val="000000" w:themeColor="text1"/>
                <w:spacing w:val="-2"/>
                <w:sz w:val="12"/>
              </w:rPr>
              <w:t>gender</w:t>
            </w:r>
            <w:r w:rsidRPr="007841EB">
              <w:rPr>
                <w:color w:val="000000" w:themeColor="text1"/>
                <w:spacing w:val="-4"/>
                <w:sz w:val="12"/>
              </w:rPr>
              <w:t xml:space="preserve"> </w:t>
            </w:r>
            <w:r w:rsidRPr="007841EB">
              <w:rPr>
                <w:color w:val="000000" w:themeColor="text1"/>
                <w:sz w:val="12"/>
              </w:rPr>
              <w:t>from</w:t>
            </w:r>
            <w:r w:rsidRPr="007841EB">
              <w:rPr>
                <w:color w:val="000000" w:themeColor="text1"/>
                <w:spacing w:val="-3"/>
                <w:sz w:val="12"/>
              </w:rPr>
              <w:t xml:space="preserve"> </w:t>
            </w:r>
            <w:r w:rsidRPr="007841EB">
              <w:rPr>
                <w:color w:val="000000" w:themeColor="text1"/>
                <w:sz w:val="12"/>
              </w:rPr>
              <w:t>a</w:t>
            </w:r>
            <w:r w:rsidRPr="007841EB">
              <w:rPr>
                <w:color w:val="000000" w:themeColor="text1"/>
                <w:spacing w:val="-9"/>
                <w:sz w:val="12"/>
              </w:rPr>
              <w:t xml:space="preserve"> </w:t>
            </w:r>
            <w:r w:rsidRPr="007841EB">
              <w:rPr>
                <w:color w:val="000000" w:themeColor="text1"/>
                <w:sz w:val="12"/>
              </w:rPr>
              <w:t>Fake</w:t>
            </w:r>
            <w:r w:rsidRPr="007841EB">
              <w:rPr>
                <w:color w:val="000000" w:themeColor="text1"/>
                <w:spacing w:val="-11"/>
                <w:sz w:val="12"/>
              </w:rPr>
              <w:t xml:space="preserve"> </w:t>
            </w:r>
            <w:r w:rsidRPr="007841EB">
              <w:rPr>
                <w:color w:val="000000" w:themeColor="text1"/>
                <w:sz w:val="12"/>
              </w:rPr>
              <w:t>Food</w:t>
            </w:r>
            <w:r w:rsidRPr="007841EB">
              <w:rPr>
                <w:color w:val="000000" w:themeColor="text1"/>
                <w:spacing w:val="-3"/>
                <w:sz w:val="12"/>
              </w:rPr>
              <w:t xml:space="preserve"> Buffet</w:t>
            </w:r>
            <w:r w:rsidRPr="007841EB">
              <w:rPr>
                <w:color w:val="000000" w:themeColor="text1"/>
                <w:spacing w:val="-2"/>
                <w:sz w:val="12"/>
              </w:rPr>
              <w:t xml:space="preserve"> </w:t>
            </w:r>
            <w:r w:rsidRPr="007841EB">
              <w:rPr>
                <w:color w:val="000000" w:themeColor="text1"/>
                <w:sz w:val="12"/>
              </w:rPr>
              <w:t>(non-edible</w:t>
            </w:r>
            <w:r w:rsidRPr="007841EB">
              <w:rPr>
                <w:color w:val="000000" w:themeColor="text1"/>
                <w:spacing w:val="-11"/>
                <w:sz w:val="12"/>
              </w:rPr>
              <w:t xml:space="preserve"> </w:t>
            </w:r>
            <w:r w:rsidRPr="007841EB">
              <w:rPr>
                <w:color w:val="000000" w:themeColor="text1"/>
                <w:sz w:val="12"/>
              </w:rPr>
              <w:t>foods).</w:t>
            </w:r>
          </w:p>
          <w:p w:rsidR="00280DF2" w:rsidRPr="007841EB" w:rsidP="009C5286" w14:paraId="2191EECB" w14:textId="77777777">
            <w:pPr>
              <w:pStyle w:val="TableParagraph"/>
              <w:spacing w:before="1"/>
              <w:rPr>
                <w:color w:val="000000" w:themeColor="text1"/>
                <w:sz w:val="12"/>
              </w:rPr>
            </w:pPr>
            <w:r w:rsidRPr="007841EB">
              <w:rPr>
                <w:color w:val="000000" w:themeColor="text1"/>
                <w:sz w:val="12"/>
              </w:rPr>
              <w:t>n=117</w:t>
            </w:r>
          </w:p>
        </w:tc>
        <w:tc>
          <w:tcPr>
            <w:tcW w:w="1199" w:type="dxa"/>
          </w:tcPr>
          <w:p w:rsidR="00280DF2" w:rsidRPr="007841EB" w:rsidP="009C5286" w14:paraId="76829345" w14:textId="77777777">
            <w:pPr>
              <w:pStyle w:val="TableParagraph"/>
              <w:numPr>
                <w:ilvl w:val="0"/>
                <w:numId w:val="56"/>
              </w:numPr>
              <w:tabs>
                <w:tab w:val="left" w:pos="147"/>
              </w:tabs>
              <w:spacing w:line="140" w:lineRule="exact"/>
              <w:ind w:firstLine="0"/>
              <w:rPr>
                <w:color w:val="000000" w:themeColor="text1"/>
                <w:sz w:val="12"/>
              </w:rPr>
            </w:pPr>
            <w:r w:rsidRPr="007841EB">
              <w:rPr>
                <w:color w:val="000000" w:themeColor="text1"/>
                <w:sz w:val="12"/>
              </w:rPr>
              <w:t>HSR</w:t>
            </w:r>
          </w:p>
          <w:p w:rsidR="00280DF2" w:rsidRPr="007841EB" w:rsidP="009C5286" w14:paraId="0A58C0BF" w14:textId="77777777">
            <w:pPr>
              <w:pStyle w:val="TableParagraph"/>
              <w:numPr>
                <w:ilvl w:val="0"/>
                <w:numId w:val="56"/>
              </w:numPr>
              <w:tabs>
                <w:tab w:val="left" w:pos="169"/>
              </w:tabs>
              <w:spacing w:before="7" w:line="252" w:lineRule="auto"/>
              <w:ind w:right="182" w:firstLine="0"/>
              <w:rPr>
                <w:color w:val="000000" w:themeColor="text1"/>
                <w:sz w:val="12"/>
              </w:rPr>
            </w:pPr>
            <w:r w:rsidRPr="007841EB">
              <w:rPr>
                <w:color w:val="000000" w:themeColor="text1"/>
                <w:sz w:val="12"/>
              </w:rPr>
              <w:t>Energy only label (KJ/100g)</w:t>
            </w:r>
          </w:p>
        </w:tc>
        <w:tc>
          <w:tcPr>
            <w:tcW w:w="1199" w:type="dxa"/>
          </w:tcPr>
          <w:p w:rsidR="00280DF2" w:rsidRPr="007841EB" w:rsidP="009C5286" w14:paraId="09E70A79" w14:textId="77777777">
            <w:pPr>
              <w:pStyle w:val="TableParagraph"/>
              <w:spacing w:before="32"/>
              <w:ind w:left="44"/>
              <w:rPr>
                <w:color w:val="000000" w:themeColor="text1"/>
                <w:sz w:val="12"/>
              </w:rPr>
            </w:pPr>
            <w:r w:rsidRPr="007841EB">
              <w:rPr>
                <w:color w:val="000000" w:themeColor="text1"/>
                <w:sz w:val="12"/>
              </w:rPr>
              <w:t>None provided</w:t>
            </w:r>
          </w:p>
        </w:tc>
        <w:tc>
          <w:tcPr>
            <w:tcW w:w="550" w:type="dxa"/>
          </w:tcPr>
          <w:p w:rsidR="00280DF2" w:rsidRPr="007841EB" w:rsidP="009C5286" w14:paraId="7F898870" w14:textId="77777777">
            <w:pPr>
              <w:pStyle w:val="TableParagraph"/>
              <w:spacing w:line="140" w:lineRule="exact"/>
              <w:rPr>
                <w:color w:val="000000" w:themeColor="text1"/>
                <w:sz w:val="12"/>
              </w:rPr>
            </w:pPr>
            <w:r w:rsidRPr="007841EB">
              <w:rPr>
                <w:color w:val="000000" w:themeColor="text1"/>
                <w:sz w:val="12"/>
              </w:rPr>
              <w:t>Australia</w:t>
            </w:r>
          </w:p>
        </w:tc>
        <w:tc>
          <w:tcPr>
            <w:tcW w:w="3487" w:type="dxa"/>
          </w:tcPr>
          <w:p w:rsidR="00280DF2" w:rsidRPr="007841EB" w:rsidP="009C5286" w14:paraId="5A4431A3" w14:textId="77777777">
            <w:pPr>
              <w:pStyle w:val="TableParagraph"/>
              <w:numPr>
                <w:ilvl w:val="0"/>
                <w:numId w:val="55"/>
              </w:numPr>
              <w:tabs>
                <w:tab w:val="left" w:pos="147"/>
              </w:tabs>
              <w:spacing w:line="252" w:lineRule="auto"/>
              <w:ind w:right="7" w:firstLine="0"/>
              <w:rPr>
                <w:color w:val="000000" w:themeColor="text1"/>
                <w:sz w:val="12"/>
              </w:rPr>
            </w:pPr>
            <w:r w:rsidRPr="007841EB">
              <w:rPr>
                <w:color w:val="000000" w:themeColor="text1"/>
                <w:sz w:val="12"/>
              </w:rPr>
              <w:t xml:space="preserve">Neither an </w:t>
            </w:r>
            <w:r w:rsidRPr="007841EB">
              <w:rPr>
                <w:color w:val="000000" w:themeColor="text1"/>
                <w:spacing w:val="-3"/>
                <w:sz w:val="12"/>
              </w:rPr>
              <w:t xml:space="preserve">energy </w:t>
            </w:r>
            <w:r w:rsidRPr="007841EB">
              <w:rPr>
                <w:color w:val="000000" w:themeColor="text1"/>
                <w:sz w:val="12"/>
              </w:rPr>
              <w:t>only label (KJ/100g) or HSR influenced the self- serve</w:t>
            </w:r>
            <w:r w:rsidRPr="007841EB">
              <w:rPr>
                <w:color w:val="000000" w:themeColor="text1"/>
                <w:spacing w:val="-10"/>
                <w:sz w:val="12"/>
              </w:rPr>
              <w:t xml:space="preserve"> </w:t>
            </w:r>
            <w:r w:rsidRPr="007841EB">
              <w:rPr>
                <w:color w:val="000000" w:themeColor="text1"/>
                <w:sz w:val="12"/>
              </w:rPr>
              <w:t>portion</w:t>
            </w:r>
            <w:r w:rsidRPr="007841EB">
              <w:rPr>
                <w:color w:val="000000" w:themeColor="text1"/>
                <w:spacing w:val="-1"/>
                <w:sz w:val="12"/>
              </w:rPr>
              <w:t xml:space="preserve"> </w:t>
            </w:r>
            <w:r w:rsidRPr="007841EB">
              <w:rPr>
                <w:color w:val="000000" w:themeColor="text1"/>
                <w:sz w:val="12"/>
              </w:rPr>
              <w:t>size</w:t>
            </w:r>
            <w:r w:rsidRPr="007841EB">
              <w:rPr>
                <w:color w:val="000000" w:themeColor="text1"/>
                <w:spacing w:val="-10"/>
                <w:sz w:val="12"/>
              </w:rPr>
              <w:t xml:space="preserve"> </w:t>
            </w:r>
            <w:r w:rsidRPr="007841EB">
              <w:rPr>
                <w:color w:val="000000" w:themeColor="text1"/>
                <w:sz w:val="12"/>
              </w:rPr>
              <w:t>selection</w:t>
            </w:r>
            <w:r w:rsidRPr="007841EB">
              <w:rPr>
                <w:color w:val="000000" w:themeColor="text1"/>
                <w:spacing w:val="-1"/>
                <w:sz w:val="12"/>
              </w:rPr>
              <w:t xml:space="preserve"> </w:t>
            </w:r>
            <w:r w:rsidRPr="007841EB">
              <w:rPr>
                <w:color w:val="000000" w:themeColor="text1"/>
                <w:sz w:val="12"/>
              </w:rPr>
              <w:t>of</w:t>
            </w:r>
            <w:r w:rsidRPr="007841EB">
              <w:rPr>
                <w:color w:val="000000" w:themeColor="text1"/>
                <w:spacing w:val="-8"/>
                <w:sz w:val="12"/>
              </w:rPr>
              <w:t xml:space="preserve"> </w:t>
            </w:r>
            <w:r w:rsidRPr="007841EB">
              <w:rPr>
                <w:color w:val="000000" w:themeColor="text1"/>
                <w:sz w:val="12"/>
              </w:rPr>
              <w:t>foods</w:t>
            </w:r>
            <w:r w:rsidRPr="007841EB">
              <w:rPr>
                <w:color w:val="000000" w:themeColor="text1"/>
                <w:spacing w:val="-7"/>
                <w:sz w:val="12"/>
              </w:rPr>
              <w:t xml:space="preserve"> </w:t>
            </w:r>
            <w:r w:rsidRPr="007841EB">
              <w:rPr>
                <w:color w:val="000000" w:themeColor="text1"/>
                <w:sz w:val="12"/>
              </w:rPr>
              <w:t>and</w:t>
            </w:r>
            <w:r w:rsidRPr="007841EB">
              <w:rPr>
                <w:color w:val="000000" w:themeColor="text1"/>
                <w:spacing w:val="-1"/>
                <w:sz w:val="12"/>
              </w:rPr>
              <w:t xml:space="preserve"> </w:t>
            </w:r>
            <w:r w:rsidRPr="007841EB">
              <w:rPr>
                <w:color w:val="000000" w:themeColor="text1"/>
                <w:sz w:val="12"/>
              </w:rPr>
              <w:t>meal</w:t>
            </w:r>
            <w:r w:rsidRPr="007841EB">
              <w:rPr>
                <w:color w:val="000000" w:themeColor="text1"/>
                <w:spacing w:val="2"/>
                <w:sz w:val="12"/>
              </w:rPr>
              <w:t xml:space="preserve"> </w:t>
            </w:r>
            <w:r w:rsidRPr="007841EB">
              <w:rPr>
                <w:color w:val="000000" w:themeColor="text1"/>
                <w:sz w:val="12"/>
              </w:rPr>
              <w:t>components</w:t>
            </w:r>
            <w:r w:rsidRPr="007841EB">
              <w:rPr>
                <w:color w:val="000000" w:themeColor="text1"/>
                <w:spacing w:val="-7"/>
                <w:sz w:val="12"/>
              </w:rPr>
              <w:t xml:space="preserve"> </w:t>
            </w:r>
            <w:r w:rsidRPr="007841EB">
              <w:rPr>
                <w:color w:val="000000" w:themeColor="text1"/>
                <w:sz w:val="12"/>
              </w:rPr>
              <w:t>from</w:t>
            </w:r>
            <w:r w:rsidRPr="007841EB">
              <w:rPr>
                <w:color w:val="000000" w:themeColor="text1"/>
                <w:spacing w:val="-1"/>
                <w:sz w:val="12"/>
              </w:rPr>
              <w:t xml:space="preserve"> </w:t>
            </w:r>
            <w:r w:rsidRPr="007841EB">
              <w:rPr>
                <w:color w:val="000000" w:themeColor="text1"/>
                <w:sz w:val="12"/>
              </w:rPr>
              <w:t>a</w:t>
            </w:r>
            <w:r w:rsidRPr="007841EB">
              <w:rPr>
                <w:color w:val="000000" w:themeColor="text1"/>
                <w:spacing w:val="-7"/>
                <w:sz w:val="12"/>
              </w:rPr>
              <w:t xml:space="preserve"> </w:t>
            </w:r>
            <w:r w:rsidRPr="007841EB">
              <w:rPr>
                <w:color w:val="000000" w:themeColor="text1"/>
                <w:sz w:val="12"/>
              </w:rPr>
              <w:t>fake food</w:t>
            </w:r>
            <w:r w:rsidRPr="007841EB">
              <w:rPr>
                <w:color w:val="000000" w:themeColor="text1"/>
                <w:spacing w:val="-4"/>
                <w:sz w:val="12"/>
              </w:rPr>
              <w:t xml:space="preserve"> </w:t>
            </w:r>
            <w:r w:rsidRPr="007841EB">
              <w:rPr>
                <w:color w:val="000000" w:themeColor="text1"/>
                <w:sz w:val="12"/>
              </w:rPr>
              <w:t>buffet.</w:t>
            </w:r>
          </w:p>
          <w:p w:rsidR="00280DF2" w:rsidRPr="007841EB" w:rsidP="009C5286" w14:paraId="05312B49" w14:textId="77777777">
            <w:pPr>
              <w:pStyle w:val="TableParagraph"/>
              <w:numPr>
                <w:ilvl w:val="0"/>
                <w:numId w:val="55"/>
              </w:numPr>
              <w:tabs>
                <w:tab w:val="left" w:pos="147"/>
              </w:tabs>
              <w:spacing w:line="252" w:lineRule="auto"/>
              <w:ind w:right="26" w:firstLine="0"/>
              <w:rPr>
                <w:color w:val="000000" w:themeColor="text1"/>
                <w:sz w:val="12"/>
              </w:rPr>
            </w:pPr>
            <w:r w:rsidRPr="007841EB">
              <w:rPr>
                <w:color w:val="000000" w:themeColor="text1"/>
                <w:sz w:val="12"/>
              </w:rPr>
              <w:t>It's possible that participants had pre-formed opinions on the (familiar) food products and did not consider the food labels when making their choices. Food labels may have a stronger inﬂuence when selecting from unfamiliar food</w:t>
            </w:r>
            <w:r w:rsidRPr="007841EB">
              <w:rPr>
                <w:color w:val="000000" w:themeColor="text1"/>
                <w:spacing w:val="-17"/>
                <w:sz w:val="12"/>
              </w:rPr>
              <w:t xml:space="preserve"> </w:t>
            </w:r>
            <w:r w:rsidRPr="007841EB">
              <w:rPr>
                <w:color w:val="000000" w:themeColor="text1"/>
                <w:sz w:val="12"/>
              </w:rPr>
              <w:t>items.</w:t>
            </w:r>
          </w:p>
          <w:p w:rsidR="00280DF2" w:rsidRPr="007841EB" w:rsidP="009C5286" w14:paraId="4A5646AB" w14:textId="77777777">
            <w:pPr>
              <w:pStyle w:val="TableParagraph"/>
              <w:numPr>
                <w:ilvl w:val="0"/>
                <w:numId w:val="55"/>
              </w:numPr>
              <w:tabs>
                <w:tab w:val="left" w:pos="147"/>
              </w:tabs>
              <w:spacing w:line="252" w:lineRule="auto"/>
              <w:ind w:right="240" w:firstLine="0"/>
              <w:rPr>
                <w:color w:val="000000" w:themeColor="text1"/>
                <w:sz w:val="12"/>
              </w:rPr>
            </w:pPr>
            <w:r w:rsidRPr="007841EB">
              <w:rPr>
                <w:color w:val="000000" w:themeColor="text1"/>
                <w:sz w:val="12"/>
              </w:rPr>
              <w:t>Authors acknowledge that inﬂuencing portion size selection of foods</w:t>
            </w:r>
            <w:r w:rsidRPr="007841EB">
              <w:rPr>
                <w:color w:val="000000" w:themeColor="text1"/>
                <w:spacing w:val="-9"/>
                <w:sz w:val="12"/>
              </w:rPr>
              <w:t xml:space="preserve"> </w:t>
            </w:r>
            <w:r w:rsidRPr="007841EB">
              <w:rPr>
                <w:color w:val="000000" w:themeColor="text1"/>
                <w:sz w:val="12"/>
              </w:rPr>
              <w:t>was</w:t>
            </w:r>
            <w:r w:rsidRPr="007841EB">
              <w:rPr>
                <w:color w:val="000000" w:themeColor="text1"/>
                <w:spacing w:val="-9"/>
                <w:sz w:val="12"/>
              </w:rPr>
              <w:t xml:space="preserve"> </w:t>
            </w:r>
            <w:r w:rsidRPr="007841EB">
              <w:rPr>
                <w:color w:val="000000" w:themeColor="text1"/>
                <w:sz w:val="12"/>
              </w:rPr>
              <w:t>not</w:t>
            </w:r>
            <w:r w:rsidRPr="007841EB">
              <w:rPr>
                <w:color w:val="000000" w:themeColor="text1"/>
                <w:spacing w:val="-2"/>
                <w:sz w:val="12"/>
              </w:rPr>
              <w:t xml:space="preserve"> </w:t>
            </w:r>
            <w:r w:rsidRPr="007841EB">
              <w:rPr>
                <w:color w:val="000000" w:themeColor="text1"/>
                <w:sz w:val="12"/>
              </w:rPr>
              <w:t>a</w:t>
            </w:r>
            <w:r w:rsidRPr="007841EB">
              <w:rPr>
                <w:color w:val="000000" w:themeColor="text1"/>
                <w:spacing w:val="-9"/>
                <w:sz w:val="12"/>
              </w:rPr>
              <w:t xml:space="preserve"> </w:t>
            </w:r>
            <w:r w:rsidRPr="007841EB">
              <w:rPr>
                <w:color w:val="000000" w:themeColor="text1"/>
                <w:sz w:val="12"/>
              </w:rPr>
              <w:t>direct</w:t>
            </w:r>
            <w:r w:rsidRPr="007841EB">
              <w:rPr>
                <w:color w:val="000000" w:themeColor="text1"/>
                <w:spacing w:val="-2"/>
                <w:sz w:val="12"/>
              </w:rPr>
              <w:t xml:space="preserve"> </w:t>
            </w:r>
            <w:r w:rsidRPr="007841EB">
              <w:rPr>
                <w:color w:val="000000" w:themeColor="text1"/>
                <w:sz w:val="12"/>
              </w:rPr>
              <w:t>aim</w:t>
            </w:r>
            <w:r w:rsidRPr="007841EB">
              <w:rPr>
                <w:color w:val="000000" w:themeColor="text1"/>
                <w:spacing w:val="-3"/>
                <w:sz w:val="12"/>
              </w:rPr>
              <w:t xml:space="preserve"> </w:t>
            </w:r>
            <w:r w:rsidRPr="007841EB">
              <w:rPr>
                <w:color w:val="000000" w:themeColor="text1"/>
                <w:sz w:val="12"/>
              </w:rPr>
              <w:t>of</w:t>
            </w:r>
            <w:r w:rsidRPr="007841EB">
              <w:rPr>
                <w:color w:val="000000" w:themeColor="text1"/>
                <w:spacing w:val="-10"/>
                <w:sz w:val="12"/>
              </w:rPr>
              <w:t xml:space="preserve"> </w:t>
            </w:r>
            <w:r w:rsidRPr="007841EB">
              <w:rPr>
                <w:color w:val="000000" w:themeColor="text1"/>
                <w:sz w:val="12"/>
              </w:rPr>
              <w:t>the</w:t>
            </w:r>
            <w:r w:rsidRPr="007841EB">
              <w:rPr>
                <w:color w:val="000000" w:themeColor="text1"/>
                <w:spacing w:val="-11"/>
                <w:sz w:val="12"/>
              </w:rPr>
              <w:t xml:space="preserve"> </w:t>
            </w:r>
            <w:r w:rsidRPr="007841EB">
              <w:rPr>
                <w:color w:val="000000" w:themeColor="text1"/>
                <w:sz w:val="12"/>
              </w:rPr>
              <w:t>HSR.</w:t>
            </w:r>
          </w:p>
          <w:p w:rsidR="00280DF2" w:rsidRPr="007841EB" w:rsidP="009C5286" w14:paraId="6AE1DBF8" w14:textId="77777777">
            <w:pPr>
              <w:pStyle w:val="TableParagraph"/>
              <w:numPr>
                <w:ilvl w:val="0"/>
                <w:numId w:val="55"/>
              </w:numPr>
              <w:tabs>
                <w:tab w:val="left" w:pos="147"/>
              </w:tabs>
              <w:spacing w:line="252" w:lineRule="auto"/>
              <w:ind w:right="52" w:firstLine="0"/>
              <w:rPr>
                <w:color w:val="000000" w:themeColor="text1"/>
                <w:sz w:val="12"/>
              </w:rPr>
            </w:pPr>
            <w:r w:rsidRPr="007841EB">
              <w:rPr>
                <w:color w:val="000000" w:themeColor="text1"/>
                <w:sz w:val="12"/>
              </w:rPr>
              <w:t xml:space="preserve">Consumer education </w:t>
            </w:r>
            <w:r w:rsidRPr="007841EB">
              <w:rPr>
                <w:color w:val="000000" w:themeColor="text1"/>
                <w:spacing w:val="1"/>
                <w:sz w:val="12"/>
              </w:rPr>
              <w:t xml:space="preserve">is </w:t>
            </w:r>
            <w:r w:rsidRPr="007841EB">
              <w:rPr>
                <w:color w:val="000000" w:themeColor="text1"/>
                <w:spacing w:val="-3"/>
                <w:sz w:val="12"/>
              </w:rPr>
              <w:t xml:space="preserve">needed </w:t>
            </w:r>
            <w:r w:rsidRPr="007841EB">
              <w:rPr>
                <w:color w:val="000000" w:themeColor="text1"/>
                <w:sz w:val="12"/>
              </w:rPr>
              <w:t xml:space="preserve">to improve understanding of front- of-pack labels </w:t>
            </w:r>
            <w:r w:rsidRPr="007841EB">
              <w:rPr>
                <w:color w:val="000000" w:themeColor="text1"/>
                <w:spacing w:val="1"/>
                <w:sz w:val="12"/>
              </w:rPr>
              <w:t>to</w:t>
            </w:r>
            <w:r w:rsidRPr="007841EB">
              <w:rPr>
                <w:color w:val="000000" w:themeColor="text1"/>
                <w:sz w:val="12"/>
              </w:rPr>
              <w:t xml:space="preserve"> assist consumers </w:t>
            </w:r>
            <w:r w:rsidRPr="007841EB">
              <w:rPr>
                <w:color w:val="000000" w:themeColor="text1"/>
                <w:spacing w:val="1"/>
                <w:sz w:val="12"/>
              </w:rPr>
              <w:t xml:space="preserve">in </w:t>
            </w:r>
            <w:r w:rsidRPr="007841EB">
              <w:rPr>
                <w:color w:val="000000" w:themeColor="text1"/>
                <w:sz w:val="12"/>
              </w:rPr>
              <w:t>making appropriate portion size</w:t>
            </w:r>
            <w:r w:rsidRPr="007841EB">
              <w:rPr>
                <w:color w:val="000000" w:themeColor="text1"/>
                <w:spacing w:val="-14"/>
                <w:sz w:val="12"/>
              </w:rPr>
              <w:t xml:space="preserve"> </w:t>
            </w:r>
            <w:r w:rsidRPr="007841EB">
              <w:rPr>
                <w:color w:val="000000" w:themeColor="text1"/>
                <w:sz w:val="12"/>
              </w:rPr>
              <w:t>choices.</w:t>
            </w:r>
          </w:p>
        </w:tc>
      </w:tr>
      <w:tr w14:paraId="1DBB16F1" w14:textId="77777777" w:rsidTr="2F9D3AFB">
        <w:tblPrEx>
          <w:tblW w:w="0" w:type="auto"/>
          <w:tblInd w:w="113" w:type="dxa"/>
          <w:tblLayout w:type="fixed"/>
          <w:tblCellMar>
            <w:left w:w="0" w:type="dxa"/>
            <w:right w:w="0" w:type="dxa"/>
          </w:tblCellMar>
          <w:tblLook w:val="01E0"/>
        </w:tblPrEx>
        <w:trPr>
          <w:trHeight w:val="2448"/>
        </w:trPr>
        <w:tc>
          <w:tcPr>
            <w:tcW w:w="1023" w:type="dxa"/>
          </w:tcPr>
          <w:p w:rsidR="00280DF2" w:rsidRPr="007841EB" w:rsidP="009C5286" w14:paraId="11E492C8" w14:textId="77777777">
            <w:pPr>
              <w:pStyle w:val="TableParagraph"/>
              <w:spacing w:line="252" w:lineRule="auto"/>
              <w:ind w:right="507"/>
              <w:rPr>
                <w:color w:val="000000" w:themeColor="text1"/>
                <w:sz w:val="12"/>
              </w:rPr>
            </w:pPr>
            <w:r w:rsidRPr="007841EB">
              <w:rPr>
                <w:color w:val="000000" w:themeColor="text1"/>
                <w:sz w:val="12"/>
              </w:rPr>
              <w:t>Cook and Kizilova</w:t>
            </w:r>
          </w:p>
        </w:tc>
        <w:tc>
          <w:tcPr>
            <w:tcW w:w="2101" w:type="dxa"/>
          </w:tcPr>
          <w:p w:rsidR="00280DF2" w:rsidRPr="007841EB" w:rsidP="009C5286" w14:paraId="08DFC13A" w14:textId="77777777">
            <w:pPr>
              <w:pStyle w:val="TableParagraph"/>
              <w:spacing w:line="252" w:lineRule="auto"/>
              <w:ind w:right="108"/>
              <w:rPr>
                <w:color w:val="000000" w:themeColor="text1"/>
                <w:sz w:val="12"/>
              </w:rPr>
            </w:pPr>
            <w:r w:rsidRPr="007841EB">
              <w:rPr>
                <w:color w:val="000000" w:themeColor="text1"/>
                <w:sz w:val="12"/>
              </w:rPr>
              <w:t>Direct and Indirect Processing Effects of Front-of-Package Labels</w:t>
            </w:r>
          </w:p>
        </w:tc>
        <w:tc>
          <w:tcPr>
            <w:tcW w:w="330" w:type="dxa"/>
          </w:tcPr>
          <w:p w:rsidR="00280DF2" w:rsidRPr="00E33286" w:rsidP="009C5286" w14:paraId="0B0474E3" w14:textId="77777777">
            <w:pPr>
              <w:pStyle w:val="TableParagraph"/>
              <w:spacing w:line="140" w:lineRule="exact"/>
              <w:rPr>
                <w:color w:val="AF3A3C"/>
                <w:sz w:val="12"/>
              </w:rPr>
            </w:pPr>
            <w:r w:rsidRPr="00E33286">
              <w:rPr>
                <w:color w:val="AF3A3C"/>
                <w:sz w:val="12"/>
              </w:rPr>
              <w:t>2017</w:t>
            </w:r>
          </w:p>
        </w:tc>
        <w:tc>
          <w:tcPr>
            <w:tcW w:w="3553" w:type="dxa"/>
          </w:tcPr>
          <w:p w:rsidR="00280DF2" w:rsidRPr="007841EB" w:rsidP="009C5286" w14:paraId="4504DF63" w14:textId="77777777">
            <w:pPr>
              <w:pStyle w:val="TableParagraph"/>
              <w:spacing w:line="140" w:lineRule="exact"/>
              <w:rPr>
                <w:color w:val="000000" w:themeColor="text1"/>
                <w:sz w:val="12"/>
              </w:rPr>
            </w:pPr>
            <w:r w:rsidRPr="007841EB">
              <w:rPr>
                <w:color w:val="000000" w:themeColor="text1"/>
                <w:sz w:val="12"/>
              </w:rPr>
              <w:t>Quantitative.</w:t>
            </w:r>
          </w:p>
          <w:p w:rsidR="00280DF2" w:rsidRPr="007841EB" w:rsidP="009C5286" w14:paraId="66FAB846" w14:textId="77777777">
            <w:pPr>
              <w:pStyle w:val="TableParagraph"/>
              <w:spacing w:before="7" w:line="252" w:lineRule="auto"/>
              <w:ind w:right="311"/>
              <w:rPr>
                <w:color w:val="000000" w:themeColor="text1"/>
                <w:sz w:val="12"/>
              </w:rPr>
            </w:pPr>
            <w:r w:rsidRPr="007841EB">
              <w:rPr>
                <w:color w:val="000000" w:themeColor="text1"/>
                <w:sz w:val="12"/>
              </w:rPr>
              <w:t>Online study: comparative setting to measure differences in label formats between four cans of beef stew on a grocery shelf.</w:t>
            </w:r>
          </w:p>
          <w:p w:rsidR="00280DF2" w:rsidRPr="007841EB" w:rsidP="009C5286" w14:paraId="3B7C3111" w14:textId="2E5D7777">
            <w:pPr>
              <w:pStyle w:val="TableParagraph"/>
              <w:spacing w:before="1" w:line="252" w:lineRule="auto"/>
              <w:ind w:right="83"/>
              <w:rPr>
                <w:color w:val="000000" w:themeColor="text1"/>
                <w:sz w:val="12"/>
              </w:rPr>
            </w:pPr>
            <w:r w:rsidRPr="007841EB">
              <w:rPr>
                <w:color w:val="000000" w:themeColor="text1"/>
                <w:sz w:val="12"/>
              </w:rPr>
              <w:t xml:space="preserve">2 </w:t>
            </w:r>
            <w:r w:rsidRPr="007841EB" w:rsidR="00F638F1">
              <w:rPr>
                <w:color w:val="000000" w:themeColor="text1"/>
                <w:sz w:val="12"/>
              </w:rPr>
              <w:t>FOP</w:t>
            </w:r>
            <w:r w:rsidRPr="007841EB">
              <w:rPr>
                <w:color w:val="000000" w:themeColor="text1"/>
                <w:sz w:val="12"/>
              </w:rPr>
              <w:t xml:space="preserve"> Label Modality [evaluative (symbol-based) or objective (text- based)] × 3 Information Processing [immediate (control), elaboration, or distraction]</w:t>
            </w:r>
          </w:p>
          <w:p w:rsidR="00280DF2" w:rsidRPr="007841EB" w:rsidP="009C5286" w14:paraId="267338A3" w14:textId="77777777">
            <w:pPr>
              <w:pStyle w:val="TableParagraph"/>
              <w:rPr>
                <w:color w:val="000000" w:themeColor="text1"/>
                <w:sz w:val="12"/>
              </w:rPr>
            </w:pPr>
            <w:r w:rsidRPr="007841EB">
              <w:rPr>
                <w:color w:val="000000" w:themeColor="text1"/>
                <w:sz w:val="12"/>
              </w:rPr>
              <w:t>n=311</w:t>
            </w:r>
          </w:p>
        </w:tc>
        <w:tc>
          <w:tcPr>
            <w:tcW w:w="1199" w:type="dxa"/>
          </w:tcPr>
          <w:p w:rsidR="00280DF2" w:rsidRPr="007841EB" w:rsidP="009C5286" w14:paraId="2D50886D" w14:textId="77777777">
            <w:pPr>
              <w:pStyle w:val="TableParagraph"/>
              <w:numPr>
                <w:ilvl w:val="0"/>
                <w:numId w:val="54"/>
              </w:numPr>
              <w:tabs>
                <w:tab w:val="left" w:pos="147"/>
              </w:tabs>
              <w:spacing w:line="252" w:lineRule="auto"/>
              <w:ind w:right="383" w:firstLine="0"/>
              <w:rPr>
                <w:color w:val="000000" w:themeColor="text1"/>
                <w:sz w:val="12"/>
              </w:rPr>
            </w:pPr>
            <w:r w:rsidRPr="007841EB">
              <w:rPr>
                <w:color w:val="000000" w:themeColor="text1"/>
                <w:sz w:val="12"/>
              </w:rPr>
              <w:t>Guiding stars [Evaluative]</w:t>
            </w:r>
          </w:p>
          <w:p w:rsidR="00280DF2" w:rsidRPr="007841EB" w:rsidP="009C5286" w14:paraId="058E94D1" w14:textId="77777777">
            <w:pPr>
              <w:pStyle w:val="TableParagraph"/>
              <w:numPr>
                <w:ilvl w:val="0"/>
                <w:numId w:val="54"/>
              </w:numPr>
              <w:tabs>
                <w:tab w:val="left" w:pos="147"/>
              </w:tabs>
              <w:spacing w:line="252" w:lineRule="auto"/>
              <w:ind w:right="52" w:firstLine="0"/>
              <w:rPr>
                <w:color w:val="000000" w:themeColor="text1"/>
                <w:sz w:val="12"/>
              </w:rPr>
            </w:pPr>
            <w:r w:rsidRPr="007841EB">
              <w:rPr>
                <w:color w:val="000000" w:themeColor="text1"/>
                <w:sz w:val="12"/>
              </w:rPr>
              <w:t xml:space="preserve">Facts up front </w:t>
            </w:r>
            <w:r w:rsidRPr="007841EB">
              <w:rPr>
                <w:color w:val="000000" w:themeColor="text1"/>
                <w:spacing w:val="-3"/>
                <w:sz w:val="12"/>
              </w:rPr>
              <w:t>(GMA/FMI)</w:t>
            </w:r>
            <w:r w:rsidRPr="007841EB">
              <w:rPr>
                <w:color w:val="000000" w:themeColor="text1"/>
                <w:spacing w:val="-2"/>
                <w:sz w:val="12"/>
              </w:rPr>
              <w:t xml:space="preserve"> </w:t>
            </w:r>
            <w:r w:rsidRPr="007841EB">
              <w:rPr>
                <w:color w:val="000000" w:themeColor="text1"/>
                <w:sz w:val="12"/>
              </w:rPr>
              <w:t>[Objective]</w:t>
            </w:r>
          </w:p>
        </w:tc>
        <w:tc>
          <w:tcPr>
            <w:tcW w:w="1199" w:type="dxa"/>
          </w:tcPr>
          <w:p w:rsidR="00280DF2" w:rsidRPr="007841EB" w:rsidP="009C5286" w14:paraId="49EFD9E3" w14:textId="77777777">
            <w:pPr>
              <w:pStyle w:val="TableParagraph"/>
              <w:spacing w:before="24"/>
              <w:ind w:left="54"/>
              <w:rPr>
                <w:color w:val="000000" w:themeColor="text1"/>
                <w:sz w:val="12"/>
              </w:rPr>
            </w:pPr>
            <w:r w:rsidRPr="007841EB">
              <w:rPr>
                <w:color w:val="000000" w:themeColor="text1"/>
                <w:sz w:val="12"/>
              </w:rPr>
              <w:t>None provided</w:t>
            </w:r>
          </w:p>
        </w:tc>
        <w:tc>
          <w:tcPr>
            <w:tcW w:w="550" w:type="dxa"/>
          </w:tcPr>
          <w:p w:rsidR="00280DF2" w:rsidRPr="007841EB" w:rsidP="009C5286" w14:paraId="1186A9A4" w14:textId="77777777">
            <w:pPr>
              <w:pStyle w:val="TableParagraph"/>
              <w:spacing w:line="140" w:lineRule="exact"/>
              <w:rPr>
                <w:color w:val="000000" w:themeColor="text1"/>
                <w:sz w:val="12"/>
              </w:rPr>
            </w:pPr>
            <w:r w:rsidRPr="007841EB">
              <w:rPr>
                <w:color w:val="000000" w:themeColor="text1"/>
                <w:sz w:val="12"/>
              </w:rPr>
              <w:t>US</w:t>
            </w:r>
          </w:p>
        </w:tc>
        <w:tc>
          <w:tcPr>
            <w:tcW w:w="3487" w:type="dxa"/>
          </w:tcPr>
          <w:p w:rsidR="00280DF2" w:rsidRPr="007841EB" w:rsidP="009C5286" w14:paraId="7626B9B0" w14:textId="77777777">
            <w:pPr>
              <w:pStyle w:val="TableParagraph"/>
              <w:numPr>
                <w:ilvl w:val="0"/>
                <w:numId w:val="53"/>
              </w:numPr>
              <w:tabs>
                <w:tab w:val="left" w:pos="147"/>
              </w:tabs>
              <w:spacing w:line="252" w:lineRule="auto"/>
              <w:ind w:right="108" w:firstLine="0"/>
              <w:rPr>
                <w:color w:val="000000" w:themeColor="text1"/>
                <w:sz w:val="12"/>
              </w:rPr>
            </w:pPr>
            <w:r w:rsidRPr="007841EB">
              <w:rPr>
                <w:color w:val="000000" w:themeColor="text1"/>
                <w:sz w:val="12"/>
              </w:rPr>
              <w:t xml:space="preserve">Evaluative (stars) label helps consumers with diet-related </w:t>
            </w:r>
            <w:r w:rsidRPr="007841EB">
              <w:rPr>
                <w:color w:val="000000" w:themeColor="text1"/>
                <w:spacing w:val="-3"/>
                <w:sz w:val="12"/>
              </w:rPr>
              <w:t xml:space="preserve">diseases </w:t>
            </w:r>
            <w:r w:rsidRPr="007841EB">
              <w:rPr>
                <w:color w:val="000000" w:themeColor="text1"/>
                <w:sz w:val="12"/>
              </w:rPr>
              <w:t>identify the healthiest product more often (50%) than when a decision</w:t>
            </w:r>
            <w:r w:rsidRPr="007841EB">
              <w:rPr>
                <w:color w:val="000000" w:themeColor="text1"/>
                <w:spacing w:val="-3"/>
                <w:sz w:val="12"/>
              </w:rPr>
              <w:t xml:space="preserve"> </w:t>
            </w:r>
            <w:r w:rsidRPr="007841EB">
              <w:rPr>
                <w:color w:val="000000" w:themeColor="text1"/>
                <w:spacing w:val="1"/>
                <w:sz w:val="12"/>
              </w:rPr>
              <w:t>is</w:t>
            </w:r>
            <w:r w:rsidRPr="007841EB">
              <w:rPr>
                <w:color w:val="000000" w:themeColor="text1"/>
                <w:spacing w:val="-9"/>
                <w:sz w:val="12"/>
              </w:rPr>
              <w:t xml:space="preserve"> </w:t>
            </w:r>
            <w:r w:rsidRPr="007841EB">
              <w:rPr>
                <w:color w:val="000000" w:themeColor="text1"/>
                <w:sz w:val="12"/>
              </w:rPr>
              <w:t>made</w:t>
            </w:r>
            <w:r w:rsidRPr="007841EB">
              <w:rPr>
                <w:color w:val="000000" w:themeColor="text1"/>
                <w:spacing w:val="-11"/>
                <w:sz w:val="12"/>
              </w:rPr>
              <w:t xml:space="preserve"> </w:t>
            </w:r>
            <w:r w:rsidRPr="007841EB">
              <w:rPr>
                <w:color w:val="000000" w:themeColor="text1"/>
                <w:sz w:val="12"/>
              </w:rPr>
              <w:t>immediately</w:t>
            </w:r>
            <w:r w:rsidRPr="007841EB">
              <w:rPr>
                <w:color w:val="000000" w:themeColor="text1"/>
                <w:spacing w:val="-5"/>
                <w:sz w:val="12"/>
              </w:rPr>
              <w:t xml:space="preserve"> </w:t>
            </w:r>
            <w:r w:rsidRPr="007841EB">
              <w:rPr>
                <w:color w:val="000000" w:themeColor="text1"/>
                <w:sz w:val="12"/>
              </w:rPr>
              <w:t>(versus</w:t>
            </w:r>
            <w:r w:rsidRPr="007841EB">
              <w:rPr>
                <w:color w:val="000000" w:themeColor="text1"/>
                <w:spacing w:val="-9"/>
                <w:sz w:val="12"/>
              </w:rPr>
              <w:t xml:space="preserve"> </w:t>
            </w:r>
            <w:r w:rsidRPr="007841EB">
              <w:rPr>
                <w:color w:val="000000" w:themeColor="text1"/>
                <w:sz w:val="12"/>
              </w:rPr>
              <w:t>43%).</w:t>
            </w:r>
          </w:p>
          <w:p w:rsidR="00280DF2" w:rsidRPr="007841EB" w:rsidP="009C5286" w14:paraId="46AE8F38" w14:textId="77777777">
            <w:pPr>
              <w:pStyle w:val="TableParagraph"/>
              <w:numPr>
                <w:ilvl w:val="0"/>
                <w:numId w:val="53"/>
              </w:numPr>
              <w:tabs>
                <w:tab w:val="left" w:pos="147"/>
              </w:tabs>
              <w:spacing w:line="252" w:lineRule="auto"/>
              <w:ind w:right="48" w:firstLine="0"/>
              <w:rPr>
                <w:color w:val="000000" w:themeColor="text1"/>
                <w:sz w:val="12"/>
              </w:rPr>
            </w:pPr>
            <w:r w:rsidRPr="007841EB">
              <w:rPr>
                <w:color w:val="000000" w:themeColor="text1"/>
                <w:sz w:val="12"/>
              </w:rPr>
              <w:t xml:space="preserve">Under conditions of distraction, the majority (79%) of consumers </w:t>
            </w:r>
            <w:r w:rsidRPr="007841EB">
              <w:rPr>
                <w:color w:val="000000" w:themeColor="text1"/>
                <w:sz w:val="12"/>
              </w:rPr>
              <w:t>are able to</w:t>
            </w:r>
            <w:r w:rsidRPr="007841EB">
              <w:rPr>
                <w:color w:val="000000" w:themeColor="text1"/>
                <w:sz w:val="12"/>
              </w:rPr>
              <w:t xml:space="preserve"> identify the healthiest product (out of four products) with the objective</w:t>
            </w:r>
            <w:r w:rsidRPr="007841EB">
              <w:rPr>
                <w:color w:val="000000" w:themeColor="text1"/>
                <w:spacing w:val="-22"/>
                <w:sz w:val="12"/>
              </w:rPr>
              <w:t xml:space="preserve"> </w:t>
            </w:r>
            <w:r w:rsidRPr="007841EB">
              <w:rPr>
                <w:color w:val="000000" w:themeColor="text1"/>
                <w:sz w:val="12"/>
              </w:rPr>
              <w:t>label.</w:t>
            </w:r>
          </w:p>
          <w:p w:rsidR="00280DF2" w:rsidRPr="007841EB" w:rsidP="009C5286" w14:paraId="31B941F8" w14:textId="77777777">
            <w:pPr>
              <w:pStyle w:val="TableParagraph"/>
              <w:numPr>
                <w:ilvl w:val="0"/>
                <w:numId w:val="53"/>
              </w:numPr>
              <w:tabs>
                <w:tab w:val="left" w:pos="147"/>
              </w:tabs>
              <w:spacing w:line="252" w:lineRule="auto"/>
              <w:ind w:right="235" w:firstLine="0"/>
              <w:rPr>
                <w:color w:val="000000" w:themeColor="text1"/>
                <w:sz w:val="12"/>
              </w:rPr>
            </w:pPr>
            <w:r w:rsidRPr="007841EB">
              <w:rPr>
                <w:color w:val="000000" w:themeColor="text1"/>
                <w:sz w:val="12"/>
              </w:rPr>
              <w:t xml:space="preserve">No difference </w:t>
            </w:r>
            <w:r w:rsidRPr="007841EB">
              <w:rPr>
                <w:color w:val="000000" w:themeColor="text1"/>
                <w:spacing w:val="1"/>
                <w:sz w:val="12"/>
              </w:rPr>
              <w:t xml:space="preserve">in </w:t>
            </w:r>
            <w:r w:rsidRPr="007841EB">
              <w:rPr>
                <w:color w:val="000000" w:themeColor="text1"/>
                <w:sz w:val="12"/>
              </w:rPr>
              <w:t xml:space="preserve">identification under conditions of elaboration </w:t>
            </w:r>
            <w:r w:rsidRPr="007841EB">
              <w:rPr>
                <w:color w:val="000000" w:themeColor="text1"/>
                <w:spacing w:val="-3"/>
                <w:sz w:val="12"/>
              </w:rPr>
              <w:t xml:space="preserve">between </w:t>
            </w:r>
            <w:r w:rsidRPr="007841EB">
              <w:rPr>
                <w:color w:val="000000" w:themeColor="text1"/>
                <w:sz w:val="12"/>
              </w:rPr>
              <w:t>consumers with and without diet-related</w:t>
            </w:r>
            <w:r w:rsidRPr="007841EB">
              <w:rPr>
                <w:color w:val="000000" w:themeColor="text1"/>
                <w:spacing w:val="-2"/>
                <w:sz w:val="12"/>
              </w:rPr>
              <w:t xml:space="preserve"> </w:t>
            </w:r>
            <w:r w:rsidRPr="007841EB">
              <w:rPr>
                <w:color w:val="000000" w:themeColor="text1"/>
                <w:spacing w:val="-3"/>
                <w:sz w:val="12"/>
              </w:rPr>
              <w:t>diseases.</w:t>
            </w:r>
          </w:p>
          <w:p w:rsidR="00280DF2" w:rsidRPr="007841EB" w:rsidP="009C5286" w14:paraId="2B248CC7" w14:textId="77777777">
            <w:pPr>
              <w:pStyle w:val="TableParagraph"/>
              <w:numPr>
                <w:ilvl w:val="0"/>
                <w:numId w:val="53"/>
              </w:numPr>
              <w:tabs>
                <w:tab w:val="left" w:pos="147"/>
              </w:tabs>
              <w:spacing w:line="252" w:lineRule="auto"/>
              <w:ind w:right="141" w:firstLine="0"/>
              <w:rPr>
                <w:color w:val="000000" w:themeColor="text1"/>
                <w:sz w:val="12"/>
              </w:rPr>
            </w:pPr>
            <w:r w:rsidRPr="007841EB">
              <w:rPr>
                <w:color w:val="000000" w:themeColor="text1"/>
                <w:sz w:val="12"/>
              </w:rPr>
              <w:t xml:space="preserve">When consumers elaborate on the importance of nutrition information, a symbol-based (stars) label helps consumers choose a product </w:t>
            </w:r>
            <w:r w:rsidRPr="007841EB">
              <w:rPr>
                <w:color w:val="000000" w:themeColor="text1"/>
                <w:spacing w:val="1"/>
                <w:sz w:val="12"/>
              </w:rPr>
              <w:t xml:space="preserve">in </w:t>
            </w:r>
            <w:r w:rsidRPr="007841EB">
              <w:rPr>
                <w:color w:val="000000" w:themeColor="text1"/>
                <w:sz w:val="12"/>
              </w:rPr>
              <w:t>a comparative setting. When consumers are given the same amount of time to process product information, but are distracted, the subconscious can interpret the complex objective label with less effort, and perceptions of choice difficulty are improved.</w:t>
            </w:r>
          </w:p>
        </w:tc>
      </w:tr>
      <w:tr w14:paraId="07973C26" w14:textId="77777777" w:rsidTr="2F9D3AFB">
        <w:tblPrEx>
          <w:tblW w:w="0" w:type="auto"/>
          <w:tblInd w:w="113" w:type="dxa"/>
          <w:tblLayout w:type="fixed"/>
          <w:tblCellMar>
            <w:left w:w="0" w:type="dxa"/>
            <w:right w:w="0" w:type="dxa"/>
          </w:tblCellMar>
          <w:tblLook w:val="01E0"/>
        </w:tblPrEx>
        <w:trPr>
          <w:trHeight w:val="2449"/>
        </w:trPr>
        <w:tc>
          <w:tcPr>
            <w:tcW w:w="1023" w:type="dxa"/>
          </w:tcPr>
          <w:p w:rsidR="00280DF2" w:rsidRPr="007841EB" w:rsidP="009C5286" w14:paraId="2D6BD1BA" w14:textId="77777777">
            <w:pPr>
              <w:pStyle w:val="TableParagraph"/>
              <w:spacing w:line="252" w:lineRule="auto"/>
              <w:ind w:right="242"/>
              <w:rPr>
                <w:color w:val="000000" w:themeColor="text1"/>
                <w:sz w:val="12"/>
                <w:lang w:val="es-ES"/>
              </w:rPr>
            </w:pPr>
            <w:r w:rsidRPr="007841EB">
              <w:rPr>
                <w:color w:val="000000" w:themeColor="text1"/>
                <w:sz w:val="12"/>
                <w:lang w:val="es-ES"/>
              </w:rPr>
              <w:t>De la Cruz- Gongora, et al.</w:t>
            </w:r>
          </w:p>
        </w:tc>
        <w:tc>
          <w:tcPr>
            <w:tcW w:w="2101" w:type="dxa"/>
          </w:tcPr>
          <w:p w:rsidR="00280DF2" w:rsidRPr="007841EB" w:rsidP="009C5286" w14:paraId="1C598C90" w14:textId="77777777">
            <w:pPr>
              <w:pStyle w:val="TableParagraph"/>
              <w:spacing w:line="252" w:lineRule="auto"/>
              <w:ind w:right="41"/>
              <w:rPr>
                <w:color w:val="000000" w:themeColor="text1"/>
                <w:sz w:val="12"/>
              </w:rPr>
            </w:pPr>
            <w:r w:rsidRPr="007841EB">
              <w:rPr>
                <w:color w:val="000000" w:themeColor="text1"/>
                <w:sz w:val="12"/>
              </w:rPr>
              <w:t>Understanding and acceptability by Hispanic consumers of four front-of-pack food labels</w:t>
            </w:r>
          </w:p>
        </w:tc>
        <w:tc>
          <w:tcPr>
            <w:tcW w:w="330" w:type="dxa"/>
          </w:tcPr>
          <w:p w:rsidR="00280DF2" w:rsidRPr="00E33286" w:rsidP="009C5286" w14:paraId="3272286F" w14:textId="77777777">
            <w:pPr>
              <w:pStyle w:val="TableParagraph"/>
              <w:spacing w:line="140" w:lineRule="exact"/>
              <w:rPr>
                <w:color w:val="AF3A3C"/>
                <w:sz w:val="12"/>
              </w:rPr>
            </w:pPr>
            <w:r w:rsidRPr="00E33286">
              <w:rPr>
                <w:color w:val="AF3A3C"/>
                <w:sz w:val="12"/>
              </w:rPr>
              <w:t>2017</w:t>
            </w:r>
          </w:p>
        </w:tc>
        <w:tc>
          <w:tcPr>
            <w:tcW w:w="3553" w:type="dxa"/>
          </w:tcPr>
          <w:p w:rsidR="00280DF2" w:rsidRPr="007841EB" w:rsidP="009C5286" w14:paraId="60860609" w14:textId="77777777">
            <w:pPr>
              <w:pStyle w:val="TableParagraph"/>
              <w:spacing w:line="140" w:lineRule="exact"/>
              <w:rPr>
                <w:color w:val="000000" w:themeColor="text1"/>
                <w:sz w:val="12"/>
              </w:rPr>
            </w:pPr>
            <w:r w:rsidRPr="007841EB">
              <w:rPr>
                <w:color w:val="000000" w:themeColor="text1"/>
                <w:sz w:val="12"/>
              </w:rPr>
              <w:t>Qualitative.</w:t>
            </w:r>
          </w:p>
          <w:p w:rsidR="00280DF2" w:rsidRPr="007841EB" w:rsidP="009C5286" w14:paraId="10A26DB3" w14:textId="77777777">
            <w:pPr>
              <w:pStyle w:val="TableParagraph"/>
              <w:numPr>
                <w:ilvl w:val="0"/>
                <w:numId w:val="52"/>
              </w:numPr>
              <w:tabs>
                <w:tab w:val="left" w:pos="147"/>
              </w:tabs>
              <w:spacing w:before="7" w:line="252" w:lineRule="auto"/>
              <w:ind w:right="579" w:firstLine="0"/>
              <w:rPr>
                <w:color w:val="000000" w:themeColor="text1"/>
                <w:sz w:val="12"/>
              </w:rPr>
            </w:pPr>
            <w:r w:rsidRPr="007841EB">
              <w:rPr>
                <w:color w:val="000000" w:themeColor="text1"/>
                <w:sz w:val="12"/>
              </w:rPr>
              <w:t>Trained interviewers performed 18 focus groups with the participants</w:t>
            </w:r>
          </w:p>
          <w:p w:rsidR="00280DF2" w:rsidRPr="007841EB" w:rsidP="009C5286" w14:paraId="42572B1E" w14:textId="557F2132">
            <w:pPr>
              <w:pStyle w:val="TableParagraph"/>
              <w:numPr>
                <w:ilvl w:val="0"/>
                <w:numId w:val="52"/>
              </w:numPr>
              <w:tabs>
                <w:tab w:val="left" w:pos="125"/>
              </w:tabs>
              <w:spacing w:before="1" w:line="252" w:lineRule="auto"/>
              <w:ind w:right="26" w:firstLine="0"/>
              <w:rPr>
                <w:color w:val="000000" w:themeColor="text1"/>
                <w:sz w:val="12"/>
              </w:rPr>
            </w:pPr>
            <w:r w:rsidRPr="007841EB">
              <w:rPr>
                <w:color w:val="000000" w:themeColor="text1"/>
                <w:sz w:val="12"/>
              </w:rPr>
              <w:t xml:space="preserve">Participants were </w:t>
            </w:r>
            <w:r w:rsidRPr="007841EB">
              <w:rPr>
                <w:color w:val="000000" w:themeColor="text1"/>
                <w:spacing w:val="-3"/>
                <w:sz w:val="12"/>
              </w:rPr>
              <w:t xml:space="preserve">asked </w:t>
            </w:r>
            <w:r w:rsidRPr="007841EB">
              <w:rPr>
                <w:color w:val="000000" w:themeColor="text1"/>
                <w:sz w:val="12"/>
              </w:rPr>
              <w:t xml:space="preserve">about their subjective understanding and acceptability of the </w:t>
            </w:r>
            <w:r w:rsidRPr="007841EB" w:rsidR="004B6E26">
              <w:rPr>
                <w:color w:val="000000" w:themeColor="text1"/>
                <w:sz w:val="12"/>
              </w:rPr>
              <w:t>FOP</w:t>
            </w:r>
            <w:r w:rsidRPr="007841EB">
              <w:rPr>
                <w:color w:val="000000" w:themeColor="text1"/>
                <w:sz w:val="12"/>
              </w:rPr>
              <w:t xml:space="preserve">, displaying 16 generic </w:t>
            </w:r>
            <w:r w:rsidRPr="007841EB">
              <w:rPr>
                <w:color w:val="000000" w:themeColor="text1"/>
                <w:spacing w:val="-3"/>
                <w:sz w:val="12"/>
              </w:rPr>
              <w:t xml:space="preserve">breakfast cereal </w:t>
            </w:r>
            <w:r w:rsidRPr="007841EB">
              <w:rPr>
                <w:color w:val="000000" w:themeColor="text1"/>
                <w:sz w:val="12"/>
              </w:rPr>
              <w:t xml:space="preserve">boxes designed for this study (four for each </w:t>
            </w:r>
            <w:r w:rsidRPr="007841EB" w:rsidR="004B6E26">
              <w:rPr>
                <w:color w:val="000000" w:themeColor="text1"/>
                <w:sz w:val="12"/>
              </w:rPr>
              <w:t>FOP</w:t>
            </w:r>
            <w:r w:rsidRPr="007841EB">
              <w:rPr>
                <w:color w:val="000000" w:themeColor="text1"/>
                <w:sz w:val="12"/>
              </w:rPr>
              <w:t xml:space="preserve">), varying </w:t>
            </w:r>
            <w:r w:rsidRPr="007841EB">
              <w:rPr>
                <w:color w:val="000000" w:themeColor="text1"/>
                <w:spacing w:val="1"/>
                <w:sz w:val="12"/>
              </w:rPr>
              <w:t xml:space="preserve">in </w:t>
            </w:r>
            <w:r w:rsidRPr="007841EB">
              <w:rPr>
                <w:color w:val="000000" w:themeColor="text1"/>
                <w:sz w:val="12"/>
              </w:rPr>
              <w:t xml:space="preserve">their nutritional value. Afterwards, participants were </w:t>
            </w:r>
            <w:r w:rsidRPr="007841EB">
              <w:rPr>
                <w:color w:val="000000" w:themeColor="text1"/>
                <w:spacing w:val="-3"/>
                <w:sz w:val="12"/>
              </w:rPr>
              <w:t xml:space="preserve">asked </w:t>
            </w:r>
            <w:r w:rsidRPr="007841EB">
              <w:rPr>
                <w:color w:val="000000" w:themeColor="text1"/>
                <w:sz w:val="12"/>
              </w:rPr>
              <w:t xml:space="preserve">to choose among the four </w:t>
            </w:r>
            <w:r w:rsidRPr="007841EB">
              <w:rPr>
                <w:color w:val="000000" w:themeColor="text1"/>
                <w:spacing w:val="-3"/>
                <w:sz w:val="12"/>
              </w:rPr>
              <w:t xml:space="preserve">cereal </w:t>
            </w:r>
            <w:r w:rsidRPr="007841EB">
              <w:rPr>
                <w:color w:val="000000" w:themeColor="text1"/>
                <w:sz w:val="12"/>
              </w:rPr>
              <w:t xml:space="preserve">boxes the one to </w:t>
            </w:r>
            <w:r w:rsidRPr="007841EB">
              <w:rPr>
                <w:color w:val="000000" w:themeColor="text1"/>
                <w:spacing w:val="-3"/>
                <w:sz w:val="12"/>
              </w:rPr>
              <w:t xml:space="preserve">best </w:t>
            </w:r>
            <w:r w:rsidRPr="007841EB">
              <w:rPr>
                <w:color w:val="000000" w:themeColor="text1"/>
                <w:sz w:val="12"/>
              </w:rPr>
              <w:t xml:space="preserve">communicate the product healthiness and their reasons for choice, proposals for improving the </w:t>
            </w:r>
            <w:r w:rsidRPr="007841EB" w:rsidR="004B6E26">
              <w:rPr>
                <w:color w:val="000000" w:themeColor="text1"/>
                <w:sz w:val="12"/>
              </w:rPr>
              <w:t>FOP</w:t>
            </w:r>
            <w:r w:rsidRPr="007841EB">
              <w:rPr>
                <w:color w:val="000000" w:themeColor="text1"/>
                <w:sz w:val="12"/>
              </w:rPr>
              <w:t>, and desirable</w:t>
            </w:r>
            <w:r w:rsidRPr="007841EB">
              <w:rPr>
                <w:color w:val="000000" w:themeColor="text1"/>
                <w:spacing w:val="-11"/>
                <w:sz w:val="12"/>
              </w:rPr>
              <w:t xml:space="preserve"> </w:t>
            </w:r>
            <w:r w:rsidRPr="007841EB">
              <w:rPr>
                <w:color w:val="000000" w:themeColor="text1"/>
                <w:sz w:val="12"/>
              </w:rPr>
              <w:t>characteristics</w:t>
            </w:r>
            <w:r w:rsidRPr="007841EB">
              <w:rPr>
                <w:color w:val="000000" w:themeColor="text1"/>
                <w:spacing w:val="-9"/>
                <w:sz w:val="12"/>
              </w:rPr>
              <w:t xml:space="preserve"> </w:t>
            </w:r>
            <w:r w:rsidRPr="007841EB">
              <w:rPr>
                <w:color w:val="000000" w:themeColor="text1"/>
                <w:sz w:val="12"/>
              </w:rPr>
              <w:t>for</w:t>
            </w:r>
            <w:r w:rsidRPr="007841EB">
              <w:rPr>
                <w:color w:val="000000" w:themeColor="text1"/>
                <w:spacing w:val="-4"/>
                <w:sz w:val="12"/>
              </w:rPr>
              <w:t xml:space="preserve"> </w:t>
            </w:r>
            <w:r w:rsidRPr="007841EB">
              <w:rPr>
                <w:color w:val="000000" w:themeColor="text1"/>
                <w:sz w:val="12"/>
              </w:rPr>
              <w:t>new</w:t>
            </w:r>
            <w:r w:rsidRPr="007841EB">
              <w:rPr>
                <w:color w:val="000000" w:themeColor="text1"/>
                <w:spacing w:val="-4"/>
                <w:sz w:val="12"/>
              </w:rPr>
              <w:t xml:space="preserve"> </w:t>
            </w:r>
            <w:r w:rsidRPr="007841EB" w:rsidR="004B6E26">
              <w:rPr>
                <w:color w:val="000000" w:themeColor="text1"/>
                <w:sz w:val="12"/>
              </w:rPr>
              <w:t>FOP</w:t>
            </w:r>
            <w:r w:rsidRPr="007841EB">
              <w:rPr>
                <w:color w:val="000000" w:themeColor="text1"/>
                <w:sz w:val="12"/>
              </w:rPr>
              <w:t>.</w:t>
            </w:r>
          </w:p>
          <w:p w:rsidR="00280DF2" w:rsidRPr="007841EB" w:rsidP="009C5286" w14:paraId="251DF57E" w14:textId="77777777">
            <w:pPr>
              <w:pStyle w:val="TableParagraph"/>
              <w:numPr>
                <w:ilvl w:val="0"/>
                <w:numId w:val="52"/>
              </w:numPr>
              <w:tabs>
                <w:tab w:val="left" w:pos="125"/>
              </w:tabs>
              <w:spacing w:before="1" w:line="252" w:lineRule="auto"/>
              <w:ind w:right="55" w:firstLine="0"/>
              <w:rPr>
                <w:color w:val="000000" w:themeColor="text1"/>
                <w:sz w:val="12"/>
              </w:rPr>
            </w:pPr>
            <w:r w:rsidRPr="007841EB">
              <w:rPr>
                <w:color w:val="000000" w:themeColor="text1"/>
                <w:sz w:val="12"/>
              </w:rPr>
              <w:t>Finally, a socio-demographic questionnaire was applied. Thematic analysis of the transcriptions of the focus groups was performed, using Altlas.tiV5</w:t>
            </w:r>
            <w:r w:rsidRPr="007841EB">
              <w:rPr>
                <w:color w:val="000000" w:themeColor="text1"/>
                <w:spacing w:val="-1"/>
                <w:sz w:val="12"/>
              </w:rPr>
              <w:t xml:space="preserve"> </w:t>
            </w:r>
            <w:r w:rsidRPr="007841EB">
              <w:rPr>
                <w:color w:val="000000" w:themeColor="text1"/>
                <w:sz w:val="12"/>
              </w:rPr>
              <w:t>software.</w:t>
            </w:r>
          </w:p>
          <w:p w:rsidR="00280DF2" w:rsidRPr="007841EB" w:rsidP="009C5286" w14:paraId="095FA337" w14:textId="77777777">
            <w:pPr>
              <w:pStyle w:val="TableParagraph"/>
              <w:spacing w:before="1"/>
              <w:rPr>
                <w:color w:val="000000" w:themeColor="text1"/>
                <w:sz w:val="12"/>
              </w:rPr>
            </w:pPr>
            <w:r w:rsidRPr="007841EB">
              <w:rPr>
                <w:color w:val="000000" w:themeColor="text1"/>
                <w:sz w:val="12"/>
              </w:rPr>
              <w:t>n=135 parents of 5th grade students</w:t>
            </w:r>
          </w:p>
        </w:tc>
        <w:tc>
          <w:tcPr>
            <w:tcW w:w="1199" w:type="dxa"/>
          </w:tcPr>
          <w:p w:rsidR="00280DF2" w:rsidRPr="007841EB" w:rsidP="009C5286" w14:paraId="3505308D" w14:textId="77777777">
            <w:pPr>
              <w:pStyle w:val="TableParagraph"/>
              <w:numPr>
                <w:ilvl w:val="0"/>
                <w:numId w:val="51"/>
              </w:numPr>
              <w:tabs>
                <w:tab w:val="left" w:pos="147"/>
              </w:tabs>
              <w:spacing w:line="140" w:lineRule="exact"/>
              <w:ind w:firstLine="0"/>
              <w:rPr>
                <w:color w:val="000000" w:themeColor="text1"/>
                <w:sz w:val="12"/>
              </w:rPr>
            </w:pPr>
            <w:r w:rsidRPr="007841EB">
              <w:rPr>
                <w:color w:val="000000" w:themeColor="text1"/>
                <w:sz w:val="12"/>
              </w:rPr>
              <w:t>Logos,</w:t>
            </w:r>
          </w:p>
          <w:p w:rsidR="00280DF2" w:rsidRPr="007841EB" w:rsidP="009C5286" w14:paraId="23245436" w14:textId="77777777">
            <w:pPr>
              <w:pStyle w:val="TableParagraph"/>
              <w:numPr>
                <w:ilvl w:val="0"/>
                <w:numId w:val="51"/>
              </w:numPr>
              <w:tabs>
                <w:tab w:val="left" w:pos="147"/>
              </w:tabs>
              <w:spacing w:before="7"/>
              <w:ind w:firstLine="0"/>
              <w:rPr>
                <w:color w:val="000000" w:themeColor="text1"/>
                <w:sz w:val="12"/>
              </w:rPr>
            </w:pPr>
            <w:r w:rsidRPr="007841EB">
              <w:rPr>
                <w:color w:val="000000" w:themeColor="text1"/>
                <w:sz w:val="12"/>
              </w:rPr>
              <w:t>Rating</w:t>
            </w:r>
            <w:r w:rsidRPr="007841EB">
              <w:rPr>
                <w:color w:val="000000" w:themeColor="text1"/>
                <w:spacing w:val="-8"/>
                <w:sz w:val="12"/>
              </w:rPr>
              <w:t xml:space="preserve"> </w:t>
            </w:r>
            <w:r w:rsidRPr="007841EB">
              <w:rPr>
                <w:color w:val="000000" w:themeColor="text1"/>
                <w:sz w:val="12"/>
              </w:rPr>
              <w:t>Stars,</w:t>
            </w:r>
          </w:p>
          <w:p w:rsidR="00280DF2" w:rsidRPr="007841EB" w:rsidP="009C5286" w14:paraId="43BF5DEE" w14:textId="77777777">
            <w:pPr>
              <w:pStyle w:val="TableParagraph"/>
              <w:numPr>
                <w:ilvl w:val="0"/>
                <w:numId w:val="51"/>
              </w:numPr>
              <w:tabs>
                <w:tab w:val="left" w:pos="147"/>
              </w:tabs>
              <w:spacing w:before="8" w:line="252" w:lineRule="auto"/>
              <w:ind w:right="206" w:firstLine="0"/>
              <w:rPr>
                <w:color w:val="000000" w:themeColor="text1"/>
                <w:sz w:val="12"/>
              </w:rPr>
            </w:pPr>
            <w:r w:rsidRPr="007841EB">
              <w:rPr>
                <w:color w:val="000000" w:themeColor="text1"/>
                <w:sz w:val="12"/>
              </w:rPr>
              <w:t>Guideline Daily Allowances</w:t>
            </w:r>
            <w:r w:rsidRPr="007841EB">
              <w:rPr>
                <w:color w:val="000000" w:themeColor="text1"/>
                <w:spacing w:val="-8"/>
                <w:sz w:val="12"/>
              </w:rPr>
              <w:t xml:space="preserve"> </w:t>
            </w:r>
            <w:r w:rsidRPr="007841EB">
              <w:rPr>
                <w:color w:val="000000" w:themeColor="text1"/>
                <w:sz w:val="12"/>
              </w:rPr>
              <w:t>(GDA’s)</w:t>
            </w:r>
          </w:p>
          <w:p w:rsidR="00280DF2" w:rsidRPr="007841EB" w:rsidP="009C5286" w14:paraId="1F8343C9" w14:textId="77777777">
            <w:pPr>
              <w:pStyle w:val="TableParagraph"/>
              <w:numPr>
                <w:ilvl w:val="0"/>
                <w:numId w:val="51"/>
              </w:numPr>
              <w:tabs>
                <w:tab w:val="left" w:pos="147"/>
              </w:tabs>
              <w:spacing w:line="252" w:lineRule="auto"/>
              <w:ind w:right="280" w:firstLine="0"/>
              <w:rPr>
                <w:color w:val="000000" w:themeColor="text1"/>
                <w:sz w:val="12"/>
              </w:rPr>
            </w:pPr>
            <w:r w:rsidRPr="007841EB">
              <w:rPr>
                <w:color w:val="000000" w:themeColor="text1"/>
                <w:sz w:val="12"/>
              </w:rPr>
              <w:t>Multiple Traffic Lights</w:t>
            </w:r>
            <w:r w:rsidRPr="007841EB">
              <w:rPr>
                <w:color w:val="000000" w:themeColor="text1"/>
                <w:spacing w:val="-9"/>
                <w:sz w:val="12"/>
              </w:rPr>
              <w:t xml:space="preserve"> </w:t>
            </w:r>
            <w:r w:rsidRPr="007841EB">
              <w:rPr>
                <w:color w:val="000000" w:themeColor="text1"/>
                <w:sz w:val="12"/>
              </w:rPr>
              <w:t>(MTL)</w:t>
            </w:r>
          </w:p>
        </w:tc>
        <w:tc>
          <w:tcPr>
            <w:tcW w:w="1199" w:type="dxa"/>
          </w:tcPr>
          <w:p w:rsidR="00280DF2" w:rsidRPr="007841EB" w:rsidP="009C5286" w14:paraId="09CC4513" w14:textId="77777777">
            <w:pPr>
              <w:pStyle w:val="TableParagraph"/>
              <w:spacing w:before="3"/>
              <w:ind w:left="0"/>
              <w:rPr>
                <w:rFonts w:ascii="Times New Roman"/>
                <w:color w:val="000000" w:themeColor="text1"/>
                <w:sz w:val="4"/>
              </w:rPr>
            </w:pPr>
          </w:p>
          <w:p w:rsidR="00280DF2" w:rsidRPr="007841EB" w:rsidP="009C5286" w14:paraId="7C828F37" w14:textId="77777777">
            <w:pPr>
              <w:pStyle w:val="TableParagraph"/>
              <w:ind w:left="44" w:right="-47"/>
              <w:rPr>
                <w:rFonts w:ascii="Times New Roman"/>
                <w:color w:val="000000" w:themeColor="text1"/>
                <w:sz w:val="20"/>
              </w:rPr>
            </w:pPr>
            <w:r w:rsidRPr="007841EB">
              <w:rPr>
                <w:noProof/>
                <w:color w:val="000000" w:themeColor="text1"/>
              </w:rPr>
              <w:drawing>
                <wp:inline distT="0" distB="0" distL="0" distR="0">
                  <wp:extent cx="727990" cy="18002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727990" cy="180022"/>
                          </a:xfrm>
                          <a:prstGeom prst="rect">
                            <a:avLst/>
                          </a:prstGeom>
                        </pic:spPr>
                      </pic:pic>
                    </a:graphicData>
                  </a:graphic>
                </wp:inline>
              </w:drawing>
            </w:r>
          </w:p>
          <w:p w:rsidR="00280DF2" w:rsidRPr="007841EB" w:rsidP="009C5286" w14:paraId="37BD1C5B" w14:textId="77777777">
            <w:pPr>
              <w:pStyle w:val="TableParagraph"/>
              <w:spacing w:before="9"/>
              <w:ind w:left="0"/>
              <w:rPr>
                <w:rFonts w:ascii="Times New Roman"/>
                <w:color w:val="000000" w:themeColor="text1"/>
                <w:sz w:val="8"/>
              </w:rPr>
            </w:pPr>
          </w:p>
          <w:p w:rsidR="00280DF2" w:rsidRPr="007841EB" w:rsidP="009C5286" w14:paraId="6CF58DC5" w14:textId="77777777">
            <w:pPr>
              <w:pStyle w:val="TableParagraph"/>
              <w:ind w:left="61"/>
              <w:rPr>
                <w:rFonts w:ascii="Times New Roman"/>
                <w:color w:val="000000" w:themeColor="text1"/>
                <w:sz w:val="20"/>
              </w:rPr>
            </w:pPr>
            <w:r w:rsidRPr="007841EB">
              <w:rPr>
                <w:noProof/>
                <w:color w:val="000000" w:themeColor="text1"/>
              </w:rPr>
              <w:drawing>
                <wp:inline distT="0" distB="0" distL="0" distR="0">
                  <wp:extent cx="332985" cy="43614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pn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32985" cy="436149"/>
                          </a:xfrm>
                          <a:prstGeom prst="rect">
                            <a:avLst/>
                          </a:prstGeom>
                        </pic:spPr>
                      </pic:pic>
                    </a:graphicData>
                  </a:graphic>
                </wp:inline>
              </w:drawing>
            </w:r>
          </w:p>
          <w:p w:rsidR="00280DF2" w:rsidRPr="007841EB" w:rsidP="009C5286" w14:paraId="234CC00B" w14:textId="77777777">
            <w:pPr>
              <w:pStyle w:val="TableParagraph"/>
              <w:spacing w:before="9"/>
              <w:ind w:left="0"/>
              <w:rPr>
                <w:rFonts w:ascii="Times New Roman"/>
                <w:color w:val="000000" w:themeColor="text1"/>
                <w:sz w:val="10"/>
              </w:rPr>
            </w:pPr>
          </w:p>
          <w:p w:rsidR="00280DF2" w:rsidRPr="007841EB" w:rsidP="009C5286" w14:paraId="52703B0A" w14:textId="77777777">
            <w:pPr>
              <w:pStyle w:val="TableParagraph"/>
              <w:ind w:left="88"/>
              <w:rPr>
                <w:rFonts w:ascii="Times New Roman"/>
                <w:color w:val="000000" w:themeColor="text1"/>
                <w:sz w:val="20"/>
              </w:rPr>
            </w:pPr>
            <w:r w:rsidRPr="007841EB">
              <w:rPr>
                <w:noProof/>
                <w:color w:val="000000" w:themeColor="text1"/>
              </w:rPr>
              <w:drawing>
                <wp:inline distT="0" distB="0" distL="0" distR="0">
                  <wp:extent cx="562241" cy="3413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62241" cy="341375"/>
                          </a:xfrm>
                          <a:prstGeom prst="rect">
                            <a:avLst/>
                          </a:prstGeom>
                        </pic:spPr>
                      </pic:pic>
                    </a:graphicData>
                  </a:graphic>
                </wp:inline>
              </w:drawing>
            </w:r>
          </w:p>
          <w:p w:rsidR="00280DF2" w:rsidRPr="007841EB" w:rsidP="009C5286" w14:paraId="3695CEB1" w14:textId="77777777">
            <w:pPr>
              <w:pStyle w:val="TableParagraph"/>
              <w:spacing w:before="4"/>
              <w:ind w:left="0"/>
              <w:rPr>
                <w:rFonts w:ascii="Times New Roman"/>
                <w:color w:val="000000" w:themeColor="text1"/>
                <w:sz w:val="12"/>
              </w:rPr>
            </w:pPr>
          </w:p>
          <w:p w:rsidR="00280DF2" w:rsidRPr="007841EB" w:rsidP="009C5286" w14:paraId="2C2730E5" w14:textId="77777777">
            <w:pPr>
              <w:pStyle w:val="TableParagraph"/>
              <w:ind w:left="35" w:right="-39"/>
              <w:rPr>
                <w:rFonts w:ascii="Times New Roman"/>
                <w:color w:val="000000" w:themeColor="text1"/>
                <w:sz w:val="20"/>
              </w:rPr>
            </w:pPr>
            <w:r w:rsidRPr="007841EB">
              <w:rPr>
                <w:noProof/>
                <w:color w:val="000000" w:themeColor="text1"/>
              </w:rPr>
              <w:drawing>
                <wp:inline distT="0" distB="0" distL="0" distR="0">
                  <wp:extent cx="728186" cy="25603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28186" cy="256031"/>
                          </a:xfrm>
                          <a:prstGeom prst="rect">
                            <a:avLst/>
                          </a:prstGeom>
                        </pic:spPr>
                      </pic:pic>
                    </a:graphicData>
                  </a:graphic>
                </wp:inline>
              </w:drawing>
            </w:r>
          </w:p>
        </w:tc>
        <w:tc>
          <w:tcPr>
            <w:tcW w:w="550" w:type="dxa"/>
          </w:tcPr>
          <w:p w:rsidR="00280DF2" w:rsidRPr="007841EB" w:rsidP="009C5286" w14:paraId="768B9DCD" w14:textId="77777777">
            <w:pPr>
              <w:pStyle w:val="TableParagraph"/>
              <w:spacing w:line="140" w:lineRule="exact"/>
              <w:rPr>
                <w:color w:val="000000" w:themeColor="text1"/>
                <w:sz w:val="12"/>
              </w:rPr>
            </w:pPr>
            <w:r w:rsidRPr="007841EB">
              <w:rPr>
                <w:color w:val="000000" w:themeColor="text1"/>
                <w:sz w:val="12"/>
              </w:rPr>
              <w:t>Mexico</w:t>
            </w:r>
          </w:p>
        </w:tc>
        <w:tc>
          <w:tcPr>
            <w:tcW w:w="3487" w:type="dxa"/>
          </w:tcPr>
          <w:p w:rsidR="00280DF2" w:rsidRPr="007841EB" w:rsidP="009C5286" w14:paraId="6531AECB" w14:textId="77777777">
            <w:pPr>
              <w:pStyle w:val="TableParagraph"/>
              <w:numPr>
                <w:ilvl w:val="0"/>
                <w:numId w:val="50"/>
              </w:numPr>
              <w:tabs>
                <w:tab w:val="left" w:pos="147"/>
              </w:tabs>
              <w:spacing w:line="252" w:lineRule="auto"/>
              <w:ind w:right="26" w:firstLine="0"/>
              <w:rPr>
                <w:color w:val="000000" w:themeColor="text1"/>
                <w:sz w:val="12"/>
              </w:rPr>
            </w:pPr>
            <w:r w:rsidRPr="007841EB">
              <w:rPr>
                <w:color w:val="000000" w:themeColor="text1"/>
                <w:sz w:val="12"/>
              </w:rPr>
              <w:t xml:space="preserve">Logos were perceived as </w:t>
            </w:r>
            <w:r w:rsidRPr="007841EB">
              <w:rPr>
                <w:color w:val="000000" w:themeColor="text1"/>
                <w:spacing w:val="-4"/>
                <w:sz w:val="12"/>
              </w:rPr>
              <w:t xml:space="preserve">easy </w:t>
            </w:r>
            <w:r w:rsidRPr="007841EB">
              <w:rPr>
                <w:color w:val="000000" w:themeColor="text1"/>
                <w:sz w:val="12"/>
              </w:rPr>
              <w:t>to understand, highly acceptable, and useful for</w:t>
            </w:r>
            <w:r w:rsidRPr="007841EB">
              <w:rPr>
                <w:color w:val="000000" w:themeColor="text1"/>
                <w:spacing w:val="-4"/>
                <w:sz w:val="12"/>
              </w:rPr>
              <w:t xml:space="preserve"> </w:t>
            </w:r>
            <w:r w:rsidRPr="007841EB">
              <w:rPr>
                <w:color w:val="000000" w:themeColor="text1"/>
                <w:sz w:val="12"/>
              </w:rPr>
              <w:t>decision-making</w:t>
            </w:r>
          </w:p>
          <w:p w:rsidR="00280DF2" w:rsidRPr="007841EB" w:rsidP="009C5286" w14:paraId="3E0B7C2F" w14:textId="77777777">
            <w:pPr>
              <w:pStyle w:val="TableParagraph"/>
              <w:numPr>
                <w:ilvl w:val="0"/>
                <w:numId w:val="50"/>
              </w:numPr>
              <w:tabs>
                <w:tab w:val="left" w:pos="147"/>
              </w:tabs>
              <w:spacing w:line="252" w:lineRule="auto"/>
              <w:ind w:right="498" w:firstLine="0"/>
              <w:rPr>
                <w:color w:val="000000" w:themeColor="text1"/>
                <w:sz w:val="12"/>
              </w:rPr>
            </w:pPr>
            <w:r w:rsidRPr="007841EB">
              <w:rPr>
                <w:color w:val="000000" w:themeColor="text1"/>
                <w:sz w:val="12"/>
              </w:rPr>
              <w:t xml:space="preserve">institutional endorsement of Logos was related to </w:t>
            </w:r>
            <w:r w:rsidRPr="007841EB">
              <w:rPr>
                <w:color w:val="000000" w:themeColor="text1"/>
                <w:spacing w:val="-3"/>
                <w:sz w:val="12"/>
              </w:rPr>
              <w:t xml:space="preserve">greater </w:t>
            </w:r>
            <w:r w:rsidRPr="007841EB">
              <w:rPr>
                <w:color w:val="000000" w:themeColor="text1"/>
                <w:sz w:val="12"/>
              </w:rPr>
              <w:t>confidence</w:t>
            </w:r>
            <w:r w:rsidRPr="007841EB">
              <w:rPr>
                <w:color w:val="000000" w:themeColor="text1"/>
                <w:spacing w:val="-11"/>
                <w:sz w:val="12"/>
              </w:rPr>
              <w:t xml:space="preserve"> </w:t>
            </w:r>
            <w:r w:rsidRPr="007841EB">
              <w:rPr>
                <w:color w:val="000000" w:themeColor="text1"/>
                <w:spacing w:val="1"/>
                <w:sz w:val="12"/>
              </w:rPr>
              <w:t>in</w:t>
            </w:r>
            <w:r w:rsidRPr="007841EB">
              <w:rPr>
                <w:color w:val="000000" w:themeColor="text1"/>
                <w:spacing w:val="-3"/>
                <w:sz w:val="12"/>
              </w:rPr>
              <w:t xml:space="preserve"> </w:t>
            </w:r>
            <w:r w:rsidRPr="007841EB">
              <w:rPr>
                <w:color w:val="000000" w:themeColor="text1"/>
                <w:sz w:val="12"/>
              </w:rPr>
              <w:t>the</w:t>
            </w:r>
            <w:r w:rsidRPr="007841EB">
              <w:rPr>
                <w:color w:val="000000" w:themeColor="text1"/>
                <w:spacing w:val="-11"/>
                <w:sz w:val="12"/>
              </w:rPr>
              <w:t xml:space="preserve"> </w:t>
            </w:r>
            <w:r w:rsidRPr="007841EB">
              <w:rPr>
                <w:color w:val="000000" w:themeColor="text1"/>
                <w:sz w:val="12"/>
              </w:rPr>
              <w:t>label</w:t>
            </w:r>
          </w:p>
          <w:p w:rsidR="00280DF2" w:rsidRPr="007841EB" w:rsidP="009C5286" w14:paraId="59A7FA21" w14:textId="77777777">
            <w:pPr>
              <w:pStyle w:val="TableParagraph"/>
              <w:numPr>
                <w:ilvl w:val="0"/>
                <w:numId w:val="50"/>
              </w:numPr>
              <w:tabs>
                <w:tab w:val="left" w:pos="147"/>
              </w:tabs>
              <w:ind w:firstLine="0"/>
              <w:rPr>
                <w:color w:val="000000" w:themeColor="text1"/>
                <w:sz w:val="12"/>
              </w:rPr>
            </w:pPr>
            <w:r w:rsidRPr="007841EB">
              <w:rPr>
                <w:color w:val="000000" w:themeColor="text1"/>
                <w:sz w:val="12"/>
              </w:rPr>
              <w:t>GDA’s</w:t>
            </w:r>
            <w:r w:rsidRPr="007841EB">
              <w:rPr>
                <w:color w:val="000000" w:themeColor="text1"/>
                <w:spacing w:val="-9"/>
                <w:sz w:val="12"/>
              </w:rPr>
              <w:t xml:space="preserve"> </w:t>
            </w:r>
            <w:r w:rsidRPr="007841EB">
              <w:rPr>
                <w:color w:val="000000" w:themeColor="text1"/>
                <w:sz w:val="12"/>
              </w:rPr>
              <w:t>were</w:t>
            </w:r>
            <w:r w:rsidRPr="007841EB">
              <w:rPr>
                <w:color w:val="000000" w:themeColor="text1"/>
                <w:spacing w:val="-11"/>
                <w:sz w:val="12"/>
              </w:rPr>
              <w:t xml:space="preserve"> </w:t>
            </w:r>
            <w:r w:rsidRPr="007841EB">
              <w:rPr>
                <w:color w:val="000000" w:themeColor="text1"/>
                <w:sz w:val="12"/>
              </w:rPr>
              <w:t>hard</w:t>
            </w:r>
            <w:r w:rsidRPr="007841EB">
              <w:rPr>
                <w:color w:val="000000" w:themeColor="text1"/>
                <w:spacing w:val="-3"/>
                <w:sz w:val="12"/>
              </w:rPr>
              <w:t xml:space="preserve"> </w:t>
            </w:r>
            <w:r w:rsidRPr="007841EB">
              <w:rPr>
                <w:color w:val="000000" w:themeColor="text1"/>
                <w:sz w:val="12"/>
              </w:rPr>
              <w:t>to</w:t>
            </w:r>
            <w:r w:rsidRPr="007841EB">
              <w:rPr>
                <w:color w:val="000000" w:themeColor="text1"/>
                <w:spacing w:val="-3"/>
                <w:sz w:val="12"/>
              </w:rPr>
              <w:t xml:space="preserve"> </w:t>
            </w:r>
            <w:r w:rsidRPr="007841EB">
              <w:rPr>
                <w:color w:val="000000" w:themeColor="text1"/>
                <w:sz w:val="12"/>
              </w:rPr>
              <w:t>understand</w:t>
            </w:r>
            <w:r w:rsidRPr="007841EB">
              <w:rPr>
                <w:color w:val="000000" w:themeColor="text1"/>
                <w:spacing w:val="-3"/>
                <w:sz w:val="12"/>
              </w:rPr>
              <w:t xml:space="preserve"> </w:t>
            </w:r>
            <w:r w:rsidRPr="007841EB">
              <w:rPr>
                <w:color w:val="000000" w:themeColor="text1"/>
                <w:sz w:val="12"/>
              </w:rPr>
              <w:t>considering</w:t>
            </w:r>
          </w:p>
          <w:p w:rsidR="00280DF2" w:rsidRPr="007841EB" w:rsidP="009C5286" w14:paraId="1C33A2C6" w14:textId="77777777">
            <w:pPr>
              <w:pStyle w:val="TableParagraph"/>
              <w:spacing w:before="2"/>
              <w:rPr>
                <w:color w:val="000000" w:themeColor="text1"/>
                <w:sz w:val="12"/>
              </w:rPr>
            </w:pPr>
            <w:r w:rsidRPr="007841EB">
              <w:rPr>
                <w:color w:val="000000" w:themeColor="text1"/>
                <w:sz w:val="12"/>
              </w:rPr>
              <w:t>the nutritional knowledge and time needed for interpretation</w:t>
            </w:r>
          </w:p>
          <w:p w:rsidR="00280DF2" w:rsidRPr="007841EB" w:rsidP="009C5286" w14:paraId="03F85728" w14:textId="77777777">
            <w:pPr>
              <w:pStyle w:val="TableParagraph"/>
              <w:numPr>
                <w:ilvl w:val="0"/>
                <w:numId w:val="50"/>
              </w:numPr>
              <w:tabs>
                <w:tab w:val="left" w:pos="147"/>
              </w:tabs>
              <w:spacing w:before="7" w:line="252" w:lineRule="auto"/>
              <w:ind w:right="169" w:firstLine="0"/>
              <w:rPr>
                <w:color w:val="000000" w:themeColor="text1"/>
                <w:sz w:val="12"/>
              </w:rPr>
            </w:pPr>
            <w:r w:rsidRPr="007841EB">
              <w:rPr>
                <w:color w:val="000000" w:themeColor="text1"/>
                <w:sz w:val="12"/>
              </w:rPr>
              <w:t>Rating</w:t>
            </w:r>
            <w:r w:rsidRPr="007841EB">
              <w:rPr>
                <w:color w:val="000000" w:themeColor="text1"/>
                <w:spacing w:val="-6"/>
                <w:sz w:val="12"/>
              </w:rPr>
              <w:t xml:space="preserve"> </w:t>
            </w:r>
            <w:r w:rsidRPr="007841EB">
              <w:rPr>
                <w:color w:val="000000" w:themeColor="text1"/>
                <w:sz w:val="12"/>
              </w:rPr>
              <w:t>Stars</w:t>
            </w:r>
            <w:r w:rsidRPr="007841EB">
              <w:rPr>
                <w:color w:val="000000" w:themeColor="text1"/>
                <w:spacing w:val="-7"/>
                <w:sz w:val="12"/>
              </w:rPr>
              <w:t xml:space="preserve"> </w:t>
            </w:r>
            <w:r w:rsidRPr="007841EB">
              <w:rPr>
                <w:color w:val="000000" w:themeColor="text1"/>
                <w:sz w:val="12"/>
              </w:rPr>
              <w:t>were</w:t>
            </w:r>
            <w:r w:rsidRPr="007841EB">
              <w:rPr>
                <w:color w:val="000000" w:themeColor="text1"/>
                <w:spacing w:val="-9"/>
                <w:sz w:val="12"/>
              </w:rPr>
              <w:t xml:space="preserve"> </w:t>
            </w:r>
            <w:r w:rsidRPr="007841EB">
              <w:rPr>
                <w:color w:val="000000" w:themeColor="text1"/>
                <w:sz w:val="12"/>
              </w:rPr>
              <w:t>related to the</w:t>
            </w:r>
            <w:r w:rsidRPr="007841EB">
              <w:rPr>
                <w:color w:val="000000" w:themeColor="text1"/>
                <w:spacing w:val="-9"/>
                <w:sz w:val="12"/>
              </w:rPr>
              <w:t xml:space="preserve"> </w:t>
            </w:r>
            <w:r w:rsidRPr="007841EB">
              <w:rPr>
                <w:color w:val="000000" w:themeColor="text1"/>
                <w:sz w:val="12"/>
              </w:rPr>
              <w:t>quality</w:t>
            </w:r>
            <w:r w:rsidRPr="007841EB">
              <w:rPr>
                <w:color w:val="000000" w:themeColor="text1"/>
                <w:spacing w:val="-3"/>
                <w:sz w:val="12"/>
              </w:rPr>
              <w:t xml:space="preserve"> </w:t>
            </w:r>
            <w:r w:rsidRPr="007841EB">
              <w:rPr>
                <w:color w:val="000000" w:themeColor="text1"/>
                <w:spacing w:val="1"/>
                <w:sz w:val="12"/>
              </w:rPr>
              <w:t>in</w:t>
            </w:r>
            <w:r w:rsidRPr="007841EB">
              <w:rPr>
                <w:color w:val="000000" w:themeColor="text1"/>
                <w:sz w:val="12"/>
              </w:rPr>
              <w:t xml:space="preserve"> businesses</w:t>
            </w:r>
            <w:r w:rsidRPr="007841EB">
              <w:rPr>
                <w:color w:val="000000" w:themeColor="text1"/>
                <w:spacing w:val="-7"/>
                <w:sz w:val="12"/>
              </w:rPr>
              <w:t xml:space="preserve"> </w:t>
            </w:r>
            <w:r w:rsidRPr="007841EB">
              <w:rPr>
                <w:color w:val="000000" w:themeColor="text1"/>
                <w:sz w:val="12"/>
              </w:rPr>
              <w:t>rather</w:t>
            </w:r>
            <w:r w:rsidRPr="007841EB">
              <w:rPr>
                <w:color w:val="000000" w:themeColor="text1"/>
                <w:spacing w:val="-1"/>
                <w:sz w:val="12"/>
              </w:rPr>
              <w:t xml:space="preserve"> </w:t>
            </w:r>
            <w:r w:rsidRPr="007841EB">
              <w:rPr>
                <w:color w:val="000000" w:themeColor="text1"/>
                <w:sz w:val="12"/>
              </w:rPr>
              <w:t>than foods</w:t>
            </w:r>
          </w:p>
          <w:p w:rsidR="00280DF2" w:rsidRPr="007841EB" w:rsidP="009C5286" w14:paraId="6934491C" w14:textId="77777777">
            <w:pPr>
              <w:pStyle w:val="TableParagraph"/>
              <w:numPr>
                <w:ilvl w:val="0"/>
                <w:numId w:val="50"/>
              </w:numPr>
              <w:tabs>
                <w:tab w:val="left" w:pos="147"/>
              </w:tabs>
              <w:spacing w:before="1" w:line="252" w:lineRule="auto"/>
              <w:ind w:right="236" w:firstLine="0"/>
              <w:rPr>
                <w:color w:val="000000" w:themeColor="text1"/>
                <w:sz w:val="12"/>
              </w:rPr>
            </w:pPr>
            <w:r w:rsidRPr="007841EB">
              <w:rPr>
                <w:color w:val="000000" w:themeColor="text1"/>
                <w:spacing w:val="-3"/>
                <w:sz w:val="12"/>
              </w:rPr>
              <w:t xml:space="preserve">MTL </w:t>
            </w:r>
            <w:r w:rsidRPr="007841EB">
              <w:rPr>
                <w:color w:val="000000" w:themeColor="text1"/>
                <w:sz w:val="12"/>
              </w:rPr>
              <w:t>were viewed as indicating the high/low content of specific nutrients, but the meaning of the amber color was not fully understood</w:t>
            </w:r>
          </w:p>
          <w:p w:rsidR="00280DF2" w:rsidRPr="007841EB" w:rsidP="009C5286" w14:paraId="15E59E20" w14:textId="77777777">
            <w:pPr>
              <w:pStyle w:val="TableParagraph"/>
              <w:numPr>
                <w:ilvl w:val="0"/>
                <w:numId w:val="50"/>
              </w:numPr>
              <w:tabs>
                <w:tab w:val="left" w:pos="147"/>
              </w:tabs>
              <w:ind w:firstLine="0"/>
              <w:rPr>
                <w:color w:val="000000" w:themeColor="text1"/>
                <w:sz w:val="12"/>
              </w:rPr>
            </w:pPr>
            <w:r w:rsidRPr="007841EB">
              <w:rPr>
                <w:color w:val="000000" w:themeColor="text1"/>
                <w:sz w:val="12"/>
              </w:rPr>
              <w:t>Participants</w:t>
            </w:r>
            <w:r w:rsidRPr="007841EB">
              <w:rPr>
                <w:color w:val="000000" w:themeColor="text1"/>
                <w:spacing w:val="-8"/>
                <w:sz w:val="12"/>
              </w:rPr>
              <w:t xml:space="preserve"> </w:t>
            </w:r>
            <w:r w:rsidRPr="007841EB">
              <w:rPr>
                <w:color w:val="000000" w:themeColor="text1"/>
                <w:sz w:val="12"/>
              </w:rPr>
              <w:t>highlighted</w:t>
            </w:r>
            <w:r w:rsidRPr="007841EB">
              <w:rPr>
                <w:color w:val="000000" w:themeColor="text1"/>
                <w:spacing w:val="-2"/>
                <w:sz w:val="12"/>
              </w:rPr>
              <w:t xml:space="preserve"> </w:t>
            </w:r>
            <w:r w:rsidRPr="007841EB">
              <w:rPr>
                <w:color w:val="000000" w:themeColor="text1"/>
                <w:sz w:val="12"/>
              </w:rPr>
              <w:t>the</w:t>
            </w:r>
            <w:r w:rsidRPr="007841EB">
              <w:rPr>
                <w:color w:val="000000" w:themeColor="text1"/>
                <w:spacing w:val="-11"/>
                <w:sz w:val="12"/>
              </w:rPr>
              <w:t xml:space="preserve"> </w:t>
            </w:r>
            <w:r w:rsidRPr="007841EB">
              <w:rPr>
                <w:color w:val="000000" w:themeColor="text1"/>
                <w:spacing w:val="-3"/>
                <w:sz w:val="12"/>
              </w:rPr>
              <w:t>need</w:t>
            </w:r>
            <w:r w:rsidRPr="007841EB">
              <w:rPr>
                <w:color w:val="000000" w:themeColor="text1"/>
                <w:spacing w:val="-2"/>
                <w:sz w:val="12"/>
              </w:rPr>
              <w:t xml:space="preserve"> </w:t>
            </w:r>
            <w:r w:rsidRPr="007841EB">
              <w:rPr>
                <w:color w:val="000000" w:themeColor="text1"/>
                <w:sz w:val="12"/>
              </w:rPr>
              <w:t>for</w:t>
            </w:r>
            <w:r w:rsidRPr="007841EB">
              <w:rPr>
                <w:color w:val="000000" w:themeColor="text1"/>
                <w:spacing w:val="-3"/>
                <w:sz w:val="12"/>
              </w:rPr>
              <w:t xml:space="preserve"> </w:t>
            </w:r>
            <w:r w:rsidRPr="007841EB">
              <w:rPr>
                <w:color w:val="000000" w:themeColor="text1"/>
                <w:sz w:val="12"/>
              </w:rPr>
              <w:t>a</w:t>
            </w:r>
            <w:r w:rsidRPr="007841EB">
              <w:rPr>
                <w:color w:val="000000" w:themeColor="text1"/>
                <w:spacing w:val="-8"/>
                <w:sz w:val="12"/>
              </w:rPr>
              <w:t xml:space="preserve"> </w:t>
            </w:r>
            <w:r w:rsidRPr="007841EB">
              <w:rPr>
                <w:color w:val="000000" w:themeColor="text1"/>
                <w:sz w:val="12"/>
              </w:rPr>
              <w:t>simple</w:t>
            </w:r>
          </w:p>
          <w:p w:rsidR="00280DF2" w:rsidRPr="007841EB" w:rsidP="009C5286" w14:paraId="24EFFB22" w14:textId="09294DD0">
            <w:pPr>
              <w:pStyle w:val="TableParagraph"/>
              <w:spacing w:before="8" w:line="252" w:lineRule="auto"/>
              <w:ind w:right="101"/>
              <w:rPr>
                <w:color w:val="000000" w:themeColor="text1"/>
                <w:sz w:val="12"/>
              </w:rPr>
            </w:pPr>
            <w:r w:rsidRPr="007841EB">
              <w:rPr>
                <w:color w:val="000000" w:themeColor="text1"/>
                <w:sz w:val="12"/>
              </w:rPr>
              <w:t>FOP</w:t>
            </w:r>
            <w:r w:rsidRPr="007841EB">
              <w:rPr>
                <w:color w:val="000000" w:themeColor="text1"/>
                <w:sz w:val="12"/>
              </w:rPr>
              <w:t xml:space="preserve"> that </w:t>
            </w:r>
            <w:r w:rsidRPr="007841EB">
              <w:rPr>
                <w:color w:val="000000" w:themeColor="text1"/>
                <w:sz w:val="12"/>
              </w:rPr>
              <w:t>allows easily</w:t>
            </w:r>
            <w:r w:rsidRPr="007841EB">
              <w:rPr>
                <w:color w:val="000000" w:themeColor="text1"/>
                <w:sz w:val="12"/>
              </w:rPr>
              <w:t xml:space="preserve"> identification of healthy products while considering food purchasing time limitations and interpretation of food portions.</w:t>
            </w:r>
          </w:p>
        </w:tc>
      </w:tr>
      <w:tr w14:paraId="2069FF17" w14:textId="77777777" w:rsidTr="2F9D3AFB">
        <w:tblPrEx>
          <w:tblW w:w="0" w:type="auto"/>
          <w:tblInd w:w="113" w:type="dxa"/>
          <w:tblLayout w:type="fixed"/>
          <w:tblCellMar>
            <w:left w:w="0" w:type="dxa"/>
            <w:right w:w="0" w:type="dxa"/>
          </w:tblCellMar>
          <w:tblLook w:val="01E0"/>
        </w:tblPrEx>
        <w:trPr>
          <w:trHeight w:val="1294"/>
        </w:trPr>
        <w:tc>
          <w:tcPr>
            <w:tcW w:w="1023" w:type="dxa"/>
          </w:tcPr>
          <w:p w:rsidR="00280DF2" w:rsidRPr="007841EB" w:rsidP="009C5286" w14:paraId="4FEB20B8" w14:textId="77777777">
            <w:pPr>
              <w:pStyle w:val="TableParagraph"/>
              <w:spacing w:line="252" w:lineRule="auto"/>
              <w:ind w:right="262"/>
              <w:rPr>
                <w:color w:val="000000" w:themeColor="text1"/>
                <w:sz w:val="12"/>
              </w:rPr>
            </w:pPr>
            <w:r w:rsidRPr="007841EB">
              <w:rPr>
                <w:color w:val="000000" w:themeColor="text1"/>
                <w:sz w:val="12"/>
              </w:rPr>
              <w:t>Dukeshire and Nicks</w:t>
            </w:r>
          </w:p>
        </w:tc>
        <w:tc>
          <w:tcPr>
            <w:tcW w:w="2101" w:type="dxa"/>
          </w:tcPr>
          <w:p w:rsidR="00280DF2" w:rsidRPr="007841EB" w:rsidP="009C5286" w14:paraId="0A53256A" w14:textId="77777777">
            <w:pPr>
              <w:pStyle w:val="TableParagraph"/>
              <w:spacing w:line="252" w:lineRule="auto"/>
              <w:ind w:right="46"/>
              <w:rPr>
                <w:color w:val="000000" w:themeColor="text1"/>
                <w:sz w:val="12"/>
              </w:rPr>
            </w:pPr>
            <w:r w:rsidRPr="007841EB">
              <w:rPr>
                <w:color w:val="000000" w:themeColor="text1"/>
                <w:sz w:val="12"/>
              </w:rPr>
              <w:t>Benchmarks and Blinders: How Canadian Women Utilize the Nutrition Facts Table</w:t>
            </w:r>
          </w:p>
        </w:tc>
        <w:tc>
          <w:tcPr>
            <w:tcW w:w="330" w:type="dxa"/>
          </w:tcPr>
          <w:p w:rsidR="00280DF2" w:rsidRPr="00E33286" w:rsidP="009C5286" w14:paraId="32CEFC92" w14:textId="77777777">
            <w:pPr>
              <w:pStyle w:val="TableParagraph"/>
              <w:spacing w:line="140" w:lineRule="exact"/>
              <w:rPr>
                <w:color w:val="AF3A3C"/>
                <w:sz w:val="12"/>
              </w:rPr>
            </w:pPr>
            <w:r w:rsidRPr="00E33286">
              <w:rPr>
                <w:color w:val="AF3A3C"/>
                <w:sz w:val="12"/>
              </w:rPr>
              <w:t>2017</w:t>
            </w:r>
          </w:p>
        </w:tc>
        <w:tc>
          <w:tcPr>
            <w:tcW w:w="3553" w:type="dxa"/>
          </w:tcPr>
          <w:p w:rsidR="00280DF2" w:rsidRPr="007841EB" w:rsidP="009C5286" w14:paraId="49BC3532" w14:textId="77777777">
            <w:pPr>
              <w:pStyle w:val="TableParagraph"/>
              <w:spacing w:line="140" w:lineRule="exact"/>
              <w:rPr>
                <w:color w:val="000000" w:themeColor="text1"/>
                <w:sz w:val="12"/>
              </w:rPr>
            </w:pPr>
            <w:r w:rsidRPr="007841EB">
              <w:rPr>
                <w:color w:val="000000" w:themeColor="text1"/>
                <w:sz w:val="12"/>
              </w:rPr>
              <w:t>Qualitative.</w:t>
            </w:r>
          </w:p>
          <w:p w:rsidR="00280DF2" w:rsidRPr="007841EB" w:rsidP="009C5286" w14:paraId="545195EE" w14:textId="77777777">
            <w:pPr>
              <w:pStyle w:val="TableParagraph"/>
              <w:spacing w:before="7" w:line="252" w:lineRule="auto"/>
              <w:rPr>
                <w:color w:val="000000" w:themeColor="text1"/>
                <w:sz w:val="12"/>
              </w:rPr>
            </w:pPr>
            <w:r w:rsidRPr="007841EB">
              <w:rPr>
                <w:color w:val="000000" w:themeColor="text1"/>
                <w:sz w:val="12"/>
              </w:rPr>
              <w:t xml:space="preserve">Open-ended interviews on how females (45 min) use the </w:t>
            </w:r>
            <w:r w:rsidRPr="007841EB">
              <w:rPr>
                <w:color w:val="000000" w:themeColor="text1"/>
                <w:sz w:val="12"/>
              </w:rPr>
              <w:t>NFT(</w:t>
            </w:r>
            <w:r w:rsidRPr="007841EB">
              <w:rPr>
                <w:color w:val="000000" w:themeColor="text1"/>
                <w:sz w:val="12"/>
              </w:rPr>
              <w:t>Nutrition Fact Table) in their everyday shopping decisions and food consumption habits. Participants were provided with 2 cereal food packages with NFTs to assist in their responses.</w:t>
            </w:r>
          </w:p>
          <w:p w:rsidR="00280DF2" w:rsidRPr="007841EB" w:rsidP="009C5286" w14:paraId="58F1B256" w14:textId="77777777">
            <w:pPr>
              <w:pStyle w:val="TableParagraph"/>
              <w:spacing w:before="1"/>
              <w:rPr>
                <w:color w:val="000000" w:themeColor="text1"/>
                <w:sz w:val="12"/>
              </w:rPr>
            </w:pPr>
            <w:r w:rsidRPr="007841EB">
              <w:rPr>
                <w:color w:val="000000" w:themeColor="text1"/>
                <w:sz w:val="12"/>
              </w:rPr>
              <w:t>n=13</w:t>
            </w:r>
          </w:p>
        </w:tc>
        <w:tc>
          <w:tcPr>
            <w:tcW w:w="1199" w:type="dxa"/>
          </w:tcPr>
          <w:p w:rsidR="00280DF2" w:rsidRPr="007841EB" w:rsidP="009C5286" w14:paraId="4B537624" w14:textId="77777777">
            <w:pPr>
              <w:pStyle w:val="TableParagraph"/>
              <w:numPr>
                <w:ilvl w:val="0"/>
                <w:numId w:val="49"/>
              </w:numPr>
              <w:tabs>
                <w:tab w:val="left" w:pos="147"/>
              </w:tabs>
              <w:spacing w:line="140" w:lineRule="exact"/>
              <w:ind w:hanging="121"/>
              <w:rPr>
                <w:color w:val="000000" w:themeColor="text1"/>
                <w:sz w:val="12"/>
              </w:rPr>
            </w:pPr>
            <w:r w:rsidRPr="007841EB">
              <w:rPr>
                <w:color w:val="000000" w:themeColor="text1"/>
                <w:sz w:val="12"/>
              </w:rPr>
              <w:t>NFT</w:t>
            </w:r>
          </w:p>
          <w:p w:rsidR="00280DF2" w:rsidRPr="007841EB" w:rsidP="009C5286" w14:paraId="5BE8284E" w14:textId="77777777">
            <w:pPr>
              <w:pStyle w:val="TableParagraph"/>
              <w:numPr>
                <w:ilvl w:val="0"/>
                <w:numId w:val="49"/>
              </w:numPr>
              <w:tabs>
                <w:tab w:val="left" w:pos="147"/>
              </w:tabs>
              <w:spacing w:before="7"/>
              <w:ind w:hanging="121"/>
              <w:rPr>
                <w:color w:val="000000" w:themeColor="text1"/>
                <w:sz w:val="12"/>
              </w:rPr>
            </w:pPr>
            <w:r w:rsidRPr="007841EB">
              <w:rPr>
                <w:color w:val="000000" w:themeColor="text1"/>
                <w:sz w:val="12"/>
              </w:rPr>
              <w:t>Health</w:t>
            </w:r>
            <w:r w:rsidRPr="007841EB">
              <w:rPr>
                <w:color w:val="000000" w:themeColor="text1"/>
                <w:spacing w:val="-3"/>
                <w:sz w:val="12"/>
              </w:rPr>
              <w:t xml:space="preserve"> </w:t>
            </w:r>
            <w:r w:rsidRPr="007841EB">
              <w:rPr>
                <w:color w:val="000000" w:themeColor="text1"/>
                <w:sz w:val="12"/>
              </w:rPr>
              <w:t>checks</w:t>
            </w:r>
          </w:p>
        </w:tc>
        <w:tc>
          <w:tcPr>
            <w:tcW w:w="1199" w:type="dxa"/>
          </w:tcPr>
          <w:p w:rsidR="00280DF2" w:rsidRPr="007841EB" w:rsidP="009C5286" w14:paraId="745F2162" w14:textId="77777777">
            <w:pPr>
              <w:pStyle w:val="TableParagraph"/>
              <w:spacing w:before="20"/>
              <w:ind w:left="44"/>
              <w:rPr>
                <w:color w:val="000000" w:themeColor="text1"/>
                <w:sz w:val="12"/>
              </w:rPr>
            </w:pPr>
            <w:r w:rsidRPr="007841EB">
              <w:rPr>
                <w:color w:val="000000" w:themeColor="text1"/>
                <w:sz w:val="12"/>
              </w:rPr>
              <w:t>N/A</w:t>
            </w:r>
          </w:p>
        </w:tc>
        <w:tc>
          <w:tcPr>
            <w:tcW w:w="550" w:type="dxa"/>
          </w:tcPr>
          <w:p w:rsidR="00280DF2" w:rsidRPr="007841EB" w:rsidP="009C5286" w14:paraId="00909FC5" w14:textId="77777777">
            <w:pPr>
              <w:pStyle w:val="TableParagraph"/>
              <w:spacing w:line="140" w:lineRule="exact"/>
              <w:rPr>
                <w:color w:val="000000" w:themeColor="text1"/>
                <w:sz w:val="12"/>
              </w:rPr>
            </w:pPr>
            <w:r w:rsidRPr="007841EB">
              <w:rPr>
                <w:color w:val="000000" w:themeColor="text1"/>
                <w:sz w:val="12"/>
              </w:rPr>
              <w:t>Canada</w:t>
            </w:r>
          </w:p>
        </w:tc>
        <w:tc>
          <w:tcPr>
            <w:tcW w:w="3487" w:type="dxa"/>
          </w:tcPr>
          <w:p w:rsidR="00280DF2" w:rsidRPr="007841EB" w:rsidP="009C5286" w14:paraId="474E0316" w14:textId="77777777">
            <w:pPr>
              <w:pStyle w:val="TableParagraph"/>
              <w:numPr>
                <w:ilvl w:val="0"/>
                <w:numId w:val="48"/>
              </w:numPr>
              <w:tabs>
                <w:tab w:val="left" w:pos="147"/>
              </w:tabs>
              <w:spacing w:line="252" w:lineRule="auto"/>
              <w:ind w:right="30" w:firstLine="0"/>
              <w:rPr>
                <w:color w:val="000000" w:themeColor="text1"/>
                <w:sz w:val="12"/>
              </w:rPr>
            </w:pPr>
            <w:r w:rsidRPr="007841EB">
              <w:rPr>
                <w:color w:val="000000" w:themeColor="text1"/>
                <w:sz w:val="12"/>
              </w:rPr>
              <w:t xml:space="preserve">Health claims and health checks drew attention to the product, but this elevated interest does not mean the product </w:t>
            </w:r>
            <w:r w:rsidRPr="007841EB">
              <w:rPr>
                <w:color w:val="000000" w:themeColor="text1"/>
                <w:spacing w:val="1"/>
                <w:sz w:val="12"/>
              </w:rPr>
              <w:t xml:space="preserve">will </w:t>
            </w:r>
            <w:r w:rsidRPr="007841EB">
              <w:rPr>
                <w:color w:val="000000" w:themeColor="text1"/>
                <w:sz w:val="12"/>
              </w:rPr>
              <w:t xml:space="preserve">then be purchased, as participants did not trust health claims and health checks enough to use them as a deciding factor </w:t>
            </w:r>
            <w:r w:rsidRPr="007841EB">
              <w:rPr>
                <w:color w:val="000000" w:themeColor="text1"/>
                <w:spacing w:val="1"/>
                <w:sz w:val="12"/>
              </w:rPr>
              <w:t xml:space="preserve">in </w:t>
            </w:r>
            <w:r w:rsidRPr="007841EB">
              <w:rPr>
                <w:color w:val="000000" w:themeColor="text1"/>
                <w:sz w:val="12"/>
              </w:rPr>
              <w:t xml:space="preserve">the purchase decision. People </w:t>
            </w:r>
            <w:r w:rsidRPr="007841EB">
              <w:rPr>
                <w:color w:val="000000" w:themeColor="text1"/>
                <w:spacing w:val="-3"/>
                <w:sz w:val="12"/>
              </w:rPr>
              <w:t xml:space="preserve">used </w:t>
            </w:r>
            <w:r w:rsidRPr="007841EB">
              <w:rPr>
                <w:color w:val="000000" w:themeColor="text1"/>
                <w:sz w:val="12"/>
              </w:rPr>
              <w:t>the NFT to verify the nutritional content before deciding</w:t>
            </w:r>
            <w:r w:rsidRPr="007841EB">
              <w:rPr>
                <w:color w:val="000000" w:themeColor="text1"/>
                <w:spacing w:val="-7"/>
                <w:sz w:val="12"/>
              </w:rPr>
              <w:t xml:space="preserve"> </w:t>
            </w:r>
            <w:r w:rsidRPr="007841EB">
              <w:rPr>
                <w:color w:val="000000" w:themeColor="text1"/>
                <w:sz w:val="12"/>
              </w:rPr>
              <w:t>whether</w:t>
            </w:r>
            <w:r w:rsidRPr="007841EB">
              <w:rPr>
                <w:color w:val="000000" w:themeColor="text1"/>
                <w:spacing w:val="-1"/>
                <w:sz w:val="12"/>
              </w:rPr>
              <w:t xml:space="preserve"> </w:t>
            </w:r>
            <w:r w:rsidRPr="007841EB">
              <w:rPr>
                <w:color w:val="000000" w:themeColor="text1"/>
                <w:sz w:val="12"/>
              </w:rPr>
              <w:t>they</w:t>
            </w:r>
            <w:r w:rsidRPr="007841EB">
              <w:rPr>
                <w:color w:val="000000" w:themeColor="text1"/>
                <w:spacing w:val="-4"/>
                <w:sz w:val="12"/>
              </w:rPr>
              <w:t xml:space="preserve"> </w:t>
            </w:r>
            <w:r w:rsidRPr="007841EB">
              <w:rPr>
                <w:color w:val="000000" w:themeColor="text1"/>
                <w:sz w:val="12"/>
              </w:rPr>
              <w:t>would</w:t>
            </w:r>
            <w:r w:rsidRPr="007841EB">
              <w:rPr>
                <w:color w:val="000000" w:themeColor="text1"/>
                <w:spacing w:val="-2"/>
                <w:sz w:val="12"/>
              </w:rPr>
              <w:t xml:space="preserve"> </w:t>
            </w:r>
            <w:r w:rsidRPr="007841EB">
              <w:rPr>
                <w:color w:val="000000" w:themeColor="text1"/>
                <w:sz w:val="12"/>
              </w:rPr>
              <w:t>buy</w:t>
            </w:r>
            <w:r w:rsidRPr="007841EB">
              <w:rPr>
                <w:color w:val="000000" w:themeColor="text1"/>
                <w:spacing w:val="-5"/>
                <w:sz w:val="12"/>
              </w:rPr>
              <w:t xml:space="preserve"> </w:t>
            </w:r>
            <w:r w:rsidRPr="007841EB">
              <w:rPr>
                <w:color w:val="000000" w:themeColor="text1"/>
                <w:sz w:val="12"/>
              </w:rPr>
              <w:t>the</w:t>
            </w:r>
            <w:r w:rsidRPr="007841EB">
              <w:rPr>
                <w:color w:val="000000" w:themeColor="text1"/>
                <w:spacing w:val="-10"/>
                <w:sz w:val="12"/>
              </w:rPr>
              <w:t xml:space="preserve"> </w:t>
            </w:r>
            <w:r w:rsidRPr="007841EB">
              <w:rPr>
                <w:color w:val="000000" w:themeColor="text1"/>
                <w:sz w:val="12"/>
              </w:rPr>
              <w:t>product.</w:t>
            </w:r>
          </w:p>
          <w:p w:rsidR="00280DF2" w:rsidRPr="007841EB" w:rsidP="009C5286" w14:paraId="16D93784" w14:textId="77777777">
            <w:pPr>
              <w:pStyle w:val="TableParagraph"/>
              <w:numPr>
                <w:ilvl w:val="0"/>
                <w:numId w:val="48"/>
              </w:numPr>
              <w:tabs>
                <w:tab w:val="left" w:pos="147"/>
              </w:tabs>
              <w:spacing w:line="252" w:lineRule="auto"/>
              <w:ind w:right="247" w:firstLine="0"/>
              <w:rPr>
                <w:color w:val="000000" w:themeColor="text1"/>
                <w:sz w:val="12"/>
              </w:rPr>
            </w:pPr>
            <w:r w:rsidRPr="007841EB">
              <w:rPr>
                <w:color w:val="000000" w:themeColor="text1"/>
                <w:sz w:val="12"/>
              </w:rPr>
              <w:t>Consumers use the NFT primarily to avoid a particular nutrient related to a health</w:t>
            </w:r>
            <w:r w:rsidRPr="007841EB">
              <w:rPr>
                <w:color w:val="000000" w:themeColor="text1"/>
                <w:spacing w:val="-17"/>
                <w:sz w:val="12"/>
              </w:rPr>
              <w:t xml:space="preserve"> </w:t>
            </w:r>
            <w:r w:rsidRPr="007841EB">
              <w:rPr>
                <w:color w:val="000000" w:themeColor="text1"/>
                <w:sz w:val="12"/>
              </w:rPr>
              <w:t>condition.</w:t>
            </w:r>
          </w:p>
        </w:tc>
      </w:tr>
      <w:tr w14:paraId="4E5105FD" w14:textId="77777777" w:rsidTr="2F9D3AFB">
        <w:tblPrEx>
          <w:tblW w:w="0" w:type="auto"/>
          <w:tblInd w:w="113" w:type="dxa"/>
          <w:tblLayout w:type="fixed"/>
          <w:tblCellMar>
            <w:left w:w="0" w:type="dxa"/>
            <w:right w:w="0" w:type="dxa"/>
          </w:tblCellMar>
          <w:tblLook w:val="01E0"/>
        </w:tblPrEx>
        <w:trPr>
          <w:trHeight w:val="798"/>
        </w:trPr>
        <w:tc>
          <w:tcPr>
            <w:tcW w:w="1023" w:type="dxa"/>
          </w:tcPr>
          <w:p w:rsidR="00280DF2" w:rsidRPr="007841EB" w:rsidP="009C5286" w14:paraId="1D6BDEA3" w14:textId="77777777">
            <w:pPr>
              <w:pStyle w:val="TableParagraph"/>
              <w:spacing w:line="140" w:lineRule="exact"/>
              <w:rPr>
                <w:color w:val="000000" w:themeColor="text1"/>
                <w:sz w:val="12"/>
              </w:rPr>
            </w:pPr>
            <w:r w:rsidRPr="007841EB">
              <w:rPr>
                <w:color w:val="000000" w:themeColor="text1"/>
                <w:sz w:val="12"/>
              </w:rPr>
              <w:t>Dunford, et al.</w:t>
            </w:r>
          </w:p>
        </w:tc>
        <w:tc>
          <w:tcPr>
            <w:tcW w:w="2101" w:type="dxa"/>
          </w:tcPr>
          <w:p w:rsidR="00280DF2" w:rsidRPr="007841EB" w:rsidP="009C5286" w14:paraId="4E48DF6B" w14:textId="77777777">
            <w:pPr>
              <w:pStyle w:val="TableParagraph"/>
              <w:spacing w:line="252" w:lineRule="auto"/>
              <w:ind w:right="102"/>
              <w:rPr>
                <w:color w:val="000000" w:themeColor="text1"/>
                <w:sz w:val="12"/>
              </w:rPr>
            </w:pPr>
            <w:r w:rsidRPr="007841EB">
              <w:rPr>
                <w:color w:val="000000" w:themeColor="text1"/>
                <w:sz w:val="12"/>
              </w:rPr>
              <w:t>Color-Coded Front-of-Pack Nutrition Labels - An Option for US Packaged Foods?</w:t>
            </w:r>
          </w:p>
        </w:tc>
        <w:tc>
          <w:tcPr>
            <w:tcW w:w="330" w:type="dxa"/>
          </w:tcPr>
          <w:p w:rsidR="00280DF2" w:rsidRPr="00E33286" w:rsidP="009C5286" w14:paraId="5CAFDB4B" w14:textId="77777777">
            <w:pPr>
              <w:pStyle w:val="TableParagraph"/>
              <w:spacing w:line="140" w:lineRule="exact"/>
              <w:rPr>
                <w:color w:val="AF3A3C"/>
                <w:sz w:val="12"/>
              </w:rPr>
            </w:pPr>
            <w:r w:rsidRPr="00E33286">
              <w:rPr>
                <w:color w:val="AF3A3C"/>
                <w:sz w:val="12"/>
              </w:rPr>
              <w:t>2017</w:t>
            </w:r>
          </w:p>
        </w:tc>
        <w:tc>
          <w:tcPr>
            <w:tcW w:w="3553" w:type="dxa"/>
          </w:tcPr>
          <w:p w:rsidR="00280DF2" w:rsidRPr="007841EB" w:rsidP="009C5286" w14:paraId="617CBAC3" w14:textId="77777777">
            <w:pPr>
              <w:pStyle w:val="TableParagraph"/>
              <w:spacing w:line="140" w:lineRule="exact"/>
              <w:rPr>
                <w:color w:val="000000" w:themeColor="text1"/>
                <w:sz w:val="12"/>
              </w:rPr>
            </w:pPr>
            <w:r w:rsidRPr="007841EB">
              <w:rPr>
                <w:color w:val="000000" w:themeColor="text1"/>
                <w:sz w:val="12"/>
              </w:rPr>
              <w:t>Quantitative.</w:t>
            </w:r>
          </w:p>
          <w:p w:rsidR="00280DF2" w:rsidRPr="007841EB" w:rsidP="009C5286" w14:paraId="0915C7F9" w14:textId="77777777">
            <w:pPr>
              <w:pStyle w:val="TableParagraph"/>
              <w:spacing w:before="7" w:line="252" w:lineRule="auto"/>
              <w:ind w:right="2036"/>
              <w:rPr>
                <w:color w:val="000000" w:themeColor="text1"/>
                <w:sz w:val="12"/>
              </w:rPr>
            </w:pPr>
            <w:r w:rsidRPr="007841EB">
              <w:rPr>
                <w:color w:val="000000" w:themeColor="text1"/>
                <w:sz w:val="12"/>
              </w:rPr>
              <w:t>Categorized product labels n=175,198 products</w:t>
            </w:r>
          </w:p>
        </w:tc>
        <w:tc>
          <w:tcPr>
            <w:tcW w:w="1199" w:type="dxa"/>
          </w:tcPr>
          <w:p w:rsidR="00280DF2" w:rsidRPr="007841EB" w:rsidP="009C5286" w14:paraId="23A55BF9" w14:textId="77777777">
            <w:pPr>
              <w:pStyle w:val="TableParagraph"/>
              <w:spacing w:line="140" w:lineRule="exact"/>
              <w:rPr>
                <w:color w:val="000000" w:themeColor="text1"/>
                <w:sz w:val="12"/>
              </w:rPr>
            </w:pPr>
            <w:r w:rsidRPr="007841EB">
              <w:rPr>
                <w:color w:val="000000" w:themeColor="text1"/>
                <w:sz w:val="12"/>
              </w:rPr>
              <w:t>Traffic Light</w:t>
            </w:r>
          </w:p>
        </w:tc>
        <w:tc>
          <w:tcPr>
            <w:tcW w:w="1199" w:type="dxa"/>
          </w:tcPr>
          <w:p w:rsidR="00280DF2" w:rsidRPr="007841EB" w:rsidP="009C5286" w14:paraId="19C621FF" w14:textId="77777777">
            <w:pPr>
              <w:pStyle w:val="TableParagraph"/>
              <w:spacing w:before="34"/>
              <w:ind w:left="48"/>
              <w:rPr>
                <w:color w:val="000000" w:themeColor="text1"/>
                <w:sz w:val="12"/>
              </w:rPr>
            </w:pPr>
            <w:r w:rsidRPr="007841EB">
              <w:rPr>
                <w:color w:val="000000" w:themeColor="text1"/>
                <w:sz w:val="12"/>
              </w:rPr>
              <w:t>N/A</w:t>
            </w:r>
          </w:p>
        </w:tc>
        <w:tc>
          <w:tcPr>
            <w:tcW w:w="550" w:type="dxa"/>
          </w:tcPr>
          <w:p w:rsidR="00280DF2" w:rsidRPr="007841EB" w:rsidP="009C5286" w14:paraId="6112F280" w14:textId="77777777">
            <w:pPr>
              <w:pStyle w:val="TableParagraph"/>
              <w:spacing w:line="140" w:lineRule="exact"/>
              <w:rPr>
                <w:color w:val="000000" w:themeColor="text1"/>
                <w:sz w:val="12"/>
              </w:rPr>
            </w:pPr>
            <w:r w:rsidRPr="007841EB">
              <w:rPr>
                <w:color w:val="000000" w:themeColor="text1"/>
                <w:sz w:val="12"/>
              </w:rPr>
              <w:t>US</w:t>
            </w:r>
          </w:p>
        </w:tc>
        <w:tc>
          <w:tcPr>
            <w:tcW w:w="3487" w:type="dxa"/>
          </w:tcPr>
          <w:p w:rsidR="00280DF2" w:rsidRPr="007841EB" w:rsidP="009C5286" w14:paraId="2EEE018D" w14:textId="77777777">
            <w:pPr>
              <w:pStyle w:val="TableParagraph"/>
              <w:spacing w:line="252" w:lineRule="auto"/>
              <w:ind w:right="31"/>
              <w:rPr>
                <w:color w:val="000000" w:themeColor="text1"/>
                <w:sz w:val="12"/>
              </w:rPr>
            </w:pPr>
            <w:r w:rsidRPr="007841EB">
              <w:rPr>
                <w:color w:val="000000" w:themeColor="text1"/>
                <w:sz w:val="12"/>
              </w:rPr>
              <w:t>&gt;40% of US packaged foods would receive the "red" light for sodium, total fat, and total sugars based on their algorithm for 'healthy'. &gt;50% received a red light for total fat and sodium. Only 30% of products were considered "healthy' using the traffic light aggregate score method.</w:t>
            </w:r>
          </w:p>
        </w:tc>
      </w:tr>
      <w:tr w14:paraId="4FA3E5D8" w14:textId="77777777" w:rsidTr="2F9D3AFB">
        <w:tblPrEx>
          <w:tblW w:w="0" w:type="auto"/>
          <w:tblInd w:w="113" w:type="dxa"/>
          <w:tblLayout w:type="fixed"/>
          <w:tblCellMar>
            <w:left w:w="0" w:type="dxa"/>
            <w:right w:w="0" w:type="dxa"/>
          </w:tblCellMar>
          <w:tblLook w:val="01E0"/>
        </w:tblPrEx>
        <w:trPr>
          <w:trHeight w:val="1155"/>
        </w:trPr>
        <w:tc>
          <w:tcPr>
            <w:tcW w:w="1023" w:type="dxa"/>
          </w:tcPr>
          <w:p w:rsidR="00280DF2" w:rsidRPr="007841EB" w:rsidP="009C5286" w14:paraId="155F8877" w14:textId="77777777">
            <w:pPr>
              <w:pStyle w:val="TableParagraph"/>
              <w:spacing w:line="140" w:lineRule="exact"/>
              <w:rPr>
                <w:color w:val="000000" w:themeColor="text1"/>
                <w:sz w:val="12"/>
              </w:rPr>
            </w:pPr>
            <w:r w:rsidRPr="007841EB">
              <w:rPr>
                <w:color w:val="000000" w:themeColor="text1"/>
                <w:sz w:val="12"/>
              </w:rPr>
              <w:t>Dunford, et al.</w:t>
            </w:r>
          </w:p>
        </w:tc>
        <w:tc>
          <w:tcPr>
            <w:tcW w:w="2101" w:type="dxa"/>
          </w:tcPr>
          <w:p w:rsidR="00280DF2" w:rsidRPr="007841EB" w:rsidP="009C5286" w14:paraId="0D02F0A2" w14:textId="77777777">
            <w:pPr>
              <w:pStyle w:val="TableParagraph"/>
              <w:spacing w:line="252" w:lineRule="auto"/>
              <w:ind w:right="145"/>
              <w:rPr>
                <w:color w:val="000000" w:themeColor="text1"/>
                <w:sz w:val="12"/>
              </w:rPr>
            </w:pPr>
            <w:r w:rsidRPr="007841EB">
              <w:rPr>
                <w:color w:val="000000" w:themeColor="text1"/>
                <w:sz w:val="12"/>
              </w:rPr>
              <w:t>A comparison of the Health Star Rating system when used for restaurant fast foods and packaged foods</w:t>
            </w:r>
          </w:p>
        </w:tc>
        <w:tc>
          <w:tcPr>
            <w:tcW w:w="330" w:type="dxa"/>
          </w:tcPr>
          <w:p w:rsidR="00280DF2" w:rsidRPr="00E33286" w:rsidP="009C5286" w14:paraId="44D6418E" w14:textId="77777777">
            <w:pPr>
              <w:pStyle w:val="TableParagraph"/>
              <w:spacing w:line="140" w:lineRule="exact"/>
              <w:rPr>
                <w:color w:val="AF3A3C"/>
                <w:sz w:val="12"/>
              </w:rPr>
            </w:pPr>
            <w:r w:rsidRPr="00E33286">
              <w:rPr>
                <w:color w:val="AF3A3C"/>
                <w:sz w:val="12"/>
              </w:rPr>
              <w:t>2017</w:t>
            </w:r>
          </w:p>
        </w:tc>
        <w:tc>
          <w:tcPr>
            <w:tcW w:w="3553" w:type="dxa"/>
          </w:tcPr>
          <w:p w:rsidR="00280DF2" w:rsidRPr="007841EB" w:rsidP="009C5286" w14:paraId="6A9DC218" w14:textId="77777777">
            <w:pPr>
              <w:pStyle w:val="TableParagraph"/>
              <w:spacing w:line="140" w:lineRule="exact"/>
              <w:rPr>
                <w:color w:val="000000" w:themeColor="text1"/>
                <w:sz w:val="12"/>
              </w:rPr>
            </w:pPr>
            <w:r w:rsidRPr="007841EB">
              <w:rPr>
                <w:color w:val="000000" w:themeColor="text1"/>
                <w:sz w:val="12"/>
              </w:rPr>
              <w:t>Quantitative.</w:t>
            </w:r>
          </w:p>
          <w:p w:rsidR="00280DF2" w:rsidRPr="007841EB" w:rsidP="009C5286" w14:paraId="412C06EF" w14:textId="77777777">
            <w:pPr>
              <w:pStyle w:val="TableParagraph"/>
              <w:spacing w:before="7" w:line="252" w:lineRule="auto"/>
              <w:ind w:right="83"/>
              <w:rPr>
                <w:color w:val="000000" w:themeColor="text1"/>
                <w:sz w:val="12"/>
              </w:rPr>
            </w:pPr>
            <w:r w:rsidRPr="007841EB">
              <w:rPr>
                <w:color w:val="000000" w:themeColor="text1"/>
                <w:sz w:val="12"/>
              </w:rPr>
              <w:t>Nutrient content data for fast food menu items were collected from the websites of 13 large Australian fast-food chains. Scored 1529 fast food products and 3810 packaged food products for the "Health Star Rating." Statistics describing HSR values for fast foods were calculated and compared to results for comparable packaged foods.</w:t>
            </w:r>
          </w:p>
          <w:p w:rsidR="00280DF2" w:rsidRPr="007841EB" w:rsidP="00280DF2" w14:paraId="597975AA" w14:textId="1930539E">
            <w:pPr>
              <w:pStyle w:val="TableParagraph"/>
              <w:spacing w:before="1"/>
              <w:rPr>
                <w:color w:val="000000" w:themeColor="text1"/>
                <w:sz w:val="12"/>
              </w:rPr>
            </w:pPr>
            <w:r w:rsidRPr="007841EB">
              <w:rPr>
                <w:color w:val="000000" w:themeColor="text1"/>
                <w:sz w:val="12"/>
              </w:rPr>
              <w:t>n=1529 fast food products and 3810 packaged food products</w:t>
            </w:r>
          </w:p>
        </w:tc>
        <w:tc>
          <w:tcPr>
            <w:tcW w:w="1199" w:type="dxa"/>
          </w:tcPr>
          <w:p w:rsidR="00280DF2" w:rsidRPr="007841EB" w:rsidP="009C5286" w14:paraId="23A3D9C5" w14:textId="77777777">
            <w:pPr>
              <w:pStyle w:val="TableParagraph"/>
              <w:spacing w:line="252" w:lineRule="auto"/>
              <w:ind w:right="257"/>
              <w:rPr>
                <w:color w:val="000000" w:themeColor="text1"/>
                <w:sz w:val="12"/>
              </w:rPr>
            </w:pPr>
            <w:r w:rsidRPr="007841EB">
              <w:rPr>
                <w:color w:val="000000" w:themeColor="text1"/>
                <w:sz w:val="12"/>
              </w:rPr>
              <w:t>Health Star Rating (HSR)</w:t>
            </w:r>
          </w:p>
        </w:tc>
        <w:tc>
          <w:tcPr>
            <w:tcW w:w="1199" w:type="dxa"/>
          </w:tcPr>
          <w:p w:rsidR="00280DF2" w:rsidRPr="007841EB" w:rsidP="009C5286" w14:paraId="5FE61A54" w14:textId="77777777">
            <w:pPr>
              <w:pStyle w:val="TableParagraph"/>
              <w:spacing w:before="39"/>
              <w:ind w:left="59"/>
              <w:rPr>
                <w:color w:val="000000" w:themeColor="text1"/>
                <w:sz w:val="12"/>
              </w:rPr>
            </w:pPr>
            <w:r w:rsidRPr="007841EB">
              <w:rPr>
                <w:color w:val="000000" w:themeColor="text1"/>
                <w:sz w:val="12"/>
              </w:rPr>
              <w:t>N/A</w:t>
            </w:r>
          </w:p>
        </w:tc>
        <w:tc>
          <w:tcPr>
            <w:tcW w:w="550" w:type="dxa"/>
          </w:tcPr>
          <w:p w:rsidR="00280DF2" w:rsidRPr="007841EB" w:rsidP="009C5286" w14:paraId="198CF876" w14:textId="77777777">
            <w:pPr>
              <w:pStyle w:val="TableParagraph"/>
              <w:spacing w:line="140" w:lineRule="exact"/>
              <w:rPr>
                <w:color w:val="000000" w:themeColor="text1"/>
                <w:sz w:val="12"/>
              </w:rPr>
            </w:pPr>
            <w:r w:rsidRPr="007841EB">
              <w:rPr>
                <w:color w:val="000000" w:themeColor="text1"/>
                <w:sz w:val="12"/>
              </w:rPr>
              <w:t>Australia</w:t>
            </w:r>
          </w:p>
        </w:tc>
        <w:tc>
          <w:tcPr>
            <w:tcW w:w="3487" w:type="dxa"/>
          </w:tcPr>
          <w:p w:rsidR="00280DF2" w:rsidRPr="007841EB" w:rsidP="009C5286" w14:paraId="50248894" w14:textId="77777777">
            <w:pPr>
              <w:pStyle w:val="TableParagraph"/>
              <w:numPr>
                <w:ilvl w:val="0"/>
                <w:numId w:val="47"/>
              </w:numPr>
              <w:tabs>
                <w:tab w:val="left" w:pos="147"/>
              </w:tabs>
              <w:spacing w:line="252" w:lineRule="auto"/>
              <w:ind w:right="50" w:firstLine="0"/>
              <w:rPr>
                <w:color w:val="000000" w:themeColor="text1"/>
                <w:sz w:val="12"/>
              </w:rPr>
            </w:pPr>
            <w:r w:rsidRPr="007841EB">
              <w:rPr>
                <w:color w:val="000000" w:themeColor="text1"/>
                <w:sz w:val="12"/>
              </w:rPr>
              <w:t>The</w:t>
            </w:r>
            <w:r w:rsidRPr="007841EB">
              <w:rPr>
                <w:color w:val="000000" w:themeColor="text1"/>
                <w:spacing w:val="-10"/>
                <w:sz w:val="12"/>
              </w:rPr>
              <w:t xml:space="preserve"> </w:t>
            </w:r>
            <w:r w:rsidRPr="007841EB">
              <w:rPr>
                <w:color w:val="000000" w:themeColor="text1"/>
                <w:sz w:val="12"/>
              </w:rPr>
              <w:t>mean</w:t>
            </w:r>
            <w:r w:rsidRPr="007841EB">
              <w:rPr>
                <w:color w:val="000000" w:themeColor="text1"/>
                <w:spacing w:val="-1"/>
                <w:sz w:val="12"/>
              </w:rPr>
              <w:t xml:space="preserve"> </w:t>
            </w:r>
            <w:r w:rsidRPr="007841EB">
              <w:rPr>
                <w:color w:val="000000" w:themeColor="text1"/>
                <w:sz w:val="12"/>
              </w:rPr>
              <w:t>HSR</w:t>
            </w:r>
            <w:r w:rsidRPr="007841EB">
              <w:rPr>
                <w:color w:val="000000" w:themeColor="text1"/>
                <w:spacing w:val="-3"/>
                <w:sz w:val="12"/>
              </w:rPr>
              <w:t xml:space="preserve"> </w:t>
            </w:r>
            <w:r w:rsidRPr="007841EB">
              <w:rPr>
                <w:color w:val="000000" w:themeColor="text1"/>
                <w:sz w:val="12"/>
              </w:rPr>
              <w:t>for</w:t>
            </w:r>
            <w:r w:rsidRPr="007841EB">
              <w:rPr>
                <w:color w:val="000000" w:themeColor="text1"/>
                <w:spacing w:val="-2"/>
                <w:sz w:val="12"/>
              </w:rPr>
              <w:t xml:space="preserve"> </w:t>
            </w:r>
            <w:r w:rsidRPr="007841EB">
              <w:rPr>
                <w:color w:val="000000" w:themeColor="text1"/>
                <w:sz w:val="12"/>
              </w:rPr>
              <w:t>the</w:t>
            </w:r>
            <w:r w:rsidRPr="007841EB">
              <w:rPr>
                <w:color w:val="000000" w:themeColor="text1"/>
                <w:spacing w:val="-10"/>
                <w:sz w:val="12"/>
              </w:rPr>
              <w:t xml:space="preserve"> </w:t>
            </w:r>
            <w:r w:rsidRPr="007841EB">
              <w:rPr>
                <w:color w:val="000000" w:themeColor="text1"/>
                <w:spacing w:val="-3"/>
                <w:sz w:val="12"/>
              </w:rPr>
              <w:t>fast</w:t>
            </w:r>
            <w:r w:rsidRPr="007841EB">
              <w:rPr>
                <w:color w:val="000000" w:themeColor="text1"/>
                <w:sz w:val="12"/>
              </w:rPr>
              <w:t xml:space="preserve"> foods</w:t>
            </w:r>
            <w:r w:rsidRPr="007841EB">
              <w:rPr>
                <w:color w:val="000000" w:themeColor="text1"/>
                <w:spacing w:val="-8"/>
                <w:sz w:val="12"/>
              </w:rPr>
              <w:t xml:space="preserve"> </w:t>
            </w:r>
            <w:r w:rsidRPr="007841EB">
              <w:rPr>
                <w:color w:val="000000" w:themeColor="text1"/>
                <w:sz w:val="12"/>
              </w:rPr>
              <w:t>was</w:t>
            </w:r>
            <w:r w:rsidRPr="007841EB">
              <w:rPr>
                <w:color w:val="000000" w:themeColor="text1"/>
                <w:spacing w:val="-8"/>
                <w:sz w:val="12"/>
              </w:rPr>
              <w:t xml:space="preserve"> </w:t>
            </w:r>
            <w:r w:rsidRPr="007841EB">
              <w:rPr>
                <w:color w:val="000000" w:themeColor="text1"/>
                <w:sz w:val="12"/>
              </w:rPr>
              <w:t>2.5 and</w:t>
            </w:r>
            <w:r w:rsidRPr="007841EB">
              <w:rPr>
                <w:color w:val="000000" w:themeColor="text1"/>
                <w:spacing w:val="-1"/>
                <w:sz w:val="12"/>
              </w:rPr>
              <w:t xml:space="preserve"> </w:t>
            </w:r>
            <w:r w:rsidRPr="007841EB">
              <w:rPr>
                <w:color w:val="000000" w:themeColor="text1"/>
                <w:sz w:val="12"/>
              </w:rPr>
              <w:t>ranged</w:t>
            </w:r>
            <w:r w:rsidRPr="007841EB">
              <w:rPr>
                <w:color w:val="000000" w:themeColor="text1"/>
                <w:spacing w:val="-1"/>
                <w:sz w:val="12"/>
              </w:rPr>
              <w:t xml:space="preserve"> </w:t>
            </w:r>
            <w:r w:rsidRPr="007841EB">
              <w:rPr>
                <w:color w:val="000000" w:themeColor="text1"/>
                <w:sz w:val="12"/>
              </w:rPr>
              <w:t>from</w:t>
            </w:r>
            <w:r w:rsidRPr="007841EB">
              <w:rPr>
                <w:color w:val="000000" w:themeColor="text1"/>
                <w:spacing w:val="-1"/>
                <w:sz w:val="12"/>
              </w:rPr>
              <w:t xml:space="preserve"> </w:t>
            </w:r>
            <w:r w:rsidRPr="007841EB">
              <w:rPr>
                <w:color w:val="000000" w:themeColor="text1"/>
                <w:sz w:val="12"/>
              </w:rPr>
              <w:t>0.5 to</w:t>
            </w:r>
            <w:r w:rsidRPr="007841EB">
              <w:rPr>
                <w:color w:val="000000" w:themeColor="text1"/>
                <w:spacing w:val="-1"/>
                <w:sz w:val="12"/>
              </w:rPr>
              <w:t xml:space="preserve"> </w:t>
            </w:r>
            <w:r w:rsidRPr="007841EB">
              <w:rPr>
                <w:color w:val="000000" w:themeColor="text1"/>
                <w:sz w:val="12"/>
              </w:rPr>
              <w:t>5.0 and corresponding values for the comparator packaged foods were 2.6 and 0.5 to</w:t>
            </w:r>
            <w:r w:rsidRPr="007841EB">
              <w:rPr>
                <w:color w:val="000000" w:themeColor="text1"/>
                <w:spacing w:val="-7"/>
                <w:sz w:val="12"/>
              </w:rPr>
              <w:t xml:space="preserve"> </w:t>
            </w:r>
            <w:r w:rsidRPr="007841EB">
              <w:rPr>
                <w:color w:val="000000" w:themeColor="text1"/>
                <w:spacing w:val="1"/>
                <w:sz w:val="12"/>
              </w:rPr>
              <w:t>5.0.</w:t>
            </w:r>
          </w:p>
          <w:p w:rsidR="00280DF2" w:rsidRPr="007841EB" w:rsidP="009C5286" w14:paraId="24987B12" w14:textId="77777777">
            <w:pPr>
              <w:pStyle w:val="TableParagraph"/>
              <w:numPr>
                <w:ilvl w:val="0"/>
                <w:numId w:val="47"/>
              </w:numPr>
              <w:tabs>
                <w:tab w:val="left" w:pos="147"/>
              </w:tabs>
              <w:spacing w:line="252" w:lineRule="auto"/>
              <w:ind w:right="96" w:firstLine="0"/>
              <w:rPr>
                <w:color w:val="000000" w:themeColor="text1"/>
                <w:sz w:val="12"/>
              </w:rPr>
            </w:pPr>
            <w:r w:rsidRPr="007841EB">
              <w:rPr>
                <w:color w:val="000000" w:themeColor="text1"/>
                <w:sz w:val="12"/>
              </w:rPr>
              <w:t xml:space="preserve">Support for the idea that HSR </w:t>
            </w:r>
            <w:r w:rsidRPr="007841EB">
              <w:rPr>
                <w:color w:val="000000" w:themeColor="text1"/>
                <w:spacing w:val="-2"/>
                <w:sz w:val="12"/>
              </w:rPr>
              <w:t xml:space="preserve">system </w:t>
            </w:r>
            <w:r w:rsidRPr="007841EB">
              <w:rPr>
                <w:color w:val="000000" w:themeColor="text1"/>
                <w:sz w:val="12"/>
              </w:rPr>
              <w:t xml:space="preserve">could be expanded to Australian </w:t>
            </w:r>
            <w:r w:rsidRPr="007841EB">
              <w:rPr>
                <w:color w:val="000000" w:themeColor="text1"/>
                <w:spacing w:val="-3"/>
                <w:sz w:val="12"/>
              </w:rPr>
              <w:t xml:space="preserve">fast </w:t>
            </w:r>
            <w:r w:rsidRPr="007841EB">
              <w:rPr>
                <w:color w:val="000000" w:themeColor="text1"/>
                <w:sz w:val="12"/>
              </w:rPr>
              <w:t xml:space="preserve">foods. There are likely to be signiﬁcant beneﬁts to the community from the use of a single standardized signposting </w:t>
            </w:r>
            <w:r w:rsidRPr="007841EB">
              <w:rPr>
                <w:color w:val="000000" w:themeColor="text1"/>
                <w:spacing w:val="-2"/>
                <w:sz w:val="12"/>
              </w:rPr>
              <w:t xml:space="preserve">system </w:t>
            </w:r>
            <w:r w:rsidRPr="007841EB">
              <w:rPr>
                <w:color w:val="000000" w:themeColor="text1"/>
                <w:sz w:val="12"/>
              </w:rPr>
              <w:t>for</w:t>
            </w:r>
            <w:r w:rsidRPr="007841EB">
              <w:rPr>
                <w:color w:val="000000" w:themeColor="text1"/>
                <w:spacing w:val="-4"/>
                <w:sz w:val="12"/>
              </w:rPr>
              <w:t xml:space="preserve"> </w:t>
            </w:r>
            <w:r w:rsidRPr="007841EB">
              <w:rPr>
                <w:color w:val="000000" w:themeColor="text1"/>
                <w:sz w:val="12"/>
              </w:rPr>
              <w:t>healthiness</w:t>
            </w:r>
            <w:r w:rsidRPr="007841EB">
              <w:rPr>
                <w:color w:val="000000" w:themeColor="text1"/>
                <w:spacing w:val="-9"/>
                <w:sz w:val="12"/>
              </w:rPr>
              <w:t xml:space="preserve"> </w:t>
            </w:r>
            <w:r w:rsidRPr="007841EB">
              <w:rPr>
                <w:color w:val="000000" w:themeColor="text1"/>
                <w:sz w:val="12"/>
              </w:rPr>
              <w:t>across</w:t>
            </w:r>
            <w:r w:rsidRPr="007841EB">
              <w:rPr>
                <w:color w:val="000000" w:themeColor="text1"/>
                <w:spacing w:val="-9"/>
                <w:sz w:val="12"/>
              </w:rPr>
              <w:t xml:space="preserve"> </w:t>
            </w:r>
            <w:r w:rsidRPr="007841EB">
              <w:rPr>
                <w:color w:val="000000" w:themeColor="text1"/>
                <w:sz w:val="12"/>
              </w:rPr>
              <w:t xml:space="preserve">all </w:t>
            </w:r>
            <w:r w:rsidRPr="007841EB">
              <w:rPr>
                <w:color w:val="000000" w:themeColor="text1"/>
                <w:spacing w:val="-3"/>
                <w:sz w:val="12"/>
              </w:rPr>
              <w:t xml:space="preserve">fresh, </w:t>
            </w:r>
            <w:r w:rsidRPr="007841EB">
              <w:rPr>
                <w:color w:val="000000" w:themeColor="text1"/>
                <w:sz w:val="12"/>
              </w:rPr>
              <w:t>packaged</w:t>
            </w:r>
            <w:r w:rsidRPr="007841EB">
              <w:rPr>
                <w:color w:val="000000" w:themeColor="text1"/>
                <w:spacing w:val="-3"/>
                <w:sz w:val="12"/>
              </w:rPr>
              <w:t xml:space="preserve"> </w:t>
            </w:r>
            <w:r w:rsidRPr="007841EB">
              <w:rPr>
                <w:color w:val="000000" w:themeColor="text1"/>
                <w:sz w:val="12"/>
              </w:rPr>
              <w:t>and</w:t>
            </w:r>
            <w:r w:rsidRPr="007841EB">
              <w:rPr>
                <w:color w:val="000000" w:themeColor="text1"/>
                <w:spacing w:val="-3"/>
                <w:sz w:val="12"/>
              </w:rPr>
              <w:t xml:space="preserve"> </w:t>
            </w:r>
            <w:r w:rsidRPr="007841EB">
              <w:rPr>
                <w:color w:val="000000" w:themeColor="text1"/>
                <w:sz w:val="12"/>
              </w:rPr>
              <w:t>restaurant</w:t>
            </w:r>
            <w:r w:rsidRPr="007841EB">
              <w:rPr>
                <w:color w:val="000000" w:themeColor="text1"/>
                <w:spacing w:val="-2"/>
                <w:sz w:val="12"/>
              </w:rPr>
              <w:t xml:space="preserve"> </w:t>
            </w:r>
            <w:r w:rsidRPr="007841EB">
              <w:rPr>
                <w:color w:val="000000" w:themeColor="text1"/>
                <w:sz w:val="12"/>
              </w:rPr>
              <w:t>foods.</w:t>
            </w:r>
          </w:p>
        </w:tc>
      </w:tr>
    </w:tbl>
    <w:p w:rsidR="00DB534B" w:rsidRPr="007841EB" w:rsidP="00DB534B" w14:paraId="5DB570A6" w14:textId="77777777">
      <w:pPr>
        <w:spacing w:line="140" w:lineRule="exact"/>
        <w:jc w:val="center"/>
        <w:rPr>
          <w:color w:val="000000" w:themeColor="text1"/>
          <w:sz w:val="12"/>
        </w:rPr>
        <w:sectPr w:rsidSect="009C5286">
          <w:pgSz w:w="15840" w:h="12240" w:orient="landscape"/>
          <w:pgMar w:top="720" w:right="720" w:bottom="720" w:left="720" w:header="376" w:footer="523" w:gutter="0"/>
          <w:cols w:space="720"/>
          <w:docGrid w:linePitch="299"/>
        </w:sectPr>
      </w:pPr>
    </w:p>
    <w:tbl>
      <w:tblPr>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23"/>
        <w:gridCol w:w="2101"/>
        <w:gridCol w:w="330"/>
        <w:gridCol w:w="3553"/>
        <w:gridCol w:w="1199"/>
        <w:gridCol w:w="1199"/>
        <w:gridCol w:w="550"/>
        <w:gridCol w:w="3487"/>
      </w:tblGrid>
      <w:tr w14:paraId="029D6C55" w14:textId="77777777" w:rsidTr="2F9D3AFB">
        <w:tblPrEx>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150"/>
        </w:trPr>
        <w:tc>
          <w:tcPr>
            <w:tcW w:w="1023" w:type="dxa"/>
          </w:tcPr>
          <w:p w:rsidR="00280DF2" w:rsidRPr="007841EB" w:rsidP="009C5286" w14:paraId="14AF80B3" w14:textId="77777777">
            <w:pPr>
              <w:pStyle w:val="TableParagraph"/>
              <w:spacing w:line="130" w:lineRule="exact"/>
              <w:rPr>
                <w:b/>
                <w:color w:val="000000" w:themeColor="text1"/>
                <w:sz w:val="12"/>
              </w:rPr>
            </w:pPr>
            <w:r w:rsidRPr="007841EB">
              <w:rPr>
                <w:b/>
                <w:color w:val="000000" w:themeColor="text1"/>
                <w:sz w:val="12"/>
              </w:rPr>
              <w:t>Author</w:t>
            </w:r>
          </w:p>
        </w:tc>
        <w:tc>
          <w:tcPr>
            <w:tcW w:w="2101" w:type="dxa"/>
          </w:tcPr>
          <w:p w:rsidR="00280DF2" w:rsidRPr="007841EB" w:rsidP="009C5286" w14:paraId="2BE91830" w14:textId="77777777">
            <w:pPr>
              <w:pStyle w:val="TableParagraph"/>
              <w:spacing w:line="130" w:lineRule="exact"/>
              <w:rPr>
                <w:b/>
                <w:color w:val="000000" w:themeColor="text1"/>
                <w:sz w:val="12"/>
              </w:rPr>
            </w:pPr>
            <w:r w:rsidRPr="007841EB">
              <w:rPr>
                <w:b/>
                <w:color w:val="000000" w:themeColor="text1"/>
                <w:sz w:val="12"/>
              </w:rPr>
              <w:t>Title</w:t>
            </w:r>
          </w:p>
        </w:tc>
        <w:tc>
          <w:tcPr>
            <w:tcW w:w="330" w:type="dxa"/>
          </w:tcPr>
          <w:p w:rsidR="00280DF2" w:rsidRPr="007841EB" w:rsidP="009C5286" w14:paraId="2851B604" w14:textId="77777777">
            <w:pPr>
              <w:pStyle w:val="TableParagraph"/>
              <w:spacing w:line="130" w:lineRule="exact"/>
              <w:rPr>
                <w:b/>
                <w:color w:val="000000" w:themeColor="text1"/>
                <w:sz w:val="12"/>
              </w:rPr>
            </w:pPr>
            <w:r w:rsidRPr="007841EB">
              <w:rPr>
                <w:b/>
                <w:color w:val="000000" w:themeColor="text1"/>
                <w:sz w:val="12"/>
              </w:rPr>
              <w:t>Year</w:t>
            </w:r>
          </w:p>
        </w:tc>
        <w:tc>
          <w:tcPr>
            <w:tcW w:w="3553" w:type="dxa"/>
          </w:tcPr>
          <w:p w:rsidR="00280DF2" w:rsidRPr="007841EB" w:rsidP="009C5286" w14:paraId="61C0835B" w14:textId="77777777">
            <w:pPr>
              <w:pStyle w:val="TableParagraph"/>
              <w:spacing w:line="130" w:lineRule="exact"/>
              <w:rPr>
                <w:b/>
                <w:color w:val="000000" w:themeColor="text1"/>
                <w:sz w:val="12"/>
              </w:rPr>
            </w:pPr>
            <w:r w:rsidRPr="007841EB">
              <w:rPr>
                <w:b/>
                <w:color w:val="000000" w:themeColor="text1"/>
                <w:sz w:val="12"/>
              </w:rPr>
              <w:t>Method</w:t>
            </w:r>
          </w:p>
        </w:tc>
        <w:tc>
          <w:tcPr>
            <w:tcW w:w="1199" w:type="dxa"/>
          </w:tcPr>
          <w:p w:rsidR="00280DF2" w:rsidRPr="007841EB" w:rsidP="009C5286" w14:paraId="317C13F9" w14:textId="3C18D17A">
            <w:pPr>
              <w:pStyle w:val="TableParagraph"/>
              <w:spacing w:line="130" w:lineRule="exact"/>
              <w:rPr>
                <w:b/>
                <w:color w:val="000000" w:themeColor="text1"/>
                <w:sz w:val="12"/>
              </w:rPr>
            </w:pPr>
            <w:r w:rsidRPr="007841EB">
              <w:rPr>
                <w:b/>
                <w:color w:val="000000" w:themeColor="text1"/>
                <w:sz w:val="12"/>
              </w:rPr>
              <w:t>FOP</w:t>
            </w:r>
          </w:p>
        </w:tc>
        <w:tc>
          <w:tcPr>
            <w:tcW w:w="1199" w:type="dxa"/>
          </w:tcPr>
          <w:p w:rsidR="00280DF2" w:rsidRPr="007841EB" w:rsidP="009C5286" w14:paraId="0017101A" w14:textId="02AAE6ED">
            <w:pPr>
              <w:pStyle w:val="TableParagraph"/>
              <w:spacing w:line="130" w:lineRule="exact"/>
              <w:rPr>
                <w:b/>
                <w:color w:val="000000" w:themeColor="text1"/>
                <w:sz w:val="12"/>
              </w:rPr>
            </w:pPr>
            <w:r w:rsidRPr="007841EB">
              <w:rPr>
                <w:b/>
                <w:color w:val="000000" w:themeColor="text1"/>
                <w:sz w:val="12"/>
              </w:rPr>
              <w:t>FOP</w:t>
            </w:r>
            <w:r w:rsidRPr="007841EB">
              <w:rPr>
                <w:b/>
                <w:color w:val="000000" w:themeColor="text1"/>
                <w:sz w:val="12"/>
              </w:rPr>
              <w:t xml:space="preserve"> Image</w:t>
            </w:r>
          </w:p>
        </w:tc>
        <w:tc>
          <w:tcPr>
            <w:tcW w:w="550" w:type="dxa"/>
          </w:tcPr>
          <w:p w:rsidR="00280DF2" w:rsidRPr="007841EB" w:rsidP="009C5286" w14:paraId="0FD1645B" w14:textId="77777777">
            <w:pPr>
              <w:pStyle w:val="TableParagraph"/>
              <w:spacing w:line="130" w:lineRule="exact"/>
              <w:rPr>
                <w:b/>
                <w:color w:val="000000" w:themeColor="text1"/>
                <w:sz w:val="12"/>
              </w:rPr>
            </w:pPr>
            <w:r w:rsidRPr="007841EB">
              <w:rPr>
                <w:b/>
                <w:color w:val="000000" w:themeColor="text1"/>
                <w:sz w:val="12"/>
              </w:rPr>
              <w:t>Country</w:t>
            </w:r>
          </w:p>
        </w:tc>
        <w:tc>
          <w:tcPr>
            <w:tcW w:w="3487" w:type="dxa"/>
          </w:tcPr>
          <w:p w:rsidR="00280DF2" w:rsidRPr="007841EB" w:rsidP="009C5286" w14:paraId="6F039F4B" w14:textId="77777777">
            <w:pPr>
              <w:pStyle w:val="TableParagraph"/>
              <w:spacing w:line="130" w:lineRule="exact"/>
              <w:rPr>
                <w:b/>
                <w:color w:val="000000" w:themeColor="text1"/>
                <w:sz w:val="12"/>
              </w:rPr>
            </w:pPr>
            <w:r w:rsidRPr="007841EB">
              <w:rPr>
                <w:b/>
                <w:color w:val="000000" w:themeColor="text1"/>
                <w:sz w:val="12"/>
              </w:rPr>
              <w:t>Highlights of Findings</w:t>
            </w:r>
          </w:p>
        </w:tc>
      </w:tr>
      <w:tr w14:paraId="6647A45F" w14:textId="77777777" w:rsidTr="2F9D3AFB">
        <w:tblPrEx>
          <w:tblW w:w="0" w:type="auto"/>
          <w:tblInd w:w="113" w:type="dxa"/>
          <w:tblLayout w:type="fixed"/>
          <w:tblCellMar>
            <w:left w:w="0" w:type="dxa"/>
            <w:right w:w="0" w:type="dxa"/>
          </w:tblCellMar>
          <w:tblLook w:val="01E0"/>
        </w:tblPrEx>
        <w:trPr>
          <w:trHeight w:val="469"/>
        </w:trPr>
        <w:tc>
          <w:tcPr>
            <w:tcW w:w="1023" w:type="dxa"/>
          </w:tcPr>
          <w:p w:rsidR="00280DF2" w:rsidRPr="007841EB" w:rsidP="009C5286" w14:paraId="6C51A469" w14:textId="77777777">
            <w:pPr>
              <w:pStyle w:val="TableParagraph"/>
              <w:spacing w:line="140" w:lineRule="exact"/>
              <w:rPr>
                <w:color w:val="000000" w:themeColor="text1"/>
                <w:sz w:val="12"/>
              </w:rPr>
            </w:pPr>
            <w:r w:rsidRPr="007841EB">
              <w:rPr>
                <w:color w:val="000000" w:themeColor="text1"/>
                <w:sz w:val="12"/>
              </w:rPr>
              <w:t>Fernan, et al.</w:t>
            </w:r>
          </w:p>
        </w:tc>
        <w:tc>
          <w:tcPr>
            <w:tcW w:w="2101" w:type="dxa"/>
          </w:tcPr>
          <w:p w:rsidR="00280DF2" w:rsidRPr="007841EB" w:rsidP="009C5286" w14:paraId="131D3E72" w14:textId="77777777">
            <w:pPr>
              <w:pStyle w:val="TableParagraph"/>
              <w:spacing w:line="252" w:lineRule="auto"/>
              <w:ind w:right="148"/>
              <w:rPr>
                <w:color w:val="000000" w:themeColor="text1"/>
                <w:sz w:val="12"/>
              </w:rPr>
            </w:pPr>
            <w:r w:rsidRPr="007841EB">
              <w:rPr>
                <w:color w:val="000000" w:themeColor="text1"/>
                <w:sz w:val="12"/>
              </w:rPr>
              <w:t>Health Halo Effects from Product Titles and Nutrient Content Claims in the</w:t>
            </w:r>
          </w:p>
          <w:p w:rsidR="00280DF2" w:rsidRPr="007841EB" w:rsidP="009C5286" w14:paraId="63F14DFD" w14:textId="77777777">
            <w:pPr>
              <w:pStyle w:val="TableParagraph"/>
              <w:rPr>
                <w:color w:val="000000" w:themeColor="text1"/>
                <w:sz w:val="12"/>
              </w:rPr>
            </w:pPr>
            <w:r w:rsidRPr="007841EB">
              <w:rPr>
                <w:color w:val="000000" w:themeColor="text1"/>
                <w:sz w:val="12"/>
              </w:rPr>
              <w:t>Context of "Protein" Bars</w:t>
            </w:r>
          </w:p>
        </w:tc>
        <w:tc>
          <w:tcPr>
            <w:tcW w:w="330" w:type="dxa"/>
          </w:tcPr>
          <w:p w:rsidR="00280DF2" w:rsidRPr="00E33286" w:rsidP="009C5286" w14:paraId="3B49D40D" w14:textId="77777777">
            <w:pPr>
              <w:pStyle w:val="TableParagraph"/>
              <w:spacing w:line="140" w:lineRule="exact"/>
              <w:rPr>
                <w:color w:val="AF3A3C"/>
                <w:sz w:val="12"/>
              </w:rPr>
            </w:pPr>
            <w:r w:rsidRPr="00E33286">
              <w:rPr>
                <w:color w:val="AF3A3C"/>
                <w:sz w:val="12"/>
              </w:rPr>
              <w:t>2017</w:t>
            </w:r>
          </w:p>
        </w:tc>
        <w:tc>
          <w:tcPr>
            <w:tcW w:w="3553" w:type="dxa"/>
          </w:tcPr>
          <w:p w:rsidR="00280DF2" w:rsidRPr="007841EB" w:rsidP="009C5286" w14:paraId="1A58DB34" w14:textId="77777777">
            <w:pPr>
              <w:pStyle w:val="TableParagraph"/>
              <w:spacing w:line="140" w:lineRule="exact"/>
              <w:rPr>
                <w:color w:val="000000" w:themeColor="text1"/>
                <w:sz w:val="12"/>
              </w:rPr>
            </w:pPr>
            <w:r w:rsidRPr="007841EB">
              <w:rPr>
                <w:color w:val="000000" w:themeColor="text1"/>
                <w:sz w:val="12"/>
              </w:rPr>
              <w:t>Quantitative.</w:t>
            </w:r>
          </w:p>
          <w:p w:rsidR="00280DF2" w:rsidRPr="007841EB" w:rsidP="009C5286" w14:paraId="5DDE239E" w14:textId="77777777">
            <w:pPr>
              <w:pStyle w:val="TableParagraph"/>
              <w:spacing w:before="4" w:line="150" w:lineRule="atLeast"/>
              <w:ind w:right="2036"/>
              <w:rPr>
                <w:color w:val="000000" w:themeColor="text1"/>
                <w:sz w:val="12"/>
              </w:rPr>
            </w:pPr>
            <w:r w:rsidRPr="007841EB">
              <w:rPr>
                <w:color w:val="000000" w:themeColor="text1"/>
                <w:sz w:val="12"/>
              </w:rPr>
              <w:t>Between Subjects Experiment n=274</w:t>
            </w:r>
          </w:p>
        </w:tc>
        <w:tc>
          <w:tcPr>
            <w:tcW w:w="1199" w:type="dxa"/>
          </w:tcPr>
          <w:p w:rsidR="00280DF2" w:rsidRPr="007841EB" w:rsidP="009C5286" w14:paraId="2E095A69" w14:textId="77777777">
            <w:pPr>
              <w:pStyle w:val="TableParagraph"/>
              <w:spacing w:line="140" w:lineRule="exact"/>
              <w:rPr>
                <w:color w:val="000000" w:themeColor="text1"/>
                <w:sz w:val="12"/>
              </w:rPr>
            </w:pPr>
            <w:r w:rsidRPr="007841EB">
              <w:rPr>
                <w:color w:val="000000" w:themeColor="text1"/>
                <w:sz w:val="12"/>
              </w:rPr>
              <w:t>Traffic Light</w:t>
            </w:r>
          </w:p>
        </w:tc>
        <w:tc>
          <w:tcPr>
            <w:tcW w:w="1199" w:type="dxa"/>
          </w:tcPr>
          <w:p w:rsidR="00280DF2" w:rsidRPr="007841EB" w:rsidP="009C5286" w14:paraId="37DE4B35" w14:textId="77777777">
            <w:pPr>
              <w:pStyle w:val="TableParagraph"/>
              <w:ind w:left="35"/>
              <w:rPr>
                <w:rFonts w:ascii="Times New Roman"/>
                <w:color w:val="000000" w:themeColor="text1"/>
                <w:sz w:val="20"/>
              </w:rPr>
            </w:pPr>
            <w:r w:rsidRPr="007841EB">
              <w:rPr>
                <w:noProof/>
                <w:color w:val="000000" w:themeColor="text1"/>
              </w:rPr>
              <w:drawing>
                <wp:inline distT="0" distB="0" distL="0" distR="0">
                  <wp:extent cx="207136" cy="25574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png"/>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7136" cy="255746"/>
                          </a:xfrm>
                          <a:prstGeom prst="rect">
                            <a:avLst/>
                          </a:prstGeom>
                        </pic:spPr>
                      </pic:pic>
                    </a:graphicData>
                  </a:graphic>
                </wp:inline>
              </w:drawing>
            </w:r>
          </w:p>
        </w:tc>
        <w:tc>
          <w:tcPr>
            <w:tcW w:w="550" w:type="dxa"/>
          </w:tcPr>
          <w:p w:rsidR="00280DF2" w:rsidRPr="007841EB" w:rsidP="009C5286" w14:paraId="65F7FAA8" w14:textId="77777777">
            <w:pPr>
              <w:pStyle w:val="TableParagraph"/>
              <w:spacing w:line="140" w:lineRule="exact"/>
              <w:rPr>
                <w:color w:val="000000" w:themeColor="text1"/>
                <w:sz w:val="12"/>
              </w:rPr>
            </w:pPr>
            <w:r w:rsidRPr="007841EB">
              <w:rPr>
                <w:color w:val="000000" w:themeColor="text1"/>
                <w:sz w:val="12"/>
              </w:rPr>
              <w:t>USA</w:t>
            </w:r>
          </w:p>
        </w:tc>
        <w:tc>
          <w:tcPr>
            <w:tcW w:w="3487" w:type="dxa"/>
          </w:tcPr>
          <w:p w:rsidR="00280DF2" w:rsidRPr="007841EB" w:rsidP="009C5286" w14:paraId="7557E707" w14:textId="77777777">
            <w:pPr>
              <w:pStyle w:val="TableParagraph"/>
              <w:spacing w:line="252" w:lineRule="auto"/>
              <w:rPr>
                <w:color w:val="000000" w:themeColor="text1"/>
                <w:sz w:val="12"/>
              </w:rPr>
            </w:pPr>
            <w:r w:rsidRPr="007841EB">
              <w:rPr>
                <w:color w:val="000000" w:themeColor="text1"/>
                <w:sz w:val="12"/>
              </w:rPr>
              <w:t>Product title (e.g., Protein Bar") had a greater effect on measures of product healthfulness than did the traffic light symbol.</w:t>
            </w:r>
          </w:p>
        </w:tc>
      </w:tr>
      <w:tr w14:paraId="12B379A1" w14:textId="77777777" w:rsidTr="2F9D3AFB">
        <w:tblPrEx>
          <w:tblW w:w="0" w:type="auto"/>
          <w:tblInd w:w="113" w:type="dxa"/>
          <w:tblLayout w:type="fixed"/>
          <w:tblCellMar>
            <w:left w:w="0" w:type="dxa"/>
            <w:right w:w="0" w:type="dxa"/>
          </w:tblCellMar>
          <w:tblLook w:val="01E0"/>
        </w:tblPrEx>
        <w:trPr>
          <w:trHeight w:val="1458"/>
        </w:trPr>
        <w:tc>
          <w:tcPr>
            <w:tcW w:w="1023" w:type="dxa"/>
          </w:tcPr>
          <w:p w:rsidR="00280DF2" w:rsidRPr="00E33286" w:rsidP="009C5286" w14:paraId="6579C626" w14:textId="77777777">
            <w:pPr>
              <w:pStyle w:val="TableParagraph"/>
              <w:spacing w:line="252" w:lineRule="auto"/>
              <w:ind w:right="114"/>
              <w:rPr>
                <w:color w:val="000000" w:themeColor="text1"/>
                <w:sz w:val="12"/>
              </w:rPr>
            </w:pPr>
            <w:r w:rsidRPr="00E33286">
              <w:rPr>
                <w:color w:val="000000" w:themeColor="text1"/>
                <w:sz w:val="12"/>
              </w:rPr>
              <w:t>Georgina-Russell, et al.</w:t>
            </w:r>
          </w:p>
        </w:tc>
        <w:tc>
          <w:tcPr>
            <w:tcW w:w="2101" w:type="dxa"/>
          </w:tcPr>
          <w:p w:rsidR="00280DF2" w:rsidRPr="00E33286" w:rsidP="009C5286" w14:paraId="0BB38064" w14:textId="77777777">
            <w:pPr>
              <w:pStyle w:val="TableParagraph"/>
              <w:spacing w:line="252" w:lineRule="auto"/>
              <w:ind w:right="186"/>
              <w:jc w:val="both"/>
              <w:rPr>
                <w:color w:val="000000" w:themeColor="text1"/>
                <w:sz w:val="12"/>
              </w:rPr>
            </w:pPr>
            <w:r w:rsidRPr="00E33286">
              <w:rPr>
                <w:color w:val="000000" w:themeColor="text1"/>
                <w:sz w:val="12"/>
              </w:rPr>
              <w:t>The impact of front-of-pack marketing attributes versus nutrition and health information on parents' food choices</w:t>
            </w:r>
          </w:p>
        </w:tc>
        <w:tc>
          <w:tcPr>
            <w:tcW w:w="330" w:type="dxa"/>
          </w:tcPr>
          <w:p w:rsidR="00280DF2" w:rsidRPr="00E33286" w:rsidP="009C5286" w14:paraId="005134FA" w14:textId="77777777">
            <w:pPr>
              <w:pStyle w:val="TableParagraph"/>
              <w:spacing w:line="140" w:lineRule="exact"/>
              <w:rPr>
                <w:color w:val="AF3A3C"/>
                <w:sz w:val="12"/>
              </w:rPr>
            </w:pPr>
            <w:r w:rsidRPr="00E33286">
              <w:rPr>
                <w:color w:val="AF3A3C"/>
                <w:sz w:val="12"/>
              </w:rPr>
              <w:t>2017</w:t>
            </w:r>
          </w:p>
        </w:tc>
        <w:tc>
          <w:tcPr>
            <w:tcW w:w="3553" w:type="dxa"/>
          </w:tcPr>
          <w:p w:rsidR="00280DF2" w:rsidRPr="00E33286" w:rsidP="009C5286" w14:paraId="466A1A96" w14:textId="77777777">
            <w:pPr>
              <w:pStyle w:val="TableParagraph"/>
              <w:spacing w:line="140" w:lineRule="exact"/>
              <w:rPr>
                <w:color w:val="000000" w:themeColor="text1"/>
                <w:sz w:val="12"/>
              </w:rPr>
            </w:pPr>
            <w:r w:rsidRPr="00E33286">
              <w:rPr>
                <w:color w:val="000000" w:themeColor="text1"/>
                <w:sz w:val="12"/>
              </w:rPr>
              <w:t>Quantitative.</w:t>
            </w:r>
          </w:p>
          <w:p w:rsidR="00280DF2" w:rsidRPr="00E33286" w:rsidP="009C5286" w14:paraId="6F8AB612" w14:textId="77777777">
            <w:pPr>
              <w:pStyle w:val="TableParagraph"/>
              <w:spacing w:before="7" w:line="252" w:lineRule="auto"/>
              <w:ind w:right="2160"/>
              <w:rPr>
                <w:color w:val="000000" w:themeColor="text1"/>
                <w:sz w:val="12"/>
              </w:rPr>
            </w:pPr>
            <w:r w:rsidRPr="00E33286">
              <w:rPr>
                <w:color w:val="000000" w:themeColor="text1"/>
                <w:sz w:val="12"/>
              </w:rPr>
              <w:t>Discrete choice experiment n=520 parents</w:t>
            </w:r>
          </w:p>
        </w:tc>
        <w:tc>
          <w:tcPr>
            <w:tcW w:w="1199" w:type="dxa"/>
          </w:tcPr>
          <w:p w:rsidR="00280DF2" w:rsidRPr="00E33286" w:rsidP="009C5286" w14:paraId="3777C700" w14:textId="77777777">
            <w:pPr>
              <w:pStyle w:val="TableParagraph"/>
              <w:spacing w:line="252" w:lineRule="auto"/>
              <w:ind w:right="257"/>
              <w:rPr>
                <w:color w:val="000000" w:themeColor="text1"/>
                <w:sz w:val="12"/>
              </w:rPr>
            </w:pPr>
            <w:r w:rsidRPr="00E33286">
              <w:rPr>
                <w:color w:val="000000" w:themeColor="text1"/>
                <w:sz w:val="12"/>
              </w:rPr>
              <w:t>Health Star Rating (HSR)</w:t>
            </w:r>
          </w:p>
        </w:tc>
        <w:tc>
          <w:tcPr>
            <w:tcW w:w="1199" w:type="dxa"/>
          </w:tcPr>
          <w:p w:rsidR="00280DF2" w:rsidRPr="00E33286" w:rsidP="009C5286" w14:paraId="091A2B96" w14:textId="77777777">
            <w:pPr>
              <w:pStyle w:val="TableParagraph"/>
              <w:spacing w:before="5"/>
              <w:ind w:left="0"/>
              <w:rPr>
                <w:rFonts w:ascii="Times New Roman"/>
                <w:color w:val="000000" w:themeColor="text1"/>
                <w:sz w:val="2"/>
              </w:rPr>
            </w:pPr>
          </w:p>
          <w:p w:rsidR="00280DF2" w:rsidRPr="007841EB" w:rsidP="009C5286" w14:paraId="4C06D223" w14:textId="77777777">
            <w:pPr>
              <w:pStyle w:val="TableParagraph"/>
              <w:ind w:left="35"/>
              <w:rPr>
                <w:rFonts w:ascii="Times New Roman"/>
                <w:color w:val="000000" w:themeColor="text1"/>
                <w:sz w:val="20"/>
              </w:rPr>
            </w:pPr>
            <w:r w:rsidRPr="007841EB">
              <w:rPr>
                <w:noProof/>
                <w:color w:val="000000" w:themeColor="text1"/>
              </w:rPr>
              <w:drawing>
                <wp:inline distT="0" distB="0" distL="0" distR="0">
                  <wp:extent cx="704062" cy="65608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png"/>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04062" cy="656081"/>
                          </a:xfrm>
                          <a:prstGeom prst="rect">
                            <a:avLst/>
                          </a:prstGeom>
                        </pic:spPr>
                      </pic:pic>
                    </a:graphicData>
                  </a:graphic>
                </wp:inline>
              </w:drawing>
            </w:r>
          </w:p>
        </w:tc>
        <w:tc>
          <w:tcPr>
            <w:tcW w:w="550" w:type="dxa"/>
          </w:tcPr>
          <w:p w:rsidR="00280DF2" w:rsidRPr="007841EB" w:rsidP="009C5286" w14:paraId="3CB86ED8" w14:textId="77777777">
            <w:pPr>
              <w:pStyle w:val="TableParagraph"/>
              <w:spacing w:line="140" w:lineRule="exact"/>
              <w:rPr>
                <w:color w:val="000000" w:themeColor="text1"/>
                <w:sz w:val="12"/>
              </w:rPr>
            </w:pPr>
            <w:r w:rsidRPr="007841EB">
              <w:rPr>
                <w:color w:val="000000" w:themeColor="text1"/>
                <w:sz w:val="12"/>
              </w:rPr>
              <w:t>Australia</w:t>
            </w:r>
          </w:p>
        </w:tc>
        <w:tc>
          <w:tcPr>
            <w:tcW w:w="3487" w:type="dxa"/>
          </w:tcPr>
          <w:p w:rsidR="00280DF2" w:rsidRPr="007841EB" w:rsidP="009C5286" w14:paraId="0A811E0D" w14:textId="03F27161">
            <w:pPr>
              <w:pStyle w:val="TableParagraph"/>
              <w:spacing w:line="252" w:lineRule="auto"/>
              <w:ind w:right="25"/>
              <w:rPr>
                <w:color w:val="000000" w:themeColor="text1"/>
                <w:sz w:val="12"/>
              </w:rPr>
            </w:pPr>
            <w:r w:rsidRPr="007841EB">
              <w:rPr>
                <w:color w:val="000000" w:themeColor="text1"/>
                <w:sz w:val="12"/>
              </w:rPr>
              <w:t xml:space="preserve">Parents preferred cereal with 5 stars and least preferred cereal with 2 stars, but the color of the cereal made the biggest impact on preference (because they really didn't like the colorful flakes!) "The present findings indicate that </w:t>
            </w:r>
            <w:r w:rsidRPr="007841EB">
              <w:rPr>
                <w:color w:val="000000" w:themeColor="text1"/>
                <w:sz w:val="12"/>
              </w:rPr>
              <w:t>in order to</w:t>
            </w:r>
            <w:r w:rsidRPr="007841EB">
              <w:rPr>
                <w:color w:val="000000" w:themeColor="text1"/>
                <w:sz w:val="12"/>
              </w:rPr>
              <w:t xml:space="preserve"> shift parents ‘packaged food choices towards healthier alternatives, which is the aim of government-initiated </w:t>
            </w:r>
            <w:r w:rsidRPr="007841EB" w:rsidR="00F638F1">
              <w:rPr>
                <w:color w:val="000000" w:themeColor="text1"/>
                <w:sz w:val="12"/>
              </w:rPr>
              <w:t>FOP</w:t>
            </w:r>
            <w:r w:rsidRPr="007841EB">
              <w:rPr>
                <w:color w:val="000000" w:themeColor="text1"/>
                <w:sz w:val="12"/>
              </w:rPr>
              <w:t xml:space="preserve"> health and nutrition labeling systems, consideration needs to be given to not only the impact of such systems in isolation, but their effects when they co-occur with marketing attributes..."</w:t>
            </w:r>
          </w:p>
        </w:tc>
      </w:tr>
      <w:tr w14:paraId="2354171D" w14:textId="77777777" w:rsidTr="2F9D3AFB">
        <w:tblPrEx>
          <w:tblW w:w="0" w:type="auto"/>
          <w:tblInd w:w="113" w:type="dxa"/>
          <w:tblLayout w:type="fixed"/>
          <w:tblCellMar>
            <w:left w:w="0" w:type="dxa"/>
            <w:right w:w="0" w:type="dxa"/>
          </w:tblCellMar>
          <w:tblLook w:val="01E0"/>
        </w:tblPrEx>
        <w:trPr>
          <w:trHeight w:val="1459"/>
        </w:trPr>
        <w:tc>
          <w:tcPr>
            <w:tcW w:w="1023" w:type="dxa"/>
          </w:tcPr>
          <w:p w:rsidR="00280DF2" w:rsidRPr="007841EB" w:rsidP="009C5286" w14:paraId="0A4DDF25" w14:textId="77777777">
            <w:pPr>
              <w:pStyle w:val="TableParagraph"/>
              <w:spacing w:line="140" w:lineRule="exact"/>
              <w:rPr>
                <w:color w:val="000000" w:themeColor="text1"/>
                <w:sz w:val="12"/>
              </w:rPr>
            </w:pPr>
            <w:r w:rsidRPr="007841EB">
              <w:rPr>
                <w:color w:val="000000" w:themeColor="text1"/>
                <w:sz w:val="12"/>
              </w:rPr>
              <w:t>Graham, et al.</w:t>
            </w:r>
          </w:p>
        </w:tc>
        <w:tc>
          <w:tcPr>
            <w:tcW w:w="2101" w:type="dxa"/>
          </w:tcPr>
          <w:p w:rsidR="00280DF2" w:rsidRPr="007841EB" w:rsidP="009C5286" w14:paraId="6876571F" w14:textId="77777777">
            <w:pPr>
              <w:pStyle w:val="TableParagraph"/>
              <w:spacing w:line="252" w:lineRule="auto"/>
              <w:ind w:right="19"/>
              <w:jc w:val="both"/>
              <w:rPr>
                <w:color w:val="000000" w:themeColor="text1"/>
                <w:sz w:val="12"/>
              </w:rPr>
            </w:pPr>
            <w:r w:rsidRPr="007841EB">
              <w:rPr>
                <w:color w:val="000000" w:themeColor="text1"/>
                <w:sz w:val="12"/>
              </w:rPr>
              <w:t>Impact of explained v. unexplained front- of-package nutrition labels on parent and child food choices: a randomized trial</w:t>
            </w:r>
          </w:p>
        </w:tc>
        <w:tc>
          <w:tcPr>
            <w:tcW w:w="330" w:type="dxa"/>
          </w:tcPr>
          <w:p w:rsidR="00280DF2" w:rsidRPr="00E33286" w:rsidP="009C5286" w14:paraId="1EF92172" w14:textId="77777777">
            <w:pPr>
              <w:pStyle w:val="TableParagraph"/>
              <w:spacing w:line="140" w:lineRule="exact"/>
              <w:rPr>
                <w:color w:val="AF3A3C"/>
                <w:sz w:val="12"/>
              </w:rPr>
            </w:pPr>
            <w:r w:rsidRPr="00E33286">
              <w:rPr>
                <w:color w:val="AF3A3C"/>
                <w:sz w:val="12"/>
              </w:rPr>
              <w:t>2017</w:t>
            </w:r>
          </w:p>
        </w:tc>
        <w:tc>
          <w:tcPr>
            <w:tcW w:w="3553" w:type="dxa"/>
          </w:tcPr>
          <w:p w:rsidR="00280DF2" w:rsidRPr="007841EB" w:rsidP="009C5286" w14:paraId="5684DC71" w14:textId="77777777">
            <w:pPr>
              <w:pStyle w:val="TableParagraph"/>
              <w:spacing w:line="252" w:lineRule="auto"/>
              <w:ind w:right="2275"/>
              <w:rPr>
                <w:color w:val="000000" w:themeColor="text1"/>
                <w:sz w:val="12"/>
              </w:rPr>
            </w:pPr>
            <w:r w:rsidRPr="007841EB">
              <w:rPr>
                <w:color w:val="000000" w:themeColor="text1"/>
                <w:sz w:val="12"/>
              </w:rPr>
              <w:t>Quantitative. Experimental study n=153 parent/child pairs</w:t>
            </w:r>
          </w:p>
        </w:tc>
        <w:tc>
          <w:tcPr>
            <w:tcW w:w="1199" w:type="dxa"/>
          </w:tcPr>
          <w:p w:rsidR="00280DF2" w:rsidRPr="007841EB" w:rsidP="009C5286" w14:paraId="4209C693" w14:textId="77777777">
            <w:pPr>
              <w:pStyle w:val="TableParagraph"/>
              <w:numPr>
                <w:ilvl w:val="0"/>
                <w:numId w:val="46"/>
              </w:numPr>
              <w:tabs>
                <w:tab w:val="left" w:pos="147"/>
              </w:tabs>
              <w:spacing w:line="140" w:lineRule="exact"/>
              <w:ind w:hanging="121"/>
              <w:rPr>
                <w:color w:val="000000" w:themeColor="text1"/>
                <w:sz w:val="12"/>
              </w:rPr>
            </w:pPr>
            <w:r w:rsidRPr="007841EB">
              <w:rPr>
                <w:color w:val="000000" w:themeColor="text1"/>
                <w:sz w:val="12"/>
              </w:rPr>
              <w:t>Traffic</w:t>
            </w:r>
            <w:r w:rsidRPr="007841EB">
              <w:rPr>
                <w:color w:val="000000" w:themeColor="text1"/>
                <w:spacing w:val="-2"/>
                <w:sz w:val="12"/>
              </w:rPr>
              <w:t xml:space="preserve"> </w:t>
            </w:r>
            <w:r w:rsidRPr="007841EB">
              <w:rPr>
                <w:color w:val="000000" w:themeColor="text1"/>
                <w:sz w:val="12"/>
              </w:rPr>
              <w:t>light</w:t>
            </w:r>
          </w:p>
          <w:p w:rsidR="00280DF2" w:rsidRPr="007841EB" w:rsidP="009C5286" w14:paraId="0C13C1FC" w14:textId="77777777">
            <w:pPr>
              <w:pStyle w:val="TableParagraph"/>
              <w:numPr>
                <w:ilvl w:val="0"/>
                <w:numId w:val="46"/>
              </w:numPr>
              <w:tabs>
                <w:tab w:val="left" w:pos="147"/>
              </w:tabs>
              <w:spacing w:before="7"/>
              <w:ind w:hanging="121"/>
              <w:rPr>
                <w:color w:val="000000" w:themeColor="text1"/>
                <w:sz w:val="12"/>
              </w:rPr>
            </w:pPr>
            <w:r w:rsidRPr="007841EB">
              <w:rPr>
                <w:color w:val="000000" w:themeColor="text1"/>
                <w:sz w:val="12"/>
              </w:rPr>
              <w:t>Facts-up-front</w:t>
            </w:r>
          </w:p>
        </w:tc>
        <w:tc>
          <w:tcPr>
            <w:tcW w:w="1199" w:type="dxa"/>
          </w:tcPr>
          <w:p w:rsidR="00280DF2" w:rsidRPr="007841EB" w:rsidP="009C5286" w14:paraId="6D058615" w14:textId="77777777">
            <w:pPr>
              <w:pStyle w:val="TableParagraph"/>
              <w:spacing w:before="22"/>
              <w:ind w:left="59"/>
              <w:rPr>
                <w:color w:val="000000" w:themeColor="text1"/>
                <w:sz w:val="12"/>
              </w:rPr>
            </w:pPr>
            <w:r w:rsidRPr="007841EB">
              <w:rPr>
                <w:color w:val="000000" w:themeColor="text1"/>
                <w:sz w:val="12"/>
              </w:rPr>
              <w:t>N/A</w:t>
            </w:r>
          </w:p>
        </w:tc>
        <w:tc>
          <w:tcPr>
            <w:tcW w:w="550" w:type="dxa"/>
          </w:tcPr>
          <w:p w:rsidR="00280DF2" w:rsidRPr="007841EB" w:rsidP="009C5286" w14:paraId="07F5D3E9" w14:textId="77777777">
            <w:pPr>
              <w:pStyle w:val="TableParagraph"/>
              <w:spacing w:line="140" w:lineRule="exact"/>
              <w:rPr>
                <w:color w:val="000000" w:themeColor="text1"/>
                <w:sz w:val="12"/>
              </w:rPr>
            </w:pPr>
            <w:r w:rsidRPr="007841EB">
              <w:rPr>
                <w:color w:val="000000" w:themeColor="text1"/>
                <w:sz w:val="12"/>
              </w:rPr>
              <w:t>USA</w:t>
            </w:r>
          </w:p>
        </w:tc>
        <w:tc>
          <w:tcPr>
            <w:tcW w:w="3487" w:type="dxa"/>
          </w:tcPr>
          <w:p w:rsidR="00280DF2" w:rsidRPr="007841EB" w:rsidP="009C5286" w14:paraId="7CCF43EB" w14:textId="65243E7F">
            <w:pPr>
              <w:pStyle w:val="TableParagraph"/>
              <w:spacing w:line="252" w:lineRule="auto"/>
              <w:ind w:right="33"/>
              <w:rPr>
                <w:color w:val="000000" w:themeColor="text1"/>
                <w:sz w:val="12"/>
              </w:rPr>
            </w:pPr>
            <w:r w:rsidRPr="007841EB">
              <w:rPr>
                <w:color w:val="000000" w:themeColor="text1"/>
                <w:sz w:val="12"/>
              </w:rPr>
              <w:t xml:space="preserve">Study found virtually no effect of either type of </w:t>
            </w:r>
            <w:r w:rsidRPr="007841EB" w:rsidR="00F638F1">
              <w:rPr>
                <w:color w:val="000000" w:themeColor="text1"/>
                <w:sz w:val="12"/>
              </w:rPr>
              <w:t>FOP</w:t>
            </w:r>
            <w:r w:rsidRPr="007841EB">
              <w:rPr>
                <w:color w:val="000000" w:themeColor="text1"/>
                <w:sz w:val="12"/>
              </w:rPr>
              <w:t xml:space="preserve"> label on selecting of more healthful product. Found some modest effects of in-aisle explanatory signage.</w:t>
            </w:r>
          </w:p>
        </w:tc>
      </w:tr>
      <w:tr w14:paraId="0C60E6AA" w14:textId="77777777" w:rsidTr="2F9D3AFB">
        <w:tblPrEx>
          <w:tblW w:w="0" w:type="auto"/>
          <w:tblInd w:w="113" w:type="dxa"/>
          <w:tblLayout w:type="fixed"/>
          <w:tblCellMar>
            <w:left w:w="0" w:type="dxa"/>
            <w:right w:w="0" w:type="dxa"/>
          </w:tblCellMar>
          <w:tblLook w:val="01E0"/>
        </w:tblPrEx>
        <w:trPr>
          <w:trHeight w:val="2284"/>
        </w:trPr>
        <w:tc>
          <w:tcPr>
            <w:tcW w:w="1023" w:type="dxa"/>
          </w:tcPr>
          <w:p w:rsidR="00280DF2" w:rsidRPr="007841EB" w:rsidP="009C5286" w14:paraId="6C0789B3" w14:textId="77777777">
            <w:pPr>
              <w:pStyle w:val="TableParagraph"/>
              <w:spacing w:line="140" w:lineRule="exact"/>
              <w:rPr>
                <w:color w:val="000000" w:themeColor="text1"/>
                <w:sz w:val="12"/>
              </w:rPr>
            </w:pPr>
            <w:r w:rsidRPr="007841EB">
              <w:rPr>
                <w:color w:val="000000" w:themeColor="text1"/>
                <w:sz w:val="12"/>
              </w:rPr>
              <w:t>Hobin</w:t>
            </w:r>
            <w:r w:rsidRPr="007841EB">
              <w:rPr>
                <w:color w:val="000000" w:themeColor="text1"/>
                <w:sz w:val="12"/>
              </w:rPr>
              <w:t>, et al.</w:t>
            </w:r>
          </w:p>
        </w:tc>
        <w:tc>
          <w:tcPr>
            <w:tcW w:w="2101" w:type="dxa"/>
          </w:tcPr>
          <w:p w:rsidR="00280DF2" w:rsidRPr="007841EB" w:rsidP="009C5286" w14:paraId="783A93E1" w14:textId="109AE574">
            <w:pPr>
              <w:pStyle w:val="TableParagraph"/>
              <w:spacing w:line="252" w:lineRule="auto"/>
              <w:rPr>
                <w:color w:val="000000" w:themeColor="text1"/>
                <w:sz w:val="12"/>
              </w:rPr>
            </w:pPr>
            <w:r w:rsidRPr="007841EB">
              <w:rPr>
                <w:color w:val="000000" w:themeColor="text1"/>
                <w:sz w:val="12"/>
              </w:rPr>
              <w:t>Consumers' Response to an O</w:t>
            </w:r>
            <w:r w:rsidRPr="007841EB" w:rsidR="004B6E26">
              <w:rPr>
                <w:color w:val="000000" w:themeColor="text1"/>
                <w:sz w:val="12"/>
              </w:rPr>
              <w:t>Nutri-Score</w:t>
            </w:r>
            <w:r w:rsidRPr="007841EB">
              <w:rPr>
                <w:color w:val="000000" w:themeColor="text1"/>
                <w:sz w:val="12"/>
              </w:rPr>
              <w:t>helf Nutrition Labelling System in Supermarkets: Evidence to Inform Policy and Practice</w:t>
            </w:r>
          </w:p>
        </w:tc>
        <w:tc>
          <w:tcPr>
            <w:tcW w:w="330" w:type="dxa"/>
          </w:tcPr>
          <w:p w:rsidR="00280DF2" w:rsidRPr="00E33286" w:rsidP="009C5286" w14:paraId="7A4828AE" w14:textId="77777777">
            <w:pPr>
              <w:pStyle w:val="TableParagraph"/>
              <w:spacing w:line="140" w:lineRule="exact"/>
              <w:rPr>
                <w:color w:val="AF3A3C"/>
                <w:sz w:val="12"/>
              </w:rPr>
            </w:pPr>
            <w:r w:rsidRPr="00E33286">
              <w:rPr>
                <w:color w:val="AF3A3C"/>
                <w:sz w:val="12"/>
              </w:rPr>
              <w:t>2017</w:t>
            </w:r>
          </w:p>
        </w:tc>
        <w:tc>
          <w:tcPr>
            <w:tcW w:w="3553" w:type="dxa"/>
          </w:tcPr>
          <w:p w:rsidR="00280DF2" w:rsidRPr="007841EB" w:rsidP="009C5286" w14:paraId="3D4D847C" w14:textId="77777777">
            <w:pPr>
              <w:pStyle w:val="TableParagraph"/>
              <w:spacing w:line="140" w:lineRule="exact"/>
              <w:rPr>
                <w:color w:val="000000" w:themeColor="text1"/>
                <w:sz w:val="12"/>
              </w:rPr>
            </w:pPr>
            <w:r w:rsidRPr="007841EB">
              <w:rPr>
                <w:color w:val="000000" w:themeColor="text1"/>
                <w:sz w:val="12"/>
              </w:rPr>
              <w:t>Quantitative.</w:t>
            </w:r>
          </w:p>
          <w:p w:rsidR="00280DF2" w:rsidRPr="007841EB" w:rsidP="009C5286" w14:paraId="61E06AD4" w14:textId="77777777">
            <w:pPr>
              <w:pStyle w:val="TableParagraph"/>
              <w:spacing w:before="7"/>
              <w:rPr>
                <w:color w:val="000000" w:themeColor="text1"/>
                <w:sz w:val="12"/>
              </w:rPr>
            </w:pPr>
            <w:r w:rsidRPr="007841EB">
              <w:rPr>
                <w:color w:val="000000" w:themeColor="text1"/>
                <w:sz w:val="12"/>
              </w:rPr>
              <w:t>Quasi-experiment and "exit" survey</w:t>
            </w:r>
          </w:p>
          <w:p w:rsidR="00280DF2" w:rsidRPr="007841EB" w:rsidP="009C5286" w14:paraId="796F226D" w14:textId="77777777">
            <w:pPr>
              <w:pStyle w:val="TableParagraph"/>
              <w:numPr>
                <w:ilvl w:val="0"/>
                <w:numId w:val="45"/>
              </w:numPr>
              <w:tabs>
                <w:tab w:val="left" w:pos="147"/>
              </w:tabs>
              <w:spacing w:before="8"/>
              <w:ind w:hanging="121"/>
              <w:rPr>
                <w:color w:val="000000" w:themeColor="text1"/>
                <w:sz w:val="12"/>
              </w:rPr>
            </w:pPr>
            <w:r w:rsidRPr="007841EB">
              <w:rPr>
                <w:color w:val="000000" w:themeColor="text1"/>
                <w:sz w:val="12"/>
              </w:rPr>
              <w:t>Experiment: n= 3</w:t>
            </w:r>
            <w:r w:rsidRPr="007841EB">
              <w:rPr>
                <w:color w:val="000000" w:themeColor="text1"/>
                <w:spacing w:val="-17"/>
                <w:sz w:val="12"/>
              </w:rPr>
              <w:t xml:space="preserve"> </w:t>
            </w:r>
            <w:r w:rsidRPr="007841EB">
              <w:rPr>
                <w:color w:val="000000" w:themeColor="text1"/>
                <w:sz w:val="12"/>
              </w:rPr>
              <w:t>supermarkets;</w:t>
            </w:r>
          </w:p>
          <w:p w:rsidR="00280DF2" w:rsidRPr="007841EB" w:rsidP="009C5286" w14:paraId="3788A084" w14:textId="77777777">
            <w:pPr>
              <w:pStyle w:val="TableParagraph"/>
              <w:numPr>
                <w:ilvl w:val="0"/>
                <w:numId w:val="45"/>
              </w:numPr>
              <w:tabs>
                <w:tab w:val="left" w:pos="147"/>
              </w:tabs>
              <w:spacing w:before="7"/>
              <w:ind w:hanging="121"/>
              <w:rPr>
                <w:color w:val="000000" w:themeColor="text1"/>
                <w:sz w:val="12"/>
              </w:rPr>
            </w:pPr>
            <w:r w:rsidRPr="007841EB">
              <w:rPr>
                <w:color w:val="000000" w:themeColor="text1"/>
                <w:sz w:val="12"/>
              </w:rPr>
              <w:t>Survey: n=783</w:t>
            </w:r>
            <w:r w:rsidRPr="007841EB">
              <w:rPr>
                <w:color w:val="000000" w:themeColor="text1"/>
                <w:spacing w:val="-6"/>
                <w:sz w:val="12"/>
              </w:rPr>
              <w:t xml:space="preserve"> </w:t>
            </w:r>
            <w:r w:rsidRPr="007841EB">
              <w:rPr>
                <w:color w:val="000000" w:themeColor="text1"/>
                <w:sz w:val="12"/>
              </w:rPr>
              <w:t>participants</w:t>
            </w:r>
          </w:p>
        </w:tc>
        <w:tc>
          <w:tcPr>
            <w:tcW w:w="1199" w:type="dxa"/>
          </w:tcPr>
          <w:p w:rsidR="00280DF2" w:rsidRPr="007841EB" w:rsidP="009C5286" w14:paraId="0F82B79B" w14:textId="77777777">
            <w:pPr>
              <w:pStyle w:val="TableParagraph"/>
              <w:spacing w:line="140" w:lineRule="exact"/>
              <w:rPr>
                <w:color w:val="000000" w:themeColor="text1"/>
                <w:sz w:val="12"/>
              </w:rPr>
            </w:pPr>
            <w:r w:rsidRPr="007841EB">
              <w:rPr>
                <w:color w:val="000000" w:themeColor="text1"/>
                <w:sz w:val="12"/>
              </w:rPr>
              <w:t>Guiding Stars</w:t>
            </w:r>
          </w:p>
        </w:tc>
        <w:tc>
          <w:tcPr>
            <w:tcW w:w="1199" w:type="dxa"/>
          </w:tcPr>
          <w:p w:rsidR="00280DF2" w:rsidRPr="00E33286" w:rsidP="009C5286" w14:paraId="24CA6C02" w14:textId="77777777">
            <w:pPr>
              <w:pStyle w:val="TableParagraph"/>
              <w:ind w:left="18" w:right="-3"/>
              <w:rPr>
                <w:rFonts w:ascii="Times New Roman"/>
                <w:color w:val="000000" w:themeColor="text1"/>
                <w:sz w:val="20"/>
              </w:rPr>
            </w:pPr>
            <w:r w:rsidRPr="00E33286">
              <w:rPr>
                <w:noProof/>
                <w:color w:val="000000" w:themeColor="text1"/>
              </w:rPr>
              <w:drawing>
                <wp:inline distT="0" distB="0" distL="0" distR="0">
                  <wp:extent cx="716639" cy="50920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png"/>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16639" cy="509206"/>
                          </a:xfrm>
                          <a:prstGeom prst="rect">
                            <a:avLst/>
                          </a:prstGeom>
                        </pic:spPr>
                      </pic:pic>
                    </a:graphicData>
                  </a:graphic>
                </wp:inline>
              </w:drawing>
            </w:r>
          </w:p>
        </w:tc>
        <w:tc>
          <w:tcPr>
            <w:tcW w:w="550" w:type="dxa"/>
          </w:tcPr>
          <w:p w:rsidR="00280DF2" w:rsidRPr="00E33286" w:rsidP="009C5286" w14:paraId="049E5322" w14:textId="77777777">
            <w:pPr>
              <w:pStyle w:val="TableParagraph"/>
              <w:spacing w:line="140" w:lineRule="exact"/>
              <w:rPr>
                <w:color w:val="000000" w:themeColor="text1"/>
                <w:sz w:val="12"/>
              </w:rPr>
            </w:pPr>
            <w:r w:rsidRPr="00E33286">
              <w:rPr>
                <w:color w:val="000000" w:themeColor="text1"/>
                <w:sz w:val="12"/>
              </w:rPr>
              <w:t>Canada</w:t>
            </w:r>
          </w:p>
        </w:tc>
        <w:tc>
          <w:tcPr>
            <w:tcW w:w="3487" w:type="dxa"/>
          </w:tcPr>
          <w:p w:rsidR="00280DF2" w:rsidRPr="00E33286" w:rsidP="009C5286" w14:paraId="48E800FD" w14:textId="77777777">
            <w:pPr>
              <w:pStyle w:val="TableParagraph"/>
              <w:spacing w:line="252" w:lineRule="auto"/>
              <w:ind w:right="9"/>
              <w:rPr>
                <w:color w:val="000000" w:themeColor="text1"/>
                <w:sz w:val="12"/>
              </w:rPr>
            </w:pPr>
            <w:r w:rsidRPr="00E33286">
              <w:rPr>
                <w:color w:val="000000" w:themeColor="text1"/>
                <w:sz w:val="12"/>
              </w:rPr>
              <w:t xml:space="preserve">Relative to control supermarkets, shoppers </w:t>
            </w:r>
            <w:r w:rsidRPr="00E33286">
              <w:rPr>
                <w:color w:val="000000" w:themeColor="text1"/>
                <w:spacing w:val="1"/>
                <w:sz w:val="12"/>
              </w:rPr>
              <w:t xml:space="preserve">in </w:t>
            </w:r>
            <w:r w:rsidRPr="00E33286">
              <w:rPr>
                <w:color w:val="000000" w:themeColor="text1"/>
                <w:sz w:val="12"/>
              </w:rPr>
              <w:t xml:space="preserve">intervention supermarkets made small but significant shifts toward purchasing foods with higher nutritional ratings; however, shifts varied </w:t>
            </w:r>
            <w:r w:rsidRPr="00E33286">
              <w:rPr>
                <w:color w:val="000000" w:themeColor="text1"/>
                <w:spacing w:val="1"/>
                <w:sz w:val="12"/>
              </w:rPr>
              <w:t xml:space="preserve">in </w:t>
            </w:r>
            <w:r w:rsidRPr="00E33286">
              <w:rPr>
                <w:color w:val="000000" w:themeColor="text1"/>
                <w:sz w:val="12"/>
              </w:rPr>
              <w:t xml:space="preserve">direction and magnitude across food categories. </w:t>
            </w:r>
            <w:r w:rsidRPr="00E33286">
              <w:rPr>
                <w:color w:val="000000" w:themeColor="text1"/>
                <w:spacing w:val="-3"/>
                <w:sz w:val="12"/>
              </w:rPr>
              <w:t xml:space="preserve">These </w:t>
            </w:r>
            <w:r w:rsidRPr="00E33286">
              <w:rPr>
                <w:color w:val="000000" w:themeColor="text1"/>
                <w:sz w:val="12"/>
              </w:rPr>
              <w:t xml:space="preserve">shifts translated into foods being purchased with slightly less </w:t>
            </w:r>
            <w:r w:rsidRPr="00E33286">
              <w:rPr>
                <w:color w:val="000000" w:themeColor="text1"/>
                <w:sz w:val="12"/>
              </w:rPr>
              <w:t xml:space="preserve">trans </w:t>
            </w:r>
            <w:r w:rsidRPr="00E33286">
              <w:rPr>
                <w:color w:val="000000" w:themeColor="text1"/>
                <w:spacing w:val="-3"/>
                <w:sz w:val="12"/>
              </w:rPr>
              <w:t>fat</w:t>
            </w:r>
            <w:r w:rsidRPr="00E33286">
              <w:rPr>
                <w:color w:val="000000" w:themeColor="text1"/>
                <w:spacing w:val="-3"/>
                <w:sz w:val="12"/>
              </w:rPr>
              <w:t xml:space="preserve"> </w:t>
            </w:r>
            <w:r w:rsidRPr="00E33286">
              <w:rPr>
                <w:color w:val="000000" w:themeColor="text1"/>
                <w:sz w:val="12"/>
              </w:rPr>
              <w:t>and sugar</w:t>
            </w:r>
            <w:r w:rsidRPr="00E33286">
              <w:rPr>
                <w:color w:val="000000" w:themeColor="text1"/>
                <w:spacing w:val="-4"/>
                <w:sz w:val="12"/>
              </w:rPr>
              <w:t xml:space="preserve"> </w:t>
            </w:r>
            <w:r w:rsidRPr="00E33286">
              <w:rPr>
                <w:color w:val="000000" w:themeColor="text1"/>
                <w:sz w:val="12"/>
              </w:rPr>
              <w:t>and</w:t>
            </w:r>
            <w:r w:rsidRPr="00E33286">
              <w:rPr>
                <w:color w:val="000000" w:themeColor="text1"/>
                <w:spacing w:val="-3"/>
                <w:sz w:val="12"/>
              </w:rPr>
              <w:t xml:space="preserve"> </w:t>
            </w:r>
            <w:r w:rsidRPr="00E33286">
              <w:rPr>
                <w:color w:val="000000" w:themeColor="text1"/>
                <w:sz w:val="12"/>
              </w:rPr>
              <w:t>more</w:t>
            </w:r>
            <w:r w:rsidRPr="00E33286">
              <w:rPr>
                <w:color w:val="000000" w:themeColor="text1"/>
                <w:spacing w:val="-11"/>
                <w:sz w:val="12"/>
              </w:rPr>
              <w:t xml:space="preserve"> </w:t>
            </w:r>
            <w:r w:rsidRPr="00E33286">
              <w:rPr>
                <w:color w:val="000000" w:themeColor="text1"/>
                <w:sz w:val="12"/>
              </w:rPr>
              <w:t>fiber</w:t>
            </w:r>
            <w:r w:rsidRPr="00E33286">
              <w:rPr>
                <w:color w:val="000000" w:themeColor="text1"/>
                <w:spacing w:val="-4"/>
                <w:sz w:val="12"/>
              </w:rPr>
              <w:t xml:space="preserve"> </w:t>
            </w:r>
            <w:r w:rsidRPr="00E33286">
              <w:rPr>
                <w:color w:val="000000" w:themeColor="text1"/>
                <w:sz w:val="12"/>
              </w:rPr>
              <w:t>and</w:t>
            </w:r>
            <w:r w:rsidRPr="00E33286">
              <w:rPr>
                <w:color w:val="000000" w:themeColor="text1"/>
                <w:spacing w:val="-3"/>
                <w:sz w:val="12"/>
              </w:rPr>
              <w:t xml:space="preserve"> </w:t>
            </w:r>
            <w:r w:rsidRPr="00E33286">
              <w:rPr>
                <w:color w:val="000000" w:themeColor="text1"/>
                <w:sz w:val="12"/>
              </w:rPr>
              <w:t>omega-3</w:t>
            </w:r>
            <w:r w:rsidRPr="00E33286">
              <w:rPr>
                <w:color w:val="000000" w:themeColor="text1"/>
                <w:spacing w:val="-1"/>
                <w:sz w:val="12"/>
              </w:rPr>
              <w:t xml:space="preserve"> </w:t>
            </w:r>
            <w:r w:rsidRPr="00E33286">
              <w:rPr>
                <w:color w:val="000000" w:themeColor="text1"/>
                <w:sz w:val="12"/>
              </w:rPr>
              <w:t>fatty</w:t>
            </w:r>
            <w:r w:rsidRPr="00E33286">
              <w:rPr>
                <w:color w:val="000000" w:themeColor="text1"/>
                <w:spacing w:val="-5"/>
                <w:sz w:val="12"/>
              </w:rPr>
              <w:t xml:space="preserve"> </w:t>
            </w:r>
            <w:r w:rsidRPr="00E33286">
              <w:rPr>
                <w:color w:val="000000" w:themeColor="text1"/>
                <w:sz w:val="12"/>
              </w:rPr>
              <w:t>acids.</w:t>
            </w:r>
            <w:r w:rsidRPr="00E33286">
              <w:rPr>
                <w:color w:val="000000" w:themeColor="text1"/>
                <w:spacing w:val="-3"/>
                <w:sz w:val="12"/>
              </w:rPr>
              <w:t xml:space="preserve"> </w:t>
            </w:r>
            <w:r w:rsidRPr="00E33286">
              <w:rPr>
                <w:color w:val="000000" w:themeColor="text1"/>
                <w:sz w:val="12"/>
              </w:rPr>
              <w:t>We</w:t>
            </w:r>
            <w:r w:rsidRPr="00E33286">
              <w:rPr>
                <w:color w:val="000000" w:themeColor="text1"/>
                <w:spacing w:val="-11"/>
                <w:sz w:val="12"/>
              </w:rPr>
              <w:t xml:space="preserve"> </w:t>
            </w:r>
            <w:r w:rsidRPr="00E33286">
              <w:rPr>
                <w:color w:val="000000" w:themeColor="text1"/>
                <w:sz w:val="12"/>
              </w:rPr>
              <w:t>also</w:t>
            </w:r>
            <w:r w:rsidRPr="00E33286">
              <w:rPr>
                <w:color w:val="000000" w:themeColor="text1"/>
                <w:spacing w:val="-3"/>
                <w:sz w:val="12"/>
              </w:rPr>
              <w:t xml:space="preserve"> </w:t>
            </w:r>
            <w:r w:rsidRPr="00E33286">
              <w:rPr>
                <w:color w:val="000000" w:themeColor="text1"/>
                <w:sz w:val="12"/>
              </w:rPr>
              <w:t>found</w:t>
            </w:r>
            <w:r w:rsidRPr="00E33286">
              <w:rPr>
                <w:color w:val="000000" w:themeColor="text1"/>
                <w:spacing w:val="-3"/>
                <w:sz w:val="12"/>
              </w:rPr>
              <w:t xml:space="preserve"> </w:t>
            </w:r>
            <w:r w:rsidRPr="00E33286">
              <w:rPr>
                <w:color w:val="000000" w:themeColor="text1"/>
                <w:sz w:val="12"/>
              </w:rPr>
              <w:t xml:space="preserve">increases </w:t>
            </w:r>
            <w:r w:rsidRPr="00E33286">
              <w:rPr>
                <w:color w:val="000000" w:themeColor="text1"/>
                <w:spacing w:val="1"/>
                <w:sz w:val="12"/>
              </w:rPr>
              <w:t xml:space="preserve">in </w:t>
            </w:r>
            <w:r w:rsidRPr="00E33286">
              <w:rPr>
                <w:color w:val="000000" w:themeColor="text1"/>
                <w:sz w:val="12"/>
              </w:rPr>
              <w:t xml:space="preserve">the number of products per transaction, price per product purchased, and total </w:t>
            </w:r>
            <w:r w:rsidRPr="00E33286">
              <w:rPr>
                <w:color w:val="000000" w:themeColor="text1"/>
                <w:spacing w:val="-3"/>
                <w:sz w:val="12"/>
              </w:rPr>
              <w:t xml:space="preserve">revenues. </w:t>
            </w:r>
            <w:r w:rsidRPr="00E33286">
              <w:rPr>
                <w:color w:val="000000" w:themeColor="text1"/>
                <w:sz w:val="12"/>
              </w:rPr>
              <w:t xml:space="preserve">Exit survey results show a modest proportion of consumers were aware of, understood, and trusted Guiding Stars </w:t>
            </w:r>
            <w:r w:rsidRPr="00E33286">
              <w:rPr>
                <w:color w:val="000000" w:themeColor="text1"/>
                <w:spacing w:val="1"/>
                <w:sz w:val="12"/>
              </w:rPr>
              <w:t xml:space="preserve">in </w:t>
            </w:r>
            <w:r w:rsidRPr="00E33286">
              <w:rPr>
                <w:color w:val="000000" w:themeColor="text1"/>
                <w:sz w:val="12"/>
              </w:rPr>
              <w:t xml:space="preserve">intervention supermarkets, and a small proportion of consumers reported using this </w:t>
            </w:r>
            <w:r w:rsidRPr="00E33286">
              <w:rPr>
                <w:color w:val="000000" w:themeColor="text1"/>
                <w:spacing w:val="-2"/>
                <w:sz w:val="12"/>
              </w:rPr>
              <w:t xml:space="preserve">system </w:t>
            </w:r>
            <w:r w:rsidRPr="00E33286">
              <w:rPr>
                <w:color w:val="000000" w:themeColor="text1"/>
                <w:sz w:val="12"/>
              </w:rPr>
              <w:t xml:space="preserve">when making purchasing decisions. However, 47% of shoppers exposed to Guiding Stars were confused when </w:t>
            </w:r>
            <w:r w:rsidRPr="00E33286">
              <w:rPr>
                <w:color w:val="000000" w:themeColor="text1"/>
                <w:spacing w:val="-3"/>
                <w:sz w:val="12"/>
              </w:rPr>
              <w:t>asked to</w:t>
            </w:r>
            <w:r w:rsidRPr="00E33286">
              <w:rPr>
                <w:color w:val="000000" w:themeColor="text1"/>
                <w:sz w:val="12"/>
              </w:rPr>
              <w:t xml:space="preserve"> interpret the meaning of a 0-star product that</w:t>
            </w:r>
            <w:r w:rsidRPr="00E33286">
              <w:rPr>
                <w:color w:val="000000" w:themeColor="text1"/>
                <w:spacing w:val="-2"/>
                <w:sz w:val="12"/>
              </w:rPr>
              <w:t xml:space="preserve"> </w:t>
            </w:r>
            <w:r w:rsidRPr="00E33286">
              <w:rPr>
                <w:color w:val="000000" w:themeColor="text1"/>
                <w:sz w:val="12"/>
              </w:rPr>
              <w:t>does</w:t>
            </w:r>
            <w:r w:rsidRPr="00E33286">
              <w:rPr>
                <w:color w:val="000000" w:themeColor="text1"/>
                <w:spacing w:val="-9"/>
                <w:sz w:val="12"/>
              </w:rPr>
              <w:t xml:space="preserve"> </w:t>
            </w:r>
            <w:r w:rsidRPr="00E33286">
              <w:rPr>
                <w:color w:val="000000" w:themeColor="text1"/>
                <w:sz w:val="12"/>
              </w:rPr>
              <w:t>not</w:t>
            </w:r>
            <w:r w:rsidRPr="00E33286">
              <w:rPr>
                <w:color w:val="000000" w:themeColor="text1"/>
                <w:spacing w:val="-2"/>
                <w:sz w:val="12"/>
              </w:rPr>
              <w:t xml:space="preserve"> </w:t>
            </w:r>
            <w:r w:rsidRPr="00E33286">
              <w:rPr>
                <w:color w:val="000000" w:themeColor="text1"/>
                <w:sz w:val="12"/>
              </w:rPr>
              <w:t>display</w:t>
            </w:r>
            <w:r w:rsidRPr="00E33286">
              <w:rPr>
                <w:color w:val="000000" w:themeColor="text1"/>
                <w:spacing w:val="-5"/>
                <w:sz w:val="12"/>
              </w:rPr>
              <w:t xml:space="preserve"> </w:t>
            </w:r>
            <w:r w:rsidRPr="00E33286">
              <w:rPr>
                <w:color w:val="000000" w:themeColor="text1"/>
                <w:sz w:val="12"/>
              </w:rPr>
              <w:t>a</w:t>
            </w:r>
            <w:r w:rsidRPr="00E33286">
              <w:rPr>
                <w:color w:val="000000" w:themeColor="text1"/>
                <w:spacing w:val="-9"/>
                <w:sz w:val="12"/>
              </w:rPr>
              <w:t xml:space="preserve"> </w:t>
            </w:r>
            <w:r w:rsidRPr="00E33286">
              <w:rPr>
                <w:color w:val="000000" w:themeColor="text1"/>
                <w:sz w:val="12"/>
              </w:rPr>
              <w:t>rating</w:t>
            </w:r>
            <w:r w:rsidRPr="00E33286">
              <w:rPr>
                <w:color w:val="000000" w:themeColor="text1"/>
                <w:spacing w:val="-8"/>
                <w:sz w:val="12"/>
              </w:rPr>
              <w:t xml:space="preserve"> </w:t>
            </w:r>
            <w:r w:rsidRPr="00E33286">
              <w:rPr>
                <w:color w:val="000000" w:themeColor="text1"/>
                <w:sz w:val="12"/>
              </w:rPr>
              <w:t>on</w:t>
            </w:r>
            <w:r w:rsidRPr="00E33286">
              <w:rPr>
                <w:color w:val="000000" w:themeColor="text1"/>
                <w:spacing w:val="-3"/>
                <w:sz w:val="12"/>
              </w:rPr>
              <w:t xml:space="preserve"> </w:t>
            </w:r>
            <w:r w:rsidRPr="00E33286">
              <w:rPr>
                <w:color w:val="000000" w:themeColor="text1"/>
                <w:sz w:val="12"/>
              </w:rPr>
              <w:t>the</w:t>
            </w:r>
            <w:r w:rsidRPr="00E33286">
              <w:rPr>
                <w:color w:val="000000" w:themeColor="text1"/>
                <w:spacing w:val="-11"/>
                <w:sz w:val="12"/>
              </w:rPr>
              <w:t xml:space="preserve"> </w:t>
            </w:r>
            <w:r w:rsidRPr="00E33286">
              <w:rPr>
                <w:color w:val="000000" w:themeColor="text1"/>
                <w:sz w:val="12"/>
              </w:rPr>
              <w:t>shelf</w:t>
            </w:r>
            <w:r w:rsidRPr="00E33286">
              <w:rPr>
                <w:color w:val="000000" w:themeColor="text1"/>
                <w:spacing w:val="-10"/>
                <w:sz w:val="12"/>
              </w:rPr>
              <w:t xml:space="preserve"> </w:t>
            </w:r>
            <w:r w:rsidRPr="00E33286">
              <w:rPr>
                <w:color w:val="000000" w:themeColor="text1"/>
                <w:sz w:val="12"/>
              </w:rPr>
              <w:t>tag.</w:t>
            </w:r>
          </w:p>
        </w:tc>
      </w:tr>
      <w:tr w14:paraId="29D1E6D5" w14:textId="77777777" w:rsidTr="2F9D3AFB">
        <w:tblPrEx>
          <w:tblW w:w="0" w:type="auto"/>
          <w:tblInd w:w="113" w:type="dxa"/>
          <w:tblLayout w:type="fixed"/>
          <w:tblCellMar>
            <w:left w:w="0" w:type="dxa"/>
            <w:right w:w="0" w:type="dxa"/>
          </w:tblCellMar>
          <w:tblLook w:val="01E0"/>
        </w:tblPrEx>
        <w:trPr>
          <w:trHeight w:val="1667"/>
        </w:trPr>
        <w:tc>
          <w:tcPr>
            <w:tcW w:w="1023" w:type="dxa"/>
          </w:tcPr>
          <w:p w:rsidR="00280DF2" w:rsidRPr="00E33286" w:rsidP="009C5286" w14:paraId="7C7DD00F" w14:textId="77777777">
            <w:pPr>
              <w:pStyle w:val="TableParagraph"/>
              <w:spacing w:line="140" w:lineRule="exact"/>
              <w:rPr>
                <w:color w:val="000000" w:themeColor="text1"/>
                <w:sz w:val="12"/>
              </w:rPr>
            </w:pPr>
            <w:r w:rsidRPr="00E33286">
              <w:rPr>
                <w:color w:val="000000" w:themeColor="text1"/>
                <w:sz w:val="12"/>
              </w:rPr>
              <w:t>Julia, et al.</w:t>
            </w:r>
          </w:p>
        </w:tc>
        <w:tc>
          <w:tcPr>
            <w:tcW w:w="2101" w:type="dxa"/>
          </w:tcPr>
          <w:p w:rsidR="00280DF2" w:rsidRPr="00E33286" w:rsidP="009C5286" w14:paraId="01A3DA85" w14:textId="77777777">
            <w:pPr>
              <w:pStyle w:val="TableParagraph"/>
              <w:spacing w:line="252" w:lineRule="auto"/>
              <w:ind w:right="93"/>
              <w:rPr>
                <w:color w:val="000000" w:themeColor="text1"/>
                <w:sz w:val="12"/>
              </w:rPr>
            </w:pPr>
            <w:r w:rsidRPr="00E33286">
              <w:rPr>
                <w:color w:val="000000" w:themeColor="text1"/>
                <w:sz w:val="12"/>
              </w:rPr>
              <w:t xml:space="preserve">Perception of different formats of front- of-pack nutrition labels according to sociodemographic, lifestyle and dietary factors in a French population: cross- sectional study among the </w:t>
            </w:r>
            <w:r w:rsidRPr="00E33286">
              <w:rPr>
                <w:color w:val="000000" w:themeColor="text1"/>
                <w:sz w:val="12"/>
              </w:rPr>
              <w:t>NutriNet</w:t>
            </w:r>
            <w:r w:rsidRPr="00E33286">
              <w:rPr>
                <w:color w:val="000000" w:themeColor="text1"/>
                <w:sz w:val="12"/>
              </w:rPr>
              <w:t xml:space="preserve">- </w:t>
            </w:r>
            <w:r w:rsidRPr="00E33286">
              <w:rPr>
                <w:color w:val="000000" w:themeColor="text1"/>
                <w:sz w:val="12"/>
              </w:rPr>
              <w:t>Sante</w:t>
            </w:r>
            <w:r w:rsidRPr="00E33286">
              <w:rPr>
                <w:color w:val="000000" w:themeColor="text1"/>
                <w:sz w:val="12"/>
              </w:rPr>
              <w:t xml:space="preserve"> cohort participants</w:t>
            </w:r>
          </w:p>
        </w:tc>
        <w:tc>
          <w:tcPr>
            <w:tcW w:w="330" w:type="dxa"/>
          </w:tcPr>
          <w:p w:rsidR="00280DF2" w:rsidRPr="00E33286" w:rsidP="009C5286" w14:paraId="0602D897" w14:textId="77777777">
            <w:pPr>
              <w:pStyle w:val="TableParagraph"/>
              <w:spacing w:line="140" w:lineRule="exact"/>
              <w:rPr>
                <w:color w:val="AF3A3C"/>
                <w:sz w:val="12"/>
              </w:rPr>
            </w:pPr>
            <w:r w:rsidRPr="00E33286">
              <w:rPr>
                <w:color w:val="AF3A3C"/>
                <w:sz w:val="12"/>
              </w:rPr>
              <w:t>2017</w:t>
            </w:r>
          </w:p>
        </w:tc>
        <w:tc>
          <w:tcPr>
            <w:tcW w:w="3553" w:type="dxa"/>
          </w:tcPr>
          <w:p w:rsidR="00280DF2" w:rsidRPr="00E33286" w:rsidP="009C5286" w14:paraId="363BDC25" w14:textId="77777777">
            <w:pPr>
              <w:pStyle w:val="TableParagraph"/>
              <w:spacing w:line="140" w:lineRule="exact"/>
              <w:rPr>
                <w:color w:val="000000" w:themeColor="text1"/>
                <w:sz w:val="12"/>
              </w:rPr>
            </w:pPr>
            <w:r w:rsidRPr="00E33286">
              <w:rPr>
                <w:color w:val="000000" w:themeColor="text1"/>
                <w:sz w:val="12"/>
              </w:rPr>
              <w:t>Quantitative.</w:t>
            </w:r>
          </w:p>
          <w:p w:rsidR="00280DF2" w:rsidRPr="00E33286" w:rsidP="009C5286" w14:paraId="31793AC3" w14:textId="77777777">
            <w:pPr>
              <w:pStyle w:val="TableParagraph"/>
              <w:spacing w:before="7" w:line="252" w:lineRule="auto"/>
              <w:ind w:right="1439"/>
              <w:rPr>
                <w:color w:val="000000" w:themeColor="text1"/>
                <w:sz w:val="12"/>
              </w:rPr>
            </w:pPr>
            <w:r w:rsidRPr="00E33286">
              <w:rPr>
                <w:color w:val="000000" w:themeColor="text1"/>
                <w:sz w:val="12"/>
              </w:rPr>
              <w:t>Cross sectional web-based survey n=21,702</w:t>
            </w:r>
          </w:p>
        </w:tc>
        <w:tc>
          <w:tcPr>
            <w:tcW w:w="1199" w:type="dxa"/>
          </w:tcPr>
          <w:p w:rsidR="00280DF2" w:rsidRPr="00E33286" w:rsidP="009C5286" w14:paraId="12D011BA" w14:textId="21615228">
            <w:pPr>
              <w:pStyle w:val="TableParagraph"/>
              <w:numPr>
                <w:ilvl w:val="0"/>
                <w:numId w:val="44"/>
              </w:numPr>
              <w:tabs>
                <w:tab w:val="left" w:pos="147"/>
              </w:tabs>
              <w:spacing w:line="140" w:lineRule="exact"/>
              <w:ind w:firstLine="0"/>
              <w:rPr>
                <w:color w:val="000000" w:themeColor="text1"/>
                <w:sz w:val="12"/>
              </w:rPr>
            </w:pPr>
            <w:r w:rsidRPr="00E33286">
              <w:rPr>
                <w:color w:val="000000" w:themeColor="text1"/>
                <w:sz w:val="12"/>
              </w:rPr>
              <w:t>Nutri-Score</w:t>
            </w:r>
          </w:p>
          <w:p w:rsidR="00280DF2" w:rsidRPr="00E33286" w:rsidP="009C5286" w14:paraId="5344B99A" w14:textId="77777777">
            <w:pPr>
              <w:pStyle w:val="TableParagraph"/>
              <w:numPr>
                <w:ilvl w:val="0"/>
                <w:numId w:val="44"/>
              </w:numPr>
              <w:tabs>
                <w:tab w:val="left" w:pos="147"/>
              </w:tabs>
              <w:spacing w:before="7"/>
              <w:ind w:firstLine="0"/>
              <w:rPr>
                <w:color w:val="000000" w:themeColor="text1"/>
                <w:sz w:val="12"/>
              </w:rPr>
            </w:pPr>
            <w:r w:rsidRPr="00E33286">
              <w:rPr>
                <w:color w:val="000000" w:themeColor="text1"/>
                <w:sz w:val="12"/>
              </w:rPr>
              <w:t>SENS</w:t>
            </w:r>
          </w:p>
          <w:p w:rsidR="00280DF2" w:rsidRPr="00E33286" w:rsidP="009C5286" w14:paraId="0E912928" w14:textId="77777777">
            <w:pPr>
              <w:pStyle w:val="TableParagraph"/>
              <w:numPr>
                <w:ilvl w:val="0"/>
                <w:numId w:val="44"/>
              </w:numPr>
              <w:tabs>
                <w:tab w:val="left" w:pos="147"/>
              </w:tabs>
              <w:spacing w:before="8" w:line="252" w:lineRule="auto"/>
              <w:ind w:right="73" w:firstLine="0"/>
              <w:rPr>
                <w:color w:val="000000" w:themeColor="text1"/>
                <w:sz w:val="12"/>
              </w:rPr>
            </w:pPr>
            <w:r w:rsidRPr="00E33286">
              <w:rPr>
                <w:color w:val="000000" w:themeColor="text1"/>
                <w:sz w:val="12"/>
              </w:rPr>
              <w:t xml:space="preserve">Modified </w:t>
            </w:r>
            <w:r w:rsidRPr="00E33286">
              <w:rPr>
                <w:color w:val="000000" w:themeColor="text1"/>
                <w:spacing w:val="-3"/>
                <w:sz w:val="12"/>
              </w:rPr>
              <w:t xml:space="preserve">Reference </w:t>
            </w:r>
            <w:r w:rsidRPr="00E33286">
              <w:rPr>
                <w:color w:val="000000" w:themeColor="text1"/>
                <w:sz w:val="12"/>
              </w:rPr>
              <w:t>Intakes</w:t>
            </w:r>
          </w:p>
          <w:p w:rsidR="00280DF2" w:rsidRPr="00E33286" w:rsidP="009C5286" w14:paraId="71E49FB2" w14:textId="77777777">
            <w:pPr>
              <w:pStyle w:val="TableParagraph"/>
              <w:numPr>
                <w:ilvl w:val="0"/>
                <w:numId w:val="44"/>
              </w:numPr>
              <w:tabs>
                <w:tab w:val="left" w:pos="147"/>
              </w:tabs>
              <w:spacing w:line="252" w:lineRule="auto"/>
              <w:ind w:right="280" w:firstLine="0"/>
              <w:rPr>
                <w:color w:val="000000" w:themeColor="text1"/>
                <w:sz w:val="12"/>
              </w:rPr>
            </w:pPr>
            <w:r w:rsidRPr="00E33286">
              <w:rPr>
                <w:color w:val="000000" w:themeColor="text1"/>
                <w:sz w:val="12"/>
              </w:rPr>
              <w:t>Multiple Traffic Lights</w:t>
            </w:r>
          </w:p>
        </w:tc>
        <w:tc>
          <w:tcPr>
            <w:tcW w:w="1199" w:type="dxa"/>
          </w:tcPr>
          <w:p w:rsidR="00280DF2" w:rsidRPr="00E33286" w:rsidP="009C5286" w14:paraId="6ACF6A65" w14:textId="77777777">
            <w:pPr>
              <w:pStyle w:val="TableParagraph"/>
              <w:spacing w:before="9"/>
              <w:ind w:left="0"/>
              <w:rPr>
                <w:rFonts w:ascii="Times New Roman"/>
                <w:color w:val="000000" w:themeColor="text1"/>
                <w:sz w:val="3"/>
              </w:rPr>
            </w:pPr>
          </w:p>
          <w:p w:rsidR="00280DF2" w:rsidRPr="00E33286" w:rsidP="009C5286" w14:paraId="323192E9" w14:textId="77777777">
            <w:pPr>
              <w:pStyle w:val="TableParagraph"/>
              <w:ind w:left="47" w:right="-11"/>
              <w:rPr>
                <w:rFonts w:ascii="Times New Roman"/>
                <w:color w:val="000000" w:themeColor="text1"/>
                <w:sz w:val="20"/>
              </w:rPr>
            </w:pPr>
            <w:r w:rsidRPr="00E33286">
              <w:rPr>
                <w:noProof/>
                <w:color w:val="000000" w:themeColor="text1"/>
              </w:rPr>
              <w:drawing>
                <wp:inline distT="0" distB="0" distL="0" distR="0">
                  <wp:extent cx="702813" cy="61779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png"/>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02813" cy="617791"/>
                          </a:xfrm>
                          <a:prstGeom prst="rect">
                            <a:avLst/>
                          </a:prstGeom>
                        </pic:spPr>
                      </pic:pic>
                    </a:graphicData>
                  </a:graphic>
                </wp:inline>
              </w:drawing>
            </w:r>
          </w:p>
        </w:tc>
        <w:tc>
          <w:tcPr>
            <w:tcW w:w="550" w:type="dxa"/>
          </w:tcPr>
          <w:p w:rsidR="00280DF2" w:rsidRPr="00E33286" w:rsidP="009C5286" w14:paraId="32DDD5FA" w14:textId="77777777">
            <w:pPr>
              <w:pStyle w:val="TableParagraph"/>
              <w:spacing w:line="140" w:lineRule="exact"/>
              <w:rPr>
                <w:color w:val="000000" w:themeColor="text1"/>
                <w:sz w:val="12"/>
              </w:rPr>
            </w:pPr>
            <w:r w:rsidRPr="00E33286">
              <w:rPr>
                <w:color w:val="000000" w:themeColor="text1"/>
                <w:sz w:val="12"/>
              </w:rPr>
              <w:t>France</w:t>
            </w:r>
          </w:p>
        </w:tc>
        <w:tc>
          <w:tcPr>
            <w:tcW w:w="3487" w:type="dxa"/>
          </w:tcPr>
          <w:p w:rsidR="00280DF2" w:rsidRPr="00E33286" w:rsidP="009C5286" w14:paraId="0366AFCA" w14:textId="2D999928">
            <w:pPr>
              <w:pStyle w:val="TableParagraph"/>
              <w:numPr>
                <w:ilvl w:val="0"/>
                <w:numId w:val="43"/>
              </w:numPr>
              <w:tabs>
                <w:tab w:val="left" w:pos="147"/>
              </w:tabs>
              <w:spacing w:line="252" w:lineRule="auto"/>
              <w:ind w:right="326" w:firstLine="0"/>
              <w:rPr>
                <w:color w:val="000000" w:themeColor="text1"/>
                <w:sz w:val="12"/>
              </w:rPr>
            </w:pPr>
            <w:r w:rsidRPr="00E33286">
              <w:rPr>
                <w:color w:val="000000" w:themeColor="text1"/>
                <w:sz w:val="12"/>
              </w:rPr>
              <w:t>Nutri-Score</w:t>
            </w:r>
            <w:r w:rsidRPr="00E33286">
              <w:rPr>
                <w:color w:val="000000" w:themeColor="text1"/>
                <w:sz w:val="12"/>
              </w:rPr>
              <w:t xml:space="preserve"> received the most important number of favorable responses on positive</w:t>
            </w:r>
            <w:r w:rsidRPr="00E33286">
              <w:rPr>
                <w:color w:val="000000" w:themeColor="text1"/>
                <w:spacing w:val="-23"/>
                <w:sz w:val="12"/>
              </w:rPr>
              <w:t xml:space="preserve"> </w:t>
            </w:r>
            <w:r w:rsidRPr="00E33286">
              <w:rPr>
                <w:color w:val="000000" w:themeColor="text1"/>
                <w:sz w:val="12"/>
              </w:rPr>
              <w:t>perception.</w:t>
            </w:r>
          </w:p>
          <w:p w:rsidR="00280DF2" w:rsidRPr="00E33286" w:rsidP="009C5286" w14:paraId="1572954D" w14:textId="78955816">
            <w:pPr>
              <w:pStyle w:val="TableParagraph"/>
              <w:numPr>
                <w:ilvl w:val="0"/>
                <w:numId w:val="43"/>
              </w:numPr>
              <w:tabs>
                <w:tab w:val="left" w:pos="147"/>
              </w:tabs>
              <w:spacing w:line="252" w:lineRule="auto"/>
              <w:ind w:right="70" w:firstLine="0"/>
              <w:rPr>
                <w:color w:val="000000" w:themeColor="text1"/>
                <w:sz w:val="12"/>
              </w:rPr>
            </w:pPr>
            <w:r w:rsidRPr="00E33286">
              <w:rPr>
                <w:color w:val="000000" w:themeColor="text1"/>
                <w:sz w:val="12"/>
              </w:rPr>
              <w:t>The</w:t>
            </w:r>
            <w:r w:rsidRPr="00E33286">
              <w:rPr>
                <w:color w:val="000000" w:themeColor="text1"/>
                <w:spacing w:val="-8"/>
                <w:sz w:val="12"/>
              </w:rPr>
              <w:t xml:space="preserve"> </w:t>
            </w:r>
            <w:r w:rsidRPr="00E33286" w:rsidR="004B6E26">
              <w:rPr>
                <w:color w:val="000000" w:themeColor="text1"/>
                <w:sz w:val="12"/>
              </w:rPr>
              <w:t>Nutri-Score</w:t>
            </w:r>
            <w:r w:rsidRPr="00E33286">
              <w:rPr>
                <w:color w:val="000000" w:themeColor="text1"/>
                <w:spacing w:val="-8"/>
                <w:sz w:val="12"/>
              </w:rPr>
              <w:t xml:space="preserve"> </w:t>
            </w:r>
            <w:r w:rsidRPr="00E33286">
              <w:rPr>
                <w:color w:val="000000" w:themeColor="text1"/>
                <w:sz w:val="12"/>
              </w:rPr>
              <w:t>appears</w:t>
            </w:r>
            <w:r w:rsidRPr="00E33286">
              <w:rPr>
                <w:color w:val="000000" w:themeColor="text1"/>
                <w:spacing w:val="-5"/>
                <w:sz w:val="12"/>
              </w:rPr>
              <w:t xml:space="preserve"> </w:t>
            </w:r>
            <w:r w:rsidRPr="00E33286">
              <w:rPr>
                <w:color w:val="000000" w:themeColor="text1"/>
                <w:sz w:val="12"/>
              </w:rPr>
              <w:t>to</w:t>
            </w:r>
            <w:r w:rsidRPr="00E33286">
              <w:rPr>
                <w:color w:val="000000" w:themeColor="text1"/>
                <w:spacing w:val="1"/>
                <w:sz w:val="12"/>
              </w:rPr>
              <w:t xml:space="preserve"> </w:t>
            </w:r>
            <w:r w:rsidRPr="00E33286">
              <w:rPr>
                <w:color w:val="000000" w:themeColor="text1"/>
                <w:sz w:val="12"/>
              </w:rPr>
              <w:t>have</w:t>
            </w:r>
            <w:r w:rsidRPr="00E33286">
              <w:rPr>
                <w:color w:val="000000" w:themeColor="text1"/>
                <w:spacing w:val="-8"/>
                <w:sz w:val="12"/>
              </w:rPr>
              <w:t xml:space="preserve"> </w:t>
            </w:r>
            <w:r w:rsidRPr="00E33286">
              <w:rPr>
                <w:color w:val="000000" w:themeColor="text1"/>
                <w:sz w:val="12"/>
              </w:rPr>
              <w:t>a</w:t>
            </w:r>
            <w:r w:rsidRPr="00E33286">
              <w:rPr>
                <w:color w:val="000000" w:themeColor="text1"/>
                <w:spacing w:val="-5"/>
                <w:sz w:val="12"/>
              </w:rPr>
              <w:t xml:space="preserve"> </w:t>
            </w:r>
            <w:r w:rsidRPr="00E33286">
              <w:rPr>
                <w:color w:val="000000" w:themeColor="text1"/>
                <w:sz w:val="12"/>
              </w:rPr>
              <w:t>wide</w:t>
            </w:r>
            <w:r w:rsidRPr="00E33286">
              <w:rPr>
                <w:color w:val="000000" w:themeColor="text1"/>
                <w:spacing w:val="-8"/>
                <w:sz w:val="12"/>
              </w:rPr>
              <w:t xml:space="preserve"> </w:t>
            </w:r>
            <w:r w:rsidRPr="00E33286">
              <w:rPr>
                <w:color w:val="000000" w:themeColor="text1"/>
                <w:sz w:val="12"/>
              </w:rPr>
              <w:t>reach</w:t>
            </w:r>
            <w:r w:rsidRPr="00E33286">
              <w:rPr>
                <w:color w:val="000000" w:themeColor="text1"/>
                <w:spacing w:val="1"/>
                <w:sz w:val="12"/>
              </w:rPr>
              <w:t xml:space="preserve"> in </w:t>
            </w:r>
            <w:r w:rsidRPr="00E33286">
              <w:rPr>
                <w:color w:val="000000" w:themeColor="text1"/>
                <w:sz w:val="12"/>
              </w:rPr>
              <w:t>the</w:t>
            </w:r>
            <w:r w:rsidRPr="00E33286">
              <w:rPr>
                <w:color w:val="000000" w:themeColor="text1"/>
                <w:spacing w:val="-8"/>
                <w:sz w:val="12"/>
              </w:rPr>
              <w:t xml:space="preserve"> </w:t>
            </w:r>
            <w:r w:rsidRPr="00E33286">
              <w:rPr>
                <w:color w:val="000000" w:themeColor="text1"/>
                <w:sz w:val="12"/>
              </w:rPr>
              <w:t>population</w:t>
            </w:r>
            <w:r w:rsidRPr="00E33286">
              <w:rPr>
                <w:color w:val="000000" w:themeColor="text1"/>
                <w:spacing w:val="1"/>
                <w:sz w:val="12"/>
              </w:rPr>
              <w:t xml:space="preserve"> </w:t>
            </w:r>
            <w:r w:rsidRPr="00E33286">
              <w:rPr>
                <w:color w:val="000000" w:themeColor="text1"/>
                <w:sz w:val="12"/>
              </w:rPr>
              <w:t>and to appeal to subjects with lower adherence to nutritional recommendations.</w:t>
            </w:r>
          </w:p>
        </w:tc>
      </w:tr>
      <w:tr w14:paraId="5394A065" w14:textId="77777777" w:rsidTr="2F9D3AFB">
        <w:tblPrEx>
          <w:tblW w:w="0" w:type="auto"/>
          <w:tblInd w:w="113" w:type="dxa"/>
          <w:tblLayout w:type="fixed"/>
          <w:tblCellMar>
            <w:left w:w="0" w:type="dxa"/>
            <w:right w:w="0" w:type="dxa"/>
          </w:tblCellMar>
          <w:tblLook w:val="01E0"/>
        </w:tblPrEx>
        <w:trPr>
          <w:trHeight w:val="1294"/>
        </w:trPr>
        <w:tc>
          <w:tcPr>
            <w:tcW w:w="1023" w:type="dxa"/>
          </w:tcPr>
          <w:p w:rsidR="00280DF2" w:rsidP="009C5286" w14:paraId="74915071" w14:textId="77777777">
            <w:pPr>
              <w:pStyle w:val="TableParagraph"/>
              <w:spacing w:line="140" w:lineRule="exact"/>
              <w:rPr>
                <w:sz w:val="12"/>
              </w:rPr>
            </w:pPr>
            <w:r>
              <w:rPr>
                <w:sz w:val="12"/>
              </w:rPr>
              <w:t>Machin, et al.</w:t>
            </w:r>
          </w:p>
        </w:tc>
        <w:tc>
          <w:tcPr>
            <w:tcW w:w="2101" w:type="dxa"/>
          </w:tcPr>
          <w:p w:rsidR="00280DF2" w:rsidP="009C5286" w14:paraId="05C801CE" w14:textId="77777777">
            <w:pPr>
              <w:pStyle w:val="TableParagraph"/>
              <w:spacing w:line="252" w:lineRule="auto"/>
              <w:ind w:right="102"/>
              <w:rPr>
                <w:sz w:val="12"/>
              </w:rPr>
            </w:pPr>
            <w:r>
              <w:rPr>
                <w:sz w:val="12"/>
              </w:rPr>
              <w:t>Consumer Perception of the Healthfulness of Ultra-processed Products Featuring Different Front-of- Pack Nutrition Labeling Schemes</w:t>
            </w:r>
          </w:p>
        </w:tc>
        <w:tc>
          <w:tcPr>
            <w:tcW w:w="330" w:type="dxa"/>
          </w:tcPr>
          <w:p w:rsidR="00280DF2" w:rsidP="009C5286" w14:paraId="64F9EDF6" w14:textId="77777777">
            <w:pPr>
              <w:pStyle w:val="TableParagraph"/>
              <w:spacing w:line="140" w:lineRule="exact"/>
              <w:rPr>
                <w:sz w:val="12"/>
              </w:rPr>
            </w:pPr>
            <w:r>
              <w:rPr>
                <w:color w:val="AF3A3C"/>
                <w:sz w:val="12"/>
              </w:rPr>
              <w:t>2017</w:t>
            </w:r>
          </w:p>
        </w:tc>
        <w:tc>
          <w:tcPr>
            <w:tcW w:w="3553" w:type="dxa"/>
          </w:tcPr>
          <w:p w:rsidR="00280DF2" w:rsidP="009C5286" w14:paraId="632AE40F" w14:textId="77777777">
            <w:pPr>
              <w:pStyle w:val="TableParagraph"/>
              <w:spacing w:line="140" w:lineRule="exact"/>
              <w:rPr>
                <w:sz w:val="12"/>
              </w:rPr>
            </w:pPr>
            <w:r>
              <w:rPr>
                <w:sz w:val="12"/>
              </w:rPr>
              <w:t>Quantitative.</w:t>
            </w:r>
          </w:p>
          <w:p w:rsidR="00280DF2" w:rsidP="009C5286" w14:paraId="7F7C10A7" w14:textId="77777777">
            <w:pPr>
              <w:pStyle w:val="TableParagraph"/>
              <w:numPr>
                <w:ilvl w:val="0"/>
                <w:numId w:val="42"/>
              </w:numPr>
              <w:tabs>
                <w:tab w:val="left" w:pos="147"/>
              </w:tabs>
              <w:spacing w:before="7" w:line="252" w:lineRule="auto"/>
              <w:ind w:right="8" w:firstLine="0"/>
              <w:rPr>
                <w:sz w:val="12"/>
              </w:rPr>
            </w:pPr>
            <w:r>
              <w:rPr>
                <w:sz w:val="12"/>
              </w:rPr>
              <w:t xml:space="preserve">Participants were shown the labels of each product and </w:t>
            </w:r>
            <w:r>
              <w:rPr>
                <w:spacing w:val="-3"/>
                <w:sz w:val="12"/>
              </w:rPr>
              <w:t xml:space="preserve">asked </w:t>
            </w:r>
            <w:r>
              <w:rPr>
                <w:sz w:val="12"/>
              </w:rPr>
              <w:t>to rate their perceived healthfulness and the frequency with which each product should be</w:t>
            </w:r>
            <w:r>
              <w:rPr>
                <w:spacing w:val="-15"/>
                <w:sz w:val="12"/>
              </w:rPr>
              <w:t xml:space="preserve"> </w:t>
            </w:r>
            <w:r>
              <w:rPr>
                <w:sz w:val="12"/>
              </w:rPr>
              <w:t>consumed</w:t>
            </w:r>
          </w:p>
          <w:p w:rsidR="00280DF2" w:rsidP="009C5286" w14:paraId="5597C483" w14:textId="77777777">
            <w:pPr>
              <w:pStyle w:val="TableParagraph"/>
              <w:numPr>
                <w:ilvl w:val="0"/>
                <w:numId w:val="42"/>
              </w:numPr>
              <w:tabs>
                <w:tab w:val="left" w:pos="147"/>
              </w:tabs>
              <w:spacing w:before="1" w:line="252" w:lineRule="auto"/>
              <w:ind w:right="403" w:firstLine="0"/>
              <w:rPr>
                <w:sz w:val="12"/>
              </w:rPr>
            </w:pPr>
            <w:r>
              <w:rPr>
                <w:sz w:val="12"/>
              </w:rPr>
              <w:t>Results</w:t>
            </w:r>
            <w:r>
              <w:rPr>
                <w:spacing w:val="-6"/>
                <w:sz w:val="12"/>
              </w:rPr>
              <w:t xml:space="preserve"> </w:t>
            </w:r>
            <w:r>
              <w:rPr>
                <w:sz w:val="12"/>
              </w:rPr>
              <w:t>were</w:t>
            </w:r>
            <w:r>
              <w:rPr>
                <w:spacing w:val="-9"/>
                <w:sz w:val="12"/>
              </w:rPr>
              <w:t xml:space="preserve"> </w:t>
            </w:r>
            <w:r>
              <w:rPr>
                <w:sz w:val="12"/>
              </w:rPr>
              <w:t>analyzed using</w:t>
            </w:r>
            <w:r>
              <w:rPr>
                <w:spacing w:val="-5"/>
                <w:sz w:val="12"/>
              </w:rPr>
              <w:t xml:space="preserve"> </w:t>
            </w:r>
            <w:r>
              <w:rPr>
                <w:sz w:val="12"/>
              </w:rPr>
              <w:t>analysis</w:t>
            </w:r>
            <w:r>
              <w:rPr>
                <w:spacing w:val="-6"/>
                <w:sz w:val="12"/>
              </w:rPr>
              <w:t xml:space="preserve"> </w:t>
            </w:r>
            <w:r>
              <w:rPr>
                <w:sz w:val="12"/>
              </w:rPr>
              <w:t>of</w:t>
            </w:r>
            <w:r>
              <w:rPr>
                <w:spacing w:val="-8"/>
                <w:sz w:val="12"/>
              </w:rPr>
              <w:t xml:space="preserve"> </w:t>
            </w:r>
            <w:r>
              <w:rPr>
                <w:sz w:val="12"/>
              </w:rPr>
              <w:t>variance</w:t>
            </w:r>
            <w:r>
              <w:rPr>
                <w:spacing w:val="-9"/>
                <w:sz w:val="12"/>
              </w:rPr>
              <w:t xml:space="preserve"> </w:t>
            </w:r>
            <w:r>
              <w:rPr>
                <w:sz w:val="12"/>
              </w:rPr>
              <w:t>for</w:t>
            </w:r>
            <w:r>
              <w:rPr>
                <w:spacing w:val="-1"/>
                <w:sz w:val="12"/>
              </w:rPr>
              <w:t xml:space="preserve"> </w:t>
            </w:r>
            <w:r>
              <w:rPr>
                <w:sz w:val="12"/>
              </w:rPr>
              <w:t>statistical significance</w:t>
            </w:r>
            <w:r>
              <w:rPr>
                <w:spacing w:val="-11"/>
                <w:sz w:val="12"/>
              </w:rPr>
              <w:t xml:space="preserve"> </w:t>
            </w:r>
            <w:r>
              <w:rPr>
                <w:sz w:val="12"/>
              </w:rPr>
              <w:t>(P</w:t>
            </w:r>
            <w:r>
              <w:rPr>
                <w:spacing w:val="-2"/>
                <w:sz w:val="12"/>
              </w:rPr>
              <w:t xml:space="preserve"> </w:t>
            </w:r>
            <w:r>
              <w:rPr>
                <w:sz w:val="12"/>
              </w:rPr>
              <w:t>&lt;</w:t>
            </w:r>
            <w:r>
              <w:rPr>
                <w:spacing w:val="-11"/>
                <w:sz w:val="12"/>
              </w:rPr>
              <w:t xml:space="preserve"> </w:t>
            </w:r>
            <w:r>
              <w:rPr>
                <w:sz w:val="12"/>
              </w:rPr>
              <w:t>.05)</w:t>
            </w:r>
          </w:p>
          <w:p w:rsidR="00280DF2" w:rsidP="009C5286" w14:paraId="3A5ABA85" w14:textId="77777777">
            <w:pPr>
              <w:pStyle w:val="TableParagraph"/>
              <w:rPr>
                <w:sz w:val="12"/>
              </w:rPr>
            </w:pPr>
            <w:r>
              <w:rPr>
                <w:sz w:val="12"/>
              </w:rPr>
              <w:t>n=300</w:t>
            </w:r>
          </w:p>
        </w:tc>
        <w:tc>
          <w:tcPr>
            <w:tcW w:w="1199" w:type="dxa"/>
          </w:tcPr>
          <w:p w:rsidR="00280DF2" w:rsidP="009C5286" w14:paraId="45B24D7E" w14:textId="77777777">
            <w:pPr>
              <w:pStyle w:val="TableParagraph"/>
              <w:numPr>
                <w:ilvl w:val="0"/>
                <w:numId w:val="41"/>
              </w:numPr>
              <w:tabs>
                <w:tab w:val="left" w:pos="147"/>
              </w:tabs>
              <w:spacing w:line="252" w:lineRule="auto"/>
              <w:ind w:right="276" w:firstLine="0"/>
              <w:rPr>
                <w:sz w:val="12"/>
              </w:rPr>
            </w:pPr>
            <w:r>
              <w:rPr>
                <w:sz w:val="12"/>
              </w:rPr>
              <w:t>Guideline Daily Amounts</w:t>
            </w:r>
          </w:p>
          <w:p w:rsidR="00280DF2" w:rsidP="009C5286" w14:paraId="6453B80F" w14:textId="77777777">
            <w:pPr>
              <w:pStyle w:val="TableParagraph"/>
              <w:numPr>
                <w:ilvl w:val="0"/>
                <w:numId w:val="41"/>
              </w:numPr>
              <w:tabs>
                <w:tab w:val="left" w:pos="147"/>
              </w:tabs>
              <w:ind w:firstLine="0"/>
              <w:rPr>
                <w:sz w:val="12"/>
              </w:rPr>
            </w:pPr>
            <w:r>
              <w:rPr>
                <w:sz w:val="12"/>
              </w:rPr>
              <w:t>Traffic Light</w:t>
            </w:r>
            <w:r>
              <w:rPr>
                <w:spacing w:val="-5"/>
                <w:sz w:val="12"/>
              </w:rPr>
              <w:t xml:space="preserve"> </w:t>
            </w:r>
            <w:r>
              <w:rPr>
                <w:sz w:val="12"/>
              </w:rPr>
              <w:t>System</w:t>
            </w:r>
          </w:p>
          <w:p w:rsidR="00280DF2" w:rsidP="009C5286" w14:paraId="7AC8F6C1" w14:textId="77777777">
            <w:pPr>
              <w:pStyle w:val="TableParagraph"/>
              <w:numPr>
                <w:ilvl w:val="0"/>
                <w:numId w:val="41"/>
              </w:numPr>
              <w:tabs>
                <w:tab w:val="left" w:pos="147"/>
              </w:tabs>
              <w:spacing w:before="1" w:line="252" w:lineRule="auto"/>
              <w:ind w:right="225" w:firstLine="0"/>
              <w:rPr>
                <w:sz w:val="12"/>
              </w:rPr>
            </w:pPr>
            <w:r>
              <w:rPr>
                <w:sz w:val="12"/>
              </w:rPr>
              <w:t>Monochromatic traffic light</w:t>
            </w:r>
            <w:r>
              <w:rPr>
                <w:spacing w:val="5"/>
                <w:sz w:val="12"/>
              </w:rPr>
              <w:t xml:space="preserve"> </w:t>
            </w:r>
            <w:r>
              <w:rPr>
                <w:spacing w:val="-2"/>
                <w:sz w:val="12"/>
              </w:rPr>
              <w:t>system</w:t>
            </w:r>
          </w:p>
        </w:tc>
        <w:tc>
          <w:tcPr>
            <w:tcW w:w="1199" w:type="dxa"/>
          </w:tcPr>
          <w:p w:rsidR="00280DF2" w:rsidP="009C5286" w14:paraId="0AAF4C1E" w14:textId="77777777">
            <w:pPr>
              <w:pStyle w:val="TableParagraph"/>
              <w:spacing w:before="1"/>
              <w:ind w:left="0"/>
              <w:rPr>
                <w:rFonts w:ascii="Times New Roman"/>
                <w:sz w:val="2"/>
              </w:rPr>
            </w:pPr>
          </w:p>
          <w:p w:rsidR="00280DF2" w:rsidP="009C5286" w14:paraId="0207D413" w14:textId="77777777">
            <w:pPr>
              <w:pStyle w:val="TableParagraph"/>
              <w:ind w:left="35"/>
              <w:rPr>
                <w:rFonts w:ascii="Times New Roman"/>
                <w:sz w:val="20"/>
              </w:rPr>
            </w:pPr>
            <w:r>
              <w:rPr>
                <w:noProof/>
              </w:rPr>
              <w:drawing>
                <wp:inline distT="0" distB="0" distL="0" distR="0">
                  <wp:extent cx="702119" cy="37861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png"/>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02119" cy="378618"/>
                          </a:xfrm>
                          <a:prstGeom prst="rect">
                            <a:avLst/>
                          </a:prstGeom>
                        </pic:spPr>
                      </pic:pic>
                    </a:graphicData>
                  </a:graphic>
                </wp:inline>
              </w:drawing>
            </w:r>
          </w:p>
        </w:tc>
        <w:tc>
          <w:tcPr>
            <w:tcW w:w="550" w:type="dxa"/>
          </w:tcPr>
          <w:p w:rsidR="00280DF2" w:rsidP="009C5286" w14:paraId="015F80B9" w14:textId="77777777">
            <w:pPr>
              <w:pStyle w:val="TableParagraph"/>
              <w:spacing w:line="140" w:lineRule="exact"/>
              <w:rPr>
                <w:sz w:val="12"/>
              </w:rPr>
            </w:pPr>
            <w:r>
              <w:rPr>
                <w:sz w:val="12"/>
              </w:rPr>
              <w:t>Uruguay</w:t>
            </w:r>
          </w:p>
        </w:tc>
        <w:tc>
          <w:tcPr>
            <w:tcW w:w="3487" w:type="dxa"/>
          </w:tcPr>
          <w:p w:rsidR="00280DF2" w:rsidP="009C5286" w14:paraId="47D9E5F1" w14:textId="77777777">
            <w:pPr>
              <w:pStyle w:val="TableParagraph"/>
              <w:numPr>
                <w:ilvl w:val="0"/>
                <w:numId w:val="40"/>
              </w:numPr>
              <w:tabs>
                <w:tab w:val="left" w:pos="147"/>
              </w:tabs>
              <w:spacing w:line="252" w:lineRule="auto"/>
              <w:ind w:right="29" w:firstLine="0"/>
              <w:rPr>
                <w:sz w:val="12"/>
              </w:rPr>
            </w:pPr>
            <w:r>
              <w:rPr>
                <w:sz w:val="12"/>
              </w:rPr>
              <w:t>Low-income participants perceived ultra-processed products to be significantly (P &lt; .05) more healthful than did middle- and high- income</w:t>
            </w:r>
            <w:r>
              <w:rPr>
                <w:spacing w:val="-11"/>
                <w:sz w:val="12"/>
              </w:rPr>
              <w:t xml:space="preserve"> </w:t>
            </w:r>
            <w:r>
              <w:rPr>
                <w:sz w:val="12"/>
              </w:rPr>
              <w:t>participants.</w:t>
            </w:r>
          </w:p>
          <w:p w:rsidR="00280DF2" w:rsidP="009C5286" w14:paraId="0D5729E3" w14:textId="77777777">
            <w:pPr>
              <w:pStyle w:val="TableParagraph"/>
              <w:numPr>
                <w:ilvl w:val="0"/>
                <w:numId w:val="40"/>
              </w:numPr>
              <w:tabs>
                <w:tab w:val="left" w:pos="147"/>
              </w:tabs>
              <w:spacing w:line="252" w:lineRule="auto"/>
              <w:ind w:right="10" w:firstLine="0"/>
              <w:rPr>
                <w:sz w:val="12"/>
              </w:rPr>
            </w:pPr>
            <w:r>
              <w:rPr>
                <w:sz w:val="12"/>
              </w:rPr>
              <w:t xml:space="preserve">The lowest perceived healthfulness scores for low-income participants were obtained for products featuring the colored and monochromatic traffic light </w:t>
            </w:r>
            <w:r>
              <w:rPr>
                <w:spacing w:val="-2"/>
                <w:sz w:val="12"/>
              </w:rPr>
              <w:t xml:space="preserve">system </w:t>
            </w:r>
            <w:r>
              <w:rPr>
                <w:sz w:val="12"/>
              </w:rPr>
              <w:t>whereas no significant differences (P &gt; .05) among schemes were found for middle- and high-income participants.</w:t>
            </w:r>
          </w:p>
        </w:tc>
      </w:tr>
    </w:tbl>
    <w:p w:rsidR="4C9BFAA2" w14:paraId="5D484735" w14:textId="23A7DED1"/>
    <w:p w:rsidR="00DB534B" w:rsidP="00DB534B" w14:paraId="07DA2779" w14:textId="77777777">
      <w:pPr>
        <w:spacing w:line="140" w:lineRule="exact"/>
        <w:jc w:val="center"/>
        <w:rPr>
          <w:sz w:val="12"/>
        </w:rPr>
        <w:sectPr w:rsidSect="009C5286">
          <w:pgSz w:w="15840" w:h="12240" w:orient="landscape"/>
          <w:pgMar w:top="720" w:right="720" w:bottom="720" w:left="720" w:header="376" w:footer="523" w:gutter="0"/>
          <w:cols w:space="720"/>
          <w:docGrid w:linePitch="299"/>
        </w:sectPr>
      </w:pPr>
    </w:p>
    <w:tbl>
      <w:tblPr>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23"/>
        <w:gridCol w:w="2101"/>
        <w:gridCol w:w="330"/>
        <w:gridCol w:w="3553"/>
        <w:gridCol w:w="1199"/>
        <w:gridCol w:w="1199"/>
        <w:gridCol w:w="550"/>
        <w:gridCol w:w="3487"/>
      </w:tblGrid>
      <w:tr w14:paraId="2236D984" w14:textId="77777777" w:rsidTr="2F9D3AFB">
        <w:tblPrEx>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150"/>
        </w:trPr>
        <w:tc>
          <w:tcPr>
            <w:tcW w:w="1023" w:type="dxa"/>
          </w:tcPr>
          <w:p w:rsidR="00280DF2" w:rsidP="009C5286" w14:paraId="57290C32" w14:textId="77777777">
            <w:pPr>
              <w:pStyle w:val="TableParagraph"/>
              <w:spacing w:line="130" w:lineRule="exact"/>
              <w:rPr>
                <w:b/>
                <w:sz w:val="12"/>
              </w:rPr>
            </w:pPr>
            <w:r>
              <w:rPr>
                <w:b/>
                <w:sz w:val="12"/>
              </w:rPr>
              <w:t>Author</w:t>
            </w:r>
          </w:p>
        </w:tc>
        <w:tc>
          <w:tcPr>
            <w:tcW w:w="2101" w:type="dxa"/>
          </w:tcPr>
          <w:p w:rsidR="00280DF2" w:rsidP="009C5286" w14:paraId="5CC5BFB1" w14:textId="77777777">
            <w:pPr>
              <w:pStyle w:val="TableParagraph"/>
              <w:spacing w:line="130" w:lineRule="exact"/>
              <w:rPr>
                <w:b/>
                <w:sz w:val="12"/>
              </w:rPr>
            </w:pPr>
            <w:r>
              <w:rPr>
                <w:b/>
                <w:sz w:val="12"/>
              </w:rPr>
              <w:t>Title</w:t>
            </w:r>
          </w:p>
        </w:tc>
        <w:tc>
          <w:tcPr>
            <w:tcW w:w="330" w:type="dxa"/>
          </w:tcPr>
          <w:p w:rsidR="00280DF2" w:rsidP="009C5286" w14:paraId="2957C7DD" w14:textId="77777777">
            <w:pPr>
              <w:pStyle w:val="TableParagraph"/>
              <w:spacing w:line="130" w:lineRule="exact"/>
              <w:rPr>
                <w:b/>
                <w:sz w:val="12"/>
              </w:rPr>
            </w:pPr>
            <w:r>
              <w:rPr>
                <w:b/>
                <w:sz w:val="12"/>
              </w:rPr>
              <w:t>Year</w:t>
            </w:r>
          </w:p>
        </w:tc>
        <w:tc>
          <w:tcPr>
            <w:tcW w:w="3553" w:type="dxa"/>
          </w:tcPr>
          <w:p w:rsidR="00280DF2" w:rsidP="009C5286" w14:paraId="279B259B" w14:textId="77777777">
            <w:pPr>
              <w:pStyle w:val="TableParagraph"/>
              <w:spacing w:line="130" w:lineRule="exact"/>
              <w:rPr>
                <w:b/>
                <w:sz w:val="12"/>
              </w:rPr>
            </w:pPr>
            <w:r>
              <w:rPr>
                <w:b/>
                <w:sz w:val="12"/>
              </w:rPr>
              <w:t>Method</w:t>
            </w:r>
          </w:p>
        </w:tc>
        <w:tc>
          <w:tcPr>
            <w:tcW w:w="1199" w:type="dxa"/>
          </w:tcPr>
          <w:p w:rsidR="00280DF2" w:rsidP="009C5286" w14:paraId="05FE6741" w14:textId="1F19EB7A">
            <w:pPr>
              <w:pStyle w:val="TableParagraph"/>
              <w:spacing w:line="130" w:lineRule="exact"/>
              <w:rPr>
                <w:b/>
                <w:sz w:val="12"/>
              </w:rPr>
            </w:pPr>
            <w:r>
              <w:rPr>
                <w:b/>
                <w:sz w:val="12"/>
              </w:rPr>
              <w:t>FOP</w:t>
            </w:r>
          </w:p>
        </w:tc>
        <w:tc>
          <w:tcPr>
            <w:tcW w:w="1199" w:type="dxa"/>
          </w:tcPr>
          <w:p w:rsidR="00280DF2" w:rsidP="009C5286" w14:paraId="0BCBE815" w14:textId="736A000D">
            <w:pPr>
              <w:pStyle w:val="TableParagraph"/>
              <w:spacing w:line="130" w:lineRule="exact"/>
              <w:rPr>
                <w:b/>
                <w:sz w:val="12"/>
              </w:rPr>
            </w:pPr>
            <w:r>
              <w:rPr>
                <w:b/>
                <w:sz w:val="12"/>
              </w:rPr>
              <w:t>FOP</w:t>
            </w:r>
            <w:r>
              <w:rPr>
                <w:b/>
                <w:sz w:val="12"/>
              </w:rPr>
              <w:t xml:space="preserve"> Image</w:t>
            </w:r>
          </w:p>
        </w:tc>
        <w:tc>
          <w:tcPr>
            <w:tcW w:w="550" w:type="dxa"/>
          </w:tcPr>
          <w:p w:rsidR="00280DF2" w:rsidP="009C5286" w14:paraId="28931B56" w14:textId="77777777">
            <w:pPr>
              <w:pStyle w:val="TableParagraph"/>
              <w:spacing w:line="130" w:lineRule="exact"/>
              <w:ind w:left="0" w:right="72"/>
              <w:jc w:val="center"/>
              <w:rPr>
                <w:b/>
                <w:sz w:val="12"/>
              </w:rPr>
            </w:pPr>
            <w:r>
              <w:rPr>
                <w:b/>
                <w:sz w:val="12"/>
              </w:rPr>
              <w:t>Country</w:t>
            </w:r>
          </w:p>
        </w:tc>
        <w:tc>
          <w:tcPr>
            <w:tcW w:w="3487" w:type="dxa"/>
          </w:tcPr>
          <w:p w:rsidR="00280DF2" w:rsidP="009C5286" w14:paraId="2E8C8471" w14:textId="77777777">
            <w:pPr>
              <w:pStyle w:val="TableParagraph"/>
              <w:spacing w:line="130" w:lineRule="exact"/>
              <w:rPr>
                <w:b/>
                <w:sz w:val="12"/>
              </w:rPr>
            </w:pPr>
            <w:r>
              <w:rPr>
                <w:b/>
                <w:sz w:val="12"/>
              </w:rPr>
              <w:t>Highlights of Findings</w:t>
            </w:r>
          </w:p>
        </w:tc>
      </w:tr>
      <w:tr w14:paraId="53A0C876" w14:textId="77777777" w:rsidTr="2F9D3AFB">
        <w:tblPrEx>
          <w:tblW w:w="0" w:type="auto"/>
          <w:tblInd w:w="113" w:type="dxa"/>
          <w:tblLayout w:type="fixed"/>
          <w:tblCellMar>
            <w:left w:w="0" w:type="dxa"/>
            <w:right w:w="0" w:type="dxa"/>
          </w:tblCellMar>
          <w:tblLook w:val="01E0"/>
        </w:tblPrEx>
        <w:trPr>
          <w:trHeight w:val="2767"/>
        </w:trPr>
        <w:tc>
          <w:tcPr>
            <w:tcW w:w="1023" w:type="dxa"/>
          </w:tcPr>
          <w:p w:rsidR="00280DF2" w:rsidP="009C5286" w14:paraId="2D436B54" w14:textId="77777777">
            <w:pPr>
              <w:pStyle w:val="TableParagraph"/>
              <w:spacing w:line="140" w:lineRule="exact"/>
              <w:rPr>
                <w:sz w:val="12"/>
              </w:rPr>
            </w:pPr>
            <w:r>
              <w:rPr>
                <w:sz w:val="12"/>
              </w:rPr>
              <w:t>Mhurchu, et al.</w:t>
            </w:r>
          </w:p>
        </w:tc>
        <w:tc>
          <w:tcPr>
            <w:tcW w:w="2101" w:type="dxa"/>
          </w:tcPr>
          <w:p w:rsidR="00280DF2" w:rsidP="009C5286" w14:paraId="0E794F35" w14:textId="77777777">
            <w:pPr>
              <w:pStyle w:val="TableParagraph"/>
              <w:spacing w:line="252" w:lineRule="auto"/>
              <w:rPr>
                <w:sz w:val="12"/>
              </w:rPr>
            </w:pPr>
            <w:r>
              <w:rPr>
                <w:sz w:val="12"/>
              </w:rPr>
              <w:t>Effects of a Voluntary Front-of-Pack Nutrition Labelling System on Packaged Food Reformulation: The Health Star Rating System in New Zealand</w:t>
            </w:r>
          </w:p>
        </w:tc>
        <w:tc>
          <w:tcPr>
            <w:tcW w:w="330" w:type="dxa"/>
          </w:tcPr>
          <w:p w:rsidR="00280DF2" w:rsidP="009C5286" w14:paraId="5EE067FD" w14:textId="77777777">
            <w:pPr>
              <w:pStyle w:val="TableParagraph"/>
              <w:spacing w:line="140" w:lineRule="exact"/>
              <w:rPr>
                <w:sz w:val="12"/>
              </w:rPr>
            </w:pPr>
            <w:r>
              <w:rPr>
                <w:color w:val="AF3A3C"/>
                <w:sz w:val="12"/>
              </w:rPr>
              <w:t>2017</w:t>
            </w:r>
          </w:p>
        </w:tc>
        <w:tc>
          <w:tcPr>
            <w:tcW w:w="3553" w:type="dxa"/>
          </w:tcPr>
          <w:p w:rsidR="00280DF2" w:rsidP="009C5286" w14:paraId="6202368A" w14:textId="77777777">
            <w:pPr>
              <w:pStyle w:val="TableParagraph"/>
              <w:spacing w:line="140" w:lineRule="exact"/>
              <w:rPr>
                <w:sz w:val="12"/>
              </w:rPr>
            </w:pPr>
            <w:r>
              <w:rPr>
                <w:sz w:val="12"/>
              </w:rPr>
              <w:t>Quantitative.</w:t>
            </w:r>
          </w:p>
          <w:p w:rsidR="00280DF2" w:rsidP="009C5286" w14:paraId="09F33FFA" w14:textId="77777777">
            <w:pPr>
              <w:pStyle w:val="TableParagraph"/>
              <w:spacing w:before="7" w:line="252" w:lineRule="auto"/>
              <w:ind w:right="88"/>
              <w:rPr>
                <w:sz w:val="12"/>
              </w:rPr>
            </w:pPr>
            <w:r>
              <w:rPr>
                <w:sz w:val="12"/>
              </w:rPr>
              <w:t>Observational study of the composition of packaged foods before and after the introduction of the HSR system in New Zealand.</w:t>
            </w:r>
          </w:p>
          <w:p w:rsidR="00280DF2" w:rsidP="009C5286" w14:paraId="53EA0640" w14:textId="77777777">
            <w:pPr>
              <w:pStyle w:val="TableParagraph"/>
              <w:spacing w:before="1"/>
              <w:rPr>
                <w:sz w:val="12"/>
              </w:rPr>
            </w:pPr>
            <w:r>
              <w:rPr>
                <w:sz w:val="12"/>
              </w:rPr>
              <w:t>Homescan® data were obtained for</w:t>
            </w:r>
          </w:p>
          <w:p w:rsidR="00280DF2" w:rsidP="009C5286" w14:paraId="53FEBA70" w14:textId="77777777">
            <w:pPr>
              <w:pStyle w:val="TableParagraph"/>
              <w:spacing w:before="7" w:line="252" w:lineRule="auto"/>
              <w:ind w:right="662"/>
              <w:rPr>
                <w:sz w:val="12"/>
              </w:rPr>
            </w:pPr>
            <w:r>
              <w:rPr>
                <w:sz w:val="12"/>
              </w:rPr>
              <w:t>1. 2014 (n = 1726 households and 4.65 million products); 2. 2015</w:t>
            </w:r>
          </w:p>
          <w:p w:rsidR="00280DF2" w:rsidP="009C5286" w14:paraId="6E4337D2" w14:textId="77777777">
            <w:pPr>
              <w:pStyle w:val="TableParagraph"/>
              <w:rPr>
                <w:sz w:val="12"/>
              </w:rPr>
            </w:pPr>
            <w:r>
              <w:rPr>
                <w:sz w:val="12"/>
              </w:rPr>
              <w:t>(n = 1827 households, 4.89 million products); and</w:t>
            </w:r>
          </w:p>
          <w:p w:rsidR="00280DF2" w:rsidP="009C5286" w14:paraId="23C16B07" w14:textId="77777777">
            <w:pPr>
              <w:pStyle w:val="TableParagraph"/>
              <w:spacing w:before="8"/>
              <w:rPr>
                <w:sz w:val="12"/>
              </w:rPr>
            </w:pPr>
            <w:r>
              <w:rPr>
                <w:sz w:val="12"/>
              </w:rPr>
              <w:t>3. 2016 (n = 1839 households, 4.89 million products).</w:t>
            </w:r>
          </w:p>
        </w:tc>
        <w:tc>
          <w:tcPr>
            <w:tcW w:w="1199" w:type="dxa"/>
          </w:tcPr>
          <w:p w:rsidR="00280DF2" w:rsidP="009C5286" w14:paraId="4E33A935" w14:textId="77777777">
            <w:pPr>
              <w:pStyle w:val="TableParagraph"/>
              <w:spacing w:line="140" w:lineRule="exact"/>
              <w:rPr>
                <w:sz w:val="12"/>
              </w:rPr>
            </w:pPr>
            <w:r>
              <w:rPr>
                <w:sz w:val="12"/>
              </w:rPr>
              <w:t>Health Star Rating</w:t>
            </w:r>
          </w:p>
        </w:tc>
        <w:tc>
          <w:tcPr>
            <w:tcW w:w="1199" w:type="dxa"/>
          </w:tcPr>
          <w:p w:rsidR="00280DF2" w:rsidP="009C5286" w14:paraId="2EEF42E7" w14:textId="77777777">
            <w:pPr>
              <w:pStyle w:val="TableParagraph"/>
              <w:spacing w:before="6"/>
              <w:ind w:left="0"/>
              <w:rPr>
                <w:rFonts w:ascii="Times New Roman"/>
                <w:sz w:val="3"/>
              </w:rPr>
            </w:pPr>
          </w:p>
          <w:p w:rsidR="00280DF2" w:rsidP="009C5286" w14:paraId="2BE659EE" w14:textId="77777777">
            <w:pPr>
              <w:pStyle w:val="TableParagraph"/>
              <w:ind w:left="44"/>
              <w:rPr>
                <w:rFonts w:ascii="Times New Roman"/>
                <w:sz w:val="20"/>
              </w:rPr>
            </w:pPr>
            <w:r>
              <w:rPr>
                <w:noProof/>
              </w:rPr>
              <w:drawing>
                <wp:inline distT="0" distB="0" distL="0" distR="0">
                  <wp:extent cx="647606" cy="19430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png"/>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7606" cy="194309"/>
                          </a:xfrm>
                          <a:prstGeom prst="rect">
                            <a:avLst/>
                          </a:prstGeom>
                        </pic:spPr>
                      </pic:pic>
                    </a:graphicData>
                  </a:graphic>
                </wp:inline>
              </w:drawing>
            </w:r>
          </w:p>
          <w:p w:rsidR="00280DF2" w:rsidP="009C5286" w14:paraId="3F14DA46" w14:textId="77777777">
            <w:pPr>
              <w:pStyle w:val="TableParagraph"/>
              <w:spacing w:before="4"/>
              <w:ind w:left="0"/>
              <w:rPr>
                <w:rFonts w:ascii="Times New Roman"/>
                <w:sz w:val="11"/>
              </w:rPr>
            </w:pPr>
          </w:p>
          <w:p w:rsidR="00280DF2" w:rsidP="009C5286" w14:paraId="1E068EF7" w14:textId="77777777">
            <w:pPr>
              <w:pStyle w:val="TableParagraph"/>
              <w:ind w:left="44" w:right="-15"/>
              <w:rPr>
                <w:rFonts w:ascii="Times New Roman"/>
                <w:sz w:val="20"/>
              </w:rPr>
            </w:pPr>
            <w:r>
              <w:rPr>
                <w:noProof/>
              </w:rPr>
              <w:drawing>
                <wp:inline distT="0" distB="0" distL="0" distR="0">
                  <wp:extent cx="707082" cy="26469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png"/>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707082" cy="264699"/>
                          </a:xfrm>
                          <a:prstGeom prst="rect">
                            <a:avLst/>
                          </a:prstGeom>
                        </pic:spPr>
                      </pic:pic>
                    </a:graphicData>
                  </a:graphic>
                </wp:inline>
              </w:drawing>
            </w:r>
          </w:p>
        </w:tc>
        <w:tc>
          <w:tcPr>
            <w:tcW w:w="550" w:type="dxa"/>
          </w:tcPr>
          <w:p w:rsidR="00280DF2" w:rsidP="009C5286" w14:paraId="7CA763E8" w14:textId="77777777">
            <w:pPr>
              <w:pStyle w:val="TableParagraph"/>
              <w:spacing w:line="252" w:lineRule="auto"/>
              <w:ind w:right="105"/>
              <w:rPr>
                <w:sz w:val="12"/>
              </w:rPr>
            </w:pPr>
            <w:r>
              <w:rPr>
                <w:sz w:val="12"/>
              </w:rPr>
              <w:t>New Zealand</w:t>
            </w:r>
          </w:p>
        </w:tc>
        <w:tc>
          <w:tcPr>
            <w:tcW w:w="3487" w:type="dxa"/>
          </w:tcPr>
          <w:p w:rsidR="00280DF2" w:rsidP="009C5286" w14:paraId="3CB0B4BE" w14:textId="77777777">
            <w:pPr>
              <w:pStyle w:val="TableParagraph"/>
              <w:spacing w:line="252" w:lineRule="auto"/>
              <w:ind w:right="36"/>
              <w:rPr>
                <w:sz w:val="12"/>
              </w:rPr>
            </w:pPr>
            <w:r>
              <w:rPr>
                <w:sz w:val="12"/>
              </w:rPr>
              <w:t>Two years following adoption of the voluntary front-of-pack Health Star Rating System in New Zealand, approximately 5% of packaged food and non-alcoholic beverage products displayed HSR star graphic labels. Food groups with the highest rates of uptake of HSR labels were cereals, convenience foods, packaged fruit and vegetables, sauces and spreads, and ‘other’ products (predominantly breakfast beverages).</w:t>
            </w:r>
          </w:p>
          <w:p w:rsidR="00280DF2" w:rsidP="009C5286" w14:paraId="6212A16E" w14:textId="77777777">
            <w:pPr>
              <w:pStyle w:val="TableParagraph"/>
              <w:spacing w:before="11"/>
              <w:ind w:left="0"/>
              <w:rPr>
                <w:rFonts w:ascii="Times New Roman"/>
                <w:sz w:val="12"/>
              </w:rPr>
            </w:pPr>
          </w:p>
          <w:p w:rsidR="00280DF2" w:rsidP="009C5286" w14:paraId="7FC7F2F1" w14:textId="77777777">
            <w:pPr>
              <w:pStyle w:val="TableParagraph"/>
              <w:spacing w:line="252" w:lineRule="auto"/>
              <w:ind w:right="28"/>
              <w:rPr>
                <w:sz w:val="12"/>
              </w:rPr>
            </w:pPr>
            <w:r>
              <w:rPr>
                <w:sz w:val="12"/>
              </w:rPr>
              <w:t>The majority of</w:t>
            </w:r>
            <w:r>
              <w:rPr>
                <w:sz w:val="12"/>
              </w:rPr>
              <w:t xml:space="preserve"> products displaying HSR labels had star ratings </w:t>
            </w:r>
            <w:r>
              <w:rPr>
                <w:spacing w:val="-3"/>
                <w:sz w:val="12"/>
              </w:rPr>
              <w:t xml:space="preserve">greater </w:t>
            </w:r>
            <w:r>
              <w:rPr>
                <w:sz w:val="12"/>
              </w:rPr>
              <w:t>than 3.0, and the median rating was 4.0. Products displaying HSR star graphic labels had significantly lower mean saturated fat, total sugar and sodium contents, and higher fibre content, compared to non</w:t>
            </w:r>
            <w:r>
              <w:rPr>
                <w:sz w:val="12"/>
              </w:rPr>
              <w:t>-  HSR</w:t>
            </w:r>
            <w:r>
              <w:rPr>
                <w:sz w:val="12"/>
              </w:rPr>
              <w:t xml:space="preserve"> products. Approximately eight </w:t>
            </w:r>
            <w:r>
              <w:rPr>
                <w:spacing w:val="1"/>
                <w:sz w:val="12"/>
              </w:rPr>
              <w:t xml:space="preserve">in </w:t>
            </w:r>
            <w:r>
              <w:rPr>
                <w:sz w:val="12"/>
              </w:rPr>
              <w:t xml:space="preserve">10 products (83%) displaying HSR graphics had </w:t>
            </w:r>
            <w:r>
              <w:rPr>
                <w:spacing w:val="-3"/>
                <w:sz w:val="12"/>
              </w:rPr>
              <w:t xml:space="preserve">been </w:t>
            </w:r>
            <w:r>
              <w:rPr>
                <w:sz w:val="12"/>
              </w:rPr>
              <w:t>reformulated to some</w:t>
            </w:r>
            <w:r>
              <w:rPr>
                <w:spacing w:val="-21"/>
                <w:sz w:val="12"/>
              </w:rPr>
              <w:t xml:space="preserve"> </w:t>
            </w:r>
            <w:r>
              <w:rPr>
                <w:sz w:val="12"/>
              </w:rPr>
              <w:t>extent, and small but</w:t>
            </w:r>
          </w:p>
          <w:p w:rsidR="00280DF2" w:rsidP="009C5286" w14:paraId="34BFFCAA" w14:textId="77777777">
            <w:pPr>
              <w:pStyle w:val="TableParagraph"/>
              <w:spacing w:before="1" w:line="252" w:lineRule="auto"/>
              <w:rPr>
                <w:sz w:val="12"/>
              </w:rPr>
            </w:pPr>
            <w:r>
              <w:rPr>
                <w:sz w:val="12"/>
              </w:rPr>
              <w:t xml:space="preserve">significant favourable changes were observed in mean energy, </w:t>
            </w:r>
            <w:r>
              <w:rPr>
                <w:sz w:val="12"/>
              </w:rPr>
              <w:t>sodium</w:t>
            </w:r>
            <w:r>
              <w:rPr>
                <w:sz w:val="12"/>
              </w:rPr>
              <w:t xml:space="preserve"> and fibre contents, compared with product composition prior to adoption of HSR.</w:t>
            </w:r>
          </w:p>
        </w:tc>
      </w:tr>
      <w:tr w14:paraId="03D6E026" w14:textId="77777777" w:rsidTr="2F9D3AFB">
        <w:tblPrEx>
          <w:tblW w:w="0" w:type="auto"/>
          <w:tblInd w:w="113" w:type="dxa"/>
          <w:tblLayout w:type="fixed"/>
          <w:tblCellMar>
            <w:left w:w="0" w:type="dxa"/>
            <w:right w:w="0" w:type="dxa"/>
          </w:tblCellMar>
          <w:tblLook w:val="01E0"/>
        </w:tblPrEx>
        <w:trPr>
          <w:trHeight w:val="1459"/>
        </w:trPr>
        <w:tc>
          <w:tcPr>
            <w:tcW w:w="1023" w:type="dxa"/>
          </w:tcPr>
          <w:p w:rsidR="00280DF2" w:rsidP="009C5286" w14:paraId="5A373640" w14:textId="77777777">
            <w:pPr>
              <w:pStyle w:val="TableParagraph"/>
              <w:spacing w:line="140" w:lineRule="exact"/>
              <w:rPr>
                <w:sz w:val="12"/>
              </w:rPr>
            </w:pPr>
            <w:r>
              <w:rPr>
                <w:sz w:val="12"/>
              </w:rPr>
              <w:t>Neal, et al.</w:t>
            </w:r>
          </w:p>
        </w:tc>
        <w:tc>
          <w:tcPr>
            <w:tcW w:w="2101" w:type="dxa"/>
          </w:tcPr>
          <w:p w:rsidR="00280DF2" w:rsidP="009C5286" w14:paraId="132917DC" w14:textId="77777777">
            <w:pPr>
              <w:pStyle w:val="TableParagraph"/>
              <w:spacing w:line="252" w:lineRule="auto"/>
              <w:ind w:right="-8"/>
              <w:rPr>
                <w:sz w:val="12"/>
              </w:rPr>
            </w:pPr>
            <w:r>
              <w:rPr>
                <w:sz w:val="12"/>
              </w:rPr>
              <w:t>Effects of Different Types of Front-of-Pack Labelling Information on the Healthiness of Food Purchases-A Randomised Controlled Trial</w:t>
            </w:r>
          </w:p>
        </w:tc>
        <w:tc>
          <w:tcPr>
            <w:tcW w:w="330" w:type="dxa"/>
          </w:tcPr>
          <w:p w:rsidR="00280DF2" w:rsidP="009C5286" w14:paraId="2A8507E6" w14:textId="77777777">
            <w:pPr>
              <w:pStyle w:val="TableParagraph"/>
              <w:spacing w:line="140" w:lineRule="exact"/>
              <w:rPr>
                <w:sz w:val="12"/>
              </w:rPr>
            </w:pPr>
            <w:r>
              <w:rPr>
                <w:color w:val="AF3A3C"/>
                <w:sz w:val="12"/>
              </w:rPr>
              <w:t>2017</w:t>
            </w:r>
          </w:p>
        </w:tc>
        <w:tc>
          <w:tcPr>
            <w:tcW w:w="3553" w:type="dxa"/>
          </w:tcPr>
          <w:p w:rsidR="00280DF2" w:rsidP="009C5286" w14:paraId="4C8CC624" w14:textId="77777777">
            <w:pPr>
              <w:pStyle w:val="TableParagraph"/>
              <w:spacing w:line="140" w:lineRule="exact"/>
              <w:rPr>
                <w:sz w:val="12"/>
              </w:rPr>
            </w:pPr>
            <w:r>
              <w:rPr>
                <w:sz w:val="12"/>
              </w:rPr>
              <w:t>Quantitative.</w:t>
            </w:r>
          </w:p>
          <w:p w:rsidR="00280DF2" w:rsidP="009C5286" w14:paraId="4F9A26C6" w14:textId="076E03BA">
            <w:pPr>
              <w:pStyle w:val="TableParagraph"/>
              <w:spacing w:before="7" w:line="252" w:lineRule="auto"/>
              <w:rPr>
                <w:sz w:val="12"/>
              </w:rPr>
            </w:pPr>
            <w:r>
              <w:rPr>
                <w:sz w:val="12"/>
              </w:rPr>
              <w:t xml:space="preserve">In store experimental study comparing four </w:t>
            </w:r>
            <w:r w:rsidR="00F638F1">
              <w:rPr>
                <w:sz w:val="12"/>
              </w:rPr>
              <w:t>FOP</w:t>
            </w:r>
            <w:r>
              <w:rPr>
                <w:sz w:val="12"/>
              </w:rPr>
              <w:t xml:space="preserve"> labeling schemes and the Nutrition Information Panel (NIP) using a Smartphone app in the store. The main outcome was the mean nutrient profile score for all food and beverages purchased over the four-week intervention period. n=1,578 participants</w:t>
            </w:r>
          </w:p>
        </w:tc>
        <w:tc>
          <w:tcPr>
            <w:tcW w:w="1199" w:type="dxa"/>
          </w:tcPr>
          <w:p w:rsidR="00280DF2" w:rsidP="009C5286" w14:paraId="67CE4FA5" w14:textId="77777777">
            <w:pPr>
              <w:pStyle w:val="TableParagraph"/>
              <w:numPr>
                <w:ilvl w:val="0"/>
                <w:numId w:val="39"/>
              </w:numPr>
              <w:tabs>
                <w:tab w:val="left" w:pos="147"/>
              </w:tabs>
              <w:spacing w:line="140" w:lineRule="exact"/>
              <w:ind w:firstLine="0"/>
              <w:rPr>
                <w:sz w:val="12"/>
              </w:rPr>
            </w:pPr>
            <w:r>
              <w:rPr>
                <w:sz w:val="12"/>
              </w:rPr>
              <w:t>Health Star</w:t>
            </w:r>
            <w:r>
              <w:rPr>
                <w:spacing w:val="-4"/>
                <w:sz w:val="12"/>
              </w:rPr>
              <w:t xml:space="preserve"> </w:t>
            </w:r>
            <w:r>
              <w:rPr>
                <w:sz w:val="12"/>
              </w:rPr>
              <w:t>Rating</w:t>
            </w:r>
          </w:p>
          <w:p w:rsidR="00280DF2" w:rsidP="009C5286" w14:paraId="70D26559" w14:textId="77777777">
            <w:pPr>
              <w:pStyle w:val="TableParagraph"/>
              <w:numPr>
                <w:ilvl w:val="0"/>
                <w:numId w:val="39"/>
              </w:numPr>
              <w:tabs>
                <w:tab w:val="left" w:pos="147"/>
              </w:tabs>
              <w:spacing w:before="7" w:line="252" w:lineRule="auto"/>
              <w:ind w:right="280" w:firstLine="0"/>
              <w:rPr>
                <w:sz w:val="12"/>
              </w:rPr>
            </w:pPr>
            <w:r>
              <w:rPr>
                <w:sz w:val="12"/>
              </w:rPr>
              <w:t>Multiple Traffic Light</w:t>
            </w:r>
          </w:p>
          <w:p w:rsidR="00280DF2" w:rsidP="009C5286" w14:paraId="52870390" w14:textId="77777777">
            <w:pPr>
              <w:pStyle w:val="TableParagraph"/>
              <w:numPr>
                <w:ilvl w:val="0"/>
                <w:numId w:val="39"/>
              </w:numPr>
              <w:tabs>
                <w:tab w:val="left" w:pos="147"/>
              </w:tabs>
              <w:spacing w:before="1" w:line="252" w:lineRule="auto"/>
              <w:ind w:right="14" w:firstLine="0"/>
              <w:rPr>
                <w:sz w:val="12"/>
              </w:rPr>
            </w:pPr>
            <w:r>
              <w:rPr>
                <w:sz w:val="12"/>
              </w:rPr>
              <w:t xml:space="preserve">Daily </w:t>
            </w:r>
            <w:r>
              <w:rPr>
                <w:sz w:val="12"/>
              </w:rPr>
              <w:t>Intake  Guide</w:t>
            </w:r>
            <w:r>
              <w:rPr>
                <w:sz w:val="12"/>
              </w:rPr>
              <w:t xml:space="preserve"> </w:t>
            </w:r>
            <w:r>
              <w:rPr>
                <w:spacing w:val="2"/>
                <w:sz w:val="12"/>
              </w:rPr>
              <w:t xml:space="preserve">4. </w:t>
            </w:r>
            <w:r>
              <w:rPr>
                <w:sz w:val="12"/>
              </w:rPr>
              <w:t xml:space="preserve">Recommendation/War </w:t>
            </w:r>
            <w:r>
              <w:rPr>
                <w:sz w:val="12"/>
              </w:rPr>
              <w:t>ning</w:t>
            </w:r>
          </w:p>
          <w:p w:rsidR="00280DF2" w:rsidP="009C5286" w14:paraId="20A08B73" w14:textId="77777777">
            <w:pPr>
              <w:pStyle w:val="TableParagraph"/>
              <w:spacing w:line="252" w:lineRule="auto"/>
              <w:ind w:right="257"/>
              <w:rPr>
                <w:sz w:val="12"/>
              </w:rPr>
            </w:pPr>
            <w:r>
              <w:rPr>
                <w:sz w:val="12"/>
              </w:rPr>
              <w:t>5. Nutrition Information Panel</w:t>
            </w:r>
          </w:p>
        </w:tc>
        <w:tc>
          <w:tcPr>
            <w:tcW w:w="1199" w:type="dxa"/>
          </w:tcPr>
          <w:p w:rsidR="00280DF2" w:rsidP="009C5286" w14:paraId="4A126FFA" w14:textId="77777777">
            <w:pPr>
              <w:pStyle w:val="TableParagraph"/>
              <w:spacing w:before="2"/>
              <w:ind w:left="0"/>
              <w:rPr>
                <w:rFonts w:ascii="Times New Roman"/>
                <w:sz w:val="3"/>
              </w:rPr>
            </w:pPr>
          </w:p>
          <w:p w:rsidR="00280DF2" w:rsidP="009C5286" w14:paraId="405EA250" w14:textId="77777777">
            <w:pPr>
              <w:pStyle w:val="TableParagraph"/>
              <w:ind w:left="35"/>
              <w:rPr>
                <w:rFonts w:ascii="Times New Roman"/>
                <w:sz w:val="20"/>
              </w:rPr>
            </w:pPr>
            <w:r>
              <w:rPr>
                <w:noProof/>
              </w:rPr>
              <w:drawing>
                <wp:inline distT="0" distB="0" distL="0" distR="0">
                  <wp:extent cx="674503" cy="62388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png"/>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674503" cy="623887"/>
                          </a:xfrm>
                          <a:prstGeom prst="rect">
                            <a:avLst/>
                          </a:prstGeom>
                        </pic:spPr>
                      </pic:pic>
                    </a:graphicData>
                  </a:graphic>
                </wp:inline>
              </w:drawing>
            </w:r>
          </w:p>
        </w:tc>
        <w:tc>
          <w:tcPr>
            <w:tcW w:w="550" w:type="dxa"/>
          </w:tcPr>
          <w:p w:rsidR="00280DF2" w:rsidP="009C5286" w14:paraId="09859E66" w14:textId="77777777">
            <w:pPr>
              <w:pStyle w:val="TableParagraph"/>
              <w:spacing w:line="140" w:lineRule="exact"/>
              <w:ind w:left="0" w:right="39"/>
              <w:jc w:val="center"/>
              <w:rPr>
                <w:sz w:val="12"/>
              </w:rPr>
            </w:pPr>
            <w:r>
              <w:rPr>
                <w:sz w:val="12"/>
              </w:rPr>
              <w:t>Australia</w:t>
            </w:r>
          </w:p>
        </w:tc>
        <w:tc>
          <w:tcPr>
            <w:tcW w:w="3487" w:type="dxa"/>
          </w:tcPr>
          <w:p w:rsidR="00280DF2" w:rsidP="009C5286" w14:paraId="661A5F88" w14:textId="77777777">
            <w:pPr>
              <w:pStyle w:val="TableParagraph"/>
              <w:spacing w:line="133" w:lineRule="exact"/>
              <w:ind w:left="30"/>
              <w:rPr>
                <w:sz w:val="12"/>
              </w:rPr>
            </w:pPr>
            <w:r>
              <w:rPr>
                <w:sz w:val="12"/>
              </w:rPr>
              <w:t>These data provide endorsement of the Australian Government’s</w:t>
            </w:r>
          </w:p>
          <w:p w:rsidR="00280DF2" w:rsidP="009C5286" w14:paraId="1CCFD241" w14:textId="77777777">
            <w:pPr>
              <w:pStyle w:val="TableParagraph"/>
              <w:spacing w:before="1" w:line="232" w:lineRule="auto"/>
              <w:ind w:left="30" w:right="70"/>
              <w:rPr>
                <w:sz w:val="12"/>
              </w:rPr>
            </w:pPr>
            <w:r>
              <w:rPr>
                <w:sz w:val="12"/>
              </w:rPr>
              <w:t xml:space="preserve">decision to adopt the HSR as their recommended front-of-pack </w:t>
            </w:r>
            <w:r>
              <w:rPr>
                <w:spacing w:val="3"/>
                <w:sz w:val="12"/>
              </w:rPr>
              <w:t xml:space="preserve">labelling system. </w:t>
            </w:r>
            <w:r>
              <w:rPr>
                <w:spacing w:val="2"/>
                <w:sz w:val="12"/>
              </w:rPr>
              <w:t xml:space="preserve">The HSR was </w:t>
            </w:r>
            <w:r>
              <w:rPr>
                <w:spacing w:val="1"/>
                <w:sz w:val="12"/>
              </w:rPr>
              <w:t xml:space="preserve">as </w:t>
            </w:r>
            <w:r>
              <w:rPr>
                <w:spacing w:val="2"/>
                <w:sz w:val="12"/>
              </w:rPr>
              <w:t xml:space="preserve">good </w:t>
            </w:r>
            <w:r>
              <w:rPr>
                <w:spacing w:val="1"/>
                <w:sz w:val="12"/>
              </w:rPr>
              <w:t xml:space="preserve">as </w:t>
            </w:r>
            <w:r>
              <w:rPr>
                <w:spacing w:val="2"/>
                <w:sz w:val="12"/>
              </w:rPr>
              <w:t xml:space="preserve">any </w:t>
            </w:r>
            <w:r>
              <w:rPr>
                <w:spacing w:val="3"/>
                <w:sz w:val="12"/>
              </w:rPr>
              <w:t xml:space="preserve">other label </w:t>
            </w:r>
            <w:r>
              <w:rPr>
                <w:spacing w:val="5"/>
                <w:sz w:val="12"/>
              </w:rPr>
              <w:t xml:space="preserve">that </w:t>
            </w:r>
            <w:r>
              <w:rPr>
                <w:spacing w:val="2"/>
                <w:sz w:val="12"/>
              </w:rPr>
              <w:t xml:space="preserve">was </w:t>
            </w:r>
            <w:r>
              <w:rPr>
                <w:sz w:val="12"/>
              </w:rPr>
              <w:t xml:space="preserve">tested in terms of the healthiness of purchased foods, while being </w:t>
            </w:r>
            <w:r>
              <w:rPr>
                <w:spacing w:val="-4"/>
                <w:sz w:val="12"/>
              </w:rPr>
              <w:t xml:space="preserve">superior </w:t>
            </w:r>
            <w:r>
              <w:rPr>
                <w:sz w:val="12"/>
              </w:rPr>
              <w:t xml:space="preserve">to </w:t>
            </w:r>
            <w:r>
              <w:rPr>
                <w:spacing w:val="-4"/>
                <w:sz w:val="12"/>
              </w:rPr>
              <w:t xml:space="preserve">others </w:t>
            </w:r>
            <w:r>
              <w:rPr>
                <w:sz w:val="12"/>
              </w:rPr>
              <w:t xml:space="preserve">in </w:t>
            </w:r>
            <w:r>
              <w:rPr>
                <w:spacing w:val="-4"/>
                <w:sz w:val="12"/>
              </w:rPr>
              <w:t xml:space="preserve">several aspects </w:t>
            </w:r>
            <w:r>
              <w:rPr>
                <w:sz w:val="12"/>
              </w:rPr>
              <w:t xml:space="preserve">of </w:t>
            </w:r>
            <w:r>
              <w:rPr>
                <w:spacing w:val="-4"/>
                <w:sz w:val="12"/>
              </w:rPr>
              <w:t xml:space="preserve">consumer preference. It </w:t>
            </w:r>
            <w:r>
              <w:rPr>
                <w:spacing w:val="-3"/>
                <w:sz w:val="12"/>
              </w:rPr>
              <w:t xml:space="preserve">was also </w:t>
            </w:r>
            <w:r>
              <w:rPr>
                <w:sz w:val="12"/>
              </w:rPr>
              <w:t xml:space="preserve">a </w:t>
            </w:r>
            <w:r>
              <w:rPr>
                <w:spacing w:val="-3"/>
                <w:sz w:val="12"/>
              </w:rPr>
              <w:t xml:space="preserve">front runner </w:t>
            </w:r>
            <w:r>
              <w:rPr>
                <w:sz w:val="12"/>
              </w:rPr>
              <w:t xml:space="preserve">in </w:t>
            </w:r>
            <w:r>
              <w:rPr>
                <w:spacing w:val="-3"/>
                <w:sz w:val="12"/>
              </w:rPr>
              <w:t xml:space="preserve">terms </w:t>
            </w:r>
            <w:r>
              <w:rPr>
                <w:sz w:val="12"/>
              </w:rPr>
              <w:t xml:space="preserve">of </w:t>
            </w:r>
            <w:r>
              <w:rPr>
                <w:spacing w:val="-3"/>
                <w:sz w:val="12"/>
              </w:rPr>
              <w:t xml:space="preserve">its </w:t>
            </w:r>
            <w:r>
              <w:rPr>
                <w:spacing w:val="-4"/>
                <w:sz w:val="12"/>
              </w:rPr>
              <w:t xml:space="preserve">utility </w:t>
            </w:r>
            <w:r>
              <w:rPr>
                <w:spacing w:val="-3"/>
                <w:sz w:val="12"/>
              </w:rPr>
              <w:t xml:space="preserve">across groups with </w:t>
            </w:r>
            <w:r>
              <w:rPr>
                <w:sz w:val="12"/>
              </w:rPr>
              <w:t xml:space="preserve">a </w:t>
            </w:r>
            <w:r>
              <w:rPr>
                <w:spacing w:val="-3"/>
                <w:sz w:val="12"/>
              </w:rPr>
              <w:t xml:space="preserve">range </w:t>
            </w:r>
            <w:r>
              <w:rPr>
                <w:sz w:val="12"/>
              </w:rPr>
              <w:t xml:space="preserve">of different levels of nutritional knowledge. This is an important </w:t>
            </w:r>
            <w:r>
              <w:rPr>
                <w:spacing w:val="-3"/>
                <w:sz w:val="12"/>
              </w:rPr>
              <w:t xml:space="preserve">attribute given </w:t>
            </w:r>
            <w:r>
              <w:rPr>
                <w:sz w:val="12"/>
              </w:rPr>
              <w:t xml:space="preserve">the </w:t>
            </w:r>
            <w:r>
              <w:rPr>
                <w:spacing w:val="-3"/>
                <w:sz w:val="12"/>
              </w:rPr>
              <w:t xml:space="preserve">greater </w:t>
            </w:r>
            <w:r>
              <w:rPr>
                <w:spacing w:val="-4"/>
                <w:sz w:val="12"/>
              </w:rPr>
              <w:t xml:space="preserve">burden </w:t>
            </w:r>
            <w:r>
              <w:rPr>
                <w:sz w:val="12"/>
              </w:rPr>
              <w:t xml:space="preserve">of </w:t>
            </w:r>
            <w:r>
              <w:rPr>
                <w:spacing w:val="-3"/>
                <w:sz w:val="12"/>
              </w:rPr>
              <w:t xml:space="preserve">diet-related ill </w:t>
            </w:r>
            <w:r>
              <w:rPr>
                <w:spacing w:val="-4"/>
                <w:sz w:val="12"/>
              </w:rPr>
              <w:t xml:space="preserve">health </w:t>
            </w:r>
            <w:r>
              <w:rPr>
                <w:spacing w:val="-3"/>
                <w:sz w:val="12"/>
              </w:rPr>
              <w:t xml:space="preserve">amongst </w:t>
            </w:r>
            <w:r>
              <w:rPr>
                <w:spacing w:val="5"/>
                <w:sz w:val="12"/>
              </w:rPr>
              <w:t xml:space="preserve">less </w:t>
            </w:r>
            <w:r>
              <w:rPr>
                <w:spacing w:val="3"/>
                <w:sz w:val="12"/>
              </w:rPr>
              <w:t xml:space="preserve">educated sectors </w:t>
            </w:r>
            <w:r>
              <w:rPr>
                <w:spacing w:val="1"/>
                <w:sz w:val="12"/>
              </w:rPr>
              <w:t xml:space="preserve">of </w:t>
            </w:r>
            <w:r>
              <w:rPr>
                <w:spacing w:val="2"/>
                <w:sz w:val="12"/>
              </w:rPr>
              <w:t xml:space="preserve">the </w:t>
            </w:r>
            <w:r>
              <w:rPr>
                <w:spacing w:val="3"/>
                <w:sz w:val="12"/>
              </w:rPr>
              <w:t xml:space="preserve">population </w:t>
            </w:r>
            <w:r>
              <w:rPr>
                <w:spacing w:val="2"/>
                <w:sz w:val="12"/>
              </w:rPr>
              <w:t xml:space="preserve">and the </w:t>
            </w:r>
            <w:r>
              <w:rPr>
                <w:spacing w:val="3"/>
                <w:sz w:val="12"/>
              </w:rPr>
              <w:t xml:space="preserve">known </w:t>
            </w:r>
            <w:r>
              <w:rPr>
                <w:spacing w:val="5"/>
                <w:sz w:val="12"/>
              </w:rPr>
              <w:t xml:space="preserve">difficulties </w:t>
            </w:r>
            <w:r>
              <w:rPr>
                <w:spacing w:val="2"/>
                <w:sz w:val="12"/>
              </w:rPr>
              <w:t xml:space="preserve">that some </w:t>
            </w:r>
            <w:r>
              <w:rPr>
                <w:spacing w:val="3"/>
                <w:sz w:val="12"/>
              </w:rPr>
              <w:t xml:space="preserve">groups </w:t>
            </w:r>
            <w:r>
              <w:rPr>
                <w:spacing w:val="2"/>
                <w:sz w:val="12"/>
              </w:rPr>
              <w:t xml:space="preserve">have </w:t>
            </w:r>
            <w:r>
              <w:rPr>
                <w:spacing w:val="1"/>
                <w:sz w:val="12"/>
              </w:rPr>
              <w:t>in</w:t>
            </w:r>
            <w:r>
              <w:rPr>
                <w:spacing w:val="-6"/>
                <w:sz w:val="12"/>
              </w:rPr>
              <w:t xml:space="preserve"> </w:t>
            </w:r>
            <w:r>
              <w:rPr>
                <w:spacing w:val="3"/>
                <w:sz w:val="12"/>
              </w:rPr>
              <w:t xml:space="preserve">understating nutrition </w:t>
            </w:r>
            <w:r>
              <w:rPr>
                <w:spacing w:val="5"/>
                <w:sz w:val="12"/>
              </w:rPr>
              <w:t>information.</w:t>
            </w:r>
          </w:p>
        </w:tc>
      </w:tr>
      <w:tr w14:paraId="0FB317A8" w14:textId="77777777" w:rsidTr="2F9D3AFB">
        <w:tblPrEx>
          <w:tblW w:w="0" w:type="auto"/>
          <w:tblInd w:w="113" w:type="dxa"/>
          <w:tblLayout w:type="fixed"/>
          <w:tblCellMar>
            <w:left w:w="0" w:type="dxa"/>
            <w:right w:w="0" w:type="dxa"/>
          </w:tblCellMar>
          <w:tblLook w:val="01E0"/>
        </w:tblPrEx>
        <w:trPr>
          <w:trHeight w:val="469"/>
        </w:trPr>
        <w:tc>
          <w:tcPr>
            <w:tcW w:w="1023" w:type="dxa"/>
          </w:tcPr>
          <w:p w:rsidR="00280DF2" w:rsidP="009C5286" w14:paraId="6561D0F8" w14:textId="77777777">
            <w:pPr>
              <w:pStyle w:val="TableParagraph"/>
              <w:spacing w:line="140" w:lineRule="exact"/>
              <w:rPr>
                <w:sz w:val="12"/>
              </w:rPr>
            </w:pPr>
            <w:r>
              <w:rPr>
                <w:sz w:val="12"/>
              </w:rPr>
              <w:t>Ning, et al.</w:t>
            </w:r>
          </w:p>
        </w:tc>
        <w:tc>
          <w:tcPr>
            <w:tcW w:w="2101" w:type="dxa"/>
          </w:tcPr>
          <w:p w:rsidR="00280DF2" w:rsidP="009C5286" w14:paraId="749A98A6" w14:textId="77777777">
            <w:pPr>
              <w:pStyle w:val="TableParagraph"/>
              <w:spacing w:line="252" w:lineRule="auto"/>
              <w:ind w:right="308"/>
              <w:rPr>
                <w:sz w:val="12"/>
              </w:rPr>
            </w:pPr>
            <w:r>
              <w:rPr>
                <w:sz w:val="12"/>
              </w:rPr>
              <w:t>Dietary sodium reduction in New Zealand: influence of the Tick label</w:t>
            </w:r>
          </w:p>
        </w:tc>
        <w:tc>
          <w:tcPr>
            <w:tcW w:w="330" w:type="dxa"/>
          </w:tcPr>
          <w:p w:rsidR="00280DF2" w:rsidP="009C5286" w14:paraId="69DF2159" w14:textId="77777777">
            <w:pPr>
              <w:pStyle w:val="TableParagraph"/>
              <w:spacing w:line="140" w:lineRule="exact"/>
              <w:rPr>
                <w:sz w:val="12"/>
              </w:rPr>
            </w:pPr>
            <w:r>
              <w:rPr>
                <w:color w:val="AF3A3C"/>
                <w:sz w:val="12"/>
              </w:rPr>
              <w:t>2017</w:t>
            </w:r>
          </w:p>
        </w:tc>
        <w:tc>
          <w:tcPr>
            <w:tcW w:w="3553" w:type="dxa"/>
          </w:tcPr>
          <w:p w:rsidR="00280DF2" w:rsidP="009C5286" w14:paraId="300F35B7" w14:textId="77777777">
            <w:pPr>
              <w:pStyle w:val="TableParagraph"/>
              <w:spacing w:line="140" w:lineRule="exact"/>
              <w:rPr>
                <w:sz w:val="12"/>
              </w:rPr>
            </w:pPr>
            <w:r>
              <w:rPr>
                <w:sz w:val="12"/>
              </w:rPr>
              <w:t>Quantitative.</w:t>
            </w:r>
          </w:p>
          <w:p w:rsidR="00280DF2" w:rsidP="009C5286" w14:paraId="528C73EA" w14:textId="77777777">
            <w:pPr>
              <w:pStyle w:val="TableParagraph"/>
              <w:spacing w:before="7"/>
              <w:rPr>
                <w:sz w:val="12"/>
              </w:rPr>
            </w:pPr>
            <w:r>
              <w:rPr>
                <w:sz w:val="12"/>
              </w:rPr>
              <w:t>Product examination (n=56) and semi-structured interviews (n=5)</w:t>
            </w:r>
          </w:p>
        </w:tc>
        <w:tc>
          <w:tcPr>
            <w:tcW w:w="1199" w:type="dxa"/>
          </w:tcPr>
          <w:p w:rsidR="00280DF2" w:rsidP="009C5286" w14:paraId="7147A7F4" w14:textId="77777777">
            <w:pPr>
              <w:pStyle w:val="TableParagraph"/>
              <w:spacing w:line="140" w:lineRule="exact"/>
              <w:rPr>
                <w:sz w:val="12"/>
              </w:rPr>
            </w:pPr>
            <w:r>
              <w:rPr>
                <w:sz w:val="12"/>
              </w:rPr>
              <w:t>Tick</w:t>
            </w:r>
          </w:p>
        </w:tc>
        <w:tc>
          <w:tcPr>
            <w:tcW w:w="1199" w:type="dxa"/>
          </w:tcPr>
          <w:p w:rsidR="00280DF2" w:rsidP="009C5286" w14:paraId="65033493" w14:textId="77777777">
            <w:pPr>
              <w:pStyle w:val="TableParagraph"/>
              <w:spacing w:before="40"/>
              <w:ind w:left="59"/>
              <w:rPr>
                <w:sz w:val="12"/>
              </w:rPr>
            </w:pPr>
            <w:r>
              <w:rPr>
                <w:sz w:val="12"/>
              </w:rPr>
              <w:t>N/A</w:t>
            </w:r>
          </w:p>
        </w:tc>
        <w:tc>
          <w:tcPr>
            <w:tcW w:w="550" w:type="dxa"/>
          </w:tcPr>
          <w:p w:rsidR="00280DF2" w:rsidP="009C5286" w14:paraId="4704CBD6" w14:textId="77777777">
            <w:pPr>
              <w:pStyle w:val="TableParagraph"/>
              <w:spacing w:line="252" w:lineRule="auto"/>
              <w:ind w:right="105"/>
              <w:rPr>
                <w:sz w:val="12"/>
              </w:rPr>
            </w:pPr>
            <w:r>
              <w:rPr>
                <w:sz w:val="12"/>
              </w:rPr>
              <w:t>New Zealand</w:t>
            </w:r>
          </w:p>
        </w:tc>
        <w:tc>
          <w:tcPr>
            <w:tcW w:w="3487" w:type="dxa"/>
          </w:tcPr>
          <w:p w:rsidR="00280DF2" w:rsidP="009C5286" w14:paraId="1E0CA1D1" w14:textId="77777777">
            <w:pPr>
              <w:pStyle w:val="TableParagraph"/>
              <w:spacing w:line="252" w:lineRule="auto"/>
              <w:rPr>
                <w:sz w:val="12"/>
              </w:rPr>
            </w:pPr>
            <w:r>
              <w:rPr>
                <w:sz w:val="12"/>
              </w:rPr>
              <w:t>Evidence of product reformulation (sodium-reduction) in "Tick- approved" products.</w:t>
            </w:r>
          </w:p>
        </w:tc>
      </w:tr>
      <w:tr w14:paraId="03E0783B" w14:textId="77777777" w:rsidTr="2F9D3AFB">
        <w:tblPrEx>
          <w:tblW w:w="0" w:type="auto"/>
          <w:tblInd w:w="113" w:type="dxa"/>
          <w:tblLayout w:type="fixed"/>
          <w:tblCellMar>
            <w:left w:w="0" w:type="dxa"/>
            <w:right w:w="0" w:type="dxa"/>
          </w:tblCellMar>
          <w:tblLook w:val="01E0"/>
        </w:tblPrEx>
        <w:trPr>
          <w:trHeight w:val="1172"/>
        </w:trPr>
        <w:tc>
          <w:tcPr>
            <w:tcW w:w="1023" w:type="dxa"/>
          </w:tcPr>
          <w:p w:rsidR="00280DF2" w:rsidP="009C5286" w14:paraId="649F50C9" w14:textId="77777777">
            <w:pPr>
              <w:pStyle w:val="TableParagraph"/>
              <w:spacing w:line="140" w:lineRule="exact"/>
              <w:rPr>
                <w:sz w:val="12"/>
              </w:rPr>
            </w:pPr>
            <w:r>
              <w:rPr>
                <w:sz w:val="12"/>
              </w:rPr>
              <w:t>Pettigrew, et al.</w:t>
            </w:r>
          </w:p>
        </w:tc>
        <w:tc>
          <w:tcPr>
            <w:tcW w:w="2101" w:type="dxa"/>
          </w:tcPr>
          <w:p w:rsidR="00280DF2" w:rsidP="009C5286" w14:paraId="4EEB172B" w14:textId="77777777">
            <w:pPr>
              <w:pStyle w:val="TableParagraph"/>
              <w:spacing w:line="252" w:lineRule="auto"/>
              <w:ind w:right="102"/>
              <w:rPr>
                <w:sz w:val="12"/>
              </w:rPr>
            </w:pPr>
            <w:r>
              <w:rPr>
                <w:sz w:val="12"/>
              </w:rPr>
              <w:t>The types and aspects of front-of-pack food labelling schemes preferred by adults and children</w:t>
            </w:r>
          </w:p>
        </w:tc>
        <w:tc>
          <w:tcPr>
            <w:tcW w:w="330" w:type="dxa"/>
          </w:tcPr>
          <w:p w:rsidR="00280DF2" w:rsidP="009C5286" w14:paraId="2BE4B8E5" w14:textId="77777777">
            <w:pPr>
              <w:pStyle w:val="TableParagraph"/>
              <w:spacing w:line="140" w:lineRule="exact"/>
              <w:rPr>
                <w:sz w:val="12"/>
              </w:rPr>
            </w:pPr>
            <w:r>
              <w:rPr>
                <w:color w:val="AF3A3C"/>
                <w:sz w:val="12"/>
              </w:rPr>
              <w:t>2017</w:t>
            </w:r>
          </w:p>
        </w:tc>
        <w:tc>
          <w:tcPr>
            <w:tcW w:w="3553" w:type="dxa"/>
          </w:tcPr>
          <w:p w:rsidR="00280DF2" w:rsidP="009C5286" w14:paraId="0095EEBB" w14:textId="77777777">
            <w:pPr>
              <w:pStyle w:val="TableParagraph"/>
              <w:spacing w:line="140" w:lineRule="exact"/>
              <w:rPr>
                <w:sz w:val="12"/>
              </w:rPr>
            </w:pPr>
            <w:r>
              <w:rPr>
                <w:sz w:val="12"/>
              </w:rPr>
              <w:t>Quantitative.</w:t>
            </w:r>
          </w:p>
          <w:p w:rsidR="00280DF2" w:rsidP="009C5286" w14:paraId="12F41EA1" w14:textId="5F345C9C">
            <w:pPr>
              <w:pStyle w:val="TableParagraph"/>
              <w:spacing w:before="7" w:line="252" w:lineRule="auto"/>
              <w:ind w:right="-17"/>
              <w:rPr>
                <w:sz w:val="12"/>
              </w:rPr>
            </w:pPr>
            <w:r>
              <w:rPr>
                <w:sz w:val="12"/>
              </w:rPr>
              <w:t xml:space="preserve">1. cross-sectional online survey of 2058 Australian consumers (1558 adults and 500 children) assessed preferences b/w a daily intake </w:t>
            </w:r>
            <w:r w:rsidR="004B6E26">
              <w:rPr>
                <w:sz w:val="12"/>
              </w:rPr>
              <w:t>FOP</w:t>
            </w:r>
            <w:r>
              <w:rPr>
                <w:sz w:val="12"/>
              </w:rPr>
              <w:t xml:space="preserve">, a traffic light </w:t>
            </w:r>
            <w:r w:rsidR="004B6E26">
              <w:rPr>
                <w:sz w:val="12"/>
              </w:rPr>
              <w:t>FOP</w:t>
            </w:r>
            <w:r>
              <w:rPr>
                <w:sz w:val="12"/>
              </w:rPr>
              <w:t xml:space="preserve">, and the Health Star Rating </w:t>
            </w:r>
            <w:r w:rsidR="004B6E26">
              <w:rPr>
                <w:sz w:val="12"/>
              </w:rPr>
              <w:t>FOP</w:t>
            </w:r>
            <w:r>
              <w:rPr>
                <w:sz w:val="12"/>
              </w:rPr>
              <w:t>.</w:t>
            </w:r>
          </w:p>
          <w:p w:rsidR="00280DF2" w:rsidP="009C5286" w14:paraId="3A47BDCA" w14:textId="77777777">
            <w:pPr>
              <w:pStyle w:val="TableParagraph"/>
              <w:spacing w:before="1"/>
              <w:rPr>
                <w:sz w:val="12"/>
              </w:rPr>
            </w:pPr>
            <w:r>
              <w:rPr>
                <w:sz w:val="12"/>
              </w:rPr>
              <w:t>N=2058 (included adults &amp; children)</w:t>
            </w:r>
          </w:p>
        </w:tc>
        <w:tc>
          <w:tcPr>
            <w:tcW w:w="1199" w:type="dxa"/>
          </w:tcPr>
          <w:p w:rsidR="00280DF2" w:rsidP="009C5286" w14:paraId="6D48AF4E" w14:textId="77777777">
            <w:pPr>
              <w:pStyle w:val="TableParagraph"/>
              <w:spacing w:line="252" w:lineRule="auto"/>
              <w:ind w:right="121"/>
              <w:rPr>
                <w:sz w:val="12"/>
              </w:rPr>
            </w:pPr>
            <w:r>
              <w:rPr>
                <w:sz w:val="12"/>
              </w:rPr>
              <w:t xml:space="preserve">1.Daily Intake 2. Traffic Light </w:t>
            </w:r>
            <w:r>
              <w:rPr>
                <w:sz w:val="12"/>
              </w:rPr>
              <w:t>3.Health</w:t>
            </w:r>
            <w:r>
              <w:rPr>
                <w:sz w:val="12"/>
              </w:rPr>
              <w:t xml:space="preserve"> Star Rating (HSR)</w:t>
            </w:r>
          </w:p>
        </w:tc>
        <w:tc>
          <w:tcPr>
            <w:tcW w:w="1199" w:type="dxa"/>
          </w:tcPr>
          <w:p w:rsidR="00280DF2" w:rsidP="009C5286" w14:paraId="187A3F6C" w14:textId="77777777">
            <w:pPr>
              <w:pStyle w:val="TableParagraph"/>
              <w:ind w:left="104"/>
              <w:rPr>
                <w:rFonts w:ascii="Times New Roman"/>
                <w:sz w:val="20"/>
              </w:rPr>
            </w:pPr>
            <w:r>
              <w:rPr>
                <w:noProof/>
              </w:rPr>
              <w:drawing>
                <wp:inline distT="0" distB="0" distL="0" distR="0">
                  <wp:extent cx="658053" cy="6995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png"/>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053" cy="699515"/>
                          </a:xfrm>
                          <a:prstGeom prst="rect">
                            <a:avLst/>
                          </a:prstGeom>
                        </pic:spPr>
                      </pic:pic>
                    </a:graphicData>
                  </a:graphic>
                </wp:inline>
              </w:drawing>
            </w:r>
          </w:p>
        </w:tc>
        <w:tc>
          <w:tcPr>
            <w:tcW w:w="550" w:type="dxa"/>
          </w:tcPr>
          <w:p w:rsidR="00280DF2" w:rsidP="009C5286" w14:paraId="24DFBDEB" w14:textId="77777777">
            <w:pPr>
              <w:pStyle w:val="TableParagraph"/>
              <w:spacing w:line="140" w:lineRule="exact"/>
              <w:ind w:left="0" w:right="39"/>
              <w:jc w:val="center"/>
              <w:rPr>
                <w:sz w:val="12"/>
              </w:rPr>
            </w:pPr>
            <w:r>
              <w:rPr>
                <w:sz w:val="12"/>
              </w:rPr>
              <w:t>Australia</w:t>
            </w:r>
          </w:p>
        </w:tc>
        <w:tc>
          <w:tcPr>
            <w:tcW w:w="3487" w:type="dxa"/>
          </w:tcPr>
          <w:p w:rsidR="00280DF2" w:rsidP="009C5286" w14:paraId="3685B63D" w14:textId="76D1B964">
            <w:pPr>
              <w:pStyle w:val="TableParagraph"/>
              <w:numPr>
                <w:ilvl w:val="0"/>
                <w:numId w:val="38"/>
              </w:numPr>
              <w:tabs>
                <w:tab w:val="left" w:pos="147"/>
              </w:tabs>
              <w:spacing w:line="252" w:lineRule="auto"/>
              <w:ind w:right="117" w:firstLine="0"/>
              <w:rPr>
                <w:sz w:val="12"/>
              </w:rPr>
            </w:pPr>
            <w:r>
              <w:rPr>
                <w:sz w:val="12"/>
              </w:rPr>
              <w:t xml:space="preserve">the Health Star Rating was the most </w:t>
            </w:r>
            <w:r>
              <w:rPr>
                <w:spacing w:val="-3"/>
                <w:sz w:val="12"/>
              </w:rPr>
              <w:t xml:space="preserve">preferred </w:t>
            </w:r>
            <w:r w:rsidR="004B6E26">
              <w:rPr>
                <w:sz w:val="12"/>
              </w:rPr>
              <w:t>FOP</w:t>
            </w:r>
            <w:r>
              <w:rPr>
                <w:sz w:val="12"/>
              </w:rPr>
              <w:t xml:space="preserve"> (44%</w:t>
            </w:r>
            <w:r>
              <w:rPr>
                <w:sz w:val="12"/>
              </w:rPr>
              <w:t>)</w:t>
            </w:r>
            <w:r>
              <w:rPr>
                <w:sz w:val="12"/>
              </w:rPr>
              <w:t xml:space="preserve"> and the daily</w:t>
            </w:r>
            <w:r>
              <w:rPr>
                <w:spacing w:val="-5"/>
                <w:sz w:val="12"/>
              </w:rPr>
              <w:t xml:space="preserve"> </w:t>
            </w:r>
            <w:r>
              <w:rPr>
                <w:sz w:val="12"/>
              </w:rPr>
              <w:t>intake</w:t>
            </w:r>
            <w:r>
              <w:rPr>
                <w:spacing w:val="-11"/>
                <w:sz w:val="12"/>
              </w:rPr>
              <w:t xml:space="preserve"> </w:t>
            </w:r>
            <w:r>
              <w:rPr>
                <w:sz w:val="12"/>
              </w:rPr>
              <w:t>guide</w:t>
            </w:r>
            <w:r>
              <w:rPr>
                <w:spacing w:val="-11"/>
                <w:sz w:val="12"/>
              </w:rPr>
              <w:t xml:space="preserve"> </w:t>
            </w:r>
            <w:r>
              <w:rPr>
                <w:sz w:val="12"/>
              </w:rPr>
              <w:t>was</w:t>
            </w:r>
            <w:r>
              <w:rPr>
                <w:spacing w:val="-9"/>
                <w:sz w:val="12"/>
              </w:rPr>
              <w:t xml:space="preserve"> </w:t>
            </w:r>
            <w:r>
              <w:rPr>
                <w:sz w:val="12"/>
              </w:rPr>
              <w:t>the</w:t>
            </w:r>
            <w:r>
              <w:rPr>
                <w:spacing w:val="-11"/>
                <w:sz w:val="12"/>
              </w:rPr>
              <w:t xml:space="preserve"> </w:t>
            </w:r>
            <w:r>
              <w:rPr>
                <w:sz w:val="12"/>
              </w:rPr>
              <w:t>least</w:t>
            </w:r>
            <w:r>
              <w:rPr>
                <w:spacing w:val="-2"/>
                <w:sz w:val="12"/>
              </w:rPr>
              <w:t xml:space="preserve"> </w:t>
            </w:r>
            <w:r>
              <w:rPr>
                <w:spacing w:val="-3"/>
                <w:sz w:val="12"/>
              </w:rPr>
              <w:t xml:space="preserve">preferred </w:t>
            </w:r>
            <w:r>
              <w:rPr>
                <w:sz w:val="12"/>
              </w:rPr>
              <w:t>(20%).</w:t>
            </w:r>
          </w:p>
          <w:p w:rsidR="00280DF2" w:rsidP="009C5286" w14:paraId="42AD2225" w14:textId="77777777">
            <w:pPr>
              <w:pStyle w:val="TableParagraph"/>
              <w:numPr>
                <w:ilvl w:val="0"/>
                <w:numId w:val="38"/>
              </w:numPr>
              <w:tabs>
                <w:tab w:val="left" w:pos="147"/>
              </w:tabs>
              <w:spacing w:line="252" w:lineRule="auto"/>
              <w:ind w:right="120" w:firstLine="0"/>
              <w:rPr>
                <w:sz w:val="12"/>
              </w:rPr>
            </w:pPr>
            <w:r>
              <w:rPr>
                <w:spacing w:val="-4"/>
                <w:sz w:val="12"/>
              </w:rPr>
              <w:t xml:space="preserve">ease </w:t>
            </w:r>
            <w:r>
              <w:rPr>
                <w:sz w:val="12"/>
              </w:rPr>
              <w:t xml:space="preserve">of </w:t>
            </w:r>
            <w:r>
              <w:rPr>
                <w:spacing w:val="-3"/>
                <w:sz w:val="12"/>
              </w:rPr>
              <w:t xml:space="preserve">use, </w:t>
            </w:r>
            <w:r>
              <w:rPr>
                <w:sz w:val="12"/>
              </w:rPr>
              <w:t>interpretive content, and salience usually explained a respondent’s</w:t>
            </w:r>
            <w:r>
              <w:rPr>
                <w:spacing w:val="-10"/>
                <w:sz w:val="12"/>
              </w:rPr>
              <w:t xml:space="preserve"> </w:t>
            </w:r>
            <w:r>
              <w:rPr>
                <w:sz w:val="12"/>
              </w:rPr>
              <w:t>preference</w:t>
            </w:r>
          </w:p>
          <w:p w:rsidR="00280DF2" w:rsidP="009C5286" w14:paraId="0703B312" w14:textId="77777777">
            <w:pPr>
              <w:pStyle w:val="TableParagraph"/>
              <w:numPr>
                <w:ilvl w:val="0"/>
                <w:numId w:val="38"/>
              </w:numPr>
              <w:tabs>
                <w:tab w:val="left" w:pos="147"/>
              </w:tabs>
              <w:spacing w:line="252" w:lineRule="auto"/>
              <w:ind w:right="257" w:firstLine="0"/>
              <w:rPr>
                <w:sz w:val="12"/>
              </w:rPr>
            </w:pPr>
            <w:r>
              <w:rPr>
                <w:sz w:val="12"/>
              </w:rPr>
              <w:t xml:space="preserve">Findings support a simple to </w:t>
            </w:r>
            <w:r>
              <w:rPr>
                <w:spacing w:val="-3"/>
                <w:sz w:val="12"/>
              </w:rPr>
              <w:t xml:space="preserve">use, </w:t>
            </w:r>
            <w:r>
              <w:rPr>
                <w:sz w:val="12"/>
              </w:rPr>
              <w:t xml:space="preserve">interpretive, </w:t>
            </w:r>
            <w:r>
              <w:rPr>
                <w:spacing w:val="-3"/>
                <w:sz w:val="12"/>
              </w:rPr>
              <w:t xml:space="preserve">star-based </w:t>
            </w:r>
            <w:r>
              <w:rPr>
                <w:sz w:val="12"/>
              </w:rPr>
              <w:t>food label</w:t>
            </w:r>
          </w:p>
        </w:tc>
      </w:tr>
      <w:tr w14:paraId="3197EA7A" w14:textId="77777777" w:rsidTr="2F9D3AFB">
        <w:tblPrEx>
          <w:tblW w:w="0" w:type="auto"/>
          <w:tblInd w:w="113" w:type="dxa"/>
          <w:tblLayout w:type="fixed"/>
          <w:tblCellMar>
            <w:left w:w="0" w:type="dxa"/>
            <w:right w:w="0" w:type="dxa"/>
          </w:tblCellMar>
          <w:tblLook w:val="01E0"/>
        </w:tblPrEx>
        <w:trPr>
          <w:trHeight w:val="1590"/>
        </w:trPr>
        <w:tc>
          <w:tcPr>
            <w:tcW w:w="1023" w:type="dxa"/>
          </w:tcPr>
          <w:p w:rsidR="00280DF2" w:rsidP="009C5286" w14:paraId="557126F4" w14:textId="77777777">
            <w:pPr>
              <w:pStyle w:val="TableParagraph"/>
              <w:spacing w:line="140" w:lineRule="exact"/>
              <w:rPr>
                <w:sz w:val="12"/>
              </w:rPr>
            </w:pPr>
            <w:r>
              <w:rPr>
                <w:sz w:val="12"/>
              </w:rPr>
              <w:t>Raine, et al.</w:t>
            </w:r>
          </w:p>
        </w:tc>
        <w:tc>
          <w:tcPr>
            <w:tcW w:w="2101" w:type="dxa"/>
          </w:tcPr>
          <w:p w:rsidR="00280DF2" w:rsidP="009C5286" w14:paraId="70F04F55" w14:textId="77777777">
            <w:pPr>
              <w:pStyle w:val="TableParagraph"/>
              <w:spacing w:line="252" w:lineRule="auto"/>
              <w:rPr>
                <w:sz w:val="12"/>
              </w:rPr>
            </w:pPr>
            <w:r>
              <w:rPr>
                <w:sz w:val="12"/>
              </w:rPr>
              <w:t>Policy recommendations for front-of- package, shelf, and menu labelling in Canada: Moving towards consensus</w:t>
            </w:r>
          </w:p>
        </w:tc>
        <w:tc>
          <w:tcPr>
            <w:tcW w:w="330" w:type="dxa"/>
          </w:tcPr>
          <w:p w:rsidR="00280DF2" w:rsidP="009C5286" w14:paraId="4E2050E9" w14:textId="77777777">
            <w:pPr>
              <w:pStyle w:val="TableParagraph"/>
              <w:spacing w:line="140" w:lineRule="exact"/>
              <w:rPr>
                <w:sz w:val="12"/>
              </w:rPr>
            </w:pPr>
            <w:r>
              <w:rPr>
                <w:color w:val="AF3A3C"/>
                <w:sz w:val="12"/>
              </w:rPr>
              <w:t>2017</w:t>
            </w:r>
          </w:p>
        </w:tc>
        <w:tc>
          <w:tcPr>
            <w:tcW w:w="3553" w:type="dxa"/>
          </w:tcPr>
          <w:p w:rsidR="00280DF2" w:rsidP="009C5286" w14:paraId="48CCDD2D" w14:textId="77777777">
            <w:pPr>
              <w:pStyle w:val="TableParagraph"/>
              <w:spacing w:line="140" w:lineRule="exact"/>
              <w:rPr>
                <w:sz w:val="12"/>
              </w:rPr>
            </w:pPr>
            <w:r>
              <w:rPr>
                <w:sz w:val="12"/>
              </w:rPr>
              <w:t>Consensus Conference (Global Recommendations)</w:t>
            </w:r>
          </w:p>
        </w:tc>
        <w:tc>
          <w:tcPr>
            <w:tcW w:w="1199" w:type="dxa"/>
          </w:tcPr>
          <w:p w:rsidR="00280DF2" w:rsidP="009C5286" w14:paraId="764DDBB7" w14:textId="77777777">
            <w:pPr>
              <w:pStyle w:val="TableParagraph"/>
              <w:spacing w:line="140" w:lineRule="exact"/>
              <w:rPr>
                <w:sz w:val="12"/>
              </w:rPr>
            </w:pPr>
            <w:r>
              <w:rPr>
                <w:sz w:val="12"/>
              </w:rPr>
              <w:t>N/A</w:t>
            </w:r>
          </w:p>
        </w:tc>
        <w:tc>
          <w:tcPr>
            <w:tcW w:w="1199" w:type="dxa"/>
          </w:tcPr>
          <w:p w:rsidR="00280DF2" w:rsidP="009C5286" w14:paraId="23F2E98D" w14:textId="77777777">
            <w:pPr>
              <w:pStyle w:val="TableParagraph"/>
              <w:spacing w:before="49"/>
              <w:ind w:left="59"/>
              <w:rPr>
                <w:sz w:val="12"/>
              </w:rPr>
            </w:pPr>
            <w:r>
              <w:rPr>
                <w:sz w:val="12"/>
              </w:rPr>
              <w:t>N/A</w:t>
            </w:r>
          </w:p>
        </w:tc>
        <w:tc>
          <w:tcPr>
            <w:tcW w:w="550" w:type="dxa"/>
          </w:tcPr>
          <w:p w:rsidR="00280DF2" w:rsidP="009C5286" w14:paraId="38F6999E" w14:textId="77777777">
            <w:pPr>
              <w:pStyle w:val="TableParagraph"/>
              <w:spacing w:line="140" w:lineRule="exact"/>
              <w:ind w:left="8" w:right="124"/>
              <w:jc w:val="center"/>
              <w:rPr>
                <w:sz w:val="12"/>
              </w:rPr>
            </w:pPr>
            <w:r>
              <w:rPr>
                <w:sz w:val="12"/>
              </w:rPr>
              <w:t>Canada</w:t>
            </w:r>
          </w:p>
        </w:tc>
        <w:tc>
          <w:tcPr>
            <w:tcW w:w="3487" w:type="dxa"/>
          </w:tcPr>
          <w:p w:rsidR="00280DF2" w:rsidP="009C5286" w14:paraId="6770229B" w14:textId="374FE7F7">
            <w:pPr>
              <w:pStyle w:val="TableParagraph"/>
              <w:spacing w:line="252" w:lineRule="auto"/>
              <w:ind w:right="49"/>
              <w:rPr>
                <w:sz w:val="12"/>
              </w:rPr>
            </w:pPr>
            <w:r>
              <w:rPr>
                <w:sz w:val="12"/>
              </w:rPr>
              <w:t xml:space="preserve">Experts and professionals in Nutrition recommend standardizing </w:t>
            </w:r>
            <w:r w:rsidR="00F638F1">
              <w:rPr>
                <w:sz w:val="12"/>
              </w:rPr>
              <w:t>FOP</w:t>
            </w:r>
            <w:r>
              <w:rPr>
                <w:sz w:val="12"/>
              </w:rPr>
              <w:t xml:space="preserve"> with an interpretive logo that distills meaning and utilizes a graduated scale to represent nutritional guidance.</w:t>
            </w:r>
          </w:p>
        </w:tc>
      </w:tr>
      <w:tr w14:paraId="21B6D3AE" w14:textId="77777777" w:rsidTr="2F9D3AFB">
        <w:tblPrEx>
          <w:tblW w:w="0" w:type="auto"/>
          <w:tblInd w:w="113" w:type="dxa"/>
          <w:tblLayout w:type="fixed"/>
          <w:tblCellMar>
            <w:left w:w="0" w:type="dxa"/>
            <w:right w:w="0" w:type="dxa"/>
          </w:tblCellMar>
          <w:tblLook w:val="01E0"/>
        </w:tblPrEx>
        <w:trPr>
          <w:trHeight w:val="1623"/>
        </w:trPr>
        <w:tc>
          <w:tcPr>
            <w:tcW w:w="1023" w:type="dxa"/>
          </w:tcPr>
          <w:p w:rsidR="00280DF2" w:rsidP="009C5286" w14:paraId="2C0B1207" w14:textId="77777777">
            <w:pPr>
              <w:pStyle w:val="TableParagraph"/>
              <w:spacing w:line="140" w:lineRule="exact"/>
              <w:rPr>
                <w:sz w:val="12"/>
              </w:rPr>
            </w:pPr>
            <w:r>
              <w:rPr>
                <w:sz w:val="12"/>
              </w:rPr>
              <w:t>Roseman, et al.</w:t>
            </w:r>
          </w:p>
        </w:tc>
        <w:tc>
          <w:tcPr>
            <w:tcW w:w="2101" w:type="dxa"/>
          </w:tcPr>
          <w:p w:rsidR="00280DF2" w:rsidP="009C5286" w14:paraId="3FBF69DD" w14:textId="77777777">
            <w:pPr>
              <w:pStyle w:val="TableParagraph"/>
              <w:spacing w:line="252" w:lineRule="auto"/>
              <w:ind w:right="32"/>
              <w:rPr>
                <w:sz w:val="12"/>
              </w:rPr>
            </w:pPr>
            <w:r>
              <w:rPr>
                <w:sz w:val="12"/>
              </w:rPr>
              <w:t>Attitude and Behavior Factors Associated with Front-of-Package Label Use with Label Users Making Accurate Product Nutrition Assessments</w:t>
            </w:r>
          </w:p>
        </w:tc>
        <w:tc>
          <w:tcPr>
            <w:tcW w:w="330" w:type="dxa"/>
          </w:tcPr>
          <w:p w:rsidR="00280DF2" w:rsidP="009C5286" w14:paraId="2D4D1C87" w14:textId="77777777">
            <w:pPr>
              <w:pStyle w:val="TableParagraph"/>
              <w:spacing w:line="140" w:lineRule="exact"/>
              <w:rPr>
                <w:sz w:val="12"/>
              </w:rPr>
            </w:pPr>
            <w:r>
              <w:rPr>
                <w:color w:val="AF3A3C"/>
                <w:sz w:val="12"/>
              </w:rPr>
              <w:t>2017</w:t>
            </w:r>
          </w:p>
        </w:tc>
        <w:tc>
          <w:tcPr>
            <w:tcW w:w="3553" w:type="dxa"/>
          </w:tcPr>
          <w:p w:rsidR="00280DF2" w:rsidP="009C5286" w14:paraId="024C2756" w14:textId="77777777">
            <w:pPr>
              <w:pStyle w:val="TableParagraph"/>
              <w:spacing w:line="140" w:lineRule="exact"/>
              <w:rPr>
                <w:sz w:val="12"/>
              </w:rPr>
            </w:pPr>
            <w:r>
              <w:rPr>
                <w:sz w:val="12"/>
              </w:rPr>
              <w:t>Quantitative.</w:t>
            </w:r>
          </w:p>
          <w:p w:rsidR="00280DF2" w:rsidP="009C5286" w14:paraId="3E8DBBE0" w14:textId="66C220AB">
            <w:pPr>
              <w:pStyle w:val="TableParagraph"/>
              <w:numPr>
                <w:ilvl w:val="0"/>
                <w:numId w:val="37"/>
              </w:numPr>
              <w:tabs>
                <w:tab w:val="left" w:pos="147"/>
              </w:tabs>
              <w:spacing w:before="7"/>
              <w:ind w:firstLine="0"/>
              <w:rPr>
                <w:sz w:val="12"/>
              </w:rPr>
            </w:pPr>
            <w:r>
              <w:rPr>
                <w:sz w:val="12"/>
              </w:rPr>
              <w:t>A</w:t>
            </w:r>
            <w:r>
              <w:rPr>
                <w:spacing w:val="-11"/>
                <w:sz w:val="12"/>
              </w:rPr>
              <w:t xml:space="preserve"> </w:t>
            </w:r>
            <w:r>
              <w:rPr>
                <w:sz w:val="12"/>
              </w:rPr>
              <w:t>betwee</w:t>
            </w:r>
            <w:r w:rsidR="004B6E26">
              <w:rPr>
                <w:sz w:val="12"/>
              </w:rPr>
              <w:t>Nutri-Score</w:t>
            </w:r>
            <w:r>
              <w:rPr>
                <w:sz w:val="12"/>
              </w:rPr>
              <w:t>ubjects</w:t>
            </w:r>
            <w:r>
              <w:rPr>
                <w:spacing w:val="-10"/>
                <w:sz w:val="12"/>
              </w:rPr>
              <w:t xml:space="preserve"> </w:t>
            </w:r>
            <w:r>
              <w:rPr>
                <w:sz w:val="12"/>
              </w:rPr>
              <w:t>experimental</w:t>
            </w:r>
            <w:r>
              <w:rPr>
                <w:spacing w:val="-1"/>
                <w:sz w:val="12"/>
              </w:rPr>
              <w:t xml:space="preserve"> </w:t>
            </w:r>
            <w:r>
              <w:rPr>
                <w:sz w:val="12"/>
              </w:rPr>
              <w:t>design</w:t>
            </w:r>
            <w:r>
              <w:rPr>
                <w:spacing w:val="-4"/>
                <w:sz w:val="12"/>
              </w:rPr>
              <w:t xml:space="preserve"> </w:t>
            </w:r>
            <w:r>
              <w:rPr>
                <w:sz w:val="12"/>
              </w:rPr>
              <w:t>was</w:t>
            </w:r>
            <w:r>
              <w:rPr>
                <w:spacing w:val="-10"/>
                <w:sz w:val="12"/>
              </w:rPr>
              <w:t xml:space="preserve"> </w:t>
            </w:r>
            <w:r>
              <w:rPr>
                <w:sz w:val="12"/>
              </w:rPr>
              <w:t>employed</w:t>
            </w:r>
          </w:p>
          <w:p w:rsidR="00280DF2" w:rsidP="009C5286" w14:paraId="5E6D4B9B" w14:textId="77777777">
            <w:pPr>
              <w:pStyle w:val="TableParagraph"/>
              <w:numPr>
                <w:ilvl w:val="0"/>
                <w:numId w:val="37"/>
              </w:numPr>
              <w:tabs>
                <w:tab w:val="left" w:pos="147"/>
              </w:tabs>
              <w:spacing w:before="8" w:line="252" w:lineRule="auto"/>
              <w:ind w:right="24" w:firstLine="0"/>
              <w:rPr>
                <w:sz w:val="12"/>
              </w:rPr>
            </w:pPr>
            <w:r>
              <w:rPr>
                <w:sz w:val="12"/>
              </w:rPr>
              <w:t>Participants were randomly assigned to one of four label conditions: Facts</w:t>
            </w:r>
            <w:r>
              <w:rPr>
                <w:spacing w:val="-9"/>
                <w:sz w:val="12"/>
              </w:rPr>
              <w:t xml:space="preserve"> </w:t>
            </w:r>
            <w:r>
              <w:rPr>
                <w:sz w:val="12"/>
              </w:rPr>
              <w:t>Up</w:t>
            </w:r>
            <w:r>
              <w:rPr>
                <w:spacing w:val="-3"/>
                <w:sz w:val="12"/>
              </w:rPr>
              <w:t xml:space="preserve"> </w:t>
            </w:r>
            <w:r>
              <w:rPr>
                <w:sz w:val="12"/>
              </w:rPr>
              <w:t>Front,</w:t>
            </w:r>
            <w:r>
              <w:rPr>
                <w:spacing w:val="-3"/>
                <w:sz w:val="12"/>
              </w:rPr>
              <w:t xml:space="preserve"> </w:t>
            </w:r>
            <w:r>
              <w:rPr>
                <w:sz w:val="12"/>
              </w:rPr>
              <w:t>Facts</w:t>
            </w:r>
            <w:r>
              <w:rPr>
                <w:spacing w:val="-9"/>
                <w:sz w:val="12"/>
              </w:rPr>
              <w:t xml:space="preserve"> </w:t>
            </w:r>
            <w:r>
              <w:rPr>
                <w:sz w:val="12"/>
              </w:rPr>
              <w:t>Up</w:t>
            </w:r>
            <w:r>
              <w:rPr>
                <w:spacing w:val="-3"/>
                <w:sz w:val="12"/>
              </w:rPr>
              <w:t xml:space="preserve"> </w:t>
            </w:r>
            <w:r>
              <w:rPr>
                <w:sz w:val="12"/>
              </w:rPr>
              <w:t>Front</w:t>
            </w:r>
          </w:p>
          <w:p w:rsidR="00280DF2" w:rsidP="009C5286" w14:paraId="21FA51E0" w14:textId="77777777">
            <w:pPr>
              <w:pStyle w:val="TableParagraph"/>
              <w:rPr>
                <w:sz w:val="12"/>
              </w:rPr>
            </w:pPr>
            <w:r>
              <w:rPr>
                <w:sz w:val="12"/>
              </w:rPr>
              <w:t>Extended, a binary symbol, and no-label control</w:t>
            </w:r>
          </w:p>
          <w:p w:rsidR="00280DF2" w:rsidP="009C5286" w14:paraId="1B23CCAD" w14:textId="77777777">
            <w:pPr>
              <w:pStyle w:val="TableParagraph"/>
              <w:numPr>
                <w:ilvl w:val="0"/>
                <w:numId w:val="37"/>
              </w:numPr>
              <w:tabs>
                <w:tab w:val="left" w:pos="147"/>
              </w:tabs>
              <w:spacing w:before="8" w:line="252" w:lineRule="auto"/>
              <w:ind w:right="293" w:firstLine="0"/>
              <w:jc w:val="both"/>
              <w:rPr>
                <w:sz w:val="12"/>
              </w:rPr>
            </w:pPr>
            <w:r>
              <w:rPr>
                <w:sz w:val="12"/>
              </w:rPr>
              <w:t xml:space="preserve">Participants </w:t>
            </w:r>
            <w:r>
              <w:rPr>
                <w:spacing w:val="1"/>
                <w:sz w:val="12"/>
              </w:rPr>
              <w:t xml:space="preserve">in </w:t>
            </w:r>
            <w:r>
              <w:rPr>
                <w:sz w:val="12"/>
              </w:rPr>
              <w:t>one of four label condition groups viewed three product categories (cereal, dairy, and snacks) with corresponding questions</w:t>
            </w:r>
          </w:p>
          <w:p w:rsidR="00280DF2" w:rsidP="009C5286" w14:paraId="476FDB92" w14:textId="77777777">
            <w:pPr>
              <w:pStyle w:val="TableParagraph"/>
              <w:numPr>
                <w:ilvl w:val="0"/>
                <w:numId w:val="37"/>
              </w:numPr>
              <w:tabs>
                <w:tab w:val="left" w:pos="147"/>
              </w:tabs>
              <w:spacing w:line="252" w:lineRule="auto"/>
              <w:ind w:right="2322" w:firstLine="0"/>
              <w:rPr>
                <w:sz w:val="12"/>
              </w:rPr>
            </w:pPr>
            <w:r>
              <w:rPr>
                <w:spacing w:val="-3"/>
                <w:sz w:val="12"/>
              </w:rPr>
              <w:t xml:space="preserve">Used </w:t>
            </w:r>
            <w:r>
              <w:rPr>
                <w:sz w:val="12"/>
              </w:rPr>
              <w:t xml:space="preserve">an </w:t>
            </w:r>
            <w:r>
              <w:rPr>
                <w:spacing w:val="1"/>
                <w:sz w:val="12"/>
              </w:rPr>
              <w:t>online</w:t>
            </w:r>
            <w:r>
              <w:rPr>
                <w:spacing w:val="-12"/>
                <w:sz w:val="12"/>
              </w:rPr>
              <w:t xml:space="preserve"> </w:t>
            </w:r>
            <w:r>
              <w:rPr>
                <w:sz w:val="12"/>
              </w:rPr>
              <w:t>survey n=161</w:t>
            </w:r>
          </w:p>
        </w:tc>
        <w:tc>
          <w:tcPr>
            <w:tcW w:w="1199" w:type="dxa"/>
          </w:tcPr>
          <w:p w:rsidR="00280DF2" w:rsidP="009C5286" w14:paraId="294737E6" w14:textId="77777777">
            <w:pPr>
              <w:pStyle w:val="TableParagraph"/>
              <w:numPr>
                <w:ilvl w:val="0"/>
                <w:numId w:val="36"/>
              </w:numPr>
              <w:tabs>
                <w:tab w:val="left" w:pos="147"/>
              </w:tabs>
              <w:spacing w:line="140" w:lineRule="exact"/>
              <w:ind w:firstLine="0"/>
              <w:rPr>
                <w:sz w:val="12"/>
              </w:rPr>
            </w:pPr>
            <w:r>
              <w:rPr>
                <w:sz w:val="12"/>
              </w:rPr>
              <w:t>Facts Up</w:t>
            </w:r>
            <w:r>
              <w:rPr>
                <w:spacing w:val="-11"/>
                <w:sz w:val="12"/>
              </w:rPr>
              <w:t xml:space="preserve"> </w:t>
            </w:r>
            <w:r>
              <w:rPr>
                <w:sz w:val="12"/>
              </w:rPr>
              <w:t>Front</w:t>
            </w:r>
          </w:p>
          <w:p w:rsidR="00280DF2" w:rsidP="009C5286" w14:paraId="2C382D73" w14:textId="77777777">
            <w:pPr>
              <w:pStyle w:val="TableParagraph"/>
              <w:numPr>
                <w:ilvl w:val="0"/>
                <w:numId w:val="36"/>
              </w:numPr>
              <w:tabs>
                <w:tab w:val="left" w:pos="147"/>
              </w:tabs>
              <w:spacing w:before="7" w:line="252" w:lineRule="auto"/>
              <w:ind w:right="324" w:firstLine="0"/>
              <w:rPr>
                <w:sz w:val="12"/>
              </w:rPr>
            </w:pPr>
            <w:r>
              <w:rPr>
                <w:sz w:val="12"/>
              </w:rPr>
              <w:t>Facts Up Front Extended</w:t>
            </w:r>
          </w:p>
          <w:p w:rsidR="00280DF2" w:rsidP="009C5286" w14:paraId="023465C7" w14:textId="77777777">
            <w:pPr>
              <w:pStyle w:val="TableParagraph"/>
              <w:numPr>
                <w:ilvl w:val="0"/>
                <w:numId w:val="36"/>
              </w:numPr>
              <w:tabs>
                <w:tab w:val="left" w:pos="147"/>
              </w:tabs>
              <w:spacing w:before="1"/>
              <w:ind w:firstLine="0"/>
              <w:rPr>
                <w:sz w:val="12"/>
              </w:rPr>
            </w:pPr>
            <w:r>
              <w:rPr>
                <w:sz w:val="12"/>
              </w:rPr>
              <w:t>a binary</w:t>
            </w:r>
            <w:r>
              <w:rPr>
                <w:spacing w:val="-13"/>
                <w:sz w:val="12"/>
              </w:rPr>
              <w:t xml:space="preserve"> </w:t>
            </w:r>
            <w:r>
              <w:rPr>
                <w:sz w:val="12"/>
              </w:rPr>
              <w:t>symbol</w:t>
            </w:r>
          </w:p>
          <w:p w:rsidR="00280DF2" w:rsidP="009C5286" w14:paraId="2F314455" w14:textId="77777777">
            <w:pPr>
              <w:pStyle w:val="TableParagraph"/>
              <w:numPr>
                <w:ilvl w:val="0"/>
                <w:numId w:val="36"/>
              </w:numPr>
              <w:tabs>
                <w:tab w:val="left" w:pos="147"/>
              </w:tabs>
              <w:spacing w:before="7"/>
              <w:ind w:firstLine="0"/>
              <w:rPr>
                <w:sz w:val="12"/>
              </w:rPr>
            </w:pPr>
            <w:r>
              <w:rPr>
                <w:sz w:val="12"/>
              </w:rPr>
              <w:t>a no-label</w:t>
            </w:r>
            <w:r>
              <w:rPr>
                <w:spacing w:val="-6"/>
                <w:sz w:val="12"/>
              </w:rPr>
              <w:t xml:space="preserve"> </w:t>
            </w:r>
            <w:r>
              <w:rPr>
                <w:sz w:val="12"/>
              </w:rPr>
              <w:t>control</w:t>
            </w:r>
          </w:p>
        </w:tc>
        <w:tc>
          <w:tcPr>
            <w:tcW w:w="1199" w:type="dxa"/>
          </w:tcPr>
          <w:p w:rsidR="00280DF2" w:rsidP="009C5286" w14:paraId="10173DD6" w14:textId="77777777">
            <w:pPr>
              <w:pStyle w:val="TableParagraph"/>
              <w:spacing w:before="3"/>
              <w:ind w:left="0"/>
              <w:rPr>
                <w:rFonts w:ascii="Times New Roman"/>
                <w:sz w:val="6"/>
              </w:rPr>
            </w:pPr>
          </w:p>
          <w:p w:rsidR="00280DF2" w:rsidP="009C5286" w14:paraId="66ABF3C3" w14:textId="77777777">
            <w:pPr>
              <w:pStyle w:val="TableParagraph"/>
              <w:spacing w:line="193" w:lineRule="exact"/>
              <w:ind w:left="48"/>
              <w:rPr>
                <w:rFonts w:ascii="Times New Roman"/>
                <w:sz w:val="19"/>
              </w:rPr>
            </w:pPr>
            <w:r>
              <w:rPr>
                <w:noProof/>
              </w:rPr>
              <w:drawing>
                <wp:inline distT="0" distB="0" distL="0" distR="0">
                  <wp:extent cx="682836" cy="12287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png"/>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2836" cy="122872"/>
                          </a:xfrm>
                          <a:prstGeom prst="rect">
                            <a:avLst/>
                          </a:prstGeom>
                        </pic:spPr>
                      </pic:pic>
                    </a:graphicData>
                  </a:graphic>
                </wp:inline>
              </w:drawing>
            </w:r>
          </w:p>
        </w:tc>
        <w:tc>
          <w:tcPr>
            <w:tcW w:w="550" w:type="dxa"/>
          </w:tcPr>
          <w:p w:rsidR="00280DF2" w:rsidP="009C5286" w14:paraId="6DB36271" w14:textId="77777777">
            <w:pPr>
              <w:pStyle w:val="TableParagraph"/>
              <w:spacing w:line="252" w:lineRule="auto"/>
              <w:ind w:right="159"/>
              <w:rPr>
                <w:sz w:val="12"/>
              </w:rPr>
            </w:pPr>
            <w:r>
              <w:rPr>
                <w:sz w:val="12"/>
              </w:rPr>
              <w:t>United States</w:t>
            </w:r>
          </w:p>
        </w:tc>
        <w:tc>
          <w:tcPr>
            <w:tcW w:w="3487" w:type="dxa"/>
          </w:tcPr>
          <w:p w:rsidR="00280DF2" w:rsidP="009C5286" w14:paraId="15D48AC1" w14:textId="2521F410">
            <w:pPr>
              <w:pStyle w:val="TableParagraph"/>
              <w:numPr>
                <w:ilvl w:val="0"/>
                <w:numId w:val="35"/>
              </w:numPr>
              <w:tabs>
                <w:tab w:val="left" w:pos="147"/>
              </w:tabs>
              <w:spacing w:line="252" w:lineRule="auto"/>
              <w:ind w:right="24" w:firstLine="0"/>
              <w:rPr>
                <w:sz w:val="12"/>
              </w:rPr>
            </w:pPr>
            <w:r>
              <w:rPr>
                <w:sz w:val="12"/>
              </w:rPr>
              <w:t xml:space="preserve">Participants selected the more nutrient-dense product </w:t>
            </w:r>
            <w:r>
              <w:rPr>
                <w:spacing w:val="1"/>
                <w:sz w:val="12"/>
              </w:rPr>
              <w:t xml:space="preserve">in </w:t>
            </w:r>
            <w:r>
              <w:rPr>
                <w:sz w:val="12"/>
              </w:rPr>
              <w:t>the snack food</w:t>
            </w:r>
            <w:r>
              <w:rPr>
                <w:spacing w:val="-3"/>
                <w:sz w:val="12"/>
              </w:rPr>
              <w:t xml:space="preserve"> </w:t>
            </w:r>
            <w:r>
              <w:rPr>
                <w:sz w:val="12"/>
              </w:rPr>
              <w:t>category</w:t>
            </w:r>
            <w:r>
              <w:rPr>
                <w:spacing w:val="-5"/>
                <w:sz w:val="12"/>
              </w:rPr>
              <w:t xml:space="preserve"> </w:t>
            </w:r>
            <w:r>
              <w:rPr>
                <w:sz w:val="12"/>
              </w:rPr>
              <w:t>when</w:t>
            </w:r>
            <w:r>
              <w:rPr>
                <w:spacing w:val="-3"/>
                <w:sz w:val="12"/>
              </w:rPr>
              <w:t xml:space="preserve"> </w:t>
            </w:r>
            <w:r>
              <w:rPr>
                <w:spacing w:val="1"/>
                <w:sz w:val="12"/>
              </w:rPr>
              <w:t>it</w:t>
            </w:r>
            <w:r>
              <w:rPr>
                <w:spacing w:val="-2"/>
                <w:sz w:val="12"/>
              </w:rPr>
              <w:t xml:space="preserve"> </w:t>
            </w:r>
            <w:r>
              <w:rPr>
                <w:sz w:val="12"/>
              </w:rPr>
              <w:t>contained</w:t>
            </w:r>
            <w:r>
              <w:rPr>
                <w:spacing w:val="-3"/>
                <w:sz w:val="12"/>
              </w:rPr>
              <w:t xml:space="preserve"> </w:t>
            </w:r>
            <w:r>
              <w:rPr>
                <w:sz w:val="12"/>
              </w:rPr>
              <w:t>an</w:t>
            </w:r>
            <w:r>
              <w:rPr>
                <w:spacing w:val="-3"/>
                <w:sz w:val="12"/>
              </w:rPr>
              <w:t xml:space="preserve"> </w:t>
            </w:r>
            <w:r w:rsidR="00F638F1">
              <w:rPr>
                <w:sz w:val="12"/>
              </w:rPr>
              <w:t>FOP</w:t>
            </w:r>
            <w:r>
              <w:rPr>
                <w:spacing w:val="-2"/>
                <w:sz w:val="12"/>
              </w:rPr>
              <w:t xml:space="preserve"> </w:t>
            </w:r>
            <w:r>
              <w:rPr>
                <w:sz w:val="12"/>
              </w:rPr>
              <w:t>label</w:t>
            </w:r>
          </w:p>
          <w:p w:rsidR="00280DF2" w:rsidP="009C5286" w14:paraId="15DBD1C7" w14:textId="77777777">
            <w:pPr>
              <w:pStyle w:val="TableParagraph"/>
              <w:numPr>
                <w:ilvl w:val="0"/>
                <w:numId w:val="35"/>
              </w:numPr>
              <w:tabs>
                <w:tab w:val="left" w:pos="147"/>
              </w:tabs>
              <w:ind w:firstLine="0"/>
              <w:rPr>
                <w:sz w:val="12"/>
              </w:rPr>
            </w:pPr>
            <w:r>
              <w:rPr>
                <w:sz w:val="12"/>
              </w:rPr>
              <w:t>Subjective health and nutrition knowledge</w:t>
            </w:r>
            <w:r>
              <w:rPr>
                <w:spacing w:val="22"/>
                <w:sz w:val="12"/>
              </w:rPr>
              <w:t xml:space="preserve"> </w:t>
            </w:r>
            <w:r>
              <w:rPr>
                <w:sz w:val="12"/>
              </w:rPr>
              <w:t>and</w:t>
            </w:r>
          </w:p>
          <w:p w:rsidR="00280DF2" w:rsidP="009C5286" w14:paraId="2D0B7398" w14:textId="7255CEB5">
            <w:pPr>
              <w:pStyle w:val="TableParagraph"/>
              <w:spacing w:before="1" w:line="252" w:lineRule="auto"/>
              <w:ind w:right="-4"/>
              <w:rPr>
                <w:sz w:val="12"/>
              </w:rPr>
            </w:pPr>
            <w:r>
              <w:rPr>
                <w:sz w:val="12"/>
              </w:rPr>
              <w:t xml:space="preserve">frequency of selecting food for healthful reasons were associated with </w:t>
            </w:r>
            <w:r w:rsidR="00F638F1">
              <w:rPr>
                <w:sz w:val="12"/>
              </w:rPr>
              <w:t>FOP</w:t>
            </w:r>
            <w:r>
              <w:rPr>
                <w:sz w:val="12"/>
              </w:rPr>
              <w:t xml:space="preserve"> label use (P&lt;0.01 and P&lt;0.05, respectively).</w:t>
            </w:r>
          </w:p>
          <w:p w:rsidR="00280DF2" w:rsidP="009C5286" w14:paraId="2B5E5FD1" w14:textId="3BABA295">
            <w:pPr>
              <w:pStyle w:val="TableParagraph"/>
              <w:numPr>
                <w:ilvl w:val="0"/>
                <w:numId w:val="35"/>
              </w:numPr>
              <w:tabs>
                <w:tab w:val="left" w:pos="147"/>
              </w:tabs>
              <w:spacing w:before="1" w:line="252" w:lineRule="auto"/>
              <w:ind w:right="26" w:firstLine="0"/>
              <w:rPr>
                <w:sz w:val="12"/>
              </w:rPr>
            </w:pPr>
            <w:r>
              <w:rPr>
                <w:sz w:val="12"/>
              </w:rPr>
              <w:t xml:space="preserve">Both Facts Up Front (reductive) and binary (evaluative) </w:t>
            </w:r>
            <w:r w:rsidR="00F638F1">
              <w:rPr>
                <w:sz w:val="12"/>
              </w:rPr>
              <w:t>FOP</w:t>
            </w:r>
            <w:r>
              <w:rPr>
                <w:sz w:val="12"/>
              </w:rPr>
              <w:t xml:space="preserve"> labels appear effective for nutrition </w:t>
            </w:r>
            <w:r>
              <w:rPr>
                <w:spacing w:val="-3"/>
                <w:sz w:val="12"/>
              </w:rPr>
              <w:t xml:space="preserve">assessment </w:t>
            </w:r>
            <w:r>
              <w:rPr>
                <w:sz w:val="12"/>
              </w:rPr>
              <w:t>of snack products compared with no</w:t>
            </w:r>
            <w:r>
              <w:rPr>
                <w:spacing w:val="-7"/>
                <w:sz w:val="12"/>
              </w:rPr>
              <w:t xml:space="preserve"> </w:t>
            </w:r>
            <w:r>
              <w:rPr>
                <w:sz w:val="12"/>
              </w:rPr>
              <w:t>label</w:t>
            </w:r>
          </w:p>
        </w:tc>
      </w:tr>
    </w:tbl>
    <w:p w:rsidR="4C9BFAA2" w14:paraId="2D982305" w14:textId="069FABC8"/>
    <w:p w:rsidR="00DB534B" w:rsidP="00DB534B" w14:paraId="7DE38596" w14:textId="77777777">
      <w:pPr>
        <w:spacing w:line="140" w:lineRule="exact"/>
        <w:jc w:val="center"/>
        <w:rPr>
          <w:sz w:val="12"/>
        </w:rPr>
        <w:sectPr w:rsidSect="009C5286">
          <w:pgSz w:w="15840" w:h="12240" w:orient="landscape"/>
          <w:pgMar w:top="720" w:right="720" w:bottom="720" w:left="720" w:header="376" w:footer="523" w:gutter="0"/>
          <w:cols w:space="720"/>
          <w:docGrid w:linePitch="299"/>
        </w:sectPr>
      </w:pPr>
    </w:p>
    <w:tbl>
      <w:tblPr>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23"/>
        <w:gridCol w:w="2101"/>
        <w:gridCol w:w="330"/>
        <w:gridCol w:w="3553"/>
        <w:gridCol w:w="1199"/>
        <w:gridCol w:w="1199"/>
        <w:gridCol w:w="550"/>
        <w:gridCol w:w="3487"/>
      </w:tblGrid>
      <w:tr w14:paraId="41E226C8" w14:textId="77777777" w:rsidTr="2F9D3AFB">
        <w:tblPrEx>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150"/>
        </w:trPr>
        <w:tc>
          <w:tcPr>
            <w:tcW w:w="1023" w:type="dxa"/>
          </w:tcPr>
          <w:p w:rsidR="00280DF2" w:rsidP="009C5286" w14:paraId="1C88C15B" w14:textId="77777777">
            <w:pPr>
              <w:pStyle w:val="TableParagraph"/>
              <w:spacing w:line="130" w:lineRule="exact"/>
              <w:rPr>
                <w:b/>
                <w:sz w:val="12"/>
              </w:rPr>
            </w:pPr>
            <w:r>
              <w:rPr>
                <w:b/>
                <w:sz w:val="12"/>
              </w:rPr>
              <w:t>Author</w:t>
            </w:r>
          </w:p>
        </w:tc>
        <w:tc>
          <w:tcPr>
            <w:tcW w:w="2101" w:type="dxa"/>
          </w:tcPr>
          <w:p w:rsidR="00280DF2" w:rsidP="009C5286" w14:paraId="456E8F42" w14:textId="77777777">
            <w:pPr>
              <w:pStyle w:val="TableParagraph"/>
              <w:spacing w:line="130" w:lineRule="exact"/>
              <w:rPr>
                <w:b/>
                <w:sz w:val="12"/>
              </w:rPr>
            </w:pPr>
            <w:r>
              <w:rPr>
                <w:b/>
                <w:sz w:val="12"/>
              </w:rPr>
              <w:t>Title</w:t>
            </w:r>
          </w:p>
        </w:tc>
        <w:tc>
          <w:tcPr>
            <w:tcW w:w="330" w:type="dxa"/>
          </w:tcPr>
          <w:p w:rsidR="00280DF2" w:rsidP="009C5286" w14:paraId="3D7AB097" w14:textId="77777777">
            <w:pPr>
              <w:pStyle w:val="TableParagraph"/>
              <w:spacing w:line="130" w:lineRule="exact"/>
              <w:rPr>
                <w:b/>
                <w:sz w:val="12"/>
              </w:rPr>
            </w:pPr>
            <w:r>
              <w:rPr>
                <w:b/>
                <w:sz w:val="12"/>
              </w:rPr>
              <w:t>Year</w:t>
            </w:r>
          </w:p>
        </w:tc>
        <w:tc>
          <w:tcPr>
            <w:tcW w:w="3553" w:type="dxa"/>
          </w:tcPr>
          <w:p w:rsidR="00280DF2" w:rsidP="009C5286" w14:paraId="26D573FD" w14:textId="77777777">
            <w:pPr>
              <w:pStyle w:val="TableParagraph"/>
              <w:spacing w:line="130" w:lineRule="exact"/>
              <w:rPr>
                <w:b/>
                <w:sz w:val="12"/>
              </w:rPr>
            </w:pPr>
            <w:r>
              <w:rPr>
                <w:b/>
                <w:sz w:val="12"/>
              </w:rPr>
              <w:t>Method</w:t>
            </w:r>
          </w:p>
        </w:tc>
        <w:tc>
          <w:tcPr>
            <w:tcW w:w="1199" w:type="dxa"/>
          </w:tcPr>
          <w:p w:rsidR="00280DF2" w:rsidP="009C5286" w14:paraId="65CF704C" w14:textId="1CD5B459">
            <w:pPr>
              <w:pStyle w:val="TableParagraph"/>
              <w:spacing w:line="130" w:lineRule="exact"/>
              <w:rPr>
                <w:b/>
                <w:sz w:val="12"/>
              </w:rPr>
            </w:pPr>
            <w:r>
              <w:rPr>
                <w:b/>
                <w:sz w:val="12"/>
              </w:rPr>
              <w:t>FOP</w:t>
            </w:r>
          </w:p>
        </w:tc>
        <w:tc>
          <w:tcPr>
            <w:tcW w:w="1199" w:type="dxa"/>
          </w:tcPr>
          <w:p w:rsidR="00280DF2" w:rsidP="009C5286" w14:paraId="62140712" w14:textId="082F3E28">
            <w:pPr>
              <w:pStyle w:val="TableParagraph"/>
              <w:spacing w:line="130" w:lineRule="exact"/>
              <w:rPr>
                <w:b/>
                <w:sz w:val="12"/>
              </w:rPr>
            </w:pPr>
            <w:r>
              <w:rPr>
                <w:b/>
                <w:sz w:val="12"/>
              </w:rPr>
              <w:t>FOP</w:t>
            </w:r>
            <w:r>
              <w:rPr>
                <w:b/>
                <w:sz w:val="12"/>
              </w:rPr>
              <w:t xml:space="preserve"> Image</w:t>
            </w:r>
          </w:p>
        </w:tc>
        <w:tc>
          <w:tcPr>
            <w:tcW w:w="550" w:type="dxa"/>
          </w:tcPr>
          <w:p w:rsidR="00280DF2" w:rsidP="009C5286" w14:paraId="35603A39" w14:textId="77777777">
            <w:pPr>
              <w:pStyle w:val="TableParagraph"/>
              <w:spacing w:line="130" w:lineRule="exact"/>
              <w:ind w:left="0" w:right="72"/>
              <w:jc w:val="center"/>
              <w:rPr>
                <w:b/>
                <w:sz w:val="12"/>
              </w:rPr>
            </w:pPr>
            <w:r>
              <w:rPr>
                <w:b/>
                <w:sz w:val="12"/>
              </w:rPr>
              <w:t>Country</w:t>
            </w:r>
          </w:p>
        </w:tc>
        <w:tc>
          <w:tcPr>
            <w:tcW w:w="3487" w:type="dxa"/>
          </w:tcPr>
          <w:p w:rsidR="00280DF2" w:rsidP="009C5286" w14:paraId="47A659C6" w14:textId="77777777">
            <w:pPr>
              <w:pStyle w:val="TableParagraph"/>
              <w:spacing w:line="130" w:lineRule="exact"/>
              <w:rPr>
                <w:b/>
                <w:sz w:val="12"/>
              </w:rPr>
            </w:pPr>
            <w:r>
              <w:rPr>
                <w:b/>
                <w:sz w:val="12"/>
              </w:rPr>
              <w:t>Highlights of Findings</w:t>
            </w:r>
          </w:p>
        </w:tc>
      </w:tr>
      <w:tr w14:paraId="333D149A" w14:textId="77777777" w:rsidTr="2F9D3AFB">
        <w:tblPrEx>
          <w:tblW w:w="0" w:type="auto"/>
          <w:tblInd w:w="113" w:type="dxa"/>
          <w:tblLayout w:type="fixed"/>
          <w:tblCellMar>
            <w:left w:w="0" w:type="dxa"/>
            <w:right w:w="0" w:type="dxa"/>
          </w:tblCellMar>
          <w:tblLook w:val="01E0"/>
        </w:tblPrEx>
        <w:trPr>
          <w:trHeight w:val="1954"/>
        </w:trPr>
        <w:tc>
          <w:tcPr>
            <w:tcW w:w="1023" w:type="dxa"/>
          </w:tcPr>
          <w:p w:rsidR="00280DF2" w:rsidP="009C5286" w14:paraId="1BF69E7A" w14:textId="77777777">
            <w:pPr>
              <w:pStyle w:val="TableParagraph"/>
              <w:spacing w:line="140" w:lineRule="exact"/>
              <w:rPr>
                <w:sz w:val="12"/>
              </w:rPr>
            </w:pPr>
            <w:r>
              <w:rPr>
                <w:sz w:val="12"/>
              </w:rPr>
              <w:t>Sanjari, et al.</w:t>
            </w:r>
          </w:p>
        </w:tc>
        <w:tc>
          <w:tcPr>
            <w:tcW w:w="2101" w:type="dxa"/>
          </w:tcPr>
          <w:p w:rsidR="00280DF2" w:rsidP="009C5286" w14:paraId="5F2A5D4C" w14:textId="77777777">
            <w:pPr>
              <w:pStyle w:val="TableParagraph"/>
              <w:spacing w:line="252" w:lineRule="auto"/>
              <w:ind w:right="164"/>
              <w:rPr>
                <w:sz w:val="12"/>
              </w:rPr>
            </w:pPr>
            <w:r>
              <w:rPr>
                <w:sz w:val="12"/>
              </w:rPr>
              <w:t>Dual-process theory and consumer response to front-of-package nutrition label formats</w:t>
            </w:r>
          </w:p>
        </w:tc>
        <w:tc>
          <w:tcPr>
            <w:tcW w:w="330" w:type="dxa"/>
          </w:tcPr>
          <w:p w:rsidR="00280DF2" w:rsidP="009C5286" w14:paraId="774A288A" w14:textId="77777777">
            <w:pPr>
              <w:pStyle w:val="TableParagraph"/>
              <w:spacing w:line="140" w:lineRule="exact"/>
              <w:ind w:left="36"/>
              <w:rPr>
                <w:sz w:val="12"/>
              </w:rPr>
            </w:pPr>
            <w:r>
              <w:rPr>
                <w:color w:val="AF3A3C"/>
                <w:sz w:val="12"/>
              </w:rPr>
              <w:t>2017</w:t>
            </w:r>
          </w:p>
        </w:tc>
        <w:tc>
          <w:tcPr>
            <w:tcW w:w="3553" w:type="dxa"/>
          </w:tcPr>
          <w:p w:rsidR="00280DF2" w:rsidP="009C5286" w14:paraId="7302209A" w14:textId="77777777">
            <w:pPr>
              <w:pStyle w:val="TableParagraph"/>
              <w:spacing w:line="140" w:lineRule="exact"/>
              <w:rPr>
                <w:sz w:val="12"/>
              </w:rPr>
            </w:pPr>
            <w:r>
              <w:rPr>
                <w:sz w:val="12"/>
              </w:rPr>
              <w:t>Quantitative.</w:t>
            </w:r>
          </w:p>
          <w:p w:rsidR="00280DF2" w:rsidP="009C5286" w14:paraId="33A9B87F" w14:textId="77777777">
            <w:pPr>
              <w:pStyle w:val="TableParagraph"/>
              <w:spacing w:before="7" w:line="252" w:lineRule="auto"/>
              <w:ind w:right="2122"/>
              <w:rPr>
                <w:sz w:val="12"/>
              </w:rPr>
            </w:pPr>
            <w:r>
              <w:rPr>
                <w:sz w:val="12"/>
              </w:rPr>
              <w:t>Systematic literature review n=59 published papers</w:t>
            </w:r>
          </w:p>
        </w:tc>
        <w:tc>
          <w:tcPr>
            <w:tcW w:w="1199" w:type="dxa"/>
          </w:tcPr>
          <w:p w:rsidR="00280DF2" w:rsidP="009C5286" w14:paraId="1117A00E" w14:textId="77777777">
            <w:pPr>
              <w:pStyle w:val="TableParagraph"/>
              <w:spacing w:line="140" w:lineRule="exact"/>
              <w:rPr>
                <w:sz w:val="12"/>
              </w:rPr>
            </w:pPr>
            <w:r>
              <w:rPr>
                <w:sz w:val="12"/>
              </w:rPr>
              <w:t>N/A</w:t>
            </w:r>
          </w:p>
        </w:tc>
        <w:tc>
          <w:tcPr>
            <w:tcW w:w="1199" w:type="dxa"/>
          </w:tcPr>
          <w:p w:rsidR="00280DF2" w:rsidP="009C5286" w14:paraId="5263EA3D" w14:textId="77777777">
            <w:pPr>
              <w:pStyle w:val="TableParagraph"/>
              <w:spacing w:before="41"/>
              <w:ind w:left="59"/>
              <w:rPr>
                <w:sz w:val="12"/>
              </w:rPr>
            </w:pPr>
            <w:r>
              <w:rPr>
                <w:sz w:val="12"/>
              </w:rPr>
              <w:t>N/A</w:t>
            </w:r>
          </w:p>
        </w:tc>
        <w:tc>
          <w:tcPr>
            <w:tcW w:w="550" w:type="dxa"/>
          </w:tcPr>
          <w:p w:rsidR="00280DF2" w:rsidP="009C5286" w14:paraId="5E1E05FE" w14:textId="77777777">
            <w:pPr>
              <w:pStyle w:val="TableParagraph"/>
              <w:spacing w:line="140" w:lineRule="exact"/>
              <w:ind w:left="8" w:right="39"/>
              <w:jc w:val="center"/>
              <w:rPr>
                <w:sz w:val="12"/>
              </w:rPr>
            </w:pPr>
            <w:r>
              <w:rPr>
                <w:sz w:val="12"/>
              </w:rPr>
              <w:t>Germany</w:t>
            </w:r>
          </w:p>
        </w:tc>
        <w:tc>
          <w:tcPr>
            <w:tcW w:w="3487" w:type="dxa"/>
          </w:tcPr>
          <w:p w:rsidR="00280DF2" w:rsidP="009C5286" w14:paraId="40D8C753" w14:textId="77777777">
            <w:pPr>
              <w:pStyle w:val="TableParagraph"/>
              <w:numPr>
                <w:ilvl w:val="0"/>
                <w:numId w:val="34"/>
              </w:numPr>
              <w:tabs>
                <w:tab w:val="left" w:pos="147"/>
              </w:tabs>
              <w:spacing w:line="140" w:lineRule="exact"/>
              <w:ind w:firstLine="0"/>
              <w:rPr>
                <w:sz w:val="12"/>
              </w:rPr>
            </w:pPr>
            <w:r>
              <w:rPr>
                <w:sz w:val="12"/>
              </w:rPr>
              <w:t>Which</w:t>
            </w:r>
            <w:r>
              <w:rPr>
                <w:spacing w:val="-2"/>
                <w:sz w:val="12"/>
              </w:rPr>
              <w:t xml:space="preserve"> </w:t>
            </w:r>
            <w:r>
              <w:rPr>
                <w:sz w:val="12"/>
              </w:rPr>
              <w:t>type</w:t>
            </w:r>
            <w:r>
              <w:rPr>
                <w:spacing w:val="-11"/>
                <w:sz w:val="12"/>
              </w:rPr>
              <w:t xml:space="preserve"> </w:t>
            </w:r>
            <w:r>
              <w:rPr>
                <w:sz w:val="12"/>
              </w:rPr>
              <w:t>of</w:t>
            </w:r>
            <w:r>
              <w:rPr>
                <w:spacing w:val="-10"/>
                <w:sz w:val="12"/>
              </w:rPr>
              <w:t xml:space="preserve"> </w:t>
            </w:r>
            <w:r>
              <w:rPr>
                <w:sz w:val="12"/>
              </w:rPr>
              <w:t>format</w:t>
            </w:r>
            <w:r>
              <w:rPr>
                <w:spacing w:val="-1"/>
                <w:sz w:val="12"/>
              </w:rPr>
              <w:t xml:space="preserve"> </w:t>
            </w:r>
            <w:r>
              <w:rPr>
                <w:spacing w:val="1"/>
                <w:sz w:val="12"/>
              </w:rPr>
              <w:t>is</w:t>
            </w:r>
            <w:r>
              <w:rPr>
                <w:spacing w:val="-9"/>
                <w:sz w:val="12"/>
              </w:rPr>
              <w:t xml:space="preserve"> </w:t>
            </w:r>
            <w:r>
              <w:rPr>
                <w:sz w:val="12"/>
              </w:rPr>
              <w:t>effective</w:t>
            </w:r>
            <w:r>
              <w:rPr>
                <w:spacing w:val="-11"/>
                <w:sz w:val="12"/>
              </w:rPr>
              <w:t xml:space="preserve"> </w:t>
            </w:r>
            <w:r>
              <w:rPr>
                <w:sz w:val="12"/>
              </w:rPr>
              <w:t>across</w:t>
            </w:r>
            <w:r>
              <w:rPr>
                <w:spacing w:val="-9"/>
                <w:sz w:val="12"/>
              </w:rPr>
              <w:t xml:space="preserve"> </w:t>
            </w:r>
            <w:r>
              <w:rPr>
                <w:sz w:val="12"/>
              </w:rPr>
              <w:t>different</w:t>
            </w:r>
            <w:r>
              <w:rPr>
                <w:spacing w:val="-1"/>
                <w:sz w:val="12"/>
              </w:rPr>
              <w:t xml:space="preserve"> </w:t>
            </w:r>
            <w:r>
              <w:rPr>
                <w:sz w:val="12"/>
              </w:rPr>
              <w:t>shopping</w:t>
            </w:r>
          </w:p>
          <w:p w:rsidR="00280DF2" w:rsidP="009C5286" w14:paraId="5763A420" w14:textId="48B1046C">
            <w:pPr>
              <w:pStyle w:val="TableParagraph"/>
              <w:spacing w:before="7" w:line="252" w:lineRule="auto"/>
              <w:ind w:right="46"/>
              <w:rPr>
                <w:sz w:val="12"/>
              </w:rPr>
            </w:pPr>
            <w:r>
              <w:rPr>
                <w:sz w:val="12"/>
              </w:rPr>
              <w:t xml:space="preserve">situations? Consumers' processing mode (system 1 - quick/automatic VS. system 2 - slow/deliberate) varies both within and between people and impacts effectiveness of a variety of </w:t>
            </w:r>
            <w:r w:rsidR="00F638F1">
              <w:rPr>
                <w:sz w:val="12"/>
              </w:rPr>
              <w:t>FOP</w:t>
            </w:r>
            <w:r>
              <w:rPr>
                <w:sz w:val="12"/>
              </w:rPr>
              <w:t xml:space="preserve"> labels.</w:t>
            </w:r>
          </w:p>
          <w:p w:rsidR="00280DF2" w:rsidP="009C5286" w14:paraId="249C4BD3" w14:textId="77777777">
            <w:pPr>
              <w:pStyle w:val="TableParagraph"/>
              <w:spacing w:before="1"/>
              <w:rPr>
                <w:sz w:val="12"/>
              </w:rPr>
            </w:pPr>
            <w:r>
              <w:rPr>
                <w:sz w:val="12"/>
              </w:rPr>
              <w:t>Consumer's preferences vary.</w:t>
            </w:r>
          </w:p>
          <w:p w:rsidR="00280DF2" w:rsidP="009C5286" w14:paraId="1B159C38" w14:textId="77777777">
            <w:pPr>
              <w:pStyle w:val="TableParagraph"/>
              <w:numPr>
                <w:ilvl w:val="0"/>
                <w:numId w:val="34"/>
              </w:numPr>
              <w:tabs>
                <w:tab w:val="left" w:pos="147"/>
              </w:tabs>
              <w:spacing w:before="7" w:line="252" w:lineRule="auto"/>
              <w:ind w:right="111" w:firstLine="0"/>
              <w:rPr>
                <w:sz w:val="12"/>
              </w:rPr>
            </w:pPr>
            <w:r>
              <w:rPr>
                <w:sz w:val="12"/>
              </w:rPr>
              <w:t xml:space="preserve">Highly knowledgeable consumers care more about nutrients to </w:t>
            </w:r>
            <w:r>
              <w:rPr>
                <w:spacing w:val="2"/>
                <w:sz w:val="12"/>
              </w:rPr>
              <w:t xml:space="preserve">limit. </w:t>
            </w:r>
            <w:r>
              <w:rPr>
                <w:sz w:val="12"/>
              </w:rPr>
              <w:t xml:space="preserve">Those with low levels of knowledge but high motivation </w:t>
            </w:r>
            <w:r>
              <w:rPr>
                <w:sz w:val="12"/>
              </w:rPr>
              <w:t>use</w:t>
            </w:r>
            <w:r>
              <w:rPr>
                <w:sz w:val="12"/>
              </w:rPr>
              <w:t xml:space="preserve"> similar heuristics but focus on different nutrients. High and low knowledge level consumers do not differ </w:t>
            </w:r>
            <w:r>
              <w:rPr>
                <w:spacing w:val="1"/>
                <w:sz w:val="12"/>
              </w:rPr>
              <w:t xml:space="preserve">in </w:t>
            </w:r>
            <w:r>
              <w:rPr>
                <w:sz w:val="12"/>
              </w:rPr>
              <w:t xml:space="preserve">their </w:t>
            </w:r>
            <w:r>
              <w:rPr>
                <w:spacing w:val="1"/>
                <w:sz w:val="12"/>
              </w:rPr>
              <w:t xml:space="preserve">ability </w:t>
            </w:r>
            <w:r>
              <w:rPr>
                <w:sz w:val="12"/>
              </w:rPr>
              <w:t>to make a healthy choice when using the nutrition label formats. Moderate level</w:t>
            </w:r>
            <w:r>
              <w:rPr>
                <w:spacing w:val="3"/>
                <w:sz w:val="12"/>
              </w:rPr>
              <w:t xml:space="preserve"> </w:t>
            </w:r>
            <w:r>
              <w:rPr>
                <w:sz w:val="12"/>
              </w:rPr>
              <w:t>of</w:t>
            </w:r>
            <w:r>
              <w:rPr>
                <w:spacing w:val="-7"/>
                <w:sz w:val="12"/>
              </w:rPr>
              <w:t xml:space="preserve"> </w:t>
            </w:r>
            <w:r>
              <w:rPr>
                <w:sz w:val="12"/>
              </w:rPr>
              <w:t>knowledge</w:t>
            </w:r>
            <w:r>
              <w:rPr>
                <w:spacing w:val="-9"/>
                <w:sz w:val="12"/>
              </w:rPr>
              <w:t xml:space="preserve"> </w:t>
            </w:r>
            <w:r>
              <w:rPr>
                <w:sz w:val="12"/>
              </w:rPr>
              <w:t>use</w:t>
            </w:r>
            <w:r>
              <w:rPr>
                <w:spacing w:val="-9"/>
                <w:sz w:val="12"/>
              </w:rPr>
              <w:t xml:space="preserve"> </w:t>
            </w:r>
            <w:r>
              <w:rPr>
                <w:sz w:val="12"/>
              </w:rPr>
              <w:t>the</w:t>
            </w:r>
            <w:r>
              <w:rPr>
                <w:spacing w:val="-9"/>
                <w:sz w:val="12"/>
              </w:rPr>
              <w:t xml:space="preserve"> </w:t>
            </w:r>
            <w:r>
              <w:rPr>
                <w:sz w:val="12"/>
              </w:rPr>
              <w:t>slow/deliberate</w:t>
            </w:r>
            <w:r>
              <w:rPr>
                <w:spacing w:val="-9"/>
                <w:sz w:val="12"/>
              </w:rPr>
              <w:t xml:space="preserve"> </w:t>
            </w:r>
            <w:r>
              <w:rPr>
                <w:sz w:val="12"/>
              </w:rPr>
              <w:t>processing</w:t>
            </w:r>
            <w:r>
              <w:rPr>
                <w:spacing w:val="-5"/>
                <w:sz w:val="12"/>
              </w:rPr>
              <w:t xml:space="preserve"> </w:t>
            </w:r>
            <w:r>
              <w:rPr>
                <w:sz w:val="12"/>
              </w:rPr>
              <w:t>because</w:t>
            </w:r>
            <w:r>
              <w:rPr>
                <w:spacing w:val="-9"/>
                <w:sz w:val="12"/>
              </w:rPr>
              <w:t xml:space="preserve"> </w:t>
            </w:r>
            <w:r>
              <w:rPr>
                <w:sz w:val="12"/>
              </w:rPr>
              <w:t>they are</w:t>
            </w:r>
            <w:r>
              <w:rPr>
                <w:spacing w:val="-11"/>
                <w:sz w:val="12"/>
              </w:rPr>
              <w:t xml:space="preserve"> </w:t>
            </w:r>
            <w:r>
              <w:rPr>
                <w:sz w:val="12"/>
              </w:rPr>
              <w:t>not</w:t>
            </w:r>
            <w:r>
              <w:rPr>
                <w:spacing w:val="-2"/>
                <w:sz w:val="12"/>
              </w:rPr>
              <w:t xml:space="preserve"> </w:t>
            </w:r>
            <w:r>
              <w:rPr>
                <w:sz w:val="12"/>
              </w:rPr>
              <w:t>relying</w:t>
            </w:r>
            <w:r>
              <w:rPr>
                <w:spacing w:val="-8"/>
                <w:sz w:val="12"/>
              </w:rPr>
              <w:t xml:space="preserve"> </w:t>
            </w:r>
            <w:r>
              <w:rPr>
                <w:sz w:val="12"/>
              </w:rPr>
              <w:t>on</w:t>
            </w:r>
            <w:r>
              <w:rPr>
                <w:spacing w:val="-3"/>
                <w:sz w:val="12"/>
              </w:rPr>
              <w:t xml:space="preserve"> </w:t>
            </w:r>
            <w:r>
              <w:rPr>
                <w:sz w:val="12"/>
              </w:rPr>
              <w:t>a</w:t>
            </w:r>
            <w:r>
              <w:rPr>
                <w:spacing w:val="-9"/>
                <w:sz w:val="12"/>
              </w:rPr>
              <w:t xml:space="preserve"> </w:t>
            </w:r>
            <w:r>
              <w:rPr>
                <w:sz w:val="12"/>
              </w:rPr>
              <w:t>heuristic.</w:t>
            </w:r>
          </w:p>
        </w:tc>
      </w:tr>
      <w:tr w14:paraId="7101429D" w14:textId="77777777" w:rsidTr="2F9D3AFB">
        <w:tblPrEx>
          <w:tblW w:w="0" w:type="auto"/>
          <w:tblInd w:w="113" w:type="dxa"/>
          <w:tblLayout w:type="fixed"/>
          <w:tblCellMar>
            <w:left w:w="0" w:type="dxa"/>
            <w:right w:w="0" w:type="dxa"/>
          </w:tblCellMar>
          <w:tblLook w:val="01E0"/>
        </w:tblPrEx>
        <w:trPr>
          <w:trHeight w:val="1128"/>
        </w:trPr>
        <w:tc>
          <w:tcPr>
            <w:tcW w:w="1023" w:type="dxa"/>
          </w:tcPr>
          <w:p w:rsidR="00280DF2" w:rsidP="009C5286" w14:paraId="494C3741" w14:textId="77777777">
            <w:pPr>
              <w:pStyle w:val="TableParagraph"/>
              <w:spacing w:line="140" w:lineRule="exact"/>
              <w:rPr>
                <w:sz w:val="12"/>
              </w:rPr>
            </w:pPr>
            <w:r>
              <w:rPr>
                <w:sz w:val="12"/>
              </w:rPr>
              <w:t>Sanjari, et al.</w:t>
            </w:r>
          </w:p>
        </w:tc>
        <w:tc>
          <w:tcPr>
            <w:tcW w:w="2101" w:type="dxa"/>
          </w:tcPr>
          <w:p w:rsidR="00280DF2" w:rsidP="009C5286" w14:paraId="0BF09441" w14:textId="03356FD4">
            <w:pPr>
              <w:pStyle w:val="TableParagraph"/>
              <w:spacing w:line="252" w:lineRule="auto"/>
              <w:ind w:right="7"/>
              <w:jc w:val="both"/>
              <w:rPr>
                <w:sz w:val="12"/>
              </w:rPr>
            </w:pPr>
            <w:r>
              <w:rPr>
                <w:sz w:val="12"/>
              </w:rPr>
              <w:t xml:space="preserve">Choosing Fast and Slow: Processing Mode and Consumer Response to </w:t>
            </w:r>
            <w:r w:rsidR="00F638F1">
              <w:rPr>
                <w:sz w:val="12"/>
              </w:rPr>
              <w:t>FOP</w:t>
            </w:r>
            <w:r>
              <w:rPr>
                <w:sz w:val="12"/>
              </w:rPr>
              <w:t xml:space="preserve"> Nutrition Label Formats</w:t>
            </w:r>
          </w:p>
        </w:tc>
        <w:tc>
          <w:tcPr>
            <w:tcW w:w="330" w:type="dxa"/>
          </w:tcPr>
          <w:p w:rsidR="00280DF2" w:rsidP="009C5286" w14:paraId="27743AB6" w14:textId="77777777">
            <w:pPr>
              <w:pStyle w:val="TableParagraph"/>
              <w:spacing w:line="140" w:lineRule="exact"/>
              <w:rPr>
                <w:sz w:val="12"/>
              </w:rPr>
            </w:pPr>
            <w:r>
              <w:rPr>
                <w:color w:val="AF3A3C"/>
                <w:sz w:val="12"/>
              </w:rPr>
              <w:t>2017</w:t>
            </w:r>
          </w:p>
        </w:tc>
        <w:tc>
          <w:tcPr>
            <w:tcW w:w="3553" w:type="dxa"/>
          </w:tcPr>
          <w:p w:rsidR="00280DF2" w:rsidP="009C5286" w14:paraId="30FD1B54" w14:textId="77777777">
            <w:pPr>
              <w:pStyle w:val="TableParagraph"/>
              <w:spacing w:line="140" w:lineRule="exact"/>
              <w:rPr>
                <w:sz w:val="12"/>
              </w:rPr>
            </w:pPr>
            <w:r>
              <w:rPr>
                <w:sz w:val="12"/>
              </w:rPr>
              <w:t>Quantitative.</w:t>
            </w:r>
          </w:p>
          <w:p w:rsidR="00280DF2" w:rsidP="009C5286" w14:paraId="790E3CBB" w14:textId="77777777">
            <w:pPr>
              <w:pStyle w:val="TableParagraph"/>
              <w:spacing w:before="7" w:line="252" w:lineRule="auto"/>
              <w:rPr>
                <w:sz w:val="12"/>
              </w:rPr>
            </w:pPr>
            <w:r>
              <w:rPr>
                <w:sz w:val="12"/>
              </w:rPr>
              <w:t>Online experimental study: 2 (label format) X 2 (motivation: targeted, nontargeted). Mock pizza products.</w:t>
            </w:r>
          </w:p>
          <w:p w:rsidR="00280DF2" w:rsidP="009C5286" w14:paraId="323CBC42" w14:textId="77777777">
            <w:pPr>
              <w:pStyle w:val="TableParagraph"/>
              <w:spacing w:before="1"/>
              <w:rPr>
                <w:sz w:val="12"/>
              </w:rPr>
            </w:pPr>
            <w:r>
              <w:rPr>
                <w:sz w:val="12"/>
              </w:rPr>
              <w:t>N=155 (Americans)</w:t>
            </w:r>
          </w:p>
        </w:tc>
        <w:tc>
          <w:tcPr>
            <w:tcW w:w="1199" w:type="dxa"/>
          </w:tcPr>
          <w:p w:rsidR="00280DF2" w:rsidP="009C5286" w14:paraId="5F0F0039" w14:textId="77777777">
            <w:pPr>
              <w:pStyle w:val="TableParagraph"/>
              <w:numPr>
                <w:ilvl w:val="0"/>
                <w:numId w:val="33"/>
              </w:numPr>
              <w:tabs>
                <w:tab w:val="left" w:pos="147"/>
              </w:tabs>
              <w:spacing w:line="140" w:lineRule="exact"/>
              <w:ind w:hanging="121"/>
              <w:rPr>
                <w:sz w:val="12"/>
              </w:rPr>
            </w:pPr>
            <w:r>
              <w:rPr>
                <w:sz w:val="12"/>
              </w:rPr>
              <w:t>GDA</w:t>
            </w:r>
          </w:p>
          <w:p w:rsidR="00280DF2" w:rsidP="009C5286" w14:paraId="5D887926" w14:textId="77777777">
            <w:pPr>
              <w:pStyle w:val="TableParagraph"/>
              <w:numPr>
                <w:ilvl w:val="0"/>
                <w:numId w:val="33"/>
              </w:numPr>
              <w:tabs>
                <w:tab w:val="left" w:pos="147"/>
              </w:tabs>
              <w:spacing w:before="7"/>
              <w:ind w:hanging="121"/>
              <w:rPr>
                <w:sz w:val="12"/>
              </w:rPr>
            </w:pPr>
            <w:r>
              <w:rPr>
                <w:sz w:val="12"/>
              </w:rPr>
              <w:t>Traffic</w:t>
            </w:r>
            <w:r>
              <w:rPr>
                <w:spacing w:val="-2"/>
                <w:sz w:val="12"/>
              </w:rPr>
              <w:t xml:space="preserve"> </w:t>
            </w:r>
            <w:r>
              <w:rPr>
                <w:sz w:val="12"/>
              </w:rPr>
              <w:t>light</w:t>
            </w:r>
          </w:p>
        </w:tc>
        <w:tc>
          <w:tcPr>
            <w:tcW w:w="1199" w:type="dxa"/>
          </w:tcPr>
          <w:p w:rsidR="00280DF2" w:rsidP="009C5286" w14:paraId="579C9CF7" w14:textId="77777777">
            <w:pPr>
              <w:pStyle w:val="TableParagraph"/>
              <w:spacing w:before="33"/>
              <w:ind w:left="59"/>
              <w:rPr>
                <w:sz w:val="12"/>
              </w:rPr>
            </w:pPr>
            <w:r>
              <w:rPr>
                <w:sz w:val="12"/>
              </w:rPr>
              <w:t>N/A</w:t>
            </w:r>
          </w:p>
        </w:tc>
        <w:tc>
          <w:tcPr>
            <w:tcW w:w="550" w:type="dxa"/>
          </w:tcPr>
          <w:p w:rsidR="00280DF2" w:rsidP="009C5286" w14:paraId="2E3E9ABB" w14:textId="77777777">
            <w:pPr>
              <w:pStyle w:val="TableParagraph"/>
              <w:spacing w:line="140" w:lineRule="exact"/>
              <w:ind w:left="8" w:right="39"/>
              <w:jc w:val="center"/>
              <w:rPr>
                <w:sz w:val="12"/>
              </w:rPr>
            </w:pPr>
            <w:r>
              <w:rPr>
                <w:sz w:val="12"/>
              </w:rPr>
              <w:t>Germany</w:t>
            </w:r>
          </w:p>
        </w:tc>
        <w:tc>
          <w:tcPr>
            <w:tcW w:w="3487" w:type="dxa"/>
          </w:tcPr>
          <w:p w:rsidR="00280DF2" w:rsidP="009C5286" w14:paraId="32C2BA19" w14:textId="7F62C02D">
            <w:pPr>
              <w:pStyle w:val="TableParagraph"/>
              <w:spacing w:line="252" w:lineRule="auto"/>
              <w:ind w:right="10"/>
              <w:rPr>
                <w:sz w:val="12"/>
              </w:rPr>
            </w:pPr>
            <w:r>
              <w:rPr>
                <w:sz w:val="12"/>
              </w:rPr>
              <w:t>FOP</w:t>
            </w:r>
            <w:r>
              <w:rPr>
                <w:sz w:val="12"/>
              </w:rPr>
              <w:t xml:space="preserve"> labels are used differently depending on nutrition knowledge and time pressure. One Study found that processing mode mediates the impact of </w:t>
            </w:r>
            <w:r>
              <w:rPr>
                <w:sz w:val="12"/>
              </w:rPr>
              <w:t>FOP</w:t>
            </w:r>
            <w:r>
              <w:rPr>
                <w:sz w:val="12"/>
              </w:rPr>
              <w:t xml:space="preserve"> label usage on making healthy choices. Intuitive versus deliberate mode… 2nd study found that time pressure and nutrition knowledge interact on processing mode.</w:t>
            </w:r>
          </w:p>
          <w:p w:rsidR="00280DF2" w:rsidP="009C5286" w14:paraId="736A1377" w14:textId="77777777">
            <w:pPr>
              <w:pStyle w:val="TableParagraph"/>
              <w:spacing w:before="10"/>
              <w:ind w:left="0"/>
              <w:rPr>
                <w:rFonts w:ascii="Times New Roman"/>
                <w:sz w:val="12"/>
              </w:rPr>
            </w:pPr>
          </w:p>
          <w:p w:rsidR="00280DF2" w:rsidP="009C5286" w14:paraId="4779B9E3" w14:textId="77777777">
            <w:pPr>
              <w:pStyle w:val="TableParagraph"/>
              <w:rPr>
                <w:sz w:val="12"/>
              </w:rPr>
            </w:pPr>
            <w:r>
              <w:rPr>
                <w:sz w:val="12"/>
              </w:rPr>
              <w:t>*This is a conference proceeding</w:t>
            </w:r>
          </w:p>
        </w:tc>
      </w:tr>
      <w:tr w14:paraId="2D798194" w14:textId="77777777" w:rsidTr="2F9D3AFB">
        <w:tblPrEx>
          <w:tblW w:w="0" w:type="auto"/>
          <w:tblInd w:w="113" w:type="dxa"/>
          <w:tblLayout w:type="fixed"/>
          <w:tblCellMar>
            <w:left w:w="0" w:type="dxa"/>
            <w:right w:w="0" w:type="dxa"/>
          </w:tblCellMar>
          <w:tblLook w:val="01E0"/>
        </w:tblPrEx>
        <w:trPr>
          <w:trHeight w:val="909"/>
        </w:trPr>
        <w:tc>
          <w:tcPr>
            <w:tcW w:w="1023" w:type="dxa"/>
          </w:tcPr>
          <w:p w:rsidR="00280DF2" w:rsidP="009C5286" w14:paraId="586564C3" w14:textId="77777777">
            <w:pPr>
              <w:pStyle w:val="TableParagraph"/>
              <w:spacing w:line="140" w:lineRule="exact"/>
              <w:rPr>
                <w:sz w:val="12"/>
              </w:rPr>
            </w:pPr>
            <w:r>
              <w:rPr>
                <w:sz w:val="12"/>
              </w:rPr>
              <w:t>Talati, et al.</w:t>
            </w:r>
          </w:p>
        </w:tc>
        <w:tc>
          <w:tcPr>
            <w:tcW w:w="2101" w:type="dxa"/>
          </w:tcPr>
          <w:p w:rsidR="00280DF2" w:rsidP="009C5286" w14:paraId="44D7840D" w14:textId="77777777">
            <w:pPr>
              <w:pStyle w:val="TableParagraph"/>
              <w:spacing w:line="252" w:lineRule="auto"/>
              <w:ind w:right="62"/>
              <w:rPr>
                <w:sz w:val="12"/>
              </w:rPr>
            </w:pPr>
            <w:r>
              <w:rPr>
                <w:sz w:val="12"/>
              </w:rPr>
              <w:t>The impact of interpretive and reductive front-of-pack labels on food choice and willingness to pay</w:t>
            </w:r>
          </w:p>
        </w:tc>
        <w:tc>
          <w:tcPr>
            <w:tcW w:w="330" w:type="dxa"/>
          </w:tcPr>
          <w:p w:rsidR="00280DF2" w:rsidP="009C5286" w14:paraId="1AF1C031" w14:textId="77777777">
            <w:pPr>
              <w:pStyle w:val="TableParagraph"/>
              <w:spacing w:line="140" w:lineRule="exact"/>
              <w:rPr>
                <w:sz w:val="12"/>
              </w:rPr>
            </w:pPr>
            <w:r>
              <w:rPr>
                <w:color w:val="AF3A3C"/>
                <w:sz w:val="12"/>
              </w:rPr>
              <w:t>2017</w:t>
            </w:r>
          </w:p>
        </w:tc>
        <w:tc>
          <w:tcPr>
            <w:tcW w:w="3553" w:type="dxa"/>
          </w:tcPr>
          <w:p w:rsidR="00280DF2" w:rsidP="009C5286" w14:paraId="4766C6A1" w14:textId="77777777">
            <w:pPr>
              <w:pStyle w:val="TableParagraph"/>
              <w:spacing w:line="140" w:lineRule="exact"/>
              <w:rPr>
                <w:sz w:val="12"/>
              </w:rPr>
            </w:pPr>
            <w:r>
              <w:rPr>
                <w:sz w:val="12"/>
              </w:rPr>
              <w:t>Quantitative.</w:t>
            </w:r>
          </w:p>
          <w:p w:rsidR="00280DF2" w:rsidP="009C5286" w14:paraId="4CDEFC7C" w14:textId="77777777">
            <w:pPr>
              <w:pStyle w:val="TableParagraph"/>
              <w:spacing w:before="7" w:line="252" w:lineRule="auto"/>
              <w:ind w:right="910"/>
              <w:rPr>
                <w:sz w:val="12"/>
              </w:rPr>
            </w:pPr>
            <w:r>
              <w:rPr>
                <w:sz w:val="12"/>
              </w:rPr>
              <w:t xml:space="preserve">Discrete choice </w:t>
            </w:r>
            <w:r>
              <w:rPr>
                <w:sz w:val="12"/>
              </w:rPr>
              <w:t>experiment;</w:t>
            </w:r>
            <w:r>
              <w:rPr>
                <w:sz w:val="12"/>
              </w:rPr>
              <w:t xml:space="preserve"> willingness to pay n=2069</w:t>
            </w:r>
          </w:p>
        </w:tc>
        <w:tc>
          <w:tcPr>
            <w:tcW w:w="1199" w:type="dxa"/>
          </w:tcPr>
          <w:p w:rsidR="00280DF2" w:rsidP="009C5286" w14:paraId="2188ED67" w14:textId="77777777">
            <w:pPr>
              <w:pStyle w:val="TableParagraph"/>
              <w:numPr>
                <w:ilvl w:val="0"/>
                <w:numId w:val="32"/>
              </w:numPr>
              <w:tabs>
                <w:tab w:val="left" w:pos="147"/>
              </w:tabs>
              <w:spacing w:line="140" w:lineRule="exact"/>
              <w:ind w:firstLine="0"/>
              <w:rPr>
                <w:sz w:val="12"/>
              </w:rPr>
            </w:pPr>
            <w:r>
              <w:rPr>
                <w:sz w:val="12"/>
              </w:rPr>
              <w:t>Daily intake</w:t>
            </w:r>
            <w:r>
              <w:rPr>
                <w:spacing w:val="-10"/>
                <w:sz w:val="12"/>
              </w:rPr>
              <w:t xml:space="preserve"> </w:t>
            </w:r>
            <w:r>
              <w:rPr>
                <w:sz w:val="12"/>
              </w:rPr>
              <w:t>Guide</w:t>
            </w:r>
          </w:p>
          <w:p w:rsidR="00280DF2" w:rsidP="009C5286" w14:paraId="1D083F6B" w14:textId="77777777">
            <w:pPr>
              <w:pStyle w:val="TableParagraph"/>
              <w:numPr>
                <w:ilvl w:val="0"/>
                <w:numId w:val="32"/>
              </w:numPr>
              <w:tabs>
                <w:tab w:val="left" w:pos="147"/>
              </w:tabs>
              <w:spacing w:before="7" w:line="252" w:lineRule="auto"/>
              <w:ind w:right="280" w:firstLine="0"/>
              <w:rPr>
                <w:sz w:val="12"/>
              </w:rPr>
            </w:pPr>
            <w:r>
              <w:rPr>
                <w:sz w:val="12"/>
              </w:rPr>
              <w:t>Multiple Traffic Light</w:t>
            </w:r>
          </w:p>
          <w:p w:rsidR="00280DF2" w:rsidP="009C5286" w14:paraId="6075ABC9" w14:textId="77777777">
            <w:pPr>
              <w:pStyle w:val="TableParagraph"/>
              <w:numPr>
                <w:ilvl w:val="0"/>
                <w:numId w:val="32"/>
              </w:numPr>
              <w:tabs>
                <w:tab w:val="left" w:pos="147"/>
              </w:tabs>
              <w:spacing w:before="1"/>
              <w:ind w:firstLine="0"/>
              <w:rPr>
                <w:sz w:val="12"/>
              </w:rPr>
            </w:pPr>
            <w:r>
              <w:rPr>
                <w:sz w:val="12"/>
              </w:rPr>
              <w:t>Health</w:t>
            </w:r>
            <w:r>
              <w:rPr>
                <w:spacing w:val="-3"/>
                <w:sz w:val="12"/>
              </w:rPr>
              <w:t xml:space="preserve"> </w:t>
            </w:r>
            <w:r>
              <w:rPr>
                <w:sz w:val="12"/>
              </w:rPr>
              <w:t>Star</w:t>
            </w:r>
          </w:p>
        </w:tc>
        <w:tc>
          <w:tcPr>
            <w:tcW w:w="1199" w:type="dxa"/>
          </w:tcPr>
          <w:p w:rsidR="00280DF2" w:rsidP="009C5286" w14:paraId="1D4C158A" w14:textId="77777777">
            <w:pPr>
              <w:pStyle w:val="TableParagraph"/>
              <w:spacing w:before="6"/>
              <w:ind w:left="0"/>
              <w:rPr>
                <w:rFonts w:ascii="Times New Roman"/>
                <w:sz w:val="4"/>
              </w:rPr>
            </w:pPr>
          </w:p>
          <w:p w:rsidR="00280DF2" w:rsidP="009C5286" w14:paraId="0AE3089B" w14:textId="77777777">
            <w:pPr>
              <w:pStyle w:val="TableParagraph"/>
              <w:ind w:left="219"/>
              <w:rPr>
                <w:rFonts w:ascii="Times New Roman"/>
                <w:sz w:val="20"/>
              </w:rPr>
            </w:pPr>
            <w:r>
              <w:rPr>
                <w:noProof/>
              </w:rPr>
              <w:drawing>
                <wp:inline distT="0" distB="0" distL="0" distR="0">
                  <wp:extent cx="405378" cy="49606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png"/>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05378" cy="496062"/>
                          </a:xfrm>
                          <a:prstGeom prst="rect">
                            <a:avLst/>
                          </a:prstGeom>
                        </pic:spPr>
                      </pic:pic>
                    </a:graphicData>
                  </a:graphic>
                </wp:inline>
              </w:drawing>
            </w:r>
          </w:p>
        </w:tc>
        <w:tc>
          <w:tcPr>
            <w:tcW w:w="550" w:type="dxa"/>
          </w:tcPr>
          <w:p w:rsidR="00280DF2" w:rsidP="009C5286" w14:paraId="42CDE1FF" w14:textId="77777777">
            <w:pPr>
              <w:pStyle w:val="TableParagraph"/>
              <w:spacing w:line="140" w:lineRule="exact"/>
              <w:ind w:left="0" w:right="39"/>
              <w:jc w:val="center"/>
              <w:rPr>
                <w:sz w:val="12"/>
              </w:rPr>
            </w:pPr>
            <w:r>
              <w:rPr>
                <w:sz w:val="12"/>
              </w:rPr>
              <w:t>Australia</w:t>
            </w:r>
          </w:p>
        </w:tc>
        <w:tc>
          <w:tcPr>
            <w:tcW w:w="3487" w:type="dxa"/>
          </w:tcPr>
          <w:p w:rsidR="00280DF2" w:rsidP="009C5286" w14:paraId="6F63DC9C" w14:textId="13798700">
            <w:pPr>
              <w:pStyle w:val="TableParagraph"/>
              <w:spacing w:line="252" w:lineRule="auto"/>
              <w:rPr>
                <w:sz w:val="12"/>
              </w:rPr>
            </w:pPr>
            <w:r>
              <w:rPr>
                <w:sz w:val="12"/>
              </w:rPr>
              <w:t xml:space="preserve">Interpretive </w:t>
            </w:r>
            <w:r w:rsidR="004B6E26">
              <w:rPr>
                <w:sz w:val="12"/>
              </w:rPr>
              <w:t>FOP</w:t>
            </w:r>
            <w:r>
              <w:rPr>
                <w:sz w:val="12"/>
              </w:rPr>
              <w:t xml:space="preserve">s with a summary indicator are more effective than reductive </w:t>
            </w:r>
            <w:r w:rsidR="004B6E26">
              <w:rPr>
                <w:sz w:val="12"/>
              </w:rPr>
              <w:t>FOP</w:t>
            </w:r>
            <w:r>
              <w:rPr>
                <w:sz w:val="12"/>
              </w:rPr>
              <w:t>s in facilitating healthier choices.</w:t>
            </w:r>
          </w:p>
        </w:tc>
      </w:tr>
      <w:tr w14:paraId="06F393EB" w14:textId="77777777" w:rsidTr="2F9D3AFB">
        <w:tblPrEx>
          <w:tblW w:w="0" w:type="auto"/>
          <w:tblInd w:w="113" w:type="dxa"/>
          <w:tblLayout w:type="fixed"/>
          <w:tblCellMar>
            <w:left w:w="0" w:type="dxa"/>
            <w:right w:w="0" w:type="dxa"/>
          </w:tblCellMar>
          <w:tblLook w:val="01E0"/>
        </w:tblPrEx>
        <w:trPr>
          <w:trHeight w:val="842"/>
        </w:trPr>
        <w:tc>
          <w:tcPr>
            <w:tcW w:w="1023" w:type="dxa"/>
          </w:tcPr>
          <w:p w:rsidR="00280DF2" w:rsidP="009C5286" w14:paraId="296CD7F2" w14:textId="77777777">
            <w:pPr>
              <w:pStyle w:val="TableParagraph"/>
              <w:spacing w:line="140" w:lineRule="exact"/>
              <w:rPr>
                <w:sz w:val="12"/>
              </w:rPr>
            </w:pPr>
            <w:r>
              <w:rPr>
                <w:sz w:val="12"/>
              </w:rPr>
              <w:t>Talati, et al.</w:t>
            </w:r>
          </w:p>
        </w:tc>
        <w:tc>
          <w:tcPr>
            <w:tcW w:w="2101" w:type="dxa"/>
          </w:tcPr>
          <w:p w:rsidR="00280DF2" w:rsidP="009C5286" w14:paraId="4FA515D6" w14:textId="77777777">
            <w:pPr>
              <w:pStyle w:val="TableParagraph"/>
              <w:spacing w:line="252" w:lineRule="auto"/>
              <w:ind w:right="31"/>
              <w:rPr>
                <w:sz w:val="12"/>
              </w:rPr>
            </w:pPr>
            <w:r>
              <w:rPr>
                <w:sz w:val="12"/>
              </w:rPr>
              <w:t>Consumers' responses to health claims in the context of other on-pack nutrition information: a systematic review</w:t>
            </w:r>
          </w:p>
        </w:tc>
        <w:tc>
          <w:tcPr>
            <w:tcW w:w="330" w:type="dxa"/>
          </w:tcPr>
          <w:p w:rsidR="00280DF2" w:rsidP="009C5286" w14:paraId="0B43920E" w14:textId="77777777">
            <w:pPr>
              <w:pStyle w:val="TableParagraph"/>
              <w:spacing w:line="140" w:lineRule="exact"/>
              <w:rPr>
                <w:sz w:val="12"/>
              </w:rPr>
            </w:pPr>
            <w:r>
              <w:rPr>
                <w:color w:val="AF3A3C"/>
                <w:sz w:val="12"/>
              </w:rPr>
              <w:t>2017</w:t>
            </w:r>
          </w:p>
        </w:tc>
        <w:tc>
          <w:tcPr>
            <w:tcW w:w="3553" w:type="dxa"/>
          </w:tcPr>
          <w:p w:rsidR="00280DF2" w:rsidP="009C5286" w14:paraId="3A46D85C" w14:textId="77777777">
            <w:pPr>
              <w:pStyle w:val="TableParagraph"/>
              <w:spacing w:line="252" w:lineRule="auto"/>
              <w:ind w:right="2768"/>
              <w:rPr>
                <w:sz w:val="12"/>
              </w:rPr>
            </w:pPr>
            <w:r>
              <w:rPr>
                <w:sz w:val="12"/>
              </w:rPr>
              <w:t>Quantitative. Meta-analyses n=24</w:t>
            </w:r>
          </w:p>
        </w:tc>
        <w:tc>
          <w:tcPr>
            <w:tcW w:w="1199" w:type="dxa"/>
          </w:tcPr>
          <w:p w:rsidR="00280DF2" w:rsidP="009C5286" w14:paraId="4AE720E1" w14:textId="77777777">
            <w:pPr>
              <w:pStyle w:val="TableParagraph"/>
              <w:spacing w:line="140" w:lineRule="exact"/>
              <w:rPr>
                <w:sz w:val="12"/>
              </w:rPr>
            </w:pPr>
            <w:r>
              <w:rPr>
                <w:sz w:val="12"/>
              </w:rPr>
              <w:t>Traffic lights</w:t>
            </w:r>
          </w:p>
        </w:tc>
        <w:tc>
          <w:tcPr>
            <w:tcW w:w="1199" w:type="dxa"/>
          </w:tcPr>
          <w:p w:rsidR="00280DF2" w:rsidP="009C5286" w14:paraId="1FE54151" w14:textId="77777777">
            <w:pPr>
              <w:pStyle w:val="TableParagraph"/>
              <w:spacing w:before="10"/>
              <w:ind w:left="0"/>
              <w:rPr>
                <w:rFonts w:ascii="Times New Roman"/>
                <w:sz w:val="3"/>
              </w:rPr>
            </w:pPr>
          </w:p>
          <w:p w:rsidR="00280DF2" w:rsidP="009C5286" w14:paraId="39077148" w14:textId="77777777">
            <w:pPr>
              <w:pStyle w:val="TableParagraph"/>
              <w:ind w:left="131"/>
              <w:rPr>
                <w:rFonts w:ascii="Times New Roman"/>
                <w:sz w:val="20"/>
              </w:rPr>
            </w:pPr>
            <w:r>
              <w:rPr>
                <w:noProof/>
              </w:rPr>
              <w:drawing>
                <wp:inline distT="0" distB="0" distL="0" distR="0">
                  <wp:extent cx="560739" cy="22345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png"/>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60739" cy="223456"/>
                          </a:xfrm>
                          <a:prstGeom prst="rect">
                            <a:avLst/>
                          </a:prstGeom>
                        </pic:spPr>
                      </pic:pic>
                    </a:graphicData>
                  </a:graphic>
                </wp:inline>
              </w:drawing>
            </w:r>
          </w:p>
          <w:p w:rsidR="00280DF2" w:rsidP="009C5286" w14:paraId="6D919B1D" w14:textId="77777777">
            <w:pPr>
              <w:pStyle w:val="TableParagraph"/>
              <w:ind w:left="219"/>
              <w:rPr>
                <w:rFonts w:ascii="Times New Roman"/>
                <w:sz w:val="20"/>
              </w:rPr>
            </w:pPr>
            <w:r>
              <w:rPr>
                <w:noProof/>
              </w:rPr>
              <w:drawing>
                <wp:inline distT="0" distB="0" distL="0" distR="0">
                  <wp:extent cx="390852" cy="24431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png"/>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0852" cy="244316"/>
                          </a:xfrm>
                          <a:prstGeom prst="rect">
                            <a:avLst/>
                          </a:prstGeom>
                        </pic:spPr>
                      </pic:pic>
                    </a:graphicData>
                  </a:graphic>
                </wp:inline>
              </w:drawing>
            </w:r>
          </w:p>
        </w:tc>
        <w:tc>
          <w:tcPr>
            <w:tcW w:w="550" w:type="dxa"/>
          </w:tcPr>
          <w:p w:rsidR="00280DF2" w:rsidP="009C5286" w14:paraId="05F89E13" w14:textId="77777777">
            <w:pPr>
              <w:pStyle w:val="TableParagraph"/>
              <w:spacing w:line="140" w:lineRule="exact"/>
              <w:ind w:left="0" w:right="39"/>
              <w:jc w:val="center"/>
              <w:rPr>
                <w:sz w:val="12"/>
              </w:rPr>
            </w:pPr>
            <w:r>
              <w:rPr>
                <w:sz w:val="12"/>
              </w:rPr>
              <w:t>Australia</w:t>
            </w:r>
          </w:p>
        </w:tc>
        <w:tc>
          <w:tcPr>
            <w:tcW w:w="3487" w:type="dxa"/>
          </w:tcPr>
          <w:p w:rsidR="00280DF2" w:rsidP="009C5286" w14:paraId="2DD5002B" w14:textId="77777777">
            <w:pPr>
              <w:pStyle w:val="TableParagraph"/>
              <w:spacing w:line="252" w:lineRule="auto"/>
              <w:ind w:right="101"/>
              <w:rPr>
                <w:sz w:val="12"/>
              </w:rPr>
            </w:pPr>
            <w:r>
              <w:rPr>
                <w:sz w:val="12"/>
              </w:rPr>
              <w:t>Meta analyses was not symbol focused, but they found that traffic light symbols worked better than the NFL for helping participants correctly identify healthy and unhealthy products.</w:t>
            </w:r>
          </w:p>
        </w:tc>
      </w:tr>
      <w:tr w14:paraId="49D52E6D" w14:textId="77777777" w:rsidTr="2F9D3AFB">
        <w:tblPrEx>
          <w:tblW w:w="0" w:type="auto"/>
          <w:tblInd w:w="113" w:type="dxa"/>
          <w:tblLayout w:type="fixed"/>
          <w:tblCellMar>
            <w:left w:w="0" w:type="dxa"/>
            <w:right w:w="0" w:type="dxa"/>
          </w:tblCellMar>
          <w:tblLook w:val="01E0"/>
        </w:tblPrEx>
        <w:trPr>
          <w:trHeight w:val="842"/>
        </w:trPr>
        <w:tc>
          <w:tcPr>
            <w:tcW w:w="1023" w:type="dxa"/>
          </w:tcPr>
          <w:p w:rsidR="00280DF2" w:rsidP="009C5286" w14:paraId="497E64CE" w14:textId="77777777">
            <w:pPr>
              <w:pStyle w:val="TableParagraph"/>
              <w:spacing w:line="140" w:lineRule="exact"/>
              <w:rPr>
                <w:sz w:val="12"/>
              </w:rPr>
            </w:pPr>
            <w:r>
              <w:rPr>
                <w:sz w:val="12"/>
              </w:rPr>
              <w:t>Yoo, et al.</w:t>
            </w:r>
          </w:p>
        </w:tc>
        <w:tc>
          <w:tcPr>
            <w:tcW w:w="2101" w:type="dxa"/>
          </w:tcPr>
          <w:p w:rsidR="00280DF2" w:rsidP="009C5286" w14:paraId="10EE02CA" w14:textId="77777777">
            <w:pPr>
              <w:pStyle w:val="TableParagraph"/>
              <w:spacing w:line="252" w:lineRule="auto"/>
              <w:ind w:right="308"/>
              <w:rPr>
                <w:sz w:val="12"/>
              </w:rPr>
            </w:pPr>
            <w:r>
              <w:rPr>
                <w:sz w:val="12"/>
              </w:rPr>
              <w:t>Children and adolescents' attitudes towards sugar reduction in dairy products</w:t>
            </w:r>
          </w:p>
        </w:tc>
        <w:tc>
          <w:tcPr>
            <w:tcW w:w="330" w:type="dxa"/>
          </w:tcPr>
          <w:p w:rsidR="00280DF2" w:rsidP="009C5286" w14:paraId="15EDAB98" w14:textId="77777777">
            <w:pPr>
              <w:pStyle w:val="TableParagraph"/>
              <w:spacing w:line="140" w:lineRule="exact"/>
              <w:rPr>
                <w:sz w:val="12"/>
              </w:rPr>
            </w:pPr>
            <w:r>
              <w:rPr>
                <w:color w:val="AF3A3C"/>
                <w:sz w:val="12"/>
              </w:rPr>
              <w:t>2017</w:t>
            </w:r>
          </w:p>
        </w:tc>
        <w:tc>
          <w:tcPr>
            <w:tcW w:w="3553" w:type="dxa"/>
          </w:tcPr>
          <w:p w:rsidR="00280DF2" w:rsidP="009C5286" w14:paraId="59DCA023" w14:textId="77777777">
            <w:pPr>
              <w:pStyle w:val="TableParagraph"/>
              <w:spacing w:line="140" w:lineRule="exact"/>
              <w:rPr>
                <w:sz w:val="12"/>
              </w:rPr>
            </w:pPr>
            <w:r>
              <w:rPr>
                <w:sz w:val="12"/>
              </w:rPr>
              <w:t>Quantitative.</w:t>
            </w:r>
          </w:p>
          <w:p w:rsidR="00280DF2" w:rsidP="009C5286" w14:paraId="7FF84836" w14:textId="77777777">
            <w:pPr>
              <w:pStyle w:val="TableParagraph"/>
              <w:spacing w:before="7" w:line="252" w:lineRule="auto"/>
              <w:ind w:right="73"/>
              <w:rPr>
                <w:sz w:val="12"/>
              </w:rPr>
            </w:pPr>
            <w:r>
              <w:rPr>
                <w:sz w:val="12"/>
              </w:rPr>
              <w:t>Cross-sectional survey - convenience sample (although the article says experimental design)</w:t>
            </w:r>
          </w:p>
          <w:p w:rsidR="00280DF2" w:rsidP="009C5286" w14:paraId="72F7363A" w14:textId="77777777">
            <w:pPr>
              <w:pStyle w:val="TableParagraph"/>
              <w:spacing w:before="1"/>
              <w:rPr>
                <w:sz w:val="12"/>
              </w:rPr>
            </w:pPr>
            <w:r>
              <w:rPr>
                <w:sz w:val="12"/>
              </w:rPr>
              <w:t>n=646</w:t>
            </w:r>
          </w:p>
        </w:tc>
        <w:tc>
          <w:tcPr>
            <w:tcW w:w="1199" w:type="dxa"/>
          </w:tcPr>
          <w:p w:rsidR="00280DF2" w:rsidP="009C5286" w14:paraId="10E83D98" w14:textId="77777777">
            <w:pPr>
              <w:pStyle w:val="TableParagraph"/>
              <w:spacing w:line="252" w:lineRule="auto"/>
              <w:ind w:right="102"/>
              <w:rPr>
                <w:sz w:val="12"/>
              </w:rPr>
            </w:pPr>
            <w:r>
              <w:rPr>
                <w:sz w:val="12"/>
              </w:rPr>
              <w:t>Variety of traffic light symbols</w:t>
            </w:r>
          </w:p>
        </w:tc>
        <w:tc>
          <w:tcPr>
            <w:tcW w:w="1199" w:type="dxa"/>
          </w:tcPr>
          <w:p w:rsidR="00280DF2" w:rsidP="009C5286" w14:paraId="388FA0B3" w14:textId="77777777">
            <w:pPr>
              <w:pStyle w:val="TableParagraph"/>
              <w:spacing w:before="7"/>
              <w:ind w:left="0"/>
              <w:rPr>
                <w:rFonts w:ascii="Times New Roman"/>
                <w:sz w:val="6"/>
              </w:rPr>
            </w:pPr>
          </w:p>
          <w:p w:rsidR="00280DF2" w:rsidP="009C5286" w14:paraId="7914BA81" w14:textId="77777777">
            <w:pPr>
              <w:pStyle w:val="TableParagraph"/>
              <w:ind w:left="61" w:right="-10"/>
              <w:rPr>
                <w:rFonts w:ascii="Times New Roman"/>
                <w:sz w:val="20"/>
              </w:rPr>
            </w:pPr>
            <w:r>
              <w:rPr>
                <w:noProof/>
              </w:rPr>
              <w:drawing>
                <wp:inline distT="0" distB="0" distL="0" distR="0">
                  <wp:extent cx="693389" cy="23202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png"/>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93389" cy="232028"/>
                          </a:xfrm>
                          <a:prstGeom prst="rect">
                            <a:avLst/>
                          </a:prstGeom>
                        </pic:spPr>
                      </pic:pic>
                    </a:graphicData>
                  </a:graphic>
                </wp:inline>
              </w:drawing>
            </w:r>
          </w:p>
        </w:tc>
        <w:tc>
          <w:tcPr>
            <w:tcW w:w="550" w:type="dxa"/>
          </w:tcPr>
          <w:p w:rsidR="00280DF2" w:rsidP="009C5286" w14:paraId="2B43F202" w14:textId="77777777">
            <w:pPr>
              <w:pStyle w:val="TableParagraph"/>
              <w:spacing w:line="140" w:lineRule="exact"/>
              <w:ind w:left="8" w:right="72"/>
              <w:jc w:val="center"/>
              <w:rPr>
                <w:sz w:val="12"/>
              </w:rPr>
            </w:pPr>
            <w:r>
              <w:rPr>
                <w:sz w:val="12"/>
              </w:rPr>
              <w:t>Uruguay</w:t>
            </w:r>
          </w:p>
        </w:tc>
        <w:tc>
          <w:tcPr>
            <w:tcW w:w="3487" w:type="dxa"/>
          </w:tcPr>
          <w:p w:rsidR="00280DF2" w:rsidP="009C5286" w14:paraId="68A7F60A" w14:textId="77777777">
            <w:pPr>
              <w:pStyle w:val="TableParagraph"/>
              <w:spacing w:line="252" w:lineRule="auto"/>
              <w:ind w:right="1"/>
              <w:rPr>
                <w:sz w:val="12"/>
              </w:rPr>
            </w:pPr>
            <w:r>
              <w:rPr>
                <w:sz w:val="12"/>
              </w:rPr>
              <w:t>Compared the effects of a sugar claim modulated by the presence of a traffic light symbol. Both 'claim types' increased understanding of product healthfulness but the traffic lights did not affect liking of the product.</w:t>
            </w:r>
          </w:p>
        </w:tc>
      </w:tr>
      <w:tr w14:paraId="18CD85D0" w14:textId="77777777" w:rsidTr="2F9D3AFB">
        <w:tblPrEx>
          <w:tblW w:w="0" w:type="auto"/>
          <w:tblInd w:w="113" w:type="dxa"/>
          <w:tblLayout w:type="fixed"/>
          <w:tblCellMar>
            <w:left w:w="0" w:type="dxa"/>
            <w:right w:w="0" w:type="dxa"/>
          </w:tblCellMar>
          <w:tblLook w:val="01E0"/>
        </w:tblPrEx>
        <w:trPr>
          <w:trHeight w:val="1624"/>
        </w:trPr>
        <w:tc>
          <w:tcPr>
            <w:tcW w:w="1023" w:type="dxa"/>
          </w:tcPr>
          <w:p w:rsidR="00280DF2" w:rsidP="009C5286" w14:paraId="1262EEA8" w14:textId="77777777">
            <w:pPr>
              <w:pStyle w:val="TableParagraph"/>
              <w:spacing w:line="252" w:lineRule="auto"/>
              <w:ind w:right="449"/>
              <w:rPr>
                <w:sz w:val="12"/>
              </w:rPr>
            </w:pPr>
            <w:r>
              <w:rPr>
                <w:sz w:val="12"/>
              </w:rPr>
              <w:t>Acton and Hammond</w:t>
            </w:r>
          </w:p>
        </w:tc>
        <w:tc>
          <w:tcPr>
            <w:tcW w:w="2101" w:type="dxa"/>
          </w:tcPr>
          <w:p w:rsidR="00280DF2" w:rsidP="009C5286" w14:paraId="786A5B73" w14:textId="77777777">
            <w:pPr>
              <w:pStyle w:val="TableParagraph"/>
              <w:spacing w:line="252" w:lineRule="auto"/>
              <w:ind w:right="102"/>
              <w:rPr>
                <w:sz w:val="12"/>
              </w:rPr>
            </w:pPr>
            <w:r>
              <w:rPr>
                <w:sz w:val="12"/>
              </w:rPr>
              <w:t>The impact of price and nutrition labelling on sugary drink purchases: Results from an experimental marketplace study</w:t>
            </w:r>
          </w:p>
        </w:tc>
        <w:tc>
          <w:tcPr>
            <w:tcW w:w="330" w:type="dxa"/>
          </w:tcPr>
          <w:p w:rsidR="00280DF2" w:rsidP="009C5286" w14:paraId="2343425D" w14:textId="77777777">
            <w:pPr>
              <w:pStyle w:val="TableParagraph"/>
              <w:spacing w:line="140" w:lineRule="exact"/>
              <w:rPr>
                <w:sz w:val="12"/>
              </w:rPr>
            </w:pPr>
            <w:r>
              <w:rPr>
                <w:color w:val="0000FE"/>
                <w:sz w:val="12"/>
              </w:rPr>
              <w:t>2018</w:t>
            </w:r>
          </w:p>
        </w:tc>
        <w:tc>
          <w:tcPr>
            <w:tcW w:w="3553" w:type="dxa"/>
          </w:tcPr>
          <w:p w:rsidR="00280DF2" w:rsidP="009C5286" w14:paraId="6655BFBA" w14:textId="77777777">
            <w:pPr>
              <w:pStyle w:val="TableParagraph"/>
              <w:spacing w:line="140" w:lineRule="exact"/>
              <w:rPr>
                <w:sz w:val="12"/>
              </w:rPr>
            </w:pPr>
            <w:r>
              <w:rPr>
                <w:sz w:val="12"/>
              </w:rPr>
              <w:t>Quantitative.</w:t>
            </w:r>
          </w:p>
          <w:p w:rsidR="00280DF2" w:rsidP="009C5286" w14:paraId="02A92987" w14:textId="552FCD0F">
            <w:pPr>
              <w:pStyle w:val="TableParagraph"/>
              <w:numPr>
                <w:ilvl w:val="0"/>
                <w:numId w:val="31"/>
              </w:numPr>
              <w:tabs>
                <w:tab w:val="left" w:pos="147"/>
              </w:tabs>
              <w:spacing w:before="7" w:line="252" w:lineRule="auto"/>
              <w:ind w:right="58" w:firstLine="0"/>
              <w:rPr>
                <w:sz w:val="12"/>
              </w:rPr>
            </w:pPr>
            <w:r>
              <w:rPr>
                <w:sz w:val="12"/>
              </w:rPr>
              <w:t xml:space="preserve">To examine the </w:t>
            </w:r>
            <w:r>
              <w:rPr>
                <w:spacing w:val="-3"/>
                <w:sz w:val="12"/>
              </w:rPr>
              <w:t xml:space="preserve">effect </w:t>
            </w:r>
            <w:r>
              <w:rPr>
                <w:sz w:val="12"/>
              </w:rPr>
              <w:t xml:space="preserve">of </w:t>
            </w:r>
            <w:r w:rsidR="00F638F1">
              <w:rPr>
                <w:sz w:val="12"/>
              </w:rPr>
              <w:t>FOP</w:t>
            </w:r>
            <w:r>
              <w:rPr>
                <w:sz w:val="12"/>
              </w:rPr>
              <w:t xml:space="preserve"> and sugary drink taxation on consumer beverage</w:t>
            </w:r>
            <w:r>
              <w:rPr>
                <w:spacing w:val="-12"/>
                <w:sz w:val="12"/>
              </w:rPr>
              <w:t xml:space="preserve"> </w:t>
            </w:r>
            <w:r>
              <w:rPr>
                <w:sz w:val="12"/>
              </w:rPr>
              <w:t>purchases</w:t>
            </w:r>
          </w:p>
          <w:p w:rsidR="00280DF2" w:rsidP="009C5286" w14:paraId="2EAAC330" w14:textId="77777777">
            <w:pPr>
              <w:pStyle w:val="TableParagraph"/>
              <w:numPr>
                <w:ilvl w:val="0"/>
                <w:numId w:val="31"/>
              </w:numPr>
              <w:tabs>
                <w:tab w:val="left" w:pos="147"/>
              </w:tabs>
              <w:spacing w:before="1"/>
              <w:ind w:firstLine="0"/>
              <w:rPr>
                <w:sz w:val="12"/>
              </w:rPr>
            </w:pPr>
            <w:r>
              <w:rPr>
                <w:sz w:val="12"/>
              </w:rPr>
              <w:t>Experimental design: 4 x 5 within-between group</w:t>
            </w:r>
            <w:r>
              <w:rPr>
                <w:spacing w:val="-13"/>
                <w:sz w:val="12"/>
              </w:rPr>
              <w:t xml:space="preserve"> </w:t>
            </w:r>
            <w:r>
              <w:rPr>
                <w:sz w:val="12"/>
              </w:rPr>
              <w:t>design:</w:t>
            </w:r>
          </w:p>
          <w:p w:rsidR="00280DF2" w:rsidP="009C5286" w14:paraId="680EC32E" w14:textId="4E2DA6EA">
            <w:pPr>
              <w:pStyle w:val="TableParagraph"/>
              <w:numPr>
                <w:ilvl w:val="0"/>
                <w:numId w:val="30"/>
              </w:numPr>
              <w:tabs>
                <w:tab w:val="left" w:pos="169"/>
              </w:tabs>
              <w:spacing w:before="7"/>
              <w:ind w:firstLine="88"/>
              <w:rPr>
                <w:sz w:val="12"/>
              </w:rPr>
            </w:pPr>
            <w:r>
              <w:rPr>
                <w:sz w:val="12"/>
              </w:rPr>
              <w:t>FOP</w:t>
            </w:r>
            <w:r>
              <w:rPr>
                <w:sz w:val="12"/>
              </w:rPr>
              <w:t>:</w:t>
            </w:r>
            <w:r>
              <w:rPr>
                <w:spacing w:val="-4"/>
                <w:sz w:val="12"/>
              </w:rPr>
              <w:t xml:space="preserve"> </w:t>
            </w:r>
            <w:r>
              <w:rPr>
                <w:sz w:val="12"/>
              </w:rPr>
              <w:t>no</w:t>
            </w:r>
            <w:r>
              <w:rPr>
                <w:spacing w:val="-2"/>
                <w:sz w:val="12"/>
              </w:rPr>
              <w:t xml:space="preserve"> </w:t>
            </w:r>
            <w:r>
              <w:rPr>
                <w:sz w:val="12"/>
              </w:rPr>
              <w:t>label;</w:t>
            </w:r>
            <w:r>
              <w:rPr>
                <w:spacing w:val="-4"/>
                <w:sz w:val="12"/>
              </w:rPr>
              <w:t xml:space="preserve"> </w:t>
            </w:r>
            <w:r>
              <w:rPr>
                <w:sz w:val="12"/>
              </w:rPr>
              <w:t>star</w:t>
            </w:r>
            <w:r>
              <w:rPr>
                <w:spacing w:val="-3"/>
                <w:sz w:val="12"/>
              </w:rPr>
              <w:t xml:space="preserve"> </w:t>
            </w:r>
            <w:r>
              <w:rPr>
                <w:sz w:val="12"/>
              </w:rPr>
              <w:t>rating;</w:t>
            </w:r>
            <w:r>
              <w:rPr>
                <w:spacing w:val="-4"/>
                <w:sz w:val="12"/>
              </w:rPr>
              <w:t xml:space="preserve"> </w:t>
            </w:r>
            <w:r>
              <w:rPr>
                <w:sz w:val="12"/>
              </w:rPr>
              <w:t>high</w:t>
            </w:r>
            <w:r>
              <w:rPr>
                <w:spacing w:val="-2"/>
                <w:sz w:val="12"/>
              </w:rPr>
              <w:t xml:space="preserve"> </w:t>
            </w:r>
            <w:r>
              <w:rPr>
                <w:sz w:val="12"/>
              </w:rPr>
              <w:t>sugar</w:t>
            </w:r>
            <w:r>
              <w:rPr>
                <w:spacing w:val="-3"/>
                <w:sz w:val="12"/>
              </w:rPr>
              <w:t xml:space="preserve"> </w:t>
            </w:r>
            <w:r>
              <w:rPr>
                <w:sz w:val="12"/>
              </w:rPr>
              <w:t>symbol;</w:t>
            </w:r>
            <w:r>
              <w:rPr>
                <w:spacing w:val="-4"/>
                <w:sz w:val="12"/>
              </w:rPr>
              <w:t xml:space="preserve"> </w:t>
            </w:r>
            <w:r>
              <w:rPr>
                <w:sz w:val="12"/>
              </w:rPr>
              <w:t>health</w:t>
            </w:r>
            <w:r>
              <w:rPr>
                <w:spacing w:val="-2"/>
                <w:sz w:val="12"/>
              </w:rPr>
              <w:t xml:space="preserve"> </w:t>
            </w:r>
            <w:r>
              <w:rPr>
                <w:sz w:val="12"/>
              </w:rPr>
              <w:t>warning</w:t>
            </w:r>
          </w:p>
          <w:p w:rsidR="00280DF2" w:rsidP="009C5286" w14:paraId="1962BC24" w14:textId="77777777">
            <w:pPr>
              <w:pStyle w:val="TableParagraph"/>
              <w:numPr>
                <w:ilvl w:val="0"/>
                <w:numId w:val="30"/>
              </w:numPr>
              <w:tabs>
                <w:tab w:val="left" w:pos="169"/>
              </w:tabs>
              <w:spacing w:before="8" w:line="252" w:lineRule="auto"/>
              <w:ind w:right="409" w:firstLine="88"/>
              <w:rPr>
                <w:sz w:val="12"/>
              </w:rPr>
            </w:pPr>
            <w:r>
              <w:rPr>
                <w:sz w:val="12"/>
              </w:rPr>
              <w:t xml:space="preserve">price/tax conditions: 0%, 10%, 20%, 30%, and a variable tax proportional to </w:t>
            </w:r>
            <w:r>
              <w:rPr>
                <w:spacing w:val="-3"/>
                <w:sz w:val="12"/>
              </w:rPr>
              <w:t xml:space="preserve">free </w:t>
            </w:r>
            <w:r>
              <w:rPr>
                <w:sz w:val="12"/>
              </w:rPr>
              <w:t>sugar</w:t>
            </w:r>
            <w:r>
              <w:rPr>
                <w:spacing w:val="-14"/>
                <w:sz w:val="12"/>
              </w:rPr>
              <w:t xml:space="preserve"> </w:t>
            </w:r>
            <w:r>
              <w:rPr>
                <w:sz w:val="12"/>
              </w:rPr>
              <w:t>level</w:t>
            </w:r>
          </w:p>
          <w:p w:rsidR="00280DF2" w:rsidP="009C5286" w14:paraId="7BD8714A" w14:textId="77777777">
            <w:pPr>
              <w:pStyle w:val="TableParagraph"/>
              <w:rPr>
                <w:sz w:val="12"/>
              </w:rPr>
            </w:pPr>
            <w:r>
              <w:rPr>
                <w:sz w:val="12"/>
              </w:rPr>
              <w:t>n=675</w:t>
            </w:r>
          </w:p>
        </w:tc>
        <w:tc>
          <w:tcPr>
            <w:tcW w:w="1199" w:type="dxa"/>
          </w:tcPr>
          <w:p w:rsidR="00280DF2" w:rsidP="009C5286" w14:paraId="397F1746" w14:textId="77777777">
            <w:pPr>
              <w:pStyle w:val="TableParagraph"/>
              <w:numPr>
                <w:ilvl w:val="0"/>
                <w:numId w:val="29"/>
              </w:numPr>
              <w:tabs>
                <w:tab w:val="left" w:pos="147"/>
              </w:tabs>
              <w:spacing w:line="140" w:lineRule="exact"/>
              <w:ind w:firstLine="0"/>
              <w:rPr>
                <w:sz w:val="12"/>
              </w:rPr>
            </w:pPr>
            <w:r>
              <w:rPr>
                <w:sz w:val="12"/>
              </w:rPr>
              <w:t>Health</w:t>
            </w:r>
            <w:r>
              <w:rPr>
                <w:spacing w:val="-2"/>
                <w:sz w:val="12"/>
              </w:rPr>
              <w:t xml:space="preserve"> </w:t>
            </w:r>
            <w:r>
              <w:rPr>
                <w:sz w:val="12"/>
              </w:rPr>
              <w:t>warning</w:t>
            </w:r>
          </w:p>
          <w:p w:rsidR="00280DF2" w:rsidP="009C5286" w14:paraId="5BACA7C7" w14:textId="77777777">
            <w:pPr>
              <w:pStyle w:val="TableParagraph"/>
              <w:numPr>
                <w:ilvl w:val="0"/>
                <w:numId w:val="29"/>
              </w:numPr>
              <w:tabs>
                <w:tab w:val="left" w:pos="147"/>
              </w:tabs>
              <w:spacing w:before="7"/>
              <w:ind w:firstLine="0"/>
              <w:rPr>
                <w:sz w:val="12"/>
              </w:rPr>
            </w:pPr>
            <w:r>
              <w:rPr>
                <w:sz w:val="12"/>
              </w:rPr>
              <w:t>High</w:t>
            </w:r>
            <w:r>
              <w:rPr>
                <w:spacing w:val="-3"/>
                <w:sz w:val="12"/>
              </w:rPr>
              <w:t xml:space="preserve"> </w:t>
            </w:r>
            <w:r>
              <w:rPr>
                <w:sz w:val="12"/>
              </w:rPr>
              <w:t>sugar</w:t>
            </w:r>
          </w:p>
          <w:p w:rsidR="00280DF2" w:rsidP="009C5286" w14:paraId="09AD64D9" w14:textId="77777777">
            <w:pPr>
              <w:pStyle w:val="TableParagraph"/>
              <w:numPr>
                <w:ilvl w:val="0"/>
                <w:numId w:val="29"/>
              </w:numPr>
              <w:tabs>
                <w:tab w:val="left" w:pos="147"/>
              </w:tabs>
              <w:spacing w:before="8" w:line="252" w:lineRule="auto"/>
              <w:ind w:right="142" w:firstLine="0"/>
              <w:rPr>
                <w:sz w:val="12"/>
              </w:rPr>
            </w:pPr>
            <w:r>
              <w:rPr>
                <w:sz w:val="12"/>
              </w:rPr>
              <w:t>Health Star Rating (HSR)</w:t>
            </w:r>
          </w:p>
        </w:tc>
        <w:tc>
          <w:tcPr>
            <w:tcW w:w="1199" w:type="dxa"/>
          </w:tcPr>
          <w:p w:rsidR="00280DF2" w:rsidP="009C5286" w14:paraId="5C028D5B" w14:textId="77777777">
            <w:pPr>
              <w:pStyle w:val="TableParagraph"/>
              <w:spacing w:before="7"/>
              <w:ind w:left="0"/>
              <w:rPr>
                <w:rFonts w:ascii="Times New Roman"/>
                <w:sz w:val="2"/>
              </w:rPr>
            </w:pPr>
          </w:p>
          <w:p w:rsidR="00280DF2" w:rsidP="009C5286" w14:paraId="68F5C28F" w14:textId="77777777">
            <w:pPr>
              <w:pStyle w:val="TableParagraph"/>
              <w:ind w:left="44" w:right="-10"/>
              <w:rPr>
                <w:rFonts w:ascii="Times New Roman"/>
                <w:sz w:val="20"/>
              </w:rPr>
            </w:pPr>
            <w:r>
              <w:rPr>
                <w:noProof/>
              </w:rPr>
              <w:drawing>
                <wp:inline distT="0" distB="0" distL="0" distR="0">
                  <wp:extent cx="704094" cy="61721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png"/>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04094" cy="617219"/>
                          </a:xfrm>
                          <a:prstGeom prst="rect">
                            <a:avLst/>
                          </a:prstGeom>
                        </pic:spPr>
                      </pic:pic>
                    </a:graphicData>
                  </a:graphic>
                </wp:inline>
              </w:drawing>
            </w:r>
          </w:p>
        </w:tc>
        <w:tc>
          <w:tcPr>
            <w:tcW w:w="550" w:type="dxa"/>
          </w:tcPr>
          <w:p w:rsidR="00280DF2" w:rsidP="009C5286" w14:paraId="3735D45F" w14:textId="77777777">
            <w:pPr>
              <w:pStyle w:val="TableParagraph"/>
              <w:spacing w:line="140" w:lineRule="exact"/>
              <w:ind w:left="8" w:right="124"/>
              <w:jc w:val="center"/>
              <w:rPr>
                <w:sz w:val="12"/>
              </w:rPr>
            </w:pPr>
            <w:r>
              <w:rPr>
                <w:sz w:val="12"/>
              </w:rPr>
              <w:t>Canada</w:t>
            </w:r>
          </w:p>
        </w:tc>
        <w:tc>
          <w:tcPr>
            <w:tcW w:w="3487" w:type="dxa"/>
          </w:tcPr>
          <w:p w:rsidR="00280DF2" w:rsidP="009C5286" w14:paraId="272113FC" w14:textId="77777777">
            <w:pPr>
              <w:pStyle w:val="TableParagraph"/>
              <w:numPr>
                <w:ilvl w:val="0"/>
                <w:numId w:val="28"/>
              </w:numPr>
              <w:tabs>
                <w:tab w:val="left" w:pos="147"/>
              </w:tabs>
              <w:spacing w:line="252" w:lineRule="auto"/>
              <w:ind w:right="53" w:firstLine="0"/>
              <w:rPr>
                <w:sz w:val="12"/>
              </w:rPr>
            </w:pPr>
            <w:r>
              <w:rPr>
                <w:sz w:val="12"/>
              </w:rPr>
              <w:t xml:space="preserve">The overall </w:t>
            </w:r>
            <w:r>
              <w:rPr>
                <w:spacing w:val="-3"/>
                <w:sz w:val="12"/>
              </w:rPr>
              <w:t xml:space="preserve">effect </w:t>
            </w:r>
            <w:r>
              <w:rPr>
                <w:sz w:val="12"/>
              </w:rPr>
              <w:t>of labelling was not statistically sig. However, there was a trend for the 'high sugar' label to reduce the likelihood of selecting a sugary drink and encouraging participants to select drinks with less</w:t>
            </w:r>
            <w:r>
              <w:rPr>
                <w:spacing w:val="-20"/>
                <w:sz w:val="12"/>
              </w:rPr>
              <w:t xml:space="preserve"> </w:t>
            </w:r>
            <w:r>
              <w:rPr>
                <w:spacing w:val="-3"/>
                <w:sz w:val="12"/>
              </w:rPr>
              <w:t xml:space="preserve">free </w:t>
            </w:r>
            <w:r>
              <w:rPr>
                <w:sz w:val="12"/>
              </w:rPr>
              <w:t>sugar.</w:t>
            </w:r>
          </w:p>
          <w:p w:rsidR="00280DF2" w:rsidP="009C5286" w14:paraId="3B086B5C" w14:textId="77777777">
            <w:pPr>
              <w:pStyle w:val="TableParagraph"/>
              <w:numPr>
                <w:ilvl w:val="0"/>
                <w:numId w:val="28"/>
              </w:numPr>
              <w:tabs>
                <w:tab w:val="left" w:pos="147"/>
              </w:tabs>
              <w:spacing w:line="252" w:lineRule="auto"/>
              <w:ind w:right="90" w:firstLine="0"/>
              <w:rPr>
                <w:sz w:val="12"/>
              </w:rPr>
            </w:pPr>
            <w:r>
              <w:rPr>
                <w:sz w:val="12"/>
              </w:rPr>
              <w:t>Results</w:t>
            </w:r>
            <w:r>
              <w:rPr>
                <w:spacing w:val="-7"/>
                <w:sz w:val="12"/>
              </w:rPr>
              <w:t xml:space="preserve"> </w:t>
            </w:r>
            <w:r>
              <w:rPr>
                <w:sz w:val="12"/>
              </w:rPr>
              <w:t>from the</w:t>
            </w:r>
            <w:r>
              <w:rPr>
                <w:spacing w:val="-9"/>
                <w:sz w:val="12"/>
              </w:rPr>
              <w:t xml:space="preserve"> </w:t>
            </w:r>
            <w:r>
              <w:rPr>
                <w:sz w:val="12"/>
              </w:rPr>
              <w:t>HSR</w:t>
            </w:r>
            <w:r>
              <w:rPr>
                <w:spacing w:val="-2"/>
                <w:sz w:val="12"/>
              </w:rPr>
              <w:t xml:space="preserve"> </w:t>
            </w:r>
            <w:r>
              <w:rPr>
                <w:sz w:val="12"/>
              </w:rPr>
              <w:t>are</w:t>
            </w:r>
            <w:r>
              <w:rPr>
                <w:spacing w:val="-9"/>
                <w:sz w:val="12"/>
              </w:rPr>
              <w:t xml:space="preserve"> </w:t>
            </w:r>
            <w:r>
              <w:rPr>
                <w:sz w:val="12"/>
              </w:rPr>
              <w:t>mixed:</w:t>
            </w:r>
            <w:r>
              <w:rPr>
                <w:spacing w:val="-2"/>
                <w:sz w:val="12"/>
              </w:rPr>
              <w:t xml:space="preserve"> </w:t>
            </w:r>
            <w:r>
              <w:rPr>
                <w:sz w:val="12"/>
              </w:rPr>
              <w:t>no impact on purchase</w:t>
            </w:r>
            <w:r>
              <w:rPr>
                <w:spacing w:val="-9"/>
                <w:sz w:val="12"/>
              </w:rPr>
              <w:t xml:space="preserve"> </w:t>
            </w:r>
            <w:r>
              <w:rPr>
                <w:sz w:val="12"/>
              </w:rPr>
              <w:t>of</w:t>
            </w:r>
            <w:r>
              <w:rPr>
                <w:spacing w:val="-8"/>
                <w:sz w:val="12"/>
              </w:rPr>
              <w:t xml:space="preserve"> </w:t>
            </w:r>
            <w:r>
              <w:rPr>
                <w:sz w:val="12"/>
              </w:rPr>
              <w:t>a</w:t>
            </w:r>
            <w:r>
              <w:rPr>
                <w:spacing w:val="-7"/>
                <w:sz w:val="12"/>
              </w:rPr>
              <w:t xml:space="preserve"> </w:t>
            </w:r>
            <w:r>
              <w:rPr>
                <w:sz w:val="12"/>
              </w:rPr>
              <w:t xml:space="preserve">sugary drink, a modest reduction </w:t>
            </w:r>
            <w:r>
              <w:rPr>
                <w:spacing w:val="1"/>
                <w:sz w:val="12"/>
              </w:rPr>
              <w:t xml:space="preserve">in </w:t>
            </w:r>
            <w:r>
              <w:rPr>
                <w:sz w:val="12"/>
              </w:rPr>
              <w:t xml:space="preserve">the grams of </w:t>
            </w:r>
            <w:r>
              <w:rPr>
                <w:spacing w:val="-3"/>
                <w:sz w:val="12"/>
              </w:rPr>
              <w:t xml:space="preserve">free </w:t>
            </w:r>
            <w:r>
              <w:rPr>
                <w:sz w:val="12"/>
              </w:rPr>
              <w:t>sugar purchased, and an</w:t>
            </w:r>
            <w:r>
              <w:rPr>
                <w:spacing w:val="-3"/>
                <w:sz w:val="12"/>
              </w:rPr>
              <w:t xml:space="preserve"> </w:t>
            </w:r>
            <w:r>
              <w:rPr>
                <w:sz w:val="12"/>
              </w:rPr>
              <w:t>increase</w:t>
            </w:r>
            <w:r>
              <w:rPr>
                <w:spacing w:val="-11"/>
                <w:sz w:val="12"/>
              </w:rPr>
              <w:t xml:space="preserve"> </w:t>
            </w:r>
            <w:r>
              <w:rPr>
                <w:spacing w:val="1"/>
                <w:sz w:val="12"/>
              </w:rPr>
              <w:t>in</w:t>
            </w:r>
            <w:r>
              <w:rPr>
                <w:spacing w:val="-3"/>
                <w:sz w:val="12"/>
              </w:rPr>
              <w:t xml:space="preserve"> </w:t>
            </w:r>
            <w:r>
              <w:rPr>
                <w:sz w:val="12"/>
              </w:rPr>
              <w:t>the</w:t>
            </w:r>
            <w:r>
              <w:rPr>
                <w:spacing w:val="-11"/>
                <w:sz w:val="12"/>
              </w:rPr>
              <w:t xml:space="preserve"> </w:t>
            </w:r>
            <w:r>
              <w:rPr>
                <w:sz w:val="12"/>
              </w:rPr>
              <w:t>calories</w:t>
            </w:r>
            <w:r>
              <w:rPr>
                <w:spacing w:val="-9"/>
                <w:sz w:val="12"/>
              </w:rPr>
              <w:t xml:space="preserve"> </w:t>
            </w:r>
            <w:r>
              <w:rPr>
                <w:sz w:val="12"/>
              </w:rPr>
              <w:t>purchased.</w:t>
            </w:r>
          </w:p>
          <w:p w:rsidR="00280DF2" w:rsidP="009C5286" w14:paraId="4D0B86D5" w14:textId="77777777">
            <w:pPr>
              <w:pStyle w:val="TableParagraph"/>
              <w:numPr>
                <w:ilvl w:val="0"/>
                <w:numId w:val="28"/>
              </w:numPr>
              <w:tabs>
                <w:tab w:val="left" w:pos="147"/>
              </w:tabs>
              <w:spacing w:line="252" w:lineRule="auto"/>
              <w:ind w:right="89" w:firstLine="0"/>
              <w:rPr>
                <w:sz w:val="12"/>
              </w:rPr>
            </w:pPr>
            <w:r>
              <w:rPr>
                <w:spacing w:val="-3"/>
                <w:sz w:val="12"/>
              </w:rPr>
              <w:t xml:space="preserve">As </w:t>
            </w:r>
            <w:r>
              <w:rPr>
                <w:sz w:val="12"/>
              </w:rPr>
              <w:t xml:space="preserve">price increased, participants were significantly less likely to select a sugary drink, and selected drinks with </w:t>
            </w:r>
            <w:r>
              <w:rPr>
                <w:spacing w:val="-4"/>
                <w:sz w:val="12"/>
              </w:rPr>
              <w:t xml:space="preserve">fewer </w:t>
            </w:r>
            <w:r>
              <w:rPr>
                <w:sz w:val="12"/>
              </w:rPr>
              <w:t xml:space="preserve">calories and </w:t>
            </w:r>
            <w:r>
              <w:rPr>
                <w:spacing w:val="-3"/>
                <w:sz w:val="12"/>
              </w:rPr>
              <w:t>less free</w:t>
            </w:r>
            <w:r>
              <w:rPr>
                <w:spacing w:val="-11"/>
                <w:sz w:val="12"/>
              </w:rPr>
              <w:t xml:space="preserve"> </w:t>
            </w:r>
            <w:r>
              <w:rPr>
                <w:sz w:val="12"/>
              </w:rPr>
              <w:t>sugar.</w:t>
            </w:r>
          </w:p>
        </w:tc>
      </w:tr>
      <w:tr w14:paraId="74BA1E1F" w14:textId="77777777" w:rsidTr="2F9D3AFB">
        <w:tblPrEx>
          <w:tblW w:w="0" w:type="auto"/>
          <w:tblInd w:w="113" w:type="dxa"/>
          <w:tblLayout w:type="fixed"/>
          <w:tblCellMar>
            <w:left w:w="0" w:type="dxa"/>
            <w:right w:w="0" w:type="dxa"/>
          </w:tblCellMar>
          <w:tblLook w:val="01E0"/>
        </w:tblPrEx>
        <w:trPr>
          <w:trHeight w:val="1623"/>
        </w:trPr>
        <w:tc>
          <w:tcPr>
            <w:tcW w:w="1023" w:type="dxa"/>
          </w:tcPr>
          <w:p w:rsidR="00280DF2" w:rsidP="009C5286" w14:paraId="1F933B48" w14:textId="77777777">
            <w:pPr>
              <w:pStyle w:val="TableParagraph"/>
              <w:spacing w:line="140" w:lineRule="exact"/>
              <w:rPr>
                <w:sz w:val="12"/>
              </w:rPr>
            </w:pPr>
            <w:r>
              <w:rPr>
                <w:sz w:val="12"/>
              </w:rPr>
              <w:t>Acton, et al.</w:t>
            </w:r>
          </w:p>
        </w:tc>
        <w:tc>
          <w:tcPr>
            <w:tcW w:w="2101" w:type="dxa"/>
          </w:tcPr>
          <w:p w:rsidR="00280DF2" w:rsidP="009C5286" w14:paraId="6E55EDE7" w14:textId="77777777">
            <w:pPr>
              <w:pStyle w:val="TableParagraph"/>
              <w:spacing w:line="252" w:lineRule="auto"/>
              <w:ind w:right="76"/>
              <w:rPr>
                <w:sz w:val="12"/>
              </w:rPr>
            </w:pPr>
            <w:r>
              <w:rPr>
                <w:sz w:val="12"/>
              </w:rPr>
              <w:t>Consumer perceptions of specific design characteristics for front-of-package nutrition labels</w:t>
            </w:r>
          </w:p>
        </w:tc>
        <w:tc>
          <w:tcPr>
            <w:tcW w:w="330" w:type="dxa"/>
          </w:tcPr>
          <w:p w:rsidR="00280DF2" w:rsidP="009C5286" w14:paraId="7194B252" w14:textId="77777777">
            <w:pPr>
              <w:pStyle w:val="TableParagraph"/>
              <w:spacing w:line="140" w:lineRule="exact"/>
              <w:rPr>
                <w:sz w:val="12"/>
              </w:rPr>
            </w:pPr>
            <w:r>
              <w:rPr>
                <w:color w:val="0000FE"/>
                <w:sz w:val="12"/>
              </w:rPr>
              <w:t>2018</w:t>
            </w:r>
          </w:p>
        </w:tc>
        <w:tc>
          <w:tcPr>
            <w:tcW w:w="3553" w:type="dxa"/>
          </w:tcPr>
          <w:p w:rsidR="00280DF2" w:rsidP="009C5286" w14:paraId="7089FA48" w14:textId="77777777">
            <w:pPr>
              <w:pStyle w:val="TableParagraph"/>
              <w:spacing w:line="140" w:lineRule="exact"/>
              <w:rPr>
                <w:sz w:val="12"/>
              </w:rPr>
            </w:pPr>
            <w:r>
              <w:rPr>
                <w:sz w:val="12"/>
              </w:rPr>
              <w:t>Quantitative.</w:t>
            </w:r>
          </w:p>
          <w:p w:rsidR="00280DF2" w:rsidP="009C5286" w14:paraId="78539E27" w14:textId="098E194C">
            <w:pPr>
              <w:pStyle w:val="TableParagraph"/>
              <w:numPr>
                <w:ilvl w:val="0"/>
                <w:numId w:val="27"/>
              </w:numPr>
              <w:tabs>
                <w:tab w:val="left" w:pos="147"/>
              </w:tabs>
              <w:spacing w:before="7" w:line="252" w:lineRule="auto"/>
              <w:ind w:right="34" w:firstLine="0"/>
              <w:rPr>
                <w:sz w:val="12"/>
              </w:rPr>
            </w:pPr>
            <w:r>
              <w:rPr>
                <w:sz w:val="12"/>
              </w:rPr>
              <w:t xml:space="preserve">To investigate consumer perceptions of </w:t>
            </w:r>
            <w:r>
              <w:rPr>
                <w:spacing w:val="-3"/>
                <w:sz w:val="12"/>
              </w:rPr>
              <w:t xml:space="preserve">several </w:t>
            </w:r>
            <w:r w:rsidR="00F638F1">
              <w:rPr>
                <w:sz w:val="12"/>
              </w:rPr>
              <w:t>FOP</w:t>
            </w:r>
            <w:r>
              <w:rPr>
                <w:sz w:val="12"/>
              </w:rPr>
              <w:t xml:space="preserve"> label (health warning of </w:t>
            </w:r>
            <w:r>
              <w:rPr>
                <w:spacing w:val="-3"/>
                <w:sz w:val="12"/>
              </w:rPr>
              <w:t xml:space="preserve">sugar-sweetened beverages) </w:t>
            </w:r>
            <w:r>
              <w:rPr>
                <w:sz w:val="12"/>
              </w:rPr>
              <w:t xml:space="preserve">design characteristics, </w:t>
            </w:r>
            <w:r>
              <w:rPr>
                <w:spacing w:val="1"/>
                <w:sz w:val="12"/>
              </w:rPr>
              <w:t xml:space="preserve">including </w:t>
            </w:r>
            <w:r>
              <w:rPr>
                <w:sz w:val="12"/>
              </w:rPr>
              <w:t>potential differences among sociodemographic</w:t>
            </w:r>
            <w:r>
              <w:rPr>
                <w:spacing w:val="-15"/>
                <w:sz w:val="12"/>
              </w:rPr>
              <w:t xml:space="preserve"> </w:t>
            </w:r>
            <w:r>
              <w:rPr>
                <w:sz w:val="12"/>
              </w:rPr>
              <w:t>sub-groups.</w:t>
            </w:r>
          </w:p>
          <w:p w:rsidR="00280DF2" w:rsidP="009C5286" w14:paraId="3AE74411" w14:textId="77777777">
            <w:pPr>
              <w:pStyle w:val="TableParagraph"/>
              <w:numPr>
                <w:ilvl w:val="0"/>
                <w:numId w:val="27"/>
              </w:numPr>
              <w:tabs>
                <w:tab w:val="left" w:pos="147"/>
              </w:tabs>
              <w:spacing w:before="1" w:line="252" w:lineRule="auto"/>
              <w:ind w:right="170" w:firstLine="0"/>
              <w:rPr>
                <w:sz w:val="12"/>
              </w:rPr>
            </w:pPr>
            <w:r>
              <w:rPr>
                <w:sz w:val="12"/>
              </w:rPr>
              <w:t>Experimental design: five primary design characteristics (boarder, background presence, background color, 'caution' symbol, and government</w:t>
            </w:r>
            <w:r>
              <w:rPr>
                <w:spacing w:val="-2"/>
                <w:sz w:val="12"/>
              </w:rPr>
              <w:t xml:space="preserve"> </w:t>
            </w:r>
            <w:r>
              <w:rPr>
                <w:sz w:val="12"/>
              </w:rPr>
              <w:t>attribution).</w:t>
            </w:r>
          </w:p>
          <w:p w:rsidR="00280DF2" w:rsidP="009C5286" w14:paraId="552B0A6E" w14:textId="77777777">
            <w:pPr>
              <w:pStyle w:val="TableParagraph"/>
              <w:numPr>
                <w:ilvl w:val="0"/>
                <w:numId w:val="27"/>
              </w:numPr>
              <w:tabs>
                <w:tab w:val="left" w:pos="147"/>
              </w:tabs>
              <w:spacing w:line="252" w:lineRule="auto"/>
              <w:ind w:right="240" w:firstLine="0"/>
              <w:rPr>
                <w:sz w:val="12"/>
              </w:rPr>
            </w:pPr>
            <w:r>
              <w:rPr>
                <w:sz w:val="12"/>
              </w:rPr>
              <w:t>Outcomes: noticeability, readability, believability, likelihood of changing purchase</w:t>
            </w:r>
            <w:r>
              <w:rPr>
                <w:spacing w:val="-19"/>
                <w:sz w:val="12"/>
              </w:rPr>
              <w:t xml:space="preserve"> </w:t>
            </w:r>
            <w:r>
              <w:rPr>
                <w:sz w:val="12"/>
              </w:rPr>
              <w:t>choice.</w:t>
            </w:r>
          </w:p>
        </w:tc>
        <w:tc>
          <w:tcPr>
            <w:tcW w:w="1199" w:type="dxa"/>
          </w:tcPr>
          <w:p w:rsidR="00280DF2" w:rsidP="009C5286" w14:paraId="6F3BF806" w14:textId="77777777">
            <w:pPr>
              <w:pStyle w:val="TableParagraph"/>
              <w:spacing w:line="140" w:lineRule="exact"/>
              <w:rPr>
                <w:sz w:val="12"/>
              </w:rPr>
            </w:pPr>
            <w:r>
              <w:rPr>
                <w:sz w:val="12"/>
              </w:rPr>
              <w:t>Health warning</w:t>
            </w:r>
          </w:p>
        </w:tc>
        <w:tc>
          <w:tcPr>
            <w:tcW w:w="1199" w:type="dxa"/>
          </w:tcPr>
          <w:p w:rsidR="00280DF2" w:rsidP="009C5286" w14:paraId="6AA6E4C1" w14:textId="77777777">
            <w:pPr>
              <w:pStyle w:val="TableParagraph"/>
              <w:spacing w:before="6"/>
              <w:ind w:left="0"/>
              <w:rPr>
                <w:rFonts w:ascii="Times New Roman"/>
                <w:sz w:val="3"/>
              </w:rPr>
            </w:pPr>
          </w:p>
          <w:p w:rsidR="00280DF2" w:rsidP="009C5286" w14:paraId="1FA2B394" w14:textId="77777777">
            <w:pPr>
              <w:pStyle w:val="TableParagraph"/>
              <w:ind w:left="53" w:right="-18"/>
              <w:rPr>
                <w:rFonts w:ascii="Times New Roman"/>
                <w:sz w:val="20"/>
              </w:rPr>
            </w:pPr>
            <w:r>
              <w:rPr>
                <w:noProof/>
              </w:rPr>
              <w:drawing>
                <wp:inline distT="0" distB="0" distL="0" distR="0">
                  <wp:extent cx="704082" cy="27203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2.png"/>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a:xfrm>
                            <a:off x="0" y="0"/>
                            <a:ext cx="704082" cy="272033"/>
                          </a:xfrm>
                          <a:prstGeom prst="rect">
                            <a:avLst/>
                          </a:prstGeom>
                        </pic:spPr>
                      </pic:pic>
                    </a:graphicData>
                  </a:graphic>
                </wp:inline>
              </w:drawing>
            </w:r>
          </w:p>
          <w:p w:rsidR="00280DF2" w:rsidP="009C5286" w14:paraId="3FD00B15" w14:textId="77777777">
            <w:pPr>
              <w:pStyle w:val="TableParagraph"/>
              <w:spacing w:before="8" w:after="1"/>
              <w:ind w:left="0"/>
              <w:rPr>
                <w:rFonts w:ascii="Times New Roman"/>
                <w:sz w:val="9"/>
              </w:rPr>
            </w:pPr>
          </w:p>
          <w:p w:rsidR="00280DF2" w:rsidP="009C5286" w14:paraId="2B46080F" w14:textId="77777777">
            <w:pPr>
              <w:pStyle w:val="TableParagraph"/>
              <w:ind w:left="61"/>
              <w:rPr>
                <w:rFonts w:ascii="Times New Roman"/>
                <w:sz w:val="20"/>
              </w:rPr>
            </w:pPr>
            <w:r>
              <w:rPr>
                <w:noProof/>
              </w:rPr>
              <w:drawing>
                <wp:inline distT="0" distB="0" distL="0" distR="0">
                  <wp:extent cx="684031" cy="29832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3.png"/>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4031" cy="298323"/>
                          </a:xfrm>
                          <a:prstGeom prst="rect">
                            <a:avLst/>
                          </a:prstGeom>
                        </pic:spPr>
                      </pic:pic>
                    </a:graphicData>
                  </a:graphic>
                </wp:inline>
              </w:drawing>
            </w:r>
          </w:p>
        </w:tc>
        <w:tc>
          <w:tcPr>
            <w:tcW w:w="550" w:type="dxa"/>
          </w:tcPr>
          <w:p w:rsidR="00280DF2" w:rsidP="009C5286" w14:paraId="38B002B6" w14:textId="77777777">
            <w:pPr>
              <w:pStyle w:val="TableParagraph"/>
              <w:spacing w:line="140" w:lineRule="exact"/>
              <w:ind w:left="8" w:right="124"/>
              <w:jc w:val="center"/>
              <w:rPr>
                <w:sz w:val="12"/>
              </w:rPr>
            </w:pPr>
            <w:r>
              <w:rPr>
                <w:sz w:val="12"/>
              </w:rPr>
              <w:t>Canada</w:t>
            </w:r>
          </w:p>
        </w:tc>
        <w:tc>
          <w:tcPr>
            <w:tcW w:w="3487" w:type="dxa"/>
          </w:tcPr>
          <w:p w:rsidR="00280DF2" w:rsidP="009C5286" w14:paraId="5364E319" w14:textId="18634118">
            <w:pPr>
              <w:pStyle w:val="TableParagraph"/>
              <w:numPr>
                <w:ilvl w:val="0"/>
                <w:numId w:val="26"/>
              </w:numPr>
              <w:tabs>
                <w:tab w:val="left" w:pos="147"/>
              </w:tabs>
              <w:spacing w:line="252" w:lineRule="auto"/>
              <w:ind w:right="75" w:firstLine="0"/>
              <w:rPr>
                <w:sz w:val="12"/>
              </w:rPr>
            </w:pPr>
            <w:r>
              <w:rPr>
                <w:sz w:val="12"/>
              </w:rPr>
              <w:t>FOP</w:t>
            </w:r>
            <w:r>
              <w:rPr>
                <w:sz w:val="12"/>
              </w:rPr>
              <w:t xml:space="preserve"> labels with a border, solid background and contrasting colors increased</w:t>
            </w:r>
            <w:r>
              <w:rPr>
                <w:spacing w:val="-3"/>
                <w:sz w:val="12"/>
              </w:rPr>
              <w:t xml:space="preserve"> </w:t>
            </w:r>
            <w:r>
              <w:rPr>
                <w:sz w:val="12"/>
              </w:rPr>
              <w:t>noticeability.</w:t>
            </w:r>
          </w:p>
          <w:p w:rsidR="00280DF2" w:rsidP="009C5286" w14:paraId="60690DE5" w14:textId="77777777">
            <w:pPr>
              <w:pStyle w:val="TableParagraph"/>
              <w:numPr>
                <w:ilvl w:val="0"/>
                <w:numId w:val="26"/>
              </w:numPr>
              <w:tabs>
                <w:tab w:val="left" w:pos="147"/>
              </w:tabs>
              <w:spacing w:line="252" w:lineRule="auto"/>
              <w:ind w:right="180" w:firstLine="0"/>
              <w:rPr>
                <w:sz w:val="12"/>
              </w:rPr>
            </w:pPr>
            <w:r>
              <w:rPr>
                <w:sz w:val="12"/>
              </w:rPr>
              <w:t>Both a 'caution' symbol and a government attribution increased the believability of the labels and the perceived likelihood of influencing beverage</w:t>
            </w:r>
            <w:r>
              <w:rPr>
                <w:spacing w:val="-19"/>
                <w:sz w:val="12"/>
              </w:rPr>
              <w:t xml:space="preserve"> </w:t>
            </w:r>
            <w:r>
              <w:rPr>
                <w:sz w:val="12"/>
              </w:rPr>
              <w:t>choice.</w:t>
            </w:r>
          </w:p>
        </w:tc>
      </w:tr>
    </w:tbl>
    <w:p w:rsidR="00DB534B" w:rsidP="00DB534B" w14:paraId="232275BD" w14:textId="77777777">
      <w:pPr>
        <w:spacing w:line="140" w:lineRule="exact"/>
        <w:jc w:val="center"/>
        <w:rPr>
          <w:sz w:val="12"/>
        </w:rPr>
        <w:sectPr w:rsidSect="009C5286">
          <w:pgSz w:w="15840" w:h="12240" w:orient="landscape"/>
          <w:pgMar w:top="720" w:right="720" w:bottom="720" w:left="720" w:header="376" w:footer="523" w:gutter="0"/>
          <w:cols w:space="720"/>
          <w:docGrid w:linePitch="299"/>
        </w:sectPr>
      </w:pPr>
    </w:p>
    <w:tbl>
      <w:tblPr>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23"/>
        <w:gridCol w:w="2101"/>
        <w:gridCol w:w="330"/>
        <w:gridCol w:w="3553"/>
        <w:gridCol w:w="1199"/>
        <w:gridCol w:w="1199"/>
        <w:gridCol w:w="550"/>
        <w:gridCol w:w="3487"/>
      </w:tblGrid>
      <w:tr w14:paraId="2B896C57" w14:textId="77777777" w:rsidTr="2F9D3AFB">
        <w:tblPrEx>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150"/>
        </w:trPr>
        <w:tc>
          <w:tcPr>
            <w:tcW w:w="1023" w:type="dxa"/>
          </w:tcPr>
          <w:p w:rsidR="00280DF2" w:rsidP="009C5286" w14:paraId="7C0B8B7A" w14:textId="77777777">
            <w:pPr>
              <w:pStyle w:val="TableParagraph"/>
              <w:spacing w:line="130" w:lineRule="exact"/>
              <w:rPr>
                <w:b/>
                <w:sz w:val="12"/>
              </w:rPr>
            </w:pPr>
            <w:r>
              <w:rPr>
                <w:b/>
                <w:sz w:val="12"/>
              </w:rPr>
              <w:t>Author</w:t>
            </w:r>
          </w:p>
        </w:tc>
        <w:tc>
          <w:tcPr>
            <w:tcW w:w="2101" w:type="dxa"/>
          </w:tcPr>
          <w:p w:rsidR="00280DF2" w:rsidP="009C5286" w14:paraId="61F2D3E2" w14:textId="77777777">
            <w:pPr>
              <w:pStyle w:val="TableParagraph"/>
              <w:spacing w:line="130" w:lineRule="exact"/>
              <w:rPr>
                <w:b/>
                <w:sz w:val="12"/>
              </w:rPr>
            </w:pPr>
            <w:r>
              <w:rPr>
                <w:b/>
                <w:sz w:val="12"/>
              </w:rPr>
              <w:t>Title</w:t>
            </w:r>
          </w:p>
        </w:tc>
        <w:tc>
          <w:tcPr>
            <w:tcW w:w="330" w:type="dxa"/>
          </w:tcPr>
          <w:p w:rsidR="00280DF2" w:rsidP="009C5286" w14:paraId="3BB77C03" w14:textId="77777777">
            <w:pPr>
              <w:pStyle w:val="TableParagraph"/>
              <w:spacing w:line="130" w:lineRule="exact"/>
              <w:rPr>
                <w:b/>
                <w:sz w:val="12"/>
              </w:rPr>
            </w:pPr>
            <w:r>
              <w:rPr>
                <w:b/>
                <w:sz w:val="12"/>
              </w:rPr>
              <w:t>Year</w:t>
            </w:r>
          </w:p>
        </w:tc>
        <w:tc>
          <w:tcPr>
            <w:tcW w:w="3553" w:type="dxa"/>
          </w:tcPr>
          <w:p w:rsidR="00280DF2" w:rsidP="009C5286" w14:paraId="091D630C" w14:textId="77777777">
            <w:pPr>
              <w:pStyle w:val="TableParagraph"/>
              <w:spacing w:line="130" w:lineRule="exact"/>
              <w:rPr>
                <w:b/>
                <w:sz w:val="12"/>
              </w:rPr>
            </w:pPr>
            <w:r>
              <w:rPr>
                <w:b/>
                <w:sz w:val="12"/>
              </w:rPr>
              <w:t>Method</w:t>
            </w:r>
          </w:p>
        </w:tc>
        <w:tc>
          <w:tcPr>
            <w:tcW w:w="1199" w:type="dxa"/>
          </w:tcPr>
          <w:p w:rsidR="00280DF2" w:rsidP="009C5286" w14:paraId="476D82AC" w14:textId="4A85CE8E">
            <w:pPr>
              <w:pStyle w:val="TableParagraph"/>
              <w:spacing w:line="130" w:lineRule="exact"/>
              <w:rPr>
                <w:b/>
                <w:sz w:val="12"/>
              </w:rPr>
            </w:pPr>
            <w:r>
              <w:rPr>
                <w:b/>
                <w:sz w:val="12"/>
              </w:rPr>
              <w:t>FOP</w:t>
            </w:r>
          </w:p>
        </w:tc>
        <w:tc>
          <w:tcPr>
            <w:tcW w:w="1199" w:type="dxa"/>
          </w:tcPr>
          <w:p w:rsidR="00280DF2" w:rsidP="009C5286" w14:paraId="4F3AECFB" w14:textId="06A79599">
            <w:pPr>
              <w:pStyle w:val="TableParagraph"/>
              <w:spacing w:line="130" w:lineRule="exact"/>
              <w:rPr>
                <w:b/>
                <w:sz w:val="12"/>
              </w:rPr>
            </w:pPr>
            <w:r>
              <w:rPr>
                <w:b/>
                <w:sz w:val="12"/>
              </w:rPr>
              <w:t>FOP</w:t>
            </w:r>
            <w:r>
              <w:rPr>
                <w:b/>
                <w:sz w:val="12"/>
              </w:rPr>
              <w:t xml:space="preserve"> Image</w:t>
            </w:r>
          </w:p>
        </w:tc>
        <w:tc>
          <w:tcPr>
            <w:tcW w:w="550" w:type="dxa"/>
          </w:tcPr>
          <w:p w:rsidR="00280DF2" w:rsidP="009C5286" w14:paraId="22A233A0" w14:textId="77777777">
            <w:pPr>
              <w:pStyle w:val="TableParagraph"/>
              <w:spacing w:line="130" w:lineRule="exact"/>
              <w:rPr>
                <w:b/>
                <w:sz w:val="12"/>
              </w:rPr>
            </w:pPr>
            <w:r>
              <w:rPr>
                <w:b/>
                <w:sz w:val="12"/>
              </w:rPr>
              <w:t>Country</w:t>
            </w:r>
          </w:p>
        </w:tc>
        <w:tc>
          <w:tcPr>
            <w:tcW w:w="3487" w:type="dxa"/>
          </w:tcPr>
          <w:p w:rsidR="00280DF2" w:rsidP="009C5286" w14:paraId="43A33DD1" w14:textId="77777777">
            <w:pPr>
              <w:pStyle w:val="TableParagraph"/>
              <w:spacing w:line="130" w:lineRule="exact"/>
              <w:rPr>
                <w:b/>
                <w:sz w:val="12"/>
              </w:rPr>
            </w:pPr>
            <w:r>
              <w:rPr>
                <w:b/>
                <w:sz w:val="12"/>
              </w:rPr>
              <w:t>Highlights of Findings</w:t>
            </w:r>
          </w:p>
        </w:tc>
      </w:tr>
      <w:tr w14:paraId="796A37C9" w14:textId="77777777" w:rsidTr="2F9D3AFB">
        <w:tblPrEx>
          <w:tblW w:w="0" w:type="auto"/>
          <w:tblInd w:w="113" w:type="dxa"/>
          <w:tblLayout w:type="fixed"/>
          <w:tblCellMar>
            <w:left w:w="0" w:type="dxa"/>
            <w:right w:w="0" w:type="dxa"/>
          </w:tblCellMar>
          <w:tblLook w:val="01E0"/>
        </w:tblPrEx>
        <w:trPr>
          <w:trHeight w:val="2119"/>
        </w:trPr>
        <w:tc>
          <w:tcPr>
            <w:tcW w:w="1023" w:type="dxa"/>
          </w:tcPr>
          <w:p w:rsidR="00280DF2" w:rsidP="009C5286" w14:paraId="520E1B8C" w14:textId="77777777">
            <w:pPr>
              <w:pStyle w:val="TableParagraph"/>
              <w:spacing w:line="252" w:lineRule="auto"/>
              <w:ind w:right="168"/>
              <w:rPr>
                <w:sz w:val="12"/>
              </w:rPr>
            </w:pPr>
            <w:r>
              <w:rPr>
                <w:sz w:val="12"/>
              </w:rPr>
              <w:t>Carter and Gonzalez-Vallejo</w:t>
            </w:r>
          </w:p>
        </w:tc>
        <w:tc>
          <w:tcPr>
            <w:tcW w:w="2101" w:type="dxa"/>
          </w:tcPr>
          <w:p w:rsidR="00280DF2" w:rsidP="009C5286" w14:paraId="0243B0D1" w14:textId="77777777">
            <w:pPr>
              <w:pStyle w:val="TableParagraph"/>
              <w:spacing w:line="252" w:lineRule="auto"/>
              <w:ind w:right="123"/>
              <w:rPr>
                <w:sz w:val="12"/>
              </w:rPr>
            </w:pPr>
            <w:r>
              <w:rPr>
                <w:sz w:val="12"/>
              </w:rPr>
              <w:t>Nutrient-specific system versus full fact panel: Testing the benefits of nutrient- specific front-of-package labels in a student sample</w:t>
            </w:r>
          </w:p>
        </w:tc>
        <w:tc>
          <w:tcPr>
            <w:tcW w:w="330" w:type="dxa"/>
          </w:tcPr>
          <w:p w:rsidR="00280DF2" w:rsidP="009C5286" w14:paraId="79E2E510" w14:textId="77777777">
            <w:pPr>
              <w:pStyle w:val="TableParagraph"/>
              <w:spacing w:line="140" w:lineRule="exact"/>
              <w:rPr>
                <w:sz w:val="12"/>
              </w:rPr>
            </w:pPr>
            <w:r>
              <w:rPr>
                <w:color w:val="0000FE"/>
                <w:sz w:val="12"/>
              </w:rPr>
              <w:t>2018</w:t>
            </w:r>
          </w:p>
        </w:tc>
        <w:tc>
          <w:tcPr>
            <w:tcW w:w="3553" w:type="dxa"/>
          </w:tcPr>
          <w:p w:rsidR="00280DF2" w:rsidP="009C5286" w14:paraId="107A9E4A" w14:textId="77777777">
            <w:pPr>
              <w:pStyle w:val="TableParagraph"/>
              <w:spacing w:line="140" w:lineRule="exact"/>
              <w:rPr>
                <w:sz w:val="12"/>
              </w:rPr>
            </w:pPr>
            <w:r>
              <w:rPr>
                <w:sz w:val="12"/>
              </w:rPr>
              <w:t>Quantitative.</w:t>
            </w:r>
          </w:p>
          <w:p w:rsidR="00280DF2" w:rsidP="009C5286" w14:paraId="4B1730A8" w14:textId="77777777">
            <w:pPr>
              <w:pStyle w:val="TableParagraph"/>
              <w:spacing w:before="7" w:line="252" w:lineRule="auto"/>
              <w:rPr>
                <w:sz w:val="12"/>
              </w:rPr>
            </w:pPr>
            <w:r>
              <w:rPr>
                <w:sz w:val="12"/>
              </w:rPr>
              <w:t>1. To evaluate and assess nutrition judgement accuracy by comparing nutrition judgements to a nutrition expert criterion (NuVal) in three package conditions:</w:t>
            </w:r>
          </w:p>
          <w:p w:rsidR="00280DF2" w:rsidP="009C5286" w14:paraId="53B28A93" w14:textId="77777777">
            <w:pPr>
              <w:pStyle w:val="TableParagraph"/>
              <w:numPr>
                <w:ilvl w:val="0"/>
                <w:numId w:val="25"/>
              </w:numPr>
              <w:tabs>
                <w:tab w:val="left" w:pos="169"/>
              </w:tabs>
              <w:spacing w:before="1"/>
              <w:ind w:firstLine="88"/>
              <w:rPr>
                <w:sz w:val="12"/>
              </w:rPr>
            </w:pPr>
            <w:r>
              <w:rPr>
                <w:sz w:val="12"/>
              </w:rPr>
              <w:t>no nutritional information</w:t>
            </w:r>
            <w:r>
              <w:rPr>
                <w:spacing w:val="-3"/>
                <w:sz w:val="12"/>
              </w:rPr>
              <w:t xml:space="preserve"> </w:t>
            </w:r>
            <w:r>
              <w:rPr>
                <w:sz w:val="12"/>
              </w:rPr>
              <w:t>highlighted</w:t>
            </w:r>
          </w:p>
          <w:p w:rsidR="00280DF2" w:rsidP="009C5286" w14:paraId="037B18AD" w14:textId="6121EC99">
            <w:pPr>
              <w:pStyle w:val="TableParagraph"/>
              <w:numPr>
                <w:ilvl w:val="0"/>
                <w:numId w:val="25"/>
              </w:numPr>
              <w:tabs>
                <w:tab w:val="left" w:pos="169"/>
              </w:tabs>
              <w:spacing w:before="7" w:line="252" w:lineRule="auto"/>
              <w:ind w:right="161" w:firstLine="88"/>
              <w:rPr>
                <w:sz w:val="12"/>
              </w:rPr>
            </w:pPr>
            <w:r>
              <w:rPr>
                <w:sz w:val="12"/>
              </w:rPr>
              <w:t xml:space="preserve">nutrients highly related to nutritional quality highlighted using a </w:t>
            </w:r>
            <w:r w:rsidR="00F638F1">
              <w:rPr>
                <w:sz w:val="12"/>
              </w:rPr>
              <w:t>FOP</w:t>
            </w:r>
            <w:r>
              <w:rPr>
                <w:spacing w:val="-3"/>
                <w:sz w:val="12"/>
              </w:rPr>
              <w:t xml:space="preserve"> </w:t>
            </w:r>
            <w:r>
              <w:rPr>
                <w:sz w:val="12"/>
              </w:rPr>
              <w:t>label</w:t>
            </w:r>
          </w:p>
          <w:p w:rsidR="00280DF2" w:rsidP="009C5286" w14:paraId="246E4E36" w14:textId="2D2DADBF">
            <w:pPr>
              <w:pStyle w:val="TableParagraph"/>
              <w:numPr>
                <w:ilvl w:val="0"/>
                <w:numId w:val="25"/>
              </w:numPr>
              <w:tabs>
                <w:tab w:val="left" w:pos="169"/>
              </w:tabs>
              <w:spacing w:before="1" w:line="252" w:lineRule="auto"/>
              <w:ind w:right="146" w:firstLine="88"/>
              <w:rPr>
                <w:sz w:val="12"/>
              </w:rPr>
            </w:pPr>
            <w:r>
              <w:rPr>
                <w:sz w:val="12"/>
              </w:rPr>
              <w:t xml:space="preserve">nutrients unrelated to nutritional quality highlighted using a </w:t>
            </w:r>
            <w:r w:rsidR="00F638F1">
              <w:rPr>
                <w:sz w:val="12"/>
              </w:rPr>
              <w:t>FOP</w:t>
            </w:r>
            <w:r>
              <w:rPr>
                <w:sz w:val="12"/>
              </w:rPr>
              <w:t xml:space="preserve"> label</w:t>
            </w:r>
          </w:p>
          <w:p w:rsidR="00280DF2" w:rsidP="009C5286" w14:paraId="36BB2B49" w14:textId="77777777">
            <w:pPr>
              <w:pStyle w:val="TableParagraph"/>
              <w:numPr>
                <w:ilvl w:val="0"/>
                <w:numId w:val="24"/>
              </w:numPr>
              <w:tabs>
                <w:tab w:val="left" w:pos="147"/>
              </w:tabs>
              <w:ind w:firstLine="0"/>
              <w:rPr>
                <w:sz w:val="12"/>
              </w:rPr>
            </w:pPr>
            <w:r>
              <w:rPr>
                <w:sz w:val="12"/>
              </w:rPr>
              <w:t>Experimental</w:t>
            </w:r>
            <w:r>
              <w:rPr>
                <w:spacing w:val="5"/>
                <w:sz w:val="12"/>
              </w:rPr>
              <w:t xml:space="preserve"> </w:t>
            </w:r>
            <w:r>
              <w:rPr>
                <w:sz w:val="12"/>
              </w:rPr>
              <w:t>design:</w:t>
            </w:r>
            <w:r>
              <w:rPr>
                <w:spacing w:val="-1"/>
                <w:sz w:val="12"/>
              </w:rPr>
              <w:t xml:space="preserve"> </w:t>
            </w:r>
            <w:r>
              <w:rPr>
                <w:spacing w:val="1"/>
                <w:sz w:val="12"/>
              </w:rPr>
              <w:t>online</w:t>
            </w:r>
            <w:r>
              <w:rPr>
                <w:spacing w:val="-8"/>
                <w:sz w:val="12"/>
              </w:rPr>
              <w:t xml:space="preserve"> </w:t>
            </w:r>
            <w:r>
              <w:rPr>
                <w:sz w:val="12"/>
              </w:rPr>
              <w:t>via</w:t>
            </w:r>
            <w:r>
              <w:rPr>
                <w:spacing w:val="-6"/>
                <w:sz w:val="12"/>
              </w:rPr>
              <w:t xml:space="preserve"> </w:t>
            </w:r>
            <w:r>
              <w:rPr>
                <w:sz w:val="12"/>
              </w:rPr>
              <w:t>Qualtrics</w:t>
            </w:r>
            <w:r>
              <w:rPr>
                <w:spacing w:val="-6"/>
                <w:sz w:val="12"/>
              </w:rPr>
              <w:t xml:space="preserve"> </w:t>
            </w:r>
            <w:r>
              <w:rPr>
                <w:sz w:val="12"/>
              </w:rPr>
              <w:t>(69%)</w:t>
            </w:r>
            <w:r>
              <w:rPr>
                <w:spacing w:val="-6"/>
                <w:sz w:val="12"/>
              </w:rPr>
              <w:t xml:space="preserve"> </w:t>
            </w:r>
            <w:r>
              <w:rPr>
                <w:sz w:val="12"/>
              </w:rPr>
              <w:t xml:space="preserve">and </w:t>
            </w:r>
            <w:r>
              <w:rPr>
                <w:spacing w:val="1"/>
                <w:sz w:val="12"/>
              </w:rPr>
              <w:t>in</w:t>
            </w:r>
            <w:r>
              <w:rPr>
                <w:sz w:val="12"/>
              </w:rPr>
              <w:t xml:space="preserve"> the</w:t>
            </w:r>
            <w:r>
              <w:rPr>
                <w:spacing w:val="-8"/>
                <w:sz w:val="12"/>
              </w:rPr>
              <w:t xml:space="preserve"> </w:t>
            </w:r>
            <w:r>
              <w:rPr>
                <w:sz w:val="12"/>
              </w:rPr>
              <w:t>lab (31%)</w:t>
            </w:r>
          </w:p>
          <w:p w:rsidR="00280DF2" w:rsidP="009C5286" w14:paraId="457855CD" w14:textId="77777777">
            <w:pPr>
              <w:pStyle w:val="TableParagraph"/>
              <w:numPr>
                <w:ilvl w:val="0"/>
                <w:numId w:val="24"/>
              </w:numPr>
              <w:tabs>
                <w:tab w:val="left" w:pos="147"/>
              </w:tabs>
              <w:spacing w:before="8" w:line="252" w:lineRule="auto"/>
              <w:ind w:right="1222" w:firstLine="0"/>
              <w:rPr>
                <w:sz w:val="12"/>
              </w:rPr>
            </w:pPr>
            <w:r>
              <w:rPr>
                <w:sz w:val="12"/>
              </w:rPr>
              <w:t>Lens model judgment analysis methodology n=297</w:t>
            </w:r>
          </w:p>
        </w:tc>
        <w:tc>
          <w:tcPr>
            <w:tcW w:w="1199" w:type="dxa"/>
          </w:tcPr>
          <w:p w:rsidR="00280DF2" w:rsidP="009C5286" w14:paraId="348081D9" w14:textId="65844ECF">
            <w:pPr>
              <w:pStyle w:val="TableParagraph"/>
              <w:spacing w:line="252" w:lineRule="auto"/>
              <w:ind w:right="56"/>
              <w:rPr>
                <w:sz w:val="12"/>
              </w:rPr>
            </w:pPr>
            <w:r>
              <w:rPr>
                <w:sz w:val="12"/>
              </w:rPr>
              <w:t xml:space="preserve">Nutrition Keys Label (based on the General Mills nutrient-specific </w:t>
            </w:r>
            <w:r w:rsidR="00F638F1">
              <w:rPr>
                <w:sz w:val="12"/>
              </w:rPr>
              <w:t>FOP</w:t>
            </w:r>
            <w:r>
              <w:rPr>
                <w:sz w:val="12"/>
              </w:rPr>
              <w:t xml:space="preserve"> label) - (DV%?)</w:t>
            </w:r>
          </w:p>
        </w:tc>
        <w:tc>
          <w:tcPr>
            <w:tcW w:w="1199" w:type="dxa"/>
          </w:tcPr>
          <w:p w:rsidR="00280DF2" w:rsidP="009C5286" w14:paraId="41023CA5" w14:textId="77777777">
            <w:pPr>
              <w:pStyle w:val="TableParagraph"/>
              <w:spacing w:before="6"/>
              <w:ind w:left="0"/>
              <w:rPr>
                <w:rFonts w:ascii="Times New Roman"/>
                <w:sz w:val="6"/>
              </w:rPr>
            </w:pPr>
          </w:p>
          <w:p w:rsidR="00280DF2" w:rsidP="009C5286" w14:paraId="0DDD657A" w14:textId="77777777">
            <w:pPr>
              <w:pStyle w:val="TableParagraph"/>
              <w:ind w:left="44"/>
              <w:rPr>
                <w:rFonts w:ascii="Times New Roman"/>
                <w:sz w:val="20"/>
              </w:rPr>
            </w:pPr>
            <w:r>
              <w:rPr>
                <w:noProof/>
              </w:rPr>
              <w:drawing>
                <wp:inline distT="0" distB="0" distL="0" distR="0">
                  <wp:extent cx="696790" cy="34204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png"/>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696790" cy="342042"/>
                          </a:xfrm>
                          <a:prstGeom prst="rect">
                            <a:avLst/>
                          </a:prstGeom>
                        </pic:spPr>
                      </pic:pic>
                    </a:graphicData>
                  </a:graphic>
                </wp:inline>
              </w:drawing>
            </w:r>
          </w:p>
        </w:tc>
        <w:tc>
          <w:tcPr>
            <w:tcW w:w="550" w:type="dxa"/>
          </w:tcPr>
          <w:p w:rsidR="00280DF2" w:rsidP="009C5286" w14:paraId="018AC381" w14:textId="77777777">
            <w:pPr>
              <w:pStyle w:val="TableParagraph"/>
              <w:spacing w:line="140" w:lineRule="exact"/>
              <w:rPr>
                <w:sz w:val="12"/>
              </w:rPr>
            </w:pPr>
            <w:r>
              <w:rPr>
                <w:sz w:val="12"/>
              </w:rPr>
              <w:t>US</w:t>
            </w:r>
          </w:p>
        </w:tc>
        <w:tc>
          <w:tcPr>
            <w:tcW w:w="3487" w:type="dxa"/>
          </w:tcPr>
          <w:p w:rsidR="00280DF2" w:rsidP="009C5286" w14:paraId="437AD898" w14:textId="2F770378">
            <w:pPr>
              <w:pStyle w:val="TableParagraph"/>
              <w:spacing w:line="252" w:lineRule="auto"/>
              <w:rPr>
                <w:sz w:val="12"/>
              </w:rPr>
            </w:pPr>
            <w:r>
              <w:rPr>
                <w:sz w:val="12"/>
              </w:rPr>
              <w:t xml:space="preserve">Labels that included </w:t>
            </w:r>
            <w:r w:rsidR="00F638F1">
              <w:rPr>
                <w:sz w:val="12"/>
              </w:rPr>
              <w:t>FOP</w:t>
            </w:r>
            <w:r>
              <w:rPr>
                <w:sz w:val="12"/>
              </w:rPr>
              <w:t xml:space="preserve"> information that was relevant to the overall nutritional quality of the product did not result in greater nutritional accuracy compared to an </w:t>
            </w:r>
            <w:r w:rsidR="00F638F1">
              <w:rPr>
                <w:sz w:val="12"/>
              </w:rPr>
              <w:t>FOP</w:t>
            </w:r>
            <w:r>
              <w:rPr>
                <w:sz w:val="12"/>
              </w:rPr>
              <w:t xml:space="preserve"> with irrelevant information, or no </w:t>
            </w:r>
            <w:r w:rsidR="00F638F1">
              <w:rPr>
                <w:sz w:val="12"/>
              </w:rPr>
              <w:t>FOP</w:t>
            </w:r>
            <w:r>
              <w:rPr>
                <w:sz w:val="12"/>
              </w:rPr>
              <w:t xml:space="preserve"> label at all.</w:t>
            </w:r>
          </w:p>
          <w:p w:rsidR="00280DF2" w:rsidP="009C5286" w14:paraId="5AD429EB" w14:textId="77777777">
            <w:pPr>
              <w:pStyle w:val="TableParagraph"/>
              <w:spacing w:before="10"/>
              <w:ind w:left="0"/>
              <w:rPr>
                <w:rFonts w:ascii="Times New Roman"/>
                <w:sz w:val="12"/>
              </w:rPr>
            </w:pPr>
          </w:p>
          <w:p w:rsidR="00280DF2" w:rsidP="009C5286" w14:paraId="1858F47D" w14:textId="77777777">
            <w:pPr>
              <w:pStyle w:val="TableParagraph"/>
              <w:spacing w:line="252" w:lineRule="auto"/>
              <w:ind w:right="101"/>
              <w:rPr>
                <w:sz w:val="12"/>
              </w:rPr>
            </w:pPr>
            <w:r>
              <w:rPr>
                <w:sz w:val="12"/>
              </w:rPr>
              <w:t>Author's discussion: "the practical utility of nutrient-specific labels for improving nutritional judgment is likely negligible".</w:t>
            </w:r>
          </w:p>
        </w:tc>
      </w:tr>
      <w:tr w14:paraId="25DDF9D5" w14:textId="77777777" w:rsidTr="2F9D3AFB">
        <w:tblPrEx>
          <w:tblW w:w="0" w:type="auto"/>
          <w:tblInd w:w="113" w:type="dxa"/>
          <w:tblLayout w:type="fixed"/>
          <w:tblCellMar>
            <w:left w:w="0" w:type="dxa"/>
            <w:right w:w="0" w:type="dxa"/>
          </w:tblCellMar>
          <w:tblLook w:val="01E0"/>
        </w:tblPrEx>
        <w:trPr>
          <w:trHeight w:val="1128"/>
        </w:trPr>
        <w:tc>
          <w:tcPr>
            <w:tcW w:w="1023" w:type="dxa"/>
          </w:tcPr>
          <w:p w:rsidR="00280DF2" w:rsidP="009C5286" w14:paraId="7AEB05FD" w14:textId="77777777">
            <w:pPr>
              <w:pStyle w:val="TableParagraph"/>
              <w:spacing w:line="140" w:lineRule="exact"/>
              <w:rPr>
                <w:sz w:val="12"/>
              </w:rPr>
            </w:pPr>
            <w:r>
              <w:rPr>
                <w:sz w:val="12"/>
              </w:rPr>
              <w:t>Finkelstein, et al.</w:t>
            </w:r>
          </w:p>
        </w:tc>
        <w:tc>
          <w:tcPr>
            <w:tcW w:w="2101" w:type="dxa"/>
          </w:tcPr>
          <w:p w:rsidR="00280DF2" w:rsidP="009C5286" w14:paraId="2551B160" w14:textId="77777777">
            <w:pPr>
              <w:pStyle w:val="TableParagraph"/>
              <w:spacing w:line="252" w:lineRule="auto"/>
              <w:ind w:right="61"/>
              <w:rPr>
                <w:sz w:val="12"/>
              </w:rPr>
            </w:pPr>
            <w:r>
              <w:rPr>
                <w:sz w:val="12"/>
              </w:rPr>
              <w:t>Identifying the effect of shelf nutrition labels on consumer purchases: results of a natural experiment and consumer survey</w:t>
            </w:r>
          </w:p>
        </w:tc>
        <w:tc>
          <w:tcPr>
            <w:tcW w:w="330" w:type="dxa"/>
          </w:tcPr>
          <w:p w:rsidR="00280DF2" w:rsidP="009C5286" w14:paraId="4A0E6A18" w14:textId="77777777">
            <w:pPr>
              <w:pStyle w:val="TableParagraph"/>
              <w:spacing w:line="140" w:lineRule="exact"/>
              <w:rPr>
                <w:sz w:val="12"/>
              </w:rPr>
            </w:pPr>
            <w:r>
              <w:rPr>
                <w:color w:val="0000FE"/>
                <w:sz w:val="12"/>
              </w:rPr>
              <w:t>2018</w:t>
            </w:r>
          </w:p>
        </w:tc>
        <w:tc>
          <w:tcPr>
            <w:tcW w:w="3553" w:type="dxa"/>
          </w:tcPr>
          <w:p w:rsidR="00280DF2" w:rsidP="009C5286" w14:paraId="2608F9BB" w14:textId="77777777">
            <w:pPr>
              <w:pStyle w:val="TableParagraph"/>
              <w:spacing w:line="140" w:lineRule="exact"/>
              <w:rPr>
                <w:sz w:val="12"/>
              </w:rPr>
            </w:pPr>
            <w:r>
              <w:rPr>
                <w:sz w:val="12"/>
              </w:rPr>
              <w:t>Quantitative.</w:t>
            </w:r>
          </w:p>
          <w:p w:rsidR="00280DF2" w:rsidP="009C5286" w14:paraId="41613AB3" w14:textId="77777777">
            <w:pPr>
              <w:pStyle w:val="TableParagraph"/>
              <w:spacing w:before="7" w:line="252" w:lineRule="auto"/>
              <w:ind w:right="551"/>
              <w:rPr>
                <w:sz w:val="12"/>
              </w:rPr>
            </w:pPr>
            <w:r>
              <w:rPr>
                <w:sz w:val="12"/>
              </w:rPr>
              <w:t>Sales data evaluation and online convenience sample survey n=665</w:t>
            </w:r>
          </w:p>
        </w:tc>
        <w:tc>
          <w:tcPr>
            <w:tcW w:w="1199" w:type="dxa"/>
          </w:tcPr>
          <w:p w:rsidR="00280DF2" w:rsidP="009C5286" w14:paraId="4A15AE9B" w14:textId="77777777">
            <w:pPr>
              <w:pStyle w:val="TableParagraph"/>
              <w:spacing w:line="140" w:lineRule="exact"/>
              <w:rPr>
                <w:sz w:val="12"/>
              </w:rPr>
            </w:pPr>
            <w:r>
              <w:rPr>
                <w:sz w:val="12"/>
              </w:rPr>
              <w:t>NuVal</w:t>
            </w:r>
          </w:p>
        </w:tc>
        <w:tc>
          <w:tcPr>
            <w:tcW w:w="1199" w:type="dxa"/>
          </w:tcPr>
          <w:p w:rsidR="00280DF2" w:rsidP="009C5286" w14:paraId="3CD85862" w14:textId="77777777">
            <w:pPr>
              <w:pStyle w:val="TableParagraph"/>
              <w:spacing w:before="40"/>
              <w:ind w:left="59"/>
              <w:rPr>
                <w:sz w:val="12"/>
              </w:rPr>
            </w:pPr>
            <w:r>
              <w:rPr>
                <w:sz w:val="12"/>
              </w:rPr>
              <w:t>N/A</w:t>
            </w:r>
          </w:p>
        </w:tc>
        <w:tc>
          <w:tcPr>
            <w:tcW w:w="550" w:type="dxa"/>
          </w:tcPr>
          <w:p w:rsidR="00280DF2" w:rsidP="009C5286" w14:paraId="52C38CE7" w14:textId="77777777">
            <w:pPr>
              <w:pStyle w:val="TableParagraph"/>
              <w:ind w:left="0"/>
              <w:rPr>
                <w:rFonts w:ascii="Times New Roman"/>
                <w:sz w:val="12"/>
              </w:rPr>
            </w:pPr>
          </w:p>
        </w:tc>
        <w:tc>
          <w:tcPr>
            <w:tcW w:w="3487" w:type="dxa"/>
          </w:tcPr>
          <w:p w:rsidR="00280DF2" w:rsidP="009C5286" w14:paraId="330169F0" w14:textId="77777777">
            <w:pPr>
              <w:pStyle w:val="TableParagraph"/>
              <w:spacing w:line="252" w:lineRule="auto"/>
              <w:ind w:right="25"/>
              <w:rPr>
                <w:sz w:val="12"/>
              </w:rPr>
            </w:pPr>
            <w:r>
              <w:rPr>
                <w:sz w:val="12"/>
              </w:rPr>
              <w:t xml:space="preserve">Researchers evaluated the change </w:t>
            </w:r>
            <w:r>
              <w:rPr>
                <w:spacing w:val="1"/>
                <w:sz w:val="12"/>
              </w:rPr>
              <w:t xml:space="preserve">in </w:t>
            </w:r>
            <w:r>
              <w:rPr>
                <w:sz w:val="12"/>
              </w:rPr>
              <w:t xml:space="preserve">sales when NuVal changed </w:t>
            </w:r>
            <w:r>
              <w:rPr>
                <w:spacing w:val="1"/>
                <w:sz w:val="12"/>
              </w:rPr>
              <w:t xml:space="preserve">its </w:t>
            </w:r>
            <w:r>
              <w:rPr>
                <w:sz w:val="12"/>
              </w:rPr>
              <w:t xml:space="preserve">algorithm for scoring the nutritional quality of foods. When scores </w:t>
            </w:r>
            <w:r>
              <w:rPr>
                <w:spacing w:val="-3"/>
                <w:sz w:val="12"/>
              </w:rPr>
              <w:t xml:space="preserve">decreased, </w:t>
            </w:r>
            <w:r>
              <w:rPr>
                <w:sz w:val="12"/>
              </w:rPr>
              <w:t xml:space="preserve">sales also </w:t>
            </w:r>
            <w:r>
              <w:rPr>
                <w:spacing w:val="-3"/>
                <w:sz w:val="12"/>
              </w:rPr>
              <w:t xml:space="preserve">decreased, </w:t>
            </w:r>
            <w:r>
              <w:rPr>
                <w:sz w:val="12"/>
              </w:rPr>
              <w:t>but they couldn’t control for anything except price -which had not changed.  44% noticed the NuVal</w:t>
            </w:r>
            <w:r>
              <w:rPr>
                <w:spacing w:val="1"/>
                <w:sz w:val="12"/>
              </w:rPr>
              <w:t xml:space="preserve"> </w:t>
            </w:r>
            <w:r>
              <w:rPr>
                <w:sz w:val="12"/>
              </w:rPr>
              <w:t>label</w:t>
            </w:r>
            <w:r>
              <w:rPr>
                <w:spacing w:val="1"/>
                <w:sz w:val="12"/>
              </w:rPr>
              <w:t xml:space="preserve"> </w:t>
            </w:r>
            <w:r>
              <w:rPr>
                <w:sz w:val="12"/>
              </w:rPr>
              <w:t>&amp;</w:t>
            </w:r>
            <w:r>
              <w:rPr>
                <w:spacing w:val="1"/>
                <w:sz w:val="12"/>
              </w:rPr>
              <w:t xml:space="preserve"> </w:t>
            </w:r>
            <w:r>
              <w:rPr>
                <w:sz w:val="12"/>
              </w:rPr>
              <w:t>32%</w:t>
            </w:r>
            <w:r>
              <w:rPr>
                <w:spacing w:val="-2"/>
                <w:sz w:val="12"/>
              </w:rPr>
              <w:t xml:space="preserve"> </w:t>
            </w:r>
            <w:r>
              <w:rPr>
                <w:sz w:val="12"/>
              </w:rPr>
              <w:t>knew</w:t>
            </w:r>
            <w:r>
              <w:rPr>
                <w:spacing w:val="-2"/>
                <w:sz w:val="12"/>
              </w:rPr>
              <w:t xml:space="preserve"> </w:t>
            </w:r>
            <w:r>
              <w:rPr>
                <w:sz w:val="12"/>
              </w:rPr>
              <w:t>what the</w:t>
            </w:r>
            <w:r>
              <w:rPr>
                <w:spacing w:val="-10"/>
                <w:sz w:val="12"/>
              </w:rPr>
              <w:t xml:space="preserve"> </w:t>
            </w:r>
            <w:r>
              <w:rPr>
                <w:sz w:val="12"/>
              </w:rPr>
              <w:t>scores</w:t>
            </w:r>
            <w:r>
              <w:rPr>
                <w:spacing w:val="-8"/>
                <w:sz w:val="12"/>
              </w:rPr>
              <w:t xml:space="preserve"> </w:t>
            </w:r>
            <w:r>
              <w:rPr>
                <w:sz w:val="12"/>
              </w:rPr>
              <w:t>were</w:t>
            </w:r>
            <w:r>
              <w:rPr>
                <w:spacing w:val="-10"/>
                <w:sz w:val="12"/>
              </w:rPr>
              <w:t xml:space="preserve"> </w:t>
            </w:r>
            <w:r>
              <w:rPr>
                <w:sz w:val="12"/>
              </w:rPr>
              <w:t>about and</w:t>
            </w:r>
            <w:r>
              <w:rPr>
                <w:spacing w:val="-1"/>
                <w:sz w:val="12"/>
              </w:rPr>
              <w:t xml:space="preserve"> </w:t>
            </w:r>
            <w:r>
              <w:rPr>
                <w:sz w:val="12"/>
              </w:rPr>
              <w:t>the</w:t>
            </w:r>
            <w:r>
              <w:rPr>
                <w:spacing w:val="-10"/>
                <w:sz w:val="12"/>
              </w:rPr>
              <w:t xml:space="preserve"> </w:t>
            </w:r>
            <w:r>
              <w:rPr>
                <w:sz w:val="12"/>
              </w:rPr>
              <w:t>meaning of the scores. A very small fraction reported using the scores to influence</w:t>
            </w:r>
            <w:r>
              <w:rPr>
                <w:spacing w:val="-11"/>
                <w:sz w:val="12"/>
              </w:rPr>
              <w:t xml:space="preserve"> </w:t>
            </w:r>
            <w:r>
              <w:rPr>
                <w:sz w:val="12"/>
              </w:rPr>
              <w:t>purchases.</w:t>
            </w:r>
          </w:p>
        </w:tc>
      </w:tr>
      <w:tr w14:paraId="6FCDC816" w14:textId="77777777" w:rsidTr="2F9D3AFB">
        <w:tblPrEx>
          <w:tblW w:w="0" w:type="auto"/>
          <w:tblInd w:w="113" w:type="dxa"/>
          <w:tblLayout w:type="fixed"/>
          <w:tblCellMar>
            <w:left w:w="0" w:type="dxa"/>
            <w:right w:w="0" w:type="dxa"/>
          </w:tblCellMar>
          <w:tblLook w:val="01E0"/>
        </w:tblPrEx>
        <w:trPr>
          <w:trHeight w:val="1228"/>
        </w:trPr>
        <w:tc>
          <w:tcPr>
            <w:tcW w:w="1023" w:type="dxa"/>
          </w:tcPr>
          <w:p w:rsidR="00280DF2" w:rsidP="009C5286" w14:paraId="4FC62A68" w14:textId="77777777">
            <w:pPr>
              <w:pStyle w:val="TableParagraph"/>
              <w:spacing w:line="252" w:lineRule="auto"/>
              <w:rPr>
                <w:sz w:val="12"/>
              </w:rPr>
            </w:pPr>
            <w:r>
              <w:rPr>
                <w:sz w:val="12"/>
              </w:rPr>
              <w:t>Gorski-</w:t>
            </w:r>
            <w:r>
              <w:rPr>
                <w:sz w:val="12"/>
              </w:rPr>
              <w:t>Findling</w:t>
            </w:r>
            <w:r>
              <w:rPr>
                <w:sz w:val="12"/>
              </w:rPr>
              <w:t>, et al.</w:t>
            </w:r>
          </w:p>
        </w:tc>
        <w:tc>
          <w:tcPr>
            <w:tcW w:w="2101" w:type="dxa"/>
          </w:tcPr>
          <w:p w:rsidR="00280DF2" w:rsidP="009C5286" w14:paraId="0055C34F" w14:textId="77777777">
            <w:pPr>
              <w:pStyle w:val="TableParagraph"/>
              <w:spacing w:line="252" w:lineRule="auto"/>
              <w:rPr>
                <w:sz w:val="12"/>
              </w:rPr>
            </w:pPr>
            <w:r>
              <w:rPr>
                <w:sz w:val="12"/>
              </w:rPr>
              <w:t>Comparing five front-of-pack nutrition labels' influence on consumers' perceptions and purchase intentions</w:t>
            </w:r>
          </w:p>
        </w:tc>
        <w:tc>
          <w:tcPr>
            <w:tcW w:w="330" w:type="dxa"/>
          </w:tcPr>
          <w:p w:rsidR="00280DF2" w:rsidP="009C5286" w14:paraId="753253E9" w14:textId="77777777">
            <w:pPr>
              <w:pStyle w:val="TableParagraph"/>
              <w:spacing w:line="140" w:lineRule="exact"/>
              <w:rPr>
                <w:sz w:val="12"/>
              </w:rPr>
            </w:pPr>
            <w:r>
              <w:rPr>
                <w:color w:val="0000FE"/>
                <w:sz w:val="12"/>
              </w:rPr>
              <w:t>2018</w:t>
            </w:r>
          </w:p>
        </w:tc>
        <w:tc>
          <w:tcPr>
            <w:tcW w:w="3553" w:type="dxa"/>
          </w:tcPr>
          <w:p w:rsidR="00280DF2" w:rsidP="009C5286" w14:paraId="26CA03EA" w14:textId="77777777">
            <w:pPr>
              <w:pStyle w:val="TableParagraph"/>
              <w:spacing w:line="252" w:lineRule="auto"/>
              <w:ind w:right="2275"/>
              <w:rPr>
                <w:sz w:val="12"/>
              </w:rPr>
            </w:pPr>
            <w:r>
              <w:rPr>
                <w:sz w:val="12"/>
              </w:rPr>
              <w:t>Quantitative. Experimental Study n=1247</w:t>
            </w:r>
          </w:p>
        </w:tc>
        <w:tc>
          <w:tcPr>
            <w:tcW w:w="1199" w:type="dxa"/>
          </w:tcPr>
          <w:p w:rsidR="00280DF2" w:rsidP="009C5286" w14:paraId="2F04EA05" w14:textId="77777777">
            <w:pPr>
              <w:pStyle w:val="TableParagraph"/>
              <w:numPr>
                <w:ilvl w:val="0"/>
                <w:numId w:val="23"/>
              </w:numPr>
              <w:tabs>
                <w:tab w:val="left" w:pos="147"/>
              </w:tabs>
              <w:spacing w:line="140" w:lineRule="exact"/>
              <w:ind w:hanging="121"/>
              <w:rPr>
                <w:sz w:val="12"/>
              </w:rPr>
            </w:pPr>
            <w:r>
              <w:rPr>
                <w:sz w:val="12"/>
              </w:rPr>
              <w:t>Single Traffic</w:t>
            </w:r>
            <w:r>
              <w:rPr>
                <w:spacing w:val="-10"/>
                <w:sz w:val="12"/>
              </w:rPr>
              <w:t xml:space="preserve"> </w:t>
            </w:r>
            <w:r>
              <w:rPr>
                <w:sz w:val="12"/>
              </w:rPr>
              <w:t>light</w:t>
            </w:r>
          </w:p>
          <w:p w:rsidR="00280DF2" w:rsidP="009C5286" w14:paraId="6A929CA1" w14:textId="77777777">
            <w:pPr>
              <w:pStyle w:val="TableParagraph"/>
              <w:numPr>
                <w:ilvl w:val="0"/>
                <w:numId w:val="23"/>
              </w:numPr>
              <w:tabs>
                <w:tab w:val="left" w:pos="147"/>
              </w:tabs>
              <w:spacing w:before="7"/>
              <w:ind w:hanging="121"/>
              <w:rPr>
                <w:sz w:val="12"/>
              </w:rPr>
            </w:pPr>
            <w:r>
              <w:rPr>
                <w:sz w:val="12"/>
              </w:rPr>
              <w:t>Multiple traffic</w:t>
            </w:r>
            <w:r>
              <w:rPr>
                <w:spacing w:val="1"/>
                <w:sz w:val="12"/>
              </w:rPr>
              <w:t xml:space="preserve"> </w:t>
            </w:r>
            <w:r>
              <w:rPr>
                <w:sz w:val="12"/>
              </w:rPr>
              <w:t>light</w:t>
            </w:r>
          </w:p>
          <w:p w:rsidR="00280DF2" w:rsidP="009C5286" w14:paraId="158FAC06" w14:textId="77777777">
            <w:pPr>
              <w:pStyle w:val="TableParagraph"/>
              <w:numPr>
                <w:ilvl w:val="0"/>
                <w:numId w:val="23"/>
              </w:numPr>
              <w:tabs>
                <w:tab w:val="left" w:pos="147"/>
              </w:tabs>
              <w:spacing w:before="8"/>
              <w:ind w:hanging="121"/>
              <w:rPr>
                <w:sz w:val="12"/>
              </w:rPr>
            </w:pPr>
            <w:r>
              <w:rPr>
                <w:sz w:val="12"/>
              </w:rPr>
              <w:t>Facts up</w:t>
            </w:r>
            <w:r>
              <w:rPr>
                <w:spacing w:val="-11"/>
                <w:sz w:val="12"/>
              </w:rPr>
              <w:t xml:space="preserve"> </w:t>
            </w:r>
            <w:r>
              <w:rPr>
                <w:sz w:val="12"/>
              </w:rPr>
              <w:t>front</w:t>
            </w:r>
          </w:p>
          <w:p w:rsidR="00280DF2" w:rsidP="009C5286" w14:paraId="43C72C5C" w14:textId="77777777">
            <w:pPr>
              <w:pStyle w:val="TableParagraph"/>
              <w:numPr>
                <w:ilvl w:val="0"/>
                <w:numId w:val="23"/>
              </w:numPr>
              <w:tabs>
                <w:tab w:val="left" w:pos="147"/>
              </w:tabs>
              <w:spacing w:before="7"/>
              <w:ind w:hanging="121"/>
              <w:rPr>
                <w:sz w:val="12"/>
              </w:rPr>
            </w:pPr>
            <w:r>
              <w:rPr>
                <w:sz w:val="12"/>
              </w:rPr>
              <w:t>NuVal</w:t>
            </w:r>
          </w:p>
          <w:p w:rsidR="00280DF2" w:rsidP="009C5286" w14:paraId="4AFD9884" w14:textId="77777777">
            <w:pPr>
              <w:pStyle w:val="TableParagraph"/>
              <w:numPr>
                <w:ilvl w:val="0"/>
                <w:numId w:val="23"/>
              </w:numPr>
              <w:tabs>
                <w:tab w:val="left" w:pos="147"/>
              </w:tabs>
              <w:spacing w:before="8"/>
              <w:ind w:hanging="121"/>
              <w:rPr>
                <w:sz w:val="12"/>
              </w:rPr>
            </w:pPr>
            <w:r>
              <w:rPr>
                <w:sz w:val="12"/>
              </w:rPr>
              <w:t>0-3 star</w:t>
            </w:r>
            <w:r>
              <w:rPr>
                <w:spacing w:val="-4"/>
                <w:sz w:val="12"/>
              </w:rPr>
              <w:t xml:space="preserve"> </w:t>
            </w:r>
            <w:r>
              <w:rPr>
                <w:sz w:val="12"/>
              </w:rPr>
              <w:t>ranking</w:t>
            </w:r>
          </w:p>
        </w:tc>
        <w:tc>
          <w:tcPr>
            <w:tcW w:w="1199" w:type="dxa"/>
          </w:tcPr>
          <w:p w:rsidR="00280DF2" w:rsidP="009C5286" w14:paraId="7DD0EAA6" w14:textId="77777777">
            <w:pPr>
              <w:pStyle w:val="TableParagraph"/>
              <w:spacing w:before="1"/>
              <w:ind w:left="0"/>
              <w:rPr>
                <w:rFonts w:ascii="Times New Roman"/>
                <w:sz w:val="3"/>
              </w:rPr>
            </w:pPr>
          </w:p>
          <w:p w:rsidR="00280DF2" w:rsidP="009C5286" w14:paraId="52C6D552" w14:textId="77777777">
            <w:pPr>
              <w:pStyle w:val="TableParagraph"/>
              <w:ind w:left="24" w:right="-27"/>
              <w:rPr>
                <w:rFonts w:ascii="Times New Roman"/>
                <w:sz w:val="20"/>
              </w:rPr>
            </w:pPr>
            <w:r>
              <w:rPr>
                <w:noProof/>
              </w:rPr>
              <w:drawing>
                <wp:inline distT="0" distB="0" distL="0" distR="0">
                  <wp:extent cx="727472" cy="39814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5.png"/>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a:xfrm>
                            <a:off x="0" y="0"/>
                            <a:ext cx="727472" cy="398145"/>
                          </a:xfrm>
                          <a:prstGeom prst="rect">
                            <a:avLst/>
                          </a:prstGeom>
                        </pic:spPr>
                      </pic:pic>
                    </a:graphicData>
                  </a:graphic>
                </wp:inline>
              </w:drawing>
            </w:r>
          </w:p>
        </w:tc>
        <w:tc>
          <w:tcPr>
            <w:tcW w:w="550" w:type="dxa"/>
          </w:tcPr>
          <w:p w:rsidR="00280DF2" w:rsidP="009C5286" w14:paraId="30F27DBC" w14:textId="77777777">
            <w:pPr>
              <w:pStyle w:val="TableParagraph"/>
              <w:spacing w:line="140" w:lineRule="exact"/>
              <w:rPr>
                <w:sz w:val="12"/>
              </w:rPr>
            </w:pPr>
            <w:r>
              <w:rPr>
                <w:sz w:val="12"/>
              </w:rPr>
              <w:t>USA</w:t>
            </w:r>
          </w:p>
        </w:tc>
        <w:tc>
          <w:tcPr>
            <w:tcW w:w="3487" w:type="dxa"/>
          </w:tcPr>
          <w:p w:rsidR="00280DF2" w:rsidP="009C5286" w14:paraId="61CE720E" w14:textId="77777777">
            <w:pPr>
              <w:pStyle w:val="TableParagraph"/>
              <w:spacing w:line="252" w:lineRule="auto"/>
              <w:ind w:right="16"/>
              <w:rPr>
                <w:sz w:val="12"/>
              </w:rPr>
            </w:pPr>
            <w:r>
              <w:rPr>
                <w:sz w:val="12"/>
              </w:rPr>
              <w:t xml:space="preserve">DV= purchase intent, accuracy of interpretation. All labels improved nutrition accuracy better than no label. NuVal and </w:t>
            </w:r>
            <w:r>
              <w:rPr>
                <w:spacing w:val="-3"/>
                <w:sz w:val="12"/>
              </w:rPr>
              <w:t xml:space="preserve">MTL </w:t>
            </w:r>
            <w:r>
              <w:rPr>
                <w:sz w:val="12"/>
              </w:rPr>
              <w:t xml:space="preserve">led to most accurate estimates of </w:t>
            </w:r>
            <w:r>
              <w:rPr>
                <w:spacing w:val="-3"/>
                <w:sz w:val="12"/>
              </w:rPr>
              <w:t xml:space="preserve">sat </w:t>
            </w:r>
            <w:r>
              <w:rPr>
                <w:sz w:val="12"/>
              </w:rPr>
              <w:t xml:space="preserve">fat, sugar, and sodium. Single TL worked </w:t>
            </w:r>
            <w:r>
              <w:rPr>
                <w:spacing w:val="-3"/>
                <w:sz w:val="12"/>
              </w:rPr>
              <w:t xml:space="preserve">best </w:t>
            </w:r>
            <w:r>
              <w:rPr>
                <w:sz w:val="12"/>
              </w:rPr>
              <w:t>when comparing similar products.  None of the labels shifted purchase</w:t>
            </w:r>
            <w:r>
              <w:rPr>
                <w:spacing w:val="-11"/>
                <w:sz w:val="12"/>
              </w:rPr>
              <w:t xml:space="preserve"> </w:t>
            </w:r>
            <w:r>
              <w:rPr>
                <w:sz w:val="12"/>
              </w:rPr>
              <w:t>intentions.</w:t>
            </w:r>
          </w:p>
        </w:tc>
      </w:tr>
      <w:tr w14:paraId="6E56A3C3" w14:textId="77777777" w:rsidTr="2F9D3AFB">
        <w:tblPrEx>
          <w:tblW w:w="0" w:type="auto"/>
          <w:tblInd w:w="113" w:type="dxa"/>
          <w:tblLayout w:type="fixed"/>
          <w:tblCellMar>
            <w:left w:w="0" w:type="dxa"/>
            <w:right w:w="0" w:type="dxa"/>
          </w:tblCellMar>
          <w:tblLook w:val="01E0"/>
        </w:tblPrEx>
        <w:trPr>
          <w:trHeight w:val="1293"/>
        </w:trPr>
        <w:tc>
          <w:tcPr>
            <w:tcW w:w="1023" w:type="dxa"/>
          </w:tcPr>
          <w:p w:rsidR="00280DF2" w:rsidP="009C5286" w14:paraId="4481F731" w14:textId="77777777">
            <w:pPr>
              <w:pStyle w:val="TableParagraph"/>
              <w:spacing w:line="140" w:lineRule="exact"/>
              <w:rPr>
                <w:sz w:val="12"/>
              </w:rPr>
            </w:pPr>
            <w:r>
              <w:rPr>
                <w:sz w:val="12"/>
              </w:rPr>
              <w:t>Lima, et al.</w:t>
            </w:r>
          </w:p>
        </w:tc>
        <w:tc>
          <w:tcPr>
            <w:tcW w:w="2101" w:type="dxa"/>
          </w:tcPr>
          <w:p w:rsidR="00280DF2" w:rsidP="009C5286" w14:paraId="48F4EEBD" w14:textId="77777777">
            <w:pPr>
              <w:pStyle w:val="TableParagraph"/>
              <w:spacing w:line="252" w:lineRule="auto"/>
              <w:ind w:right="91"/>
              <w:rPr>
                <w:sz w:val="12"/>
              </w:rPr>
            </w:pPr>
            <w:r>
              <w:rPr>
                <w:sz w:val="12"/>
              </w:rPr>
              <w:t>How do front of pack nutrition labels affect healthfulness perception of foods targeted at children? Insights from Brazilian children and parents</w:t>
            </w:r>
          </w:p>
        </w:tc>
        <w:tc>
          <w:tcPr>
            <w:tcW w:w="330" w:type="dxa"/>
          </w:tcPr>
          <w:p w:rsidR="00280DF2" w:rsidP="009C5286" w14:paraId="77779DA0" w14:textId="77777777">
            <w:pPr>
              <w:pStyle w:val="TableParagraph"/>
              <w:spacing w:line="140" w:lineRule="exact"/>
              <w:rPr>
                <w:sz w:val="12"/>
              </w:rPr>
            </w:pPr>
            <w:r>
              <w:rPr>
                <w:color w:val="0000FE"/>
                <w:sz w:val="12"/>
              </w:rPr>
              <w:t>2018</w:t>
            </w:r>
          </w:p>
        </w:tc>
        <w:tc>
          <w:tcPr>
            <w:tcW w:w="3553" w:type="dxa"/>
          </w:tcPr>
          <w:p w:rsidR="00280DF2" w:rsidP="009C5286" w14:paraId="42E70294" w14:textId="77777777">
            <w:pPr>
              <w:pStyle w:val="TableParagraph"/>
              <w:spacing w:line="140" w:lineRule="exact"/>
              <w:rPr>
                <w:sz w:val="12"/>
              </w:rPr>
            </w:pPr>
            <w:r>
              <w:rPr>
                <w:sz w:val="12"/>
              </w:rPr>
              <w:t>Quantitative.</w:t>
            </w:r>
          </w:p>
          <w:p w:rsidR="00280DF2" w:rsidP="009C5286" w14:paraId="335AC08F" w14:textId="67D38D47">
            <w:pPr>
              <w:pStyle w:val="TableParagraph"/>
              <w:spacing w:before="7" w:line="252" w:lineRule="auto"/>
              <w:rPr>
                <w:sz w:val="12"/>
              </w:rPr>
            </w:pPr>
            <w:r>
              <w:rPr>
                <w:sz w:val="12"/>
              </w:rPr>
              <w:t xml:space="preserve">Web based controlled experimental study comparing three different </w:t>
            </w:r>
            <w:r w:rsidR="00F638F1">
              <w:rPr>
                <w:sz w:val="12"/>
              </w:rPr>
              <w:t>FOP</w:t>
            </w:r>
            <w:r>
              <w:rPr>
                <w:sz w:val="12"/>
              </w:rPr>
              <w:t xml:space="preserve"> nutrition labeling schemes.</w:t>
            </w:r>
          </w:p>
          <w:p w:rsidR="00280DF2" w:rsidP="009C5286" w14:paraId="3B99EACB" w14:textId="77777777">
            <w:pPr>
              <w:pStyle w:val="TableParagraph"/>
              <w:numPr>
                <w:ilvl w:val="0"/>
                <w:numId w:val="22"/>
              </w:numPr>
              <w:tabs>
                <w:tab w:val="left" w:pos="147"/>
              </w:tabs>
              <w:spacing w:before="1"/>
              <w:ind w:hanging="121"/>
              <w:rPr>
                <w:sz w:val="12"/>
              </w:rPr>
            </w:pPr>
            <w:r>
              <w:rPr>
                <w:sz w:val="12"/>
              </w:rPr>
              <w:t xml:space="preserve">316 children </w:t>
            </w:r>
            <w:r>
              <w:rPr>
                <w:spacing w:val="-3"/>
                <w:sz w:val="12"/>
              </w:rPr>
              <w:t xml:space="preserve">aged </w:t>
            </w:r>
            <w:r>
              <w:rPr>
                <w:sz w:val="12"/>
              </w:rPr>
              <w:t>6 -12</w:t>
            </w:r>
            <w:r>
              <w:rPr>
                <w:spacing w:val="-5"/>
                <w:sz w:val="12"/>
              </w:rPr>
              <w:t xml:space="preserve"> </w:t>
            </w:r>
            <w:r>
              <w:rPr>
                <w:sz w:val="12"/>
              </w:rPr>
              <w:t>years</w:t>
            </w:r>
          </w:p>
          <w:p w:rsidR="00280DF2" w:rsidP="009C5286" w14:paraId="1AD1341B" w14:textId="77777777">
            <w:pPr>
              <w:pStyle w:val="TableParagraph"/>
              <w:numPr>
                <w:ilvl w:val="0"/>
                <w:numId w:val="22"/>
              </w:numPr>
              <w:tabs>
                <w:tab w:val="left" w:pos="147"/>
              </w:tabs>
              <w:spacing w:before="7"/>
              <w:ind w:hanging="121"/>
              <w:rPr>
                <w:sz w:val="12"/>
              </w:rPr>
            </w:pPr>
            <w:r>
              <w:rPr>
                <w:sz w:val="12"/>
              </w:rPr>
              <w:t>278 parents of</w:t>
            </w:r>
            <w:r>
              <w:rPr>
                <w:spacing w:val="-21"/>
                <w:sz w:val="12"/>
              </w:rPr>
              <w:t xml:space="preserve"> </w:t>
            </w:r>
            <w:r>
              <w:rPr>
                <w:sz w:val="12"/>
              </w:rPr>
              <w:t xml:space="preserve">children </w:t>
            </w:r>
            <w:r>
              <w:rPr>
                <w:spacing w:val="-3"/>
                <w:sz w:val="12"/>
              </w:rPr>
              <w:t xml:space="preserve">aged </w:t>
            </w:r>
            <w:r>
              <w:rPr>
                <w:sz w:val="12"/>
              </w:rPr>
              <w:t>6-12</w:t>
            </w:r>
          </w:p>
        </w:tc>
        <w:tc>
          <w:tcPr>
            <w:tcW w:w="1199" w:type="dxa"/>
          </w:tcPr>
          <w:p w:rsidR="00280DF2" w:rsidP="009C5286" w14:paraId="66C8B8C9" w14:textId="77777777">
            <w:pPr>
              <w:pStyle w:val="TableParagraph"/>
              <w:numPr>
                <w:ilvl w:val="0"/>
                <w:numId w:val="21"/>
              </w:numPr>
              <w:tabs>
                <w:tab w:val="left" w:pos="147"/>
              </w:tabs>
              <w:spacing w:line="140" w:lineRule="exact"/>
              <w:ind w:hanging="121"/>
              <w:rPr>
                <w:sz w:val="12"/>
              </w:rPr>
            </w:pPr>
            <w:r>
              <w:rPr>
                <w:sz w:val="12"/>
              </w:rPr>
              <w:t>GDA</w:t>
            </w:r>
          </w:p>
          <w:p w:rsidR="00280DF2" w:rsidP="009C5286" w14:paraId="3D65F413" w14:textId="77777777">
            <w:pPr>
              <w:pStyle w:val="TableParagraph"/>
              <w:numPr>
                <w:ilvl w:val="0"/>
                <w:numId w:val="21"/>
              </w:numPr>
              <w:tabs>
                <w:tab w:val="left" w:pos="147"/>
              </w:tabs>
              <w:spacing w:before="7"/>
              <w:ind w:hanging="121"/>
              <w:rPr>
                <w:sz w:val="12"/>
              </w:rPr>
            </w:pPr>
            <w:r>
              <w:rPr>
                <w:sz w:val="12"/>
              </w:rPr>
              <w:t>Traffic</w:t>
            </w:r>
            <w:r>
              <w:rPr>
                <w:spacing w:val="-2"/>
                <w:sz w:val="12"/>
              </w:rPr>
              <w:t xml:space="preserve"> </w:t>
            </w:r>
            <w:r>
              <w:rPr>
                <w:sz w:val="12"/>
              </w:rPr>
              <w:t>light</w:t>
            </w:r>
          </w:p>
          <w:p w:rsidR="00280DF2" w:rsidP="009C5286" w14:paraId="0B515CD0" w14:textId="77777777">
            <w:pPr>
              <w:pStyle w:val="TableParagraph"/>
              <w:numPr>
                <w:ilvl w:val="0"/>
                <w:numId w:val="21"/>
              </w:numPr>
              <w:tabs>
                <w:tab w:val="left" w:pos="147"/>
              </w:tabs>
              <w:spacing w:before="8"/>
              <w:ind w:hanging="121"/>
              <w:rPr>
                <w:sz w:val="12"/>
              </w:rPr>
            </w:pPr>
            <w:r>
              <w:rPr>
                <w:sz w:val="12"/>
              </w:rPr>
              <w:t>Warning</w:t>
            </w:r>
            <w:r>
              <w:rPr>
                <w:spacing w:val="-7"/>
                <w:sz w:val="12"/>
              </w:rPr>
              <w:t xml:space="preserve"> </w:t>
            </w:r>
            <w:r>
              <w:rPr>
                <w:spacing w:val="-2"/>
                <w:sz w:val="12"/>
              </w:rPr>
              <w:t>system</w:t>
            </w:r>
          </w:p>
        </w:tc>
        <w:tc>
          <w:tcPr>
            <w:tcW w:w="1199" w:type="dxa"/>
          </w:tcPr>
          <w:p w:rsidR="00280DF2" w:rsidP="009C5286" w14:paraId="4B625E38" w14:textId="77777777">
            <w:pPr>
              <w:pStyle w:val="TableParagraph"/>
              <w:spacing w:before="11"/>
              <w:ind w:left="0"/>
              <w:rPr>
                <w:rFonts w:ascii="Times New Roman"/>
                <w:sz w:val="2"/>
              </w:rPr>
            </w:pPr>
          </w:p>
          <w:p w:rsidR="00280DF2" w:rsidP="009C5286" w14:paraId="17C56F33" w14:textId="77777777">
            <w:pPr>
              <w:pStyle w:val="TableParagraph"/>
              <w:ind w:left="35"/>
              <w:rPr>
                <w:rFonts w:ascii="Times New Roman"/>
                <w:sz w:val="20"/>
              </w:rPr>
            </w:pPr>
            <w:r>
              <w:rPr>
                <w:noProof/>
              </w:rPr>
              <w:drawing>
                <wp:inline distT="0" distB="0" distL="0" distR="0">
                  <wp:extent cx="563340" cy="37261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6.png"/>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63340" cy="372617"/>
                          </a:xfrm>
                          <a:prstGeom prst="rect">
                            <a:avLst/>
                          </a:prstGeom>
                        </pic:spPr>
                      </pic:pic>
                    </a:graphicData>
                  </a:graphic>
                </wp:inline>
              </w:drawing>
            </w:r>
          </w:p>
        </w:tc>
        <w:tc>
          <w:tcPr>
            <w:tcW w:w="550" w:type="dxa"/>
          </w:tcPr>
          <w:p w:rsidR="00280DF2" w:rsidP="009C5286" w14:paraId="0C47BDBD" w14:textId="77777777">
            <w:pPr>
              <w:pStyle w:val="TableParagraph"/>
              <w:spacing w:line="140" w:lineRule="exact"/>
              <w:rPr>
                <w:sz w:val="12"/>
              </w:rPr>
            </w:pPr>
            <w:r>
              <w:rPr>
                <w:sz w:val="12"/>
              </w:rPr>
              <w:t>Brazil</w:t>
            </w:r>
          </w:p>
        </w:tc>
        <w:tc>
          <w:tcPr>
            <w:tcW w:w="3487" w:type="dxa"/>
          </w:tcPr>
          <w:p w:rsidR="00280DF2" w:rsidP="009C5286" w14:paraId="3746B6B4" w14:textId="77777777">
            <w:pPr>
              <w:pStyle w:val="TableParagraph"/>
              <w:spacing w:line="140" w:lineRule="exact"/>
              <w:rPr>
                <w:sz w:val="12"/>
              </w:rPr>
            </w:pPr>
            <w:r>
              <w:rPr>
                <w:sz w:val="12"/>
              </w:rPr>
              <w:t>For parents, products with the warning system were rated</w:t>
            </w:r>
          </w:p>
          <w:p w:rsidR="00280DF2" w:rsidP="009C5286" w14:paraId="2EDBF653" w14:textId="3289D8CE">
            <w:pPr>
              <w:pStyle w:val="TableParagraph"/>
              <w:spacing w:before="7" w:line="252" w:lineRule="auto"/>
              <w:ind w:right="37"/>
              <w:rPr>
                <w:sz w:val="12"/>
              </w:rPr>
            </w:pPr>
            <w:r>
              <w:rPr>
                <w:sz w:val="12"/>
              </w:rPr>
              <w:t xml:space="preserve">significantly less healthful than those containing the GDA, whereas the TLS did not significantly differ from the other two systems. </w:t>
            </w:r>
            <w:r>
              <w:rPr>
                <w:spacing w:val="-2"/>
                <w:sz w:val="12"/>
              </w:rPr>
              <w:t xml:space="preserve">Age </w:t>
            </w:r>
            <w:r>
              <w:rPr>
                <w:sz w:val="12"/>
              </w:rPr>
              <w:t xml:space="preserve">and socio-economic status influenced the </w:t>
            </w:r>
            <w:r>
              <w:rPr>
                <w:spacing w:val="-3"/>
                <w:sz w:val="12"/>
              </w:rPr>
              <w:t xml:space="preserve">effect </w:t>
            </w:r>
            <w:r>
              <w:rPr>
                <w:sz w:val="12"/>
              </w:rPr>
              <w:t xml:space="preserve">of </w:t>
            </w:r>
            <w:r w:rsidR="00F638F1">
              <w:rPr>
                <w:sz w:val="12"/>
              </w:rPr>
              <w:t>FOP</w:t>
            </w:r>
            <w:r>
              <w:rPr>
                <w:sz w:val="12"/>
              </w:rPr>
              <w:t xml:space="preserve"> labels on children’s perceived healthfulness. Only 9–12 years old children from middle/high socio-economic status were influenced by </w:t>
            </w:r>
            <w:r w:rsidR="00F638F1">
              <w:rPr>
                <w:sz w:val="12"/>
              </w:rPr>
              <w:t>FOP</w:t>
            </w:r>
            <w:r>
              <w:rPr>
                <w:sz w:val="12"/>
              </w:rPr>
              <w:t xml:space="preserve"> labels: the warning </w:t>
            </w:r>
            <w:r>
              <w:rPr>
                <w:spacing w:val="-2"/>
                <w:sz w:val="12"/>
              </w:rPr>
              <w:t xml:space="preserve">system </w:t>
            </w:r>
            <w:r>
              <w:rPr>
                <w:sz w:val="12"/>
              </w:rPr>
              <w:t>and TLS reduced healthfulness perception of frosted</w:t>
            </w:r>
            <w:r>
              <w:rPr>
                <w:spacing w:val="-3"/>
                <w:sz w:val="12"/>
              </w:rPr>
              <w:t xml:space="preserve"> </w:t>
            </w:r>
            <w:r>
              <w:rPr>
                <w:sz w:val="12"/>
              </w:rPr>
              <w:t>corn</w:t>
            </w:r>
            <w:r>
              <w:rPr>
                <w:spacing w:val="-3"/>
                <w:sz w:val="12"/>
              </w:rPr>
              <w:t xml:space="preserve"> </w:t>
            </w:r>
            <w:r>
              <w:rPr>
                <w:sz w:val="12"/>
              </w:rPr>
              <w:t>flakes</w:t>
            </w:r>
            <w:r>
              <w:rPr>
                <w:spacing w:val="-9"/>
                <w:sz w:val="12"/>
              </w:rPr>
              <w:t xml:space="preserve"> </w:t>
            </w:r>
            <w:r>
              <w:rPr>
                <w:sz w:val="12"/>
              </w:rPr>
              <w:t>compared</w:t>
            </w:r>
            <w:r>
              <w:rPr>
                <w:spacing w:val="-3"/>
                <w:sz w:val="12"/>
              </w:rPr>
              <w:t xml:space="preserve"> </w:t>
            </w:r>
            <w:r>
              <w:rPr>
                <w:sz w:val="12"/>
              </w:rPr>
              <w:t>to</w:t>
            </w:r>
            <w:r>
              <w:rPr>
                <w:spacing w:val="-3"/>
                <w:sz w:val="12"/>
              </w:rPr>
              <w:t xml:space="preserve"> </w:t>
            </w:r>
            <w:r>
              <w:rPr>
                <w:sz w:val="12"/>
              </w:rPr>
              <w:t>the</w:t>
            </w:r>
            <w:r>
              <w:rPr>
                <w:spacing w:val="-11"/>
                <w:sz w:val="12"/>
              </w:rPr>
              <w:t xml:space="preserve"> </w:t>
            </w:r>
            <w:r>
              <w:rPr>
                <w:sz w:val="12"/>
              </w:rPr>
              <w:t>GDA</w:t>
            </w:r>
            <w:r>
              <w:rPr>
                <w:spacing w:val="-10"/>
                <w:sz w:val="12"/>
              </w:rPr>
              <w:t xml:space="preserve"> </w:t>
            </w:r>
            <w:r>
              <w:rPr>
                <w:sz w:val="12"/>
              </w:rPr>
              <w:t>system.</w:t>
            </w:r>
          </w:p>
        </w:tc>
      </w:tr>
      <w:tr w14:paraId="028A3F36" w14:textId="77777777" w:rsidTr="2F9D3AFB">
        <w:tblPrEx>
          <w:tblW w:w="0" w:type="auto"/>
          <w:tblInd w:w="113" w:type="dxa"/>
          <w:tblLayout w:type="fixed"/>
          <w:tblCellMar>
            <w:left w:w="0" w:type="dxa"/>
            <w:right w:w="0" w:type="dxa"/>
          </w:tblCellMar>
          <w:tblLook w:val="01E0"/>
        </w:tblPrEx>
        <w:trPr>
          <w:trHeight w:val="1294"/>
        </w:trPr>
        <w:tc>
          <w:tcPr>
            <w:tcW w:w="1023" w:type="dxa"/>
          </w:tcPr>
          <w:p w:rsidR="00280DF2" w:rsidP="009C5286" w14:paraId="0CD5578B" w14:textId="77777777">
            <w:pPr>
              <w:pStyle w:val="TableParagraph"/>
              <w:spacing w:line="140" w:lineRule="exact"/>
              <w:rPr>
                <w:sz w:val="12"/>
              </w:rPr>
            </w:pPr>
            <w:r>
              <w:rPr>
                <w:sz w:val="12"/>
              </w:rPr>
              <w:t>Lundeberg, et al.</w:t>
            </w:r>
          </w:p>
        </w:tc>
        <w:tc>
          <w:tcPr>
            <w:tcW w:w="2101" w:type="dxa"/>
          </w:tcPr>
          <w:p w:rsidR="00280DF2" w:rsidP="009C5286" w14:paraId="6F8C31F4" w14:textId="77777777">
            <w:pPr>
              <w:pStyle w:val="TableParagraph"/>
              <w:spacing w:line="252" w:lineRule="auto"/>
              <w:ind w:right="29"/>
              <w:rPr>
                <w:sz w:val="12"/>
              </w:rPr>
            </w:pPr>
            <w:r>
              <w:rPr>
                <w:sz w:val="12"/>
              </w:rPr>
              <w:t xml:space="preserve">Comparison of two front-of-package nutrition labeling schemes, and their explanation, </w:t>
            </w:r>
            <w:r>
              <w:rPr>
                <w:sz w:val="12"/>
              </w:rPr>
              <w:t>on  consumers</w:t>
            </w:r>
            <w:r>
              <w:rPr>
                <w:sz w:val="12"/>
              </w:rPr>
              <w:t>' perception of product healthfulness and food</w:t>
            </w:r>
            <w:r>
              <w:rPr>
                <w:spacing w:val="7"/>
                <w:sz w:val="12"/>
              </w:rPr>
              <w:t xml:space="preserve"> </w:t>
            </w:r>
            <w:r>
              <w:rPr>
                <w:sz w:val="12"/>
              </w:rPr>
              <w:t>choice</w:t>
            </w:r>
          </w:p>
        </w:tc>
        <w:tc>
          <w:tcPr>
            <w:tcW w:w="330" w:type="dxa"/>
          </w:tcPr>
          <w:p w:rsidR="00280DF2" w:rsidP="009C5286" w14:paraId="70656243" w14:textId="77777777">
            <w:pPr>
              <w:pStyle w:val="TableParagraph"/>
              <w:spacing w:line="140" w:lineRule="exact"/>
              <w:rPr>
                <w:sz w:val="12"/>
              </w:rPr>
            </w:pPr>
            <w:r>
              <w:rPr>
                <w:color w:val="0000FE"/>
                <w:sz w:val="12"/>
              </w:rPr>
              <w:t>2018</w:t>
            </w:r>
          </w:p>
        </w:tc>
        <w:tc>
          <w:tcPr>
            <w:tcW w:w="3553" w:type="dxa"/>
          </w:tcPr>
          <w:p w:rsidR="00280DF2" w:rsidP="009C5286" w14:paraId="7C7791A8" w14:textId="77777777">
            <w:pPr>
              <w:pStyle w:val="TableParagraph"/>
              <w:spacing w:line="252" w:lineRule="auto"/>
              <w:ind w:right="2551"/>
              <w:rPr>
                <w:sz w:val="12"/>
              </w:rPr>
            </w:pPr>
            <w:r>
              <w:rPr>
                <w:sz w:val="12"/>
              </w:rPr>
              <w:t>Quantitative. Experimental study n=306</w:t>
            </w:r>
          </w:p>
        </w:tc>
        <w:tc>
          <w:tcPr>
            <w:tcW w:w="1199" w:type="dxa"/>
          </w:tcPr>
          <w:p w:rsidR="00280DF2" w:rsidP="009C5286" w14:paraId="121BDAD6" w14:textId="77777777">
            <w:pPr>
              <w:pStyle w:val="TableParagraph"/>
              <w:numPr>
                <w:ilvl w:val="0"/>
                <w:numId w:val="20"/>
              </w:numPr>
              <w:tabs>
                <w:tab w:val="left" w:pos="147"/>
              </w:tabs>
              <w:spacing w:line="140" w:lineRule="exact"/>
              <w:ind w:hanging="121"/>
              <w:rPr>
                <w:sz w:val="12"/>
              </w:rPr>
            </w:pPr>
            <w:r>
              <w:rPr>
                <w:sz w:val="12"/>
              </w:rPr>
              <w:t>Traffic</w:t>
            </w:r>
            <w:r>
              <w:rPr>
                <w:spacing w:val="-2"/>
                <w:sz w:val="12"/>
              </w:rPr>
              <w:t xml:space="preserve"> </w:t>
            </w:r>
            <w:r>
              <w:rPr>
                <w:sz w:val="12"/>
              </w:rPr>
              <w:t>lights</w:t>
            </w:r>
          </w:p>
          <w:p w:rsidR="00280DF2" w:rsidP="009C5286" w14:paraId="51A70082" w14:textId="77777777">
            <w:pPr>
              <w:pStyle w:val="TableParagraph"/>
              <w:numPr>
                <w:ilvl w:val="0"/>
                <w:numId w:val="20"/>
              </w:numPr>
              <w:tabs>
                <w:tab w:val="left" w:pos="147"/>
              </w:tabs>
              <w:spacing w:before="7"/>
              <w:ind w:hanging="121"/>
              <w:rPr>
                <w:sz w:val="12"/>
              </w:rPr>
            </w:pPr>
            <w:r>
              <w:rPr>
                <w:sz w:val="12"/>
              </w:rPr>
              <w:t>Star-based</w:t>
            </w:r>
          </w:p>
        </w:tc>
        <w:tc>
          <w:tcPr>
            <w:tcW w:w="1199" w:type="dxa"/>
          </w:tcPr>
          <w:p w:rsidR="00280DF2" w:rsidP="009C5286" w14:paraId="0ECB60FC" w14:textId="77777777">
            <w:pPr>
              <w:pStyle w:val="TableParagraph"/>
              <w:ind w:left="96"/>
              <w:rPr>
                <w:rFonts w:ascii="Times New Roman"/>
                <w:sz w:val="20"/>
              </w:rPr>
            </w:pPr>
            <w:r>
              <w:rPr>
                <w:noProof/>
              </w:rPr>
              <w:drawing>
                <wp:inline distT="0" distB="0" distL="0" distR="0">
                  <wp:extent cx="333377" cy="31623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7.png"/>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33377" cy="316230"/>
                          </a:xfrm>
                          <a:prstGeom prst="rect">
                            <a:avLst/>
                          </a:prstGeom>
                        </pic:spPr>
                      </pic:pic>
                    </a:graphicData>
                  </a:graphic>
                </wp:inline>
              </w:drawing>
            </w:r>
          </w:p>
          <w:p w:rsidR="00280DF2" w:rsidP="009C5286" w14:paraId="2B544A49" w14:textId="77777777">
            <w:pPr>
              <w:pStyle w:val="TableParagraph"/>
              <w:spacing w:before="2"/>
              <w:ind w:left="0"/>
              <w:rPr>
                <w:rFonts w:ascii="Times New Roman"/>
                <w:sz w:val="4"/>
              </w:rPr>
            </w:pPr>
          </w:p>
          <w:p w:rsidR="00280DF2" w:rsidP="009C5286" w14:paraId="5BB2A8D6" w14:textId="77777777">
            <w:pPr>
              <w:pStyle w:val="TableParagraph"/>
              <w:ind w:left="96"/>
              <w:rPr>
                <w:rFonts w:ascii="Times New Roman"/>
                <w:sz w:val="20"/>
              </w:rPr>
            </w:pPr>
            <w:r>
              <w:rPr>
                <w:noProof/>
              </w:rPr>
              <w:drawing>
                <wp:inline distT="0" distB="0" distL="0" distR="0">
                  <wp:extent cx="328039" cy="34004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8.png"/>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8039" cy="340042"/>
                          </a:xfrm>
                          <a:prstGeom prst="rect">
                            <a:avLst/>
                          </a:prstGeom>
                        </pic:spPr>
                      </pic:pic>
                    </a:graphicData>
                  </a:graphic>
                </wp:inline>
              </w:drawing>
            </w:r>
          </w:p>
        </w:tc>
        <w:tc>
          <w:tcPr>
            <w:tcW w:w="550" w:type="dxa"/>
          </w:tcPr>
          <w:p w:rsidR="00280DF2" w:rsidP="009C5286" w14:paraId="7003FD2B" w14:textId="77777777">
            <w:pPr>
              <w:pStyle w:val="TableParagraph"/>
              <w:spacing w:line="140" w:lineRule="exact"/>
              <w:rPr>
                <w:sz w:val="12"/>
              </w:rPr>
            </w:pPr>
            <w:r>
              <w:rPr>
                <w:sz w:val="12"/>
              </w:rPr>
              <w:t>USA</w:t>
            </w:r>
          </w:p>
        </w:tc>
        <w:tc>
          <w:tcPr>
            <w:tcW w:w="3487" w:type="dxa"/>
          </w:tcPr>
          <w:p w:rsidR="00280DF2" w:rsidP="009C5286" w14:paraId="64145C3F" w14:textId="77777777">
            <w:pPr>
              <w:pStyle w:val="TableParagraph"/>
              <w:spacing w:line="252" w:lineRule="auto"/>
              <w:ind w:right="13"/>
              <w:rPr>
                <w:sz w:val="12"/>
              </w:rPr>
            </w:pPr>
            <w:r>
              <w:rPr>
                <w:sz w:val="12"/>
              </w:rPr>
              <w:t>Star system outperformed traffic light on healthfulness ratings; for both more and less healthful products. Purchase intent was not affected by type of system; participants said they would purchase the healthiest food regardless of system. Information explaining the system, versus the control condition of no explanation, made a difference for products in the mid-range of healthfulness (versus high and low) but there was no difference within the explanation types (gain, loss, loss+ gain).</w:t>
            </w:r>
          </w:p>
        </w:tc>
      </w:tr>
      <w:tr w14:paraId="00FD1F30" w14:textId="77777777" w:rsidTr="2F9D3AFB">
        <w:tblPrEx>
          <w:tblW w:w="0" w:type="auto"/>
          <w:tblInd w:w="113" w:type="dxa"/>
          <w:tblLayout w:type="fixed"/>
          <w:tblCellMar>
            <w:left w:w="0" w:type="dxa"/>
            <w:right w:w="0" w:type="dxa"/>
          </w:tblCellMar>
          <w:tblLook w:val="01E0"/>
        </w:tblPrEx>
        <w:trPr>
          <w:trHeight w:val="634"/>
        </w:trPr>
        <w:tc>
          <w:tcPr>
            <w:tcW w:w="1023" w:type="dxa"/>
          </w:tcPr>
          <w:p w:rsidR="00280DF2" w:rsidP="009C5286" w14:paraId="0CA7A182" w14:textId="77777777">
            <w:pPr>
              <w:pStyle w:val="TableParagraph"/>
              <w:spacing w:line="140" w:lineRule="exact"/>
              <w:rPr>
                <w:sz w:val="12"/>
              </w:rPr>
            </w:pPr>
            <w:r>
              <w:rPr>
                <w:sz w:val="12"/>
              </w:rPr>
              <w:t>Machin, et al.</w:t>
            </w:r>
          </w:p>
        </w:tc>
        <w:tc>
          <w:tcPr>
            <w:tcW w:w="2101" w:type="dxa"/>
          </w:tcPr>
          <w:p w:rsidR="00280DF2" w:rsidP="009C5286" w14:paraId="15EBB61F" w14:textId="77777777">
            <w:pPr>
              <w:pStyle w:val="TableParagraph"/>
              <w:spacing w:line="252" w:lineRule="auto"/>
              <w:ind w:right="102"/>
              <w:rPr>
                <w:sz w:val="12"/>
              </w:rPr>
            </w:pPr>
            <w:r>
              <w:rPr>
                <w:sz w:val="12"/>
              </w:rPr>
              <w:t>Traffic Light System Can Increase Healthfulness Perception: Implications for Policy Making</w:t>
            </w:r>
          </w:p>
        </w:tc>
        <w:tc>
          <w:tcPr>
            <w:tcW w:w="330" w:type="dxa"/>
          </w:tcPr>
          <w:p w:rsidR="00280DF2" w:rsidP="009C5286" w14:paraId="0EB68F15" w14:textId="77777777">
            <w:pPr>
              <w:pStyle w:val="TableParagraph"/>
              <w:spacing w:line="140" w:lineRule="exact"/>
              <w:rPr>
                <w:sz w:val="12"/>
              </w:rPr>
            </w:pPr>
            <w:r>
              <w:rPr>
                <w:color w:val="0000FE"/>
                <w:sz w:val="12"/>
              </w:rPr>
              <w:t>2018</w:t>
            </w:r>
          </w:p>
        </w:tc>
        <w:tc>
          <w:tcPr>
            <w:tcW w:w="3553" w:type="dxa"/>
          </w:tcPr>
          <w:p w:rsidR="00280DF2" w:rsidP="009C5286" w14:paraId="0C9BDC55" w14:textId="77777777">
            <w:pPr>
              <w:pStyle w:val="TableParagraph"/>
              <w:spacing w:line="252" w:lineRule="auto"/>
              <w:ind w:right="2551"/>
              <w:rPr>
                <w:sz w:val="12"/>
              </w:rPr>
            </w:pPr>
            <w:r>
              <w:rPr>
                <w:sz w:val="12"/>
              </w:rPr>
              <w:t>Quantitative. Experimental study n=1228</w:t>
            </w:r>
          </w:p>
        </w:tc>
        <w:tc>
          <w:tcPr>
            <w:tcW w:w="1199" w:type="dxa"/>
          </w:tcPr>
          <w:p w:rsidR="00280DF2" w:rsidP="009C5286" w14:paraId="52604D7B" w14:textId="77777777">
            <w:pPr>
              <w:pStyle w:val="TableParagraph"/>
              <w:numPr>
                <w:ilvl w:val="0"/>
                <w:numId w:val="19"/>
              </w:numPr>
              <w:tabs>
                <w:tab w:val="left" w:pos="147"/>
              </w:tabs>
              <w:spacing w:line="252" w:lineRule="auto"/>
              <w:ind w:right="280" w:firstLine="0"/>
              <w:rPr>
                <w:sz w:val="12"/>
              </w:rPr>
            </w:pPr>
            <w:r>
              <w:rPr>
                <w:sz w:val="12"/>
              </w:rPr>
              <w:t>Multiple Traffic Light</w:t>
            </w:r>
          </w:p>
          <w:p w:rsidR="00280DF2" w:rsidP="009C5286" w14:paraId="53894A67" w14:textId="77777777">
            <w:pPr>
              <w:pStyle w:val="TableParagraph"/>
              <w:numPr>
                <w:ilvl w:val="0"/>
                <w:numId w:val="19"/>
              </w:numPr>
              <w:tabs>
                <w:tab w:val="left" w:pos="169"/>
              </w:tabs>
              <w:ind w:left="168" w:hanging="143"/>
              <w:rPr>
                <w:sz w:val="12"/>
              </w:rPr>
            </w:pPr>
            <w:r>
              <w:rPr>
                <w:sz w:val="12"/>
              </w:rPr>
              <w:t>Warning</w:t>
            </w:r>
            <w:r>
              <w:rPr>
                <w:spacing w:val="-7"/>
                <w:sz w:val="12"/>
              </w:rPr>
              <w:t xml:space="preserve"> </w:t>
            </w:r>
            <w:r>
              <w:rPr>
                <w:spacing w:val="-2"/>
                <w:sz w:val="12"/>
              </w:rPr>
              <w:t>system</w:t>
            </w:r>
          </w:p>
        </w:tc>
        <w:tc>
          <w:tcPr>
            <w:tcW w:w="1199" w:type="dxa"/>
          </w:tcPr>
          <w:p w:rsidR="00280DF2" w:rsidP="009C5286" w14:paraId="54F823FD" w14:textId="77777777">
            <w:pPr>
              <w:pStyle w:val="TableParagraph"/>
              <w:spacing w:before="8"/>
              <w:ind w:left="0"/>
              <w:rPr>
                <w:rFonts w:ascii="Times New Roman"/>
                <w:sz w:val="2"/>
              </w:rPr>
            </w:pPr>
          </w:p>
          <w:p w:rsidR="00280DF2" w:rsidP="009C5286" w14:paraId="4E898131" w14:textId="77777777">
            <w:pPr>
              <w:pStyle w:val="TableParagraph"/>
              <w:ind w:left="35"/>
              <w:rPr>
                <w:rFonts w:ascii="Times New Roman"/>
                <w:sz w:val="20"/>
              </w:rPr>
            </w:pPr>
            <w:r>
              <w:rPr>
                <w:noProof/>
              </w:rPr>
              <w:drawing>
                <wp:inline distT="0" distB="0" distL="0" distR="0">
                  <wp:extent cx="681756" cy="26193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9.png"/>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1756" cy="261937"/>
                          </a:xfrm>
                          <a:prstGeom prst="rect">
                            <a:avLst/>
                          </a:prstGeom>
                        </pic:spPr>
                      </pic:pic>
                    </a:graphicData>
                  </a:graphic>
                </wp:inline>
              </w:drawing>
            </w:r>
          </w:p>
        </w:tc>
        <w:tc>
          <w:tcPr>
            <w:tcW w:w="550" w:type="dxa"/>
          </w:tcPr>
          <w:p w:rsidR="00280DF2" w:rsidP="009C5286" w14:paraId="0C2E1E4E" w14:textId="77777777">
            <w:pPr>
              <w:pStyle w:val="TableParagraph"/>
              <w:spacing w:line="140" w:lineRule="exact"/>
              <w:rPr>
                <w:sz w:val="12"/>
              </w:rPr>
            </w:pPr>
            <w:r>
              <w:rPr>
                <w:sz w:val="12"/>
              </w:rPr>
              <w:t>Uruguay</w:t>
            </w:r>
          </w:p>
        </w:tc>
        <w:tc>
          <w:tcPr>
            <w:tcW w:w="3487" w:type="dxa"/>
          </w:tcPr>
          <w:p w:rsidR="00280DF2" w:rsidP="009C5286" w14:paraId="604D4038" w14:textId="77777777">
            <w:pPr>
              <w:pStyle w:val="TableParagraph"/>
              <w:spacing w:line="252" w:lineRule="auto"/>
              <w:ind w:right="12"/>
              <w:rPr>
                <w:sz w:val="12"/>
              </w:rPr>
            </w:pPr>
            <w:r>
              <w:rPr>
                <w:sz w:val="12"/>
              </w:rPr>
              <w:t xml:space="preserve">Warning system results </w:t>
            </w:r>
            <w:r>
              <w:rPr>
                <w:sz w:val="12"/>
              </w:rPr>
              <w:t>similar to</w:t>
            </w:r>
            <w:r>
              <w:rPr>
                <w:sz w:val="12"/>
              </w:rPr>
              <w:t xml:space="preserve"> simplified traffic light system. For traffic lights, where at least two nutrients were "low in" (green) the product was perceived as healthier even in the presence of a "high in" (red) nutrient.</w:t>
            </w:r>
          </w:p>
        </w:tc>
      </w:tr>
      <w:tr w14:paraId="2E51B5E6" w14:textId="77777777" w:rsidTr="2F9D3AFB">
        <w:tblPrEx>
          <w:tblW w:w="0" w:type="auto"/>
          <w:tblInd w:w="113" w:type="dxa"/>
          <w:tblLayout w:type="fixed"/>
          <w:tblCellMar>
            <w:left w:w="0" w:type="dxa"/>
            <w:right w:w="0" w:type="dxa"/>
          </w:tblCellMar>
          <w:tblLook w:val="01E0"/>
        </w:tblPrEx>
        <w:trPr>
          <w:trHeight w:val="1293"/>
        </w:trPr>
        <w:tc>
          <w:tcPr>
            <w:tcW w:w="1023" w:type="dxa"/>
          </w:tcPr>
          <w:p w:rsidR="00280DF2" w:rsidP="009C5286" w14:paraId="09A212B6" w14:textId="77777777">
            <w:pPr>
              <w:pStyle w:val="TableParagraph"/>
              <w:spacing w:line="140" w:lineRule="exact"/>
              <w:rPr>
                <w:sz w:val="12"/>
              </w:rPr>
            </w:pPr>
            <w:r>
              <w:rPr>
                <w:sz w:val="12"/>
              </w:rPr>
              <w:t>Tortora, et al.</w:t>
            </w:r>
          </w:p>
        </w:tc>
        <w:tc>
          <w:tcPr>
            <w:tcW w:w="2101" w:type="dxa"/>
          </w:tcPr>
          <w:p w:rsidR="00280DF2" w:rsidP="009C5286" w14:paraId="29B49248" w14:textId="77777777">
            <w:pPr>
              <w:pStyle w:val="TableParagraph"/>
              <w:spacing w:line="252" w:lineRule="auto"/>
              <w:rPr>
                <w:sz w:val="12"/>
              </w:rPr>
            </w:pPr>
            <w:r>
              <w:rPr>
                <w:sz w:val="12"/>
              </w:rPr>
              <w:t>Influence of time orientation on food choice: Case study with cookie labels</w:t>
            </w:r>
          </w:p>
        </w:tc>
        <w:tc>
          <w:tcPr>
            <w:tcW w:w="330" w:type="dxa"/>
          </w:tcPr>
          <w:p w:rsidR="00280DF2" w:rsidP="009C5286" w14:paraId="0F5CA20C" w14:textId="77777777">
            <w:pPr>
              <w:pStyle w:val="TableParagraph"/>
              <w:spacing w:line="140" w:lineRule="exact"/>
              <w:rPr>
                <w:sz w:val="12"/>
              </w:rPr>
            </w:pPr>
            <w:r>
              <w:rPr>
                <w:color w:val="0000FE"/>
                <w:sz w:val="12"/>
              </w:rPr>
              <w:t>2018</w:t>
            </w:r>
          </w:p>
        </w:tc>
        <w:tc>
          <w:tcPr>
            <w:tcW w:w="3553" w:type="dxa"/>
          </w:tcPr>
          <w:p w:rsidR="00280DF2" w:rsidP="009C5286" w14:paraId="6FC165EF" w14:textId="77777777">
            <w:pPr>
              <w:pStyle w:val="TableParagraph"/>
              <w:spacing w:line="140" w:lineRule="exact"/>
              <w:rPr>
                <w:sz w:val="12"/>
              </w:rPr>
            </w:pPr>
            <w:r>
              <w:rPr>
                <w:sz w:val="12"/>
              </w:rPr>
              <w:t>Quantitative.</w:t>
            </w:r>
          </w:p>
          <w:p w:rsidR="00280DF2" w:rsidP="009C5286" w14:paraId="69707387" w14:textId="0D7F02E6">
            <w:pPr>
              <w:pStyle w:val="TableParagraph"/>
              <w:spacing w:before="7" w:line="252" w:lineRule="auto"/>
              <w:ind w:right="83"/>
              <w:rPr>
                <w:sz w:val="12"/>
              </w:rPr>
            </w:pPr>
            <w:r>
              <w:rPr>
                <w:sz w:val="12"/>
              </w:rPr>
              <w:t xml:space="preserve">1. A choice conjoint task was designed using labels differing in type of cookie (chocolate chips vs. granola), </w:t>
            </w:r>
            <w:r w:rsidR="00F638F1">
              <w:rPr>
                <w:sz w:val="12"/>
              </w:rPr>
              <w:t>FOP</w:t>
            </w:r>
            <w:r>
              <w:rPr>
                <w:sz w:val="12"/>
              </w:rPr>
              <w:t xml:space="preserve"> nutrition information (nutritional warnings vs. Facts Up Front system) and nutritional claim (no claim vs. “0% cholesterol. 0% </w:t>
            </w:r>
            <w:r>
              <w:rPr>
                <w:sz w:val="12"/>
              </w:rPr>
              <w:t>trans fat</w:t>
            </w:r>
            <w:r>
              <w:rPr>
                <w:sz w:val="12"/>
              </w:rPr>
              <w:t>”)</w:t>
            </w:r>
          </w:p>
          <w:p w:rsidR="00280DF2" w:rsidP="009C5286" w14:paraId="1A0CE148" w14:textId="77777777">
            <w:pPr>
              <w:pStyle w:val="TableParagraph"/>
              <w:spacing w:before="1" w:line="252" w:lineRule="auto"/>
              <w:rPr>
                <w:sz w:val="12"/>
              </w:rPr>
            </w:pPr>
            <w:r>
              <w:rPr>
                <w:sz w:val="12"/>
              </w:rPr>
              <w:t>2.155 participants evaluated 8 pairs of cookie labels and selected the one they would buy if they were in the supermarket</w:t>
            </w:r>
          </w:p>
          <w:p w:rsidR="00280DF2" w:rsidP="009C5286" w14:paraId="7B2B3575" w14:textId="77777777">
            <w:pPr>
              <w:pStyle w:val="TableParagraph"/>
              <w:rPr>
                <w:sz w:val="12"/>
              </w:rPr>
            </w:pPr>
            <w:r>
              <w:rPr>
                <w:sz w:val="12"/>
              </w:rPr>
              <w:t>n=155</w:t>
            </w:r>
          </w:p>
        </w:tc>
        <w:tc>
          <w:tcPr>
            <w:tcW w:w="1199" w:type="dxa"/>
          </w:tcPr>
          <w:p w:rsidR="00280DF2" w:rsidP="009C5286" w14:paraId="43AED372" w14:textId="77777777">
            <w:pPr>
              <w:pStyle w:val="TableParagraph"/>
              <w:numPr>
                <w:ilvl w:val="0"/>
                <w:numId w:val="18"/>
              </w:numPr>
              <w:tabs>
                <w:tab w:val="left" w:pos="147"/>
              </w:tabs>
              <w:spacing w:line="140" w:lineRule="exact"/>
              <w:ind w:hanging="121"/>
              <w:rPr>
                <w:sz w:val="12"/>
              </w:rPr>
            </w:pPr>
            <w:r>
              <w:rPr>
                <w:sz w:val="12"/>
              </w:rPr>
              <w:t>Facts Up</w:t>
            </w:r>
            <w:r>
              <w:rPr>
                <w:spacing w:val="-11"/>
                <w:sz w:val="12"/>
              </w:rPr>
              <w:t xml:space="preserve"> </w:t>
            </w:r>
            <w:r>
              <w:rPr>
                <w:sz w:val="12"/>
              </w:rPr>
              <w:t>Front</w:t>
            </w:r>
          </w:p>
          <w:p w:rsidR="00280DF2" w:rsidP="009C5286" w14:paraId="24F2A5B1" w14:textId="77777777">
            <w:pPr>
              <w:pStyle w:val="TableParagraph"/>
              <w:numPr>
                <w:ilvl w:val="0"/>
                <w:numId w:val="18"/>
              </w:numPr>
              <w:tabs>
                <w:tab w:val="left" w:pos="147"/>
              </w:tabs>
              <w:spacing w:before="7"/>
              <w:ind w:hanging="121"/>
              <w:rPr>
                <w:sz w:val="12"/>
              </w:rPr>
            </w:pPr>
            <w:r>
              <w:rPr>
                <w:sz w:val="12"/>
              </w:rPr>
              <w:t>Claims</w:t>
            </w:r>
          </w:p>
        </w:tc>
        <w:tc>
          <w:tcPr>
            <w:tcW w:w="1199" w:type="dxa"/>
          </w:tcPr>
          <w:p w:rsidR="00280DF2" w:rsidP="009C5286" w14:paraId="0BCB32A6" w14:textId="77777777">
            <w:pPr>
              <w:pStyle w:val="TableParagraph"/>
              <w:spacing w:before="8"/>
              <w:ind w:left="0"/>
              <w:rPr>
                <w:rFonts w:ascii="Times New Roman"/>
                <w:sz w:val="4"/>
              </w:rPr>
            </w:pPr>
          </w:p>
          <w:p w:rsidR="00280DF2" w:rsidP="009C5286" w14:paraId="0D62B864" w14:textId="77777777">
            <w:pPr>
              <w:pStyle w:val="TableParagraph"/>
              <w:ind w:left="44" w:right="-3"/>
              <w:rPr>
                <w:rFonts w:ascii="Times New Roman"/>
                <w:sz w:val="20"/>
              </w:rPr>
            </w:pPr>
            <w:r>
              <w:rPr>
                <w:noProof/>
              </w:rPr>
              <w:drawing>
                <wp:inline distT="0" distB="0" distL="0" distR="0">
                  <wp:extent cx="700080" cy="55721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0.png"/>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00080" cy="557212"/>
                          </a:xfrm>
                          <a:prstGeom prst="rect">
                            <a:avLst/>
                          </a:prstGeom>
                        </pic:spPr>
                      </pic:pic>
                    </a:graphicData>
                  </a:graphic>
                </wp:inline>
              </w:drawing>
            </w:r>
          </w:p>
        </w:tc>
        <w:tc>
          <w:tcPr>
            <w:tcW w:w="550" w:type="dxa"/>
          </w:tcPr>
          <w:p w:rsidR="00280DF2" w:rsidP="009C5286" w14:paraId="1F487CA4" w14:textId="77777777">
            <w:pPr>
              <w:pStyle w:val="TableParagraph"/>
              <w:spacing w:line="140" w:lineRule="exact"/>
              <w:rPr>
                <w:sz w:val="12"/>
              </w:rPr>
            </w:pPr>
            <w:r>
              <w:rPr>
                <w:sz w:val="12"/>
              </w:rPr>
              <w:t>Uruguay</w:t>
            </w:r>
          </w:p>
        </w:tc>
        <w:tc>
          <w:tcPr>
            <w:tcW w:w="3487" w:type="dxa"/>
          </w:tcPr>
          <w:p w:rsidR="00280DF2" w:rsidP="009C5286" w14:paraId="3AE26EC7" w14:textId="77777777">
            <w:pPr>
              <w:pStyle w:val="TableParagraph"/>
              <w:numPr>
                <w:ilvl w:val="0"/>
                <w:numId w:val="17"/>
              </w:numPr>
              <w:tabs>
                <w:tab w:val="left" w:pos="147"/>
              </w:tabs>
              <w:spacing w:line="252" w:lineRule="auto"/>
              <w:ind w:right="159" w:firstLine="0"/>
              <w:rPr>
                <w:sz w:val="12"/>
              </w:rPr>
            </w:pPr>
            <w:r>
              <w:rPr>
                <w:sz w:val="12"/>
              </w:rPr>
              <w:t xml:space="preserve">Participants with </w:t>
            </w:r>
            <w:r>
              <w:rPr>
                <w:spacing w:val="-3"/>
                <w:sz w:val="12"/>
              </w:rPr>
              <w:t xml:space="preserve">greater </w:t>
            </w:r>
            <w:r>
              <w:rPr>
                <w:sz w:val="12"/>
              </w:rPr>
              <w:t xml:space="preserve">consideration of future consequences </w:t>
            </w:r>
            <w:r>
              <w:rPr>
                <w:spacing w:val="-3"/>
                <w:sz w:val="12"/>
              </w:rPr>
              <w:t xml:space="preserve">preferred </w:t>
            </w:r>
            <w:r>
              <w:rPr>
                <w:sz w:val="12"/>
              </w:rPr>
              <w:t xml:space="preserve">the granola cookies, associated with health, </w:t>
            </w:r>
            <w:r>
              <w:rPr>
                <w:spacing w:val="1"/>
                <w:sz w:val="12"/>
              </w:rPr>
              <w:t xml:space="preserve">while </w:t>
            </w:r>
            <w:r>
              <w:rPr>
                <w:sz w:val="12"/>
              </w:rPr>
              <w:t xml:space="preserve">those who prioritized immediate consequences </w:t>
            </w:r>
            <w:r>
              <w:rPr>
                <w:spacing w:val="-3"/>
                <w:sz w:val="12"/>
              </w:rPr>
              <w:t xml:space="preserve">preferred </w:t>
            </w:r>
            <w:r>
              <w:rPr>
                <w:sz w:val="12"/>
              </w:rPr>
              <w:t>chocolate chip cookies</w:t>
            </w:r>
          </w:p>
          <w:p w:rsidR="00280DF2" w:rsidP="009C5286" w14:paraId="1BC0A1E9" w14:textId="77777777">
            <w:pPr>
              <w:pStyle w:val="TableParagraph"/>
              <w:numPr>
                <w:ilvl w:val="0"/>
                <w:numId w:val="17"/>
              </w:numPr>
              <w:tabs>
                <w:tab w:val="left" w:pos="147"/>
              </w:tabs>
              <w:spacing w:line="252" w:lineRule="auto"/>
              <w:ind w:right="52" w:firstLine="0"/>
              <w:rPr>
                <w:sz w:val="12"/>
              </w:rPr>
            </w:pPr>
            <w:r>
              <w:rPr>
                <w:sz w:val="12"/>
              </w:rPr>
              <w:t>nutritional warnings discouraged choice regardless of participants' time</w:t>
            </w:r>
            <w:r>
              <w:rPr>
                <w:spacing w:val="-11"/>
                <w:sz w:val="12"/>
              </w:rPr>
              <w:t xml:space="preserve"> </w:t>
            </w:r>
            <w:r>
              <w:rPr>
                <w:sz w:val="12"/>
              </w:rPr>
              <w:t>orientation</w:t>
            </w:r>
          </w:p>
        </w:tc>
      </w:tr>
    </w:tbl>
    <w:p w:rsidR="00DB534B" w:rsidP="00DB534B" w14:paraId="0FBC05A9" w14:textId="77777777">
      <w:pPr>
        <w:spacing w:line="140" w:lineRule="exact"/>
        <w:jc w:val="center"/>
        <w:rPr>
          <w:sz w:val="12"/>
        </w:rPr>
        <w:sectPr w:rsidSect="009C5286">
          <w:pgSz w:w="15840" w:h="12240" w:orient="landscape"/>
          <w:pgMar w:top="720" w:right="720" w:bottom="720" w:left="720" w:header="376" w:footer="523" w:gutter="0"/>
          <w:cols w:space="720"/>
          <w:docGrid w:linePitch="299"/>
        </w:sectPr>
      </w:pPr>
    </w:p>
    <w:tbl>
      <w:tblPr>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36"/>
        <w:gridCol w:w="2101"/>
        <w:gridCol w:w="333"/>
        <w:gridCol w:w="3555"/>
        <w:gridCol w:w="1199"/>
        <w:gridCol w:w="1204"/>
        <w:gridCol w:w="550"/>
        <w:gridCol w:w="3487"/>
      </w:tblGrid>
      <w:tr w14:paraId="3FBDD67F" w14:textId="77777777" w:rsidTr="001F16BD">
        <w:tblPrEx>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150"/>
          <w:tblHeader/>
        </w:trPr>
        <w:tc>
          <w:tcPr>
            <w:tcW w:w="1036" w:type="dxa"/>
          </w:tcPr>
          <w:p w:rsidR="00280DF2" w:rsidP="009C5286" w14:paraId="3B31D459" w14:textId="77777777">
            <w:pPr>
              <w:pStyle w:val="TableParagraph"/>
              <w:spacing w:line="130" w:lineRule="exact"/>
              <w:rPr>
                <w:b/>
                <w:sz w:val="12"/>
              </w:rPr>
            </w:pPr>
            <w:r>
              <w:rPr>
                <w:b/>
                <w:sz w:val="12"/>
              </w:rPr>
              <w:t>Author</w:t>
            </w:r>
          </w:p>
        </w:tc>
        <w:tc>
          <w:tcPr>
            <w:tcW w:w="2101" w:type="dxa"/>
          </w:tcPr>
          <w:p w:rsidR="00280DF2" w:rsidP="009C5286" w14:paraId="01AC3DC4" w14:textId="77777777">
            <w:pPr>
              <w:pStyle w:val="TableParagraph"/>
              <w:spacing w:line="130" w:lineRule="exact"/>
              <w:rPr>
                <w:b/>
                <w:sz w:val="12"/>
              </w:rPr>
            </w:pPr>
            <w:r>
              <w:rPr>
                <w:b/>
                <w:sz w:val="12"/>
              </w:rPr>
              <w:t>Title</w:t>
            </w:r>
          </w:p>
        </w:tc>
        <w:tc>
          <w:tcPr>
            <w:tcW w:w="333" w:type="dxa"/>
          </w:tcPr>
          <w:p w:rsidR="00280DF2" w:rsidP="009C5286" w14:paraId="47CA3D1A" w14:textId="77777777">
            <w:pPr>
              <w:pStyle w:val="TableParagraph"/>
              <w:spacing w:line="130" w:lineRule="exact"/>
              <w:rPr>
                <w:b/>
                <w:sz w:val="12"/>
              </w:rPr>
            </w:pPr>
            <w:r>
              <w:rPr>
                <w:b/>
                <w:sz w:val="12"/>
              </w:rPr>
              <w:t>Year</w:t>
            </w:r>
          </w:p>
        </w:tc>
        <w:tc>
          <w:tcPr>
            <w:tcW w:w="3555" w:type="dxa"/>
          </w:tcPr>
          <w:p w:rsidR="00280DF2" w:rsidP="009C5286" w14:paraId="3496F16E" w14:textId="77777777">
            <w:pPr>
              <w:pStyle w:val="TableParagraph"/>
              <w:spacing w:line="130" w:lineRule="exact"/>
              <w:rPr>
                <w:b/>
                <w:sz w:val="12"/>
              </w:rPr>
            </w:pPr>
            <w:r>
              <w:rPr>
                <w:b/>
                <w:sz w:val="12"/>
              </w:rPr>
              <w:t>Method</w:t>
            </w:r>
          </w:p>
        </w:tc>
        <w:tc>
          <w:tcPr>
            <w:tcW w:w="1199" w:type="dxa"/>
          </w:tcPr>
          <w:p w:rsidR="00280DF2" w:rsidP="009C5286" w14:paraId="1DB8D16B" w14:textId="599F54BA">
            <w:pPr>
              <w:pStyle w:val="TableParagraph"/>
              <w:spacing w:line="130" w:lineRule="exact"/>
              <w:rPr>
                <w:b/>
                <w:sz w:val="12"/>
              </w:rPr>
            </w:pPr>
            <w:r>
              <w:rPr>
                <w:b/>
                <w:sz w:val="12"/>
              </w:rPr>
              <w:t>FOP</w:t>
            </w:r>
          </w:p>
        </w:tc>
        <w:tc>
          <w:tcPr>
            <w:tcW w:w="1204" w:type="dxa"/>
          </w:tcPr>
          <w:p w:rsidR="00280DF2" w:rsidP="009C5286" w14:paraId="5646C226" w14:textId="33858843">
            <w:pPr>
              <w:pStyle w:val="TableParagraph"/>
              <w:spacing w:line="130" w:lineRule="exact"/>
              <w:rPr>
                <w:b/>
                <w:sz w:val="12"/>
              </w:rPr>
            </w:pPr>
            <w:r>
              <w:rPr>
                <w:b/>
                <w:sz w:val="12"/>
              </w:rPr>
              <w:t>FOP</w:t>
            </w:r>
            <w:r>
              <w:rPr>
                <w:b/>
                <w:sz w:val="12"/>
              </w:rPr>
              <w:t xml:space="preserve"> Image</w:t>
            </w:r>
          </w:p>
        </w:tc>
        <w:tc>
          <w:tcPr>
            <w:tcW w:w="550" w:type="dxa"/>
          </w:tcPr>
          <w:p w:rsidR="00280DF2" w:rsidP="009C5286" w14:paraId="73930232" w14:textId="77777777">
            <w:pPr>
              <w:pStyle w:val="TableParagraph"/>
              <w:spacing w:line="130" w:lineRule="exact"/>
              <w:ind w:left="0" w:right="72"/>
              <w:jc w:val="center"/>
              <w:rPr>
                <w:b/>
                <w:sz w:val="12"/>
              </w:rPr>
            </w:pPr>
            <w:r>
              <w:rPr>
                <w:b/>
                <w:sz w:val="12"/>
              </w:rPr>
              <w:t>Country</w:t>
            </w:r>
          </w:p>
        </w:tc>
        <w:tc>
          <w:tcPr>
            <w:tcW w:w="3487" w:type="dxa"/>
          </w:tcPr>
          <w:p w:rsidR="00280DF2" w:rsidP="009C5286" w14:paraId="69C8228F" w14:textId="77777777">
            <w:pPr>
              <w:pStyle w:val="TableParagraph"/>
              <w:spacing w:line="130" w:lineRule="exact"/>
              <w:rPr>
                <w:b/>
                <w:sz w:val="12"/>
              </w:rPr>
            </w:pPr>
            <w:r>
              <w:rPr>
                <w:b/>
                <w:sz w:val="12"/>
              </w:rPr>
              <w:t>Highlights of Findings</w:t>
            </w:r>
          </w:p>
        </w:tc>
      </w:tr>
      <w:tr w14:paraId="6B76D54C" w14:textId="77777777" w:rsidTr="0079161F">
        <w:tblPrEx>
          <w:tblW w:w="0" w:type="auto"/>
          <w:tblInd w:w="100" w:type="dxa"/>
          <w:tblLayout w:type="fixed"/>
          <w:tblCellMar>
            <w:left w:w="0" w:type="dxa"/>
            <w:right w:w="0" w:type="dxa"/>
          </w:tblCellMar>
          <w:tblLook w:val="01E0"/>
        </w:tblPrEx>
        <w:trPr>
          <w:trHeight w:val="1954"/>
        </w:trPr>
        <w:tc>
          <w:tcPr>
            <w:tcW w:w="1036" w:type="dxa"/>
          </w:tcPr>
          <w:p w:rsidR="00280DF2" w:rsidP="009C5286" w14:paraId="70DA9A6E" w14:textId="77777777">
            <w:pPr>
              <w:pStyle w:val="TableParagraph"/>
              <w:spacing w:line="252" w:lineRule="auto"/>
              <w:ind w:right="89"/>
              <w:rPr>
                <w:sz w:val="12"/>
              </w:rPr>
            </w:pPr>
            <w:r>
              <w:rPr>
                <w:sz w:val="12"/>
              </w:rPr>
              <w:t>Acton, Vanderlee, &amp; Hammond</w:t>
            </w:r>
          </w:p>
        </w:tc>
        <w:tc>
          <w:tcPr>
            <w:tcW w:w="2101" w:type="dxa"/>
          </w:tcPr>
          <w:p w:rsidR="00280DF2" w:rsidP="009C5286" w14:paraId="0D635511" w14:textId="77777777">
            <w:pPr>
              <w:pStyle w:val="TableParagraph"/>
              <w:spacing w:line="252" w:lineRule="auto"/>
              <w:ind w:right="94"/>
              <w:rPr>
                <w:sz w:val="12"/>
              </w:rPr>
            </w:pPr>
            <w:r>
              <w:rPr>
                <w:sz w:val="12"/>
              </w:rPr>
              <w:t>Influence of front-of-package nutrition labels on beverage healthiness perceptions: Results from a randomized experiment</w:t>
            </w:r>
          </w:p>
        </w:tc>
        <w:tc>
          <w:tcPr>
            <w:tcW w:w="333" w:type="dxa"/>
          </w:tcPr>
          <w:p w:rsidR="00280DF2" w:rsidP="009C5286" w14:paraId="36C31E41" w14:textId="77777777">
            <w:pPr>
              <w:pStyle w:val="TableParagraph"/>
              <w:spacing w:line="140" w:lineRule="exact"/>
              <w:ind w:left="36"/>
              <w:rPr>
                <w:sz w:val="12"/>
              </w:rPr>
            </w:pPr>
            <w:r>
              <w:rPr>
                <w:color w:val="0000FE"/>
                <w:sz w:val="12"/>
              </w:rPr>
              <w:t>2018</w:t>
            </w:r>
          </w:p>
        </w:tc>
        <w:tc>
          <w:tcPr>
            <w:tcW w:w="3555" w:type="dxa"/>
          </w:tcPr>
          <w:p w:rsidR="00280DF2" w:rsidP="009C5286" w14:paraId="766C7C7A" w14:textId="77777777">
            <w:pPr>
              <w:pStyle w:val="TableParagraph"/>
              <w:spacing w:line="140" w:lineRule="exact"/>
              <w:rPr>
                <w:sz w:val="12"/>
              </w:rPr>
            </w:pPr>
            <w:r>
              <w:rPr>
                <w:sz w:val="12"/>
              </w:rPr>
              <w:t>Quantitative.</w:t>
            </w:r>
          </w:p>
          <w:p w:rsidR="00280DF2" w:rsidP="009C5286" w14:paraId="3AF03E7F" w14:textId="77777777">
            <w:pPr>
              <w:pStyle w:val="TableParagraph"/>
              <w:numPr>
                <w:ilvl w:val="0"/>
                <w:numId w:val="16"/>
              </w:numPr>
              <w:tabs>
                <w:tab w:val="left" w:pos="147"/>
              </w:tabs>
              <w:spacing w:before="7"/>
              <w:ind w:firstLine="0"/>
              <w:rPr>
                <w:sz w:val="12"/>
              </w:rPr>
            </w:pPr>
            <w:r>
              <w:rPr>
                <w:sz w:val="12"/>
              </w:rPr>
              <w:t>Experimental +</w:t>
            </w:r>
            <w:r>
              <w:rPr>
                <w:spacing w:val="-11"/>
                <w:sz w:val="12"/>
              </w:rPr>
              <w:t xml:space="preserve"> </w:t>
            </w:r>
            <w:r>
              <w:rPr>
                <w:sz w:val="12"/>
              </w:rPr>
              <w:t>Survey</w:t>
            </w:r>
          </w:p>
          <w:p w:rsidR="00280DF2" w:rsidP="009C5286" w14:paraId="2D9A5073" w14:textId="558E3FA5">
            <w:pPr>
              <w:pStyle w:val="TableParagraph"/>
              <w:numPr>
                <w:ilvl w:val="0"/>
                <w:numId w:val="16"/>
              </w:numPr>
              <w:tabs>
                <w:tab w:val="left" w:pos="147"/>
              </w:tabs>
              <w:spacing w:before="8" w:line="252" w:lineRule="auto"/>
              <w:ind w:right="71" w:firstLine="0"/>
              <w:rPr>
                <w:sz w:val="12"/>
              </w:rPr>
            </w:pPr>
            <w:r>
              <w:rPr>
                <w:sz w:val="12"/>
              </w:rPr>
              <w:t xml:space="preserve">Experiment: Participants were </w:t>
            </w:r>
            <w:r>
              <w:rPr>
                <w:spacing w:val="-3"/>
                <w:sz w:val="12"/>
              </w:rPr>
              <w:t xml:space="preserve">asked </w:t>
            </w:r>
            <w:r>
              <w:rPr>
                <w:sz w:val="12"/>
              </w:rPr>
              <w:t xml:space="preserve">to rate the healthiness of soda, unflavored milk, and chocolate </w:t>
            </w:r>
            <w:r>
              <w:rPr>
                <w:spacing w:val="1"/>
                <w:sz w:val="12"/>
              </w:rPr>
              <w:t xml:space="preserve">milk </w:t>
            </w:r>
            <w:r>
              <w:rPr>
                <w:sz w:val="12"/>
              </w:rPr>
              <w:t xml:space="preserve">displaying one of four </w:t>
            </w:r>
            <w:r w:rsidR="00F638F1">
              <w:rPr>
                <w:sz w:val="12"/>
              </w:rPr>
              <w:t>FOP</w:t>
            </w:r>
            <w:r>
              <w:rPr>
                <w:sz w:val="12"/>
              </w:rPr>
              <w:t xml:space="preserve"> conditions</w:t>
            </w:r>
            <w:r>
              <w:rPr>
                <w:spacing w:val="-8"/>
                <w:sz w:val="12"/>
              </w:rPr>
              <w:t xml:space="preserve"> </w:t>
            </w:r>
            <w:r>
              <w:rPr>
                <w:sz w:val="12"/>
              </w:rPr>
              <w:t>(no</w:t>
            </w:r>
            <w:r>
              <w:rPr>
                <w:spacing w:val="-2"/>
                <w:sz w:val="12"/>
              </w:rPr>
              <w:t xml:space="preserve"> </w:t>
            </w:r>
            <w:r>
              <w:rPr>
                <w:sz w:val="12"/>
              </w:rPr>
              <w:t>label</w:t>
            </w:r>
            <w:r>
              <w:rPr>
                <w:spacing w:val="1"/>
                <w:sz w:val="12"/>
              </w:rPr>
              <w:t xml:space="preserve"> </w:t>
            </w:r>
            <w:r>
              <w:rPr>
                <w:sz w:val="12"/>
              </w:rPr>
              <w:t>+</w:t>
            </w:r>
            <w:r>
              <w:rPr>
                <w:spacing w:val="-10"/>
                <w:sz w:val="12"/>
              </w:rPr>
              <w:t xml:space="preserve"> </w:t>
            </w:r>
            <w:r>
              <w:rPr>
                <w:sz w:val="12"/>
              </w:rPr>
              <w:t>the</w:t>
            </w:r>
            <w:r>
              <w:rPr>
                <w:spacing w:val="-10"/>
                <w:sz w:val="12"/>
              </w:rPr>
              <w:t xml:space="preserve"> </w:t>
            </w:r>
            <w:r>
              <w:rPr>
                <w:sz w:val="12"/>
              </w:rPr>
              <w:t>other</w:t>
            </w:r>
            <w:r>
              <w:rPr>
                <w:spacing w:val="-3"/>
                <w:sz w:val="12"/>
              </w:rPr>
              <w:t xml:space="preserve"> </w:t>
            </w:r>
            <w:r>
              <w:rPr>
                <w:sz w:val="12"/>
              </w:rPr>
              <w:t>three</w:t>
            </w:r>
            <w:r>
              <w:rPr>
                <w:spacing w:val="-10"/>
                <w:sz w:val="12"/>
              </w:rPr>
              <w:t xml:space="preserve"> </w:t>
            </w:r>
            <w:r>
              <w:rPr>
                <w:sz w:val="12"/>
              </w:rPr>
              <w:t>listed</w:t>
            </w:r>
            <w:r>
              <w:rPr>
                <w:spacing w:val="-2"/>
                <w:sz w:val="12"/>
              </w:rPr>
              <w:t xml:space="preserve"> </w:t>
            </w:r>
            <w:r>
              <w:rPr>
                <w:sz w:val="12"/>
              </w:rPr>
              <w:t>on</w:t>
            </w:r>
            <w:r>
              <w:rPr>
                <w:spacing w:val="-2"/>
                <w:sz w:val="12"/>
              </w:rPr>
              <w:t xml:space="preserve"> </w:t>
            </w:r>
            <w:r>
              <w:rPr>
                <w:sz w:val="12"/>
              </w:rPr>
              <w:t>the</w:t>
            </w:r>
            <w:r>
              <w:rPr>
                <w:spacing w:val="-10"/>
                <w:sz w:val="12"/>
              </w:rPr>
              <w:t xml:space="preserve"> </w:t>
            </w:r>
            <w:r>
              <w:rPr>
                <w:sz w:val="12"/>
              </w:rPr>
              <w:t>right)</w:t>
            </w:r>
          </w:p>
          <w:p w:rsidR="00280DF2" w:rsidP="005A1B39" w14:paraId="140D1C1A" w14:textId="41340188">
            <w:pPr>
              <w:pStyle w:val="TableParagraph"/>
              <w:numPr>
                <w:ilvl w:val="0"/>
                <w:numId w:val="16"/>
              </w:numPr>
              <w:tabs>
                <w:tab w:val="left" w:pos="147"/>
              </w:tabs>
              <w:spacing w:line="252" w:lineRule="auto"/>
              <w:ind w:left="29" w:right="173" w:firstLine="0"/>
              <w:jc w:val="both"/>
              <w:rPr>
                <w:sz w:val="12"/>
              </w:rPr>
            </w:pPr>
            <w:r>
              <w:rPr>
                <w:sz w:val="12"/>
              </w:rPr>
              <w:t xml:space="preserve">Survey: </w:t>
            </w:r>
            <w:r>
              <w:rPr>
                <w:spacing w:val="-3"/>
                <w:sz w:val="12"/>
              </w:rPr>
              <w:t xml:space="preserve">after </w:t>
            </w:r>
            <w:r>
              <w:rPr>
                <w:sz w:val="12"/>
              </w:rPr>
              <w:t xml:space="preserve">the experiment component, participants were </w:t>
            </w:r>
            <w:r>
              <w:rPr>
                <w:spacing w:val="-3"/>
                <w:sz w:val="12"/>
              </w:rPr>
              <w:t xml:space="preserve">asked </w:t>
            </w:r>
            <w:r>
              <w:rPr>
                <w:sz w:val="12"/>
              </w:rPr>
              <w:t xml:space="preserve">about their preference </w:t>
            </w:r>
            <w:r>
              <w:rPr>
                <w:spacing w:val="-3"/>
                <w:sz w:val="12"/>
              </w:rPr>
              <w:t xml:space="preserve">between </w:t>
            </w:r>
            <w:r>
              <w:rPr>
                <w:sz w:val="12"/>
              </w:rPr>
              <w:t>summary indicator versus nutrient- specific</w:t>
            </w:r>
            <w:r>
              <w:rPr>
                <w:spacing w:val="-2"/>
                <w:sz w:val="12"/>
              </w:rPr>
              <w:t xml:space="preserve"> </w:t>
            </w:r>
            <w:r w:rsidR="00F638F1">
              <w:rPr>
                <w:sz w:val="12"/>
              </w:rPr>
              <w:t>FOP</w:t>
            </w:r>
          </w:p>
          <w:p w:rsidR="00280DF2" w:rsidP="009C5286" w14:paraId="55FBE07E" w14:textId="77777777">
            <w:pPr>
              <w:pStyle w:val="TableParagraph"/>
              <w:spacing w:before="1"/>
              <w:rPr>
                <w:sz w:val="12"/>
              </w:rPr>
            </w:pPr>
            <w:r>
              <w:rPr>
                <w:sz w:val="12"/>
              </w:rPr>
              <w:t>675 participants</w:t>
            </w:r>
          </w:p>
        </w:tc>
        <w:tc>
          <w:tcPr>
            <w:tcW w:w="1199" w:type="dxa"/>
          </w:tcPr>
          <w:p w:rsidR="00280DF2" w:rsidP="009C5286" w14:paraId="3AE033D1" w14:textId="77777777">
            <w:pPr>
              <w:pStyle w:val="TableParagraph"/>
              <w:numPr>
                <w:ilvl w:val="0"/>
                <w:numId w:val="15"/>
              </w:numPr>
              <w:tabs>
                <w:tab w:val="left" w:pos="147"/>
              </w:tabs>
              <w:spacing w:line="140" w:lineRule="exact"/>
              <w:ind w:firstLine="0"/>
              <w:rPr>
                <w:sz w:val="12"/>
              </w:rPr>
            </w:pPr>
            <w:r>
              <w:rPr>
                <w:sz w:val="12"/>
              </w:rPr>
              <w:t>Numeric</w:t>
            </w:r>
            <w:r>
              <w:rPr>
                <w:spacing w:val="-1"/>
                <w:sz w:val="12"/>
              </w:rPr>
              <w:t xml:space="preserve"> </w:t>
            </w:r>
            <w:r>
              <w:rPr>
                <w:sz w:val="12"/>
              </w:rPr>
              <w:t>Rating</w:t>
            </w:r>
          </w:p>
          <w:p w:rsidR="00280DF2" w:rsidP="009C5286" w14:paraId="46309DEF" w14:textId="77777777">
            <w:pPr>
              <w:pStyle w:val="TableParagraph"/>
              <w:numPr>
                <w:ilvl w:val="0"/>
                <w:numId w:val="15"/>
              </w:numPr>
              <w:tabs>
                <w:tab w:val="left" w:pos="147"/>
              </w:tabs>
              <w:spacing w:before="7" w:line="252" w:lineRule="auto"/>
              <w:ind w:right="142" w:firstLine="0"/>
              <w:rPr>
                <w:sz w:val="12"/>
              </w:rPr>
            </w:pPr>
            <w:r>
              <w:rPr>
                <w:sz w:val="12"/>
              </w:rPr>
              <w:t>Health Star Rating (HSR)</w:t>
            </w:r>
          </w:p>
          <w:p w:rsidR="00280DF2" w:rsidP="009C5286" w14:paraId="5227BED4" w14:textId="77777777">
            <w:pPr>
              <w:pStyle w:val="TableParagraph"/>
              <w:numPr>
                <w:ilvl w:val="0"/>
                <w:numId w:val="15"/>
              </w:numPr>
              <w:tabs>
                <w:tab w:val="left" w:pos="147"/>
              </w:tabs>
              <w:spacing w:before="1" w:line="252" w:lineRule="auto"/>
              <w:ind w:right="150" w:firstLine="0"/>
              <w:rPr>
                <w:sz w:val="12"/>
              </w:rPr>
            </w:pPr>
            <w:r>
              <w:rPr>
                <w:sz w:val="12"/>
              </w:rPr>
              <w:t xml:space="preserve">Simplified </w:t>
            </w:r>
            <w:r>
              <w:rPr>
                <w:sz w:val="12"/>
              </w:rPr>
              <w:t>traffice</w:t>
            </w:r>
            <w:r>
              <w:rPr>
                <w:sz w:val="12"/>
              </w:rPr>
              <w:t xml:space="preserve"> light</w:t>
            </w:r>
            <w:r>
              <w:rPr>
                <w:spacing w:val="-2"/>
                <w:sz w:val="12"/>
              </w:rPr>
              <w:t xml:space="preserve"> </w:t>
            </w:r>
            <w:r>
              <w:rPr>
                <w:sz w:val="12"/>
              </w:rPr>
              <w:t>(STL)</w:t>
            </w:r>
          </w:p>
        </w:tc>
        <w:tc>
          <w:tcPr>
            <w:tcW w:w="1204" w:type="dxa"/>
          </w:tcPr>
          <w:p w:rsidR="00280DF2" w:rsidP="009C5286" w14:paraId="59D09F29" w14:textId="77777777">
            <w:pPr>
              <w:pStyle w:val="TableParagraph"/>
              <w:spacing w:before="9"/>
              <w:ind w:left="0"/>
              <w:rPr>
                <w:rFonts w:ascii="Times New Roman"/>
                <w:sz w:val="3"/>
              </w:rPr>
            </w:pPr>
          </w:p>
          <w:p w:rsidR="00280DF2" w:rsidP="009C5286" w14:paraId="3376C10F" w14:textId="77777777">
            <w:pPr>
              <w:pStyle w:val="TableParagraph"/>
              <w:ind w:left="68"/>
              <w:rPr>
                <w:rFonts w:ascii="Times New Roman"/>
                <w:sz w:val="20"/>
              </w:rPr>
            </w:pPr>
            <w:r>
              <w:rPr>
                <w:noProof/>
              </w:rPr>
              <w:drawing>
                <wp:inline distT="0" distB="0" distL="0" distR="0">
                  <wp:extent cx="671515" cy="98012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1.png"/>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tretch>
                            <a:fillRect/>
                          </a:stretch>
                        </pic:blipFill>
                        <pic:spPr>
                          <a:xfrm>
                            <a:off x="0" y="0"/>
                            <a:ext cx="671515" cy="980122"/>
                          </a:xfrm>
                          <a:prstGeom prst="rect">
                            <a:avLst/>
                          </a:prstGeom>
                        </pic:spPr>
                      </pic:pic>
                    </a:graphicData>
                  </a:graphic>
                </wp:inline>
              </w:drawing>
            </w:r>
          </w:p>
        </w:tc>
        <w:tc>
          <w:tcPr>
            <w:tcW w:w="550" w:type="dxa"/>
          </w:tcPr>
          <w:p w:rsidR="00280DF2" w:rsidP="009C5286" w14:paraId="6DD93C21" w14:textId="77777777">
            <w:pPr>
              <w:pStyle w:val="TableParagraph"/>
              <w:spacing w:line="140" w:lineRule="exact"/>
              <w:ind w:left="8" w:right="124"/>
              <w:jc w:val="center"/>
              <w:rPr>
                <w:sz w:val="12"/>
              </w:rPr>
            </w:pPr>
            <w:r>
              <w:rPr>
                <w:sz w:val="12"/>
              </w:rPr>
              <w:t>Canada</w:t>
            </w:r>
          </w:p>
        </w:tc>
        <w:tc>
          <w:tcPr>
            <w:tcW w:w="3487" w:type="dxa"/>
          </w:tcPr>
          <w:p w:rsidR="00280DF2" w:rsidP="009C5286" w14:paraId="41E4BC78" w14:textId="77777777">
            <w:pPr>
              <w:pStyle w:val="TableParagraph"/>
              <w:numPr>
                <w:ilvl w:val="0"/>
                <w:numId w:val="14"/>
              </w:numPr>
              <w:tabs>
                <w:tab w:val="left" w:pos="147"/>
              </w:tabs>
              <w:spacing w:line="252" w:lineRule="auto"/>
              <w:ind w:right="114" w:firstLine="0"/>
              <w:rPr>
                <w:sz w:val="12"/>
              </w:rPr>
            </w:pPr>
            <w:r>
              <w:rPr>
                <w:sz w:val="12"/>
              </w:rPr>
              <w:t xml:space="preserve">Consumers </w:t>
            </w:r>
            <w:r>
              <w:rPr>
                <w:spacing w:val="1"/>
                <w:sz w:val="12"/>
              </w:rPr>
              <w:t xml:space="preserve">in </w:t>
            </w:r>
            <w:r>
              <w:rPr>
                <w:sz w:val="12"/>
              </w:rPr>
              <w:t>the HSR and STL conditions were more likely to correctly</w:t>
            </w:r>
            <w:r>
              <w:rPr>
                <w:spacing w:val="-2"/>
                <w:sz w:val="12"/>
              </w:rPr>
              <w:t xml:space="preserve"> </w:t>
            </w:r>
            <w:r>
              <w:rPr>
                <w:sz w:val="12"/>
              </w:rPr>
              <w:t>perceive</w:t>
            </w:r>
            <w:r>
              <w:rPr>
                <w:spacing w:val="-9"/>
                <w:sz w:val="12"/>
              </w:rPr>
              <w:t xml:space="preserve"> </w:t>
            </w:r>
            <w:r>
              <w:rPr>
                <w:sz w:val="12"/>
              </w:rPr>
              <w:t>a</w:t>
            </w:r>
            <w:r>
              <w:rPr>
                <w:spacing w:val="-6"/>
                <w:sz w:val="12"/>
              </w:rPr>
              <w:t xml:space="preserve"> </w:t>
            </w:r>
            <w:r>
              <w:rPr>
                <w:sz w:val="12"/>
              </w:rPr>
              <w:t>chocolate</w:t>
            </w:r>
            <w:r>
              <w:rPr>
                <w:spacing w:val="-9"/>
                <w:sz w:val="12"/>
              </w:rPr>
              <w:t xml:space="preserve"> </w:t>
            </w:r>
            <w:r>
              <w:rPr>
                <w:spacing w:val="1"/>
                <w:sz w:val="12"/>
              </w:rPr>
              <w:t>milk</w:t>
            </w:r>
            <w:r>
              <w:rPr>
                <w:spacing w:val="-3"/>
                <w:sz w:val="12"/>
              </w:rPr>
              <w:t xml:space="preserve"> </w:t>
            </w:r>
            <w:r>
              <w:rPr>
                <w:sz w:val="12"/>
              </w:rPr>
              <w:t>beverage</w:t>
            </w:r>
            <w:r>
              <w:rPr>
                <w:spacing w:val="-9"/>
                <w:sz w:val="12"/>
              </w:rPr>
              <w:t xml:space="preserve"> </w:t>
            </w:r>
            <w:r>
              <w:rPr>
                <w:sz w:val="12"/>
              </w:rPr>
              <w:t>as</w:t>
            </w:r>
            <w:r>
              <w:rPr>
                <w:spacing w:val="-6"/>
                <w:sz w:val="12"/>
              </w:rPr>
              <w:t xml:space="preserve"> </w:t>
            </w:r>
            <w:r>
              <w:rPr>
                <w:sz w:val="12"/>
              </w:rPr>
              <w:t>'moderately</w:t>
            </w:r>
            <w:r>
              <w:rPr>
                <w:spacing w:val="-2"/>
                <w:sz w:val="12"/>
              </w:rPr>
              <w:t xml:space="preserve"> </w:t>
            </w:r>
            <w:r>
              <w:rPr>
                <w:sz w:val="12"/>
              </w:rPr>
              <w:t>healthy'.</w:t>
            </w:r>
          </w:p>
          <w:p w:rsidR="00280DF2" w:rsidP="009C5286" w14:paraId="7F1F1272" w14:textId="77777777">
            <w:pPr>
              <w:pStyle w:val="TableParagraph"/>
              <w:numPr>
                <w:ilvl w:val="0"/>
                <w:numId w:val="14"/>
              </w:numPr>
              <w:tabs>
                <w:tab w:val="left" w:pos="147"/>
              </w:tabs>
              <w:spacing w:line="252" w:lineRule="auto"/>
              <w:ind w:right="81" w:firstLine="0"/>
              <w:rPr>
                <w:sz w:val="12"/>
              </w:rPr>
            </w:pPr>
            <w:r>
              <w:rPr>
                <w:sz w:val="12"/>
              </w:rPr>
              <w:t xml:space="preserve">The largest proportion of participants (45%) indicated they would </w:t>
            </w:r>
            <w:r>
              <w:rPr>
                <w:spacing w:val="1"/>
                <w:sz w:val="12"/>
              </w:rPr>
              <w:t xml:space="preserve">like </w:t>
            </w:r>
            <w:r>
              <w:rPr>
                <w:sz w:val="12"/>
              </w:rPr>
              <w:t xml:space="preserve">to </w:t>
            </w:r>
            <w:r>
              <w:rPr>
                <w:spacing w:val="-4"/>
                <w:sz w:val="12"/>
              </w:rPr>
              <w:t xml:space="preserve">see </w:t>
            </w:r>
            <w:r>
              <w:rPr>
                <w:sz w:val="12"/>
              </w:rPr>
              <w:t>both an overall health rating</w:t>
            </w:r>
            <w:r>
              <w:rPr>
                <w:spacing w:val="-20"/>
                <w:sz w:val="12"/>
              </w:rPr>
              <w:t xml:space="preserve"> </w:t>
            </w:r>
            <w:r>
              <w:rPr>
                <w:sz w:val="12"/>
              </w:rPr>
              <w:t>and nutrient-specific info.</w:t>
            </w:r>
          </w:p>
          <w:p w:rsidR="00280DF2" w:rsidP="009C5286" w14:paraId="66138ADC" w14:textId="391DCA56">
            <w:pPr>
              <w:pStyle w:val="TableParagraph"/>
              <w:numPr>
                <w:ilvl w:val="0"/>
                <w:numId w:val="14"/>
              </w:numPr>
              <w:tabs>
                <w:tab w:val="left" w:pos="147"/>
              </w:tabs>
              <w:spacing w:line="252" w:lineRule="auto"/>
              <w:ind w:right="114" w:firstLine="0"/>
              <w:rPr>
                <w:sz w:val="12"/>
              </w:rPr>
            </w:pPr>
            <w:r>
              <w:rPr>
                <w:sz w:val="12"/>
              </w:rPr>
              <w:t xml:space="preserve">Results </w:t>
            </w:r>
            <w:r>
              <w:rPr>
                <w:spacing w:val="-3"/>
                <w:sz w:val="12"/>
              </w:rPr>
              <w:t xml:space="preserve">suggest </w:t>
            </w:r>
            <w:r>
              <w:rPr>
                <w:sz w:val="12"/>
              </w:rPr>
              <w:t xml:space="preserve">that the influence of </w:t>
            </w:r>
            <w:r w:rsidR="00F638F1">
              <w:rPr>
                <w:sz w:val="12"/>
              </w:rPr>
              <w:t>FOP</w:t>
            </w:r>
            <w:r>
              <w:rPr>
                <w:sz w:val="12"/>
              </w:rPr>
              <w:t xml:space="preserve"> labels may vary </w:t>
            </w:r>
            <w:r>
              <w:rPr>
                <w:spacing w:val="-3"/>
                <w:sz w:val="12"/>
              </w:rPr>
              <w:t xml:space="preserve">based </w:t>
            </w:r>
            <w:r>
              <w:rPr>
                <w:sz w:val="12"/>
              </w:rPr>
              <w:t xml:space="preserve">on the nutritional quality of food products and may have the </w:t>
            </w:r>
            <w:r>
              <w:rPr>
                <w:spacing w:val="-3"/>
                <w:sz w:val="12"/>
              </w:rPr>
              <w:t xml:space="preserve">greatest </w:t>
            </w:r>
            <w:r>
              <w:rPr>
                <w:sz w:val="12"/>
              </w:rPr>
              <w:t>influence on consumer perceptions of 'nutritionally ambiguous' foods.</w:t>
            </w:r>
          </w:p>
          <w:p w:rsidR="00280DF2" w:rsidP="009C5286" w14:paraId="16C3060C" w14:textId="52874B18">
            <w:pPr>
              <w:pStyle w:val="TableParagraph"/>
              <w:spacing w:line="252" w:lineRule="auto"/>
              <w:rPr>
                <w:sz w:val="12"/>
              </w:rPr>
            </w:pPr>
            <w:r>
              <w:rPr>
                <w:sz w:val="12"/>
              </w:rPr>
              <w:t xml:space="preserve">3. Consumers indicated almost unanimous support for implementing </w:t>
            </w:r>
            <w:r w:rsidR="00F638F1">
              <w:rPr>
                <w:sz w:val="12"/>
              </w:rPr>
              <w:t>FOP</w:t>
            </w:r>
            <w:r>
              <w:rPr>
                <w:sz w:val="12"/>
              </w:rPr>
              <w:t xml:space="preserve"> nutrition labeling systems.</w:t>
            </w:r>
          </w:p>
        </w:tc>
      </w:tr>
      <w:tr w14:paraId="03410DC3" w14:textId="77777777" w:rsidTr="0079161F">
        <w:tblPrEx>
          <w:tblW w:w="0" w:type="auto"/>
          <w:tblInd w:w="100" w:type="dxa"/>
          <w:tblLayout w:type="fixed"/>
          <w:tblCellMar>
            <w:left w:w="0" w:type="dxa"/>
            <w:right w:w="0" w:type="dxa"/>
          </w:tblCellMar>
          <w:tblLook w:val="01E0"/>
        </w:tblPrEx>
        <w:trPr>
          <w:trHeight w:val="1117"/>
        </w:trPr>
        <w:tc>
          <w:tcPr>
            <w:tcW w:w="1036" w:type="dxa"/>
          </w:tcPr>
          <w:p w:rsidR="00280DF2" w:rsidP="009C5286" w14:paraId="48E1C7E2" w14:textId="77777777">
            <w:pPr>
              <w:pStyle w:val="TableParagraph"/>
              <w:spacing w:line="252" w:lineRule="auto"/>
              <w:ind w:right="329"/>
              <w:rPr>
                <w:sz w:val="12"/>
              </w:rPr>
            </w:pPr>
            <w:r>
              <w:rPr>
                <w:sz w:val="12"/>
              </w:rPr>
              <w:t>Ares, Varela, Machin, et al</w:t>
            </w:r>
          </w:p>
        </w:tc>
        <w:tc>
          <w:tcPr>
            <w:tcW w:w="2101" w:type="dxa"/>
          </w:tcPr>
          <w:p w:rsidR="00280DF2" w:rsidP="009C5286" w14:paraId="18BE0BEF" w14:textId="77777777">
            <w:pPr>
              <w:pStyle w:val="TableParagraph"/>
              <w:spacing w:line="252" w:lineRule="auto"/>
              <w:rPr>
                <w:sz w:val="12"/>
              </w:rPr>
            </w:pPr>
            <w:r>
              <w:rPr>
                <w:sz w:val="12"/>
              </w:rPr>
              <w:t>Comparative performance of three interpretative front-of-pack nutrition labelling schemes: Insights for policy making</w:t>
            </w:r>
          </w:p>
        </w:tc>
        <w:tc>
          <w:tcPr>
            <w:tcW w:w="333" w:type="dxa"/>
          </w:tcPr>
          <w:p w:rsidR="00280DF2" w:rsidP="009C5286" w14:paraId="4DDC99B4" w14:textId="77777777">
            <w:pPr>
              <w:pStyle w:val="TableParagraph"/>
              <w:spacing w:line="140" w:lineRule="exact"/>
              <w:ind w:left="36"/>
              <w:rPr>
                <w:sz w:val="12"/>
              </w:rPr>
            </w:pPr>
            <w:r>
              <w:rPr>
                <w:color w:val="0000FE"/>
                <w:sz w:val="12"/>
              </w:rPr>
              <w:t>2018</w:t>
            </w:r>
          </w:p>
        </w:tc>
        <w:tc>
          <w:tcPr>
            <w:tcW w:w="3555" w:type="dxa"/>
          </w:tcPr>
          <w:p w:rsidR="00280DF2" w:rsidP="005A1B39" w14:paraId="23016BFA" w14:textId="77777777">
            <w:pPr>
              <w:pStyle w:val="TableParagraph"/>
              <w:spacing w:line="252" w:lineRule="auto"/>
              <w:ind w:left="29" w:right="173"/>
              <w:rPr>
                <w:sz w:val="12"/>
              </w:rPr>
            </w:pPr>
            <w:r>
              <w:rPr>
                <w:sz w:val="12"/>
              </w:rPr>
              <w:t>Quantitative.</w:t>
            </w:r>
          </w:p>
          <w:p w:rsidR="00280DF2" w:rsidP="005A1B39" w14:paraId="08982AA5" w14:textId="77777777">
            <w:pPr>
              <w:pStyle w:val="TableParagraph"/>
              <w:numPr>
                <w:ilvl w:val="0"/>
                <w:numId w:val="13"/>
              </w:numPr>
              <w:tabs>
                <w:tab w:val="left" w:pos="147"/>
              </w:tabs>
              <w:spacing w:line="252" w:lineRule="auto"/>
              <w:ind w:left="29" w:right="173" w:firstLine="0"/>
              <w:rPr>
                <w:sz w:val="12"/>
              </w:rPr>
            </w:pPr>
            <w:r>
              <w:rPr>
                <w:sz w:val="12"/>
              </w:rPr>
              <w:t>Visual search task - 112</w:t>
            </w:r>
            <w:r>
              <w:rPr>
                <w:spacing w:val="-19"/>
                <w:sz w:val="12"/>
              </w:rPr>
              <w:t xml:space="preserve"> </w:t>
            </w:r>
            <w:r>
              <w:rPr>
                <w:sz w:val="12"/>
              </w:rPr>
              <w:t>participants</w:t>
            </w:r>
          </w:p>
          <w:p w:rsidR="00280DF2" w:rsidP="005A1B39" w14:paraId="50A8A0BB" w14:textId="77777777">
            <w:pPr>
              <w:pStyle w:val="TableParagraph"/>
              <w:numPr>
                <w:ilvl w:val="0"/>
                <w:numId w:val="13"/>
              </w:numPr>
              <w:tabs>
                <w:tab w:val="left" w:pos="147"/>
              </w:tabs>
              <w:spacing w:line="252" w:lineRule="auto"/>
              <w:ind w:left="29" w:right="173" w:firstLine="0"/>
              <w:rPr>
                <w:sz w:val="12"/>
              </w:rPr>
            </w:pPr>
            <w:r>
              <w:rPr>
                <w:sz w:val="12"/>
              </w:rPr>
              <w:t>Online</w:t>
            </w:r>
            <w:r>
              <w:rPr>
                <w:spacing w:val="-11"/>
                <w:sz w:val="12"/>
              </w:rPr>
              <w:t xml:space="preserve"> </w:t>
            </w:r>
            <w:r>
              <w:rPr>
                <w:sz w:val="12"/>
              </w:rPr>
              <w:t>survey</w:t>
            </w:r>
            <w:r>
              <w:rPr>
                <w:spacing w:val="-5"/>
                <w:sz w:val="12"/>
              </w:rPr>
              <w:t xml:space="preserve"> </w:t>
            </w:r>
            <w:r>
              <w:rPr>
                <w:sz w:val="12"/>
              </w:rPr>
              <w:t>-</w:t>
            </w:r>
            <w:r>
              <w:rPr>
                <w:spacing w:val="-10"/>
                <w:sz w:val="12"/>
              </w:rPr>
              <w:t xml:space="preserve"> </w:t>
            </w:r>
            <w:r>
              <w:rPr>
                <w:sz w:val="12"/>
              </w:rPr>
              <w:t>892</w:t>
            </w:r>
            <w:r>
              <w:rPr>
                <w:spacing w:val="-1"/>
                <w:sz w:val="12"/>
              </w:rPr>
              <w:t xml:space="preserve"> </w:t>
            </w:r>
            <w:r>
              <w:rPr>
                <w:sz w:val="12"/>
              </w:rPr>
              <w:t>participants</w:t>
            </w:r>
          </w:p>
        </w:tc>
        <w:tc>
          <w:tcPr>
            <w:tcW w:w="1199" w:type="dxa"/>
          </w:tcPr>
          <w:p w:rsidR="00280DF2" w:rsidP="009C5286" w14:paraId="702B06E3" w14:textId="383CC96B">
            <w:pPr>
              <w:pStyle w:val="TableParagraph"/>
              <w:numPr>
                <w:ilvl w:val="0"/>
                <w:numId w:val="12"/>
              </w:numPr>
              <w:tabs>
                <w:tab w:val="left" w:pos="147"/>
              </w:tabs>
              <w:spacing w:line="140" w:lineRule="exact"/>
              <w:ind w:firstLine="0"/>
              <w:rPr>
                <w:sz w:val="12"/>
              </w:rPr>
            </w:pPr>
            <w:r>
              <w:rPr>
                <w:sz w:val="12"/>
              </w:rPr>
              <w:t>Nutri-Score</w:t>
            </w:r>
          </w:p>
          <w:p w:rsidR="00280DF2" w:rsidP="009C5286" w14:paraId="3DB43451" w14:textId="77777777">
            <w:pPr>
              <w:pStyle w:val="TableParagraph"/>
              <w:numPr>
                <w:ilvl w:val="0"/>
                <w:numId w:val="12"/>
              </w:numPr>
              <w:tabs>
                <w:tab w:val="left" w:pos="147"/>
              </w:tabs>
              <w:spacing w:before="7" w:line="252" w:lineRule="auto"/>
              <w:ind w:right="131" w:firstLine="0"/>
              <w:rPr>
                <w:sz w:val="12"/>
              </w:rPr>
            </w:pPr>
            <w:r>
              <w:rPr>
                <w:sz w:val="12"/>
              </w:rPr>
              <w:t>Health start rating (HSR)</w:t>
            </w:r>
          </w:p>
          <w:p w:rsidR="00280DF2" w:rsidP="009C5286" w14:paraId="4547D906" w14:textId="77777777">
            <w:pPr>
              <w:pStyle w:val="TableParagraph"/>
              <w:numPr>
                <w:ilvl w:val="0"/>
                <w:numId w:val="12"/>
              </w:numPr>
              <w:tabs>
                <w:tab w:val="left" w:pos="147"/>
              </w:tabs>
              <w:spacing w:before="1"/>
              <w:ind w:firstLine="0"/>
              <w:rPr>
                <w:sz w:val="12"/>
              </w:rPr>
            </w:pPr>
            <w:r>
              <w:rPr>
                <w:sz w:val="12"/>
              </w:rPr>
              <w:t>Nutritional</w:t>
            </w:r>
            <w:r>
              <w:rPr>
                <w:spacing w:val="10"/>
                <w:sz w:val="12"/>
              </w:rPr>
              <w:t xml:space="preserve"> </w:t>
            </w:r>
            <w:r>
              <w:rPr>
                <w:sz w:val="12"/>
              </w:rPr>
              <w:t>warning</w:t>
            </w:r>
          </w:p>
        </w:tc>
        <w:tc>
          <w:tcPr>
            <w:tcW w:w="1204" w:type="dxa"/>
          </w:tcPr>
          <w:p w:rsidR="00280DF2" w:rsidP="009C5286" w14:paraId="705D8D99" w14:textId="77777777">
            <w:pPr>
              <w:pStyle w:val="TableParagraph"/>
              <w:spacing w:before="7"/>
              <w:ind w:left="0"/>
              <w:rPr>
                <w:rFonts w:ascii="Times New Roman"/>
                <w:sz w:val="7"/>
              </w:rPr>
            </w:pPr>
          </w:p>
          <w:p w:rsidR="00280DF2" w:rsidP="009C5286" w14:paraId="500E1F4A" w14:textId="77777777">
            <w:pPr>
              <w:pStyle w:val="TableParagraph"/>
              <w:ind w:left="96"/>
              <w:rPr>
                <w:rFonts w:ascii="Times New Roman"/>
                <w:sz w:val="20"/>
              </w:rPr>
            </w:pPr>
            <w:r>
              <w:rPr>
                <w:noProof/>
              </w:rPr>
              <w:drawing>
                <wp:inline distT="0" distB="0" distL="0" distR="0">
                  <wp:extent cx="660065" cy="61150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2.png"/>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a:xfrm>
                            <a:off x="0" y="0"/>
                            <a:ext cx="660065" cy="611504"/>
                          </a:xfrm>
                          <a:prstGeom prst="rect">
                            <a:avLst/>
                          </a:prstGeom>
                        </pic:spPr>
                      </pic:pic>
                    </a:graphicData>
                  </a:graphic>
                </wp:inline>
              </w:drawing>
            </w:r>
          </w:p>
        </w:tc>
        <w:tc>
          <w:tcPr>
            <w:tcW w:w="550" w:type="dxa"/>
          </w:tcPr>
          <w:p w:rsidR="00280DF2" w:rsidP="009C5286" w14:paraId="48D34BB3" w14:textId="77777777">
            <w:pPr>
              <w:pStyle w:val="TableParagraph"/>
              <w:spacing w:line="140" w:lineRule="exact"/>
              <w:ind w:left="8" w:right="72"/>
              <w:jc w:val="center"/>
              <w:rPr>
                <w:sz w:val="12"/>
              </w:rPr>
            </w:pPr>
            <w:r>
              <w:rPr>
                <w:sz w:val="12"/>
              </w:rPr>
              <w:t>Uruguay</w:t>
            </w:r>
          </w:p>
        </w:tc>
        <w:tc>
          <w:tcPr>
            <w:tcW w:w="3487" w:type="dxa"/>
          </w:tcPr>
          <w:p w:rsidR="00280DF2" w:rsidP="009C5286" w14:paraId="6D0BE87E" w14:textId="0F07CD1D">
            <w:pPr>
              <w:pStyle w:val="TableParagraph"/>
              <w:numPr>
                <w:ilvl w:val="0"/>
                <w:numId w:val="11"/>
              </w:numPr>
              <w:tabs>
                <w:tab w:val="left" w:pos="147"/>
              </w:tabs>
              <w:spacing w:line="252" w:lineRule="auto"/>
              <w:ind w:right="136" w:firstLine="0"/>
              <w:rPr>
                <w:sz w:val="12"/>
              </w:rPr>
            </w:pPr>
            <w:r>
              <w:rPr>
                <w:sz w:val="12"/>
              </w:rPr>
              <w:t xml:space="preserve">Effectiveness of capturing attention and affecting perception and purchase intention: </w:t>
            </w:r>
            <w:r w:rsidR="004B6E26">
              <w:rPr>
                <w:sz w:val="12"/>
              </w:rPr>
              <w:t>Nutri-Score</w:t>
            </w:r>
            <w:r>
              <w:rPr>
                <w:sz w:val="12"/>
              </w:rPr>
              <w:t xml:space="preserve"> and warning did better than</w:t>
            </w:r>
            <w:r>
              <w:rPr>
                <w:spacing w:val="-12"/>
                <w:sz w:val="12"/>
              </w:rPr>
              <w:t xml:space="preserve"> </w:t>
            </w:r>
            <w:r>
              <w:rPr>
                <w:sz w:val="12"/>
              </w:rPr>
              <w:t>HSR.</w:t>
            </w:r>
          </w:p>
          <w:p w:rsidR="00280DF2" w:rsidP="009C5286" w14:paraId="7CE31B23" w14:textId="77777777">
            <w:pPr>
              <w:pStyle w:val="TableParagraph"/>
              <w:numPr>
                <w:ilvl w:val="0"/>
                <w:numId w:val="11"/>
              </w:numPr>
              <w:tabs>
                <w:tab w:val="left" w:pos="147"/>
              </w:tabs>
              <w:spacing w:line="252" w:lineRule="auto"/>
              <w:ind w:right="108" w:firstLine="0"/>
              <w:rPr>
                <w:sz w:val="12"/>
              </w:rPr>
            </w:pPr>
            <w:r>
              <w:rPr>
                <w:sz w:val="12"/>
              </w:rPr>
              <w:t xml:space="preserve">Warning label had more </w:t>
            </w:r>
            <w:r>
              <w:rPr>
                <w:spacing w:val="-3"/>
                <w:sz w:val="12"/>
              </w:rPr>
              <w:t xml:space="preserve">effects </w:t>
            </w:r>
            <w:r>
              <w:rPr>
                <w:sz w:val="12"/>
              </w:rPr>
              <w:t>on the perception (and intention) of unhealthful</w:t>
            </w:r>
            <w:r>
              <w:rPr>
                <w:spacing w:val="-10"/>
                <w:sz w:val="12"/>
              </w:rPr>
              <w:t xml:space="preserve"> </w:t>
            </w:r>
            <w:r>
              <w:rPr>
                <w:sz w:val="12"/>
              </w:rPr>
              <w:t>products</w:t>
            </w:r>
          </w:p>
        </w:tc>
      </w:tr>
      <w:tr w14:paraId="244E9482" w14:textId="77777777" w:rsidTr="0079161F">
        <w:tblPrEx>
          <w:tblW w:w="0" w:type="auto"/>
          <w:tblInd w:w="100" w:type="dxa"/>
          <w:tblLayout w:type="fixed"/>
          <w:tblCellMar>
            <w:left w:w="0" w:type="dxa"/>
            <w:right w:w="0" w:type="dxa"/>
          </w:tblCellMar>
          <w:tblLook w:val="01E0"/>
        </w:tblPrEx>
        <w:trPr>
          <w:trHeight w:val="1645"/>
        </w:trPr>
        <w:tc>
          <w:tcPr>
            <w:tcW w:w="1036" w:type="dxa"/>
          </w:tcPr>
          <w:p w:rsidR="00280DF2" w:rsidP="009C5286" w14:paraId="71B99F18" w14:textId="77777777">
            <w:pPr>
              <w:pStyle w:val="TableParagraph"/>
              <w:spacing w:line="252" w:lineRule="auto"/>
              <w:ind w:right="210"/>
              <w:rPr>
                <w:sz w:val="12"/>
              </w:rPr>
            </w:pPr>
            <w:r>
              <w:rPr>
                <w:sz w:val="12"/>
              </w:rPr>
              <w:t>Billich, Blake, Backholer, et al</w:t>
            </w:r>
          </w:p>
        </w:tc>
        <w:tc>
          <w:tcPr>
            <w:tcW w:w="2101" w:type="dxa"/>
          </w:tcPr>
          <w:p w:rsidR="00280DF2" w:rsidP="009C5286" w14:paraId="791950D5" w14:textId="77777777">
            <w:pPr>
              <w:pStyle w:val="TableParagraph"/>
              <w:spacing w:line="252" w:lineRule="auto"/>
              <w:ind w:right="82"/>
              <w:rPr>
                <w:sz w:val="12"/>
              </w:rPr>
            </w:pPr>
            <w:r>
              <w:rPr>
                <w:sz w:val="12"/>
              </w:rPr>
              <w:t>The effect of sugar-sweetened beverage front-of-pack labels on drink selection, health knowledge and awareness: An online randomised controlled trial</w:t>
            </w:r>
          </w:p>
        </w:tc>
        <w:tc>
          <w:tcPr>
            <w:tcW w:w="333" w:type="dxa"/>
          </w:tcPr>
          <w:p w:rsidR="00280DF2" w:rsidP="009C5286" w14:paraId="5B3EE88C" w14:textId="77777777">
            <w:pPr>
              <w:pStyle w:val="TableParagraph"/>
              <w:spacing w:line="140" w:lineRule="exact"/>
              <w:ind w:left="36"/>
              <w:rPr>
                <w:sz w:val="12"/>
              </w:rPr>
            </w:pPr>
            <w:r>
              <w:rPr>
                <w:color w:val="0000FE"/>
                <w:sz w:val="12"/>
              </w:rPr>
              <w:t>2018</w:t>
            </w:r>
          </w:p>
        </w:tc>
        <w:tc>
          <w:tcPr>
            <w:tcW w:w="3555" w:type="dxa"/>
          </w:tcPr>
          <w:p w:rsidR="00280DF2" w:rsidP="005A1B39" w14:paraId="176C35BA" w14:textId="77777777">
            <w:pPr>
              <w:pStyle w:val="TableParagraph"/>
              <w:spacing w:line="252" w:lineRule="auto"/>
              <w:ind w:left="29" w:right="173"/>
              <w:rPr>
                <w:sz w:val="12"/>
              </w:rPr>
            </w:pPr>
            <w:r>
              <w:rPr>
                <w:sz w:val="12"/>
              </w:rPr>
              <w:t>Quantitative.</w:t>
            </w:r>
          </w:p>
          <w:p w:rsidR="00280DF2" w:rsidP="005A1B39" w14:paraId="2D55E581" w14:textId="77777777">
            <w:pPr>
              <w:pStyle w:val="TableParagraph"/>
              <w:numPr>
                <w:ilvl w:val="0"/>
                <w:numId w:val="10"/>
              </w:numPr>
              <w:tabs>
                <w:tab w:val="left" w:pos="147"/>
              </w:tabs>
              <w:spacing w:line="252" w:lineRule="auto"/>
              <w:ind w:left="29" w:right="173" w:firstLine="0"/>
              <w:rPr>
                <w:sz w:val="12"/>
              </w:rPr>
            </w:pPr>
            <w:r>
              <w:rPr>
                <w:sz w:val="12"/>
              </w:rPr>
              <w:t>Experimental -</w:t>
            </w:r>
            <w:r>
              <w:rPr>
                <w:spacing w:val="-10"/>
                <w:sz w:val="12"/>
              </w:rPr>
              <w:t xml:space="preserve"> </w:t>
            </w:r>
            <w:r>
              <w:rPr>
                <w:sz w:val="12"/>
              </w:rPr>
              <w:t>Online</w:t>
            </w:r>
            <w:r>
              <w:rPr>
                <w:spacing w:val="-11"/>
                <w:sz w:val="12"/>
              </w:rPr>
              <w:t xml:space="preserve"> </w:t>
            </w:r>
            <w:r>
              <w:rPr>
                <w:sz w:val="12"/>
              </w:rPr>
              <w:t>(controlled</w:t>
            </w:r>
            <w:r>
              <w:rPr>
                <w:spacing w:val="-2"/>
                <w:sz w:val="12"/>
              </w:rPr>
              <w:t xml:space="preserve"> </w:t>
            </w:r>
            <w:r>
              <w:rPr>
                <w:sz w:val="12"/>
              </w:rPr>
              <w:t>choice</w:t>
            </w:r>
            <w:r>
              <w:rPr>
                <w:spacing w:val="-11"/>
                <w:sz w:val="12"/>
              </w:rPr>
              <w:t xml:space="preserve"> </w:t>
            </w:r>
            <w:r>
              <w:rPr>
                <w:sz w:val="12"/>
              </w:rPr>
              <w:t>experiment)</w:t>
            </w:r>
          </w:p>
          <w:p w:rsidR="00280DF2" w:rsidP="005A1B39" w14:paraId="535263E6" w14:textId="77777777">
            <w:pPr>
              <w:pStyle w:val="TableParagraph"/>
              <w:numPr>
                <w:ilvl w:val="0"/>
                <w:numId w:val="10"/>
              </w:numPr>
              <w:tabs>
                <w:tab w:val="left" w:pos="147"/>
              </w:tabs>
              <w:spacing w:line="252" w:lineRule="auto"/>
              <w:ind w:left="29" w:right="173" w:firstLine="0"/>
              <w:rPr>
                <w:sz w:val="12"/>
              </w:rPr>
            </w:pPr>
            <w:r>
              <w:rPr>
                <w:sz w:val="12"/>
              </w:rPr>
              <w:t xml:space="preserve">Consumers' intended choice of Sugar </w:t>
            </w:r>
            <w:r>
              <w:rPr>
                <w:spacing w:val="-3"/>
                <w:sz w:val="12"/>
              </w:rPr>
              <w:t xml:space="preserve">Sweetened Beverages </w:t>
            </w:r>
            <w:r>
              <w:rPr>
                <w:sz w:val="12"/>
              </w:rPr>
              <w:t>(SSBs) 994 young</w:t>
            </w:r>
            <w:r>
              <w:rPr>
                <w:spacing w:val="-9"/>
                <w:sz w:val="12"/>
              </w:rPr>
              <w:t xml:space="preserve"> </w:t>
            </w:r>
            <w:r>
              <w:rPr>
                <w:sz w:val="12"/>
              </w:rPr>
              <w:t>adults</w:t>
            </w:r>
          </w:p>
        </w:tc>
        <w:tc>
          <w:tcPr>
            <w:tcW w:w="1199" w:type="dxa"/>
          </w:tcPr>
          <w:p w:rsidR="00280DF2" w:rsidP="009C5286" w14:paraId="1ACF46D3" w14:textId="77777777">
            <w:pPr>
              <w:pStyle w:val="TableParagraph"/>
              <w:numPr>
                <w:ilvl w:val="0"/>
                <w:numId w:val="9"/>
              </w:numPr>
              <w:tabs>
                <w:tab w:val="left" w:pos="147"/>
              </w:tabs>
              <w:spacing w:line="140" w:lineRule="exact"/>
              <w:ind w:firstLine="0"/>
              <w:rPr>
                <w:sz w:val="12"/>
              </w:rPr>
            </w:pPr>
            <w:r>
              <w:rPr>
                <w:sz w:val="12"/>
              </w:rPr>
              <w:t>Graphic warning</w:t>
            </w:r>
          </w:p>
          <w:p w:rsidR="00280DF2" w:rsidP="009C5286" w14:paraId="1CDCBF15" w14:textId="77777777">
            <w:pPr>
              <w:pStyle w:val="TableParagraph"/>
              <w:numPr>
                <w:ilvl w:val="0"/>
                <w:numId w:val="9"/>
              </w:numPr>
              <w:tabs>
                <w:tab w:val="left" w:pos="147"/>
              </w:tabs>
              <w:spacing w:before="7"/>
              <w:ind w:firstLine="0"/>
              <w:rPr>
                <w:sz w:val="12"/>
              </w:rPr>
            </w:pPr>
            <w:r>
              <w:rPr>
                <w:spacing w:val="-3"/>
                <w:sz w:val="12"/>
              </w:rPr>
              <w:t>Text</w:t>
            </w:r>
            <w:r>
              <w:rPr>
                <w:spacing w:val="-1"/>
                <w:sz w:val="12"/>
              </w:rPr>
              <w:t xml:space="preserve"> </w:t>
            </w:r>
            <w:r>
              <w:rPr>
                <w:sz w:val="12"/>
              </w:rPr>
              <w:t>warning</w:t>
            </w:r>
          </w:p>
          <w:p w:rsidR="00280DF2" w:rsidP="009C5286" w14:paraId="5B9B4578" w14:textId="77777777">
            <w:pPr>
              <w:pStyle w:val="TableParagraph"/>
              <w:numPr>
                <w:ilvl w:val="0"/>
                <w:numId w:val="9"/>
              </w:numPr>
              <w:tabs>
                <w:tab w:val="left" w:pos="147"/>
              </w:tabs>
              <w:spacing w:before="8" w:line="252" w:lineRule="auto"/>
              <w:ind w:right="18" w:firstLine="0"/>
              <w:rPr>
                <w:sz w:val="12"/>
              </w:rPr>
            </w:pPr>
            <w:r>
              <w:rPr>
                <w:sz w:val="12"/>
              </w:rPr>
              <w:t>Sugar information (# of</w:t>
            </w:r>
            <w:r>
              <w:rPr>
                <w:spacing w:val="-10"/>
                <w:sz w:val="12"/>
              </w:rPr>
              <w:t xml:space="preserve"> </w:t>
            </w:r>
            <w:r>
              <w:rPr>
                <w:sz w:val="12"/>
              </w:rPr>
              <w:t>tsps</w:t>
            </w:r>
            <w:r>
              <w:rPr>
                <w:spacing w:val="-9"/>
                <w:sz w:val="12"/>
              </w:rPr>
              <w:t xml:space="preserve"> </w:t>
            </w:r>
            <w:r>
              <w:rPr>
                <w:sz w:val="12"/>
              </w:rPr>
              <w:t>of</w:t>
            </w:r>
            <w:r>
              <w:rPr>
                <w:spacing w:val="-10"/>
                <w:sz w:val="12"/>
              </w:rPr>
              <w:t xml:space="preserve"> </w:t>
            </w:r>
            <w:r>
              <w:rPr>
                <w:sz w:val="12"/>
              </w:rPr>
              <w:t>added</w:t>
            </w:r>
            <w:r>
              <w:rPr>
                <w:spacing w:val="-3"/>
                <w:sz w:val="12"/>
              </w:rPr>
              <w:t xml:space="preserve"> </w:t>
            </w:r>
            <w:r>
              <w:rPr>
                <w:sz w:val="12"/>
              </w:rPr>
              <w:t>sugar)</w:t>
            </w:r>
          </w:p>
          <w:p w:rsidR="00280DF2" w:rsidP="009C5286" w14:paraId="6EC4F950" w14:textId="77777777">
            <w:pPr>
              <w:pStyle w:val="TableParagraph"/>
              <w:numPr>
                <w:ilvl w:val="0"/>
                <w:numId w:val="9"/>
              </w:numPr>
              <w:tabs>
                <w:tab w:val="left" w:pos="147"/>
              </w:tabs>
              <w:spacing w:line="252" w:lineRule="auto"/>
              <w:ind w:right="98" w:firstLine="0"/>
              <w:rPr>
                <w:sz w:val="12"/>
              </w:rPr>
            </w:pPr>
            <w:r>
              <w:rPr>
                <w:sz w:val="12"/>
              </w:rPr>
              <w:t>Health Start Rating (HSR)</w:t>
            </w:r>
          </w:p>
        </w:tc>
        <w:tc>
          <w:tcPr>
            <w:tcW w:w="1204" w:type="dxa"/>
          </w:tcPr>
          <w:p w:rsidR="00280DF2" w:rsidP="009C5286" w14:paraId="159D6169" w14:textId="77777777">
            <w:pPr>
              <w:pStyle w:val="TableParagraph"/>
              <w:spacing w:before="2"/>
              <w:ind w:left="0"/>
              <w:rPr>
                <w:rFonts w:ascii="Times New Roman"/>
                <w:sz w:val="3"/>
              </w:rPr>
            </w:pPr>
          </w:p>
          <w:p w:rsidR="00280DF2" w:rsidP="009C5286" w14:paraId="51AEA99F" w14:textId="77777777">
            <w:pPr>
              <w:pStyle w:val="TableParagraph"/>
              <w:ind w:left="90" w:right="-18"/>
              <w:rPr>
                <w:rFonts w:ascii="Times New Roman"/>
                <w:sz w:val="20"/>
              </w:rPr>
            </w:pPr>
            <w:r>
              <w:rPr>
                <w:noProof/>
              </w:rPr>
              <w:drawing>
                <wp:inline distT="0" distB="0" distL="0" distR="0">
                  <wp:extent cx="679797" cy="73180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3.png"/>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a:xfrm>
                            <a:off x="0" y="0"/>
                            <a:ext cx="679797" cy="731805"/>
                          </a:xfrm>
                          <a:prstGeom prst="rect">
                            <a:avLst/>
                          </a:prstGeom>
                        </pic:spPr>
                      </pic:pic>
                    </a:graphicData>
                  </a:graphic>
                </wp:inline>
              </w:drawing>
            </w:r>
          </w:p>
        </w:tc>
        <w:tc>
          <w:tcPr>
            <w:tcW w:w="550" w:type="dxa"/>
          </w:tcPr>
          <w:p w:rsidR="00280DF2" w:rsidP="009C5286" w14:paraId="34AE269C" w14:textId="77777777">
            <w:pPr>
              <w:pStyle w:val="TableParagraph"/>
              <w:spacing w:line="140" w:lineRule="exact"/>
              <w:ind w:left="0" w:right="39"/>
              <w:jc w:val="center"/>
              <w:rPr>
                <w:sz w:val="12"/>
              </w:rPr>
            </w:pPr>
            <w:r>
              <w:rPr>
                <w:sz w:val="12"/>
              </w:rPr>
              <w:t>Australia</w:t>
            </w:r>
          </w:p>
        </w:tc>
        <w:tc>
          <w:tcPr>
            <w:tcW w:w="3487" w:type="dxa"/>
          </w:tcPr>
          <w:p w:rsidR="00280DF2" w:rsidP="009C5286" w14:paraId="180BED17" w14:textId="080D452E">
            <w:pPr>
              <w:pStyle w:val="TableParagraph"/>
              <w:numPr>
                <w:ilvl w:val="0"/>
                <w:numId w:val="8"/>
              </w:numPr>
              <w:tabs>
                <w:tab w:val="left" w:pos="147"/>
              </w:tabs>
              <w:spacing w:line="252" w:lineRule="auto"/>
              <w:ind w:right="31" w:firstLine="0"/>
              <w:rPr>
                <w:sz w:val="12"/>
              </w:rPr>
            </w:pPr>
            <w:r>
              <w:rPr>
                <w:sz w:val="12"/>
              </w:rPr>
              <w:t xml:space="preserve">All </w:t>
            </w:r>
            <w:r w:rsidR="00F638F1">
              <w:rPr>
                <w:sz w:val="12"/>
              </w:rPr>
              <w:t>FOP</w:t>
            </w:r>
            <w:r>
              <w:rPr>
                <w:sz w:val="12"/>
              </w:rPr>
              <w:t xml:space="preserve"> groups had significantly less selection of SSB. 1. Results of this study could be a good argument against choosing warning label because </w:t>
            </w:r>
            <w:r>
              <w:rPr>
                <w:spacing w:val="-3"/>
                <w:sz w:val="12"/>
              </w:rPr>
              <w:t xml:space="preserve">even </w:t>
            </w:r>
            <w:r>
              <w:rPr>
                <w:sz w:val="12"/>
              </w:rPr>
              <w:t xml:space="preserve">warning label has the </w:t>
            </w:r>
            <w:r>
              <w:rPr>
                <w:spacing w:val="-3"/>
                <w:sz w:val="12"/>
              </w:rPr>
              <w:t xml:space="preserve">greatest effect </w:t>
            </w:r>
            <w:r>
              <w:rPr>
                <w:sz w:val="12"/>
              </w:rPr>
              <w:t xml:space="preserve">on reducing intended choice of unhealthy drinks, HSR </w:t>
            </w:r>
            <w:r>
              <w:rPr>
                <w:spacing w:val="1"/>
                <w:sz w:val="12"/>
              </w:rPr>
              <w:t xml:space="preserve">is </w:t>
            </w:r>
            <w:r>
              <w:rPr>
                <w:sz w:val="12"/>
              </w:rPr>
              <w:t>the only one encouraging healthy</w:t>
            </w:r>
            <w:r>
              <w:rPr>
                <w:spacing w:val="-6"/>
                <w:sz w:val="12"/>
              </w:rPr>
              <w:t xml:space="preserve"> </w:t>
            </w:r>
            <w:r>
              <w:rPr>
                <w:sz w:val="12"/>
              </w:rPr>
              <w:t>choices</w:t>
            </w:r>
            <w:r>
              <w:rPr>
                <w:sz w:val="12"/>
              </w:rPr>
              <w:t>.</w:t>
            </w:r>
          </w:p>
          <w:p w:rsidR="00280DF2" w:rsidP="009C5286" w14:paraId="1C934A99" w14:textId="77777777">
            <w:pPr>
              <w:pStyle w:val="TableParagraph"/>
              <w:numPr>
                <w:ilvl w:val="0"/>
                <w:numId w:val="8"/>
              </w:numPr>
              <w:tabs>
                <w:tab w:val="left" w:pos="147"/>
              </w:tabs>
              <w:spacing w:line="252" w:lineRule="auto"/>
              <w:ind w:right="191" w:firstLine="0"/>
              <w:rPr>
                <w:sz w:val="12"/>
              </w:rPr>
            </w:pPr>
            <w:r>
              <w:rPr>
                <w:sz w:val="12"/>
              </w:rPr>
              <w:t xml:space="preserve">Results also </w:t>
            </w:r>
            <w:r>
              <w:rPr>
                <w:spacing w:val="-3"/>
                <w:sz w:val="12"/>
              </w:rPr>
              <w:t xml:space="preserve">suggest </w:t>
            </w:r>
            <w:r>
              <w:rPr>
                <w:sz w:val="12"/>
              </w:rPr>
              <w:t xml:space="preserve">graphic design might be more effective than text format </w:t>
            </w:r>
            <w:r>
              <w:rPr>
                <w:spacing w:val="-3"/>
                <w:sz w:val="12"/>
              </w:rPr>
              <w:t xml:space="preserve">(effect: </w:t>
            </w:r>
            <w:r>
              <w:rPr>
                <w:sz w:val="12"/>
              </w:rPr>
              <w:t>graphic warning &gt;</w:t>
            </w:r>
            <w:r>
              <w:rPr>
                <w:spacing w:val="-23"/>
                <w:sz w:val="12"/>
              </w:rPr>
              <w:t xml:space="preserve"> </w:t>
            </w:r>
            <w:r>
              <w:rPr>
                <w:sz w:val="12"/>
              </w:rPr>
              <w:t>text warning)</w:t>
            </w:r>
          </w:p>
          <w:p w:rsidR="00280DF2" w:rsidP="009C5286" w14:paraId="59A18EBF" w14:textId="77777777">
            <w:pPr>
              <w:pStyle w:val="TableParagraph"/>
              <w:numPr>
                <w:ilvl w:val="0"/>
                <w:numId w:val="7"/>
              </w:numPr>
              <w:tabs>
                <w:tab w:val="left" w:pos="147"/>
              </w:tabs>
              <w:spacing w:line="252" w:lineRule="auto"/>
              <w:ind w:right="297" w:firstLine="0"/>
              <w:rPr>
                <w:sz w:val="12"/>
              </w:rPr>
            </w:pPr>
            <w:r>
              <w:rPr>
                <w:sz w:val="12"/>
              </w:rPr>
              <w:t xml:space="preserve">The magnitude of </w:t>
            </w:r>
            <w:r>
              <w:rPr>
                <w:spacing w:val="-3"/>
                <w:sz w:val="12"/>
              </w:rPr>
              <w:t xml:space="preserve">effect </w:t>
            </w:r>
            <w:r>
              <w:rPr>
                <w:sz w:val="12"/>
              </w:rPr>
              <w:t xml:space="preserve">was </w:t>
            </w:r>
            <w:r>
              <w:rPr>
                <w:spacing w:val="-3"/>
                <w:sz w:val="12"/>
              </w:rPr>
              <w:t xml:space="preserve">greatest </w:t>
            </w:r>
            <w:r>
              <w:rPr>
                <w:sz w:val="12"/>
              </w:rPr>
              <w:t>for the graphic warning label.</w:t>
            </w:r>
          </w:p>
          <w:p w:rsidR="00280DF2" w:rsidP="009C5286" w14:paraId="25EE13F3" w14:textId="77777777">
            <w:pPr>
              <w:pStyle w:val="TableParagraph"/>
              <w:numPr>
                <w:ilvl w:val="0"/>
                <w:numId w:val="7"/>
              </w:numPr>
              <w:tabs>
                <w:tab w:val="left" w:pos="147"/>
              </w:tabs>
              <w:ind w:firstLine="0"/>
              <w:rPr>
                <w:sz w:val="12"/>
              </w:rPr>
            </w:pPr>
            <w:r>
              <w:rPr>
                <w:sz w:val="12"/>
              </w:rPr>
              <w:t>Only</w:t>
            </w:r>
            <w:r>
              <w:rPr>
                <w:spacing w:val="-3"/>
                <w:sz w:val="12"/>
              </w:rPr>
              <w:t xml:space="preserve"> </w:t>
            </w:r>
            <w:r>
              <w:rPr>
                <w:sz w:val="12"/>
              </w:rPr>
              <w:t>the</w:t>
            </w:r>
            <w:r>
              <w:rPr>
                <w:spacing w:val="-10"/>
                <w:sz w:val="12"/>
              </w:rPr>
              <w:t xml:space="preserve"> </w:t>
            </w:r>
            <w:r>
              <w:rPr>
                <w:sz w:val="12"/>
              </w:rPr>
              <w:t>HSR</w:t>
            </w:r>
            <w:r>
              <w:rPr>
                <w:spacing w:val="-3"/>
                <w:sz w:val="12"/>
              </w:rPr>
              <w:t xml:space="preserve"> </w:t>
            </w:r>
            <w:r>
              <w:rPr>
                <w:sz w:val="12"/>
              </w:rPr>
              <w:t>label</w:t>
            </w:r>
            <w:r>
              <w:rPr>
                <w:spacing w:val="1"/>
                <w:sz w:val="12"/>
              </w:rPr>
              <w:t xml:space="preserve"> </w:t>
            </w:r>
            <w:r>
              <w:rPr>
                <w:sz w:val="12"/>
              </w:rPr>
              <w:t>significantly</w:t>
            </w:r>
            <w:r>
              <w:rPr>
                <w:spacing w:val="-3"/>
                <w:sz w:val="12"/>
              </w:rPr>
              <w:t xml:space="preserve"> </w:t>
            </w:r>
            <w:r>
              <w:rPr>
                <w:sz w:val="12"/>
              </w:rPr>
              <w:t>increased</w:t>
            </w:r>
            <w:r>
              <w:rPr>
                <w:spacing w:val="-1"/>
                <w:sz w:val="12"/>
              </w:rPr>
              <w:t xml:space="preserve"> </w:t>
            </w:r>
            <w:r>
              <w:rPr>
                <w:sz w:val="12"/>
              </w:rPr>
              <w:t>selection</w:t>
            </w:r>
            <w:r>
              <w:rPr>
                <w:spacing w:val="-1"/>
                <w:sz w:val="12"/>
              </w:rPr>
              <w:t xml:space="preserve"> </w:t>
            </w:r>
            <w:r>
              <w:rPr>
                <w:sz w:val="12"/>
              </w:rPr>
              <w:t>of</w:t>
            </w:r>
            <w:r>
              <w:rPr>
                <w:spacing w:val="-9"/>
                <w:sz w:val="12"/>
              </w:rPr>
              <w:t xml:space="preserve"> </w:t>
            </w:r>
            <w:r>
              <w:rPr>
                <w:sz w:val="12"/>
              </w:rPr>
              <w:t>the</w:t>
            </w:r>
            <w:r>
              <w:rPr>
                <w:spacing w:val="-10"/>
                <w:sz w:val="12"/>
              </w:rPr>
              <w:t xml:space="preserve"> </w:t>
            </w:r>
            <w:r>
              <w:rPr>
                <w:sz w:val="12"/>
              </w:rPr>
              <w:t>HSR</w:t>
            </w:r>
          </w:p>
          <w:p w:rsidR="00280DF2" w:rsidP="009C5286" w14:paraId="39800D98" w14:textId="77777777">
            <w:pPr>
              <w:pStyle w:val="TableParagraph"/>
              <w:spacing w:before="3" w:line="92" w:lineRule="exact"/>
              <w:rPr>
                <w:sz w:val="12"/>
              </w:rPr>
            </w:pPr>
            <w:r>
              <w:rPr>
                <w:sz w:val="12"/>
              </w:rPr>
              <w:t>drinks.</w:t>
            </w:r>
          </w:p>
        </w:tc>
      </w:tr>
      <w:tr w14:paraId="1565FBC9" w14:textId="77777777" w:rsidTr="0079161F">
        <w:tblPrEx>
          <w:tblW w:w="0" w:type="auto"/>
          <w:tblInd w:w="100" w:type="dxa"/>
          <w:tblLayout w:type="fixed"/>
          <w:tblCellMar>
            <w:left w:w="0" w:type="dxa"/>
            <w:right w:w="0" w:type="dxa"/>
          </w:tblCellMar>
          <w:tblLook w:val="01E0"/>
        </w:tblPrEx>
        <w:trPr>
          <w:trHeight w:val="799"/>
        </w:trPr>
        <w:tc>
          <w:tcPr>
            <w:tcW w:w="1036" w:type="dxa"/>
          </w:tcPr>
          <w:p w:rsidR="00280DF2" w:rsidP="009C5286" w14:paraId="75A4134B" w14:textId="77777777">
            <w:pPr>
              <w:pStyle w:val="TableParagraph"/>
              <w:spacing w:line="252" w:lineRule="auto"/>
              <w:rPr>
                <w:sz w:val="12"/>
              </w:rPr>
            </w:pPr>
            <w:r>
              <w:rPr>
                <w:sz w:val="12"/>
              </w:rPr>
              <w:t>Egnell, Ducrot, Touvier, et al</w:t>
            </w:r>
          </w:p>
        </w:tc>
        <w:tc>
          <w:tcPr>
            <w:tcW w:w="2101" w:type="dxa"/>
          </w:tcPr>
          <w:p w:rsidR="00280DF2" w:rsidP="009C5286" w14:paraId="3285284F" w14:textId="395490B3">
            <w:pPr>
              <w:pStyle w:val="TableParagraph"/>
              <w:spacing w:line="252" w:lineRule="auto"/>
              <w:ind w:right="31"/>
              <w:rPr>
                <w:sz w:val="12"/>
              </w:rPr>
            </w:pPr>
            <w:r>
              <w:rPr>
                <w:sz w:val="12"/>
              </w:rPr>
              <w:t xml:space="preserve">Objective understanding of </w:t>
            </w:r>
            <w:r w:rsidR="004B6E26">
              <w:rPr>
                <w:sz w:val="12"/>
              </w:rPr>
              <w:t>Nutri-Score</w:t>
            </w:r>
            <w:r>
              <w:rPr>
                <w:sz w:val="12"/>
              </w:rPr>
              <w:t xml:space="preserve"> Front-Of-Package nutrition label according to individual characteristics of subjects: Comparisons with other format labels</w:t>
            </w:r>
          </w:p>
        </w:tc>
        <w:tc>
          <w:tcPr>
            <w:tcW w:w="333" w:type="dxa"/>
          </w:tcPr>
          <w:p w:rsidR="00280DF2" w:rsidP="009C5286" w14:paraId="39682AE7" w14:textId="77777777">
            <w:pPr>
              <w:pStyle w:val="TableParagraph"/>
              <w:spacing w:line="140" w:lineRule="exact"/>
              <w:ind w:left="36"/>
              <w:rPr>
                <w:sz w:val="12"/>
              </w:rPr>
            </w:pPr>
            <w:r>
              <w:rPr>
                <w:color w:val="0000FE"/>
                <w:sz w:val="12"/>
              </w:rPr>
              <w:t>2018</w:t>
            </w:r>
          </w:p>
        </w:tc>
        <w:tc>
          <w:tcPr>
            <w:tcW w:w="3555" w:type="dxa"/>
          </w:tcPr>
          <w:p w:rsidR="00280DF2" w:rsidP="005A1B39" w14:paraId="6C42AF57" w14:textId="77777777">
            <w:pPr>
              <w:pStyle w:val="TableParagraph"/>
              <w:spacing w:line="252" w:lineRule="auto"/>
              <w:ind w:left="29" w:right="173"/>
              <w:rPr>
                <w:sz w:val="12"/>
              </w:rPr>
            </w:pPr>
            <w:r>
              <w:rPr>
                <w:sz w:val="12"/>
              </w:rPr>
              <w:t>Quantitative. Experimental - Online 3,751 (started w/ 4,328)</w:t>
            </w:r>
          </w:p>
        </w:tc>
        <w:tc>
          <w:tcPr>
            <w:tcW w:w="1199" w:type="dxa"/>
          </w:tcPr>
          <w:p w:rsidR="00280DF2" w:rsidP="009C5286" w14:paraId="554D8B20" w14:textId="7C400195">
            <w:pPr>
              <w:pStyle w:val="TableParagraph"/>
              <w:spacing w:line="140" w:lineRule="exact"/>
              <w:rPr>
                <w:sz w:val="12"/>
              </w:rPr>
            </w:pPr>
            <w:r>
              <w:rPr>
                <w:sz w:val="12"/>
              </w:rPr>
              <w:t>Nutri-Score</w:t>
            </w:r>
            <w:r>
              <w:rPr>
                <w:sz w:val="12"/>
              </w:rPr>
              <w:t>, MTL, Sens</w:t>
            </w:r>
          </w:p>
        </w:tc>
        <w:tc>
          <w:tcPr>
            <w:tcW w:w="1204" w:type="dxa"/>
          </w:tcPr>
          <w:p w:rsidR="00280DF2" w:rsidP="009C5286" w14:paraId="1ADF2178" w14:textId="77777777">
            <w:pPr>
              <w:pStyle w:val="TableParagraph"/>
              <w:ind w:left="0"/>
              <w:rPr>
                <w:rFonts w:ascii="Times New Roman"/>
                <w:sz w:val="6"/>
              </w:rPr>
            </w:pPr>
          </w:p>
          <w:p w:rsidR="00280DF2" w:rsidP="009C5286" w14:paraId="7D13C012" w14:textId="77777777">
            <w:pPr>
              <w:pStyle w:val="TableParagraph"/>
              <w:ind w:left="61" w:right="-15"/>
              <w:rPr>
                <w:rFonts w:ascii="Times New Roman"/>
                <w:sz w:val="20"/>
              </w:rPr>
            </w:pPr>
            <w:r>
              <w:rPr>
                <w:noProof/>
              </w:rPr>
              <w:drawing>
                <wp:inline distT="0" distB="0" distL="0" distR="0">
                  <wp:extent cx="696005" cy="23479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4.png"/>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tretch>
                            <a:fillRect/>
                          </a:stretch>
                        </pic:blipFill>
                        <pic:spPr>
                          <a:xfrm>
                            <a:off x="0" y="0"/>
                            <a:ext cx="696005" cy="234791"/>
                          </a:xfrm>
                          <a:prstGeom prst="rect">
                            <a:avLst/>
                          </a:prstGeom>
                        </pic:spPr>
                      </pic:pic>
                    </a:graphicData>
                  </a:graphic>
                </wp:inline>
              </w:drawing>
            </w:r>
          </w:p>
        </w:tc>
        <w:tc>
          <w:tcPr>
            <w:tcW w:w="550" w:type="dxa"/>
          </w:tcPr>
          <w:p w:rsidR="00280DF2" w:rsidP="009C5286" w14:paraId="79BC7DAD" w14:textId="77777777">
            <w:pPr>
              <w:pStyle w:val="TableParagraph"/>
              <w:spacing w:line="140" w:lineRule="exact"/>
              <w:ind w:left="8" w:right="154"/>
              <w:jc w:val="center"/>
              <w:rPr>
                <w:sz w:val="12"/>
              </w:rPr>
            </w:pPr>
            <w:r>
              <w:rPr>
                <w:sz w:val="12"/>
              </w:rPr>
              <w:t>France</w:t>
            </w:r>
          </w:p>
        </w:tc>
        <w:tc>
          <w:tcPr>
            <w:tcW w:w="3487" w:type="dxa"/>
          </w:tcPr>
          <w:p w:rsidR="00280DF2" w:rsidP="009C5286" w14:paraId="4F2E61E3" w14:textId="44B80C5E">
            <w:pPr>
              <w:pStyle w:val="TableParagraph"/>
              <w:spacing w:line="252" w:lineRule="auto"/>
              <w:ind w:right="333"/>
              <w:rPr>
                <w:sz w:val="12"/>
              </w:rPr>
            </w:pPr>
            <w:r>
              <w:rPr>
                <w:sz w:val="12"/>
              </w:rPr>
              <w:t xml:space="preserve">Compared France's </w:t>
            </w:r>
            <w:r w:rsidR="004B6E26">
              <w:rPr>
                <w:sz w:val="12"/>
              </w:rPr>
              <w:t>Nutri-Score</w:t>
            </w:r>
            <w:r>
              <w:rPr>
                <w:sz w:val="12"/>
              </w:rPr>
              <w:t xml:space="preserve"> label with MTL, and a modified reference intake graphic. Compared to no label, all </w:t>
            </w:r>
            <w:r w:rsidR="004B6E26">
              <w:rPr>
                <w:sz w:val="12"/>
              </w:rPr>
              <w:t>FOP</w:t>
            </w:r>
            <w:r>
              <w:rPr>
                <w:sz w:val="12"/>
              </w:rPr>
              <w:t>'s</w:t>
            </w:r>
            <w:r>
              <w:rPr>
                <w:sz w:val="12"/>
              </w:rPr>
              <w:t xml:space="preserve"> were</w:t>
            </w:r>
          </w:p>
          <w:p w:rsidR="00280DF2" w:rsidP="009C5286" w14:paraId="416E2E09" w14:textId="63BF3894">
            <w:pPr>
              <w:pStyle w:val="TableParagraph"/>
              <w:spacing w:line="252" w:lineRule="auto"/>
              <w:rPr>
                <w:sz w:val="12"/>
              </w:rPr>
            </w:pPr>
            <w:r>
              <w:rPr>
                <w:sz w:val="12"/>
              </w:rPr>
              <w:t xml:space="preserve">significantly associated with an increase in the ability to classify the product, but </w:t>
            </w:r>
            <w:r w:rsidR="004B6E26">
              <w:rPr>
                <w:sz w:val="12"/>
              </w:rPr>
              <w:t>Nutri-Score</w:t>
            </w:r>
            <w:r>
              <w:rPr>
                <w:sz w:val="12"/>
              </w:rPr>
              <w:t xml:space="preserve"> outperformed the others on although results varied widely between logos.</w:t>
            </w:r>
          </w:p>
        </w:tc>
      </w:tr>
      <w:tr w14:paraId="524D88E2" w14:textId="77777777" w:rsidTr="0079161F">
        <w:tblPrEx>
          <w:tblW w:w="0" w:type="auto"/>
          <w:tblInd w:w="100" w:type="dxa"/>
          <w:tblLayout w:type="fixed"/>
          <w:tblCellMar>
            <w:left w:w="0" w:type="dxa"/>
            <w:right w:w="0" w:type="dxa"/>
          </w:tblCellMar>
          <w:tblLook w:val="01E0"/>
        </w:tblPrEx>
        <w:trPr>
          <w:trHeight w:val="964"/>
        </w:trPr>
        <w:tc>
          <w:tcPr>
            <w:tcW w:w="1036" w:type="dxa"/>
          </w:tcPr>
          <w:p w:rsidR="00280DF2" w:rsidP="009C5286" w14:paraId="047906D2" w14:textId="77777777">
            <w:pPr>
              <w:pStyle w:val="TableParagraph"/>
              <w:spacing w:line="252" w:lineRule="auto"/>
              <w:ind w:right="242"/>
              <w:rPr>
                <w:sz w:val="12"/>
              </w:rPr>
            </w:pPr>
            <w:r>
              <w:rPr>
                <w:sz w:val="12"/>
              </w:rPr>
              <w:t>Egnell, Kesse- Guyot, et al</w:t>
            </w:r>
          </w:p>
        </w:tc>
        <w:tc>
          <w:tcPr>
            <w:tcW w:w="2101" w:type="dxa"/>
          </w:tcPr>
          <w:p w:rsidR="00280DF2" w:rsidP="009C5286" w14:paraId="32074DA1" w14:textId="77777777">
            <w:pPr>
              <w:pStyle w:val="TableParagraph"/>
              <w:spacing w:line="252" w:lineRule="auto"/>
              <w:ind w:right="41"/>
              <w:rPr>
                <w:sz w:val="12"/>
              </w:rPr>
            </w:pPr>
            <w:r>
              <w:rPr>
                <w:sz w:val="12"/>
              </w:rPr>
              <w:t>Impact of Front-of-Pack Nutrition Labels on Portion Size Selection: An Experimental Study in a French Cohort</w:t>
            </w:r>
          </w:p>
        </w:tc>
        <w:tc>
          <w:tcPr>
            <w:tcW w:w="333" w:type="dxa"/>
          </w:tcPr>
          <w:p w:rsidR="00280DF2" w:rsidP="009C5286" w14:paraId="5D39DAD3" w14:textId="77777777">
            <w:pPr>
              <w:pStyle w:val="TableParagraph"/>
              <w:spacing w:line="140" w:lineRule="exact"/>
              <w:ind w:left="36"/>
              <w:rPr>
                <w:sz w:val="12"/>
              </w:rPr>
            </w:pPr>
            <w:r>
              <w:rPr>
                <w:color w:val="0000FE"/>
                <w:sz w:val="12"/>
              </w:rPr>
              <w:t>2018</w:t>
            </w:r>
          </w:p>
        </w:tc>
        <w:tc>
          <w:tcPr>
            <w:tcW w:w="3555" w:type="dxa"/>
          </w:tcPr>
          <w:p w:rsidR="00280DF2" w:rsidP="005A1B39" w14:paraId="0F8CB97B" w14:textId="77777777">
            <w:pPr>
              <w:pStyle w:val="TableParagraph"/>
              <w:spacing w:line="252" w:lineRule="auto"/>
              <w:ind w:left="29" w:right="173"/>
              <w:rPr>
                <w:sz w:val="12"/>
              </w:rPr>
            </w:pPr>
            <w:r>
              <w:rPr>
                <w:sz w:val="12"/>
              </w:rPr>
              <w:t>Quantitative. Experimental - Online n= 25,772</w:t>
            </w:r>
          </w:p>
        </w:tc>
        <w:tc>
          <w:tcPr>
            <w:tcW w:w="1199" w:type="dxa"/>
          </w:tcPr>
          <w:p w:rsidR="00280DF2" w:rsidP="009C5286" w14:paraId="24B45B95" w14:textId="39EA7C14">
            <w:pPr>
              <w:pStyle w:val="TableParagraph"/>
              <w:spacing w:line="252" w:lineRule="auto"/>
              <w:ind w:right="257"/>
              <w:rPr>
                <w:sz w:val="12"/>
              </w:rPr>
            </w:pPr>
            <w:r>
              <w:rPr>
                <w:sz w:val="12"/>
              </w:rPr>
              <w:t>Nutri-Score</w:t>
            </w:r>
            <w:r>
              <w:rPr>
                <w:sz w:val="12"/>
              </w:rPr>
              <w:t>, MTL, Evolved Nutrition Label</w:t>
            </w:r>
          </w:p>
        </w:tc>
        <w:tc>
          <w:tcPr>
            <w:tcW w:w="1204" w:type="dxa"/>
          </w:tcPr>
          <w:p w:rsidR="00280DF2" w:rsidP="009C5286" w14:paraId="362A29F0" w14:textId="77777777">
            <w:pPr>
              <w:pStyle w:val="TableParagraph"/>
              <w:spacing w:before="3"/>
              <w:ind w:left="0"/>
              <w:rPr>
                <w:rFonts w:ascii="Times New Roman"/>
                <w:sz w:val="4"/>
              </w:rPr>
            </w:pPr>
          </w:p>
          <w:p w:rsidR="00280DF2" w:rsidP="009C5286" w14:paraId="0A97A89E" w14:textId="77777777">
            <w:pPr>
              <w:pStyle w:val="TableParagraph"/>
              <w:ind w:left="35"/>
              <w:rPr>
                <w:rFonts w:ascii="Times New Roman"/>
                <w:sz w:val="20"/>
              </w:rPr>
            </w:pPr>
            <w:r>
              <w:rPr>
                <w:noProof/>
              </w:rPr>
              <w:drawing>
                <wp:inline distT="0" distB="0" distL="0" distR="0">
                  <wp:extent cx="698827" cy="37071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5.png"/>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98827" cy="370713"/>
                          </a:xfrm>
                          <a:prstGeom prst="rect">
                            <a:avLst/>
                          </a:prstGeom>
                        </pic:spPr>
                      </pic:pic>
                    </a:graphicData>
                  </a:graphic>
                </wp:inline>
              </w:drawing>
            </w:r>
          </w:p>
        </w:tc>
        <w:tc>
          <w:tcPr>
            <w:tcW w:w="550" w:type="dxa"/>
          </w:tcPr>
          <w:p w:rsidR="00280DF2" w:rsidP="009C5286" w14:paraId="772C735C" w14:textId="77777777">
            <w:pPr>
              <w:pStyle w:val="TableParagraph"/>
              <w:spacing w:line="140" w:lineRule="exact"/>
              <w:ind w:left="8" w:right="154"/>
              <w:jc w:val="center"/>
              <w:rPr>
                <w:sz w:val="12"/>
              </w:rPr>
            </w:pPr>
            <w:r>
              <w:rPr>
                <w:sz w:val="12"/>
              </w:rPr>
              <w:t>France</w:t>
            </w:r>
          </w:p>
        </w:tc>
        <w:tc>
          <w:tcPr>
            <w:tcW w:w="3487" w:type="dxa"/>
          </w:tcPr>
          <w:p w:rsidR="00280DF2" w:rsidP="009C5286" w14:paraId="7F5298F0" w14:textId="60E51F3E">
            <w:pPr>
              <w:pStyle w:val="TableParagraph"/>
              <w:spacing w:line="252" w:lineRule="auto"/>
              <w:rPr>
                <w:sz w:val="12"/>
              </w:rPr>
            </w:pPr>
            <w:r>
              <w:rPr>
                <w:sz w:val="12"/>
              </w:rPr>
              <w:t xml:space="preserve">Study focused mainly on testing the effect of the </w:t>
            </w:r>
            <w:r>
              <w:rPr>
                <w:sz w:val="12"/>
              </w:rPr>
              <w:t>EnL</w:t>
            </w:r>
            <w:r>
              <w:rPr>
                <w:sz w:val="12"/>
              </w:rPr>
              <w:t xml:space="preserve"> (a modified MTL developed by industry) compared to other </w:t>
            </w:r>
            <w:r w:rsidR="00F638F1">
              <w:rPr>
                <w:sz w:val="12"/>
              </w:rPr>
              <w:t>FOP</w:t>
            </w:r>
            <w:r>
              <w:rPr>
                <w:sz w:val="12"/>
              </w:rPr>
              <w:t>'s</w:t>
            </w:r>
            <w:r>
              <w:rPr>
                <w:sz w:val="12"/>
              </w:rPr>
              <w:t xml:space="preserve"> on portion size.</w:t>
            </w:r>
          </w:p>
          <w:p w:rsidR="00280DF2" w:rsidP="009C5286" w14:paraId="1EC22D98" w14:textId="73A6DDD5">
            <w:pPr>
              <w:pStyle w:val="TableParagraph"/>
              <w:spacing w:line="252" w:lineRule="auto"/>
              <w:rPr>
                <w:sz w:val="12"/>
              </w:rPr>
            </w:pPr>
            <w:r>
              <w:rPr>
                <w:sz w:val="12"/>
              </w:rPr>
              <w:t xml:space="preserve">Compared to no label, the </w:t>
            </w:r>
            <w:r w:rsidR="004B6E26">
              <w:rPr>
                <w:sz w:val="12"/>
              </w:rPr>
              <w:t>Nutri-Score</w:t>
            </w:r>
            <w:r>
              <w:rPr>
                <w:sz w:val="12"/>
              </w:rPr>
              <w:t xml:space="preserve"> resulted in lower portion sizes, followed by the MTL. The ENL (an adaption of the MTL) only lowered portion sizes for cheese but increased it for spreads.</w:t>
            </w:r>
          </w:p>
        </w:tc>
      </w:tr>
      <w:tr w14:paraId="6C47D384" w14:textId="77777777" w:rsidTr="0079161F">
        <w:tblPrEx>
          <w:tblW w:w="0" w:type="auto"/>
          <w:tblInd w:w="100" w:type="dxa"/>
          <w:tblLayout w:type="fixed"/>
          <w:tblCellMar>
            <w:left w:w="0" w:type="dxa"/>
            <w:right w:w="0" w:type="dxa"/>
          </w:tblCellMar>
          <w:tblLook w:val="01E0"/>
        </w:tblPrEx>
        <w:trPr>
          <w:trHeight w:val="798"/>
        </w:trPr>
        <w:tc>
          <w:tcPr>
            <w:tcW w:w="1036" w:type="dxa"/>
          </w:tcPr>
          <w:p w:rsidR="00280DF2" w:rsidP="009C5286" w14:paraId="03892D95" w14:textId="77777777">
            <w:pPr>
              <w:pStyle w:val="TableParagraph"/>
              <w:spacing w:line="252" w:lineRule="auto"/>
              <w:ind w:right="406"/>
              <w:rPr>
                <w:sz w:val="12"/>
              </w:rPr>
            </w:pPr>
            <w:r>
              <w:rPr>
                <w:sz w:val="12"/>
              </w:rPr>
              <w:t>Hamlin and McNeill</w:t>
            </w:r>
          </w:p>
        </w:tc>
        <w:tc>
          <w:tcPr>
            <w:tcW w:w="2101" w:type="dxa"/>
          </w:tcPr>
          <w:p w:rsidR="00280DF2" w:rsidP="009C5286" w14:paraId="40A65AB0" w14:textId="77777777">
            <w:pPr>
              <w:pStyle w:val="TableParagraph"/>
              <w:spacing w:line="252" w:lineRule="auto"/>
              <w:ind w:right="175"/>
              <w:rPr>
                <w:sz w:val="12"/>
              </w:rPr>
            </w:pPr>
            <w:r>
              <w:rPr>
                <w:sz w:val="12"/>
              </w:rPr>
              <w:t>The Impact of the Australasian 'Health Star Rating', Front-of-Pack Nutritional Label, on Consumer Choice: A Longitudinal Study</w:t>
            </w:r>
          </w:p>
        </w:tc>
        <w:tc>
          <w:tcPr>
            <w:tcW w:w="333" w:type="dxa"/>
          </w:tcPr>
          <w:p w:rsidR="00280DF2" w:rsidP="009C5286" w14:paraId="48F1D632" w14:textId="77777777">
            <w:pPr>
              <w:pStyle w:val="TableParagraph"/>
              <w:spacing w:line="140" w:lineRule="exact"/>
              <w:ind w:left="36"/>
              <w:rPr>
                <w:sz w:val="12"/>
              </w:rPr>
            </w:pPr>
            <w:r>
              <w:rPr>
                <w:color w:val="0000FE"/>
                <w:sz w:val="12"/>
              </w:rPr>
              <w:t>2018</w:t>
            </w:r>
          </w:p>
        </w:tc>
        <w:tc>
          <w:tcPr>
            <w:tcW w:w="3555" w:type="dxa"/>
          </w:tcPr>
          <w:p w:rsidR="00280DF2" w:rsidP="005A1B39" w14:paraId="00B32837" w14:textId="77777777">
            <w:pPr>
              <w:pStyle w:val="TableParagraph"/>
              <w:spacing w:line="252" w:lineRule="auto"/>
              <w:ind w:left="29" w:right="173"/>
              <w:rPr>
                <w:sz w:val="12"/>
              </w:rPr>
            </w:pPr>
            <w:r>
              <w:rPr>
                <w:sz w:val="12"/>
              </w:rPr>
              <w:t>Quantitative.</w:t>
            </w:r>
          </w:p>
          <w:p w:rsidR="00280DF2" w:rsidP="005A1B39" w14:paraId="741A769B" w14:textId="77777777">
            <w:pPr>
              <w:pStyle w:val="TableParagraph"/>
              <w:spacing w:line="252" w:lineRule="auto"/>
              <w:ind w:left="29" w:right="173"/>
              <w:rPr>
                <w:sz w:val="12"/>
              </w:rPr>
            </w:pPr>
            <w:r>
              <w:rPr>
                <w:sz w:val="12"/>
              </w:rPr>
              <w:t>Field experiment - two supermarket exits 1,000 in one location and 1,600 in the other.</w:t>
            </w:r>
          </w:p>
        </w:tc>
        <w:tc>
          <w:tcPr>
            <w:tcW w:w="1199" w:type="dxa"/>
          </w:tcPr>
          <w:p w:rsidR="00280DF2" w:rsidP="009C5286" w14:paraId="36451418" w14:textId="77777777">
            <w:pPr>
              <w:pStyle w:val="TableParagraph"/>
              <w:spacing w:line="140" w:lineRule="exact"/>
              <w:rPr>
                <w:sz w:val="12"/>
              </w:rPr>
            </w:pPr>
            <w:r>
              <w:rPr>
                <w:sz w:val="12"/>
              </w:rPr>
              <w:t>Australia's HSR</w:t>
            </w:r>
          </w:p>
        </w:tc>
        <w:tc>
          <w:tcPr>
            <w:tcW w:w="1204" w:type="dxa"/>
          </w:tcPr>
          <w:p w:rsidR="00280DF2" w:rsidP="009C5286" w14:paraId="13209E6F" w14:textId="77777777">
            <w:pPr>
              <w:pStyle w:val="TableParagraph"/>
              <w:spacing w:before="4"/>
              <w:ind w:left="0"/>
              <w:rPr>
                <w:rFonts w:ascii="Times New Roman"/>
                <w:sz w:val="3"/>
              </w:rPr>
            </w:pPr>
          </w:p>
          <w:p w:rsidR="00280DF2" w:rsidP="009C5286" w14:paraId="656AC743" w14:textId="77777777">
            <w:pPr>
              <w:pStyle w:val="TableParagraph"/>
              <w:ind w:left="70" w:right="-8"/>
              <w:rPr>
                <w:rFonts w:ascii="Times New Roman"/>
                <w:sz w:val="20"/>
              </w:rPr>
            </w:pPr>
            <w:r>
              <w:rPr>
                <w:rFonts w:ascii="Times New Roman"/>
                <w:noProof/>
                <w:position w:val="1"/>
                <w:sz w:val="20"/>
              </w:rPr>
              <w:drawing>
                <wp:inline distT="0" distB="0" distL="0" distR="0">
                  <wp:extent cx="378355" cy="29279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6.png"/>
                          <pic:cNvPicPr/>
                        </pic:nvPicPr>
                        <pic:blipFill>
                          <a:blip xmlns:r="http://schemas.openxmlformats.org/officeDocument/2006/relationships" r:embed="rId67" cstate="print"/>
                          <a:stretch>
                            <a:fillRect/>
                          </a:stretch>
                        </pic:blipFill>
                        <pic:spPr>
                          <a:xfrm>
                            <a:off x="0" y="0"/>
                            <a:ext cx="378355" cy="292798"/>
                          </a:xfrm>
                          <a:prstGeom prst="rect">
                            <a:avLst/>
                          </a:prstGeom>
                        </pic:spPr>
                      </pic:pic>
                    </a:graphicData>
                  </a:graphic>
                </wp:inline>
              </w:drawing>
            </w:r>
            <w:r w:rsidRPr="2F9D3AFB">
              <w:rPr>
                <w:rFonts w:ascii="Times New Roman"/>
                <w:spacing w:val="-27"/>
                <w:position w:val="1"/>
                <w:sz w:val="20"/>
                <w:szCs w:val="20"/>
              </w:rPr>
              <w:t xml:space="preserve"> </w:t>
            </w:r>
            <w:r>
              <w:rPr>
                <w:rFonts w:ascii="Times New Roman"/>
                <w:noProof/>
                <w:spacing w:val="-27"/>
                <w:sz w:val="20"/>
              </w:rPr>
              <w:drawing>
                <wp:inline distT="0" distB="0" distL="0" distR="0">
                  <wp:extent cx="293163" cy="296799"/>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7.png"/>
                          <pic:cNvPicPr/>
                        </pic:nvPicPr>
                        <pic:blipFill>
                          <a:blip xmlns:r="http://schemas.openxmlformats.org/officeDocument/2006/relationships" r:embed="rId68" cstate="print"/>
                          <a:stretch>
                            <a:fillRect/>
                          </a:stretch>
                        </pic:blipFill>
                        <pic:spPr>
                          <a:xfrm>
                            <a:off x="0" y="0"/>
                            <a:ext cx="293163" cy="296799"/>
                          </a:xfrm>
                          <a:prstGeom prst="rect">
                            <a:avLst/>
                          </a:prstGeom>
                        </pic:spPr>
                      </pic:pic>
                    </a:graphicData>
                  </a:graphic>
                </wp:inline>
              </w:drawing>
            </w:r>
          </w:p>
        </w:tc>
        <w:tc>
          <w:tcPr>
            <w:tcW w:w="550" w:type="dxa"/>
          </w:tcPr>
          <w:p w:rsidR="00280DF2" w:rsidP="009C5286" w14:paraId="4C6B455B" w14:textId="77777777">
            <w:pPr>
              <w:pStyle w:val="TableParagraph"/>
              <w:spacing w:line="252" w:lineRule="auto"/>
              <w:ind w:right="105"/>
              <w:rPr>
                <w:sz w:val="12"/>
              </w:rPr>
            </w:pPr>
            <w:r>
              <w:rPr>
                <w:sz w:val="12"/>
              </w:rPr>
              <w:t>New Zealand</w:t>
            </w:r>
          </w:p>
        </w:tc>
        <w:tc>
          <w:tcPr>
            <w:tcW w:w="3487" w:type="dxa"/>
          </w:tcPr>
          <w:p w:rsidR="00280DF2" w:rsidP="009C5286" w14:paraId="4A50A31A" w14:textId="77777777">
            <w:pPr>
              <w:pStyle w:val="TableParagraph"/>
              <w:spacing w:line="252" w:lineRule="auto"/>
              <w:ind w:right="36"/>
              <w:rPr>
                <w:sz w:val="12"/>
              </w:rPr>
            </w:pPr>
            <w:r>
              <w:rPr>
                <w:sz w:val="12"/>
              </w:rPr>
              <w:t xml:space="preserve">Tested effects of HSR on consumers stated preference for mock breakfast cereals vs. control (no HSR). Neither </w:t>
            </w:r>
            <w:r>
              <w:rPr>
                <w:sz w:val="12"/>
              </w:rPr>
              <w:t>hypotheses</w:t>
            </w:r>
            <w:r>
              <w:rPr>
                <w:sz w:val="12"/>
              </w:rPr>
              <w:t xml:space="preserve"> supported; HSR did not affect consumer choice and more stars did not consistently affect choice. (Critique: DV too broad, no covariates and sample too narrowly drawn).</w:t>
            </w:r>
          </w:p>
        </w:tc>
      </w:tr>
      <w:tr w14:paraId="51D5ADA9" w14:textId="77777777" w:rsidTr="4C9BFAA2">
        <w:tblPrEx>
          <w:tblW w:w="0" w:type="auto"/>
          <w:tblInd w:w="100" w:type="dxa"/>
          <w:tblLayout w:type="fixed"/>
          <w:tblCellMar>
            <w:left w:w="0" w:type="dxa"/>
            <w:right w:w="0" w:type="dxa"/>
          </w:tblCellMar>
          <w:tblLook w:val="01E0"/>
        </w:tblPrEx>
        <w:trPr>
          <w:trHeight w:val="1128"/>
        </w:trPr>
        <w:tc>
          <w:tcPr>
            <w:tcW w:w="1036" w:type="dxa"/>
            <w:tcBorders>
              <w:bottom w:val="single" w:sz="6" w:space="0" w:color="000000" w:themeColor="text1"/>
            </w:tcBorders>
          </w:tcPr>
          <w:p w:rsidR="00280DF2" w:rsidP="009C5286" w14:paraId="1A8A5A7A" w14:textId="77777777">
            <w:pPr>
              <w:pStyle w:val="TableParagraph"/>
              <w:spacing w:line="252" w:lineRule="auto"/>
              <w:ind w:right="133"/>
              <w:rPr>
                <w:sz w:val="12"/>
              </w:rPr>
            </w:pPr>
            <w:r>
              <w:rPr>
                <w:sz w:val="12"/>
              </w:rPr>
              <w:t>Talati, Pettigrew, Kelly, Ball, Et al</w:t>
            </w:r>
          </w:p>
        </w:tc>
        <w:tc>
          <w:tcPr>
            <w:tcW w:w="2101" w:type="dxa"/>
            <w:tcBorders>
              <w:bottom w:val="single" w:sz="6" w:space="0" w:color="000000" w:themeColor="text1"/>
            </w:tcBorders>
          </w:tcPr>
          <w:p w:rsidR="00280DF2" w:rsidP="009C5286" w14:paraId="48BDC6F9" w14:textId="77777777">
            <w:pPr>
              <w:pStyle w:val="TableParagraph"/>
              <w:spacing w:line="252" w:lineRule="auto"/>
              <w:ind w:right="102"/>
              <w:rPr>
                <w:sz w:val="12"/>
              </w:rPr>
            </w:pPr>
            <w:r>
              <w:rPr>
                <w:sz w:val="12"/>
              </w:rPr>
              <w:t>Can front-of-pack labels influence portion size judgements for unhealthy foods?</w:t>
            </w:r>
          </w:p>
        </w:tc>
        <w:tc>
          <w:tcPr>
            <w:tcW w:w="333" w:type="dxa"/>
            <w:tcBorders>
              <w:bottom w:val="single" w:sz="6" w:space="0" w:color="000000" w:themeColor="text1"/>
            </w:tcBorders>
          </w:tcPr>
          <w:p w:rsidR="00280DF2" w:rsidP="009C5286" w14:paraId="33871154" w14:textId="77777777">
            <w:pPr>
              <w:pStyle w:val="TableParagraph"/>
              <w:spacing w:line="140" w:lineRule="exact"/>
              <w:ind w:left="36"/>
              <w:rPr>
                <w:sz w:val="12"/>
              </w:rPr>
            </w:pPr>
            <w:r>
              <w:rPr>
                <w:color w:val="0000FE"/>
                <w:sz w:val="12"/>
              </w:rPr>
              <w:t>2018</w:t>
            </w:r>
          </w:p>
        </w:tc>
        <w:tc>
          <w:tcPr>
            <w:tcW w:w="3555" w:type="dxa"/>
            <w:tcBorders>
              <w:bottom w:val="single" w:sz="6" w:space="0" w:color="000000" w:themeColor="text1"/>
            </w:tcBorders>
          </w:tcPr>
          <w:p w:rsidR="00280DF2" w:rsidP="005A1B39" w14:paraId="5FB0994F" w14:textId="77777777">
            <w:pPr>
              <w:pStyle w:val="TableParagraph"/>
              <w:spacing w:line="252" w:lineRule="auto"/>
              <w:ind w:left="29" w:right="173"/>
              <w:rPr>
                <w:sz w:val="12"/>
              </w:rPr>
            </w:pPr>
            <w:r>
              <w:rPr>
                <w:sz w:val="12"/>
              </w:rPr>
              <w:t>Quantitative. Experimental - Online N=1505</w:t>
            </w:r>
          </w:p>
        </w:tc>
        <w:tc>
          <w:tcPr>
            <w:tcW w:w="1199" w:type="dxa"/>
            <w:tcBorders>
              <w:bottom w:val="single" w:sz="6" w:space="0" w:color="000000" w:themeColor="text1"/>
            </w:tcBorders>
          </w:tcPr>
          <w:p w:rsidR="00280DF2" w:rsidP="009C5286" w14:paraId="14F644B8" w14:textId="77777777">
            <w:pPr>
              <w:pStyle w:val="TableParagraph"/>
              <w:spacing w:line="252" w:lineRule="auto"/>
              <w:ind w:right="121"/>
              <w:rPr>
                <w:sz w:val="12"/>
              </w:rPr>
            </w:pPr>
            <w:r>
              <w:rPr>
                <w:sz w:val="12"/>
              </w:rPr>
              <w:t>Daily Intake Guide; Multiple Traffic Light; Health Star Rating</w:t>
            </w:r>
          </w:p>
        </w:tc>
        <w:tc>
          <w:tcPr>
            <w:tcW w:w="1204" w:type="dxa"/>
            <w:tcBorders>
              <w:bottom w:val="single" w:sz="6" w:space="0" w:color="000000" w:themeColor="text1"/>
            </w:tcBorders>
          </w:tcPr>
          <w:p w:rsidR="00280DF2" w:rsidP="009C5286" w14:paraId="46B6F23A" w14:textId="77777777">
            <w:pPr>
              <w:pStyle w:val="TableParagraph"/>
              <w:ind w:left="175"/>
              <w:rPr>
                <w:rFonts w:ascii="Times New Roman"/>
                <w:sz w:val="20"/>
              </w:rPr>
            </w:pPr>
            <w:r>
              <w:rPr>
                <w:noProof/>
              </w:rPr>
              <w:drawing>
                <wp:inline distT="0" distB="0" distL="0" distR="0">
                  <wp:extent cx="540629" cy="68103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8.png"/>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629" cy="681037"/>
                          </a:xfrm>
                          <a:prstGeom prst="rect">
                            <a:avLst/>
                          </a:prstGeom>
                        </pic:spPr>
                      </pic:pic>
                    </a:graphicData>
                  </a:graphic>
                </wp:inline>
              </w:drawing>
            </w:r>
          </w:p>
        </w:tc>
        <w:tc>
          <w:tcPr>
            <w:tcW w:w="550" w:type="dxa"/>
            <w:tcBorders>
              <w:bottom w:val="single" w:sz="6" w:space="0" w:color="000000" w:themeColor="text1"/>
            </w:tcBorders>
          </w:tcPr>
          <w:p w:rsidR="00280DF2" w:rsidP="009C5286" w14:paraId="73777B6D" w14:textId="77777777">
            <w:pPr>
              <w:pStyle w:val="TableParagraph"/>
              <w:spacing w:line="140" w:lineRule="exact"/>
              <w:ind w:left="0" w:right="39"/>
              <w:jc w:val="center"/>
              <w:rPr>
                <w:sz w:val="12"/>
              </w:rPr>
            </w:pPr>
            <w:r>
              <w:rPr>
                <w:sz w:val="12"/>
              </w:rPr>
              <w:t>Australia</w:t>
            </w:r>
          </w:p>
        </w:tc>
        <w:tc>
          <w:tcPr>
            <w:tcW w:w="3487" w:type="dxa"/>
            <w:tcBorders>
              <w:bottom w:val="single" w:sz="6" w:space="0" w:color="000000" w:themeColor="text1"/>
            </w:tcBorders>
          </w:tcPr>
          <w:p w:rsidR="00280DF2" w:rsidP="009C5286" w14:paraId="49C6F511" w14:textId="5A0B638D">
            <w:pPr>
              <w:pStyle w:val="TableParagraph"/>
              <w:spacing w:line="252" w:lineRule="auto"/>
              <w:rPr>
                <w:sz w:val="12"/>
              </w:rPr>
            </w:pPr>
            <w:r>
              <w:rPr>
                <w:sz w:val="12"/>
              </w:rPr>
              <w:t xml:space="preserve">Compared </w:t>
            </w:r>
            <w:r w:rsidR="00F638F1">
              <w:rPr>
                <w:sz w:val="12"/>
              </w:rPr>
              <w:t>FOP</w:t>
            </w:r>
            <w:r>
              <w:rPr>
                <w:sz w:val="12"/>
              </w:rPr>
              <w:t xml:space="preserve"> effect on portion size; included a no-</w:t>
            </w:r>
            <w:r w:rsidR="00F638F1">
              <w:rPr>
                <w:sz w:val="12"/>
              </w:rPr>
              <w:t>FOP</w:t>
            </w:r>
            <w:r>
              <w:rPr>
                <w:sz w:val="12"/>
              </w:rPr>
              <w:t xml:space="preserve"> control; used unhealthy pizza, cookies, yoghurts, and cornflakes. HSR and MTL resulted in small but significant reduction in portion size for some of the products; Pizza and cornflakes for HSR; Cornflakes for MTL. Concluded that the more interpretive labels (HSR &amp; MTL) worked better than less interpretive (DIG) for reducing portion sizes.</w:t>
            </w:r>
          </w:p>
        </w:tc>
      </w:tr>
      <w:tr w14:paraId="188FD6DF" w14:textId="77777777" w:rsidTr="000444F6">
        <w:tblPrEx>
          <w:tblW w:w="0" w:type="auto"/>
          <w:tblInd w:w="100" w:type="dxa"/>
          <w:tblLayout w:type="fixed"/>
          <w:tblCellMar>
            <w:left w:w="0" w:type="dxa"/>
            <w:right w:w="0" w:type="dxa"/>
          </w:tblCellMar>
          <w:tblLook w:val="01E0"/>
        </w:tblPrEx>
        <w:trPr>
          <w:trHeight w:val="1128"/>
        </w:trPr>
        <w:tc>
          <w:tcPr>
            <w:tcW w:w="1036" w:type="dxa"/>
            <w:tcBorders>
              <w:left w:val="nil"/>
              <w:bottom w:val="nil"/>
              <w:right w:val="nil"/>
            </w:tcBorders>
          </w:tcPr>
          <w:p w:rsidR="000444F6" w:rsidRPr="005A1B39" w:rsidP="005A1B39" w14:paraId="44AFDFFA" w14:textId="77777777">
            <w:pPr>
              <w:pStyle w:val="TableParagraph"/>
              <w:spacing w:line="252" w:lineRule="auto"/>
              <w:ind w:right="133"/>
              <w:rPr>
                <w:sz w:val="12"/>
              </w:rPr>
            </w:pPr>
          </w:p>
        </w:tc>
        <w:tc>
          <w:tcPr>
            <w:tcW w:w="2101" w:type="dxa"/>
            <w:tcBorders>
              <w:left w:val="nil"/>
              <w:bottom w:val="nil"/>
              <w:right w:val="nil"/>
            </w:tcBorders>
          </w:tcPr>
          <w:p w:rsidR="000444F6" w:rsidRPr="005A1B39" w:rsidP="005A1B39" w14:paraId="2A304C78" w14:textId="77777777">
            <w:pPr>
              <w:pStyle w:val="TableParagraph"/>
              <w:spacing w:line="252" w:lineRule="auto"/>
              <w:ind w:right="102"/>
              <w:rPr>
                <w:sz w:val="12"/>
              </w:rPr>
            </w:pPr>
          </w:p>
        </w:tc>
        <w:tc>
          <w:tcPr>
            <w:tcW w:w="333" w:type="dxa"/>
            <w:tcBorders>
              <w:left w:val="nil"/>
              <w:bottom w:val="nil"/>
              <w:right w:val="nil"/>
            </w:tcBorders>
          </w:tcPr>
          <w:p w:rsidR="000444F6" w:rsidRPr="003370EF" w:rsidP="005A1B39" w14:paraId="19F2587C" w14:textId="77777777">
            <w:pPr>
              <w:pStyle w:val="TableParagraph"/>
              <w:spacing w:line="140" w:lineRule="exact"/>
              <w:ind w:left="36"/>
              <w:rPr>
                <w:color w:val="00B050"/>
                <w:sz w:val="12"/>
              </w:rPr>
            </w:pPr>
          </w:p>
        </w:tc>
        <w:tc>
          <w:tcPr>
            <w:tcW w:w="3555" w:type="dxa"/>
            <w:tcBorders>
              <w:left w:val="nil"/>
              <w:bottom w:val="nil"/>
              <w:right w:val="nil"/>
            </w:tcBorders>
          </w:tcPr>
          <w:p w:rsidR="000444F6" w:rsidRPr="005A1B39" w:rsidP="005A1B39" w14:paraId="01394C11" w14:textId="77777777">
            <w:pPr>
              <w:pStyle w:val="TableParagraph"/>
              <w:spacing w:line="252" w:lineRule="auto"/>
              <w:ind w:left="29" w:right="173"/>
              <w:rPr>
                <w:sz w:val="12"/>
              </w:rPr>
            </w:pPr>
          </w:p>
        </w:tc>
        <w:tc>
          <w:tcPr>
            <w:tcW w:w="1199" w:type="dxa"/>
            <w:tcBorders>
              <w:left w:val="nil"/>
              <w:bottom w:val="nil"/>
              <w:right w:val="nil"/>
            </w:tcBorders>
          </w:tcPr>
          <w:p w:rsidR="000444F6" w:rsidRPr="005A1B39" w:rsidP="005A1B39" w14:paraId="0E27D270" w14:textId="77777777">
            <w:pPr>
              <w:pStyle w:val="TableParagraph"/>
              <w:spacing w:line="252" w:lineRule="auto"/>
              <w:ind w:right="121"/>
              <w:rPr>
                <w:sz w:val="12"/>
              </w:rPr>
            </w:pPr>
          </w:p>
        </w:tc>
        <w:tc>
          <w:tcPr>
            <w:tcW w:w="1204" w:type="dxa"/>
            <w:tcBorders>
              <w:left w:val="nil"/>
              <w:bottom w:val="nil"/>
              <w:right w:val="nil"/>
            </w:tcBorders>
          </w:tcPr>
          <w:p w:rsidR="000444F6" w:rsidRPr="005A1B39" w:rsidP="005A1B39" w14:paraId="28C0D740" w14:textId="77777777">
            <w:pPr>
              <w:pStyle w:val="TableParagraph"/>
              <w:ind w:left="175"/>
              <w:rPr>
                <w:sz w:val="12"/>
              </w:rPr>
            </w:pPr>
          </w:p>
        </w:tc>
        <w:tc>
          <w:tcPr>
            <w:tcW w:w="550" w:type="dxa"/>
            <w:tcBorders>
              <w:left w:val="nil"/>
              <w:bottom w:val="nil"/>
              <w:right w:val="nil"/>
            </w:tcBorders>
          </w:tcPr>
          <w:p w:rsidR="000444F6" w:rsidRPr="005A1B39" w:rsidP="005A1B39" w14:paraId="090E78F3" w14:textId="77777777">
            <w:pPr>
              <w:pStyle w:val="TableParagraph"/>
              <w:spacing w:line="140" w:lineRule="exact"/>
              <w:ind w:left="0" w:right="39"/>
              <w:jc w:val="center"/>
              <w:rPr>
                <w:sz w:val="12"/>
              </w:rPr>
            </w:pPr>
          </w:p>
        </w:tc>
        <w:tc>
          <w:tcPr>
            <w:tcW w:w="3487" w:type="dxa"/>
            <w:tcBorders>
              <w:left w:val="nil"/>
              <w:bottom w:val="nil"/>
              <w:right w:val="nil"/>
            </w:tcBorders>
          </w:tcPr>
          <w:p w:rsidR="000444F6" w:rsidRPr="005A1B39" w:rsidP="005A1B39" w14:paraId="0B42B113" w14:textId="77777777">
            <w:pPr>
              <w:pStyle w:val="TableParagraph"/>
              <w:spacing w:line="252" w:lineRule="auto"/>
              <w:rPr>
                <w:sz w:val="12"/>
              </w:rPr>
            </w:pPr>
          </w:p>
        </w:tc>
      </w:tr>
      <w:tr w14:paraId="22A34C88" w14:textId="77777777" w:rsidTr="000444F6">
        <w:tblPrEx>
          <w:tblW w:w="0" w:type="auto"/>
          <w:tblInd w:w="100" w:type="dxa"/>
          <w:tblLayout w:type="fixed"/>
          <w:tblCellMar>
            <w:left w:w="0" w:type="dxa"/>
            <w:right w:w="0" w:type="dxa"/>
          </w:tblCellMar>
          <w:tblLook w:val="01E0"/>
        </w:tblPrEx>
        <w:trPr>
          <w:trHeight w:val="1128"/>
        </w:trPr>
        <w:tc>
          <w:tcPr>
            <w:tcW w:w="1036" w:type="dxa"/>
            <w:tcBorders>
              <w:top w:val="nil"/>
            </w:tcBorders>
          </w:tcPr>
          <w:p w:rsidR="005A1B39" w:rsidP="005A1B39" w14:paraId="13C5C6AA" w14:textId="62B38BDA">
            <w:pPr>
              <w:pStyle w:val="TableParagraph"/>
              <w:spacing w:line="252" w:lineRule="auto"/>
              <w:ind w:right="133"/>
              <w:rPr>
                <w:sz w:val="12"/>
              </w:rPr>
            </w:pPr>
            <w:r w:rsidRPr="005A1B39">
              <w:rPr>
                <w:sz w:val="12"/>
              </w:rPr>
              <w:t>Acton, et al.</w:t>
            </w:r>
          </w:p>
        </w:tc>
        <w:tc>
          <w:tcPr>
            <w:tcW w:w="2101" w:type="dxa"/>
            <w:tcBorders>
              <w:top w:val="nil"/>
            </w:tcBorders>
          </w:tcPr>
          <w:p w:rsidR="005A1B39" w:rsidP="005A1B39" w14:paraId="25632F04" w14:textId="1D091186">
            <w:pPr>
              <w:pStyle w:val="TableParagraph"/>
              <w:spacing w:line="252" w:lineRule="auto"/>
              <w:ind w:right="102"/>
              <w:rPr>
                <w:sz w:val="12"/>
              </w:rPr>
            </w:pPr>
            <w:r w:rsidRPr="005A1B39">
              <w:rPr>
                <w:sz w:val="12"/>
              </w:rPr>
              <w:t>Exploring the main and moderating effects of individual-level characteristics on consumer responses to sugar taxes and front-of-pack nutrition labels in an experimental marketplace</w:t>
            </w:r>
          </w:p>
        </w:tc>
        <w:tc>
          <w:tcPr>
            <w:tcW w:w="333" w:type="dxa"/>
            <w:tcBorders>
              <w:top w:val="nil"/>
            </w:tcBorders>
          </w:tcPr>
          <w:p w:rsidR="005A1B39" w:rsidP="005A1B39" w14:paraId="690F7C53" w14:textId="7FF207A9">
            <w:pPr>
              <w:pStyle w:val="TableParagraph"/>
              <w:spacing w:line="140" w:lineRule="exact"/>
              <w:ind w:left="36"/>
              <w:rPr>
                <w:color w:val="0000FE"/>
                <w:sz w:val="12"/>
              </w:rPr>
            </w:pPr>
            <w:r w:rsidRPr="003370EF">
              <w:rPr>
                <w:color w:val="00B050"/>
                <w:sz w:val="12"/>
              </w:rPr>
              <w:t>2021</w:t>
            </w:r>
          </w:p>
        </w:tc>
        <w:tc>
          <w:tcPr>
            <w:tcW w:w="3555" w:type="dxa"/>
            <w:tcBorders>
              <w:top w:val="nil"/>
            </w:tcBorders>
          </w:tcPr>
          <w:p w:rsidR="005A1B39" w:rsidP="005A1B39" w14:paraId="12216E1F" w14:textId="55F805D6">
            <w:pPr>
              <w:pStyle w:val="TableParagraph"/>
              <w:spacing w:line="252" w:lineRule="auto"/>
              <w:ind w:left="29" w:right="173"/>
              <w:rPr>
                <w:sz w:val="12"/>
              </w:rPr>
            </w:pPr>
            <w:r w:rsidRPr="005A1B39">
              <w:rPr>
                <w:sz w:val="12"/>
              </w:rPr>
              <w:t>Quantitative</w:t>
            </w:r>
            <w:r w:rsidRPr="005A1B39">
              <w:rPr>
                <w:sz w:val="12"/>
              </w:rPr>
              <w:br/>
              <w:t xml:space="preserve">1. Explored the impact of sugar taxes and </w:t>
            </w:r>
            <w:r w:rsidR="004B6E26">
              <w:rPr>
                <w:sz w:val="12"/>
              </w:rPr>
              <w:t>FOP</w:t>
            </w:r>
            <w:r w:rsidRPr="005A1B39">
              <w:rPr>
                <w:sz w:val="12"/>
              </w:rPr>
              <w:t>s on the protein, calcium, and fiber density of snack food purchases</w:t>
            </w:r>
            <w:r w:rsidRPr="005A1B39">
              <w:rPr>
                <w:sz w:val="12"/>
              </w:rPr>
              <w:br/>
              <w:t>- Experimental study (n = 3584) aged 13+, 3 × 8 between-within group experiment.</w:t>
            </w:r>
            <w:r w:rsidRPr="005A1B39">
              <w:rPr>
                <w:sz w:val="12"/>
              </w:rPr>
              <w:br/>
              <w:t>- Participants received $5 and viewed images of 20 snack food products available for purchase</w:t>
            </w:r>
            <w:r w:rsidRPr="005A1B39">
              <w:rPr>
                <w:sz w:val="12"/>
              </w:rPr>
              <w:br/>
              <w:t xml:space="preserve">- Participants were randomized to one of five </w:t>
            </w:r>
            <w:r w:rsidR="004B6E26">
              <w:rPr>
                <w:sz w:val="12"/>
              </w:rPr>
              <w:t>FOP</w:t>
            </w:r>
            <w:r w:rsidRPr="005A1B39">
              <w:rPr>
                <w:sz w:val="12"/>
              </w:rPr>
              <w:t xml:space="preserve"> conditions</w:t>
            </w:r>
            <w:r w:rsidRPr="005A1B39">
              <w:rPr>
                <w:sz w:val="12"/>
              </w:rPr>
              <w:br/>
              <w:t xml:space="preserve">2. Objective: examine impact of </w:t>
            </w:r>
            <w:r w:rsidR="004B6E26">
              <w:rPr>
                <w:sz w:val="12"/>
              </w:rPr>
              <w:t>FOP</w:t>
            </w:r>
            <w:r w:rsidRPr="005A1B39">
              <w:rPr>
                <w:sz w:val="12"/>
              </w:rPr>
              <w:t xml:space="preserve">s on purchase of products that had conflicting ratings across the </w:t>
            </w:r>
            <w:r w:rsidR="004B6E26">
              <w:rPr>
                <w:sz w:val="12"/>
              </w:rPr>
              <w:t>FOP</w:t>
            </w:r>
            <w:r w:rsidRPr="005A1B39">
              <w:rPr>
                <w:sz w:val="12"/>
              </w:rPr>
              <w:t xml:space="preserve"> systems</w:t>
            </w:r>
          </w:p>
        </w:tc>
        <w:tc>
          <w:tcPr>
            <w:tcW w:w="1199" w:type="dxa"/>
            <w:tcBorders>
              <w:top w:val="nil"/>
            </w:tcBorders>
          </w:tcPr>
          <w:p w:rsidR="005A1B39" w:rsidP="005A1B39" w14:paraId="278A594E" w14:textId="0394BC5A">
            <w:pPr>
              <w:pStyle w:val="TableParagraph"/>
              <w:spacing w:line="252" w:lineRule="auto"/>
              <w:ind w:right="121"/>
              <w:rPr>
                <w:sz w:val="12"/>
              </w:rPr>
            </w:pPr>
            <w:r w:rsidRPr="005A1B39">
              <w:rPr>
                <w:sz w:val="12"/>
              </w:rPr>
              <w:t>1. Warning label (WL)</w:t>
            </w:r>
            <w:r w:rsidRPr="005A1B39">
              <w:rPr>
                <w:sz w:val="12"/>
              </w:rPr>
              <w:br/>
              <w:t>2. Multiple Traffic Light (MTL)</w:t>
            </w:r>
            <w:r w:rsidRPr="005A1B39">
              <w:rPr>
                <w:sz w:val="12"/>
              </w:rPr>
              <w:br/>
              <w:t>3. Health Star Rating (HSR)</w:t>
            </w:r>
            <w:r w:rsidRPr="005A1B39">
              <w:rPr>
                <w:sz w:val="12"/>
              </w:rPr>
              <w:br/>
              <w:t>4. Nutrition grade</w:t>
            </w:r>
          </w:p>
        </w:tc>
        <w:tc>
          <w:tcPr>
            <w:tcW w:w="1204" w:type="dxa"/>
            <w:tcBorders>
              <w:top w:val="nil"/>
            </w:tcBorders>
          </w:tcPr>
          <w:p w:rsidR="005A1B39" w:rsidP="005A1B39" w14:paraId="0190C81A" w14:textId="7C0A8756">
            <w:pPr>
              <w:pStyle w:val="TableParagraph"/>
              <w:ind w:left="175"/>
              <w:rPr>
                <w:noProof/>
              </w:rPr>
            </w:pPr>
            <w:r w:rsidRPr="005A1B39">
              <w:rPr>
                <w:noProof/>
                <w:sz w:val="12"/>
              </w:rPr>
              <mc:AlternateContent>
                <mc:Choice Requires="wpg">
                  <w:drawing>
                    <wp:anchor distT="0" distB="0" distL="114300" distR="114300" simplePos="0" relativeHeight="251678720" behindDoc="0" locked="0" layoutInCell="1" allowOverlap="1">
                      <wp:simplePos x="0" y="0"/>
                      <wp:positionH relativeFrom="column">
                        <wp:posOffset>43815</wp:posOffset>
                      </wp:positionH>
                      <wp:positionV relativeFrom="paragraph">
                        <wp:posOffset>140335</wp:posOffset>
                      </wp:positionV>
                      <wp:extent cx="640080" cy="492760"/>
                      <wp:effectExtent l="0" t="0" r="7620" b="2540"/>
                      <wp:wrapNone/>
                      <wp:docPr id="165" name="Group 165"/>
                      <wp:cNvGraphicFramePr>
                        <a:graphicFrameLocks xmlns:a="http://schemas.openxmlformats.org/drawingml/2006/main" noChangeAspect="1"/>
                      </wp:cNvGraphicFramePr>
                      <a:graphic xmlns:a="http://schemas.openxmlformats.org/drawingml/2006/main">
                        <a:graphicData uri="http://schemas.microsoft.com/office/word/2010/wordprocessingGroup">
                          <wpg:wgp xmlns:wpg="http://schemas.microsoft.com/office/word/2010/wordprocessingGroup">
                            <wpg:cNvGrpSpPr>
                              <a:grpSpLocks noChangeAspect="1"/>
                            </wpg:cNvGrpSpPr>
                            <wpg:grpSpPr>
                              <a:xfrm>
                                <a:off x="0" y="0"/>
                                <a:ext cx="640080" cy="492760"/>
                                <a:chOff x="0" y="0"/>
                                <a:chExt cx="1702812" cy="982134"/>
                              </a:xfrm>
                            </wpg:grpSpPr>
                            <pic:pic xmlns:pic="http://schemas.openxmlformats.org/drawingml/2006/picture">
                              <pic:nvPicPr>
                                <pic:cNvPr id="166" name="Picture 166">
                                  <a:extLst>
                                    <a:ext xmlns:a="http://schemas.openxmlformats.org/drawingml/2006/main" uri="{FF2B5EF4-FFF2-40B4-BE49-F238E27FC236}">
                                      <a16:creationId xmlns:a16="http://schemas.microsoft.com/office/drawing/2014/main" id="{607410D2-AC24-4C3A-83EA-49338EC5ED14}"/>
                                    </a:ext>
                                  </a:extLst>
                                </pic:cNvPr>
                                <pic:cNvPicPr>
                                  <a:picLocks noChangeAspect="1" noChangeArrowheads="1"/>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rcRect b="54282"/>
                                <a:stretch>
                                  <a:fillRect/>
                                </a:stretch>
                              </pic:blipFill>
                              <pic:spPr bwMode="auto">
                                <a:xfrm>
                                  <a:off x="0" y="52916"/>
                                  <a:ext cx="738695" cy="836083"/>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167">
                                  <a:extLst>
                                    <a:ext xmlns:a="http://schemas.openxmlformats.org/drawingml/2006/main" uri="{FF2B5EF4-FFF2-40B4-BE49-F238E27FC236}">
                                      <a16:creationId xmlns:a16="http://schemas.microsoft.com/office/drawing/2014/main" id="{607410D2-AC24-4C3A-83EA-49338EC5ED14}"/>
                                    </a:ext>
                                  </a:extLst>
                                </pic:cNvPr>
                                <pic:cNvPicPr>
                                  <a:picLocks noChangeAspect="1" noChangeArrowheads="1"/>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rcRect t="46296"/>
                                <a:stretch>
                                  <a:fillRect/>
                                </a:stretch>
                              </pic:blipFill>
                              <pic:spPr bwMode="auto">
                                <a:xfrm>
                                  <a:off x="964117" y="0"/>
                                  <a:ext cx="738695" cy="982134"/>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5" o:spid="_x0000_s1035" style="width:50.4pt;height:38.8pt;margin-top:11.05pt;margin-left:3.45pt;position:absolute;z-index:251679744" coordsize="17028,982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36" type="#_x0000_t75" style="width:7386;height:8360;mso-wrap-style:square;position:absolute;top:529;visibility:visible">
                        <v:imagedata r:id="rId70" o:title="" cropbottom="35574f"/>
                      </v:shape>
                      <v:shape id="Picture 167" o:spid="_x0000_s1037" type="#_x0000_t75" style="width:7387;height:9821;left:9641;mso-wrap-style:square;position:absolute;visibility:visible">
                        <v:imagedata r:id="rId70" o:title="" croptop="30341f"/>
                      </v:shape>
                    </v:group>
                  </w:pict>
                </mc:Fallback>
              </mc:AlternateContent>
            </w:r>
          </w:p>
        </w:tc>
        <w:tc>
          <w:tcPr>
            <w:tcW w:w="550" w:type="dxa"/>
            <w:tcBorders>
              <w:top w:val="nil"/>
            </w:tcBorders>
          </w:tcPr>
          <w:p w:rsidR="005A1B39" w:rsidP="005A1B39" w14:paraId="2A593ADA" w14:textId="77BF91A8">
            <w:pPr>
              <w:pStyle w:val="TableParagraph"/>
              <w:spacing w:line="140" w:lineRule="exact"/>
              <w:ind w:left="0" w:right="39"/>
              <w:jc w:val="center"/>
              <w:rPr>
                <w:sz w:val="12"/>
              </w:rPr>
            </w:pPr>
            <w:r w:rsidRPr="005A1B39">
              <w:rPr>
                <w:sz w:val="12"/>
              </w:rPr>
              <w:t>Canada</w:t>
            </w:r>
          </w:p>
        </w:tc>
        <w:tc>
          <w:tcPr>
            <w:tcW w:w="3487" w:type="dxa"/>
            <w:tcBorders>
              <w:top w:val="nil"/>
            </w:tcBorders>
          </w:tcPr>
          <w:p w:rsidR="005A1B39" w:rsidP="005A1B39" w14:paraId="3C3399E2" w14:textId="00106046">
            <w:pPr>
              <w:pStyle w:val="TableParagraph"/>
              <w:spacing w:line="252" w:lineRule="auto"/>
              <w:rPr>
                <w:sz w:val="12"/>
              </w:rPr>
            </w:pPr>
            <w:r w:rsidRPr="005A1B39">
              <w:rPr>
                <w:sz w:val="12"/>
              </w:rPr>
              <w:t xml:space="preserve">1. </w:t>
            </w:r>
            <w:r w:rsidR="004B6E26">
              <w:rPr>
                <w:sz w:val="12"/>
              </w:rPr>
              <w:t>FOP</w:t>
            </w:r>
            <w:r w:rsidRPr="005A1B39">
              <w:rPr>
                <w:sz w:val="12"/>
              </w:rPr>
              <w:t xml:space="preserve"> systems differ in the extent to which they promote or dissuade purchases</w:t>
            </w:r>
            <w:r w:rsidRPr="005A1B39">
              <w:rPr>
                <w:sz w:val="12"/>
              </w:rPr>
              <w:br/>
              <w:t>2. "High in" and Traffic Light more effectively discourage purchases than the positive ratings encourage them</w:t>
            </w:r>
          </w:p>
        </w:tc>
      </w:tr>
      <w:tr w14:paraId="68321696" w14:textId="77777777" w:rsidTr="0079161F">
        <w:tblPrEx>
          <w:tblW w:w="0" w:type="auto"/>
          <w:tblInd w:w="100" w:type="dxa"/>
          <w:tblLayout w:type="fixed"/>
          <w:tblCellMar>
            <w:left w:w="0" w:type="dxa"/>
            <w:right w:w="0" w:type="dxa"/>
          </w:tblCellMar>
          <w:tblLook w:val="01E0"/>
        </w:tblPrEx>
        <w:trPr>
          <w:trHeight w:val="1128"/>
        </w:trPr>
        <w:tc>
          <w:tcPr>
            <w:tcW w:w="1036" w:type="dxa"/>
          </w:tcPr>
          <w:p w:rsidR="005A1B39" w:rsidRPr="005A1B39" w:rsidP="005A1B39" w14:paraId="348C372B" w14:textId="18741513">
            <w:pPr>
              <w:pStyle w:val="TableParagraph"/>
              <w:spacing w:line="252" w:lineRule="auto"/>
              <w:ind w:right="133"/>
              <w:rPr>
                <w:sz w:val="12"/>
              </w:rPr>
            </w:pPr>
            <w:r w:rsidRPr="00D475C9">
              <w:rPr>
                <w:rFonts w:eastAsia="Times New Roman"/>
                <w:sz w:val="12"/>
                <w:szCs w:val="12"/>
              </w:rPr>
              <w:t>Baccelloni et al.</w:t>
            </w:r>
          </w:p>
        </w:tc>
        <w:tc>
          <w:tcPr>
            <w:tcW w:w="2101" w:type="dxa"/>
          </w:tcPr>
          <w:p w:rsidR="005A1B39" w:rsidRPr="005A1B39" w:rsidP="005A1B39" w14:paraId="022D2DE3" w14:textId="385935FF">
            <w:pPr>
              <w:pStyle w:val="TableParagraph"/>
              <w:spacing w:line="252" w:lineRule="auto"/>
              <w:ind w:right="102"/>
              <w:rPr>
                <w:sz w:val="12"/>
              </w:rPr>
            </w:pPr>
            <w:r w:rsidRPr="00D475C9">
              <w:rPr>
                <w:rFonts w:eastAsia="Times New Roman"/>
                <w:sz w:val="12"/>
                <w:szCs w:val="12"/>
              </w:rPr>
              <w:t>Effects on Consumers' Subjective Understanding and Liking of Front-of-Pack Nutrition Labels: A Study on Slovenian and Dutch Consumers</w:t>
            </w:r>
          </w:p>
        </w:tc>
        <w:tc>
          <w:tcPr>
            <w:tcW w:w="333" w:type="dxa"/>
          </w:tcPr>
          <w:p w:rsidR="005A1B39" w:rsidRPr="005A1B39" w:rsidP="005A1B39" w14:paraId="1A4618F6" w14:textId="51794509">
            <w:pPr>
              <w:pStyle w:val="TableParagraph"/>
              <w:spacing w:line="140" w:lineRule="exact"/>
              <w:ind w:left="36"/>
              <w:rPr>
                <w:sz w:val="12"/>
              </w:rPr>
            </w:pPr>
            <w:r w:rsidRPr="00D475C9">
              <w:rPr>
                <w:rFonts w:eastAsia="Times New Roman"/>
                <w:color w:val="00B050"/>
                <w:sz w:val="12"/>
                <w:szCs w:val="12"/>
              </w:rPr>
              <w:t>2021</w:t>
            </w:r>
          </w:p>
        </w:tc>
        <w:tc>
          <w:tcPr>
            <w:tcW w:w="3555" w:type="dxa"/>
          </w:tcPr>
          <w:p w:rsidR="005A1B39" w:rsidRPr="005A1B39" w:rsidP="005A1B39" w14:paraId="0E385164" w14:textId="22D47B53">
            <w:pPr>
              <w:pStyle w:val="TableParagraph"/>
              <w:spacing w:line="252" w:lineRule="auto"/>
              <w:ind w:left="29" w:right="173"/>
              <w:rPr>
                <w:sz w:val="12"/>
              </w:rPr>
            </w:pPr>
            <w:r w:rsidRPr="00D475C9">
              <w:rPr>
                <w:rFonts w:eastAsia="Times New Roman"/>
                <w:sz w:val="12"/>
                <w:szCs w:val="12"/>
              </w:rPr>
              <w:t>Quantitative</w:t>
            </w:r>
            <w:r w:rsidRPr="00D475C9">
              <w:rPr>
                <w:rFonts w:eastAsia="Times New Roman"/>
                <w:sz w:val="12"/>
                <w:szCs w:val="12"/>
              </w:rPr>
              <w:br/>
              <w:t xml:space="preserve">1. Aims to assess the clear comprehension by consumers of the information provided by the NutrInform Battery </w:t>
            </w:r>
            <w:r w:rsidR="004B6E26">
              <w:rPr>
                <w:rFonts w:eastAsia="Times New Roman"/>
                <w:sz w:val="12"/>
                <w:szCs w:val="12"/>
              </w:rPr>
              <w:t>FOP</w:t>
            </w:r>
            <w:r w:rsidRPr="00D475C9">
              <w:rPr>
                <w:rFonts w:eastAsia="Times New Roman"/>
                <w:sz w:val="12"/>
                <w:szCs w:val="12"/>
              </w:rPr>
              <w:t xml:space="preserve"> scheme</w:t>
            </w:r>
            <w:r w:rsidRPr="00D475C9">
              <w:rPr>
                <w:rFonts w:eastAsia="Times New Roman"/>
                <w:sz w:val="12"/>
                <w:szCs w:val="12"/>
              </w:rPr>
              <w:br/>
              <w:t>- participants (n=200) in a real-life setting, with products representative of the most widely consumed food categories, using a betwee</w:t>
            </w:r>
            <w:r w:rsidR="004B6E26">
              <w:rPr>
                <w:rFonts w:eastAsia="Times New Roman"/>
                <w:sz w:val="12"/>
                <w:szCs w:val="12"/>
              </w:rPr>
              <w:t>Nutri-Score</w:t>
            </w:r>
            <w:r w:rsidRPr="00D475C9">
              <w:rPr>
                <w:rFonts w:eastAsia="Times New Roman"/>
                <w:sz w:val="12"/>
                <w:szCs w:val="12"/>
              </w:rPr>
              <w:t>ubject design.</w:t>
            </w:r>
            <w:r w:rsidRPr="00D475C9">
              <w:rPr>
                <w:rFonts w:eastAsia="Times New Roman"/>
                <w:sz w:val="12"/>
                <w:szCs w:val="12"/>
              </w:rPr>
              <w:br/>
              <w:t xml:space="preserve">- A questionnaire to evaluate the subjective understanding and liking of a </w:t>
            </w:r>
            <w:r w:rsidR="004B6E26">
              <w:rPr>
                <w:rFonts w:eastAsia="Times New Roman"/>
                <w:sz w:val="12"/>
                <w:szCs w:val="12"/>
              </w:rPr>
              <w:t>FOP</w:t>
            </w:r>
            <w:r w:rsidRPr="00D475C9">
              <w:rPr>
                <w:rFonts w:eastAsia="Times New Roman"/>
                <w:sz w:val="12"/>
                <w:szCs w:val="12"/>
              </w:rPr>
              <w:t>.</w:t>
            </w:r>
            <w:r w:rsidRPr="00D475C9">
              <w:rPr>
                <w:rFonts w:eastAsia="Times New Roman"/>
                <w:sz w:val="12"/>
                <w:szCs w:val="12"/>
              </w:rPr>
              <w:br/>
              <w:t>- Subjective understanding was based on several sub-dimensions: comprehensibility design, help-to-shop and complexity.</w:t>
            </w:r>
            <w:r w:rsidRPr="00D475C9">
              <w:rPr>
                <w:rFonts w:eastAsia="Times New Roman"/>
                <w:sz w:val="12"/>
                <w:szCs w:val="12"/>
              </w:rPr>
              <w:br/>
              <w:t>- The participants’ subjective understanding and liking of the different labels were assessed in two periods: at the beginning of the test, right after the product delivery, and at the end of the test-period.</w:t>
            </w:r>
          </w:p>
        </w:tc>
        <w:tc>
          <w:tcPr>
            <w:tcW w:w="1199" w:type="dxa"/>
          </w:tcPr>
          <w:p w:rsidR="005A1B39" w:rsidRPr="005A1B39" w:rsidP="005A1B39" w14:paraId="21972067" w14:textId="4C8BF086">
            <w:pPr>
              <w:pStyle w:val="TableParagraph"/>
              <w:spacing w:line="252" w:lineRule="auto"/>
              <w:ind w:right="121"/>
              <w:rPr>
                <w:sz w:val="12"/>
              </w:rPr>
            </w:pPr>
            <w:r w:rsidRPr="00D475C9">
              <w:rPr>
                <w:rFonts w:eastAsia="Times New Roman"/>
                <w:sz w:val="12"/>
                <w:szCs w:val="12"/>
              </w:rPr>
              <w:t>1. NutrInform Battery</w:t>
            </w:r>
            <w:r w:rsidRPr="00D475C9">
              <w:rPr>
                <w:rFonts w:eastAsia="Times New Roman"/>
                <w:sz w:val="12"/>
                <w:szCs w:val="12"/>
              </w:rPr>
              <w:br/>
              <w:t xml:space="preserve">2. </w:t>
            </w:r>
            <w:r w:rsidR="004B6E26">
              <w:rPr>
                <w:rFonts w:eastAsia="Times New Roman"/>
                <w:sz w:val="12"/>
                <w:szCs w:val="12"/>
              </w:rPr>
              <w:t>Nutri-Score</w:t>
            </w:r>
          </w:p>
        </w:tc>
        <w:tc>
          <w:tcPr>
            <w:tcW w:w="1204" w:type="dxa"/>
          </w:tcPr>
          <w:p w:rsidR="005A1B39" w:rsidRPr="005A1B39" w:rsidP="005A1B39" w14:paraId="3DC2D64D" w14:textId="71452152">
            <w:pPr>
              <w:pStyle w:val="TableParagraph"/>
              <w:ind w:left="175"/>
              <w:rPr>
                <w:sz w:val="12"/>
              </w:rPr>
            </w:pPr>
            <w:r w:rsidRPr="00D475C9">
              <w:rPr>
                <w:rFonts w:ascii="Times New Roman" w:eastAsia="Times New Roman" w:hAnsi="Times New Roman" w:cs="Times New Roman"/>
                <w:noProof/>
                <w:color w:val="000000"/>
                <w:sz w:val="12"/>
                <w:szCs w:val="12"/>
              </w:rPr>
              <mc:AlternateContent>
                <mc:Choice Requires="wpg">
                  <w:drawing>
                    <wp:anchor distT="0" distB="0" distL="114300" distR="114300" simplePos="0" relativeHeight="251680768" behindDoc="0" locked="0" layoutInCell="1" allowOverlap="1">
                      <wp:simplePos x="0" y="0"/>
                      <wp:positionH relativeFrom="column">
                        <wp:posOffset>43815</wp:posOffset>
                      </wp:positionH>
                      <wp:positionV relativeFrom="paragraph">
                        <wp:posOffset>105410</wp:posOffset>
                      </wp:positionV>
                      <wp:extent cx="605626" cy="457200"/>
                      <wp:effectExtent l="0" t="0" r="4445" b="0"/>
                      <wp:wrapNone/>
                      <wp:docPr id="153" name="Group 153"/>
                      <wp:cNvGraphicFramePr/>
                      <a:graphic xmlns:a="http://schemas.openxmlformats.org/drawingml/2006/main">
                        <a:graphicData uri="http://schemas.microsoft.com/office/word/2010/wordprocessingGroup">
                          <wpg:wgp xmlns:wpg="http://schemas.microsoft.com/office/word/2010/wordprocessingGroup">
                            <wpg:cNvGrpSpPr/>
                            <wpg:grpSpPr>
                              <a:xfrm>
                                <a:off x="0" y="0"/>
                                <a:ext cx="605626" cy="457200"/>
                                <a:chOff x="0" y="0"/>
                                <a:chExt cx="1135670" cy="1097296"/>
                              </a:xfrm>
                            </wpg:grpSpPr>
                            <pic:pic xmlns:pic="http://schemas.openxmlformats.org/drawingml/2006/picture">
                              <pic:nvPicPr>
                                <pic:cNvPr id="154" name="Picture 154" descr="Graphical user interface&#10;&#10;Description automatically generated with medium confidence">
                                  <a:extLst>
                                    <a:ext xmlns:a="http://schemas.openxmlformats.org/drawingml/2006/main" uri="{FF2B5EF4-FFF2-40B4-BE49-F238E27FC236}">
                                      <a16:creationId xmlns:a16="http://schemas.microsoft.com/office/drawing/2014/main" id="{04833AF8-41C6-4DA5-857B-AD5E2B9E9AA4}"/>
                                    </a:ext>
                                  </a:extLst>
                                </pic:cNvPr>
                                <pic:cNvPicPr>
                                  <a:picLocks noChangeAspect="1" noChangeArrowheads="1"/>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649621"/>
                                  <a:ext cx="1135670" cy="447675"/>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155"/>
                                <pic:cNvPicPr>
                                  <a:picLocks noChangeAspect="1"/>
                                </pic:cNvPicPr>
                              </pic:nvPicPr>
                              <pic:blipFill>
                                <a:blip xmlns:r="http://schemas.openxmlformats.org/officeDocument/2006/relationships" r:embed="rId72" cstate="print">
                                  <a:extLst>
                                    <a:ext xmlns:a="http://schemas.openxmlformats.org/drawingml/2006/main" uri="{28A0092B-C50C-407E-A947-70E740481C1C}">
                                      <a14:useLocalDpi xmlns:a14="http://schemas.microsoft.com/office/drawing/2010/main" val="0"/>
                                    </a:ext>
                                  </a:extLst>
                                </a:blip>
                                <a:stretch>
                                  <a:fillRect/>
                                </a:stretch>
                              </pic:blipFill>
                              <pic:spPr>
                                <a:xfrm>
                                  <a:off x="69058" y="0"/>
                                  <a:ext cx="881062" cy="592763"/>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53" o:spid="_x0000_s1038" style="width:47.7pt;height:36pt;margin-top:8.3pt;margin-left:3.45pt;position:absolute;z-index:251681792" coordsize="11356,10972">
                      <v:shape id="Picture 154" o:spid="_x0000_s1039" type="#_x0000_t75" alt="Graphical user interface&#10;&#10;Description automatically generated with medium confidence" style="width:11356;height:4476;mso-wrap-style:square;position:absolute;top:6496;visibility:visible">
                        <v:imagedata r:id="rId71" o:title="Graphical user interface&#10;&#10;Description automatically generated with medium confidence"/>
                      </v:shape>
                      <v:shape id="Picture 155" o:spid="_x0000_s1040" type="#_x0000_t75" style="width:8811;height:5927;left:690;mso-wrap-style:square;position:absolute;visibility:visible">
                        <v:imagedata r:id="rId72" o:title=""/>
                      </v:shape>
                    </v:group>
                  </w:pict>
                </mc:Fallback>
              </mc:AlternateContent>
            </w:r>
          </w:p>
        </w:tc>
        <w:tc>
          <w:tcPr>
            <w:tcW w:w="550" w:type="dxa"/>
          </w:tcPr>
          <w:p w:rsidR="005A1B39" w:rsidRPr="005A1B39" w:rsidP="005A1B39" w14:paraId="76A41B5D" w14:textId="6FCF6363">
            <w:pPr>
              <w:pStyle w:val="TableParagraph"/>
              <w:spacing w:line="140" w:lineRule="exact"/>
              <w:ind w:left="0" w:right="39"/>
              <w:jc w:val="center"/>
              <w:rPr>
                <w:sz w:val="12"/>
              </w:rPr>
            </w:pPr>
            <w:r w:rsidRPr="00D475C9">
              <w:rPr>
                <w:rFonts w:eastAsia="Times New Roman"/>
                <w:sz w:val="12"/>
                <w:szCs w:val="12"/>
              </w:rPr>
              <w:t>Slovenia and the Netherlands</w:t>
            </w:r>
          </w:p>
        </w:tc>
        <w:tc>
          <w:tcPr>
            <w:tcW w:w="3487" w:type="dxa"/>
          </w:tcPr>
          <w:p w:rsidR="005A1B39" w:rsidRPr="005A1B39" w:rsidP="005A1B39" w14:paraId="10BAC55C" w14:textId="54FBD4A8">
            <w:pPr>
              <w:pStyle w:val="TableParagraph"/>
              <w:spacing w:line="252" w:lineRule="auto"/>
              <w:rPr>
                <w:sz w:val="12"/>
              </w:rPr>
            </w:pPr>
            <w:r w:rsidRPr="00D475C9">
              <w:rPr>
                <w:rFonts w:eastAsia="Times New Roman"/>
                <w:sz w:val="12"/>
                <w:szCs w:val="12"/>
              </w:rPr>
              <w:t xml:space="preserve">1. NutrInform Battery registered a better performance than </w:t>
            </w:r>
            <w:r w:rsidR="004B6E26">
              <w:rPr>
                <w:rFonts w:eastAsia="Times New Roman"/>
                <w:sz w:val="12"/>
                <w:szCs w:val="12"/>
              </w:rPr>
              <w:t>Nutri-Score</w:t>
            </w:r>
            <w:r w:rsidRPr="00D475C9">
              <w:rPr>
                <w:rFonts w:eastAsia="Times New Roman"/>
                <w:sz w:val="12"/>
                <w:szCs w:val="12"/>
              </w:rPr>
              <w:t xml:space="preserve"> in all 3 sub-dimensions of subjective understanding, comprehensibility, help-to-shop, and complexity in both countries.</w:t>
            </w:r>
            <w:r w:rsidRPr="00D475C9">
              <w:rPr>
                <w:rFonts w:eastAsia="Times New Roman"/>
                <w:sz w:val="12"/>
                <w:szCs w:val="12"/>
              </w:rPr>
              <w:br/>
              <w:t xml:space="preserve">2. NutrInform Battery outperformed </w:t>
            </w:r>
            <w:r w:rsidR="004B6E26">
              <w:rPr>
                <w:rFonts w:eastAsia="Times New Roman"/>
                <w:sz w:val="12"/>
                <w:szCs w:val="12"/>
              </w:rPr>
              <w:t>Nutri-Score</w:t>
            </w:r>
            <w:r w:rsidRPr="00D475C9">
              <w:rPr>
                <w:rFonts w:eastAsia="Times New Roman"/>
                <w:sz w:val="12"/>
                <w:szCs w:val="12"/>
              </w:rPr>
              <w:t xml:space="preserve"> in Slovenia for liking, but no difference between the two seen in the Netherlands.</w:t>
            </w:r>
          </w:p>
        </w:tc>
      </w:tr>
      <w:tr w14:paraId="019FE77E" w14:textId="77777777" w:rsidTr="0079161F">
        <w:tblPrEx>
          <w:tblW w:w="0" w:type="auto"/>
          <w:tblInd w:w="100" w:type="dxa"/>
          <w:tblLayout w:type="fixed"/>
          <w:tblCellMar>
            <w:left w:w="0" w:type="dxa"/>
            <w:right w:w="0" w:type="dxa"/>
          </w:tblCellMar>
          <w:tblLook w:val="01E0"/>
        </w:tblPrEx>
        <w:trPr>
          <w:trHeight w:val="1128"/>
        </w:trPr>
        <w:tc>
          <w:tcPr>
            <w:tcW w:w="1036" w:type="dxa"/>
          </w:tcPr>
          <w:p w:rsidR="005A1B39" w:rsidRPr="00D475C9" w:rsidP="005A1B39" w14:paraId="1652013E" w14:textId="0AA0038E">
            <w:pPr>
              <w:pStyle w:val="TableParagraph"/>
              <w:spacing w:line="252" w:lineRule="auto"/>
              <w:ind w:right="133"/>
              <w:rPr>
                <w:rFonts w:eastAsia="Times New Roman"/>
                <w:sz w:val="12"/>
                <w:szCs w:val="12"/>
              </w:rPr>
            </w:pPr>
            <w:r w:rsidRPr="00D475C9">
              <w:rPr>
                <w:rFonts w:eastAsia="Times New Roman"/>
                <w:sz w:val="12"/>
                <w:szCs w:val="12"/>
              </w:rPr>
              <w:t>Bandeira, et al.</w:t>
            </w:r>
          </w:p>
        </w:tc>
        <w:tc>
          <w:tcPr>
            <w:tcW w:w="2101" w:type="dxa"/>
          </w:tcPr>
          <w:p w:rsidR="005A1B39" w:rsidRPr="00D475C9" w:rsidP="005A1B39" w14:paraId="6306688F" w14:textId="37B51416">
            <w:pPr>
              <w:pStyle w:val="TableParagraph"/>
              <w:spacing w:line="252" w:lineRule="auto"/>
              <w:ind w:right="102"/>
              <w:rPr>
                <w:rFonts w:eastAsia="Times New Roman"/>
                <w:sz w:val="12"/>
                <w:szCs w:val="12"/>
              </w:rPr>
            </w:pPr>
            <w:r w:rsidRPr="00D475C9">
              <w:rPr>
                <w:rFonts w:eastAsia="Times New Roman"/>
                <w:sz w:val="12"/>
                <w:szCs w:val="12"/>
              </w:rPr>
              <w:t>Performance and perception on front-of-package nutritional labeling models in Brazil</w:t>
            </w:r>
          </w:p>
        </w:tc>
        <w:tc>
          <w:tcPr>
            <w:tcW w:w="333" w:type="dxa"/>
          </w:tcPr>
          <w:p w:rsidR="005A1B39" w:rsidRPr="00D475C9" w:rsidP="005A1B39" w14:paraId="07E62945" w14:textId="38D05DFE">
            <w:pPr>
              <w:pStyle w:val="TableParagraph"/>
              <w:spacing w:line="140" w:lineRule="exact"/>
              <w:ind w:left="36"/>
              <w:rPr>
                <w:rFonts w:eastAsia="Times New Roman"/>
                <w:color w:val="00B050"/>
                <w:sz w:val="12"/>
                <w:szCs w:val="12"/>
              </w:rPr>
            </w:pPr>
            <w:r w:rsidRPr="00D475C9">
              <w:rPr>
                <w:rFonts w:eastAsia="Times New Roman"/>
                <w:color w:val="00B050"/>
                <w:sz w:val="12"/>
                <w:szCs w:val="12"/>
              </w:rPr>
              <w:t>2021</w:t>
            </w:r>
          </w:p>
        </w:tc>
        <w:tc>
          <w:tcPr>
            <w:tcW w:w="3555" w:type="dxa"/>
          </w:tcPr>
          <w:p w:rsidR="005A1B39" w:rsidRPr="00D475C9" w:rsidP="005A1B39" w14:paraId="23C9DE16" w14:textId="5C1A21A6">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 xml:space="preserve">1. Online questionnaire, 2,400 participants, to evaluate understanding, perception of healthiness, purchase intention and perception of 5 </w:t>
            </w:r>
            <w:r w:rsidR="004B6E26">
              <w:rPr>
                <w:rFonts w:eastAsia="Times New Roman"/>
                <w:sz w:val="12"/>
                <w:szCs w:val="12"/>
              </w:rPr>
              <w:t>FOP</w:t>
            </w:r>
            <w:r w:rsidRPr="00D475C9">
              <w:rPr>
                <w:rFonts w:eastAsia="Times New Roman"/>
                <w:sz w:val="12"/>
                <w:szCs w:val="12"/>
              </w:rPr>
              <w:t>s applied to 9 products</w:t>
            </w:r>
          </w:p>
        </w:tc>
        <w:tc>
          <w:tcPr>
            <w:tcW w:w="1199" w:type="dxa"/>
          </w:tcPr>
          <w:p w:rsidR="005A1B39" w:rsidRPr="00D475C9" w:rsidP="005A1B39" w14:paraId="1259B74E" w14:textId="5F0F8B63">
            <w:pPr>
              <w:pStyle w:val="TableParagraph"/>
              <w:spacing w:line="252" w:lineRule="auto"/>
              <w:ind w:right="121"/>
              <w:rPr>
                <w:rFonts w:eastAsia="Times New Roman"/>
                <w:sz w:val="12"/>
                <w:szCs w:val="12"/>
              </w:rPr>
            </w:pPr>
            <w:r w:rsidRPr="00D475C9">
              <w:rPr>
                <w:rFonts w:eastAsia="Times New Roman"/>
                <w:sz w:val="12"/>
                <w:szCs w:val="12"/>
              </w:rPr>
              <w:t>1. Octagon</w:t>
            </w:r>
            <w:r w:rsidRPr="00D475C9">
              <w:rPr>
                <w:rFonts w:eastAsia="Times New Roman"/>
                <w:sz w:val="12"/>
                <w:szCs w:val="12"/>
              </w:rPr>
              <w:br/>
              <w:t>2. Triangle</w:t>
            </w:r>
            <w:r w:rsidRPr="00D475C9">
              <w:rPr>
                <w:rFonts w:eastAsia="Times New Roman"/>
                <w:sz w:val="12"/>
                <w:szCs w:val="12"/>
              </w:rPr>
              <w:br/>
              <w:t>3. Circle</w:t>
            </w:r>
            <w:r w:rsidRPr="00D475C9">
              <w:rPr>
                <w:rFonts w:eastAsia="Times New Roman"/>
                <w:sz w:val="12"/>
                <w:szCs w:val="12"/>
              </w:rPr>
              <w:br/>
              <w:t>4. Magnifier</w:t>
            </w:r>
            <w:r w:rsidRPr="00D475C9">
              <w:rPr>
                <w:rFonts w:eastAsia="Times New Roman"/>
                <w:sz w:val="12"/>
                <w:szCs w:val="12"/>
              </w:rPr>
              <w:br/>
              <w:t>5. Traffic light</w:t>
            </w:r>
          </w:p>
        </w:tc>
        <w:tc>
          <w:tcPr>
            <w:tcW w:w="1204" w:type="dxa"/>
          </w:tcPr>
          <w:p w:rsidR="005A1B39" w:rsidRPr="00D475C9" w:rsidP="005A1B39" w14:paraId="16D9DF7D" w14:textId="726334B8">
            <w:pPr>
              <w:pStyle w:val="TableParagraph"/>
              <w:ind w:left="175"/>
              <w:rPr>
                <w:rFonts w:ascii="Times New Roman" w:eastAsia="Times New Roman" w:hAnsi="Times New Roman" w:cs="Times New Roman"/>
                <w:noProof/>
                <w:color w:val="000000"/>
                <w:sz w:val="12"/>
                <w:szCs w:val="12"/>
              </w:rPr>
            </w:pPr>
            <w:r w:rsidRPr="00D475C9">
              <w:rPr>
                <w:rFonts w:ascii="Times New Roman" w:eastAsia="Times New Roman" w:hAnsi="Times New Roman" w:cs="Times New Roman"/>
                <w:noProof/>
                <w:color w:val="000000"/>
                <w:sz w:val="12"/>
                <w:szCs w:val="12"/>
              </w:rPr>
              <w:drawing>
                <wp:anchor distT="0" distB="0" distL="114300" distR="114300" simplePos="0" relativeHeight="251682816" behindDoc="0" locked="0" layoutInCell="1" allowOverlap="1">
                  <wp:simplePos x="0" y="0"/>
                  <wp:positionH relativeFrom="column">
                    <wp:posOffset>81883</wp:posOffset>
                  </wp:positionH>
                  <wp:positionV relativeFrom="paragraph">
                    <wp:posOffset>27305</wp:posOffset>
                  </wp:positionV>
                  <wp:extent cx="609600" cy="523875"/>
                  <wp:effectExtent l="0" t="0" r="0" b="9525"/>
                  <wp:wrapNone/>
                  <wp:docPr id="152" name="Picture 152"/>
                  <wp:cNvGraphicFramePr/>
                  <a:graphic xmlns:a="http://schemas.openxmlformats.org/drawingml/2006/main">
                    <a:graphicData uri="http://schemas.openxmlformats.org/drawingml/2006/picture">
                      <pic:pic xmlns:pic="http://schemas.openxmlformats.org/drawingml/2006/picture">
                        <pic:nvPicPr>
                          <pic:cNvPr id="152" name="Picture 5"/>
                          <pic:cNvPicPr>
                            <a:picLocks noChangeAspect="1"/>
                          </pic:cNvPicPr>
                        </pic:nvPicPr>
                        <pic:blipFill>
                          <a:blip xmlns:r="http://schemas.openxmlformats.org/officeDocument/2006/relationships" r:embed="rId73"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9600" cy="523875"/>
                          </a:xfrm>
                          <a:prstGeom prst="rect">
                            <a:avLst/>
                          </a:prstGeom>
                        </pic:spPr>
                      </pic:pic>
                    </a:graphicData>
                  </a:graphic>
                  <wp14:sizeRelH relativeFrom="page">
                    <wp14:pctWidth>0</wp14:pctWidth>
                  </wp14:sizeRelH>
                  <wp14:sizeRelV relativeFrom="page">
                    <wp14:pctHeight>0</wp14:pctHeight>
                  </wp14:sizeRelV>
                </wp:anchor>
              </w:drawing>
            </w:r>
          </w:p>
        </w:tc>
        <w:tc>
          <w:tcPr>
            <w:tcW w:w="550" w:type="dxa"/>
          </w:tcPr>
          <w:p w:rsidR="005A1B39" w:rsidRPr="00D475C9" w:rsidP="005A1B39" w14:paraId="3F5F8212" w14:textId="4F07B583">
            <w:pPr>
              <w:pStyle w:val="TableParagraph"/>
              <w:spacing w:line="140" w:lineRule="exact"/>
              <w:ind w:left="0" w:right="39"/>
              <w:jc w:val="center"/>
              <w:rPr>
                <w:rFonts w:eastAsia="Times New Roman"/>
                <w:sz w:val="12"/>
                <w:szCs w:val="12"/>
              </w:rPr>
            </w:pPr>
            <w:r w:rsidRPr="00D475C9">
              <w:rPr>
                <w:rFonts w:eastAsia="Times New Roman"/>
                <w:sz w:val="12"/>
                <w:szCs w:val="12"/>
              </w:rPr>
              <w:t>Brazil</w:t>
            </w:r>
          </w:p>
        </w:tc>
        <w:tc>
          <w:tcPr>
            <w:tcW w:w="3487" w:type="dxa"/>
          </w:tcPr>
          <w:p w:rsidR="005A1B39" w:rsidRPr="00D475C9" w:rsidP="00D64890" w14:paraId="4E0DC734" w14:textId="5E5987CD">
            <w:pPr>
              <w:pStyle w:val="TableParagraph"/>
              <w:spacing w:line="252" w:lineRule="auto"/>
              <w:rPr>
                <w:rFonts w:eastAsia="Times New Roman"/>
                <w:sz w:val="12"/>
                <w:szCs w:val="12"/>
              </w:rPr>
            </w:pPr>
            <w:r w:rsidRPr="00D475C9">
              <w:rPr>
                <w:rFonts w:eastAsia="Times New Roman"/>
                <w:sz w:val="12"/>
                <w:szCs w:val="12"/>
              </w:rPr>
              <w:t xml:space="preserve">1. All </w:t>
            </w:r>
            <w:r w:rsidR="004B6E26">
              <w:rPr>
                <w:sz w:val="12"/>
              </w:rPr>
              <w:t>FOP</w:t>
            </w:r>
            <w:r w:rsidR="00D64890">
              <w:rPr>
                <w:sz w:val="12"/>
              </w:rPr>
              <w:t xml:space="preserve">s </w:t>
            </w:r>
            <w:r w:rsidRPr="00D475C9">
              <w:rPr>
                <w:rFonts w:eastAsia="Times New Roman"/>
                <w:sz w:val="12"/>
                <w:szCs w:val="12"/>
              </w:rPr>
              <w:t>increased understanding of the nutritional content, reduced perception of healthiness and purchase intentions compared to control.</w:t>
            </w:r>
            <w:r w:rsidRPr="00D475C9">
              <w:rPr>
                <w:rFonts w:eastAsia="Times New Roman"/>
                <w:sz w:val="12"/>
                <w:szCs w:val="12"/>
              </w:rPr>
              <w:br/>
              <w:t xml:space="preserve">2. Understanding of nutritional content: Warning models significantly better compared to traffic light; magnifier </w:t>
            </w:r>
            <w:r w:rsidRPr="00D475C9">
              <w:rPr>
                <w:rFonts w:eastAsia="Times New Roman"/>
                <w:sz w:val="12"/>
                <w:szCs w:val="12"/>
              </w:rPr>
              <w:t>similar to</w:t>
            </w:r>
            <w:r w:rsidRPr="00D475C9">
              <w:rPr>
                <w:rFonts w:eastAsia="Times New Roman"/>
                <w:sz w:val="12"/>
                <w:szCs w:val="12"/>
              </w:rPr>
              <w:t xml:space="preserve"> all 4 other models.</w:t>
            </w:r>
            <w:r w:rsidRPr="00D475C9">
              <w:rPr>
                <w:rFonts w:eastAsia="Times New Roman"/>
                <w:sz w:val="12"/>
                <w:szCs w:val="12"/>
              </w:rPr>
              <w:br/>
              <w:t>3. Perception of healthiness and purchase intentions: Warning models significantly better than magnifier or traffic light.</w:t>
            </w:r>
            <w:r w:rsidRPr="00D475C9">
              <w:rPr>
                <w:rFonts w:eastAsia="Times New Roman"/>
                <w:sz w:val="12"/>
                <w:szCs w:val="12"/>
              </w:rPr>
              <w:br/>
              <w:t xml:space="preserve">4. Consumers favorable to presence of </w:t>
            </w:r>
            <w:r w:rsidR="004B6E26">
              <w:rPr>
                <w:sz w:val="12"/>
              </w:rPr>
              <w:t>FOP</w:t>
            </w:r>
            <w:r w:rsidRPr="00D475C9">
              <w:rPr>
                <w:rFonts w:eastAsia="Times New Roman"/>
                <w:sz w:val="12"/>
                <w:szCs w:val="12"/>
              </w:rPr>
              <w:t>s, perceived as reliable.</w:t>
            </w:r>
          </w:p>
        </w:tc>
      </w:tr>
      <w:tr w14:paraId="44052355" w14:textId="77777777" w:rsidTr="0079161F">
        <w:tblPrEx>
          <w:tblW w:w="0" w:type="auto"/>
          <w:tblInd w:w="100" w:type="dxa"/>
          <w:tblLayout w:type="fixed"/>
          <w:tblCellMar>
            <w:left w:w="0" w:type="dxa"/>
            <w:right w:w="0" w:type="dxa"/>
          </w:tblCellMar>
          <w:tblLook w:val="01E0"/>
        </w:tblPrEx>
        <w:trPr>
          <w:trHeight w:val="1128"/>
        </w:trPr>
        <w:tc>
          <w:tcPr>
            <w:tcW w:w="1036" w:type="dxa"/>
          </w:tcPr>
          <w:p w:rsidR="0079161F" w:rsidRPr="00D475C9" w:rsidP="0079161F" w14:paraId="49BF7529" w14:textId="7F62AD50">
            <w:pPr>
              <w:pStyle w:val="TableParagraph"/>
              <w:spacing w:line="252" w:lineRule="auto"/>
              <w:ind w:right="133"/>
              <w:rPr>
                <w:rFonts w:eastAsia="Times New Roman"/>
                <w:sz w:val="12"/>
                <w:szCs w:val="12"/>
              </w:rPr>
            </w:pPr>
            <w:r w:rsidRPr="0079161F">
              <w:rPr>
                <w:rFonts w:eastAsia="Times New Roman"/>
                <w:sz w:val="12"/>
                <w:szCs w:val="12"/>
              </w:rPr>
              <w:t>Bossuyt, et al.</w:t>
            </w:r>
          </w:p>
        </w:tc>
        <w:tc>
          <w:tcPr>
            <w:tcW w:w="2101" w:type="dxa"/>
          </w:tcPr>
          <w:p w:rsidR="0079161F" w:rsidRPr="00D475C9" w:rsidP="0079161F" w14:paraId="50FE7551" w14:textId="2BBBA6E7">
            <w:pPr>
              <w:pStyle w:val="TableParagraph"/>
              <w:spacing w:line="252" w:lineRule="auto"/>
              <w:ind w:right="102"/>
              <w:rPr>
                <w:rFonts w:eastAsia="Times New Roman"/>
                <w:sz w:val="12"/>
                <w:szCs w:val="12"/>
              </w:rPr>
            </w:pPr>
            <w:r>
              <w:rPr>
                <w:rFonts w:eastAsia="Times New Roman"/>
                <w:sz w:val="12"/>
                <w:szCs w:val="12"/>
              </w:rPr>
              <w:t>Nutri-Score</w:t>
            </w:r>
            <w:r w:rsidRPr="0079161F">
              <w:rPr>
                <w:rFonts w:eastAsia="Times New Roman"/>
                <w:sz w:val="12"/>
                <w:szCs w:val="12"/>
              </w:rPr>
              <w:t xml:space="preserve"> and Nutrition Facts Panel through the Eyes of the Consumer: Correct Healthfulness Estimations Depend on Transparent Labels, Fixation Duration, and Product Equivocality</w:t>
            </w:r>
          </w:p>
        </w:tc>
        <w:tc>
          <w:tcPr>
            <w:tcW w:w="333" w:type="dxa"/>
          </w:tcPr>
          <w:p w:rsidR="0079161F" w:rsidRPr="00D475C9" w:rsidP="0079161F" w14:paraId="4CE792F2" w14:textId="18E06C8E">
            <w:pPr>
              <w:pStyle w:val="TableParagraph"/>
              <w:spacing w:line="140" w:lineRule="exact"/>
              <w:ind w:left="36"/>
              <w:rPr>
                <w:rFonts w:eastAsia="Times New Roman"/>
                <w:color w:val="00B050"/>
                <w:sz w:val="12"/>
                <w:szCs w:val="12"/>
              </w:rPr>
            </w:pPr>
            <w:r w:rsidRPr="003370EF">
              <w:rPr>
                <w:rFonts w:eastAsia="Times New Roman"/>
                <w:color w:val="00B050"/>
                <w:sz w:val="12"/>
                <w:szCs w:val="12"/>
              </w:rPr>
              <w:t>2021</w:t>
            </w:r>
          </w:p>
        </w:tc>
        <w:tc>
          <w:tcPr>
            <w:tcW w:w="3555" w:type="dxa"/>
          </w:tcPr>
          <w:p w:rsidR="0079161F" w:rsidRPr="00D475C9" w:rsidP="0079161F" w14:paraId="6AFD24AE" w14:textId="52D5E81E">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 xml:space="preserve">1. 398 participants assessed the healthfulness of 20 products; eye-tracking data collected to determine effect of </w:t>
            </w:r>
            <w:r w:rsidR="004B6E26">
              <w:rPr>
                <w:rFonts w:eastAsia="Times New Roman"/>
                <w:sz w:val="12"/>
                <w:szCs w:val="12"/>
              </w:rPr>
              <w:t>FOP</w:t>
            </w:r>
            <w:r w:rsidRPr="00D475C9">
              <w:rPr>
                <w:rFonts w:eastAsia="Times New Roman"/>
                <w:sz w:val="12"/>
                <w:szCs w:val="12"/>
              </w:rPr>
              <w:t xml:space="preserve"> </w:t>
            </w:r>
            <w:r w:rsidR="004B6E26">
              <w:rPr>
                <w:rFonts w:eastAsia="Times New Roman"/>
                <w:sz w:val="12"/>
                <w:szCs w:val="12"/>
              </w:rPr>
              <w:t>Nutri-Score</w:t>
            </w:r>
            <w:r w:rsidRPr="00D475C9">
              <w:rPr>
                <w:rFonts w:eastAsia="Times New Roman"/>
                <w:sz w:val="12"/>
                <w:szCs w:val="12"/>
              </w:rPr>
              <w:t xml:space="preserve"> vs. Nutrition Facts Panel</w:t>
            </w:r>
            <w:r w:rsidRPr="00D475C9">
              <w:rPr>
                <w:rFonts w:eastAsia="Times New Roman"/>
                <w:sz w:val="12"/>
                <w:szCs w:val="12"/>
              </w:rPr>
              <w:br/>
              <w:t xml:space="preserve">2. 3 RQs: assess (combined) impact of </w:t>
            </w:r>
            <w:r w:rsidR="004B6E26">
              <w:rPr>
                <w:rFonts w:eastAsia="Times New Roman"/>
                <w:sz w:val="12"/>
                <w:szCs w:val="12"/>
              </w:rPr>
              <w:t>Nutri-Score</w:t>
            </w:r>
            <w:r w:rsidRPr="00D475C9">
              <w:rPr>
                <w:rFonts w:eastAsia="Times New Roman"/>
                <w:sz w:val="12"/>
                <w:szCs w:val="12"/>
              </w:rPr>
              <w:t xml:space="preserve"> and NFP; is the impact the same for all products; how does visual attention affect the results</w:t>
            </w:r>
          </w:p>
        </w:tc>
        <w:tc>
          <w:tcPr>
            <w:tcW w:w="1199" w:type="dxa"/>
          </w:tcPr>
          <w:p w:rsidR="0079161F" w:rsidRPr="00D475C9" w:rsidP="0079161F" w14:paraId="0C750E17" w14:textId="73369C3D">
            <w:pPr>
              <w:pStyle w:val="TableParagraph"/>
              <w:spacing w:line="252" w:lineRule="auto"/>
              <w:ind w:right="121"/>
              <w:rPr>
                <w:rFonts w:eastAsia="Times New Roman"/>
                <w:sz w:val="12"/>
                <w:szCs w:val="12"/>
              </w:rPr>
            </w:pPr>
            <w:r w:rsidRPr="00D475C9">
              <w:rPr>
                <w:rFonts w:eastAsia="Times New Roman"/>
                <w:sz w:val="12"/>
                <w:szCs w:val="12"/>
              </w:rPr>
              <w:t xml:space="preserve">1. </w:t>
            </w:r>
            <w:r w:rsidR="004B6E26">
              <w:rPr>
                <w:rFonts w:eastAsia="Times New Roman"/>
                <w:sz w:val="12"/>
                <w:szCs w:val="12"/>
              </w:rPr>
              <w:t>Nutri-Score</w:t>
            </w:r>
          </w:p>
        </w:tc>
        <w:tc>
          <w:tcPr>
            <w:tcW w:w="1204" w:type="dxa"/>
          </w:tcPr>
          <w:p w:rsidR="0079161F" w:rsidRPr="00D475C9" w:rsidP="0079161F" w14:paraId="01AA4AF9" w14:textId="11B1FB61">
            <w:pPr>
              <w:pStyle w:val="TableParagraph"/>
              <w:ind w:left="175"/>
              <w:rPr>
                <w:rFonts w:ascii="Times New Roman" w:eastAsia="Times New Roman" w:hAnsi="Times New Roman" w:cs="Times New Roman"/>
                <w:noProof/>
                <w:color w:val="000000"/>
                <w:sz w:val="12"/>
                <w:szCs w:val="12"/>
              </w:rPr>
            </w:pPr>
            <w:r w:rsidRPr="0079161F">
              <w:rPr>
                <w:rFonts w:eastAsia="Times New Roman"/>
                <w:noProof/>
                <w:sz w:val="12"/>
                <w:szCs w:val="12"/>
              </w:rPr>
              <w:drawing>
                <wp:anchor distT="0" distB="0" distL="114300" distR="114300" simplePos="0" relativeHeight="251683840" behindDoc="0" locked="0" layoutInCell="1" allowOverlap="1">
                  <wp:simplePos x="0" y="0"/>
                  <wp:positionH relativeFrom="column">
                    <wp:posOffset>12065</wp:posOffset>
                  </wp:positionH>
                  <wp:positionV relativeFrom="paragraph">
                    <wp:posOffset>105410</wp:posOffset>
                  </wp:positionV>
                  <wp:extent cx="647700" cy="238125"/>
                  <wp:effectExtent l="0" t="0" r="0" b="9525"/>
                  <wp:wrapNone/>
                  <wp:docPr id="151" name="Picture 151" descr="Graphical user interface&#10;&#10;Description automatically generated with medium confidence">
                    <a:extLst xmlns:a="http://schemas.openxmlformats.org/drawingml/2006/main">
                      <a:ext xmlns:a="http://schemas.openxmlformats.org/drawingml/2006/main" uri="{FF2B5EF4-FFF2-40B4-BE49-F238E27FC236}">
                        <a16:creationId xmlns:a16="http://schemas.microsoft.com/office/drawing/2014/main" id="{04833AF8-41C6-4DA5-857B-AD5E2B9E9AA4}"/>
                      </a:ext>
                    </a:extLst>
                  </wp:docPr>
                  <wp:cNvGraphicFramePr/>
                  <a:graphic xmlns:a="http://schemas.openxmlformats.org/drawingml/2006/main">
                    <a:graphicData uri="http://schemas.openxmlformats.org/drawingml/2006/picture">
                      <pic:pic xmlns:pic="http://schemas.openxmlformats.org/drawingml/2006/picture">
                        <pic:nvPicPr>
                          <pic:cNvPr id="151" name="Picture 4" descr="Graphical user interface&#10;&#10;Description automatically generated with medium confidence">
                            <a:extLst>
                              <a:ext xmlns:a="http://schemas.openxmlformats.org/drawingml/2006/main" uri="{FF2B5EF4-FFF2-40B4-BE49-F238E27FC236}">
                                <a16:creationId xmlns:a16="http://schemas.microsoft.com/office/drawing/2014/main" id="{04833AF8-41C6-4DA5-857B-AD5E2B9E9AA4}"/>
                              </a:ext>
                            </a:extLst>
                          </pic:cNvPr>
                          <pic:cNvPicPr>
                            <a:picLocks noChangeAspect="1" noChangeArrowheads="1"/>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47700" cy="238125"/>
                          </a:xfrm>
                          <a:prstGeom prst="rect">
                            <a:avLst/>
                          </a:prstGeom>
                          <a:noFill/>
                        </pic:spPr>
                      </pic:pic>
                    </a:graphicData>
                  </a:graphic>
                  <wp14:sizeRelH relativeFrom="page">
                    <wp14:pctWidth>0</wp14:pctWidth>
                  </wp14:sizeRelH>
                  <wp14:sizeRelV relativeFrom="page">
                    <wp14:pctHeight>0</wp14:pctHeight>
                  </wp14:sizeRelV>
                </wp:anchor>
              </w:drawing>
            </w:r>
          </w:p>
        </w:tc>
        <w:tc>
          <w:tcPr>
            <w:tcW w:w="550" w:type="dxa"/>
          </w:tcPr>
          <w:p w:rsidR="0079161F" w:rsidRPr="00D475C9" w:rsidP="0079161F" w14:paraId="7D0AD1EC" w14:textId="07EFBBBA">
            <w:pPr>
              <w:pStyle w:val="TableParagraph"/>
              <w:spacing w:line="140" w:lineRule="exact"/>
              <w:ind w:left="0" w:right="39"/>
              <w:jc w:val="center"/>
              <w:rPr>
                <w:rFonts w:eastAsia="Times New Roman"/>
                <w:sz w:val="12"/>
                <w:szCs w:val="12"/>
              </w:rPr>
            </w:pPr>
            <w:r w:rsidRPr="00D475C9">
              <w:rPr>
                <w:rFonts w:eastAsia="Times New Roman"/>
                <w:sz w:val="12"/>
                <w:szCs w:val="12"/>
              </w:rPr>
              <w:t>Belgium</w:t>
            </w:r>
          </w:p>
        </w:tc>
        <w:tc>
          <w:tcPr>
            <w:tcW w:w="3487" w:type="dxa"/>
          </w:tcPr>
          <w:p w:rsidR="0079161F" w:rsidRPr="00D475C9" w:rsidP="0079161F" w14:paraId="23245608" w14:textId="65E678FA">
            <w:pPr>
              <w:pStyle w:val="TableParagraph"/>
              <w:spacing w:line="252" w:lineRule="auto"/>
              <w:rPr>
                <w:rFonts w:eastAsia="Times New Roman"/>
                <w:sz w:val="12"/>
                <w:szCs w:val="12"/>
              </w:rPr>
            </w:pPr>
            <w:r w:rsidRPr="00D475C9">
              <w:rPr>
                <w:rFonts w:eastAsia="Times New Roman"/>
                <w:sz w:val="12"/>
                <w:szCs w:val="12"/>
              </w:rPr>
              <w:t xml:space="preserve">1. </w:t>
            </w:r>
            <w:r w:rsidR="004B6E26">
              <w:rPr>
                <w:rFonts w:eastAsia="Times New Roman"/>
                <w:sz w:val="12"/>
                <w:szCs w:val="12"/>
              </w:rPr>
              <w:t>Nutri-Score</w:t>
            </w:r>
            <w:r w:rsidRPr="00D475C9">
              <w:rPr>
                <w:rFonts w:eastAsia="Times New Roman"/>
                <w:sz w:val="12"/>
                <w:szCs w:val="12"/>
              </w:rPr>
              <w:t xml:space="preserve"> positively affects accuracy in healthfulness estimation; NFP had no effect or a negative effect</w:t>
            </w:r>
            <w:r w:rsidRPr="00D475C9">
              <w:rPr>
                <w:rFonts w:eastAsia="Times New Roman"/>
                <w:sz w:val="12"/>
                <w:szCs w:val="12"/>
              </w:rPr>
              <w:br/>
              <w:t xml:space="preserve">2. </w:t>
            </w:r>
            <w:r w:rsidR="004B6E26">
              <w:rPr>
                <w:rFonts w:eastAsia="Times New Roman"/>
                <w:sz w:val="12"/>
                <w:szCs w:val="12"/>
              </w:rPr>
              <w:t>Nutri-Score</w:t>
            </w:r>
            <w:r w:rsidRPr="00D475C9">
              <w:rPr>
                <w:rFonts w:eastAsia="Times New Roman"/>
                <w:sz w:val="12"/>
                <w:szCs w:val="12"/>
              </w:rPr>
              <w:t xml:space="preserve"> had a bigger effect in healthfulness estimation for equivocal products</w:t>
            </w:r>
            <w:r w:rsidRPr="00D475C9">
              <w:rPr>
                <w:rFonts w:eastAsia="Times New Roman"/>
                <w:sz w:val="12"/>
                <w:szCs w:val="12"/>
              </w:rPr>
              <w:br/>
              <w:t>3. Eye-tracking data confirmed the findings, showed that 'cognitive overload' occurs with too much information on the label</w:t>
            </w:r>
          </w:p>
        </w:tc>
      </w:tr>
      <w:tr w14:paraId="1999D4D3" w14:textId="77777777" w:rsidTr="0079161F">
        <w:tblPrEx>
          <w:tblW w:w="0" w:type="auto"/>
          <w:tblInd w:w="100" w:type="dxa"/>
          <w:tblLayout w:type="fixed"/>
          <w:tblCellMar>
            <w:left w:w="0" w:type="dxa"/>
            <w:right w:w="0" w:type="dxa"/>
          </w:tblCellMar>
          <w:tblLook w:val="01E0"/>
        </w:tblPrEx>
        <w:trPr>
          <w:trHeight w:val="1128"/>
        </w:trPr>
        <w:tc>
          <w:tcPr>
            <w:tcW w:w="1036" w:type="dxa"/>
          </w:tcPr>
          <w:p w:rsidR="0079161F" w:rsidRPr="0079161F" w:rsidP="0079161F" w14:paraId="67A1EA3B" w14:textId="7063C309">
            <w:pPr>
              <w:pStyle w:val="TableParagraph"/>
              <w:spacing w:line="252" w:lineRule="auto"/>
              <w:ind w:right="133"/>
              <w:rPr>
                <w:rFonts w:eastAsia="Times New Roman"/>
                <w:sz w:val="12"/>
                <w:szCs w:val="12"/>
              </w:rPr>
            </w:pPr>
            <w:r w:rsidRPr="00D475C9">
              <w:rPr>
                <w:rFonts w:eastAsia="Times New Roman"/>
                <w:color w:val="000000"/>
                <w:sz w:val="12"/>
                <w:szCs w:val="12"/>
              </w:rPr>
              <w:t>Carruba, et al.</w:t>
            </w:r>
          </w:p>
        </w:tc>
        <w:tc>
          <w:tcPr>
            <w:tcW w:w="2101" w:type="dxa"/>
          </w:tcPr>
          <w:p w:rsidR="0079161F" w:rsidRPr="0079161F" w:rsidP="0079161F" w14:paraId="49A3D78A" w14:textId="55BBFADE">
            <w:pPr>
              <w:pStyle w:val="TableParagraph"/>
              <w:spacing w:line="252" w:lineRule="auto"/>
              <w:ind w:right="102"/>
              <w:rPr>
                <w:rFonts w:eastAsia="Times New Roman"/>
                <w:sz w:val="12"/>
                <w:szCs w:val="12"/>
              </w:rPr>
            </w:pPr>
            <w:r w:rsidRPr="00D475C9">
              <w:rPr>
                <w:rFonts w:eastAsia="Times New Roman"/>
                <w:color w:val="000000"/>
                <w:sz w:val="12"/>
                <w:szCs w:val="12"/>
              </w:rPr>
              <w:t xml:space="preserve">Front-of-pack (FOP) labelling systems to improve the quality of nutrition information to prevent obesity: NutrInform Battery vs </w:t>
            </w:r>
            <w:r w:rsidR="004B6E26">
              <w:rPr>
                <w:rFonts w:eastAsia="Times New Roman"/>
                <w:color w:val="000000"/>
                <w:sz w:val="12"/>
                <w:szCs w:val="12"/>
              </w:rPr>
              <w:t>Nutri-Score</w:t>
            </w:r>
          </w:p>
        </w:tc>
        <w:tc>
          <w:tcPr>
            <w:tcW w:w="333" w:type="dxa"/>
          </w:tcPr>
          <w:p w:rsidR="0079161F" w:rsidRPr="0079161F" w:rsidP="0079161F" w14:paraId="2D909782" w14:textId="6E167A55">
            <w:pPr>
              <w:pStyle w:val="TableParagraph"/>
              <w:spacing w:line="140" w:lineRule="exact"/>
              <w:ind w:left="36"/>
              <w:rPr>
                <w:rFonts w:eastAsia="Times New Roman"/>
                <w:sz w:val="12"/>
                <w:szCs w:val="12"/>
              </w:rPr>
            </w:pPr>
            <w:r w:rsidRPr="00D475C9">
              <w:rPr>
                <w:rFonts w:eastAsia="Times New Roman"/>
                <w:color w:val="00B050"/>
                <w:sz w:val="12"/>
                <w:szCs w:val="12"/>
              </w:rPr>
              <w:t>2021</w:t>
            </w:r>
          </w:p>
        </w:tc>
        <w:tc>
          <w:tcPr>
            <w:tcW w:w="3555" w:type="dxa"/>
          </w:tcPr>
          <w:p w:rsidR="0079161F" w:rsidRPr="00D475C9" w:rsidP="0079161F" w14:paraId="1F112FEB" w14:textId="2793EDA4">
            <w:pPr>
              <w:pStyle w:val="TableParagraph"/>
              <w:spacing w:line="252" w:lineRule="auto"/>
              <w:ind w:left="29" w:right="173"/>
              <w:rPr>
                <w:rFonts w:eastAsia="Times New Roman"/>
                <w:sz w:val="12"/>
                <w:szCs w:val="12"/>
              </w:rPr>
            </w:pPr>
            <w:r w:rsidRPr="00D475C9">
              <w:rPr>
                <w:rFonts w:eastAsia="Times New Roman"/>
                <w:sz w:val="12"/>
                <w:szCs w:val="12"/>
              </w:rPr>
              <w:t>Qualitative</w:t>
            </w:r>
            <w:r w:rsidRPr="00D475C9">
              <w:rPr>
                <w:rFonts w:eastAsia="Times New Roman"/>
                <w:sz w:val="12"/>
                <w:szCs w:val="12"/>
              </w:rPr>
              <w:br/>
              <w:t xml:space="preserve">Review of literature on </w:t>
            </w:r>
            <w:r w:rsidR="004B6E26">
              <w:rPr>
                <w:rFonts w:eastAsia="Times New Roman"/>
                <w:sz w:val="12"/>
                <w:szCs w:val="12"/>
              </w:rPr>
              <w:t>Nutri-Score</w:t>
            </w:r>
            <w:r w:rsidRPr="00D475C9">
              <w:rPr>
                <w:rFonts w:eastAsia="Times New Roman"/>
                <w:sz w:val="12"/>
                <w:szCs w:val="12"/>
              </w:rPr>
              <w:t>, critique used to endorse NutrInform Battery</w:t>
            </w:r>
          </w:p>
        </w:tc>
        <w:tc>
          <w:tcPr>
            <w:tcW w:w="1199" w:type="dxa"/>
          </w:tcPr>
          <w:p w:rsidR="0079161F" w:rsidRPr="00D475C9" w:rsidP="0079161F" w14:paraId="71680E1B" w14:textId="711081FE">
            <w:pPr>
              <w:pStyle w:val="TableParagraph"/>
              <w:spacing w:line="252" w:lineRule="auto"/>
              <w:ind w:right="121"/>
              <w:rPr>
                <w:rFonts w:eastAsia="Times New Roman"/>
                <w:sz w:val="12"/>
                <w:szCs w:val="12"/>
              </w:rPr>
            </w:pPr>
            <w:r w:rsidRPr="00D475C9">
              <w:rPr>
                <w:rFonts w:eastAsia="Times New Roman"/>
                <w:color w:val="000000"/>
                <w:sz w:val="12"/>
                <w:szCs w:val="12"/>
              </w:rPr>
              <w:t>1. NutrInform Battery</w:t>
            </w:r>
            <w:r w:rsidRPr="00D475C9">
              <w:rPr>
                <w:rFonts w:eastAsia="Times New Roman"/>
                <w:color w:val="000000"/>
                <w:sz w:val="12"/>
                <w:szCs w:val="12"/>
              </w:rPr>
              <w:br/>
              <w:t xml:space="preserve">2. </w:t>
            </w:r>
            <w:r w:rsidR="004B6E26">
              <w:rPr>
                <w:rFonts w:eastAsia="Times New Roman"/>
                <w:color w:val="000000"/>
                <w:sz w:val="12"/>
                <w:szCs w:val="12"/>
              </w:rPr>
              <w:t>Nutri-Score</w:t>
            </w:r>
          </w:p>
        </w:tc>
        <w:tc>
          <w:tcPr>
            <w:tcW w:w="1204" w:type="dxa"/>
          </w:tcPr>
          <w:p w:rsidR="0079161F" w:rsidRPr="0079161F" w:rsidP="0079161F" w14:paraId="3FF20371" w14:textId="267C7337">
            <w:pPr>
              <w:pStyle w:val="TableParagraph"/>
              <w:ind w:left="175"/>
              <w:rPr>
                <w:rFonts w:eastAsia="Times New Roman"/>
                <w:sz w:val="12"/>
                <w:szCs w:val="12"/>
              </w:rPr>
            </w:pPr>
            <w:r w:rsidRPr="00D475C9">
              <w:rPr>
                <w:rFonts w:ascii="Times New Roman" w:eastAsia="Times New Roman" w:hAnsi="Times New Roman" w:cs="Times New Roman"/>
                <w:noProof/>
                <w:color w:val="000000"/>
                <w:sz w:val="12"/>
                <w:szCs w:val="12"/>
              </w:rPr>
              <w:drawing>
                <wp:anchor distT="0" distB="0" distL="114300" distR="114300" simplePos="0" relativeHeight="251684864" behindDoc="0" locked="0" layoutInCell="1" allowOverlap="1">
                  <wp:simplePos x="0" y="0"/>
                  <wp:positionH relativeFrom="column">
                    <wp:posOffset>-1905</wp:posOffset>
                  </wp:positionH>
                  <wp:positionV relativeFrom="paragraph">
                    <wp:posOffset>10795</wp:posOffset>
                  </wp:positionV>
                  <wp:extent cx="647700" cy="238125"/>
                  <wp:effectExtent l="0" t="0" r="0" b="9525"/>
                  <wp:wrapNone/>
                  <wp:docPr id="160" name="Picture 160" descr="Graphical user interface&#10;&#10;Description automatically generated with medium confidence">
                    <a:extLst xmlns:a="http://schemas.openxmlformats.org/drawingml/2006/main">
                      <a:ext xmlns:a="http://schemas.openxmlformats.org/drawingml/2006/main" uri="{FF2B5EF4-FFF2-40B4-BE49-F238E27FC236}">
                        <a16:creationId xmlns:a16="http://schemas.microsoft.com/office/drawing/2014/main" id="{04833AF8-41C6-4DA5-857B-AD5E2B9E9AA4}"/>
                      </a:ext>
                    </a:extLst>
                  </wp:docPr>
                  <wp:cNvGraphicFramePr/>
                  <a:graphic xmlns:a="http://schemas.openxmlformats.org/drawingml/2006/main">
                    <a:graphicData uri="http://schemas.openxmlformats.org/drawingml/2006/picture">
                      <pic:pic xmlns:pic="http://schemas.openxmlformats.org/drawingml/2006/picture">
                        <pic:nvPicPr>
                          <pic:cNvPr id="160" name="Picture 4" descr="Graphical user interface&#10;&#10;Description automatically generated with medium confidence">
                            <a:extLst>
                              <a:ext xmlns:a="http://schemas.openxmlformats.org/drawingml/2006/main" uri="{FF2B5EF4-FFF2-40B4-BE49-F238E27FC236}">
                                <a16:creationId xmlns:a16="http://schemas.microsoft.com/office/drawing/2014/main" id="{04833AF8-41C6-4DA5-857B-AD5E2B9E9AA4}"/>
                              </a:ext>
                            </a:extLst>
                          </pic:cNvPr>
                          <pic:cNvPicPr>
                            <a:picLocks noChangeAspect="1" noChangeArrowheads="1"/>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47700" cy="238125"/>
                          </a:xfrm>
                          <a:prstGeom prst="rect">
                            <a:avLst/>
                          </a:prstGeom>
                          <a:noFill/>
                        </pic:spPr>
                      </pic:pic>
                    </a:graphicData>
                  </a:graphic>
                  <wp14:sizeRelH relativeFrom="page">
                    <wp14:pctWidth>0</wp14:pctWidth>
                  </wp14:sizeRelH>
                  <wp14:sizeRelV relativeFrom="page">
                    <wp14:pctHeight>0</wp14:pctHeight>
                  </wp14:sizeRelV>
                </wp:anchor>
              </w:drawing>
            </w:r>
          </w:p>
        </w:tc>
        <w:tc>
          <w:tcPr>
            <w:tcW w:w="550" w:type="dxa"/>
          </w:tcPr>
          <w:p w:rsidR="0079161F" w:rsidRPr="00D475C9" w:rsidP="0079161F" w14:paraId="427AD39A" w14:textId="4D26C2CD">
            <w:pPr>
              <w:pStyle w:val="TableParagraph"/>
              <w:spacing w:line="140" w:lineRule="exact"/>
              <w:ind w:left="0" w:right="39"/>
              <w:jc w:val="center"/>
              <w:rPr>
                <w:rFonts w:eastAsia="Times New Roman"/>
                <w:sz w:val="12"/>
                <w:szCs w:val="12"/>
              </w:rPr>
            </w:pPr>
            <w:r w:rsidRPr="00D475C9">
              <w:rPr>
                <w:rFonts w:eastAsia="Times New Roman"/>
                <w:sz w:val="12"/>
                <w:szCs w:val="12"/>
              </w:rPr>
              <w:t>Italy</w:t>
            </w:r>
          </w:p>
        </w:tc>
        <w:tc>
          <w:tcPr>
            <w:tcW w:w="3487" w:type="dxa"/>
          </w:tcPr>
          <w:p w:rsidR="0079161F" w:rsidRPr="00D475C9" w:rsidP="0079161F" w14:paraId="7D1494B5" w14:textId="45A5AE69">
            <w:pPr>
              <w:pStyle w:val="TableParagraph"/>
              <w:spacing w:line="252" w:lineRule="auto"/>
              <w:rPr>
                <w:rFonts w:eastAsia="Times New Roman"/>
                <w:sz w:val="12"/>
                <w:szCs w:val="12"/>
              </w:rPr>
            </w:pPr>
            <w:r w:rsidRPr="00D475C9">
              <w:rPr>
                <w:rFonts w:eastAsia="Times New Roman"/>
                <w:sz w:val="12"/>
                <w:szCs w:val="12"/>
              </w:rPr>
              <w:t xml:space="preserve">1. </w:t>
            </w:r>
            <w:r w:rsidR="004B6E26">
              <w:rPr>
                <w:rFonts w:eastAsia="Times New Roman"/>
                <w:sz w:val="12"/>
                <w:szCs w:val="12"/>
              </w:rPr>
              <w:t>Nutri-Score</w:t>
            </w:r>
            <w:r w:rsidRPr="00D475C9">
              <w:rPr>
                <w:rFonts w:eastAsia="Times New Roman"/>
                <w:sz w:val="12"/>
                <w:szCs w:val="12"/>
              </w:rPr>
              <w:t xml:space="preserve"> limited by providing assessment based on 100 g instead of a usual portion.</w:t>
            </w:r>
            <w:r w:rsidRPr="00D475C9">
              <w:rPr>
                <w:rFonts w:eastAsia="Times New Roman"/>
                <w:sz w:val="12"/>
                <w:szCs w:val="12"/>
              </w:rPr>
              <w:br/>
              <w:t xml:space="preserve">2. Countered all criticisms of </w:t>
            </w:r>
            <w:r w:rsidR="004B6E26">
              <w:rPr>
                <w:rFonts w:eastAsia="Times New Roman"/>
                <w:sz w:val="12"/>
                <w:szCs w:val="12"/>
              </w:rPr>
              <w:t>Nutri-Score</w:t>
            </w:r>
            <w:r w:rsidRPr="00D475C9">
              <w:rPr>
                <w:rFonts w:eastAsia="Times New Roman"/>
                <w:sz w:val="12"/>
                <w:szCs w:val="12"/>
              </w:rPr>
              <w:t xml:space="preserve"> with evidence that NutrInform Battery is an improvement</w:t>
            </w:r>
          </w:p>
        </w:tc>
      </w:tr>
      <w:tr w14:paraId="058BE014" w14:textId="77777777" w:rsidTr="0079161F">
        <w:tblPrEx>
          <w:tblW w:w="0" w:type="auto"/>
          <w:tblInd w:w="100" w:type="dxa"/>
          <w:tblLayout w:type="fixed"/>
          <w:tblCellMar>
            <w:left w:w="0" w:type="dxa"/>
            <w:right w:w="0" w:type="dxa"/>
          </w:tblCellMar>
          <w:tblLook w:val="01E0"/>
        </w:tblPrEx>
        <w:trPr>
          <w:trHeight w:val="1128"/>
        </w:trPr>
        <w:tc>
          <w:tcPr>
            <w:tcW w:w="1036" w:type="dxa"/>
          </w:tcPr>
          <w:p w:rsidR="0079161F" w:rsidRPr="0079161F" w:rsidP="0079161F" w14:paraId="1D772F41" w14:textId="5E97BDDF">
            <w:pPr>
              <w:pStyle w:val="TableParagraph"/>
              <w:spacing w:line="252" w:lineRule="auto"/>
              <w:ind w:right="133"/>
              <w:rPr>
                <w:rFonts w:eastAsia="Times New Roman"/>
                <w:sz w:val="12"/>
                <w:szCs w:val="12"/>
              </w:rPr>
            </w:pPr>
            <w:r w:rsidRPr="00D475C9">
              <w:rPr>
                <w:rFonts w:eastAsia="Times New Roman"/>
                <w:sz w:val="12"/>
                <w:szCs w:val="12"/>
              </w:rPr>
              <w:t>Constantin, et al.</w:t>
            </w:r>
          </w:p>
        </w:tc>
        <w:tc>
          <w:tcPr>
            <w:tcW w:w="2101" w:type="dxa"/>
          </w:tcPr>
          <w:p w:rsidR="0079161F" w:rsidRPr="0079161F" w:rsidP="0079161F" w14:paraId="005CA549" w14:textId="7E5C0FDD">
            <w:pPr>
              <w:pStyle w:val="TableParagraph"/>
              <w:spacing w:line="252" w:lineRule="auto"/>
              <w:ind w:right="102"/>
              <w:rPr>
                <w:rFonts w:eastAsia="Times New Roman"/>
                <w:sz w:val="12"/>
                <w:szCs w:val="12"/>
              </w:rPr>
            </w:pPr>
            <w:r w:rsidRPr="00D475C9">
              <w:rPr>
                <w:rFonts w:eastAsia="Times New Roman"/>
                <w:sz w:val="12"/>
                <w:szCs w:val="12"/>
              </w:rPr>
              <w:t>A human rights-based approach to non-communicable diseases: mandating front-of-package warning labels</w:t>
            </w:r>
          </w:p>
        </w:tc>
        <w:tc>
          <w:tcPr>
            <w:tcW w:w="333" w:type="dxa"/>
          </w:tcPr>
          <w:p w:rsidR="0079161F" w:rsidRPr="0079161F" w:rsidP="0079161F" w14:paraId="7D3D9EBC" w14:textId="2CD99B28">
            <w:pPr>
              <w:pStyle w:val="TableParagraph"/>
              <w:spacing w:line="140" w:lineRule="exact"/>
              <w:ind w:left="36"/>
              <w:rPr>
                <w:rFonts w:eastAsia="Times New Roman"/>
                <w:sz w:val="12"/>
                <w:szCs w:val="12"/>
              </w:rPr>
            </w:pPr>
            <w:r w:rsidRPr="00D475C9">
              <w:rPr>
                <w:rFonts w:eastAsia="Times New Roman"/>
                <w:color w:val="00B050"/>
                <w:sz w:val="12"/>
                <w:szCs w:val="12"/>
              </w:rPr>
              <w:t>2021</w:t>
            </w:r>
          </w:p>
        </w:tc>
        <w:tc>
          <w:tcPr>
            <w:tcW w:w="3555" w:type="dxa"/>
          </w:tcPr>
          <w:p w:rsidR="0079161F" w:rsidRPr="00D475C9" w:rsidP="0079161F" w14:paraId="3FFF7B7F" w14:textId="0020D79A">
            <w:pPr>
              <w:pStyle w:val="TableParagraph"/>
              <w:spacing w:line="252" w:lineRule="auto"/>
              <w:ind w:left="29" w:right="173"/>
              <w:rPr>
                <w:rFonts w:eastAsia="Times New Roman"/>
                <w:sz w:val="12"/>
                <w:szCs w:val="12"/>
              </w:rPr>
            </w:pPr>
            <w:r w:rsidRPr="00D475C9">
              <w:rPr>
                <w:rFonts w:eastAsia="Times New Roman"/>
                <w:sz w:val="12"/>
                <w:szCs w:val="12"/>
              </w:rPr>
              <w:t>Qualitative</w:t>
            </w:r>
            <w:r w:rsidRPr="00D475C9">
              <w:rPr>
                <w:rFonts w:eastAsia="Times New Roman"/>
                <w:sz w:val="12"/>
                <w:szCs w:val="12"/>
              </w:rPr>
              <w:br/>
              <w:t xml:space="preserve">1. Review usefulness of </w:t>
            </w:r>
            <w:r w:rsidR="004B6E26">
              <w:rPr>
                <w:rFonts w:eastAsia="Times New Roman"/>
                <w:sz w:val="12"/>
                <w:szCs w:val="12"/>
              </w:rPr>
              <w:t>FOP</w:t>
            </w:r>
            <w:r w:rsidRPr="00D475C9">
              <w:rPr>
                <w:rFonts w:eastAsia="Times New Roman"/>
                <w:sz w:val="12"/>
                <w:szCs w:val="12"/>
              </w:rPr>
              <w:t>s and the need to mandate them to improve health and decrease incidence of non-communicable disease</w:t>
            </w:r>
            <w:r w:rsidRPr="00D475C9">
              <w:rPr>
                <w:rFonts w:eastAsia="Times New Roman"/>
                <w:sz w:val="12"/>
                <w:szCs w:val="12"/>
              </w:rPr>
              <w:br/>
              <w:t>-- Narrative review</w:t>
            </w:r>
          </w:p>
        </w:tc>
        <w:tc>
          <w:tcPr>
            <w:tcW w:w="1199" w:type="dxa"/>
          </w:tcPr>
          <w:p w:rsidR="0079161F" w:rsidRPr="00D475C9" w:rsidP="0079161F" w14:paraId="4731A043" w14:textId="3BCF6CEA">
            <w:pPr>
              <w:pStyle w:val="TableParagraph"/>
              <w:spacing w:line="252" w:lineRule="auto"/>
              <w:ind w:right="121"/>
              <w:rPr>
                <w:rFonts w:eastAsia="Times New Roman"/>
                <w:sz w:val="12"/>
                <w:szCs w:val="12"/>
              </w:rPr>
            </w:pPr>
            <w:r w:rsidRPr="00D475C9">
              <w:rPr>
                <w:rFonts w:eastAsia="Times New Roman"/>
                <w:color w:val="000000"/>
                <w:sz w:val="12"/>
                <w:szCs w:val="12"/>
              </w:rPr>
              <w:t>Various</w:t>
            </w:r>
          </w:p>
        </w:tc>
        <w:tc>
          <w:tcPr>
            <w:tcW w:w="1204" w:type="dxa"/>
          </w:tcPr>
          <w:p w:rsidR="0079161F" w:rsidRPr="0079161F" w:rsidP="0079161F" w14:paraId="55DDFE1C" w14:textId="1F922533">
            <w:pPr>
              <w:pStyle w:val="TableParagraph"/>
              <w:ind w:left="175"/>
              <w:rPr>
                <w:rFonts w:eastAsia="Times New Roman"/>
                <w:sz w:val="12"/>
                <w:szCs w:val="12"/>
              </w:rPr>
            </w:pPr>
            <w:r w:rsidRPr="00D475C9">
              <w:rPr>
                <w:rFonts w:eastAsia="Times New Roman"/>
                <w:color w:val="000000"/>
                <w:sz w:val="12"/>
                <w:szCs w:val="12"/>
              </w:rPr>
              <w:t>No image available</w:t>
            </w:r>
          </w:p>
        </w:tc>
        <w:tc>
          <w:tcPr>
            <w:tcW w:w="550" w:type="dxa"/>
          </w:tcPr>
          <w:p w:rsidR="0079161F" w:rsidRPr="00D475C9" w:rsidP="0079161F" w14:paraId="406A54DC" w14:textId="44A9E759">
            <w:pPr>
              <w:pStyle w:val="TableParagraph"/>
              <w:spacing w:line="140" w:lineRule="exact"/>
              <w:ind w:left="0" w:right="39"/>
              <w:jc w:val="center"/>
              <w:rPr>
                <w:rFonts w:eastAsia="Times New Roman"/>
                <w:sz w:val="12"/>
                <w:szCs w:val="12"/>
              </w:rPr>
            </w:pPr>
            <w:r w:rsidRPr="00D475C9">
              <w:rPr>
                <w:rFonts w:eastAsia="Times New Roman"/>
                <w:sz w:val="12"/>
                <w:szCs w:val="12"/>
              </w:rPr>
              <w:t>Americas</w:t>
            </w:r>
          </w:p>
        </w:tc>
        <w:tc>
          <w:tcPr>
            <w:tcW w:w="3487" w:type="dxa"/>
          </w:tcPr>
          <w:p w:rsidR="0079161F" w:rsidRPr="00D475C9" w:rsidP="00D64890" w14:paraId="4A4649D9" w14:textId="6616B553">
            <w:pPr>
              <w:pStyle w:val="TableParagraph"/>
              <w:spacing w:line="252" w:lineRule="auto"/>
              <w:rPr>
                <w:rFonts w:eastAsia="Times New Roman"/>
                <w:sz w:val="12"/>
                <w:szCs w:val="12"/>
              </w:rPr>
            </w:pPr>
            <w:r w:rsidRPr="00D475C9">
              <w:rPr>
                <w:rFonts w:eastAsia="Times New Roman"/>
                <w:sz w:val="12"/>
                <w:szCs w:val="12"/>
              </w:rPr>
              <w:t xml:space="preserve">1. FOP warning labels with excessive critical nutrients are the most effective </w:t>
            </w:r>
            <w:r w:rsidR="004B6E26">
              <w:rPr>
                <w:rFonts w:eastAsia="Times New Roman"/>
                <w:sz w:val="12"/>
                <w:szCs w:val="12"/>
              </w:rPr>
              <w:t>FOP</w:t>
            </w:r>
            <w:r w:rsidRPr="00D475C9">
              <w:rPr>
                <w:rFonts w:eastAsia="Times New Roman"/>
                <w:sz w:val="12"/>
                <w:szCs w:val="12"/>
              </w:rPr>
              <w:t xml:space="preserve"> system</w:t>
            </w:r>
            <w:r w:rsidRPr="00D475C9">
              <w:rPr>
                <w:rFonts w:eastAsia="Times New Roman"/>
                <w:sz w:val="12"/>
                <w:szCs w:val="12"/>
              </w:rPr>
              <w:br/>
              <w:t xml:space="preserve">2. Mandated </w:t>
            </w:r>
            <w:r w:rsidR="004B6E26">
              <w:rPr>
                <w:sz w:val="12"/>
              </w:rPr>
              <w:t>FOP</w:t>
            </w:r>
            <w:r w:rsidR="00D64890">
              <w:rPr>
                <w:sz w:val="12"/>
              </w:rPr>
              <w:t>s</w:t>
            </w:r>
            <w:r w:rsidRPr="005A1B39" w:rsidR="00D64890">
              <w:rPr>
                <w:sz w:val="12"/>
              </w:rPr>
              <w:t xml:space="preserve"> </w:t>
            </w:r>
            <w:r w:rsidRPr="00D475C9">
              <w:rPr>
                <w:rFonts w:eastAsia="Times New Roman"/>
                <w:sz w:val="12"/>
                <w:szCs w:val="12"/>
              </w:rPr>
              <w:t>are required to offset opposition from the food and beverage industry and enable public health improvements</w:t>
            </w:r>
          </w:p>
        </w:tc>
      </w:tr>
      <w:tr w14:paraId="56454A94" w14:textId="77777777" w:rsidTr="0079161F">
        <w:tblPrEx>
          <w:tblW w:w="0" w:type="auto"/>
          <w:tblInd w:w="100" w:type="dxa"/>
          <w:tblLayout w:type="fixed"/>
          <w:tblCellMar>
            <w:left w:w="0" w:type="dxa"/>
            <w:right w:w="0" w:type="dxa"/>
          </w:tblCellMar>
          <w:tblLook w:val="01E0"/>
        </w:tblPrEx>
        <w:trPr>
          <w:trHeight w:val="1128"/>
        </w:trPr>
        <w:tc>
          <w:tcPr>
            <w:tcW w:w="1036" w:type="dxa"/>
          </w:tcPr>
          <w:p w:rsidR="0079161F" w:rsidRPr="0079161F" w:rsidP="0079161F" w14:paraId="4647AC9F" w14:textId="2D86ABAE">
            <w:pPr>
              <w:pStyle w:val="TableParagraph"/>
              <w:spacing w:line="252" w:lineRule="auto"/>
              <w:ind w:right="133"/>
              <w:rPr>
                <w:rFonts w:eastAsia="Times New Roman"/>
                <w:sz w:val="12"/>
                <w:szCs w:val="12"/>
              </w:rPr>
            </w:pPr>
            <w:r w:rsidRPr="00D475C9">
              <w:rPr>
                <w:rFonts w:eastAsia="Times New Roman"/>
                <w:color w:val="000000"/>
                <w:sz w:val="12"/>
                <w:szCs w:val="12"/>
              </w:rPr>
              <w:t>Dubois, et al.</w:t>
            </w:r>
          </w:p>
        </w:tc>
        <w:tc>
          <w:tcPr>
            <w:tcW w:w="2101" w:type="dxa"/>
          </w:tcPr>
          <w:p w:rsidR="0079161F" w:rsidRPr="0079161F" w:rsidP="0079161F" w14:paraId="46B62DF2" w14:textId="227508FB">
            <w:pPr>
              <w:pStyle w:val="TableParagraph"/>
              <w:spacing w:line="252" w:lineRule="auto"/>
              <w:ind w:right="102"/>
              <w:rPr>
                <w:rFonts w:eastAsia="Times New Roman"/>
                <w:sz w:val="12"/>
                <w:szCs w:val="12"/>
              </w:rPr>
            </w:pPr>
            <w:r w:rsidRPr="00D475C9">
              <w:rPr>
                <w:rFonts w:eastAsia="Times New Roman"/>
                <w:color w:val="000000"/>
                <w:sz w:val="12"/>
                <w:szCs w:val="12"/>
              </w:rPr>
              <w:t>Effects of front-of-pack labels on the nutritional quality of supermarket food purchases: Evidence from a large-scale randomized controlled trial</w:t>
            </w:r>
          </w:p>
        </w:tc>
        <w:tc>
          <w:tcPr>
            <w:tcW w:w="333" w:type="dxa"/>
          </w:tcPr>
          <w:p w:rsidR="0079161F" w:rsidRPr="0079161F" w:rsidP="0079161F" w14:paraId="560D831D" w14:textId="7EE645B1">
            <w:pPr>
              <w:pStyle w:val="TableParagraph"/>
              <w:spacing w:line="140" w:lineRule="exact"/>
              <w:ind w:left="36"/>
              <w:rPr>
                <w:rFonts w:eastAsia="Times New Roman"/>
                <w:sz w:val="12"/>
                <w:szCs w:val="12"/>
              </w:rPr>
            </w:pPr>
            <w:r w:rsidRPr="00D475C9">
              <w:rPr>
                <w:rFonts w:eastAsia="Times New Roman"/>
                <w:color w:val="00B050"/>
                <w:sz w:val="12"/>
                <w:szCs w:val="12"/>
              </w:rPr>
              <w:t>2021</w:t>
            </w:r>
          </w:p>
        </w:tc>
        <w:tc>
          <w:tcPr>
            <w:tcW w:w="3555" w:type="dxa"/>
          </w:tcPr>
          <w:p w:rsidR="0079161F" w:rsidRPr="00D475C9" w:rsidP="0079161F" w14:paraId="5F6BE672" w14:textId="10372CD1">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 xml:space="preserve">1. Labeled 1266 food products in four categories in 60 supermarkets, analyzed nutritional quality of 1,668,301 purchases using FSA nutrient profile scores by </w:t>
            </w:r>
            <w:r w:rsidR="004B6E26">
              <w:rPr>
                <w:rFonts w:eastAsia="Times New Roman"/>
                <w:sz w:val="12"/>
                <w:szCs w:val="12"/>
              </w:rPr>
              <w:t>FOP</w:t>
            </w:r>
            <w:r w:rsidRPr="00D475C9">
              <w:rPr>
                <w:rFonts w:eastAsia="Times New Roman"/>
                <w:sz w:val="12"/>
                <w:szCs w:val="12"/>
              </w:rPr>
              <w:t xml:space="preserve"> system</w:t>
            </w:r>
          </w:p>
        </w:tc>
        <w:tc>
          <w:tcPr>
            <w:tcW w:w="1199" w:type="dxa"/>
          </w:tcPr>
          <w:p w:rsidR="0079161F" w:rsidRPr="00D475C9" w:rsidP="0079161F" w14:paraId="4974875E" w14:textId="2FBEFD95">
            <w:pPr>
              <w:pStyle w:val="TableParagraph"/>
              <w:spacing w:line="252" w:lineRule="auto"/>
              <w:ind w:right="121"/>
              <w:rPr>
                <w:rFonts w:eastAsia="Times New Roman"/>
                <w:sz w:val="12"/>
                <w:szCs w:val="12"/>
              </w:rPr>
            </w:pPr>
            <w:r w:rsidRPr="00D475C9">
              <w:rPr>
                <w:rFonts w:eastAsia="Times New Roman"/>
                <w:sz w:val="12"/>
                <w:szCs w:val="12"/>
              </w:rPr>
              <w:t>1. SENS</w:t>
            </w:r>
            <w:r w:rsidRPr="00D475C9">
              <w:rPr>
                <w:rFonts w:eastAsia="Times New Roman"/>
                <w:sz w:val="12"/>
                <w:szCs w:val="12"/>
              </w:rPr>
              <w:br/>
              <w:t xml:space="preserve">2. </w:t>
            </w:r>
            <w:r w:rsidR="004B6E26">
              <w:rPr>
                <w:rFonts w:eastAsia="Times New Roman"/>
                <w:sz w:val="12"/>
                <w:szCs w:val="12"/>
              </w:rPr>
              <w:t>Nutri-Score</w:t>
            </w:r>
            <w:r w:rsidRPr="00D475C9">
              <w:rPr>
                <w:rFonts w:eastAsia="Times New Roman"/>
                <w:sz w:val="12"/>
                <w:szCs w:val="12"/>
              </w:rPr>
              <w:br/>
              <w:t xml:space="preserve">3. Nutri </w:t>
            </w:r>
            <w:r w:rsidRPr="00D475C9">
              <w:rPr>
                <w:rFonts w:eastAsia="Times New Roman"/>
                <w:sz w:val="12"/>
                <w:szCs w:val="12"/>
              </w:rPr>
              <w:t>Repere</w:t>
            </w:r>
            <w:r w:rsidRPr="00D475C9">
              <w:rPr>
                <w:rFonts w:eastAsia="Times New Roman"/>
                <w:sz w:val="12"/>
                <w:szCs w:val="12"/>
              </w:rPr>
              <w:br/>
              <w:t>4. Nutri Couleurs</w:t>
            </w:r>
          </w:p>
        </w:tc>
        <w:tc>
          <w:tcPr>
            <w:tcW w:w="1204" w:type="dxa"/>
          </w:tcPr>
          <w:p w:rsidR="0079161F" w:rsidRPr="0079161F" w:rsidP="0079161F" w14:paraId="167A06D4" w14:textId="0A19E230">
            <w:pPr>
              <w:pStyle w:val="TableParagraph"/>
              <w:ind w:left="175"/>
              <w:rPr>
                <w:rFonts w:eastAsia="Times New Roman"/>
                <w:sz w:val="12"/>
                <w:szCs w:val="12"/>
              </w:rPr>
            </w:pPr>
            <w:r w:rsidRPr="00D475C9">
              <w:rPr>
                <w:rFonts w:ascii="Times New Roman" w:eastAsia="Times New Roman" w:hAnsi="Times New Roman" w:cs="Times New Roman"/>
                <w:noProof/>
                <w:color w:val="000000"/>
                <w:sz w:val="12"/>
                <w:szCs w:val="12"/>
              </w:rPr>
              <w:drawing>
                <wp:anchor distT="0" distB="0" distL="114300" distR="114300" simplePos="0" relativeHeight="251685888" behindDoc="0" locked="0" layoutInCell="1" allowOverlap="1">
                  <wp:simplePos x="0" y="0"/>
                  <wp:positionH relativeFrom="column">
                    <wp:posOffset>-7620</wp:posOffset>
                  </wp:positionH>
                  <wp:positionV relativeFrom="paragraph">
                    <wp:posOffset>31750</wp:posOffset>
                  </wp:positionV>
                  <wp:extent cx="561975" cy="676275"/>
                  <wp:effectExtent l="0" t="0" r="9525" b="9525"/>
                  <wp:wrapNone/>
                  <wp:docPr id="149" name="Picture 149"/>
                  <wp:cNvGraphicFramePr/>
                  <a:graphic xmlns:a="http://schemas.openxmlformats.org/drawingml/2006/main">
                    <a:graphicData uri="http://schemas.openxmlformats.org/drawingml/2006/picture">
                      <pic:pic xmlns:pic="http://schemas.openxmlformats.org/drawingml/2006/picture">
                        <pic:nvPicPr>
                          <pic:cNvPr id="149" name="Picture 9"/>
                          <pic:cNvPicPr>
                            <a:picLocks noChangeAspect="1"/>
                          </pic:cNvPicPr>
                        </pic:nvPicPr>
                        <pic:blipFill>
                          <a:blip xmlns:r="http://schemas.openxmlformats.org/officeDocument/2006/relationships" r:embed="rId7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61975" cy="676275"/>
                          </a:xfrm>
                          <a:prstGeom prst="rect">
                            <a:avLst/>
                          </a:prstGeom>
                        </pic:spPr>
                      </pic:pic>
                    </a:graphicData>
                  </a:graphic>
                  <wp14:sizeRelH relativeFrom="page">
                    <wp14:pctWidth>0</wp14:pctWidth>
                  </wp14:sizeRelH>
                  <wp14:sizeRelV relativeFrom="page">
                    <wp14:pctHeight>0</wp14:pctHeight>
                  </wp14:sizeRelV>
                </wp:anchor>
              </w:drawing>
            </w:r>
          </w:p>
        </w:tc>
        <w:tc>
          <w:tcPr>
            <w:tcW w:w="550" w:type="dxa"/>
          </w:tcPr>
          <w:p w:rsidR="0079161F" w:rsidRPr="00D475C9" w:rsidP="0079161F" w14:paraId="6264B926" w14:textId="3ECC4F68">
            <w:pPr>
              <w:pStyle w:val="TableParagraph"/>
              <w:spacing w:line="140" w:lineRule="exact"/>
              <w:ind w:left="0" w:right="39"/>
              <w:jc w:val="center"/>
              <w:rPr>
                <w:rFonts w:eastAsia="Times New Roman"/>
                <w:sz w:val="12"/>
                <w:szCs w:val="12"/>
              </w:rPr>
            </w:pPr>
            <w:r w:rsidRPr="00D475C9">
              <w:rPr>
                <w:rFonts w:eastAsia="Times New Roman"/>
                <w:sz w:val="12"/>
                <w:szCs w:val="12"/>
              </w:rPr>
              <w:t>France</w:t>
            </w:r>
          </w:p>
        </w:tc>
        <w:tc>
          <w:tcPr>
            <w:tcW w:w="3487" w:type="dxa"/>
          </w:tcPr>
          <w:p w:rsidR="0079161F" w:rsidRPr="00D475C9" w:rsidP="0079161F" w14:paraId="4D1FC13E" w14:textId="2B29FD0C">
            <w:pPr>
              <w:pStyle w:val="TableParagraph"/>
              <w:spacing w:line="252" w:lineRule="auto"/>
              <w:rPr>
                <w:rFonts w:eastAsia="Times New Roman"/>
                <w:sz w:val="12"/>
                <w:szCs w:val="12"/>
              </w:rPr>
            </w:pPr>
            <w:r w:rsidRPr="00D475C9">
              <w:rPr>
                <w:rFonts w:eastAsia="Times New Roman"/>
                <w:sz w:val="12"/>
                <w:szCs w:val="12"/>
              </w:rPr>
              <w:t xml:space="preserve">1. Only modest effects on nutritional quality of foods purchased in the four categories: </w:t>
            </w:r>
            <w:r w:rsidR="004B6E26">
              <w:rPr>
                <w:rFonts w:eastAsia="Times New Roman"/>
                <w:sz w:val="12"/>
                <w:szCs w:val="12"/>
              </w:rPr>
              <w:t>Nutri-Score</w:t>
            </w:r>
            <w:r w:rsidRPr="00D475C9">
              <w:rPr>
                <w:rFonts w:eastAsia="Times New Roman"/>
                <w:sz w:val="12"/>
                <w:szCs w:val="12"/>
              </w:rPr>
              <w:t xml:space="preserve"> was most effective </w:t>
            </w:r>
            <w:r w:rsidR="004B6E26">
              <w:rPr>
                <w:sz w:val="12"/>
              </w:rPr>
              <w:t>FOP</w:t>
            </w:r>
            <w:r w:rsidRPr="00D475C9">
              <w:rPr>
                <w:rFonts w:eastAsia="Times New Roman"/>
                <w:sz w:val="12"/>
                <w:szCs w:val="12"/>
              </w:rPr>
              <w:t xml:space="preserve">, but only effect was to increase purchases of foods in the top third of their category by 14%; no effect on purchases of foods with medium, low, or unlabeled quality. </w:t>
            </w:r>
            <w:r w:rsidRPr="00D475C9">
              <w:rPr>
                <w:rFonts w:eastAsia="Times New Roman"/>
                <w:sz w:val="12"/>
                <w:szCs w:val="12"/>
              </w:rPr>
              <w:br/>
              <w:t xml:space="preserve">2. </w:t>
            </w:r>
            <w:r w:rsidR="004B6E26">
              <w:rPr>
                <w:rFonts w:eastAsia="Times New Roman"/>
                <w:sz w:val="12"/>
                <w:szCs w:val="12"/>
              </w:rPr>
              <w:t>Nutri-Score</w:t>
            </w:r>
            <w:r w:rsidRPr="00D475C9">
              <w:rPr>
                <w:rFonts w:eastAsia="Times New Roman"/>
                <w:sz w:val="12"/>
                <w:szCs w:val="12"/>
              </w:rPr>
              <w:t xml:space="preserve"> was the most effective, followed by Nutri-Couleurs, with SENS and Nutri-Repère significantly behind</w:t>
            </w:r>
          </w:p>
        </w:tc>
      </w:tr>
      <w:tr w14:paraId="08C36C83" w14:textId="77777777" w:rsidTr="00DF60F4">
        <w:tblPrEx>
          <w:tblW w:w="0" w:type="auto"/>
          <w:tblInd w:w="100" w:type="dxa"/>
          <w:tblLayout w:type="fixed"/>
          <w:tblCellMar>
            <w:left w:w="0" w:type="dxa"/>
            <w:right w:w="0" w:type="dxa"/>
          </w:tblCellMar>
          <w:tblLook w:val="01E0"/>
        </w:tblPrEx>
        <w:trPr>
          <w:trHeight w:val="1128"/>
        </w:trPr>
        <w:tc>
          <w:tcPr>
            <w:tcW w:w="1036" w:type="dxa"/>
          </w:tcPr>
          <w:p w:rsidR="0079161F" w:rsidRPr="0079161F" w:rsidP="0079161F" w14:paraId="38A42A28" w14:textId="42C9DE45">
            <w:pPr>
              <w:pStyle w:val="TableParagraph"/>
              <w:spacing w:line="252" w:lineRule="auto"/>
              <w:ind w:right="133"/>
              <w:rPr>
                <w:rFonts w:eastAsia="Times New Roman"/>
                <w:sz w:val="12"/>
                <w:szCs w:val="12"/>
              </w:rPr>
            </w:pPr>
            <w:r w:rsidRPr="00D475C9">
              <w:rPr>
                <w:rFonts w:eastAsia="Times New Roman"/>
                <w:color w:val="000000"/>
                <w:sz w:val="12"/>
                <w:szCs w:val="12"/>
              </w:rPr>
              <w:t>Esfandiari, et al.</w:t>
            </w:r>
          </w:p>
        </w:tc>
        <w:tc>
          <w:tcPr>
            <w:tcW w:w="2101" w:type="dxa"/>
          </w:tcPr>
          <w:p w:rsidR="0079161F" w:rsidRPr="0079161F" w:rsidP="0079161F" w14:paraId="0CF220E4" w14:textId="5560D7BB">
            <w:pPr>
              <w:pStyle w:val="TableParagraph"/>
              <w:spacing w:line="252" w:lineRule="auto"/>
              <w:ind w:right="102"/>
              <w:rPr>
                <w:rFonts w:eastAsia="Times New Roman"/>
                <w:sz w:val="12"/>
                <w:szCs w:val="12"/>
              </w:rPr>
            </w:pPr>
            <w:r w:rsidRPr="00D475C9">
              <w:rPr>
                <w:rFonts w:eastAsia="Times New Roman"/>
                <w:color w:val="000000"/>
                <w:sz w:val="12"/>
                <w:szCs w:val="12"/>
              </w:rPr>
              <w:t>Effect of Face-to-Face Education on Knowledge, Attitudes, and Practices Toward "Traffic Light" Food Labeling in Isfahan Society, Iran</w:t>
            </w:r>
          </w:p>
        </w:tc>
        <w:tc>
          <w:tcPr>
            <w:tcW w:w="333" w:type="dxa"/>
          </w:tcPr>
          <w:p w:rsidR="0079161F" w:rsidRPr="0079161F" w:rsidP="0079161F" w14:paraId="3FE494EF" w14:textId="7F40F287">
            <w:pPr>
              <w:pStyle w:val="TableParagraph"/>
              <w:spacing w:line="140" w:lineRule="exact"/>
              <w:ind w:left="36"/>
              <w:rPr>
                <w:rFonts w:eastAsia="Times New Roman"/>
                <w:sz w:val="12"/>
                <w:szCs w:val="12"/>
              </w:rPr>
            </w:pPr>
            <w:r w:rsidRPr="00D475C9">
              <w:rPr>
                <w:rFonts w:eastAsia="Times New Roman"/>
                <w:color w:val="00B050"/>
                <w:sz w:val="12"/>
                <w:szCs w:val="12"/>
              </w:rPr>
              <w:t>2021</w:t>
            </w:r>
          </w:p>
        </w:tc>
        <w:tc>
          <w:tcPr>
            <w:tcW w:w="3555" w:type="dxa"/>
          </w:tcPr>
          <w:p w:rsidR="0079161F" w:rsidRPr="00D475C9" w:rsidP="00F92DAA" w14:paraId="3F3260F4" w14:textId="7D41656F">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 xml:space="preserve">1. </w:t>
            </w:r>
            <w:r w:rsidR="00F92DAA">
              <w:rPr>
                <w:rFonts w:eastAsia="Times New Roman"/>
                <w:sz w:val="12"/>
                <w:szCs w:val="12"/>
              </w:rPr>
              <w:t xml:space="preserve">673 </w:t>
            </w:r>
            <w:r w:rsidRPr="00D475C9">
              <w:rPr>
                <w:rFonts w:eastAsia="Times New Roman"/>
                <w:sz w:val="12"/>
                <w:szCs w:val="12"/>
              </w:rPr>
              <w:t>participants completed intro questionnaire in-person at grocery store, then received face-to-face explanation for the TL using instructional pamphlets</w:t>
            </w:r>
            <w:r w:rsidRPr="00D475C9">
              <w:rPr>
                <w:rFonts w:eastAsia="Times New Roman"/>
                <w:sz w:val="12"/>
                <w:szCs w:val="12"/>
              </w:rPr>
              <w:br/>
              <w:t xml:space="preserve">2. </w:t>
            </w:r>
            <w:r w:rsidR="00F92DAA">
              <w:rPr>
                <w:rFonts w:eastAsia="Times New Roman"/>
                <w:sz w:val="12"/>
                <w:szCs w:val="12"/>
              </w:rPr>
              <w:t xml:space="preserve">The same </w:t>
            </w:r>
            <w:r w:rsidRPr="00D475C9">
              <w:rPr>
                <w:rFonts w:eastAsia="Times New Roman"/>
                <w:sz w:val="12"/>
                <w:szCs w:val="12"/>
              </w:rPr>
              <w:t>participants completed the same questionnaire at home, in-person to evaluate whether TL education results in healthier food choices based on knowledge, attitudes, and practices; practices were evaluated by self-reported purchases</w:t>
            </w:r>
          </w:p>
        </w:tc>
        <w:tc>
          <w:tcPr>
            <w:tcW w:w="1199" w:type="dxa"/>
          </w:tcPr>
          <w:p w:rsidR="0079161F" w:rsidRPr="00D475C9" w:rsidP="0079161F" w14:paraId="0ABE391A" w14:textId="4E76205C">
            <w:pPr>
              <w:pStyle w:val="TableParagraph"/>
              <w:spacing w:line="252" w:lineRule="auto"/>
              <w:ind w:right="121"/>
              <w:rPr>
                <w:rFonts w:eastAsia="Times New Roman"/>
                <w:sz w:val="12"/>
                <w:szCs w:val="12"/>
              </w:rPr>
            </w:pPr>
            <w:r w:rsidRPr="00D475C9">
              <w:rPr>
                <w:rFonts w:eastAsia="Times New Roman"/>
                <w:sz w:val="12"/>
                <w:szCs w:val="12"/>
              </w:rPr>
              <w:t>Traffic Light (TL)</w:t>
            </w:r>
          </w:p>
        </w:tc>
        <w:tc>
          <w:tcPr>
            <w:tcW w:w="1204" w:type="dxa"/>
            <w:vAlign w:val="bottom"/>
          </w:tcPr>
          <w:p w:rsidR="0079161F" w:rsidRPr="00D475C9" w:rsidP="0079161F" w14:paraId="24C45B3D" w14:textId="77777777">
            <w:pPr>
              <w:spacing w:after="0" w:line="240" w:lineRule="auto"/>
              <w:rPr>
                <w:rFonts w:ascii="Calibri" w:eastAsia="Times New Roman" w:hAnsi="Calibri" w:cs="Calibri"/>
                <w:color w:val="000000"/>
                <w:sz w:val="12"/>
                <w:szCs w:val="12"/>
                <w:lang w:eastAsia="en-US"/>
              </w:rPr>
            </w:pPr>
            <w:r w:rsidRPr="00D475C9">
              <w:rPr>
                <w:rFonts w:ascii="Calibri" w:eastAsia="Times New Roman" w:hAnsi="Calibri" w:cs="Calibri"/>
                <w:noProof/>
                <w:color w:val="000000"/>
                <w:sz w:val="12"/>
                <w:szCs w:val="12"/>
                <w:lang w:eastAsia="en-US"/>
              </w:rPr>
              <w:drawing>
                <wp:anchor distT="0" distB="0" distL="114300" distR="114300" simplePos="0" relativeHeight="251686912" behindDoc="0" locked="0" layoutInCell="1" allowOverlap="1">
                  <wp:simplePos x="0" y="0"/>
                  <wp:positionH relativeFrom="column">
                    <wp:posOffset>19050</wp:posOffset>
                  </wp:positionH>
                  <wp:positionV relativeFrom="paragraph">
                    <wp:posOffset>19050</wp:posOffset>
                  </wp:positionV>
                  <wp:extent cx="640080" cy="411480"/>
                  <wp:effectExtent l="0" t="0" r="7620" b="762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52"/>
                          <pic:cNvPicPr>
                            <a:picLocks noChangeAspect="1"/>
                          </pic:cNvPicPr>
                        </pic:nvPicPr>
                        <pic:blipFill>
                          <a:blip xmlns:r="http://schemas.openxmlformats.org/officeDocument/2006/relationships" r:embed="rId75"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0080" cy="41148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tblPr>
            <w:tblGrid>
              <w:gridCol w:w="3160"/>
            </w:tblGrid>
            <w:tr w14:paraId="6F97307D" w14:textId="77777777" w:rsidTr="00DF60F4">
              <w:tblPrEx>
                <w:tblW w:w="0" w:type="auto"/>
                <w:tblCellSpacing w:w="0" w:type="dxa"/>
                <w:tblLayout w:type="fixed"/>
                <w:tblCellMar>
                  <w:left w:w="0" w:type="dxa"/>
                  <w:right w:w="0" w:type="dxa"/>
                </w:tblCellMar>
                <w:tblLook w:val="04A0"/>
              </w:tblPrEx>
              <w:trPr>
                <w:trHeight w:val="1845"/>
                <w:tblCellSpacing w:w="0" w:type="dxa"/>
              </w:trPr>
              <w:tc>
                <w:tcPr>
                  <w:tcW w:w="3160" w:type="dxa"/>
                  <w:tcBorders>
                    <w:top w:val="nil"/>
                    <w:left w:val="nil"/>
                    <w:bottom w:val="single" w:sz="4" w:space="0" w:color="auto"/>
                    <w:right w:val="single" w:sz="4" w:space="0" w:color="auto"/>
                  </w:tcBorders>
                  <w:shd w:val="clear" w:color="auto" w:fill="auto"/>
                  <w:hideMark/>
                </w:tcPr>
                <w:p w:rsidR="0079161F" w:rsidRPr="00D475C9" w:rsidP="0079161F" w14:paraId="1BED09A1" w14:textId="77777777">
                  <w:pPr>
                    <w:spacing w:after="0" w:line="240" w:lineRule="auto"/>
                    <w:jc w:val="center"/>
                    <w:rPr>
                      <w:rFonts w:ascii="Times New Roman" w:eastAsia="Times New Roman" w:hAnsi="Times New Roman" w:cs="Times New Roman"/>
                      <w:color w:val="000000"/>
                      <w:sz w:val="12"/>
                      <w:szCs w:val="12"/>
                      <w:lang w:eastAsia="en-US"/>
                    </w:rPr>
                  </w:pPr>
                  <w:r w:rsidRPr="00D475C9">
                    <w:rPr>
                      <w:rFonts w:ascii="Times New Roman" w:eastAsia="Times New Roman" w:hAnsi="Times New Roman" w:cs="Times New Roman"/>
                      <w:color w:val="000000"/>
                      <w:sz w:val="12"/>
                      <w:szCs w:val="12"/>
                      <w:lang w:eastAsia="en-US"/>
                    </w:rPr>
                    <w:t> </w:t>
                  </w:r>
                </w:p>
              </w:tc>
            </w:tr>
          </w:tbl>
          <w:p w:rsidR="0079161F" w:rsidRPr="0079161F" w:rsidP="0079161F" w14:paraId="3EA1405C" w14:textId="77777777">
            <w:pPr>
              <w:pStyle w:val="TableParagraph"/>
              <w:ind w:left="175"/>
              <w:rPr>
                <w:rFonts w:eastAsia="Times New Roman"/>
                <w:sz w:val="12"/>
                <w:szCs w:val="12"/>
              </w:rPr>
            </w:pPr>
          </w:p>
        </w:tc>
        <w:tc>
          <w:tcPr>
            <w:tcW w:w="550" w:type="dxa"/>
          </w:tcPr>
          <w:p w:rsidR="0079161F" w:rsidRPr="00D475C9" w:rsidP="0079161F" w14:paraId="4B2EDFD0" w14:textId="42D11018">
            <w:pPr>
              <w:pStyle w:val="TableParagraph"/>
              <w:spacing w:line="140" w:lineRule="exact"/>
              <w:ind w:left="0" w:right="39"/>
              <w:jc w:val="center"/>
              <w:rPr>
                <w:rFonts w:eastAsia="Times New Roman"/>
                <w:sz w:val="12"/>
                <w:szCs w:val="12"/>
              </w:rPr>
            </w:pPr>
            <w:r w:rsidRPr="00D475C9">
              <w:rPr>
                <w:rFonts w:eastAsia="Times New Roman"/>
                <w:sz w:val="12"/>
                <w:szCs w:val="12"/>
              </w:rPr>
              <w:t>Iran</w:t>
            </w:r>
          </w:p>
        </w:tc>
        <w:tc>
          <w:tcPr>
            <w:tcW w:w="3487" w:type="dxa"/>
          </w:tcPr>
          <w:p w:rsidR="0079161F" w:rsidRPr="00D475C9" w:rsidP="0079161F" w14:paraId="604D18F6" w14:textId="4B5FD69B">
            <w:pPr>
              <w:pStyle w:val="TableParagraph"/>
              <w:spacing w:line="252" w:lineRule="auto"/>
              <w:rPr>
                <w:rFonts w:eastAsia="Times New Roman"/>
                <w:sz w:val="12"/>
                <w:szCs w:val="12"/>
              </w:rPr>
            </w:pPr>
            <w:r w:rsidRPr="00D475C9">
              <w:rPr>
                <w:rFonts w:eastAsia="Times New Roman"/>
                <w:sz w:val="12"/>
                <w:szCs w:val="12"/>
              </w:rPr>
              <w:t xml:space="preserve">1. Education significantly increased scores for knowledge, </w:t>
            </w:r>
            <w:r w:rsidRPr="00D475C9" w:rsidR="00D64890">
              <w:rPr>
                <w:rFonts w:eastAsia="Times New Roman"/>
                <w:sz w:val="12"/>
                <w:szCs w:val="12"/>
              </w:rPr>
              <w:t>attitudes,</w:t>
            </w:r>
            <w:r w:rsidRPr="00D475C9">
              <w:rPr>
                <w:rFonts w:eastAsia="Times New Roman"/>
                <w:sz w:val="12"/>
                <w:szCs w:val="12"/>
              </w:rPr>
              <w:t xml:space="preserve"> and practices</w:t>
            </w:r>
            <w:r w:rsidRPr="00D475C9">
              <w:rPr>
                <w:rFonts w:eastAsia="Times New Roman"/>
                <w:sz w:val="12"/>
                <w:szCs w:val="12"/>
              </w:rPr>
              <w:br/>
              <w:t>2. Education is required to make TL and food labeling information effective</w:t>
            </w:r>
          </w:p>
        </w:tc>
      </w:tr>
      <w:tr w14:paraId="1DB3A37C" w14:textId="77777777" w:rsidTr="0079161F">
        <w:tblPrEx>
          <w:tblW w:w="0" w:type="auto"/>
          <w:tblInd w:w="100" w:type="dxa"/>
          <w:tblLayout w:type="fixed"/>
          <w:tblCellMar>
            <w:left w:w="0" w:type="dxa"/>
            <w:right w:w="0" w:type="dxa"/>
          </w:tblCellMar>
          <w:tblLook w:val="01E0"/>
        </w:tblPrEx>
        <w:trPr>
          <w:trHeight w:val="1128"/>
        </w:trPr>
        <w:tc>
          <w:tcPr>
            <w:tcW w:w="1036" w:type="dxa"/>
          </w:tcPr>
          <w:p w:rsidR="00DF60F4" w:rsidRPr="0079161F" w:rsidP="00DF60F4" w14:paraId="4B72BB36" w14:textId="4C52E93F">
            <w:pPr>
              <w:pStyle w:val="TableParagraph"/>
              <w:spacing w:line="252" w:lineRule="auto"/>
              <w:ind w:right="133"/>
              <w:rPr>
                <w:rFonts w:eastAsia="Times New Roman"/>
                <w:sz w:val="12"/>
                <w:szCs w:val="12"/>
              </w:rPr>
            </w:pPr>
            <w:r w:rsidRPr="00D475C9">
              <w:rPr>
                <w:rFonts w:eastAsia="Times New Roman"/>
                <w:color w:val="000000"/>
                <w:sz w:val="12"/>
                <w:szCs w:val="12"/>
              </w:rPr>
              <w:t>Fialon, et al.</w:t>
            </w:r>
          </w:p>
        </w:tc>
        <w:tc>
          <w:tcPr>
            <w:tcW w:w="2101" w:type="dxa"/>
          </w:tcPr>
          <w:p w:rsidR="00DF60F4" w:rsidRPr="0079161F" w:rsidP="00DF60F4" w14:paraId="0B84D260" w14:textId="04DD7102">
            <w:pPr>
              <w:pStyle w:val="TableParagraph"/>
              <w:spacing w:line="252" w:lineRule="auto"/>
              <w:ind w:right="102"/>
              <w:rPr>
                <w:rFonts w:eastAsia="Times New Roman"/>
                <w:sz w:val="12"/>
                <w:szCs w:val="12"/>
              </w:rPr>
            </w:pPr>
            <w:r w:rsidRPr="00D475C9">
              <w:rPr>
                <w:rFonts w:eastAsia="Times New Roman"/>
                <w:color w:val="000000"/>
                <w:sz w:val="12"/>
                <w:szCs w:val="12"/>
              </w:rPr>
              <w:t xml:space="preserve">Is FOP Nutrition Label </w:t>
            </w:r>
            <w:r w:rsidR="004B6E26">
              <w:rPr>
                <w:rFonts w:eastAsia="Times New Roman"/>
                <w:color w:val="000000"/>
                <w:sz w:val="12"/>
                <w:szCs w:val="12"/>
              </w:rPr>
              <w:t>Nutri-Score</w:t>
            </w:r>
            <w:r w:rsidRPr="00D475C9">
              <w:rPr>
                <w:rFonts w:eastAsia="Times New Roman"/>
                <w:color w:val="000000"/>
                <w:sz w:val="12"/>
                <w:szCs w:val="12"/>
              </w:rPr>
              <w:t xml:space="preserve"> Well Understood by Consumers When Comparing the Nutritional Quality of Added Fats, and Does It Negatively Impact the Image of Olive Oil?</w:t>
            </w:r>
          </w:p>
        </w:tc>
        <w:tc>
          <w:tcPr>
            <w:tcW w:w="333" w:type="dxa"/>
          </w:tcPr>
          <w:p w:rsidR="00DF60F4" w:rsidRPr="0079161F" w:rsidP="00DF60F4" w14:paraId="0187527E" w14:textId="3DC8684F">
            <w:pPr>
              <w:pStyle w:val="TableParagraph"/>
              <w:spacing w:line="140" w:lineRule="exact"/>
              <w:ind w:left="36"/>
              <w:rPr>
                <w:rFonts w:eastAsia="Times New Roman"/>
                <w:sz w:val="12"/>
                <w:szCs w:val="12"/>
              </w:rPr>
            </w:pPr>
            <w:r w:rsidRPr="00D475C9">
              <w:rPr>
                <w:rFonts w:eastAsia="Times New Roman"/>
                <w:color w:val="00B050"/>
                <w:sz w:val="12"/>
                <w:szCs w:val="12"/>
              </w:rPr>
              <w:t>2021</w:t>
            </w:r>
          </w:p>
        </w:tc>
        <w:tc>
          <w:tcPr>
            <w:tcW w:w="3555" w:type="dxa"/>
          </w:tcPr>
          <w:p w:rsidR="00DF60F4" w:rsidRPr="00D475C9" w:rsidP="00DF60F4" w14:paraId="3F74664B" w14:textId="40479DE2">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 xml:space="preserve">1. Online survey of 486 adults; answered question about perception and understanding of </w:t>
            </w:r>
            <w:r w:rsidR="004B6E26">
              <w:rPr>
                <w:rFonts w:eastAsia="Times New Roman"/>
                <w:sz w:val="12"/>
                <w:szCs w:val="12"/>
              </w:rPr>
              <w:t>Nutri-Score</w:t>
            </w:r>
            <w:r w:rsidRPr="00D475C9">
              <w:rPr>
                <w:rFonts w:eastAsia="Times New Roman"/>
                <w:sz w:val="12"/>
                <w:szCs w:val="12"/>
              </w:rPr>
              <w:t xml:space="preserve">; then asked about usefulness of </w:t>
            </w:r>
            <w:r w:rsidR="004B6E26">
              <w:rPr>
                <w:rFonts w:eastAsia="Times New Roman"/>
                <w:sz w:val="12"/>
                <w:szCs w:val="12"/>
              </w:rPr>
              <w:t>Nutri-Score</w:t>
            </w:r>
            <w:r w:rsidRPr="00D475C9">
              <w:rPr>
                <w:rFonts w:eastAsia="Times New Roman"/>
                <w:sz w:val="12"/>
                <w:szCs w:val="12"/>
              </w:rPr>
              <w:t xml:space="preserve"> to differentiate the nutrition quality of 8 fats (oils and butter), specify which had the best nutritional quality, and which they would buy more frequently.</w:t>
            </w:r>
            <w:r w:rsidRPr="00D475C9">
              <w:rPr>
                <w:rFonts w:eastAsia="Times New Roman"/>
                <w:sz w:val="12"/>
                <w:szCs w:val="12"/>
              </w:rPr>
              <w:br/>
              <w:t xml:space="preserve">2. Asked if </w:t>
            </w:r>
            <w:r w:rsidR="004B6E26">
              <w:rPr>
                <w:rFonts w:eastAsia="Times New Roman"/>
                <w:sz w:val="12"/>
                <w:szCs w:val="12"/>
              </w:rPr>
              <w:t>Nutri-Score</w:t>
            </w:r>
            <w:r w:rsidRPr="00D475C9">
              <w:rPr>
                <w:rFonts w:eastAsia="Times New Roman"/>
                <w:sz w:val="12"/>
                <w:szCs w:val="12"/>
              </w:rPr>
              <w:t xml:space="preserve"> would impact future purchases of olive oil.</w:t>
            </w:r>
          </w:p>
        </w:tc>
        <w:tc>
          <w:tcPr>
            <w:tcW w:w="1199" w:type="dxa"/>
          </w:tcPr>
          <w:p w:rsidR="00DF60F4" w:rsidRPr="00D475C9" w:rsidP="00DF60F4" w14:paraId="6F851FC4" w14:textId="1680B2B5">
            <w:pPr>
              <w:pStyle w:val="TableParagraph"/>
              <w:spacing w:line="252" w:lineRule="auto"/>
              <w:ind w:right="121"/>
              <w:rPr>
                <w:rFonts w:eastAsia="Times New Roman"/>
                <w:sz w:val="12"/>
                <w:szCs w:val="12"/>
              </w:rPr>
            </w:pPr>
            <w:r>
              <w:rPr>
                <w:rFonts w:eastAsia="Times New Roman"/>
                <w:sz w:val="12"/>
                <w:szCs w:val="12"/>
              </w:rPr>
              <w:t>Nutri-Score</w:t>
            </w:r>
          </w:p>
        </w:tc>
        <w:tc>
          <w:tcPr>
            <w:tcW w:w="1204" w:type="dxa"/>
          </w:tcPr>
          <w:p w:rsidR="00DF60F4" w:rsidRPr="0079161F" w:rsidP="00DF60F4" w14:paraId="6120834F" w14:textId="5B6B9340">
            <w:pPr>
              <w:pStyle w:val="TableParagraph"/>
              <w:ind w:left="175"/>
              <w:rPr>
                <w:rFonts w:eastAsia="Times New Roman"/>
                <w:sz w:val="12"/>
                <w:szCs w:val="12"/>
              </w:rPr>
            </w:pPr>
            <w:r w:rsidRPr="00D475C9">
              <w:rPr>
                <w:rFonts w:ascii="Times New Roman" w:eastAsia="Times New Roman" w:hAnsi="Times New Roman" w:cs="Times New Roman"/>
                <w:noProof/>
                <w:color w:val="000000"/>
                <w:sz w:val="12"/>
                <w:szCs w:val="12"/>
              </w:rPr>
              <w:drawing>
                <wp:anchor distT="0" distB="0" distL="114300" distR="114300" simplePos="0" relativeHeight="251687936" behindDoc="0" locked="0" layoutInCell="1" allowOverlap="1">
                  <wp:simplePos x="0" y="0"/>
                  <wp:positionH relativeFrom="column">
                    <wp:posOffset>-1905</wp:posOffset>
                  </wp:positionH>
                  <wp:positionV relativeFrom="paragraph">
                    <wp:posOffset>4445</wp:posOffset>
                  </wp:positionV>
                  <wp:extent cx="647700" cy="238125"/>
                  <wp:effectExtent l="0" t="0" r="0" b="9525"/>
                  <wp:wrapNone/>
                  <wp:docPr id="161" name="Picture 161" descr="Graphical user interface&#10;&#10;Description automatically generated with medium confidence">
                    <a:extLst xmlns:a="http://schemas.openxmlformats.org/drawingml/2006/main">
                      <a:ext xmlns:a="http://schemas.openxmlformats.org/drawingml/2006/main" uri="{FF2B5EF4-FFF2-40B4-BE49-F238E27FC236}">
                        <a16:creationId xmlns:a16="http://schemas.microsoft.com/office/drawing/2014/main" id="{04833AF8-41C6-4DA5-857B-AD5E2B9E9AA4}"/>
                      </a:ext>
                    </a:extLst>
                  </wp:docPr>
                  <wp:cNvGraphicFramePr/>
                  <a:graphic xmlns:a="http://schemas.openxmlformats.org/drawingml/2006/main">
                    <a:graphicData uri="http://schemas.openxmlformats.org/drawingml/2006/picture">
                      <pic:pic xmlns:pic="http://schemas.openxmlformats.org/drawingml/2006/picture">
                        <pic:nvPicPr>
                          <pic:cNvPr id="161" name="Picture 4" descr="Graphical user interface&#10;&#10;Description automatically generated with medium confidence">
                            <a:extLst>
                              <a:ext xmlns:a="http://schemas.openxmlformats.org/drawingml/2006/main" uri="{FF2B5EF4-FFF2-40B4-BE49-F238E27FC236}">
                                <a16:creationId xmlns:a16="http://schemas.microsoft.com/office/drawing/2014/main" id="{04833AF8-41C6-4DA5-857B-AD5E2B9E9AA4}"/>
                              </a:ext>
                            </a:extLst>
                          </pic:cNvPr>
                          <pic:cNvPicPr>
                            <a:picLocks noChangeAspect="1" noChangeArrowheads="1"/>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47700" cy="238125"/>
                          </a:xfrm>
                          <a:prstGeom prst="rect">
                            <a:avLst/>
                          </a:prstGeom>
                          <a:noFill/>
                        </pic:spPr>
                      </pic:pic>
                    </a:graphicData>
                  </a:graphic>
                  <wp14:sizeRelH relativeFrom="page">
                    <wp14:pctWidth>0</wp14:pctWidth>
                  </wp14:sizeRelH>
                  <wp14:sizeRelV relativeFrom="page">
                    <wp14:pctHeight>0</wp14:pctHeight>
                  </wp14:sizeRelV>
                </wp:anchor>
              </w:drawing>
            </w:r>
            <w:r w:rsidRPr="00D475C9">
              <w:rPr>
                <w:rFonts w:eastAsia="Times New Roman"/>
                <w:color w:val="000000"/>
                <w:sz w:val="12"/>
                <w:szCs w:val="12"/>
              </w:rPr>
              <w:t> </w:t>
            </w:r>
          </w:p>
        </w:tc>
        <w:tc>
          <w:tcPr>
            <w:tcW w:w="550" w:type="dxa"/>
          </w:tcPr>
          <w:p w:rsidR="00DF60F4" w:rsidRPr="00D475C9" w:rsidP="00DF60F4" w14:paraId="375A5720" w14:textId="65CA250D">
            <w:pPr>
              <w:pStyle w:val="TableParagraph"/>
              <w:spacing w:line="140" w:lineRule="exact"/>
              <w:ind w:left="0" w:right="39"/>
              <w:jc w:val="center"/>
              <w:rPr>
                <w:rFonts w:eastAsia="Times New Roman"/>
                <w:sz w:val="12"/>
                <w:szCs w:val="12"/>
              </w:rPr>
            </w:pPr>
            <w:r w:rsidRPr="00D475C9">
              <w:rPr>
                <w:rFonts w:eastAsia="Times New Roman"/>
                <w:sz w:val="12"/>
                <w:szCs w:val="12"/>
              </w:rPr>
              <w:t>Spain</w:t>
            </w:r>
          </w:p>
        </w:tc>
        <w:tc>
          <w:tcPr>
            <w:tcW w:w="3487" w:type="dxa"/>
          </w:tcPr>
          <w:p w:rsidR="00DF60F4" w:rsidRPr="00D475C9" w:rsidP="00DF60F4" w14:paraId="1FCD2FE8" w14:textId="5FEA5FDE">
            <w:pPr>
              <w:pStyle w:val="TableParagraph"/>
              <w:spacing w:line="252" w:lineRule="auto"/>
              <w:rPr>
                <w:rFonts w:eastAsia="Times New Roman"/>
                <w:sz w:val="12"/>
                <w:szCs w:val="12"/>
              </w:rPr>
            </w:pPr>
            <w:r w:rsidRPr="00D475C9">
              <w:rPr>
                <w:rFonts w:eastAsia="Times New Roman"/>
                <w:sz w:val="12"/>
                <w:szCs w:val="12"/>
              </w:rPr>
              <w:t xml:space="preserve">80% felt </w:t>
            </w:r>
            <w:r w:rsidR="004B6E26">
              <w:rPr>
                <w:rFonts w:eastAsia="Times New Roman"/>
                <w:sz w:val="12"/>
                <w:szCs w:val="12"/>
              </w:rPr>
              <w:t>Nutri-Score</w:t>
            </w:r>
            <w:r w:rsidRPr="00D475C9">
              <w:rPr>
                <w:rFonts w:eastAsia="Times New Roman"/>
                <w:sz w:val="12"/>
                <w:szCs w:val="12"/>
              </w:rPr>
              <w:t xml:space="preserve"> was useful</w:t>
            </w:r>
            <w:r w:rsidRPr="00D475C9">
              <w:rPr>
                <w:rFonts w:eastAsia="Times New Roman"/>
                <w:sz w:val="12"/>
                <w:szCs w:val="12"/>
              </w:rPr>
              <w:br/>
              <w:t>89% identified olive oil as one of the added fats with best nutritional quality</w:t>
            </w:r>
            <w:r w:rsidRPr="00D475C9">
              <w:rPr>
                <w:rFonts w:eastAsia="Times New Roman"/>
                <w:sz w:val="12"/>
                <w:szCs w:val="12"/>
              </w:rPr>
              <w:br/>
              <w:t xml:space="preserve">86% stated they would buy olive oil most frequently; 71% stated they would keep consuming olive oil despite being reminded that the </w:t>
            </w:r>
            <w:r w:rsidR="004B6E26">
              <w:rPr>
                <w:rFonts w:eastAsia="Times New Roman"/>
                <w:sz w:val="12"/>
                <w:szCs w:val="12"/>
              </w:rPr>
              <w:t>Nutri-Score</w:t>
            </w:r>
            <w:r w:rsidRPr="00D475C9">
              <w:rPr>
                <w:rFonts w:eastAsia="Times New Roman"/>
                <w:sz w:val="12"/>
                <w:szCs w:val="12"/>
              </w:rPr>
              <w:t xml:space="preserve"> grade was C</w:t>
            </w:r>
          </w:p>
        </w:tc>
      </w:tr>
      <w:tr w14:paraId="2F8816DA" w14:textId="77777777" w:rsidTr="0079161F">
        <w:tblPrEx>
          <w:tblW w:w="0" w:type="auto"/>
          <w:tblInd w:w="100" w:type="dxa"/>
          <w:tblLayout w:type="fixed"/>
          <w:tblCellMar>
            <w:left w:w="0" w:type="dxa"/>
            <w:right w:w="0" w:type="dxa"/>
          </w:tblCellMar>
          <w:tblLook w:val="01E0"/>
        </w:tblPrEx>
        <w:trPr>
          <w:trHeight w:val="1128"/>
        </w:trPr>
        <w:tc>
          <w:tcPr>
            <w:tcW w:w="1036" w:type="dxa"/>
          </w:tcPr>
          <w:p w:rsidR="00DF60F4" w:rsidRPr="0079161F" w:rsidP="00DF60F4" w14:paraId="790C95AE" w14:textId="6A7E592F">
            <w:pPr>
              <w:pStyle w:val="TableParagraph"/>
              <w:spacing w:line="252" w:lineRule="auto"/>
              <w:ind w:right="133"/>
              <w:rPr>
                <w:rFonts w:eastAsia="Times New Roman"/>
                <w:sz w:val="12"/>
                <w:szCs w:val="12"/>
              </w:rPr>
            </w:pPr>
            <w:r w:rsidRPr="00D475C9">
              <w:rPr>
                <w:rFonts w:eastAsia="Times New Roman"/>
                <w:color w:val="000000"/>
                <w:sz w:val="12"/>
                <w:szCs w:val="12"/>
              </w:rPr>
              <w:t>Folkvord, et al.</w:t>
            </w:r>
          </w:p>
        </w:tc>
        <w:tc>
          <w:tcPr>
            <w:tcW w:w="2101" w:type="dxa"/>
          </w:tcPr>
          <w:p w:rsidR="00DF60F4" w:rsidRPr="0079161F" w:rsidP="00DF60F4" w14:paraId="72D72AF8" w14:textId="3D6CC1C8">
            <w:pPr>
              <w:pStyle w:val="TableParagraph"/>
              <w:spacing w:line="252" w:lineRule="auto"/>
              <w:ind w:right="102"/>
              <w:rPr>
                <w:rFonts w:eastAsia="Times New Roman"/>
                <w:sz w:val="12"/>
                <w:szCs w:val="12"/>
              </w:rPr>
            </w:pPr>
            <w:r w:rsidRPr="00D475C9">
              <w:rPr>
                <w:rFonts w:eastAsia="Times New Roman"/>
                <w:color w:val="000000"/>
                <w:sz w:val="12"/>
                <w:szCs w:val="12"/>
              </w:rPr>
              <w:t xml:space="preserve">The effect of the </w:t>
            </w:r>
            <w:r w:rsidR="004B6E26">
              <w:rPr>
                <w:rFonts w:eastAsia="Times New Roman"/>
                <w:color w:val="000000"/>
                <w:sz w:val="12"/>
                <w:szCs w:val="12"/>
              </w:rPr>
              <w:t>Nutri-Score</w:t>
            </w:r>
            <w:r w:rsidRPr="00D475C9">
              <w:rPr>
                <w:rFonts w:eastAsia="Times New Roman"/>
                <w:color w:val="000000"/>
                <w:sz w:val="12"/>
                <w:szCs w:val="12"/>
              </w:rPr>
              <w:t xml:space="preserve"> label on consumer’s attitudes, taste perception and purchase intention: An experimental pilot study</w:t>
            </w:r>
          </w:p>
        </w:tc>
        <w:tc>
          <w:tcPr>
            <w:tcW w:w="333" w:type="dxa"/>
          </w:tcPr>
          <w:p w:rsidR="00DF60F4" w:rsidRPr="0079161F" w:rsidP="00DF60F4" w14:paraId="4398688D" w14:textId="32E543C4">
            <w:pPr>
              <w:pStyle w:val="TableParagraph"/>
              <w:spacing w:line="140" w:lineRule="exact"/>
              <w:ind w:left="36"/>
              <w:rPr>
                <w:rFonts w:eastAsia="Times New Roman"/>
                <w:sz w:val="12"/>
                <w:szCs w:val="12"/>
              </w:rPr>
            </w:pPr>
            <w:r w:rsidRPr="00D475C9">
              <w:rPr>
                <w:rFonts w:eastAsia="Times New Roman"/>
                <w:color w:val="00B050"/>
                <w:sz w:val="12"/>
                <w:szCs w:val="12"/>
              </w:rPr>
              <w:t>2021</w:t>
            </w:r>
          </w:p>
        </w:tc>
        <w:tc>
          <w:tcPr>
            <w:tcW w:w="3555" w:type="dxa"/>
          </w:tcPr>
          <w:p w:rsidR="00DF60F4" w:rsidRPr="00D475C9" w:rsidP="00DF60F4" w14:paraId="48EFB7D2" w14:textId="1052F259">
            <w:pPr>
              <w:pStyle w:val="TableParagraph"/>
              <w:spacing w:line="252" w:lineRule="auto"/>
              <w:ind w:left="29" w:right="173"/>
              <w:rPr>
                <w:rFonts w:eastAsia="Times New Roman"/>
                <w:sz w:val="12"/>
                <w:szCs w:val="12"/>
              </w:rPr>
            </w:pPr>
            <w:r w:rsidRPr="00D475C9">
              <w:rPr>
                <w:rFonts w:eastAsia="Times New Roman"/>
                <w:sz w:val="12"/>
                <w:szCs w:val="12"/>
              </w:rPr>
              <w:t>Quantitative and Qualitative</w:t>
            </w:r>
            <w:r w:rsidRPr="00D475C9">
              <w:rPr>
                <w:rFonts w:eastAsia="Times New Roman"/>
                <w:sz w:val="12"/>
                <w:szCs w:val="12"/>
              </w:rPr>
              <w:br/>
              <w:t xml:space="preserve">1. Quantitative: 196 participants answered questions about their attitude, taste perception, and purchase intention of 3 snacks, both with and without </w:t>
            </w:r>
            <w:r w:rsidR="004B6E26">
              <w:rPr>
                <w:rFonts w:eastAsia="Times New Roman"/>
                <w:sz w:val="12"/>
                <w:szCs w:val="12"/>
              </w:rPr>
              <w:t>Nutri-Score</w:t>
            </w:r>
            <w:r w:rsidRPr="00D475C9">
              <w:rPr>
                <w:rFonts w:eastAsia="Times New Roman"/>
                <w:sz w:val="12"/>
                <w:szCs w:val="12"/>
              </w:rPr>
              <w:t xml:space="preserve"> labels</w:t>
            </w:r>
            <w:r w:rsidRPr="00D475C9">
              <w:rPr>
                <w:rFonts w:eastAsia="Times New Roman"/>
                <w:sz w:val="12"/>
                <w:szCs w:val="12"/>
              </w:rPr>
              <w:br/>
              <w:t>2. Qualitative: participants replying "yes" they saw an additional label on the package answered question describing the additional label.</w:t>
            </w:r>
          </w:p>
        </w:tc>
        <w:tc>
          <w:tcPr>
            <w:tcW w:w="1199" w:type="dxa"/>
          </w:tcPr>
          <w:p w:rsidR="00DF60F4" w:rsidRPr="00D475C9" w:rsidP="00DF60F4" w14:paraId="2F6BE1E2" w14:textId="5927E7E5">
            <w:pPr>
              <w:pStyle w:val="TableParagraph"/>
              <w:spacing w:line="252" w:lineRule="auto"/>
              <w:ind w:right="121"/>
              <w:rPr>
                <w:rFonts w:eastAsia="Times New Roman"/>
                <w:sz w:val="12"/>
                <w:szCs w:val="12"/>
              </w:rPr>
            </w:pPr>
            <w:r>
              <w:rPr>
                <w:rFonts w:eastAsia="Times New Roman"/>
                <w:sz w:val="12"/>
                <w:szCs w:val="12"/>
              </w:rPr>
              <w:t>Nutri-Score</w:t>
            </w:r>
          </w:p>
        </w:tc>
        <w:tc>
          <w:tcPr>
            <w:tcW w:w="1204" w:type="dxa"/>
          </w:tcPr>
          <w:p w:rsidR="00DF60F4" w:rsidRPr="0079161F" w:rsidP="00DF60F4" w14:paraId="58C578D6" w14:textId="1A024B91">
            <w:pPr>
              <w:pStyle w:val="TableParagraph"/>
              <w:ind w:left="175"/>
              <w:rPr>
                <w:rFonts w:eastAsia="Times New Roman"/>
                <w:sz w:val="12"/>
                <w:szCs w:val="12"/>
              </w:rPr>
            </w:pPr>
            <w:r w:rsidRPr="00D475C9">
              <w:rPr>
                <w:rFonts w:ascii="Times New Roman" w:eastAsia="Times New Roman" w:hAnsi="Times New Roman" w:cs="Times New Roman"/>
                <w:noProof/>
                <w:color w:val="000000"/>
                <w:sz w:val="12"/>
                <w:szCs w:val="12"/>
              </w:rPr>
              <w:drawing>
                <wp:anchor distT="0" distB="0" distL="114300" distR="114300" simplePos="0" relativeHeight="251688960" behindDoc="0" locked="0" layoutInCell="1" allowOverlap="1">
                  <wp:simplePos x="0" y="0"/>
                  <wp:positionH relativeFrom="column">
                    <wp:posOffset>-1905</wp:posOffset>
                  </wp:positionH>
                  <wp:positionV relativeFrom="paragraph">
                    <wp:posOffset>7620</wp:posOffset>
                  </wp:positionV>
                  <wp:extent cx="647700" cy="238125"/>
                  <wp:effectExtent l="0" t="0" r="0" b="9525"/>
                  <wp:wrapNone/>
                  <wp:docPr id="162" name="Picture 162" descr="Graphical user interface&#10;&#10;Description automatically generated with medium confidence">
                    <a:extLst xmlns:a="http://schemas.openxmlformats.org/drawingml/2006/main">
                      <a:ext xmlns:a="http://schemas.openxmlformats.org/drawingml/2006/main" uri="{FF2B5EF4-FFF2-40B4-BE49-F238E27FC236}">
                        <a16:creationId xmlns:a16="http://schemas.microsoft.com/office/drawing/2014/main" id="{04833AF8-41C6-4DA5-857B-AD5E2B9E9AA4}"/>
                      </a:ext>
                    </a:extLst>
                  </wp:docPr>
                  <wp:cNvGraphicFramePr/>
                  <a:graphic xmlns:a="http://schemas.openxmlformats.org/drawingml/2006/main">
                    <a:graphicData uri="http://schemas.openxmlformats.org/drawingml/2006/picture">
                      <pic:pic xmlns:pic="http://schemas.openxmlformats.org/drawingml/2006/picture">
                        <pic:nvPicPr>
                          <pic:cNvPr id="162" name="Picture 4" descr="Graphical user interface&#10;&#10;Description automatically generated with medium confidence">
                            <a:extLst>
                              <a:ext xmlns:a="http://schemas.openxmlformats.org/drawingml/2006/main" uri="{FF2B5EF4-FFF2-40B4-BE49-F238E27FC236}">
                                <a16:creationId xmlns:a16="http://schemas.microsoft.com/office/drawing/2014/main" id="{04833AF8-41C6-4DA5-857B-AD5E2B9E9AA4}"/>
                              </a:ext>
                            </a:extLst>
                          </pic:cNvPr>
                          <pic:cNvPicPr>
                            <a:picLocks noChangeAspect="1" noChangeArrowheads="1"/>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47700" cy="238125"/>
                          </a:xfrm>
                          <a:prstGeom prst="rect">
                            <a:avLst/>
                          </a:prstGeom>
                          <a:noFill/>
                        </pic:spPr>
                      </pic:pic>
                    </a:graphicData>
                  </a:graphic>
                  <wp14:sizeRelH relativeFrom="page">
                    <wp14:pctWidth>0</wp14:pctWidth>
                  </wp14:sizeRelH>
                  <wp14:sizeRelV relativeFrom="page">
                    <wp14:pctHeight>0</wp14:pctHeight>
                  </wp14:sizeRelV>
                </wp:anchor>
              </w:drawing>
            </w:r>
          </w:p>
        </w:tc>
        <w:tc>
          <w:tcPr>
            <w:tcW w:w="550" w:type="dxa"/>
          </w:tcPr>
          <w:p w:rsidR="00DF60F4" w:rsidRPr="00D475C9" w:rsidP="00DF60F4" w14:paraId="2AB98C80" w14:textId="407893A6">
            <w:pPr>
              <w:pStyle w:val="TableParagraph"/>
              <w:spacing w:line="140" w:lineRule="exact"/>
              <w:ind w:left="0" w:right="39"/>
              <w:jc w:val="center"/>
              <w:rPr>
                <w:rFonts w:eastAsia="Times New Roman"/>
                <w:sz w:val="12"/>
                <w:szCs w:val="12"/>
              </w:rPr>
            </w:pPr>
            <w:r w:rsidRPr="00D475C9">
              <w:rPr>
                <w:rFonts w:eastAsia="Times New Roman"/>
                <w:sz w:val="12"/>
                <w:szCs w:val="12"/>
              </w:rPr>
              <w:t>The Netherlands</w:t>
            </w:r>
          </w:p>
        </w:tc>
        <w:tc>
          <w:tcPr>
            <w:tcW w:w="3487" w:type="dxa"/>
          </w:tcPr>
          <w:p w:rsidR="00DF60F4" w:rsidRPr="00D475C9" w:rsidP="00DF60F4" w14:paraId="2B4FCD6A" w14:textId="6AF8126E">
            <w:pPr>
              <w:pStyle w:val="TableParagraph"/>
              <w:spacing w:line="252" w:lineRule="auto"/>
              <w:rPr>
                <w:rFonts w:eastAsia="Times New Roman"/>
                <w:sz w:val="12"/>
                <w:szCs w:val="12"/>
              </w:rPr>
            </w:pPr>
            <w:r>
              <w:rPr>
                <w:rFonts w:eastAsia="Times New Roman"/>
                <w:sz w:val="12"/>
                <w:szCs w:val="12"/>
              </w:rPr>
              <w:t>Nutri-Score</w:t>
            </w:r>
            <w:r w:rsidRPr="00D475C9">
              <w:rPr>
                <w:rFonts w:eastAsia="Times New Roman"/>
                <w:sz w:val="12"/>
                <w:szCs w:val="12"/>
              </w:rPr>
              <w:t xml:space="preserve"> label had no effect on consumers' attitudes, taste </w:t>
            </w:r>
            <w:r w:rsidRPr="00D475C9" w:rsidR="00D64890">
              <w:rPr>
                <w:rFonts w:eastAsia="Times New Roman"/>
                <w:sz w:val="12"/>
                <w:szCs w:val="12"/>
              </w:rPr>
              <w:t>perception,</w:t>
            </w:r>
            <w:r w:rsidRPr="00D475C9">
              <w:rPr>
                <w:rFonts w:eastAsia="Times New Roman"/>
                <w:sz w:val="12"/>
                <w:szCs w:val="12"/>
              </w:rPr>
              <w:t xml:space="preserve"> and purchase intention.</w:t>
            </w:r>
          </w:p>
        </w:tc>
      </w:tr>
      <w:tr w14:paraId="53CD055B" w14:textId="77777777" w:rsidTr="0079161F">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7AB5822D" w14:textId="6E7E6203">
            <w:pPr>
              <w:pStyle w:val="TableParagraph"/>
              <w:spacing w:line="252" w:lineRule="auto"/>
              <w:ind w:right="133"/>
              <w:rPr>
                <w:rFonts w:eastAsia="Times New Roman"/>
                <w:color w:val="000000"/>
                <w:sz w:val="12"/>
                <w:szCs w:val="12"/>
              </w:rPr>
            </w:pPr>
            <w:r w:rsidRPr="00D475C9">
              <w:rPr>
                <w:rFonts w:eastAsia="Times New Roman"/>
                <w:color w:val="000000"/>
                <w:sz w:val="12"/>
                <w:szCs w:val="12"/>
              </w:rPr>
              <w:t>Goiana-da-Silva, et al.</w:t>
            </w:r>
          </w:p>
        </w:tc>
        <w:tc>
          <w:tcPr>
            <w:tcW w:w="2101" w:type="dxa"/>
          </w:tcPr>
          <w:p w:rsidR="00DF60F4" w:rsidRPr="00D475C9" w:rsidP="00DF60F4" w14:paraId="204FF75A" w14:textId="49E808C9">
            <w:pPr>
              <w:pStyle w:val="TableParagraph"/>
              <w:spacing w:line="252" w:lineRule="auto"/>
              <w:ind w:right="102"/>
              <w:rPr>
                <w:rFonts w:eastAsia="Times New Roman"/>
                <w:color w:val="000000"/>
                <w:sz w:val="12"/>
                <w:szCs w:val="12"/>
              </w:rPr>
            </w:pPr>
            <w:r>
              <w:rPr>
                <w:rFonts w:eastAsia="Times New Roman"/>
                <w:color w:val="000000"/>
                <w:sz w:val="12"/>
                <w:szCs w:val="12"/>
              </w:rPr>
              <w:t>Nutri-Score</w:t>
            </w:r>
            <w:r w:rsidRPr="00D475C9">
              <w:rPr>
                <w:rFonts w:eastAsia="Times New Roman"/>
                <w:color w:val="000000"/>
                <w:sz w:val="12"/>
                <w:szCs w:val="12"/>
              </w:rPr>
              <w:t>: The Most Efficient Front-of-Pack Nutrition Label to Inform Portuguese Consumers on the Nutritional Quality of Foods and Help Them Identify Healthier Options in Purchasing Situations</w:t>
            </w:r>
          </w:p>
        </w:tc>
        <w:tc>
          <w:tcPr>
            <w:tcW w:w="333" w:type="dxa"/>
          </w:tcPr>
          <w:p w:rsidR="00DF60F4" w:rsidRPr="00D475C9" w:rsidP="00DF60F4" w14:paraId="36D10D0A" w14:textId="1B45CC22">
            <w:pPr>
              <w:pStyle w:val="TableParagraph"/>
              <w:spacing w:line="140" w:lineRule="exact"/>
              <w:ind w:left="36"/>
              <w:rPr>
                <w:rFonts w:eastAsia="Times New Roman"/>
                <w:color w:val="00B050"/>
                <w:sz w:val="12"/>
                <w:szCs w:val="12"/>
              </w:rPr>
            </w:pPr>
            <w:r w:rsidRPr="00D475C9">
              <w:rPr>
                <w:rFonts w:eastAsia="Times New Roman"/>
                <w:color w:val="00B050"/>
                <w:sz w:val="12"/>
                <w:szCs w:val="12"/>
              </w:rPr>
              <w:t>2021</w:t>
            </w:r>
          </w:p>
        </w:tc>
        <w:tc>
          <w:tcPr>
            <w:tcW w:w="3555" w:type="dxa"/>
          </w:tcPr>
          <w:p w:rsidR="00DF60F4" w:rsidRPr="00D475C9" w:rsidP="00DF60F4" w14:paraId="0CEE0E34" w14:textId="5FB4FF21">
            <w:pPr>
              <w:pStyle w:val="TableParagraph"/>
              <w:spacing w:line="252" w:lineRule="auto"/>
              <w:ind w:left="29" w:right="173"/>
              <w:rPr>
                <w:rFonts w:eastAsia="Times New Roman"/>
                <w:sz w:val="12"/>
                <w:szCs w:val="12"/>
              </w:rPr>
            </w:pPr>
            <w:r w:rsidRPr="00D475C9">
              <w:rPr>
                <w:rFonts w:eastAsia="Times New Roman"/>
                <w:sz w:val="12"/>
                <w:szCs w:val="12"/>
              </w:rPr>
              <w:t xml:space="preserve">Quantitative </w:t>
            </w:r>
            <w:r w:rsidRPr="00D475C9">
              <w:rPr>
                <w:rFonts w:eastAsia="Times New Roman"/>
                <w:sz w:val="12"/>
                <w:szCs w:val="12"/>
              </w:rPr>
              <w:br/>
              <w:t xml:space="preserve">1. Quantitative: 1059 participants rated healthfulness of food products both with and without labels, and answered questions related to ease of understanding, label visibility, </w:t>
            </w:r>
            <w:r w:rsidRPr="00D475C9">
              <w:rPr>
                <w:rFonts w:eastAsia="Times New Roman"/>
                <w:sz w:val="12"/>
                <w:szCs w:val="12"/>
              </w:rPr>
              <w:t>appreciation</w:t>
            </w:r>
            <w:r w:rsidRPr="00D475C9">
              <w:rPr>
                <w:rFonts w:eastAsia="Times New Roman"/>
                <w:sz w:val="12"/>
                <w:szCs w:val="12"/>
              </w:rPr>
              <w:t xml:space="preserve"> and trust</w:t>
            </w:r>
          </w:p>
        </w:tc>
        <w:tc>
          <w:tcPr>
            <w:tcW w:w="1199" w:type="dxa"/>
          </w:tcPr>
          <w:p w:rsidR="00DF60F4" w:rsidRPr="00D475C9" w:rsidP="00DF60F4" w14:paraId="23A3A501" w14:textId="65A5E68D">
            <w:pPr>
              <w:pStyle w:val="TableParagraph"/>
              <w:spacing w:line="252" w:lineRule="auto"/>
              <w:ind w:right="121"/>
              <w:rPr>
                <w:rFonts w:eastAsia="Times New Roman"/>
                <w:sz w:val="12"/>
                <w:szCs w:val="12"/>
              </w:rPr>
            </w:pPr>
            <w:r w:rsidRPr="00D475C9">
              <w:rPr>
                <w:rFonts w:eastAsia="Times New Roman"/>
                <w:sz w:val="12"/>
                <w:szCs w:val="12"/>
              </w:rPr>
              <w:t>1. Health Star Rating (HSR)</w:t>
            </w:r>
            <w:r w:rsidRPr="00D475C9">
              <w:rPr>
                <w:rFonts w:eastAsia="Times New Roman"/>
                <w:sz w:val="12"/>
                <w:szCs w:val="12"/>
              </w:rPr>
              <w:br/>
              <w:t>2. Multiple Traffic Light (MTL)</w:t>
            </w:r>
            <w:r w:rsidRPr="00D475C9">
              <w:rPr>
                <w:rFonts w:eastAsia="Times New Roman"/>
                <w:sz w:val="12"/>
                <w:szCs w:val="12"/>
              </w:rPr>
              <w:br/>
              <w:t xml:space="preserve">3. </w:t>
            </w:r>
            <w:r w:rsidR="004B6E26">
              <w:rPr>
                <w:rFonts w:eastAsia="Times New Roman"/>
                <w:sz w:val="12"/>
                <w:szCs w:val="12"/>
              </w:rPr>
              <w:t>Nutri-Score</w:t>
            </w:r>
            <w:r w:rsidRPr="00D475C9">
              <w:rPr>
                <w:rFonts w:eastAsia="Times New Roman"/>
                <w:sz w:val="12"/>
                <w:szCs w:val="12"/>
              </w:rPr>
              <w:br/>
              <w:t>4. Reference Intakes label (RI)</w:t>
            </w:r>
            <w:r w:rsidRPr="00D475C9">
              <w:rPr>
                <w:rFonts w:eastAsia="Times New Roman"/>
                <w:sz w:val="12"/>
                <w:szCs w:val="12"/>
              </w:rPr>
              <w:br/>
              <w:t>5. Warning symbol (black octagon)</w:t>
            </w:r>
          </w:p>
        </w:tc>
        <w:tc>
          <w:tcPr>
            <w:tcW w:w="1204" w:type="dxa"/>
          </w:tcPr>
          <w:p w:rsidR="00DF60F4" w:rsidRPr="00D475C9" w:rsidP="00DF60F4" w14:paraId="57FDCF1C" w14:textId="1E75F683">
            <w:pPr>
              <w:pStyle w:val="TableParagraph"/>
              <w:ind w:left="175"/>
              <w:rPr>
                <w:rFonts w:ascii="Times New Roman" w:eastAsia="Times New Roman" w:hAnsi="Times New Roman" w:cs="Times New Roman"/>
                <w:noProof/>
                <w:color w:val="000000"/>
                <w:sz w:val="12"/>
                <w:szCs w:val="12"/>
              </w:rPr>
            </w:pPr>
            <w:r w:rsidRPr="00D475C9">
              <w:rPr>
                <w:rFonts w:eastAsia="Times New Roman"/>
                <w:noProof/>
                <w:color w:val="000000"/>
                <w:sz w:val="12"/>
                <w:szCs w:val="12"/>
              </w:rPr>
              <mc:AlternateContent>
                <mc:Choice Requires="wpg">
                  <w:drawing>
                    <wp:anchor distT="0" distB="0" distL="114300" distR="114300" simplePos="0" relativeHeight="251689984" behindDoc="0" locked="0" layoutInCell="1" allowOverlap="1">
                      <wp:simplePos x="0" y="0"/>
                      <wp:positionH relativeFrom="column">
                        <wp:posOffset>38100</wp:posOffset>
                      </wp:positionH>
                      <wp:positionV relativeFrom="paragraph">
                        <wp:posOffset>28575</wp:posOffset>
                      </wp:positionV>
                      <wp:extent cx="640080" cy="384048"/>
                      <wp:effectExtent l="0" t="0" r="7620" b="0"/>
                      <wp:wrapNone/>
                      <wp:docPr id="143" name="Group 143"/>
                      <wp:cNvGraphicFramePr>
                        <a:graphicFrameLocks xmlns:a="http://schemas.openxmlformats.org/drawingml/2006/main" noChangeAspect="1"/>
                      </wp:cNvGraphicFramePr>
                      <a:graphic xmlns:a="http://schemas.openxmlformats.org/drawingml/2006/main">
                        <a:graphicData uri="http://schemas.microsoft.com/office/word/2010/wordprocessingGroup">
                          <wpg:wgp xmlns:wpg="http://schemas.microsoft.com/office/word/2010/wordprocessingGroup">
                            <wpg:cNvGrpSpPr>
                              <a:grpSpLocks noChangeAspect="1"/>
                            </wpg:cNvGrpSpPr>
                            <wpg:grpSpPr>
                              <a:xfrm>
                                <a:off x="0" y="0"/>
                                <a:ext cx="640080" cy="384048"/>
                                <a:chOff x="0" y="0"/>
                                <a:chExt cx="1924015" cy="1365139"/>
                              </a:xfrm>
                            </wpg:grpSpPr>
                            <pic:pic xmlns:pic="http://schemas.openxmlformats.org/drawingml/2006/picture">
                              <pic:nvPicPr>
                                <pic:cNvPr id="144" name="Picture 144"/>
                                <pic:cNvPicPr>
                                  <a:picLocks noChangeAspect="1"/>
                                </pic:cNvPicPr>
                              </pic:nvPicPr>
                              <pic:blipFill>
                                <a:blip xmlns:r="http://schemas.openxmlformats.org/officeDocument/2006/relationships" r:embed="rId76" cstate="print">
                                  <a:extLst>
                                    <a:ext xmlns:a="http://schemas.openxmlformats.org/drawingml/2006/main" uri="{28A0092B-C50C-407E-A947-70E740481C1C}">
                                      <a14:useLocalDpi xmlns:a14="http://schemas.microsoft.com/office/drawing/2010/main" val="0"/>
                                    </a:ext>
                                  </a:extLst>
                                </a:blip>
                                <a:stretch>
                                  <a:fillRect/>
                                </a:stretch>
                              </pic:blipFill>
                              <pic:spPr>
                                <a:xfrm>
                                  <a:off x="0" y="0"/>
                                  <a:ext cx="935850" cy="1365139"/>
                                </a:xfrm>
                                <a:prstGeom prst="rect">
                                  <a:avLst/>
                                </a:prstGeom>
                              </pic:spPr>
                            </pic:pic>
                            <pic:pic xmlns:pic="http://schemas.openxmlformats.org/drawingml/2006/picture">
                              <pic:nvPicPr>
                                <pic:cNvPr id="145" name="Picture 145"/>
                                <pic:cNvPicPr>
                                  <a:picLocks noChangeAspect="1"/>
                                </pic:cNvPicPr>
                              </pic:nvPicPr>
                              <pic:blipFill>
                                <a:blip xmlns:r="http://schemas.openxmlformats.org/officeDocument/2006/relationships" r:embed="rId77" cstate="print">
                                  <a:extLst>
                                    <a:ext xmlns:a="http://schemas.openxmlformats.org/drawingml/2006/main" uri="{28A0092B-C50C-407E-A947-70E740481C1C}">
                                      <a14:useLocalDpi xmlns:a14="http://schemas.microsoft.com/office/drawing/2010/main" val="0"/>
                                    </a:ext>
                                  </a:extLst>
                                </a:blip>
                                <a:stretch>
                                  <a:fillRect/>
                                </a:stretch>
                              </pic:blipFill>
                              <pic:spPr>
                                <a:xfrm>
                                  <a:off x="1022633" y="100825"/>
                                  <a:ext cx="901382" cy="878416"/>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43" o:spid="_x0000_s1041" style="width:50.4pt;height:30.25pt;margin-top:2.25pt;margin-left:3pt;position:absolute;z-index:251691008" coordsize="19240,13651">
                      <o:lock v:ext="edit" aspectratio="t"/>
                      <v:shape id="Picture 144" o:spid="_x0000_s1042" type="#_x0000_t75" style="width:9358;height:13651;mso-wrap-style:square;position:absolute;visibility:visible">
                        <v:imagedata r:id="rId76" o:title=""/>
                      </v:shape>
                      <v:shape id="Picture 145" o:spid="_x0000_s1043" type="#_x0000_t75" style="width:9014;height:8784;left:10226;mso-wrap-style:square;position:absolute;top:1008;visibility:visible">
                        <v:imagedata r:id="rId77" o:title=""/>
                      </v:shape>
                    </v:group>
                  </w:pict>
                </mc:Fallback>
              </mc:AlternateContent>
            </w:r>
          </w:p>
        </w:tc>
        <w:tc>
          <w:tcPr>
            <w:tcW w:w="550" w:type="dxa"/>
          </w:tcPr>
          <w:p w:rsidR="00DF60F4" w:rsidRPr="00D475C9" w:rsidP="00DF60F4" w14:paraId="3EFF4468" w14:textId="6780D76A">
            <w:pPr>
              <w:pStyle w:val="TableParagraph"/>
              <w:spacing w:line="140" w:lineRule="exact"/>
              <w:ind w:left="0" w:right="39"/>
              <w:jc w:val="center"/>
              <w:rPr>
                <w:rFonts w:eastAsia="Times New Roman"/>
                <w:sz w:val="12"/>
                <w:szCs w:val="12"/>
              </w:rPr>
            </w:pPr>
            <w:r w:rsidRPr="00D475C9">
              <w:rPr>
                <w:rFonts w:eastAsia="Times New Roman"/>
                <w:sz w:val="12"/>
                <w:szCs w:val="12"/>
              </w:rPr>
              <w:t>Portugal</w:t>
            </w:r>
          </w:p>
        </w:tc>
        <w:tc>
          <w:tcPr>
            <w:tcW w:w="3487" w:type="dxa"/>
          </w:tcPr>
          <w:p w:rsidR="00DF60F4" w:rsidRPr="00D475C9" w:rsidP="00DF60F4" w14:paraId="61F01E73" w14:textId="0A124F50">
            <w:pPr>
              <w:pStyle w:val="TableParagraph"/>
              <w:spacing w:line="252" w:lineRule="auto"/>
              <w:rPr>
                <w:rFonts w:eastAsia="Times New Roman"/>
                <w:sz w:val="12"/>
                <w:szCs w:val="12"/>
              </w:rPr>
            </w:pPr>
            <w:r w:rsidRPr="00D475C9">
              <w:rPr>
                <w:rFonts w:eastAsia="Times New Roman"/>
                <w:sz w:val="12"/>
                <w:szCs w:val="12"/>
              </w:rPr>
              <w:t xml:space="preserve">1. All 5 </w:t>
            </w:r>
            <w:r w:rsidR="004B6E26">
              <w:rPr>
                <w:rFonts w:eastAsia="Times New Roman"/>
                <w:sz w:val="12"/>
                <w:szCs w:val="12"/>
              </w:rPr>
              <w:t>FOP</w:t>
            </w:r>
            <w:r w:rsidRPr="00D475C9">
              <w:rPr>
                <w:rFonts w:eastAsia="Times New Roman"/>
                <w:sz w:val="12"/>
                <w:szCs w:val="12"/>
              </w:rPr>
              <w:t>s led to better ranking of healthfulness compared to no label</w:t>
            </w:r>
            <w:r w:rsidRPr="00D475C9">
              <w:rPr>
                <w:rFonts w:eastAsia="Times New Roman"/>
                <w:sz w:val="12"/>
                <w:szCs w:val="12"/>
              </w:rPr>
              <w:br/>
              <w:t xml:space="preserve">2. </w:t>
            </w:r>
            <w:r w:rsidR="004B6E26">
              <w:rPr>
                <w:rFonts w:eastAsia="Times New Roman"/>
                <w:sz w:val="12"/>
                <w:szCs w:val="12"/>
              </w:rPr>
              <w:t>Nutri-Score</w:t>
            </w:r>
            <w:r w:rsidRPr="00D475C9">
              <w:rPr>
                <w:rFonts w:eastAsia="Times New Roman"/>
                <w:sz w:val="12"/>
                <w:szCs w:val="12"/>
              </w:rPr>
              <w:t xml:space="preserve"> had highest improvement on correctly ranking products, was the most efficient in improving food choice, was effective for all three food categories, </w:t>
            </w:r>
            <w:r w:rsidRPr="00D475C9">
              <w:rPr>
                <w:rFonts w:eastAsia="Times New Roman"/>
                <w:sz w:val="12"/>
                <w:szCs w:val="12"/>
              </w:rPr>
              <w:t>and also</w:t>
            </w:r>
            <w:r w:rsidRPr="00D475C9">
              <w:rPr>
                <w:rFonts w:eastAsia="Times New Roman"/>
                <w:sz w:val="12"/>
                <w:szCs w:val="12"/>
              </w:rPr>
              <w:t xml:space="preserve"> most likely to be remembered by participants, less confusing and faster to understand; RIs provided more information and were more trusted compared to </w:t>
            </w:r>
            <w:r w:rsidR="004B6E26">
              <w:rPr>
                <w:rFonts w:eastAsia="Times New Roman"/>
                <w:sz w:val="12"/>
                <w:szCs w:val="12"/>
              </w:rPr>
              <w:t>Nutri-Score</w:t>
            </w:r>
            <w:r w:rsidRPr="00D475C9">
              <w:rPr>
                <w:rFonts w:eastAsia="Times New Roman"/>
                <w:sz w:val="12"/>
                <w:szCs w:val="12"/>
              </w:rPr>
              <w:t xml:space="preserve"> </w:t>
            </w:r>
          </w:p>
        </w:tc>
      </w:tr>
      <w:tr w14:paraId="495C373B" w14:textId="77777777" w:rsidTr="0079161F">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3641E8CA" w14:textId="10E0B8A4">
            <w:pPr>
              <w:pStyle w:val="TableParagraph"/>
              <w:spacing w:line="252" w:lineRule="auto"/>
              <w:ind w:right="133"/>
              <w:rPr>
                <w:rFonts w:eastAsia="Times New Roman"/>
                <w:color w:val="000000"/>
                <w:sz w:val="12"/>
                <w:szCs w:val="12"/>
              </w:rPr>
            </w:pPr>
            <w:r w:rsidRPr="00D475C9">
              <w:rPr>
                <w:rFonts w:eastAsia="Times New Roman"/>
                <w:color w:val="000000"/>
                <w:sz w:val="12"/>
                <w:szCs w:val="12"/>
              </w:rPr>
              <w:t>Hock, et al.</w:t>
            </w:r>
          </w:p>
        </w:tc>
        <w:tc>
          <w:tcPr>
            <w:tcW w:w="2101" w:type="dxa"/>
          </w:tcPr>
          <w:p w:rsidR="00DF60F4" w:rsidRPr="00D475C9" w:rsidP="00DF60F4" w14:paraId="198C643A" w14:textId="18181790">
            <w:pPr>
              <w:pStyle w:val="TableParagraph"/>
              <w:spacing w:line="252" w:lineRule="auto"/>
              <w:ind w:right="102"/>
              <w:rPr>
                <w:rFonts w:eastAsia="Times New Roman"/>
                <w:color w:val="000000"/>
                <w:sz w:val="12"/>
                <w:szCs w:val="12"/>
              </w:rPr>
            </w:pPr>
            <w:r w:rsidRPr="00D475C9">
              <w:rPr>
                <w:rFonts w:eastAsia="Times New Roman"/>
                <w:color w:val="000000"/>
                <w:sz w:val="12"/>
                <w:szCs w:val="12"/>
              </w:rPr>
              <w:t>Experimental study of front-of-package nutrition labels' efficacy on perceived healthfulness of sugar-sweetened beverages among youth in six countries</w:t>
            </w:r>
          </w:p>
        </w:tc>
        <w:tc>
          <w:tcPr>
            <w:tcW w:w="333" w:type="dxa"/>
          </w:tcPr>
          <w:p w:rsidR="00DF60F4" w:rsidRPr="00D475C9" w:rsidP="00DF60F4" w14:paraId="39EDCC8D" w14:textId="6F4CBAB0">
            <w:pPr>
              <w:pStyle w:val="TableParagraph"/>
              <w:spacing w:line="140" w:lineRule="exact"/>
              <w:ind w:left="36"/>
              <w:rPr>
                <w:rFonts w:eastAsia="Times New Roman"/>
                <w:color w:val="00B050"/>
                <w:sz w:val="12"/>
                <w:szCs w:val="12"/>
              </w:rPr>
            </w:pPr>
            <w:r w:rsidRPr="00D475C9">
              <w:rPr>
                <w:rFonts w:eastAsia="Times New Roman"/>
                <w:color w:val="00B050"/>
                <w:sz w:val="12"/>
                <w:szCs w:val="12"/>
              </w:rPr>
              <w:t>2021</w:t>
            </w:r>
          </w:p>
        </w:tc>
        <w:tc>
          <w:tcPr>
            <w:tcW w:w="3555" w:type="dxa"/>
          </w:tcPr>
          <w:p w:rsidR="00DF60F4" w:rsidRPr="00D475C9" w:rsidP="00DF60F4" w14:paraId="72CD2200" w14:textId="6DA2E7CC">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1. 11,108 children (age 10-17) completed online survey asking them to rate the healthfulness of beverages</w:t>
            </w:r>
          </w:p>
        </w:tc>
        <w:tc>
          <w:tcPr>
            <w:tcW w:w="1199" w:type="dxa"/>
          </w:tcPr>
          <w:p w:rsidR="00DF60F4" w:rsidRPr="00D475C9" w:rsidP="00DF60F4" w14:paraId="429E3F9A" w14:textId="7B795659">
            <w:pPr>
              <w:pStyle w:val="TableParagraph"/>
              <w:spacing w:line="252" w:lineRule="auto"/>
              <w:ind w:right="121"/>
              <w:rPr>
                <w:rFonts w:eastAsia="Times New Roman"/>
                <w:sz w:val="12"/>
                <w:szCs w:val="12"/>
              </w:rPr>
            </w:pPr>
            <w:r w:rsidRPr="00D475C9">
              <w:rPr>
                <w:rFonts w:eastAsia="Times New Roman"/>
                <w:sz w:val="12"/>
                <w:szCs w:val="12"/>
              </w:rPr>
              <w:t>1. Health Star Rating (HSR)</w:t>
            </w:r>
            <w:r w:rsidRPr="00D475C9">
              <w:rPr>
                <w:rFonts w:eastAsia="Times New Roman"/>
                <w:sz w:val="12"/>
                <w:szCs w:val="12"/>
              </w:rPr>
              <w:br/>
              <w:t>2. High in Octagon</w:t>
            </w:r>
            <w:r w:rsidRPr="00D475C9">
              <w:rPr>
                <w:rFonts w:eastAsia="Times New Roman"/>
                <w:sz w:val="12"/>
                <w:szCs w:val="12"/>
              </w:rPr>
              <w:br/>
              <w:t>3. Traffic Light</w:t>
            </w:r>
            <w:r w:rsidRPr="00D475C9">
              <w:rPr>
                <w:rFonts w:eastAsia="Times New Roman"/>
                <w:sz w:val="12"/>
                <w:szCs w:val="12"/>
              </w:rPr>
              <w:br/>
              <w:t xml:space="preserve">4. </w:t>
            </w:r>
            <w:r w:rsidR="004B6E26">
              <w:rPr>
                <w:rFonts w:eastAsia="Times New Roman"/>
                <w:sz w:val="12"/>
                <w:szCs w:val="12"/>
              </w:rPr>
              <w:t>Nutri-Score</w:t>
            </w:r>
            <w:r w:rsidRPr="00D475C9">
              <w:rPr>
                <w:rFonts w:eastAsia="Times New Roman"/>
                <w:sz w:val="12"/>
                <w:szCs w:val="12"/>
              </w:rPr>
              <w:br/>
              <w:t>5. Guideline Daily Amount (GDA)</w:t>
            </w:r>
          </w:p>
        </w:tc>
        <w:tc>
          <w:tcPr>
            <w:tcW w:w="1204" w:type="dxa"/>
          </w:tcPr>
          <w:p w:rsidR="00DF60F4" w:rsidRPr="00D475C9" w:rsidP="00DF60F4" w14:paraId="4BFADC79" w14:textId="22730A2D">
            <w:pPr>
              <w:pStyle w:val="TableParagraph"/>
              <w:ind w:left="175"/>
              <w:rPr>
                <w:rFonts w:ascii="Times New Roman" w:eastAsia="Times New Roman" w:hAnsi="Times New Roman" w:cs="Times New Roman"/>
                <w:noProof/>
                <w:color w:val="000000"/>
                <w:sz w:val="12"/>
                <w:szCs w:val="12"/>
              </w:rPr>
            </w:pPr>
            <w:r w:rsidRPr="00D475C9">
              <w:rPr>
                <w:rFonts w:eastAsia="Times New Roman"/>
                <w:noProof/>
                <w:color w:val="000000"/>
                <w:sz w:val="12"/>
                <w:szCs w:val="12"/>
              </w:rPr>
              <mc:AlternateContent>
                <mc:Choice Requires="wpg">
                  <w:drawing>
                    <wp:anchor distT="0" distB="0" distL="114300" distR="114300" simplePos="0" relativeHeight="251692032" behindDoc="0" locked="0" layoutInCell="1" allowOverlap="1">
                      <wp:simplePos x="0" y="0"/>
                      <wp:positionH relativeFrom="column">
                        <wp:posOffset>0</wp:posOffset>
                      </wp:positionH>
                      <wp:positionV relativeFrom="paragraph">
                        <wp:posOffset>47625</wp:posOffset>
                      </wp:positionV>
                      <wp:extent cx="640080" cy="320040"/>
                      <wp:effectExtent l="0" t="0" r="7620" b="3810"/>
                      <wp:wrapNone/>
                      <wp:docPr id="139" name="Group 139"/>
                      <wp:cNvGraphicFramePr>
                        <a:graphicFrameLocks xmlns:a="http://schemas.openxmlformats.org/drawingml/2006/main" noChangeAspect="1"/>
                      </wp:cNvGraphicFramePr>
                      <a:graphic xmlns:a="http://schemas.openxmlformats.org/drawingml/2006/main">
                        <a:graphicData uri="http://schemas.microsoft.com/office/word/2010/wordprocessingGroup">
                          <wpg:wgp xmlns:wpg="http://schemas.microsoft.com/office/word/2010/wordprocessingGroup">
                            <wpg:cNvGrpSpPr>
                              <a:grpSpLocks noChangeAspect="1"/>
                            </wpg:cNvGrpSpPr>
                            <wpg:grpSpPr>
                              <a:xfrm>
                                <a:off x="0" y="0"/>
                                <a:ext cx="640080" cy="320040"/>
                                <a:chOff x="0" y="0"/>
                                <a:chExt cx="1978267" cy="1000124"/>
                              </a:xfrm>
                            </wpg:grpSpPr>
                            <pic:pic xmlns:pic="http://schemas.openxmlformats.org/drawingml/2006/picture">
                              <pic:nvPicPr>
                                <pic:cNvPr id="140" name="Picture 140"/>
                                <pic:cNvPicPr>
                                  <a:picLocks noChangeAspect="1"/>
                                </pic:cNvPicPr>
                              </pic:nvPicPr>
                              <pic:blipFill>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rcRect b="46667"/>
                                <a:stretch>
                                  <a:fillRect/>
                                </a:stretch>
                              </pic:blipFill>
                              <pic:spPr>
                                <a:xfrm>
                                  <a:off x="0" y="0"/>
                                  <a:ext cx="1978267" cy="457200"/>
                                </a:xfrm>
                                <a:prstGeom prst="rect">
                                  <a:avLst/>
                                </a:prstGeom>
                              </pic:spPr>
                            </pic:pic>
                            <pic:pic xmlns:pic="http://schemas.openxmlformats.org/drawingml/2006/picture">
                              <pic:nvPicPr>
                                <pic:cNvPr id="141" name="Picture 141"/>
                                <pic:cNvPicPr>
                                  <a:picLocks noChangeAspect="1"/>
                                </pic:cNvPicPr>
                              </pic:nvPicPr>
                              <pic:blipFill>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rcRect t="46667" r="51370" b="1111"/>
                                <a:stretch>
                                  <a:fillRect/>
                                </a:stretch>
                              </pic:blipFill>
                              <pic:spPr>
                                <a:xfrm>
                                  <a:off x="9525" y="552449"/>
                                  <a:ext cx="962025" cy="447675"/>
                                </a:xfrm>
                                <a:prstGeom prst="rect">
                                  <a:avLst/>
                                </a:prstGeom>
                              </pic:spPr>
                            </pic:pic>
                            <pic:pic xmlns:pic="http://schemas.openxmlformats.org/drawingml/2006/picture">
                              <pic:nvPicPr>
                                <pic:cNvPr id="142" name="Picture 142" descr="Graphical user interface&#10;&#10;Description automatically generated with medium confidence">
                                  <a:extLst>
                                    <a:ext xmlns:a="http://schemas.openxmlformats.org/drawingml/2006/main" uri="{FF2B5EF4-FFF2-40B4-BE49-F238E27FC236}">
                                      <a16:creationId xmlns:a16="http://schemas.microsoft.com/office/drawing/2014/main" id="{04833AF8-41C6-4DA5-857B-AD5E2B9E9AA4}"/>
                                    </a:ext>
                                  </a:extLst>
                                </pic:cNvPr>
                                <pic:cNvPicPr>
                                  <a:picLocks noChangeAspect="1" noChangeArrowheads="1"/>
                                </pic:cNvPicPr>
                              </pic:nvPicPr>
                              <pic:blipFill>
                                <a:blip xmlns:r="http://schemas.openxmlformats.org/officeDocument/2006/relationships" r:embed="rId79" cstate="print">
                                  <a:extLst>
                                    <a:ext xmlns:a="http://schemas.openxmlformats.org/drawingml/2006/main" uri="{28A0092B-C50C-407E-A947-70E740481C1C}">
                                      <a14:useLocalDpi xmlns:a14="http://schemas.microsoft.com/office/drawing/2010/main" val="0"/>
                                    </a:ext>
                                  </a:extLst>
                                </a:blip>
                                <a:stretch>
                                  <a:fillRect/>
                                </a:stretch>
                              </pic:blipFill>
                              <pic:spPr bwMode="auto">
                                <a:xfrm>
                                  <a:off x="1057275" y="619124"/>
                                  <a:ext cx="846185" cy="36195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9" o:spid="_x0000_s1044" style="width:50.4pt;height:25.2pt;margin-top:3.75pt;margin-left:0;position:absolute;z-index:251693056" coordsize="19782,10001">
                      <o:lock v:ext="edit" aspectratio="t"/>
                      <v:shape id="Picture 140" o:spid="_x0000_s1045" type="#_x0000_t75" style="width:19782;height:4572;mso-wrap-style:square;position:absolute;visibility:visible">
                        <v:imagedata r:id="rId78" o:title="" cropbottom="30584f"/>
                      </v:shape>
                      <v:shape id="Picture 141" o:spid="_x0000_s1046" type="#_x0000_t75" style="width:9620;height:4477;left:95;mso-wrap-style:square;position:absolute;top:5524;visibility:visible">
                        <v:imagedata r:id="rId78" o:title="" croptop="30584f" cropbottom="728f" cropright="33666f"/>
                      </v:shape>
                      <v:shape id="Picture 142" o:spid="_x0000_s1047" type="#_x0000_t75" alt="Graphical user interface&#10;&#10;Description automatically generated with medium confidence" style="width:8462;height:3619;left:10572;mso-wrap-style:square;position:absolute;top:6191;visibility:visible">
                        <v:imagedata r:id="rId79" o:title="Graphical user interface&#10;&#10;Description automatically generated with medium confidence"/>
                      </v:shape>
                    </v:group>
                  </w:pict>
                </mc:Fallback>
              </mc:AlternateContent>
            </w:r>
          </w:p>
        </w:tc>
        <w:tc>
          <w:tcPr>
            <w:tcW w:w="550" w:type="dxa"/>
          </w:tcPr>
          <w:p w:rsidR="00DF60F4" w:rsidRPr="00D475C9" w:rsidP="00DF60F4" w14:paraId="71E8EC84" w14:textId="424DA6D1">
            <w:pPr>
              <w:pStyle w:val="TableParagraph"/>
              <w:spacing w:line="140" w:lineRule="exact"/>
              <w:ind w:left="0" w:right="39"/>
              <w:jc w:val="center"/>
              <w:rPr>
                <w:rFonts w:eastAsia="Times New Roman"/>
                <w:sz w:val="12"/>
                <w:szCs w:val="12"/>
              </w:rPr>
            </w:pPr>
            <w:r w:rsidRPr="00D475C9">
              <w:rPr>
                <w:rFonts w:eastAsia="Times New Roman"/>
                <w:sz w:val="12"/>
                <w:szCs w:val="12"/>
              </w:rPr>
              <w:t xml:space="preserve">Australia, Canada, Chile, Mexico, </w:t>
            </w:r>
            <w:r w:rsidRPr="00D475C9">
              <w:rPr>
                <w:rFonts w:eastAsia="Times New Roman"/>
                <w:sz w:val="12"/>
                <w:szCs w:val="12"/>
              </w:rPr>
              <w:t>UK</w:t>
            </w:r>
            <w:r w:rsidRPr="00D475C9">
              <w:rPr>
                <w:rFonts w:eastAsia="Times New Roman"/>
                <w:sz w:val="12"/>
                <w:szCs w:val="12"/>
              </w:rPr>
              <w:t xml:space="preserve"> and US</w:t>
            </w:r>
          </w:p>
        </w:tc>
        <w:tc>
          <w:tcPr>
            <w:tcW w:w="3487" w:type="dxa"/>
          </w:tcPr>
          <w:p w:rsidR="00DF60F4" w:rsidRPr="00D475C9" w:rsidP="00DF60F4" w14:paraId="0FC666A3" w14:textId="0C2DC99F">
            <w:pPr>
              <w:pStyle w:val="TableParagraph"/>
              <w:spacing w:line="252" w:lineRule="auto"/>
              <w:rPr>
                <w:rFonts w:eastAsia="Times New Roman"/>
                <w:sz w:val="12"/>
                <w:szCs w:val="12"/>
              </w:rPr>
            </w:pPr>
            <w:r w:rsidRPr="00D475C9">
              <w:rPr>
                <w:rFonts w:eastAsia="Times New Roman"/>
                <w:sz w:val="12"/>
                <w:szCs w:val="12"/>
              </w:rPr>
              <w:t xml:space="preserve">1. All 5 </w:t>
            </w:r>
            <w:r w:rsidR="004B6E26">
              <w:rPr>
                <w:sz w:val="12"/>
              </w:rPr>
              <w:t>FOP</w:t>
            </w:r>
            <w:r w:rsidR="00D64890">
              <w:rPr>
                <w:sz w:val="12"/>
              </w:rPr>
              <w:t>s</w:t>
            </w:r>
            <w:r w:rsidRPr="005A1B39" w:rsidR="00D64890">
              <w:rPr>
                <w:sz w:val="12"/>
              </w:rPr>
              <w:t xml:space="preserve"> </w:t>
            </w:r>
            <w:r w:rsidRPr="00D475C9">
              <w:rPr>
                <w:rFonts w:eastAsia="Times New Roman"/>
                <w:sz w:val="12"/>
                <w:szCs w:val="12"/>
              </w:rPr>
              <w:t>effective in reducing the perceived healthfulness of sugar-sweetened beverages</w:t>
            </w:r>
            <w:r w:rsidRPr="00D475C9">
              <w:rPr>
                <w:rFonts w:eastAsia="Times New Roman"/>
                <w:sz w:val="12"/>
                <w:szCs w:val="12"/>
              </w:rPr>
              <w:br/>
              <w:t>2. "High in" Octagon had greatest impact on perceived healthfulness</w:t>
            </w:r>
          </w:p>
        </w:tc>
      </w:tr>
      <w:tr w14:paraId="2452A9AD" w14:textId="77777777" w:rsidTr="0079161F">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51F84C7F" w14:textId="7877A6BD">
            <w:pPr>
              <w:pStyle w:val="TableParagraph"/>
              <w:spacing w:line="252" w:lineRule="auto"/>
              <w:ind w:right="133"/>
              <w:rPr>
                <w:rFonts w:eastAsia="Times New Roman"/>
                <w:color w:val="000000"/>
                <w:sz w:val="12"/>
                <w:szCs w:val="12"/>
              </w:rPr>
            </w:pPr>
            <w:r w:rsidRPr="00D475C9">
              <w:rPr>
                <w:rFonts w:eastAsia="Times New Roman"/>
                <w:sz w:val="12"/>
                <w:szCs w:val="12"/>
              </w:rPr>
              <w:t>International Food Information Council</w:t>
            </w:r>
          </w:p>
        </w:tc>
        <w:tc>
          <w:tcPr>
            <w:tcW w:w="2101" w:type="dxa"/>
          </w:tcPr>
          <w:p w:rsidR="00DF60F4" w:rsidRPr="00D475C9" w:rsidP="00DF60F4" w14:paraId="3D9B72A9" w14:textId="2144A429">
            <w:pPr>
              <w:pStyle w:val="TableParagraph"/>
              <w:spacing w:line="252" w:lineRule="auto"/>
              <w:ind w:right="102"/>
              <w:rPr>
                <w:rFonts w:eastAsia="Times New Roman"/>
                <w:color w:val="000000"/>
                <w:sz w:val="12"/>
                <w:szCs w:val="12"/>
              </w:rPr>
            </w:pPr>
            <w:r w:rsidRPr="00D475C9">
              <w:rPr>
                <w:rFonts w:eastAsia="Times New Roman"/>
                <w:sz w:val="12"/>
                <w:szCs w:val="12"/>
              </w:rPr>
              <w:t>IFIC Survey: Knowledge, Understanding and Use of Front-of-Pack Labeling in Food and Beverage Decisions Insights from Shoppers in the U.S.</w:t>
            </w:r>
          </w:p>
        </w:tc>
        <w:tc>
          <w:tcPr>
            <w:tcW w:w="333" w:type="dxa"/>
          </w:tcPr>
          <w:p w:rsidR="00DF60F4" w:rsidRPr="00D475C9" w:rsidP="00DF60F4" w14:paraId="0F8AA506" w14:textId="615A8A57">
            <w:pPr>
              <w:pStyle w:val="TableParagraph"/>
              <w:spacing w:line="140" w:lineRule="exact"/>
              <w:ind w:left="36"/>
              <w:rPr>
                <w:rFonts w:eastAsia="Times New Roman"/>
                <w:color w:val="00B050"/>
                <w:sz w:val="12"/>
                <w:szCs w:val="12"/>
              </w:rPr>
            </w:pPr>
            <w:r w:rsidRPr="00D475C9">
              <w:rPr>
                <w:rFonts w:eastAsia="Times New Roman"/>
                <w:color w:val="00B050"/>
                <w:sz w:val="12"/>
                <w:szCs w:val="12"/>
              </w:rPr>
              <w:t>2021</w:t>
            </w:r>
          </w:p>
        </w:tc>
        <w:tc>
          <w:tcPr>
            <w:tcW w:w="3555" w:type="dxa"/>
          </w:tcPr>
          <w:p w:rsidR="00DF60F4" w:rsidRPr="00D475C9" w:rsidP="00DF60F4" w14:paraId="54E992AC" w14:textId="697A1673">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 xml:space="preserve">1. Online survey of 1,002 participants ages 18 to 80 </w:t>
            </w:r>
            <w:r w:rsidRPr="00D475C9">
              <w:rPr>
                <w:rFonts w:eastAsia="Times New Roman"/>
                <w:sz w:val="12"/>
                <w:szCs w:val="12"/>
              </w:rPr>
              <w:t>yo</w:t>
            </w:r>
            <w:r w:rsidRPr="00D475C9">
              <w:rPr>
                <w:rFonts w:eastAsia="Times New Roman"/>
                <w:sz w:val="12"/>
                <w:szCs w:val="12"/>
              </w:rPr>
              <w:t>, part of a consumer panel.</w:t>
            </w:r>
            <w:r w:rsidRPr="00D475C9">
              <w:rPr>
                <w:rFonts w:eastAsia="Times New Roman"/>
                <w:sz w:val="12"/>
                <w:szCs w:val="12"/>
              </w:rPr>
              <w:br/>
              <w:t>2. Results weighted to reflect US population</w:t>
            </w:r>
          </w:p>
        </w:tc>
        <w:tc>
          <w:tcPr>
            <w:tcW w:w="1199" w:type="dxa"/>
          </w:tcPr>
          <w:p w:rsidR="00DF60F4" w:rsidRPr="00D475C9" w:rsidP="00DF60F4" w14:paraId="1FACB2DE" w14:textId="0BBC3ABC">
            <w:pPr>
              <w:pStyle w:val="TableParagraph"/>
              <w:spacing w:line="252" w:lineRule="auto"/>
              <w:ind w:right="121"/>
              <w:rPr>
                <w:rFonts w:eastAsia="Times New Roman"/>
                <w:sz w:val="12"/>
                <w:szCs w:val="12"/>
              </w:rPr>
            </w:pPr>
            <w:r w:rsidRPr="00D475C9">
              <w:rPr>
                <w:rFonts w:eastAsia="Times New Roman"/>
                <w:sz w:val="12"/>
                <w:szCs w:val="12"/>
              </w:rPr>
              <w:t>Not specified</w:t>
            </w:r>
          </w:p>
        </w:tc>
        <w:tc>
          <w:tcPr>
            <w:tcW w:w="1204" w:type="dxa"/>
          </w:tcPr>
          <w:p w:rsidR="00DF60F4" w:rsidRPr="00D475C9" w:rsidP="00DF60F4" w14:paraId="3F56B515" w14:textId="4F25E290">
            <w:pPr>
              <w:pStyle w:val="TableParagraph"/>
              <w:ind w:left="175"/>
              <w:rPr>
                <w:rFonts w:eastAsia="Times New Roman"/>
                <w:noProof/>
                <w:color w:val="000000"/>
                <w:sz w:val="12"/>
                <w:szCs w:val="12"/>
              </w:rPr>
            </w:pPr>
            <w:r w:rsidRPr="00D475C9">
              <w:rPr>
                <w:rFonts w:eastAsia="Times New Roman"/>
                <w:color w:val="000000"/>
                <w:sz w:val="12"/>
                <w:szCs w:val="12"/>
              </w:rPr>
              <w:t>No image available</w:t>
            </w:r>
          </w:p>
        </w:tc>
        <w:tc>
          <w:tcPr>
            <w:tcW w:w="550" w:type="dxa"/>
          </w:tcPr>
          <w:p w:rsidR="00DF60F4" w:rsidRPr="00D475C9" w:rsidP="00DF60F4" w14:paraId="7C6DB693" w14:textId="7B7184DA">
            <w:pPr>
              <w:pStyle w:val="TableParagraph"/>
              <w:spacing w:line="140" w:lineRule="exact"/>
              <w:ind w:left="0" w:right="39"/>
              <w:jc w:val="center"/>
              <w:rPr>
                <w:rFonts w:eastAsia="Times New Roman"/>
                <w:sz w:val="12"/>
                <w:szCs w:val="12"/>
              </w:rPr>
            </w:pPr>
            <w:r w:rsidRPr="00D475C9">
              <w:rPr>
                <w:rFonts w:eastAsia="Times New Roman"/>
                <w:sz w:val="12"/>
                <w:szCs w:val="12"/>
              </w:rPr>
              <w:t>U.S.</w:t>
            </w:r>
          </w:p>
        </w:tc>
        <w:tc>
          <w:tcPr>
            <w:tcW w:w="3487" w:type="dxa"/>
          </w:tcPr>
          <w:p w:rsidR="00DF60F4" w:rsidRPr="00D475C9" w:rsidP="00DF60F4" w14:paraId="18021E57" w14:textId="510A9516">
            <w:pPr>
              <w:pStyle w:val="TableParagraph"/>
              <w:spacing w:line="252" w:lineRule="auto"/>
              <w:rPr>
                <w:rFonts w:eastAsia="Times New Roman"/>
                <w:sz w:val="12"/>
                <w:szCs w:val="12"/>
              </w:rPr>
            </w:pPr>
            <w:r w:rsidRPr="00D475C9">
              <w:rPr>
                <w:rFonts w:eastAsia="Times New Roman"/>
                <w:sz w:val="12"/>
                <w:szCs w:val="12"/>
              </w:rPr>
              <w:t xml:space="preserve">1. Half find </w:t>
            </w:r>
            <w:r w:rsidR="004B6E26">
              <w:rPr>
                <w:sz w:val="12"/>
              </w:rPr>
              <w:t>FOP</w:t>
            </w:r>
            <w:r w:rsidRPr="005A1B39" w:rsidR="00D64890">
              <w:rPr>
                <w:sz w:val="12"/>
              </w:rPr>
              <w:t xml:space="preserve"> </w:t>
            </w:r>
            <w:r w:rsidRPr="00D475C9">
              <w:rPr>
                <w:rFonts w:eastAsia="Times New Roman"/>
                <w:sz w:val="12"/>
                <w:szCs w:val="12"/>
              </w:rPr>
              <w:t>impactful, but nutrition facts panel and list of ingredients were slightly higher ranked</w:t>
            </w:r>
            <w:r w:rsidRPr="00D475C9">
              <w:rPr>
                <w:rFonts w:eastAsia="Times New Roman"/>
                <w:sz w:val="12"/>
                <w:szCs w:val="12"/>
              </w:rPr>
              <w:br/>
              <w:t xml:space="preserve">2. People &lt;50 </w:t>
            </w:r>
            <w:r w:rsidRPr="00D475C9">
              <w:rPr>
                <w:rFonts w:eastAsia="Times New Roman"/>
                <w:sz w:val="12"/>
                <w:szCs w:val="12"/>
              </w:rPr>
              <w:t>yo</w:t>
            </w:r>
            <w:r w:rsidRPr="00D475C9">
              <w:rPr>
                <w:rFonts w:eastAsia="Times New Roman"/>
                <w:sz w:val="12"/>
                <w:szCs w:val="12"/>
              </w:rPr>
              <w:t xml:space="preserve">, those with higher incomes, and parents with children under 18 more likely to consider </w:t>
            </w:r>
            <w:r w:rsidR="004B6E26">
              <w:rPr>
                <w:sz w:val="12"/>
              </w:rPr>
              <w:t>FOP</w:t>
            </w:r>
            <w:r w:rsidR="00D64890">
              <w:rPr>
                <w:sz w:val="12"/>
              </w:rPr>
              <w:t>s</w:t>
            </w:r>
            <w:r w:rsidRPr="005A1B39" w:rsidR="00D64890">
              <w:rPr>
                <w:sz w:val="12"/>
              </w:rPr>
              <w:t xml:space="preserve"> </w:t>
            </w:r>
            <w:r w:rsidRPr="00D475C9">
              <w:rPr>
                <w:rFonts w:eastAsia="Times New Roman"/>
                <w:sz w:val="12"/>
                <w:szCs w:val="12"/>
              </w:rPr>
              <w:t>impactful</w:t>
            </w:r>
            <w:r w:rsidRPr="00D475C9">
              <w:rPr>
                <w:rFonts w:eastAsia="Times New Roman"/>
                <w:sz w:val="12"/>
                <w:szCs w:val="12"/>
              </w:rPr>
              <w:br/>
              <w:t>3. Nutrition Facts highlights most helpful when shopping</w:t>
            </w:r>
            <w:r w:rsidRPr="00D475C9">
              <w:rPr>
                <w:rFonts w:eastAsia="Times New Roman"/>
                <w:sz w:val="12"/>
                <w:szCs w:val="12"/>
              </w:rPr>
              <w:br/>
              <w:t xml:space="preserve">4. Just over half say they are likely to review </w:t>
            </w:r>
            <w:r w:rsidR="004B6E26">
              <w:rPr>
                <w:sz w:val="12"/>
              </w:rPr>
              <w:t>FOP</w:t>
            </w:r>
            <w:r w:rsidR="00D64890">
              <w:rPr>
                <w:sz w:val="12"/>
              </w:rPr>
              <w:t>s</w:t>
            </w:r>
            <w:r w:rsidRPr="005A1B39" w:rsidR="00D64890">
              <w:rPr>
                <w:sz w:val="12"/>
              </w:rPr>
              <w:t xml:space="preserve"> </w:t>
            </w:r>
            <w:r w:rsidRPr="00D475C9">
              <w:rPr>
                <w:rFonts w:eastAsia="Times New Roman"/>
                <w:sz w:val="12"/>
                <w:szCs w:val="12"/>
              </w:rPr>
              <w:t>when purchasing a new product</w:t>
            </w:r>
          </w:p>
        </w:tc>
      </w:tr>
      <w:tr w14:paraId="1BB467EC" w14:textId="77777777" w:rsidTr="0079161F">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29692798" w14:textId="777C0B74">
            <w:pPr>
              <w:pStyle w:val="TableParagraph"/>
              <w:spacing w:line="252" w:lineRule="auto"/>
              <w:ind w:right="133"/>
              <w:rPr>
                <w:rFonts w:eastAsia="Times New Roman"/>
                <w:color w:val="000000"/>
                <w:sz w:val="12"/>
                <w:szCs w:val="12"/>
              </w:rPr>
            </w:pPr>
            <w:r w:rsidRPr="00D475C9">
              <w:rPr>
                <w:rFonts w:eastAsia="Times New Roman"/>
                <w:color w:val="000000"/>
                <w:sz w:val="12"/>
                <w:szCs w:val="12"/>
              </w:rPr>
              <w:t>Kontopoulou, et al.</w:t>
            </w:r>
          </w:p>
        </w:tc>
        <w:tc>
          <w:tcPr>
            <w:tcW w:w="2101" w:type="dxa"/>
          </w:tcPr>
          <w:p w:rsidR="00DF60F4" w:rsidRPr="00D475C9" w:rsidP="00DF60F4" w14:paraId="4220AFE3" w14:textId="6CD0532E">
            <w:pPr>
              <w:pStyle w:val="TableParagraph"/>
              <w:spacing w:line="252" w:lineRule="auto"/>
              <w:ind w:right="102"/>
              <w:rPr>
                <w:rFonts w:eastAsia="Times New Roman"/>
                <w:color w:val="000000"/>
                <w:sz w:val="12"/>
                <w:szCs w:val="12"/>
              </w:rPr>
            </w:pPr>
            <w:r w:rsidRPr="00D475C9">
              <w:rPr>
                <w:rFonts w:eastAsia="Times New Roman"/>
                <w:color w:val="000000"/>
                <w:sz w:val="12"/>
                <w:szCs w:val="12"/>
              </w:rPr>
              <w:t>Online Consumer Survey Comparing Different Front-of-Pack Labels in Greece</w:t>
            </w:r>
          </w:p>
        </w:tc>
        <w:tc>
          <w:tcPr>
            <w:tcW w:w="333" w:type="dxa"/>
          </w:tcPr>
          <w:p w:rsidR="00DF60F4" w:rsidRPr="00D475C9" w:rsidP="00DF60F4" w14:paraId="7B085DBF" w14:textId="0F13F73D">
            <w:pPr>
              <w:pStyle w:val="TableParagraph"/>
              <w:spacing w:line="140" w:lineRule="exact"/>
              <w:ind w:left="36"/>
              <w:rPr>
                <w:rFonts w:eastAsia="Times New Roman"/>
                <w:color w:val="00B050"/>
                <w:sz w:val="12"/>
                <w:szCs w:val="12"/>
              </w:rPr>
            </w:pPr>
            <w:r w:rsidRPr="00D475C9">
              <w:rPr>
                <w:rFonts w:eastAsia="Times New Roman"/>
                <w:color w:val="00B050"/>
                <w:sz w:val="12"/>
                <w:szCs w:val="12"/>
              </w:rPr>
              <w:t>2021</w:t>
            </w:r>
          </w:p>
        </w:tc>
        <w:tc>
          <w:tcPr>
            <w:tcW w:w="3555" w:type="dxa"/>
          </w:tcPr>
          <w:p w:rsidR="00DF60F4" w:rsidRPr="00D475C9" w:rsidP="00DF60F4" w14:paraId="0B0150C4" w14:textId="719BCDC4">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 xml:space="preserve">1278 participants, online survey; they ranked three products according to their nutritional quality, first without </w:t>
            </w:r>
            <w:r w:rsidR="004B6E26">
              <w:rPr>
                <w:rFonts w:eastAsia="Times New Roman"/>
                <w:sz w:val="12"/>
                <w:szCs w:val="12"/>
              </w:rPr>
              <w:t>FOP</w:t>
            </w:r>
            <w:r w:rsidRPr="00D475C9">
              <w:rPr>
                <w:rFonts w:eastAsia="Times New Roman"/>
                <w:sz w:val="12"/>
                <w:szCs w:val="12"/>
              </w:rPr>
              <w:t xml:space="preserve">s and then with </w:t>
            </w:r>
            <w:r w:rsidR="004B6E26">
              <w:rPr>
                <w:rFonts w:eastAsia="Times New Roman"/>
                <w:sz w:val="12"/>
                <w:szCs w:val="12"/>
              </w:rPr>
              <w:t>FOP</w:t>
            </w:r>
            <w:r w:rsidRPr="00D475C9">
              <w:rPr>
                <w:rFonts w:eastAsia="Times New Roman"/>
                <w:sz w:val="12"/>
                <w:szCs w:val="12"/>
              </w:rPr>
              <w:t xml:space="preserve">s. </w:t>
            </w:r>
          </w:p>
        </w:tc>
        <w:tc>
          <w:tcPr>
            <w:tcW w:w="1199" w:type="dxa"/>
          </w:tcPr>
          <w:p w:rsidR="00DF60F4" w:rsidRPr="00D475C9" w:rsidP="00DF60F4" w14:paraId="4C8423BA" w14:textId="0131BB6A">
            <w:pPr>
              <w:pStyle w:val="TableParagraph"/>
              <w:spacing w:line="252" w:lineRule="auto"/>
              <w:ind w:right="121"/>
              <w:rPr>
                <w:rFonts w:eastAsia="Times New Roman"/>
                <w:sz w:val="12"/>
                <w:szCs w:val="12"/>
              </w:rPr>
            </w:pPr>
            <w:r w:rsidRPr="00D475C9">
              <w:rPr>
                <w:rFonts w:eastAsia="Times New Roman"/>
                <w:sz w:val="12"/>
                <w:szCs w:val="12"/>
              </w:rPr>
              <w:t>1. Multiple Traffic Lights (MTL)</w:t>
            </w:r>
            <w:r w:rsidRPr="00D475C9">
              <w:rPr>
                <w:rFonts w:eastAsia="Times New Roman"/>
                <w:sz w:val="12"/>
                <w:szCs w:val="12"/>
              </w:rPr>
              <w:br/>
              <w:t>2. Health Star Rating (HSR)</w:t>
            </w:r>
            <w:r w:rsidRPr="00D475C9">
              <w:rPr>
                <w:rFonts w:eastAsia="Times New Roman"/>
                <w:sz w:val="12"/>
                <w:szCs w:val="12"/>
              </w:rPr>
              <w:br/>
              <w:t>3. Guideline Daily Amounts (GDA)</w:t>
            </w:r>
            <w:r w:rsidRPr="00D475C9">
              <w:rPr>
                <w:rFonts w:eastAsia="Times New Roman"/>
                <w:sz w:val="12"/>
                <w:szCs w:val="12"/>
              </w:rPr>
              <w:br/>
              <w:t xml:space="preserve">4. Warning Symbols </w:t>
            </w:r>
            <w:r w:rsidRPr="00D475C9">
              <w:rPr>
                <w:rFonts w:eastAsia="Times New Roman"/>
                <w:sz w:val="12"/>
                <w:szCs w:val="12"/>
              </w:rPr>
              <w:br/>
              <w:t xml:space="preserve">5. </w:t>
            </w:r>
            <w:r w:rsidR="004B6E26">
              <w:rPr>
                <w:rFonts w:eastAsia="Times New Roman"/>
                <w:sz w:val="12"/>
                <w:szCs w:val="12"/>
              </w:rPr>
              <w:t>Nutri-Score</w:t>
            </w:r>
          </w:p>
        </w:tc>
        <w:tc>
          <w:tcPr>
            <w:tcW w:w="1204" w:type="dxa"/>
          </w:tcPr>
          <w:p w:rsidR="00DF60F4" w:rsidRPr="00D475C9" w:rsidP="00DF60F4" w14:paraId="045B7D14" w14:textId="74BE3918">
            <w:pPr>
              <w:pStyle w:val="TableParagraph"/>
              <w:ind w:left="175"/>
              <w:rPr>
                <w:rFonts w:eastAsia="Times New Roman"/>
                <w:noProof/>
                <w:color w:val="000000"/>
                <w:sz w:val="12"/>
                <w:szCs w:val="12"/>
              </w:rPr>
            </w:pPr>
            <w:r w:rsidRPr="00D475C9">
              <w:rPr>
                <w:rFonts w:eastAsia="Times New Roman"/>
                <w:noProof/>
                <w:color w:val="000000"/>
                <w:sz w:val="12"/>
                <w:szCs w:val="12"/>
              </w:rPr>
              <w:drawing>
                <wp:anchor distT="0" distB="0" distL="114300" distR="114300" simplePos="0" relativeHeight="251694080" behindDoc="0" locked="0" layoutInCell="1" allowOverlap="1">
                  <wp:simplePos x="0" y="0"/>
                  <wp:positionH relativeFrom="column">
                    <wp:posOffset>19050</wp:posOffset>
                  </wp:positionH>
                  <wp:positionV relativeFrom="paragraph">
                    <wp:posOffset>38100</wp:posOffset>
                  </wp:positionV>
                  <wp:extent cx="640080" cy="338328"/>
                  <wp:effectExtent l="0" t="0" r="7620" b="5080"/>
                  <wp:wrapNone/>
                  <wp:docPr id="138" name="Picture 138">
                    <a:extLst xmlns:a="http://schemas.openxmlformats.org/drawingml/2006/main">
                      <a:ext xmlns:a="http://schemas.openxmlformats.org/drawingml/2006/main" uri="{FF2B5EF4-FFF2-40B4-BE49-F238E27FC236}">
                        <a16:creationId xmlns:a16="http://schemas.microsoft.com/office/drawing/2014/main" id="{8A5BD4E4-752C-43D9-ADA5-4A3BF6D4C0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52">
                            <a:extLst>
                              <a:ext xmlns:a="http://schemas.openxmlformats.org/drawingml/2006/main" uri="{FF2B5EF4-FFF2-40B4-BE49-F238E27FC236}">
                                <a16:creationId xmlns:a16="http://schemas.microsoft.com/office/drawing/2014/main" id="{8A5BD4E4-752C-43D9-ADA5-4A3BF6D4C02B}"/>
                              </a:ext>
                            </a:extLst>
                          </pic:cNvPr>
                          <pic:cNvPicPr>
                            <a:picLocks noChangeAspect="1" noChangeArrowheads="1"/>
                          </pic:cNvPicPr>
                        </pic:nvPicPr>
                        <pic:blipFill>
                          <a:blip xmlns:r="http://schemas.openxmlformats.org/officeDocument/2006/relationships" r:embed="rId8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40080" cy="338328"/>
                          </a:xfrm>
                          <a:prstGeom prst="rect">
                            <a:avLst/>
                          </a:prstGeom>
                          <a:noFill/>
                        </pic:spPr>
                      </pic:pic>
                    </a:graphicData>
                  </a:graphic>
                  <wp14:sizeRelH relativeFrom="page">
                    <wp14:pctWidth>0</wp14:pctWidth>
                  </wp14:sizeRelH>
                  <wp14:sizeRelV relativeFrom="page">
                    <wp14:pctHeight>0</wp14:pctHeight>
                  </wp14:sizeRelV>
                </wp:anchor>
              </w:drawing>
            </w:r>
          </w:p>
        </w:tc>
        <w:tc>
          <w:tcPr>
            <w:tcW w:w="550" w:type="dxa"/>
          </w:tcPr>
          <w:p w:rsidR="00DF60F4" w:rsidRPr="00D475C9" w:rsidP="00DF60F4" w14:paraId="44DA07F6" w14:textId="2D0F6A60">
            <w:pPr>
              <w:pStyle w:val="TableParagraph"/>
              <w:spacing w:line="140" w:lineRule="exact"/>
              <w:ind w:left="0" w:right="39"/>
              <w:jc w:val="center"/>
              <w:rPr>
                <w:rFonts w:eastAsia="Times New Roman"/>
                <w:sz w:val="12"/>
                <w:szCs w:val="12"/>
              </w:rPr>
            </w:pPr>
            <w:r w:rsidRPr="00D475C9">
              <w:rPr>
                <w:rFonts w:eastAsia="Times New Roman"/>
                <w:sz w:val="12"/>
                <w:szCs w:val="12"/>
              </w:rPr>
              <w:t>Greece</w:t>
            </w:r>
          </w:p>
        </w:tc>
        <w:tc>
          <w:tcPr>
            <w:tcW w:w="3487" w:type="dxa"/>
          </w:tcPr>
          <w:p w:rsidR="00DF60F4" w:rsidRPr="00D475C9" w:rsidP="00DF60F4" w14:paraId="7B703BD6" w14:textId="6BEF7180">
            <w:pPr>
              <w:pStyle w:val="TableParagraph"/>
              <w:spacing w:line="252" w:lineRule="auto"/>
              <w:rPr>
                <w:rFonts w:eastAsia="Times New Roman"/>
                <w:sz w:val="12"/>
                <w:szCs w:val="12"/>
              </w:rPr>
            </w:pPr>
            <w:r>
              <w:rPr>
                <w:rFonts w:eastAsia="Times New Roman"/>
                <w:sz w:val="12"/>
                <w:szCs w:val="12"/>
              </w:rPr>
              <w:t>Nutri-Score</w:t>
            </w:r>
            <w:r w:rsidRPr="00D475C9">
              <w:rPr>
                <w:rFonts w:eastAsia="Times New Roman"/>
                <w:sz w:val="12"/>
                <w:szCs w:val="12"/>
              </w:rPr>
              <w:t xml:space="preserve"> label presented greater improvements when compared to the GDA label </w:t>
            </w:r>
          </w:p>
        </w:tc>
      </w:tr>
      <w:tr w14:paraId="3FBB543B" w14:textId="77777777" w:rsidTr="0079161F">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24B434B3" w14:textId="54F59F4F">
            <w:pPr>
              <w:pStyle w:val="TableParagraph"/>
              <w:spacing w:line="252" w:lineRule="auto"/>
              <w:ind w:right="133"/>
              <w:rPr>
                <w:rFonts w:eastAsia="Times New Roman"/>
                <w:color w:val="000000"/>
                <w:sz w:val="12"/>
                <w:szCs w:val="12"/>
              </w:rPr>
            </w:pPr>
            <w:r w:rsidRPr="00D475C9">
              <w:rPr>
                <w:rFonts w:eastAsia="Times New Roman"/>
                <w:color w:val="000000"/>
                <w:sz w:val="12"/>
                <w:szCs w:val="12"/>
              </w:rPr>
              <w:t>Marette</w:t>
            </w:r>
            <w:r w:rsidRPr="00D475C9">
              <w:rPr>
                <w:rFonts w:eastAsia="Times New Roman"/>
                <w:color w:val="000000"/>
                <w:sz w:val="12"/>
                <w:szCs w:val="12"/>
              </w:rPr>
              <w:t xml:space="preserve">, </w:t>
            </w:r>
            <w:r w:rsidRPr="00D475C9">
              <w:rPr>
                <w:rFonts w:eastAsia="Times New Roman"/>
                <w:color w:val="000000"/>
                <w:sz w:val="12"/>
                <w:szCs w:val="12"/>
              </w:rPr>
              <w:t>Stéphan</w:t>
            </w:r>
          </w:p>
        </w:tc>
        <w:tc>
          <w:tcPr>
            <w:tcW w:w="2101" w:type="dxa"/>
          </w:tcPr>
          <w:p w:rsidR="00DF60F4" w:rsidRPr="00D475C9" w:rsidP="00DF60F4" w14:paraId="305676DE" w14:textId="6DED8884">
            <w:pPr>
              <w:pStyle w:val="TableParagraph"/>
              <w:spacing w:line="252" w:lineRule="auto"/>
              <w:ind w:right="102"/>
              <w:rPr>
                <w:rFonts w:eastAsia="Times New Roman"/>
                <w:color w:val="000000"/>
                <w:sz w:val="12"/>
                <w:szCs w:val="12"/>
              </w:rPr>
            </w:pPr>
            <w:r w:rsidRPr="00D475C9">
              <w:rPr>
                <w:rFonts w:eastAsia="Times New Roman"/>
                <w:color w:val="000000"/>
                <w:sz w:val="12"/>
                <w:szCs w:val="12"/>
              </w:rPr>
              <w:t>Ecological and/or Nutritional Scores for Food Traffic-Lights: Results of an Online Survey Conducted on Pizza in France</w:t>
            </w:r>
          </w:p>
        </w:tc>
        <w:tc>
          <w:tcPr>
            <w:tcW w:w="333" w:type="dxa"/>
          </w:tcPr>
          <w:p w:rsidR="00DF60F4" w:rsidRPr="00D475C9" w:rsidP="00DF60F4" w14:paraId="001AF333" w14:textId="4C9B2298">
            <w:pPr>
              <w:pStyle w:val="TableParagraph"/>
              <w:spacing w:line="140" w:lineRule="exact"/>
              <w:ind w:left="36"/>
              <w:rPr>
                <w:rFonts w:eastAsia="Times New Roman"/>
                <w:color w:val="00B050"/>
                <w:sz w:val="12"/>
                <w:szCs w:val="12"/>
              </w:rPr>
            </w:pPr>
            <w:r w:rsidRPr="00D475C9">
              <w:rPr>
                <w:rFonts w:eastAsia="Times New Roman"/>
                <w:color w:val="00B050"/>
                <w:sz w:val="12"/>
                <w:szCs w:val="12"/>
              </w:rPr>
              <w:t>2021</w:t>
            </w:r>
          </w:p>
        </w:tc>
        <w:tc>
          <w:tcPr>
            <w:tcW w:w="3555" w:type="dxa"/>
          </w:tcPr>
          <w:p w:rsidR="00DF60F4" w:rsidRPr="00D475C9" w:rsidP="00DF60F4" w14:paraId="24F0A91F" w14:textId="768AF7C2">
            <w:pPr>
              <w:pStyle w:val="TableParagraph"/>
              <w:spacing w:line="252" w:lineRule="auto"/>
              <w:ind w:left="29" w:right="173"/>
              <w:rPr>
                <w:rFonts w:eastAsia="Times New Roman"/>
                <w:sz w:val="12"/>
                <w:szCs w:val="12"/>
              </w:rPr>
            </w:pPr>
            <w:r w:rsidRPr="00D475C9">
              <w:rPr>
                <w:rFonts w:eastAsia="Times New Roman"/>
                <w:color w:val="000000"/>
                <w:sz w:val="12"/>
                <w:szCs w:val="12"/>
              </w:rPr>
              <w:t>Quantitative</w:t>
            </w:r>
            <w:r w:rsidRPr="00D475C9">
              <w:rPr>
                <w:rFonts w:eastAsia="Times New Roman"/>
                <w:color w:val="000000"/>
                <w:sz w:val="12"/>
                <w:szCs w:val="12"/>
              </w:rPr>
              <w:br/>
              <w:t>1. 1200 participants asked about purchase intents before and after seeing nutritional and/or ecological scores, as well as a global score synthesizing both nutritional and ecology</w:t>
            </w:r>
          </w:p>
        </w:tc>
        <w:tc>
          <w:tcPr>
            <w:tcW w:w="1199" w:type="dxa"/>
          </w:tcPr>
          <w:p w:rsidR="00DF60F4" w:rsidRPr="00D475C9" w:rsidP="00DF60F4" w14:paraId="3F94C994" w14:textId="4C4FC5D0">
            <w:pPr>
              <w:pStyle w:val="TableParagraph"/>
              <w:spacing w:line="252" w:lineRule="auto"/>
              <w:ind w:right="121"/>
              <w:rPr>
                <w:rFonts w:eastAsia="Times New Roman"/>
                <w:sz w:val="12"/>
                <w:szCs w:val="12"/>
              </w:rPr>
            </w:pPr>
            <w:r w:rsidRPr="00D475C9">
              <w:rPr>
                <w:rFonts w:eastAsia="Times New Roman"/>
                <w:color w:val="000000"/>
                <w:sz w:val="12"/>
                <w:szCs w:val="12"/>
              </w:rPr>
              <w:t>1. Red label</w:t>
            </w:r>
            <w:r w:rsidRPr="00D475C9">
              <w:rPr>
                <w:rFonts w:eastAsia="Times New Roman"/>
                <w:color w:val="000000"/>
                <w:sz w:val="12"/>
                <w:szCs w:val="12"/>
              </w:rPr>
              <w:br/>
              <w:t>2. Green label</w:t>
            </w:r>
          </w:p>
        </w:tc>
        <w:tc>
          <w:tcPr>
            <w:tcW w:w="1204" w:type="dxa"/>
          </w:tcPr>
          <w:p w:rsidR="00DF60F4" w:rsidRPr="00D475C9" w:rsidP="00DF60F4" w14:paraId="4A060749" w14:textId="2B648B9D">
            <w:pPr>
              <w:pStyle w:val="TableParagraph"/>
              <w:ind w:left="175"/>
              <w:rPr>
                <w:rFonts w:eastAsia="Times New Roman"/>
                <w:noProof/>
                <w:color w:val="000000"/>
                <w:sz w:val="12"/>
                <w:szCs w:val="12"/>
              </w:rPr>
            </w:pPr>
            <w:r w:rsidRPr="00D475C9">
              <w:rPr>
                <w:rFonts w:eastAsia="Times New Roman"/>
                <w:color w:val="000000"/>
                <w:sz w:val="12"/>
                <w:szCs w:val="12"/>
              </w:rPr>
              <w:t>No image available</w:t>
            </w:r>
          </w:p>
        </w:tc>
        <w:tc>
          <w:tcPr>
            <w:tcW w:w="550" w:type="dxa"/>
          </w:tcPr>
          <w:p w:rsidR="00DF60F4" w:rsidRPr="00D475C9" w:rsidP="00DF60F4" w14:paraId="64525129" w14:textId="4B4CD1B6">
            <w:pPr>
              <w:pStyle w:val="TableParagraph"/>
              <w:spacing w:line="140" w:lineRule="exact"/>
              <w:ind w:left="0" w:right="39"/>
              <w:jc w:val="center"/>
              <w:rPr>
                <w:rFonts w:eastAsia="Times New Roman"/>
                <w:sz w:val="12"/>
                <w:szCs w:val="12"/>
              </w:rPr>
            </w:pPr>
            <w:r w:rsidRPr="00D475C9">
              <w:rPr>
                <w:rFonts w:eastAsia="Times New Roman"/>
                <w:color w:val="000000"/>
                <w:sz w:val="12"/>
                <w:szCs w:val="12"/>
              </w:rPr>
              <w:t>France</w:t>
            </w:r>
          </w:p>
        </w:tc>
        <w:tc>
          <w:tcPr>
            <w:tcW w:w="3487" w:type="dxa"/>
          </w:tcPr>
          <w:p w:rsidR="00DF60F4" w:rsidRPr="00D475C9" w:rsidP="00DF60F4" w14:paraId="45008356" w14:textId="5D161E7D">
            <w:pPr>
              <w:pStyle w:val="TableParagraph"/>
              <w:spacing w:line="252" w:lineRule="auto"/>
              <w:rPr>
                <w:rFonts w:eastAsia="Times New Roman"/>
                <w:sz w:val="12"/>
                <w:szCs w:val="12"/>
              </w:rPr>
            </w:pPr>
            <w:r w:rsidRPr="00D475C9">
              <w:rPr>
                <w:rFonts w:eastAsia="Times New Roman"/>
                <w:color w:val="000000"/>
                <w:sz w:val="12"/>
                <w:szCs w:val="12"/>
              </w:rPr>
              <w:t>1. Scores and labels significantly affect purchase intentions</w:t>
            </w:r>
            <w:r w:rsidRPr="00D475C9">
              <w:rPr>
                <w:rFonts w:eastAsia="Times New Roman"/>
                <w:color w:val="000000"/>
                <w:sz w:val="12"/>
                <w:szCs w:val="12"/>
              </w:rPr>
              <w:br/>
              <w:t>2. Dominant effect is reduction in purchase intent related to the red color, although green or yellow colors change to a lesser extent</w:t>
            </w:r>
            <w:r w:rsidRPr="00D475C9">
              <w:rPr>
                <w:rFonts w:eastAsia="Times New Roman"/>
                <w:color w:val="000000"/>
                <w:sz w:val="12"/>
                <w:szCs w:val="12"/>
              </w:rPr>
              <w:br/>
              <w:t>3. Red nutritional score leads to more significant decreases than ecological or global score.</w:t>
            </w:r>
            <w:r w:rsidRPr="00D475C9">
              <w:rPr>
                <w:rFonts w:eastAsia="Times New Roman"/>
                <w:color w:val="000000"/>
                <w:sz w:val="12"/>
                <w:szCs w:val="12"/>
              </w:rPr>
              <w:br/>
              <w:t>4. Negative effect of a red score is not outweighed by the positive impact of the green for another score.</w:t>
            </w:r>
          </w:p>
        </w:tc>
      </w:tr>
      <w:tr w14:paraId="6AD9433E" w14:textId="77777777" w:rsidTr="0079161F">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5511D3ED" w14:textId="6C13761E">
            <w:pPr>
              <w:pStyle w:val="TableParagraph"/>
              <w:spacing w:line="252" w:lineRule="auto"/>
              <w:ind w:right="133"/>
              <w:rPr>
                <w:rFonts w:eastAsia="Times New Roman"/>
                <w:color w:val="000000"/>
                <w:sz w:val="12"/>
                <w:szCs w:val="12"/>
              </w:rPr>
            </w:pPr>
            <w:r w:rsidRPr="00D475C9">
              <w:rPr>
                <w:rFonts w:eastAsia="Times New Roman"/>
                <w:color w:val="000000"/>
                <w:sz w:val="12"/>
                <w:szCs w:val="12"/>
              </w:rPr>
              <w:t>Mauri et al.</w:t>
            </w:r>
          </w:p>
        </w:tc>
        <w:tc>
          <w:tcPr>
            <w:tcW w:w="2101" w:type="dxa"/>
          </w:tcPr>
          <w:p w:rsidR="00DF60F4" w:rsidRPr="00D475C9" w:rsidP="00DF60F4" w14:paraId="27FBFC06" w14:textId="41A73DC9">
            <w:pPr>
              <w:pStyle w:val="TableParagraph"/>
              <w:spacing w:line="252" w:lineRule="auto"/>
              <w:ind w:right="102"/>
              <w:rPr>
                <w:rFonts w:eastAsia="Times New Roman"/>
                <w:color w:val="000000"/>
                <w:sz w:val="12"/>
                <w:szCs w:val="12"/>
              </w:rPr>
            </w:pPr>
            <w:r w:rsidRPr="00D475C9">
              <w:rPr>
                <w:rFonts w:eastAsia="Times New Roman"/>
                <w:color w:val="000000"/>
                <w:sz w:val="12"/>
                <w:szCs w:val="12"/>
              </w:rPr>
              <w:t>The effect of front‐of‐package nutrition labels on the choice of low sugar products</w:t>
            </w:r>
          </w:p>
        </w:tc>
        <w:tc>
          <w:tcPr>
            <w:tcW w:w="333" w:type="dxa"/>
          </w:tcPr>
          <w:p w:rsidR="00DF60F4" w:rsidRPr="00D475C9" w:rsidP="00DF60F4" w14:paraId="09002C41" w14:textId="47FA0D2E">
            <w:pPr>
              <w:pStyle w:val="TableParagraph"/>
              <w:spacing w:line="140" w:lineRule="exact"/>
              <w:ind w:left="36"/>
              <w:rPr>
                <w:rFonts w:eastAsia="Times New Roman"/>
                <w:color w:val="00B050"/>
                <w:sz w:val="12"/>
                <w:szCs w:val="12"/>
              </w:rPr>
            </w:pPr>
            <w:r w:rsidRPr="00D475C9">
              <w:rPr>
                <w:rFonts w:eastAsia="Times New Roman"/>
                <w:color w:val="00B050"/>
                <w:sz w:val="12"/>
                <w:szCs w:val="12"/>
              </w:rPr>
              <w:t>2021</w:t>
            </w:r>
          </w:p>
        </w:tc>
        <w:tc>
          <w:tcPr>
            <w:tcW w:w="3555" w:type="dxa"/>
          </w:tcPr>
          <w:p w:rsidR="00DF60F4" w:rsidRPr="00D475C9" w:rsidP="00DF60F4" w14:paraId="66AE6452" w14:textId="5BE22AD8">
            <w:pPr>
              <w:pStyle w:val="TableParagraph"/>
              <w:spacing w:line="252" w:lineRule="auto"/>
              <w:ind w:left="29" w:right="173"/>
              <w:rPr>
                <w:rFonts w:eastAsia="Times New Roman"/>
                <w:color w:val="000000"/>
                <w:sz w:val="12"/>
                <w:szCs w:val="12"/>
              </w:rPr>
            </w:pPr>
            <w:r w:rsidRPr="00D475C9">
              <w:rPr>
                <w:rFonts w:eastAsia="Times New Roman"/>
                <w:sz w:val="12"/>
                <w:szCs w:val="12"/>
              </w:rPr>
              <w:t>Quantitative</w:t>
            </w:r>
            <w:r w:rsidRPr="00D475C9">
              <w:rPr>
                <w:rFonts w:eastAsia="Times New Roman"/>
                <w:sz w:val="12"/>
                <w:szCs w:val="12"/>
              </w:rPr>
              <w:br/>
              <w:t xml:space="preserve">1. 199 participants completed an online survey where they selected one of two products, labeled with different </w:t>
            </w:r>
            <w:r w:rsidR="004B6E26">
              <w:rPr>
                <w:rFonts w:eastAsia="Times New Roman"/>
                <w:sz w:val="12"/>
                <w:szCs w:val="12"/>
              </w:rPr>
              <w:t>FOP</w:t>
            </w:r>
            <w:r w:rsidRPr="00D475C9">
              <w:rPr>
                <w:rFonts w:eastAsia="Times New Roman"/>
                <w:sz w:val="12"/>
                <w:szCs w:val="12"/>
              </w:rPr>
              <w:t>s and sugar levels</w:t>
            </w:r>
            <w:r w:rsidRPr="00D475C9">
              <w:rPr>
                <w:rFonts w:eastAsia="Times New Roman"/>
                <w:sz w:val="12"/>
                <w:szCs w:val="12"/>
              </w:rPr>
              <w:br/>
              <w:t xml:space="preserve">2. 272 participants completed an online survey where they selected from three versions of three products, and then indicated whether they would have used additional nutrition information </w:t>
            </w:r>
          </w:p>
        </w:tc>
        <w:tc>
          <w:tcPr>
            <w:tcW w:w="1199" w:type="dxa"/>
          </w:tcPr>
          <w:p w:rsidR="00DF60F4" w:rsidRPr="00D475C9" w:rsidP="00DF60F4" w14:paraId="4B4B8C28" w14:textId="2F7264C9">
            <w:pPr>
              <w:pStyle w:val="TableParagraph"/>
              <w:spacing w:line="252" w:lineRule="auto"/>
              <w:ind w:right="121"/>
              <w:rPr>
                <w:rFonts w:eastAsia="Times New Roman"/>
                <w:color w:val="000000"/>
                <w:sz w:val="12"/>
                <w:szCs w:val="12"/>
              </w:rPr>
            </w:pPr>
            <w:r w:rsidRPr="00D475C9">
              <w:rPr>
                <w:rFonts w:eastAsia="Times New Roman"/>
                <w:sz w:val="12"/>
                <w:szCs w:val="12"/>
              </w:rPr>
              <w:t>1. Traffic light</w:t>
            </w:r>
            <w:r w:rsidRPr="00D475C9">
              <w:rPr>
                <w:rFonts w:eastAsia="Times New Roman"/>
                <w:sz w:val="12"/>
                <w:szCs w:val="12"/>
              </w:rPr>
              <w:br/>
              <w:t>2. Sugar teaspoons</w:t>
            </w:r>
          </w:p>
        </w:tc>
        <w:tc>
          <w:tcPr>
            <w:tcW w:w="1204" w:type="dxa"/>
          </w:tcPr>
          <w:p w:rsidR="00DF60F4" w:rsidRPr="00D475C9" w:rsidP="00DF60F4" w14:paraId="2C4CC9BA" w14:textId="52914CEF">
            <w:pPr>
              <w:pStyle w:val="TableParagraph"/>
              <w:ind w:left="175"/>
              <w:rPr>
                <w:rFonts w:eastAsia="Times New Roman"/>
                <w:color w:val="000000"/>
                <w:sz w:val="12"/>
                <w:szCs w:val="12"/>
              </w:rPr>
            </w:pPr>
            <w:r w:rsidRPr="00D475C9">
              <w:rPr>
                <w:rFonts w:eastAsia="Times New Roman"/>
                <w:color w:val="000000"/>
                <w:sz w:val="12"/>
                <w:szCs w:val="12"/>
              </w:rPr>
              <w:t>No image available</w:t>
            </w:r>
          </w:p>
        </w:tc>
        <w:tc>
          <w:tcPr>
            <w:tcW w:w="550" w:type="dxa"/>
          </w:tcPr>
          <w:p w:rsidR="00DF60F4" w:rsidRPr="00D475C9" w:rsidP="00DF60F4" w14:paraId="18E3AD54" w14:textId="2B414577">
            <w:pPr>
              <w:pStyle w:val="TableParagraph"/>
              <w:spacing w:line="140" w:lineRule="exact"/>
              <w:ind w:left="0" w:right="39"/>
              <w:jc w:val="center"/>
              <w:rPr>
                <w:rFonts w:eastAsia="Times New Roman"/>
                <w:color w:val="000000"/>
                <w:sz w:val="12"/>
                <w:szCs w:val="12"/>
              </w:rPr>
            </w:pPr>
            <w:r w:rsidRPr="00D475C9">
              <w:rPr>
                <w:rFonts w:eastAsia="Times New Roman"/>
                <w:sz w:val="12"/>
                <w:szCs w:val="12"/>
              </w:rPr>
              <w:t>U.K.</w:t>
            </w:r>
          </w:p>
        </w:tc>
        <w:tc>
          <w:tcPr>
            <w:tcW w:w="3487" w:type="dxa"/>
          </w:tcPr>
          <w:p w:rsidR="00DF60F4" w:rsidRPr="00D475C9" w:rsidP="00DF60F4" w14:paraId="717D314D" w14:textId="0212BB81">
            <w:pPr>
              <w:pStyle w:val="TableParagraph"/>
              <w:spacing w:line="252" w:lineRule="auto"/>
              <w:rPr>
                <w:rFonts w:eastAsia="Times New Roman"/>
                <w:color w:val="000000"/>
                <w:sz w:val="12"/>
                <w:szCs w:val="12"/>
              </w:rPr>
            </w:pPr>
            <w:r w:rsidRPr="00D475C9">
              <w:rPr>
                <w:rFonts w:eastAsia="Times New Roman"/>
                <w:sz w:val="12"/>
                <w:szCs w:val="12"/>
              </w:rPr>
              <w:t>1. Sugar teaspoons more effective than traffic light in signaling sugar level and helping consumers make healthier choices.</w:t>
            </w:r>
            <w:r w:rsidRPr="00D475C9">
              <w:rPr>
                <w:rFonts w:eastAsia="Times New Roman"/>
                <w:sz w:val="12"/>
                <w:szCs w:val="12"/>
              </w:rPr>
              <w:br/>
              <w:t>2. More relevant in foods with simpler ingredient composition.</w:t>
            </w:r>
          </w:p>
        </w:tc>
      </w:tr>
      <w:tr w14:paraId="67720C50" w14:textId="77777777" w:rsidTr="0079161F">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41AB079F" w14:textId="23AFEC1A">
            <w:pPr>
              <w:pStyle w:val="TableParagraph"/>
              <w:spacing w:line="252" w:lineRule="auto"/>
              <w:ind w:right="133"/>
              <w:rPr>
                <w:rFonts w:eastAsia="Times New Roman"/>
                <w:color w:val="000000"/>
                <w:sz w:val="12"/>
                <w:szCs w:val="12"/>
              </w:rPr>
            </w:pPr>
            <w:r w:rsidRPr="00D475C9">
              <w:rPr>
                <w:rFonts w:eastAsia="Times New Roman"/>
                <w:color w:val="000000"/>
                <w:sz w:val="12"/>
                <w:szCs w:val="12"/>
              </w:rPr>
              <w:t>Mediano Stoltze, et al.</w:t>
            </w:r>
          </w:p>
        </w:tc>
        <w:tc>
          <w:tcPr>
            <w:tcW w:w="2101" w:type="dxa"/>
          </w:tcPr>
          <w:p w:rsidR="00DF60F4" w:rsidRPr="00D475C9" w:rsidP="00DF60F4" w14:paraId="59503048" w14:textId="2F0169AE">
            <w:pPr>
              <w:pStyle w:val="TableParagraph"/>
              <w:spacing w:line="252" w:lineRule="auto"/>
              <w:ind w:right="102"/>
              <w:rPr>
                <w:rFonts w:eastAsia="Times New Roman"/>
                <w:color w:val="000000"/>
                <w:sz w:val="12"/>
                <w:szCs w:val="12"/>
              </w:rPr>
            </w:pPr>
            <w:r w:rsidRPr="00D475C9">
              <w:rPr>
                <w:rFonts w:eastAsia="Times New Roman"/>
                <w:color w:val="000000"/>
                <w:sz w:val="12"/>
                <w:szCs w:val="12"/>
              </w:rPr>
              <w:t>Impact of warning labels on reducing health halo effects of nutrient content claims on breakfast cereal packages: A mixed-measures experiment</w:t>
            </w:r>
          </w:p>
        </w:tc>
        <w:tc>
          <w:tcPr>
            <w:tcW w:w="333" w:type="dxa"/>
          </w:tcPr>
          <w:p w:rsidR="00DF60F4" w:rsidRPr="00D475C9" w:rsidP="00DF60F4" w14:paraId="74592BF8" w14:textId="64400696">
            <w:pPr>
              <w:pStyle w:val="TableParagraph"/>
              <w:spacing w:line="140" w:lineRule="exact"/>
              <w:ind w:left="36"/>
              <w:rPr>
                <w:rFonts w:eastAsia="Times New Roman"/>
                <w:color w:val="00B050"/>
                <w:sz w:val="12"/>
                <w:szCs w:val="12"/>
              </w:rPr>
            </w:pPr>
            <w:r w:rsidRPr="00D475C9">
              <w:rPr>
                <w:rFonts w:eastAsia="Times New Roman"/>
                <w:color w:val="00B050"/>
                <w:sz w:val="12"/>
                <w:szCs w:val="12"/>
              </w:rPr>
              <w:t>2021</w:t>
            </w:r>
          </w:p>
        </w:tc>
        <w:tc>
          <w:tcPr>
            <w:tcW w:w="3555" w:type="dxa"/>
          </w:tcPr>
          <w:p w:rsidR="00DF60F4" w:rsidRPr="00D475C9" w:rsidP="00DF60F4" w14:paraId="1BF8C5ED" w14:textId="0749822F">
            <w:pPr>
              <w:pStyle w:val="TableParagraph"/>
              <w:spacing w:line="252" w:lineRule="auto"/>
              <w:ind w:left="29" w:right="173"/>
              <w:rPr>
                <w:rFonts w:eastAsia="Times New Roman"/>
                <w:color w:val="000000"/>
                <w:sz w:val="12"/>
                <w:szCs w:val="12"/>
              </w:rPr>
            </w:pPr>
            <w:r w:rsidRPr="00D475C9">
              <w:rPr>
                <w:rFonts w:eastAsia="Times New Roman"/>
                <w:sz w:val="12"/>
                <w:szCs w:val="12"/>
              </w:rPr>
              <w:t>Quantitative</w:t>
            </w:r>
            <w:r w:rsidRPr="00D475C9">
              <w:rPr>
                <w:rFonts w:eastAsia="Times New Roman"/>
                <w:sz w:val="12"/>
                <w:szCs w:val="12"/>
              </w:rPr>
              <w:br/>
              <w:t xml:space="preserve">1. 497 participants used an online questionnaire to view and rate cereal packages with warning labels with and without nutrition claims </w:t>
            </w:r>
          </w:p>
        </w:tc>
        <w:tc>
          <w:tcPr>
            <w:tcW w:w="1199" w:type="dxa"/>
          </w:tcPr>
          <w:p w:rsidR="00DF60F4" w:rsidRPr="00D475C9" w:rsidP="00DF60F4" w14:paraId="31CDE040" w14:textId="2A1408D0">
            <w:pPr>
              <w:pStyle w:val="TableParagraph"/>
              <w:spacing w:line="252" w:lineRule="auto"/>
              <w:ind w:right="121"/>
              <w:rPr>
                <w:rFonts w:eastAsia="Times New Roman"/>
                <w:color w:val="000000"/>
                <w:sz w:val="12"/>
                <w:szCs w:val="12"/>
              </w:rPr>
            </w:pPr>
            <w:r w:rsidRPr="00D475C9">
              <w:rPr>
                <w:rFonts w:eastAsia="Times New Roman"/>
                <w:sz w:val="12"/>
                <w:szCs w:val="12"/>
              </w:rPr>
              <w:t>1. Warning labels</w:t>
            </w:r>
            <w:r w:rsidRPr="00D475C9">
              <w:rPr>
                <w:rFonts w:eastAsia="Times New Roman"/>
                <w:sz w:val="12"/>
                <w:szCs w:val="12"/>
              </w:rPr>
              <w:br/>
              <w:t>2. Nutrient content claims</w:t>
            </w:r>
          </w:p>
        </w:tc>
        <w:tc>
          <w:tcPr>
            <w:tcW w:w="1204" w:type="dxa"/>
          </w:tcPr>
          <w:p w:rsidR="00DF60F4" w:rsidRPr="00D475C9" w:rsidP="00DF60F4" w14:paraId="4220D835" w14:textId="5DA2CED4">
            <w:pPr>
              <w:pStyle w:val="TableParagraph"/>
              <w:ind w:left="175"/>
              <w:rPr>
                <w:rFonts w:eastAsia="Times New Roman"/>
                <w:color w:val="000000"/>
                <w:sz w:val="12"/>
                <w:szCs w:val="12"/>
              </w:rPr>
            </w:pPr>
            <w:r w:rsidRPr="00D475C9">
              <w:rPr>
                <w:rFonts w:ascii="Times New Roman" w:eastAsia="Times New Roman" w:hAnsi="Times New Roman" w:cs="Times New Roman"/>
                <w:noProof/>
                <w:color w:val="000000"/>
                <w:sz w:val="12"/>
                <w:szCs w:val="12"/>
              </w:rPr>
              <w:drawing>
                <wp:anchor distT="0" distB="0" distL="114300" distR="114300" simplePos="0" relativeHeight="251695104" behindDoc="0" locked="0" layoutInCell="1" allowOverlap="1">
                  <wp:simplePos x="0" y="0"/>
                  <wp:positionH relativeFrom="column">
                    <wp:posOffset>38100</wp:posOffset>
                  </wp:positionH>
                  <wp:positionV relativeFrom="paragraph">
                    <wp:posOffset>85725</wp:posOffset>
                  </wp:positionV>
                  <wp:extent cx="640080" cy="338328"/>
                  <wp:effectExtent l="0" t="0" r="7620" b="508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29"/>
                          <pic:cNvPicPr>
                            <a:picLocks noChangeAspect="1"/>
                          </pic:cNvPicPr>
                        </pic:nvPicPr>
                        <pic:blipFill>
                          <a:blip xmlns:r="http://schemas.openxmlformats.org/officeDocument/2006/relationships" r:embed="rId8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0080" cy="338328"/>
                          </a:xfrm>
                          <a:prstGeom prst="rect">
                            <a:avLst/>
                          </a:prstGeom>
                        </pic:spPr>
                      </pic:pic>
                    </a:graphicData>
                  </a:graphic>
                  <wp14:sizeRelH relativeFrom="page">
                    <wp14:pctWidth>0</wp14:pctWidth>
                  </wp14:sizeRelH>
                  <wp14:sizeRelV relativeFrom="page">
                    <wp14:pctHeight>0</wp14:pctHeight>
                  </wp14:sizeRelV>
                </wp:anchor>
              </w:drawing>
            </w:r>
          </w:p>
        </w:tc>
        <w:tc>
          <w:tcPr>
            <w:tcW w:w="550" w:type="dxa"/>
          </w:tcPr>
          <w:p w:rsidR="00DF60F4" w:rsidRPr="00D475C9" w:rsidP="00DF60F4" w14:paraId="011344BF" w14:textId="321983E2">
            <w:pPr>
              <w:pStyle w:val="TableParagraph"/>
              <w:spacing w:line="140" w:lineRule="exact"/>
              <w:ind w:left="0" w:right="39"/>
              <w:jc w:val="center"/>
              <w:rPr>
                <w:rFonts w:eastAsia="Times New Roman"/>
                <w:color w:val="000000"/>
                <w:sz w:val="12"/>
                <w:szCs w:val="12"/>
              </w:rPr>
            </w:pPr>
            <w:r w:rsidRPr="00D475C9">
              <w:rPr>
                <w:rFonts w:eastAsia="Times New Roman"/>
                <w:sz w:val="12"/>
                <w:szCs w:val="12"/>
              </w:rPr>
              <w:t>Chile</w:t>
            </w:r>
          </w:p>
        </w:tc>
        <w:tc>
          <w:tcPr>
            <w:tcW w:w="3487" w:type="dxa"/>
          </w:tcPr>
          <w:p w:rsidR="00DF60F4" w:rsidRPr="00D475C9" w:rsidP="00DF60F4" w14:paraId="5B40FE8B" w14:textId="17E5523D">
            <w:pPr>
              <w:pStyle w:val="TableParagraph"/>
              <w:spacing w:line="252" w:lineRule="auto"/>
              <w:rPr>
                <w:rFonts w:eastAsia="Times New Roman"/>
                <w:color w:val="000000"/>
                <w:sz w:val="12"/>
                <w:szCs w:val="12"/>
              </w:rPr>
            </w:pPr>
            <w:r w:rsidRPr="00D475C9">
              <w:rPr>
                <w:rFonts w:eastAsia="Times New Roman"/>
                <w:sz w:val="12"/>
                <w:szCs w:val="12"/>
              </w:rPr>
              <w:t>1. No significant interaction between WL and NC claims</w:t>
            </w:r>
            <w:r w:rsidRPr="00D475C9">
              <w:rPr>
                <w:rFonts w:eastAsia="Times New Roman"/>
                <w:sz w:val="12"/>
                <w:szCs w:val="12"/>
              </w:rPr>
              <w:br/>
              <w:t xml:space="preserve">2. WL significantly reduced perception regardless of NC claims; warnings can mitigate the influence of NC claims on perceptions of healthiness </w:t>
            </w:r>
          </w:p>
        </w:tc>
      </w:tr>
      <w:tr w14:paraId="74B491C9" w14:textId="77777777" w:rsidTr="0079161F">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19DCBDFF" w14:textId="5390BF88">
            <w:pPr>
              <w:pStyle w:val="TableParagraph"/>
              <w:spacing w:line="252" w:lineRule="auto"/>
              <w:ind w:right="133"/>
              <w:rPr>
                <w:rFonts w:eastAsia="Times New Roman"/>
                <w:color w:val="000000"/>
                <w:sz w:val="12"/>
                <w:szCs w:val="12"/>
              </w:rPr>
            </w:pPr>
            <w:r w:rsidRPr="00D475C9">
              <w:rPr>
                <w:rFonts w:eastAsia="Times New Roman"/>
                <w:color w:val="000000"/>
                <w:sz w:val="12"/>
                <w:szCs w:val="12"/>
              </w:rPr>
              <w:t xml:space="preserve">Medina-Molina </w:t>
            </w:r>
          </w:p>
        </w:tc>
        <w:tc>
          <w:tcPr>
            <w:tcW w:w="2101" w:type="dxa"/>
          </w:tcPr>
          <w:p w:rsidR="00DF60F4" w:rsidRPr="00D475C9" w:rsidP="00DF60F4" w14:paraId="44719ECD" w14:textId="7310A848">
            <w:pPr>
              <w:pStyle w:val="TableParagraph"/>
              <w:spacing w:line="252" w:lineRule="auto"/>
              <w:ind w:right="102"/>
              <w:rPr>
                <w:rFonts w:eastAsia="Times New Roman"/>
                <w:color w:val="000000"/>
                <w:sz w:val="12"/>
                <w:szCs w:val="12"/>
              </w:rPr>
            </w:pPr>
            <w:r w:rsidRPr="00D475C9">
              <w:rPr>
                <w:rFonts w:eastAsia="Times New Roman"/>
                <w:color w:val="000000"/>
                <w:sz w:val="12"/>
                <w:szCs w:val="12"/>
              </w:rPr>
              <w:t>Analysis of the moderating effect of front-of-pack labelling on the relation between brand attitude and purchasing intention</w:t>
            </w:r>
          </w:p>
        </w:tc>
        <w:tc>
          <w:tcPr>
            <w:tcW w:w="333" w:type="dxa"/>
          </w:tcPr>
          <w:p w:rsidR="00DF60F4" w:rsidRPr="00D475C9" w:rsidP="00DF60F4" w14:paraId="55E5FD08" w14:textId="6114D73A">
            <w:pPr>
              <w:pStyle w:val="TableParagraph"/>
              <w:spacing w:line="140" w:lineRule="exact"/>
              <w:ind w:left="36"/>
              <w:rPr>
                <w:rFonts w:eastAsia="Times New Roman"/>
                <w:color w:val="00B050"/>
                <w:sz w:val="12"/>
                <w:szCs w:val="12"/>
              </w:rPr>
            </w:pPr>
            <w:r w:rsidRPr="00D475C9">
              <w:rPr>
                <w:rFonts w:eastAsia="Times New Roman"/>
                <w:color w:val="00B050"/>
                <w:sz w:val="12"/>
                <w:szCs w:val="12"/>
              </w:rPr>
              <w:t>2021</w:t>
            </w:r>
          </w:p>
        </w:tc>
        <w:tc>
          <w:tcPr>
            <w:tcW w:w="3555" w:type="dxa"/>
          </w:tcPr>
          <w:p w:rsidR="00DF60F4" w:rsidRPr="00D475C9" w:rsidP="00DF60F4" w14:paraId="7328FE96" w14:textId="75E23BA7">
            <w:pPr>
              <w:pStyle w:val="TableParagraph"/>
              <w:spacing w:line="252" w:lineRule="auto"/>
              <w:ind w:left="29" w:right="173"/>
              <w:rPr>
                <w:rFonts w:eastAsia="Times New Roman"/>
                <w:color w:val="000000"/>
                <w:sz w:val="12"/>
                <w:szCs w:val="12"/>
              </w:rPr>
            </w:pPr>
            <w:r w:rsidRPr="00D475C9">
              <w:rPr>
                <w:rFonts w:eastAsia="Times New Roman"/>
                <w:sz w:val="12"/>
                <w:szCs w:val="12"/>
              </w:rPr>
              <w:t>Quantitative</w:t>
            </w:r>
            <w:r w:rsidRPr="00D475C9">
              <w:rPr>
                <w:rFonts w:eastAsia="Times New Roman"/>
                <w:sz w:val="12"/>
                <w:szCs w:val="12"/>
              </w:rPr>
              <w:br/>
              <w:t xml:space="preserve">1. Participants viewed 5 products either with </w:t>
            </w:r>
            <w:r w:rsidR="004B6E26">
              <w:rPr>
                <w:rFonts w:eastAsia="Times New Roman"/>
                <w:sz w:val="12"/>
                <w:szCs w:val="12"/>
              </w:rPr>
              <w:t>Nutri-Score</w:t>
            </w:r>
            <w:r w:rsidRPr="00D475C9">
              <w:rPr>
                <w:rFonts w:eastAsia="Times New Roman"/>
                <w:sz w:val="12"/>
                <w:szCs w:val="12"/>
              </w:rPr>
              <w:t xml:space="preserve"> </w:t>
            </w:r>
            <w:r w:rsidR="004B6E26">
              <w:rPr>
                <w:rFonts w:eastAsia="Times New Roman"/>
                <w:sz w:val="12"/>
                <w:szCs w:val="12"/>
              </w:rPr>
              <w:t>FOP</w:t>
            </w:r>
            <w:r w:rsidRPr="00D475C9">
              <w:rPr>
                <w:rFonts w:eastAsia="Times New Roman"/>
                <w:sz w:val="12"/>
                <w:szCs w:val="12"/>
              </w:rPr>
              <w:t xml:space="preserve">s or without; products with </w:t>
            </w:r>
            <w:r w:rsidR="004B6E26">
              <w:rPr>
                <w:rFonts w:eastAsia="Times New Roman"/>
                <w:sz w:val="12"/>
                <w:szCs w:val="12"/>
              </w:rPr>
              <w:t>Nutri-Score</w:t>
            </w:r>
            <w:r w:rsidRPr="00D475C9">
              <w:rPr>
                <w:rFonts w:eastAsia="Times New Roman"/>
                <w:sz w:val="12"/>
                <w:szCs w:val="12"/>
              </w:rPr>
              <w:t xml:space="preserve"> had grades of A through E; questionnaire assessed participant's attitude toward the brand and intent to purchase the products</w:t>
            </w:r>
          </w:p>
        </w:tc>
        <w:tc>
          <w:tcPr>
            <w:tcW w:w="1199" w:type="dxa"/>
          </w:tcPr>
          <w:p w:rsidR="00DF60F4" w:rsidRPr="00D475C9" w:rsidP="00DF60F4" w14:paraId="06BBA2CD" w14:textId="03176DDB">
            <w:pPr>
              <w:pStyle w:val="TableParagraph"/>
              <w:spacing w:line="252" w:lineRule="auto"/>
              <w:ind w:right="121"/>
              <w:rPr>
                <w:rFonts w:eastAsia="Times New Roman"/>
                <w:color w:val="000000"/>
                <w:sz w:val="12"/>
                <w:szCs w:val="12"/>
              </w:rPr>
            </w:pPr>
            <w:r w:rsidRPr="00D475C9">
              <w:rPr>
                <w:rFonts w:eastAsia="Times New Roman"/>
                <w:sz w:val="12"/>
                <w:szCs w:val="12"/>
              </w:rPr>
              <w:t xml:space="preserve">1. </w:t>
            </w:r>
            <w:r w:rsidR="004B6E26">
              <w:rPr>
                <w:rFonts w:eastAsia="Times New Roman"/>
                <w:sz w:val="12"/>
                <w:szCs w:val="12"/>
              </w:rPr>
              <w:t>Nutri-Score</w:t>
            </w:r>
          </w:p>
        </w:tc>
        <w:tc>
          <w:tcPr>
            <w:tcW w:w="1204" w:type="dxa"/>
          </w:tcPr>
          <w:p w:rsidR="00DF60F4" w:rsidRPr="00D475C9" w:rsidP="00DF60F4" w14:paraId="676151EF" w14:textId="082194BB">
            <w:pPr>
              <w:pStyle w:val="TableParagraph"/>
              <w:ind w:left="175"/>
              <w:rPr>
                <w:rFonts w:eastAsia="Times New Roman"/>
                <w:color w:val="000000"/>
                <w:sz w:val="12"/>
                <w:szCs w:val="12"/>
              </w:rPr>
            </w:pPr>
            <w:r w:rsidRPr="00D475C9">
              <w:rPr>
                <w:rFonts w:ascii="Times New Roman" w:eastAsia="Times New Roman" w:hAnsi="Times New Roman" w:cs="Times New Roman"/>
                <w:noProof/>
                <w:color w:val="000000"/>
                <w:sz w:val="12"/>
                <w:szCs w:val="12"/>
              </w:rPr>
              <w:drawing>
                <wp:anchor distT="0" distB="0" distL="114300" distR="114300" simplePos="0" relativeHeight="251696128" behindDoc="0" locked="0" layoutInCell="1" allowOverlap="1">
                  <wp:simplePos x="0" y="0"/>
                  <wp:positionH relativeFrom="column">
                    <wp:posOffset>-1905</wp:posOffset>
                  </wp:positionH>
                  <wp:positionV relativeFrom="paragraph">
                    <wp:posOffset>8255</wp:posOffset>
                  </wp:positionV>
                  <wp:extent cx="647700" cy="238125"/>
                  <wp:effectExtent l="0" t="0" r="0" b="9525"/>
                  <wp:wrapNone/>
                  <wp:docPr id="163" name="Picture 163" descr="Graphical user interface&#10;&#10;Description automatically generated with medium confidence">
                    <a:extLst xmlns:a="http://schemas.openxmlformats.org/drawingml/2006/main">
                      <a:ext xmlns:a="http://schemas.openxmlformats.org/drawingml/2006/main" uri="{FF2B5EF4-FFF2-40B4-BE49-F238E27FC236}">
                        <a16:creationId xmlns:a16="http://schemas.microsoft.com/office/drawing/2014/main" id="{04833AF8-41C6-4DA5-857B-AD5E2B9E9AA4}"/>
                      </a:ext>
                    </a:extLst>
                  </wp:docPr>
                  <wp:cNvGraphicFramePr/>
                  <a:graphic xmlns:a="http://schemas.openxmlformats.org/drawingml/2006/main">
                    <a:graphicData uri="http://schemas.openxmlformats.org/drawingml/2006/picture">
                      <pic:pic xmlns:pic="http://schemas.openxmlformats.org/drawingml/2006/picture">
                        <pic:nvPicPr>
                          <pic:cNvPr id="163" name="Picture 4" descr="Graphical user interface&#10;&#10;Description automatically generated with medium confidence">
                            <a:extLst>
                              <a:ext xmlns:a="http://schemas.openxmlformats.org/drawingml/2006/main" uri="{FF2B5EF4-FFF2-40B4-BE49-F238E27FC236}">
                                <a16:creationId xmlns:a16="http://schemas.microsoft.com/office/drawing/2014/main" id="{04833AF8-41C6-4DA5-857B-AD5E2B9E9AA4}"/>
                              </a:ext>
                            </a:extLst>
                          </pic:cNvPr>
                          <pic:cNvPicPr>
                            <a:picLocks noChangeAspect="1" noChangeArrowheads="1"/>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47700" cy="238125"/>
                          </a:xfrm>
                          <a:prstGeom prst="rect">
                            <a:avLst/>
                          </a:prstGeom>
                          <a:noFill/>
                        </pic:spPr>
                      </pic:pic>
                    </a:graphicData>
                  </a:graphic>
                  <wp14:sizeRelH relativeFrom="page">
                    <wp14:pctWidth>0</wp14:pctWidth>
                  </wp14:sizeRelH>
                  <wp14:sizeRelV relativeFrom="page">
                    <wp14:pctHeight>0</wp14:pctHeight>
                  </wp14:sizeRelV>
                </wp:anchor>
              </w:drawing>
            </w:r>
          </w:p>
        </w:tc>
        <w:tc>
          <w:tcPr>
            <w:tcW w:w="550" w:type="dxa"/>
          </w:tcPr>
          <w:p w:rsidR="00DF60F4" w:rsidRPr="00D475C9" w:rsidP="00DF60F4" w14:paraId="1B913842" w14:textId="726FBDAC">
            <w:pPr>
              <w:pStyle w:val="TableParagraph"/>
              <w:spacing w:line="140" w:lineRule="exact"/>
              <w:ind w:left="0" w:right="39"/>
              <w:jc w:val="center"/>
              <w:rPr>
                <w:rFonts w:eastAsia="Times New Roman"/>
                <w:color w:val="000000"/>
                <w:sz w:val="12"/>
                <w:szCs w:val="12"/>
              </w:rPr>
            </w:pPr>
            <w:r w:rsidRPr="00D475C9">
              <w:rPr>
                <w:rFonts w:eastAsia="Times New Roman"/>
                <w:sz w:val="12"/>
                <w:szCs w:val="12"/>
              </w:rPr>
              <w:t>Spain</w:t>
            </w:r>
          </w:p>
        </w:tc>
        <w:tc>
          <w:tcPr>
            <w:tcW w:w="3487" w:type="dxa"/>
          </w:tcPr>
          <w:p w:rsidR="00DF60F4" w:rsidRPr="00D475C9" w:rsidP="00DF60F4" w14:paraId="2D280E2D" w14:textId="34DE2B86">
            <w:pPr>
              <w:pStyle w:val="TableParagraph"/>
              <w:spacing w:line="252" w:lineRule="auto"/>
              <w:rPr>
                <w:rFonts w:eastAsia="Times New Roman"/>
                <w:color w:val="000000"/>
                <w:sz w:val="12"/>
                <w:szCs w:val="12"/>
              </w:rPr>
            </w:pPr>
            <w:r w:rsidRPr="00D475C9">
              <w:rPr>
                <w:rFonts w:eastAsia="Times New Roman"/>
                <w:sz w:val="12"/>
                <w:szCs w:val="12"/>
              </w:rPr>
              <w:t xml:space="preserve">1. </w:t>
            </w:r>
            <w:r w:rsidR="004B6E26">
              <w:rPr>
                <w:rFonts w:eastAsia="Times New Roman"/>
                <w:sz w:val="12"/>
                <w:szCs w:val="12"/>
              </w:rPr>
              <w:t>FOP</w:t>
            </w:r>
            <w:r w:rsidRPr="00D475C9">
              <w:rPr>
                <w:rFonts w:eastAsia="Times New Roman"/>
                <w:sz w:val="12"/>
                <w:szCs w:val="12"/>
              </w:rPr>
              <w:t xml:space="preserve"> does not modify the relation between brand attitude and purchase intent, though some variation by gender. </w:t>
            </w:r>
          </w:p>
        </w:tc>
      </w:tr>
      <w:tr w14:paraId="697DBB45" w14:textId="77777777" w:rsidTr="4C9BFAA2">
        <w:tblPrEx>
          <w:tblW w:w="0" w:type="auto"/>
          <w:tblInd w:w="100" w:type="dxa"/>
          <w:tblLayout w:type="fixed"/>
          <w:tblCellMar>
            <w:left w:w="0" w:type="dxa"/>
            <w:right w:w="0" w:type="dxa"/>
          </w:tblCellMar>
          <w:tblLook w:val="01E0"/>
        </w:tblPrEx>
        <w:trPr>
          <w:trHeight w:val="1128"/>
        </w:trPr>
        <w:tc>
          <w:tcPr>
            <w:tcW w:w="1036" w:type="dxa"/>
            <w:tcBorders>
              <w:bottom w:val="single" w:sz="6" w:space="0" w:color="000000" w:themeColor="text1"/>
            </w:tcBorders>
          </w:tcPr>
          <w:p w:rsidR="00DF60F4" w:rsidRPr="00D475C9" w:rsidP="00DF60F4" w14:paraId="3F0616E6" w14:textId="13FF8F09">
            <w:pPr>
              <w:pStyle w:val="TableParagraph"/>
              <w:spacing w:line="252" w:lineRule="auto"/>
              <w:ind w:right="133"/>
              <w:rPr>
                <w:rFonts w:eastAsia="Times New Roman"/>
                <w:color w:val="000000"/>
                <w:sz w:val="12"/>
                <w:szCs w:val="12"/>
              </w:rPr>
            </w:pPr>
            <w:r w:rsidRPr="00D475C9">
              <w:rPr>
                <w:rFonts w:eastAsia="Times New Roman"/>
                <w:color w:val="000000"/>
                <w:sz w:val="12"/>
                <w:szCs w:val="12"/>
              </w:rPr>
              <w:t>Roudsari; Pouri Hosseini; Bonab; Zahedi-rad; Nasrabadi; Zargaraan</w:t>
            </w:r>
          </w:p>
        </w:tc>
        <w:tc>
          <w:tcPr>
            <w:tcW w:w="2101" w:type="dxa"/>
            <w:tcBorders>
              <w:bottom w:val="single" w:sz="6" w:space="0" w:color="000000" w:themeColor="text1"/>
            </w:tcBorders>
          </w:tcPr>
          <w:p w:rsidR="00DF60F4" w:rsidRPr="00D475C9" w:rsidP="00DF60F4" w14:paraId="67A93D7C" w14:textId="4E1EF6AE">
            <w:pPr>
              <w:pStyle w:val="TableParagraph"/>
              <w:spacing w:line="252" w:lineRule="auto"/>
              <w:ind w:right="102"/>
              <w:rPr>
                <w:rFonts w:eastAsia="Times New Roman"/>
                <w:color w:val="000000"/>
                <w:sz w:val="12"/>
                <w:szCs w:val="12"/>
              </w:rPr>
            </w:pPr>
            <w:r w:rsidRPr="00D475C9">
              <w:rPr>
                <w:rFonts w:eastAsia="Times New Roman"/>
                <w:color w:val="000000"/>
                <w:sz w:val="12"/>
                <w:szCs w:val="12"/>
              </w:rPr>
              <w:t>Consumers' perception of nutritional facts table and nutritional traffic light in food products' labelling: A qualitative study</w:t>
            </w:r>
          </w:p>
        </w:tc>
        <w:tc>
          <w:tcPr>
            <w:tcW w:w="333" w:type="dxa"/>
            <w:tcBorders>
              <w:bottom w:val="single" w:sz="6" w:space="0" w:color="000000" w:themeColor="text1"/>
            </w:tcBorders>
          </w:tcPr>
          <w:p w:rsidR="00DF60F4" w:rsidRPr="00D475C9" w:rsidP="00DF60F4" w14:paraId="62A8A645" w14:textId="14EA43B6">
            <w:pPr>
              <w:pStyle w:val="TableParagraph"/>
              <w:spacing w:line="140" w:lineRule="exact"/>
              <w:ind w:left="36"/>
              <w:rPr>
                <w:rFonts w:eastAsia="Times New Roman"/>
                <w:color w:val="00B050"/>
                <w:sz w:val="12"/>
                <w:szCs w:val="12"/>
              </w:rPr>
            </w:pPr>
            <w:r w:rsidRPr="00D475C9">
              <w:rPr>
                <w:rFonts w:eastAsia="Times New Roman"/>
                <w:color w:val="00B050"/>
                <w:sz w:val="12"/>
                <w:szCs w:val="12"/>
              </w:rPr>
              <w:t>2021</w:t>
            </w:r>
          </w:p>
        </w:tc>
        <w:tc>
          <w:tcPr>
            <w:tcW w:w="3555" w:type="dxa"/>
            <w:tcBorders>
              <w:bottom w:val="single" w:sz="6" w:space="0" w:color="000000" w:themeColor="text1"/>
            </w:tcBorders>
          </w:tcPr>
          <w:p w:rsidR="00DF60F4" w:rsidRPr="00D475C9" w:rsidP="00DF60F4" w14:paraId="7AFF984E" w14:textId="7A345011">
            <w:pPr>
              <w:pStyle w:val="TableParagraph"/>
              <w:spacing w:line="252" w:lineRule="auto"/>
              <w:ind w:left="29" w:right="173"/>
              <w:rPr>
                <w:rFonts w:eastAsia="Times New Roman"/>
                <w:color w:val="000000"/>
                <w:sz w:val="12"/>
                <w:szCs w:val="12"/>
              </w:rPr>
            </w:pPr>
            <w:r w:rsidRPr="00D475C9">
              <w:rPr>
                <w:rFonts w:eastAsia="Times New Roman"/>
                <w:color w:val="000000"/>
                <w:sz w:val="12"/>
                <w:szCs w:val="12"/>
              </w:rPr>
              <w:t>Qualitative</w:t>
            </w:r>
            <w:r w:rsidRPr="00D475C9">
              <w:rPr>
                <w:rFonts w:eastAsia="Times New Roman"/>
                <w:color w:val="000000"/>
                <w:sz w:val="12"/>
                <w:szCs w:val="12"/>
              </w:rPr>
              <w:br/>
              <w:t>1. Interviewed 40 participants to determine knowledge, concept and views of Nutrition Facts Table and Traffic Light Labels</w:t>
            </w:r>
          </w:p>
        </w:tc>
        <w:tc>
          <w:tcPr>
            <w:tcW w:w="1199" w:type="dxa"/>
            <w:tcBorders>
              <w:bottom w:val="single" w:sz="6" w:space="0" w:color="000000" w:themeColor="text1"/>
            </w:tcBorders>
          </w:tcPr>
          <w:p w:rsidR="00DF60F4" w:rsidRPr="00D475C9" w:rsidP="00DF60F4" w14:paraId="3A82D01D" w14:textId="43F089CC">
            <w:pPr>
              <w:pStyle w:val="TableParagraph"/>
              <w:spacing w:line="252" w:lineRule="auto"/>
              <w:ind w:right="121"/>
              <w:rPr>
                <w:rFonts w:eastAsia="Times New Roman"/>
                <w:color w:val="000000"/>
                <w:sz w:val="12"/>
                <w:szCs w:val="12"/>
              </w:rPr>
            </w:pPr>
            <w:r w:rsidRPr="00D475C9">
              <w:rPr>
                <w:rFonts w:eastAsia="Times New Roman"/>
                <w:color w:val="000000"/>
                <w:sz w:val="12"/>
                <w:szCs w:val="12"/>
              </w:rPr>
              <w:t>1. Traffic Light Label</w:t>
            </w:r>
          </w:p>
        </w:tc>
        <w:tc>
          <w:tcPr>
            <w:tcW w:w="1204" w:type="dxa"/>
            <w:tcBorders>
              <w:bottom w:val="single" w:sz="6" w:space="0" w:color="000000" w:themeColor="text1"/>
            </w:tcBorders>
            <w:vAlign w:val="bottom"/>
          </w:tcPr>
          <w:p w:rsidR="00DF60F4" w:rsidRPr="00D475C9" w:rsidP="00DF60F4" w14:paraId="7DE3270E" w14:textId="61239C76">
            <w:pPr>
              <w:spacing w:after="0" w:line="240" w:lineRule="auto"/>
              <w:rPr>
                <w:rFonts w:ascii="Calibri" w:eastAsia="Times New Roman" w:hAnsi="Calibri" w:cs="Calibri"/>
                <w:color w:val="000000"/>
                <w:sz w:val="12"/>
                <w:szCs w:val="12"/>
                <w:lang w:eastAsia="en-US"/>
              </w:rPr>
            </w:pPr>
          </w:p>
          <w:tbl>
            <w:tblPr>
              <w:tblW w:w="0" w:type="auto"/>
              <w:tblCellSpacing w:w="0" w:type="dxa"/>
              <w:tblLayout w:type="fixed"/>
              <w:tblCellMar>
                <w:left w:w="0" w:type="dxa"/>
                <w:right w:w="0" w:type="dxa"/>
              </w:tblCellMar>
              <w:tblLook w:val="04A0"/>
            </w:tblPr>
            <w:tblGrid>
              <w:gridCol w:w="3160"/>
            </w:tblGrid>
            <w:tr w14:paraId="5057C940" w14:textId="77777777" w:rsidTr="00DF60F4">
              <w:tblPrEx>
                <w:tblW w:w="0" w:type="auto"/>
                <w:tblCellSpacing w:w="0" w:type="dxa"/>
                <w:tblLayout w:type="fixed"/>
                <w:tblCellMar>
                  <w:left w:w="0" w:type="dxa"/>
                  <w:right w:w="0" w:type="dxa"/>
                </w:tblCellMar>
                <w:tblLook w:val="04A0"/>
              </w:tblPrEx>
              <w:trPr>
                <w:trHeight w:val="1845"/>
                <w:tblCellSpacing w:w="0" w:type="dxa"/>
              </w:trPr>
              <w:tc>
                <w:tcPr>
                  <w:tcW w:w="3160" w:type="dxa"/>
                  <w:tcBorders>
                    <w:top w:val="nil"/>
                    <w:left w:val="nil"/>
                    <w:bottom w:val="single" w:sz="4" w:space="0" w:color="auto"/>
                    <w:right w:val="single" w:sz="4" w:space="0" w:color="auto"/>
                  </w:tcBorders>
                  <w:shd w:val="clear" w:color="auto" w:fill="auto"/>
                  <w:noWrap/>
                  <w:hideMark/>
                </w:tcPr>
                <w:p w:rsidR="00DF60F4" w:rsidRPr="00D475C9" w:rsidP="00DF60F4" w14:paraId="0E5E3D06" w14:textId="2E36389B">
                  <w:pPr>
                    <w:spacing w:after="0" w:line="240" w:lineRule="auto"/>
                    <w:rPr>
                      <w:rFonts w:ascii="Calibri" w:eastAsia="Times New Roman" w:hAnsi="Calibri" w:cs="Calibri"/>
                      <w:color w:val="000000"/>
                      <w:sz w:val="12"/>
                      <w:szCs w:val="12"/>
                      <w:lang w:eastAsia="en-US"/>
                    </w:rPr>
                  </w:pPr>
                  <w:r w:rsidRPr="00D475C9">
                    <w:rPr>
                      <w:rFonts w:ascii="Calibri" w:eastAsia="Times New Roman" w:hAnsi="Calibri" w:cs="Calibri"/>
                      <w:noProof/>
                      <w:color w:val="000000"/>
                      <w:sz w:val="12"/>
                      <w:szCs w:val="12"/>
                      <w:lang w:eastAsia="en-US"/>
                    </w:rPr>
                    <w:drawing>
                      <wp:anchor distT="0" distB="0" distL="114300" distR="114300" simplePos="0" relativeHeight="251697152" behindDoc="0" locked="0" layoutInCell="1" allowOverlap="1">
                        <wp:simplePos x="0" y="0"/>
                        <wp:positionH relativeFrom="column">
                          <wp:posOffset>36195</wp:posOffset>
                        </wp:positionH>
                        <wp:positionV relativeFrom="paragraph">
                          <wp:posOffset>-68580</wp:posOffset>
                        </wp:positionV>
                        <wp:extent cx="640080" cy="530225"/>
                        <wp:effectExtent l="0" t="0" r="7620" b="317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34"/>
                                <pic:cNvPicPr>
                                  <a:picLocks noChangeAspect="1"/>
                                </pic:cNvPicPr>
                              </pic:nvPicPr>
                              <pic:blipFill>
                                <a:blip xmlns:r="http://schemas.openxmlformats.org/officeDocument/2006/relationships" r:embed="rId82"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0080" cy="530225"/>
                                </a:xfrm>
                                <a:prstGeom prst="rect">
                                  <a:avLst/>
                                </a:prstGeom>
                              </pic:spPr>
                            </pic:pic>
                          </a:graphicData>
                        </a:graphic>
                        <wp14:sizeRelH relativeFrom="page">
                          <wp14:pctWidth>0</wp14:pctWidth>
                        </wp14:sizeRelH>
                        <wp14:sizeRelV relativeFrom="page">
                          <wp14:pctHeight>0</wp14:pctHeight>
                        </wp14:sizeRelV>
                      </wp:anchor>
                    </w:drawing>
                  </w:r>
                  <w:r w:rsidRPr="00D475C9">
                    <w:rPr>
                      <w:rFonts w:ascii="Calibri" w:eastAsia="Times New Roman" w:hAnsi="Calibri" w:cs="Calibri"/>
                      <w:color w:val="000000"/>
                      <w:sz w:val="12"/>
                      <w:szCs w:val="12"/>
                      <w:lang w:eastAsia="en-US"/>
                    </w:rPr>
                    <w:t> </w:t>
                  </w:r>
                </w:p>
              </w:tc>
            </w:tr>
          </w:tbl>
          <w:p w:rsidR="00DF60F4" w:rsidRPr="00D475C9" w:rsidP="00DF60F4" w14:paraId="4776B20A" w14:textId="77777777">
            <w:pPr>
              <w:pStyle w:val="TableParagraph"/>
              <w:ind w:left="175"/>
              <w:rPr>
                <w:rFonts w:eastAsia="Times New Roman"/>
                <w:color w:val="000000"/>
                <w:sz w:val="12"/>
                <w:szCs w:val="12"/>
              </w:rPr>
            </w:pPr>
          </w:p>
        </w:tc>
        <w:tc>
          <w:tcPr>
            <w:tcW w:w="550" w:type="dxa"/>
            <w:tcBorders>
              <w:bottom w:val="single" w:sz="6" w:space="0" w:color="000000" w:themeColor="text1"/>
            </w:tcBorders>
          </w:tcPr>
          <w:p w:rsidR="00DF60F4" w:rsidRPr="00D475C9" w:rsidP="00DF60F4" w14:paraId="2F990ABE" w14:textId="6AAADAB9">
            <w:pPr>
              <w:pStyle w:val="TableParagraph"/>
              <w:spacing w:line="140" w:lineRule="exact"/>
              <w:ind w:left="0" w:right="39"/>
              <w:jc w:val="center"/>
              <w:rPr>
                <w:rFonts w:eastAsia="Times New Roman"/>
                <w:color w:val="000000"/>
                <w:sz w:val="12"/>
                <w:szCs w:val="12"/>
              </w:rPr>
            </w:pPr>
            <w:r w:rsidRPr="00D475C9">
              <w:rPr>
                <w:rFonts w:eastAsia="Times New Roman"/>
                <w:color w:val="000000"/>
                <w:sz w:val="12"/>
                <w:szCs w:val="12"/>
              </w:rPr>
              <w:t>Iran</w:t>
            </w:r>
          </w:p>
        </w:tc>
        <w:tc>
          <w:tcPr>
            <w:tcW w:w="3487" w:type="dxa"/>
            <w:tcBorders>
              <w:bottom w:val="single" w:sz="6" w:space="0" w:color="000000" w:themeColor="text1"/>
            </w:tcBorders>
          </w:tcPr>
          <w:p w:rsidR="00DF60F4" w:rsidRPr="00D475C9" w:rsidP="00DF60F4" w14:paraId="1D3DDE16" w14:textId="3795DA54">
            <w:pPr>
              <w:pStyle w:val="TableParagraph"/>
              <w:spacing w:line="252" w:lineRule="auto"/>
              <w:rPr>
                <w:rFonts w:eastAsia="Times New Roman"/>
                <w:color w:val="000000"/>
                <w:sz w:val="12"/>
                <w:szCs w:val="12"/>
              </w:rPr>
            </w:pPr>
            <w:r w:rsidRPr="00D475C9">
              <w:rPr>
                <w:rFonts w:eastAsia="Times New Roman"/>
                <w:color w:val="000000"/>
                <w:sz w:val="12"/>
                <w:szCs w:val="12"/>
              </w:rPr>
              <w:t>1. Large number of participants not aware of NFT or TLL</w:t>
            </w:r>
            <w:r w:rsidRPr="00D475C9">
              <w:rPr>
                <w:rFonts w:eastAsia="Times New Roman"/>
                <w:color w:val="000000"/>
                <w:sz w:val="12"/>
                <w:szCs w:val="12"/>
              </w:rPr>
              <w:br/>
              <w:t>2. Several reasons for lack of attention to the labels: lack of knowledge about NFT and TLL concepts and defects in appearance and details written in the labels, lack of education about labels, position of labels, lack of time to use labels during shopping</w:t>
            </w:r>
          </w:p>
        </w:tc>
      </w:tr>
      <w:tr w14:paraId="1E03DC64" w14:textId="77777777" w:rsidTr="000444F6">
        <w:tblPrEx>
          <w:tblW w:w="0" w:type="auto"/>
          <w:tblInd w:w="100" w:type="dxa"/>
          <w:tblLayout w:type="fixed"/>
          <w:tblCellMar>
            <w:left w:w="0" w:type="dxa"/>
            <w:right w:w="0" w:type="dxa"/>
          </w:tblCellMar>
          <w:tblLook w:val="01E0"/>
        </w:tblPrEx>
        <w:trPr>
          <w:trHeight w:val="1128"/>
        </w:trPr>
        <w:tc>
          <w:tcPr>
            <w:tcW w:w="1036" w:type="dxa"/>
            <w:tcBorders>
              <w:left w:val="nil"/>
              <w:bottom w:val="nil"/>
              <w:right w:val="nil"/>
            </w:tcBorders>
          </w:tcPr>
          <w:p w:rsidR="000444F6" w:rsidRPr="00D475C9" w:rsidP="00DF60F4" w14:paraId="04D3EC9D" w14:textId="77777777">
            <w:pPr>
              <w:pStyle w:val="TableParagraph"/>
              <w:spacing w:line="252" w:lineRule="auto"/>
              <w:ind w:right="133"/>
              <w:rPr>
                <w:rFonts w:eastAsia="Times New Roman"/>
                <w:color w:val="000000"/>
                <w:sz w:val="12"/>
                <w:szCs w:val="12"/>
              </w:rPr>
            </w:pPr>
          </w:p>
        </w:tc>
        <w:tc>
          <w:tcPr>
            <w:tcW w:w="2101" w:type="dxa"/>
            <w:tcBorders>
              <w:left w:val="nil"/>
              <w:bottom w:val="nil"/>
              <w:right w:val="nil"/>
            </w:tcBorders>
          </w:tcPr>
          <w:p w:rsidR="000444F6" w:rsidRPr="00D475C9" w:rsidP="00DF60F4" w14:paraId="512907D2" w14:textId="77777777">
            <w:pPr>
              <w:pStyle w:val="TableParagraph"/>
              <w:spacing w:line="252" w:lineRule="auto"/>
              <w:ind w:right="102"/>
              <w:rPr>
                <w:rFonts w:eastAsia="Times New Roman"/>
                <w:color w:val="000000"/>
                <w:sz w:val="12"/>
                <w:szCs w:val="12"/>
              </w:rPr>
            </w:pPr>
          </w:p>
        </w:tc>
        <w:tc>
          <w:tcPr>
            <w:tcW w:w="333" w:type="dxa"/>
            <w:tcBorders>
              <w:left w:val="nil"/>
              <w:bottom w:val="nil"/>
              <w:right w:val="nil"/>
            </w:tcBorders>
          </w:tcPr>
          <w:p w:rsidR="000444F6" w:rsidRPr="00D475C9" w:rsidP="00DF60F4" w14:paraId="2E1DD364" w14:textId="77777777">
            <w:pPr>
              <w:pStyle w:val="TableParagraph"/>
              <w:spacing w:line="140" w:lineRule="exact"/>
              <w:ind w:left="36"/>
              <w:rPr>
                <w:rFonts w:eastAsia="Times New Roman"/>
                <w:color w:val="00B050"/>
                <w:sz w:val="12"/>
                <w:szCs w:val="12"/>
              </w:rPr>
            </w:pPr>
          </w:p>
        </w:tc>
        <w:tc>
          <w:tcPr>
            <w:tcW w:w="3555" w:type="dxa"/>
            <w:tcBorders>
              <w:left w:val="nil"/>
              <w:bottom w:val="nil"/>
              <w:right w:val="nil"/>
            </w:tcBorders>
          </w:tcPr>
          <w:p w:rsidR="000444F6" w:rsidRPr="00D475C9" w:rsidP="00DF60F4" w14:paraId="49435D79" w14:textId="77777777">
            <w:pPr>
              <w:pStyle w:val="TableParagraph"/>
              <w:spacing w:line="252" w:lineRule="auto"/>
              <w:ind w:left="29" w:right="173"/>
              <w:rPr>
                <w:rFonts w:eastAsia="Times New Roman"/>
                <w:sz w:val="12"/>
                <w:szCs w:val="12"/>
              </w:rPr>
            </w:pPr>
          </w:p>
        </w:tc>
        <w:tc>
          <w:tcPr>
            <w:tcW w:w="1199" w:type="dxa"/>
            <w:tcBorders>
              <w:left w:val="nil"/>
              <w:bottom w:val="nil"/>
              <w:right w:val="nil"/>
            </w:tcBorders>
          </w:tcPr>
          <w:p w:rsidR="000444F6" w:rsidRPr="00D475C9" w:rsidP="00DF60F4" w14:paraId="3865C300" w14:textId="77777777">
            <w:pPr>
              <w:pStyle w:val="TableParagraph"/>
              <w:spacing w:line="252" w:lineRule="auto"/>
              <w:ind w:right="121"/>
              <w:rPr>
                <w:rFonts w:eastAsia="Times New Roman"/>
                <w:sz w:val="12"/>
                <w:szCs w:val="12"/>
              </w:rPr>
            </w:pPr>
          </w:p>
        </w:tc>
        <w:tc>
          <w:tcPr>
            <w:tcW w:w="1204" w:type="dxa"/>
            <w:tcBorders>
              <w:left w:val="nil"/>
              <w:bottom w:val="nil"/>
              <w:right w:val="nil"/>
            </w:tcBorders>
          </w:tcPr>
          <w:p w:rsidR="000444F6" w:rsidRPr="00D475C9" w:rsidP="00DF60F4" w14:paraId="32F69AE3" w14:textId="77777777">
            <w:pPr>
              <w:spacing w:after="0" w:line="240" w:lineRule="auto"/>
              <w:rPr>
                <w:rFonts w:ascii="Calibri" w:eastAsia="Times New Roman" w:hAnsi="Calibri" w:cs="Calibri"/>
                <w:color w:val="000000"/>
                <w:sz w:val="12"/>
                <w:szCs w:val="12"/>
                <w:lang w:eastAsia="en-US"/>
              </w:rPr>
            </w:pPr>
          </w:p>
        </w:tc>
        <w:tc>
          <w:tcPr>
            <w:tcW w:w="550" w:type="dxa"/>
            <w:tcBorders>
              <w:left w:val="nil"/>
              <w:bottom w:val="nil"/>
              <w:right w:val="nil"/>
            </w:tcBorders>
          </w:tcPr>
          <w:p w:rsidR="000444F6" w:rsidRPr="00D475C9" w:rsidP="00DF60F4" w14:paraId="39A0BFAC" w14:textId="77777777">
            <w:pPr>
              <w:pStyle w:val="TableParagraph"/>
              <w:spacing w:line="140" w:lineRule="exact"/>
              <w:ind w:left="0" w:right="39"/>
              <w:jc w:val="center"/>
              <w:rPr>
                <w:rFonts w:eastAsia="Times New Roman"/>
                <w:color w:val="000000"/>
                <w:sz w:val="12"/>
                <w:szCs w:val="12"/>
              </w:rPr>
            </w:pPr>
          </w:p>
        </w:tc>
        <w:tc>
          <w:tcPr>
            <w:tcW w:w="3487" w:type="dxa"/>
            <w:tcBorders>
              <w:left w:val="nil"/>
              <w:bottom w:val="nil"/>
              <w:right w:val="nil"/>
            </w:tcBorders>
          </w:tcPr>
          <w:p w:rsidR="000444F6" w:rsidRPr="00D475C9" w:rsidP="00DF60F4" w14:paraId="66E5EEB7" w14:textId="77777777">
            <w:pPr>
              <w:pStyle w:val="TableParagraph"/>
              <w:spacing w:line="252" w:lineRule="auto"/>
              <w:rPr>
                <w:rFonts w:eastAsia="Times New Roman"/>
                <w:sz w:val="12"/>
                <w:szCs w:val="12"/>
              </w:rPr>
            </w:pPr>
          </w:p>
        </w:tc>
      </w:tr>
      <w:tr w14:paraId="1150F4E0" w14:textId="77777777" w:rsidTr="000444F6">
        <w:tblPrEx>
          <w:tblW w:w="0" w:type="auto"/>
          <w:tblInd w:w="100" w:type="dxa"/>
          <w:tblLayout w:type="fixed"/>
          <w:tblCellMar>
            <w:left w:w="0" w:type="dxa"/>
            <w:right w:w="0" w:type="dxa"/>
          </w:tblCellMar>
          <w:tblLook w:val="01E0"/>
        </w:tblPrEx>
        <w:trPr>
          <w:trHeight w:val="1128"/>
        </w:trPr>
        <w:tc>
          <w:tcPr>
            <w:tcW w:w="1036" w:type="dxa"/>
            <w:tcBorders>
              <w:top w:val="nil"/>
            </w:tcBorders>
          </w:tcPr>
          <w:p w:rsidR="00DF60F4" w:rsidRPr="00D475C9" w:rsidP="00DF60F4" w14:paraId="4479D905" w14:textId="19E71568">
            <w:pPr>
              <w:pStyle w:val="TableParagraph"/>
              <w:spacing w:line="252" w:lineRule="auto"/>
              <w:ind w:right="133"/>
              <w:rPr>
                <w:rFonts w:eastAsia="Times New Roman"/>
                <w:color w:val="000000"/>
                <w:sz w:val="12"/>
                <w:szCs w:val="12"/>
              </w:rPr>
            </w:pPr>
            <w:r w:rsidRPr="00D475C9">
              <w:rPr>
                <w:rFonts w:eastAsia="Times New Roman"/>
                <w:color w:val="000000"/>
                <w:sz w:val="12"/>
                <w:szCs w:val="12"/>
              </w:rPr>
              <w:t>Scapin, et al.</w:t>
            </w:r>
          </w:p>
        </w:tc>
        <w:tc>
          <w:tcPr>
            <w:tcW w:w="2101" w:type="dxa"/>
            <w:tcBorders>
              <w:top w:val="nil"/>
            </w:tcBorders>
          </w:tcPr>
          <w:p w:rsidR="00DF60F4" w:rsidRPr="00D475C9" w:rsidP="00DF60F4" w14:paraId="11875C73" w14:textId="512CF066">
            <w:pPr>
              <w:pStyle w:val="TableParagraph"/>
              <w:spacing w:line="252" w:lineRule="auto"/>
              <w:ind w:right="102"/>
              <w:rPr>
                <w:rFonts w:eastAsia="Times New Roman"/>
                <w:color w:val="000000"/>
                <w:sz w:val="12"/>
                <w:szCs w:val="12"/>
              </w:rPr>
            </w:pPr>
            <w:r w:rsidRPr="00D475C9">
              <w:rPr>
                <w:rFonts w:eastAsia="Times New Roman"/>
                <w:color w:val="000000"/>
                <w:sz w:val="12"/>
                <w:szCs w:val="12"/>
              </w:rPr>
              <w:t>Influence of sugar label formats on consumer understanding and amount of sugar in food choices: a systematic review and meta-analyses</w:t>
            </w:r>
          </w:p>
        </w:tc>
        <w:tc>
          <w:tcPr>
            <w:tcW w:w="333" w:type="dxa"/>
            <w:tcBorders>
              <w:top w:val="nil"/>
            </w:tcBorders>
          </w:tcPr>
          <w:p w:rsidR="00DF60F4" w:rsidRPr="00D475C9" w:rsidP="00DF60F4" w14:paraId="10F27422" w14:textId="440F6D0B">
            <w:pPr>
              <w:pStyle w:val="TableParagraph"/>
              <w:spacing w:line="140" w:lineRule="exact"/>
              <w:ind w:left="36"/>
              <w:rPr>
                <w:rFonts w:eastAsia="Times New Roman"/>
                <w:color w:val="00B050"/>
                <w:sz w:val="12"/>
                <w:szCs w:val="12"/>
              </w:rPr>
            </w:pPr>
            <w:r w:rsidRPr="00D475C9">
              <w:rPr>
                <w:rFonts w:eastAsia="Times New Roman"/>
                <w:color w:val="00B050"/>
                <w:sz w:val="12"/>
                <w:szCs w:val="12"/>
              </w:rPr>
              <w:t>2021</w:t>
            </w:r>
          </w:p>
        </w:tc>
        <w:tc>
          <w:tcPr>
            <w:tcW w:w="3555" w:type="dxa"/>
            <w:tcBorders>
              <w:top w:val="nil"/>
            </w:tcBorders>
          </w:tcPr>
          <w:p w:rsidR="00DF60F4" w:rsidRPr="00D475C9" w:rsidP="00DF60F4" w14:paraId="405DF359" w14:textId="6722A395">
            <w:pPr>
              <w:pStyle w:val="TableParagraph"/>
              <w:spacing w:line="252" w:lineRule="auto"/>
              <w:ind w:left="29" w:right="173"/>
              <w:rPr>
                <w:rFonts w:eastAsia="Times New Roman"/>
                <w:color w:val="000000"/>
                <w:sz w:val="12"/>
                <w:szCs w:val="12"/>
              </w:rPr>
            </w:pPr>
            <w:r w:rsidRPr="00D475C9">
              <w:rPr>
                <w:rFonts w:eastAsia="Times New Roman"/>
                <w:sz w:val="12"/>
                <w:szCs w:val="12"/>
              </w:rPr>
              <w:t>Quantitative</w:t>
            </w:r>
            <w:r w:rsidRPr="00D475C9">
              <w:rPr>
                <w:rFonts w:eastAsia="Times New Roman"/>
                <w:sz w:val="12"/>
                <w:szCs w:val="12"/>
              </w:rPr>
              <w:br/>
              <w:t xml:space="preserve">1. Literature review and </w:t>
            </w:r>
            <w:r w:rsidRPr="00D475C9" w:rsidR="00580E90">
              <w:rPr>
                <w:rFonts w:eastAsia="Times New Roman"/>
                <w:sz w:val="12"/>
                <w:szCs w:val="12"/>
              </w:rPr>
              <w:t>meta-analysis</w:t>
            </w:r>
            <w:r w:rsidRPr="00D475C9">
              <w:rPr>
                <w:rFonts w:eastAsia="Times New Roman"/>
                <w:sz w:val="12"/>
                <w:szCs w:val="12"/>
              </w:rPr>
              <w:t xml:space="preserve"> of randomized controlled trials and quasi-experimental studies investigating the influence of sugar label formats on consumers' understanding of sugar information or on amount of sugar in consumers' food choices</w:t>
            </w:r>
            <w:r w:rsidRPr="00D475C9">
              <w:rPr>
                <w:rFonts w:eastAsia="Times New Roman"/>
                <w:sz w:val="12"/>
                <w:szCs w:val="12"/>
              </w:rPr>
              <w:br/>
              <w:t>2. Analyzed 23 studies</w:t>
            </w:r>
          </w:p>
        </w:tc>
        <w:tc>
          <w:tcPr>
            <w:tcW w:w="1199" w:type="dxa"/>
            <w:tcBorders>
              <w:top w:val="nil"/>
            </w:tcBorders>
          </w:tcPr>
          <w:p w:rsidR="00DF60F4" w:rsidRPr="00D475C9" w:rsidP="00DF60F4" w14:paraId="6F4D839B" w14:textId="3DE90F84">
            <w:pPr>
              <w:pStyle w:val="TableParagraph"/>
              <w:spacing w:line="252" w:lineRule="auto"/>
              <w:ind w:right="121"/>
              <w:rPr>
                <w:rFonts w:eastAsia="Times New Roman"/>
                <w:color w:val="000000"/>
                <w:sz w:val="12"/>
                <w:szCs w:val="12"/>
              </w:rPr>
            </w:pPr>
            <w:r w:rsidRPr="00D475C9">
              <w:rPr>
                <w:rFonts w:eastAsia="Times New Roman"/>
                <w:sz w:val="12"/>
                <w:szCs w:val="12"/>
              </w:rPr>
              <w:t>1. Traffic light label (TLL)</w:t>
            </w:r>
            <w:r w:rsidRPr="00D475C9">
              <w:rPr>
                <w:rFonts w:eastAsia="Times New Roman"/>
                <w:sz w:val="12"/>
                <w:szCs w:val="12"/>
              </w:rPr>
              <w:br/>
              <w:t>2. Warning sign</w:t>
            </w:r>
            <w:r w:rsidRPr="00D475C9">
              <w:rPr>
                <w:rFonts w:eastAsia="Times New Roman"/>
                <w:sz w:val="12"/>
                <w:szCs w:val="12"/>
              </w:rPr>
              <w:br/>
              <w:t>3. Health warning message</w:t>
            </w:r>
            <w:r w:rsidRPr="00D475C9">
              <w:rPr>
                <w:rFonts w:eastAsia="Times New Roman"/>
                <w:sz w:val="12"/>
                <w:szCs w:val="12"/>
              </w:rPr>
              <w:br/>
              <w:t>4. Guideline Daily amount (GDA)</w:t>
            </w:r>
            <w:r w:rsidRPr="00D475C9">
              <w:rPr>
                <w:rFonts w:eastAsia="Times New Roman"/>
                <w:sz w:val="12"/>
                <w:szCs w:val="12"/>
              </w:rPr>
              <w:br/>
              <w:t>5. Sugar teaspoons</w:t>
            </w:r>
            <w:r w:rsidRPr="00D475C9">
              <w:rPr>
                <w:rFonts w:eastAsia="Times New Roman"/>
                <w:sz w:val="12"/>
                <w:szCs w:val="12"/>
              </w:rPr>
              <w:br/>
              <w:t>6. Alternative Nutrition Facts Panel (NFP)</w:t>
            </w:r>
            <w:r w:rsidRPr="00D475C9">
              <w:rPr>
                <w:rFonts w:eastAsia="Times New Roman"/>
                <w:sz w:val="12"/>
                <w:szCs w:val="12"/>
              </w:rPr>
              <w:br/>
              <w:t>7. Health Star Rating (HSR)</w:t>
            </w:r>
          </w:p>
        </w:tc>
        <w:tc>
          <w:tcPr>
            <w:tcW w:w="1204" w:type="dxa"/>
            <w:tcBorders>
              <w:top w:val="nil"/>
            </w:tcBorders>
          </w:tcPr>
          <w:p w:rsidR="00DF60F4" w:rsidRPr="00D475C9" w:rsidP="00DF60F4" w14:paraId="0BBECF31" w14:textId="310518D7">
            <w:pPr>
              <w:spacing w:after="0" w:line="240" w:lineRule="auto"/>
              <w:rPr>
                <w:rFonts w:ascii="Calibri" w:eastAsia="Times New Roman" w:hAnsi="Calibri" w:cs="Calibri"/>
                <w:color w:val="000000"/>
                <w:sz w:val="12"/>
                <w:szCs w:val="12"/>
                <w:lang w:eastAsia="en-US"/>
              </w:rPr>
            </w:pPr>
            <w:r w:rsidRPr="00D475C9">
              <w:rPr>
                <w:rFonts w:ascii="Calibri" w:eastAsia="Times New Roman" w:hAnsi="Calibri" w:cs="Calibri"/>
                <w:color w:val="000000"/>
                <w:sz w:val="12"/>
                <w:szCs w:val="12"/>
                <w:lang w:eastAsia="en-US"/>
              </w:rPr>
              <w:t>No image available</w:t>
            </w:r>
          </w:p>
        </w:tc>
        <w:tc>
          <w:tcPr>
            <w:tcW w:w="550" w:type="dxa"/>
            <w:tcBorders>
              <w:top w:val="nil"/>
            </w:tcBorders>
          </w:tcPr>
          <w:p w:rsidR="00DF60F4" w:rsidRPr="00D475C9" w:rsidP="00DF60F4" w14:paraId="321F4446" w14:textId="2B96BA70">
            <w:pPr>
              <w:pStyle w:val="TableParagraph"/>
              <w:spacing w:line="140" w:lineRule="exact"/>
              <w:ind w:left="0" w:right="39"/>
              <w:jc w:val="center"/>
              <w:rPr>
                <w:rFonts w:eastAsia="Times New Roman"/>
                <w:color w:val="000000"/>
                <w:sz w:val="12"/>
                <w:szCs w:val="12"/>
              </w:rPr>
            </w:pPr>
            <w:r w:rsidRPr="00D475C9">
              <w:rPr>
                <w:rFonts w:eastAsia="Times New Roman"/>
                <w:color w:val="000000"/>
                <w:sz w:val="12"/>
                <w:szCs w:val="12"/>
              </w:rPr>
              <w:t>International</w:t>
            </w:r>
          </w:p>
        </w:tc>
        <w:tc>
          <w:tcPr>
            <w:tcW w:w="3487" w:type="dxa"/>
            <w:tcBorders>
              <w:top w:val="nil"/>
            </w:tcBorders>
          </w:tcPr>
          <w:p w:rsidR="00DF60F4" w:rsidRPr="00D475C9" w:rsidP="00DF60F4" w14:paraId="748AF11E" w14:textId="507B155B">
            <w:pPr>
              <w:pStyle w:val="TableParagraph"/>
              <w:spacing w:line="252" w:lineRule="auto"/>
              <w:rPr>
                <w:rFonts w:eastAsia="Times New Roman"/>
                <w:color w:val="000000"/>
                <w:sz w:val="12"/>
                <w:szCs w:val="12"/>
              </w:rPr>
            </w:pPr>
            <w:r w:rsidRPr="00D475C9">
              <w:rPr>
                <w:rFonts w:eastAsia="Times New Roman"/>
                <w:sz w:val="12"/>
                <w:szCs w:val="12"/>
              </w:rPr>
              <w:t>1. Label formats using “high in sugar” interpretative texts (traffic light labels and warning signs) were most effective in increasing consumers’ understanding of the sugar content in packaged foods.</w:t>
            </w:r>
            <w:r w:rsidRPr="00D475C9">
              <w:rPr>
                <w:rFonts w:eastAsia="Times New Roman"/>
                <w:sz w:val="12"/>
                <w:szCs w:val="12"/>
              </w:rPr>
              <w:br/>
              <w:t>2. Health warning messages, graphic depictions of sugar content in teaspoons most effective in influencing choices</w:t>
            </w:r>
          </w:p>
        </w:tc>
      </w:tr>
      <w:tr w14:paraId="52E7F586"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500FD329" w14:textId="1CEF2684">
            <w:pPr>
              <w:pStyle w:val="TableParagraph"/>
              <w:spacing w:line="252" w:lineRule="auto"/>
              <w:ind w:right="133"/>
              <w:rPr>
                <w:rFonts w:eastAsia="Times New Roman"/>
                <w:color w:val="000000"/>
                <w:sz w:val="12"/>
                <w:szCs w:val="12"/>
              </w:rPr>
            </w:pPr>
            <w:r w:rsidRPr="00D475C9">
              <w:rPr>
                <w:rFonts w:eastAsia="Times New Roman"/>
                <w:color w:val="000000"/>
                <w:sz w:val="12"/>
                <w:szCs w:val="12"/>
              </w:rPr>
              <w:t>Shahrabani, et al.</w:t>
            </w:r>
          </w:p>
        </w:tc>
        <w:tc>
          <w:tcPr>
            <w:tcW w:w="2101" w:type="dxa"/>
          </w:tcPr>
          <w:p w:rsidR="00DF60F4" w:rsidRPr="00D475C9" w:rsidP="00DF60F4" w14:paraId="0A24ACDB" w14:textId="1DA5635B">
            <w:pPr>
              <w:pStyle w:val="TableParagraph"/>
              <w:spacing w:line="252" w:lineRule="auto"/>
              <w:ind w:right="102"/>
              <w:rPr>
                <w:rFonts w:eastAsia="Times New Roman"/>
                <w:color w:val="000000"/>
                <w:sz w:val="12"/>
                <w:szCs w:val="12"/>
              </w:rPr>
            </w:pPr>
            <w:r w:rsidRPr="00D475C9">
              <w:rPr>
                <w:rFonts w:eastAsia="Times New Roman"/>
                <w:color w:val="000000"/>
                <w:sz w:val="12"/>
                <w:szCs w:val="12"/>
              </w:rPr>
              <w:t>The impact of Israel's Front-of-Package labeling reform on consumers' behavior and intentions to change dietary habits</w:t>
            </w:r>
          </w:p>
        </w:tc>
        <w:tc>
          <w:tcPr>
            <w:tcW w:w="333" w:type="dxa"/>
          </w:tcPr>
          <w:p w:rsidR="00DF60F4" w:rsidRPr="00D475C9" w:rsidP="00DF60F4" w14:paraId="3C0802AF" w14:textId="6CE165E2">
            <w:pPr>
              <w:pStyle w:val="TableParagraph"/>
              <w:spacing w:line="140" w:lineRule="exact"/>
              <w:ind w:left="36"/>
              <w:rPr>
                <w:rFonts w:eastAsia="Times New Roman"/>
                <w:color w:val="00B050"/>
                <w:sz w:val="12"/>
                <w:szCs w:val="12"/>
              </w:rPr>
            </w:pPr>
            <w:r w:rsidRPr="00D475C9">
              <w:rPr>
                <w:rFonts w:eastAsia="Times New Roman"/>
                <w:color w:val="00B050"/>
                <w:sz w:val="12"/>
                <w:szCs w:val="12"/>
              </w:rPr>
              <w:t>2021</w:t>
            </w:r>
          </w:p>
        </w:tc>
        <w:tc>
          <w:tcPr>
            <w:tcW w:w="3555" w:type="dxa"/>
          </w:tcPr>
          <w:p w:rsidR="00DF60F4" w:rsidRPr="00D475C9" w:rsidP="00DF60F4" w14:paraId="1A5BC519" w14:textId="4A3879AA">
            <w:pPr>
              <w:pStyle w:val="TableParagraph"/>
              <w:spacing w:line="252" w:lineRule="auto"/>
              <w:ind w:left="29" w:right="173"/>
              <w:rPr>
                <w:rFonts w:eastAsia="Times New Roman"/>
                <w:color w:val="000000"/>
                <w:sz w:val="12"/>
                <w:szCs w:val="12"/>
              </w:rPr>
            </w:pPr>
            <w:r w:rsidRPr="00D475C9">
              <w:rPr>
                <w:rFonts w:eastAsia="Times New Roman"/>
                <w:sz w:val="12"/>
                <w:szCs w:val="12"/>
              </w:rPr>
              <w:t>Quantitative</w:t>
            </w:r>
            <w:r w:rsidRPr="00D475C9">
              <w:rPr>
                <w:rFonts w:eastAsia="Times New Roman"/>
                <w:sz w:val="12"/>
                <w:szCs w:val="12"/>
              </w:rPr>
              <w:br/>
              <w:t xml:space="preserve">1. 507 participants completed a survey asking about frequency of using </w:t>
            </w:r>
            <w:r w:rsidR="004B6E26">
              <w:rPr>
                <w:rFonts w:eastAsia="Times New Roman"/>
                <w:sz w:val="12"/>
                <w:szCs w:val="12"/>
              </w:rPr>
              <w:t>FOP</w:t>
            </w:r>
            <w:r w:rsidRPr="00D475C9">
              <w:rPr>
                <w:rFonts w:eastAsia="Times New Roman"/>
                <w:sz w:val="12"/>
                <w:szCs w:val="12"/>
              </w:rPr>
              <w:t>s, intention to change purchasing/consumption habits in the coming year</w:t>
            </w:r>
          </w:p>
        </w:tc>
        <w:tc>
          <w:tcPr>
            <w:tcW w:w="1199" w:type="dxa"/>
          </w:tcPr>
          <w:p w:rsidR="00DF60F4" w:rsidRPr="00D475C9" w:rsidP="00DF60F4" w14:paraId="4DA51B89" w14:textId="2E9400FB">
            <w:pPr>
              <w:pStyle w:val="TableParagraph"/>
              <w:spacing w:line="252" w:lineRule="auto"/>
              <w:ind w:right="121"/>
              <w:rPr>
                <w:rFonts w:eastAsia="Times New Roman"/>
                <w:color w:val="000000"/>
                <w:sz w:val="12"/>
                <w:szCs w:val="12"/>
              </w:rPr>
            </w:pPr>
            <w:r w:rsidRPr="00D475C9">
              <w:rPr>
                <w:rFonts w:eastAsia="Times New Roman"/>
                <w:sz w:val="12"/>
                <w:szCs w:val="12"/>
              </w:rPr>
              <w:t>1. Red/green labels</w:t>
            </w:r>
          </w:p>
        </w:tc>
        <w:tc>
          <w:tcPr>
            <w:tcW w:w="1204" w:type="dxa"/>
          </w:tcPr>
          <w:p w:rsidR="00DF60F4" w:rsidRPr="00D475C9" w:rsidP="00DF60F4" w14:paraId="521E2D3C" w14:textId="7EF6790B">
            <w:pPr>
              <w:spacing w:after="0" w:line="240" w:lineRule="auto"/>
              <w:rPr>
                <w:rFonts w:ascii="Calibri" w:eastAsia="Times New Roman" w:hAnsi="Calibri" w:cs="Calibri"/>
                <w:color w:val="000000"/>
                <w:sz w:val="12"/>
                <w:szCs w:val="12"/>
                <w:lang w:eastAsia="en-US"/>
              </w:rPr>
            </w:pPr>
            <w:r w:rsidRPr="00D475C9">
              <w:rPr>
                <w:rFonts w:ascii="Calibri" w:eastAsia="Times New Roman" w:hAnsi="Calibri" w:cs="Calibri"/>
                <w:color w:val="000000"/>
                <w:sz w:val="12"/>
                <w:szCs w:val="12"/>
                <w:lang w:eastAsia="en-US"/>
              </w:rPr>
              <w:t>No image available</w:t>
            </w:r>
          </w:p>
        </w:tc>
        <w:tc>
          <w:tcPr>
            <w:tcW w:w="550" w:type="dxa"/>
          </w:tcPr>
          <w:p w:rsidR="00DF60F4" w:rsidRPr="00D475C9" w:rsidP="00DF60F4" w14:paraId="6ABA4829" w14:textId="508E8F5C">
            <w:pPr>
              <w:pStyle w:val="TableParagraph"/>
              <w:spacing w:line="140" w:lineRule="exact"/>
              <w:ind w:left="0" w:right="39"/>
              <w:jc w:val="center"/>
              <w:rPr>
                <w:rFonts w:eastAsia="Times New Roman"/>
                <w:color w:val="000000"/>
                <w:sz w:val="12"/>
                <w:szCs w:val="12"/>
              </w:rPr>
            </w:pPr>
            <w:r w:rsidRPr="00D475C9">
              <w:rPr>
                <w:rFonts w:eastAsia="Times New Roman"/>
                <w:sz w:val="12"/>
                <w:szCs w:val="12"/>
              </w:rPr>
              <w:t>Israel</w:t>
            </w:r>
          </w:p>
        </w:tc>
        <w:tc>
          <w:tcPr>
            <w:tcW w:w="3487" w:type="dxa"/>
          </w:tcPr>
          <w:p w:rsidR="00DF60F4" w:rsidRPr="00D475C9" w:rsidP="00DF60F4" w14:paraId="076F4648" w14:textId="7C98789D">
            <w:pPr>
              <w:pStyle w:val="TableParagraph"/>
              <w:spacing w:line="252" w:lineRule="auto"/>
              <w:rPr>
                <w:rFonts w:eastAsia="Times New Roman"/>
                <w:color w:val="000000"/>
                <w:sz w:val="12"/>
                <w:szCs w:val="12"/>
              </w:rPr>
            </w:pPr>
            <w:r w:rsidRPr="00D475C9">
              <w:rPr>
                <w:rFonts w:eastAsia="Times New Roman"/>
                <w:sz w:val="12"/>
                <w:szCs w:val="12"/>
              </w:rPr>
              <w:t>1. Mo</w:t>
            </w:r>
            <w:r>
              <w:rPr>
                <w:rFonts w:eastAsia="Times New Roman"/>
                <w:sz w:val="12"/>
                <w:szCs w:val="12"/>
              </w:rPr>
              <w:t>r</w:t>
            </w:r>
            <w:r w:rsidRPr="00D475C9">
              <w:rPr>
                <w:rFonts w:eastAsia="Times New Roman"/>
                <w:sz w:val="12"/>
                <w:szCs w:val="12"/>
              </w:rPr>
              <w:t xml:space="preserve">e than half reported using the </w:t>
            </w:r>
            <w:r w:rsidR="004B6E26">
              <w:rPr>
                <w:rFonts w:eastAsia="Times New Roman"/>
                <w:sz w:val="12"/>
                <w:szCs w:val="12"/>
              </w:rPr>
              <w:t>FOP</w:t>
            </w:r>
            <w:r w:rsidRPr="00D475C9">
              <w:rPr>
                <w:rFonts w:eastAsia="Times New Roman"/>
                <w:sz w:val="12"/>
                <w:szCs w:val="12"/>
              </w:rPr>
              <w:t>s to some extent</w:t>
            </w:r>
            <w:r w:rsidRPr="00D475C9">
              <w:rPr>
                <w:rFonts w:eastAsia="Times New Roman"/>
                <w:sz w:val="12"/>
                <w:szCs w:val="12"/>
              </w:rPr>
              <w:br/>
              <w:t xml:space="preserve">- One third always or often use the red/green </w:t>
            </w:r>
            <w:r w:rsidR="004B6E26">
              <w:rPr>
                <w:rFonts w:eastAsia="Times New Roman"/>
                <w:sz w:val="12"/>
                <w:szCs w:val="12"/>
              </w:rPr>
              <w:t>FOP</w:t>
            </w:r>
            <w:r w:rsidRPr="00D475C9">
              <w:rPr>
                <w:rFonts w:eastAsia="Times New Roman"/>
                <w:sz w:val="12"/>
                <w:szCs w:val="12"/>
              </w:rPr>
              <w:t>s and avoid buying products with red labels</w:t>
            </w:r>
            <w:r w:rsidRPr="00D475C9">
              <w:rPr>
                <w:rFonts w:eastAsia="Times New Roman"/>
                <w:sz w:val="12"/>
                <w:szCs w:val="12"/>
              </w:rPr>
              <w:br/>
              <w:t xml:space="preserve">- Slightly less than half rarely or never use the </w:t>
            </w:r>
            <w:r w:rsidR="004B6E26">
              <w:rPr>
                <w:rFonts w:eastAsia="Times New Roman"/>
                <w:sz w:val="12"/>
                <w:szCs w:val="12"/>
              </w:rPr>
              <w:t>FOP</w:t>
            </w:r>
            <w:r w:rsidRPr="00D475C9">
              <w:rPr>
                <w:rFonts w:eastAsia="Times New Roman"/>
                <w:sz w:val="12"/>
                <w:szCs w:val="12"/>
              </w:rPr>
              <w:t>s</w:t>
            </w:r>
            <w:r w:rsidRPr="00D475C9">
              <w:rPr>
                <w:rFonts w:eastAsia="Times New Roman"/>
                <w:sz w:val="12"/>
                <w:szCs w:val="12"/>
              </w:rPr>
              <w:br/>
              <w:t xml:space="preserve">- Half reported changing buying habits to healthier products following the reform (to add </w:t>
            </w:r>
            <w:r w:rsidR="004B6E26">
              <w:rPr>
                <w:rFonts w:eastAsia="Times New Roman"/>
                <w:sz w:val="12"/>
                <w:szCs w:val="12"/>
              </w:rPr>
              <w:t>FOP</w:t>
            </w:r>
            <w:r w:rsidRPr="00D475C9">
              <w:rPr>
                <w:rFonts w:eastAsia="Times New Roman"/>
                <w:sz w:val="12"/>
                <w:szCs w:val="12"/>
              </w:rPr>
              <w:t>s), though nearly all others said they had not changed habits</w:t>
            </w:r>
            <w:r w:rsidRPr="00D475C9">
              <w:rPr>
                <w:rFonts w:eastAsia="Times New Roman"/>
                <w:sz w:val="12"/>
                <w:szCs w:val="12"/>
              </w:rPr>
              <w:br/>
              <w:t>2. Nearly three quarters reported willingness to change to healthier products in coming year</w:t>
            </w:r>
          </w:p>
        </w:tc>
      </w:tr>
      <w:tr w14:paraId="614B2FEB"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17F3AC5F" w14:textId="76266F4D">
            <w:pPr>
              <w:pStyle w:val="TableParagraph"/>
              <w:spacing w:line="252" w:lineRule="auto"/>
              <w:ind w:right="133"/>
              <w:rPr>
                <w:rFonts w:eastAsia="Times New Roman"/>
                <w:color w:val="000000"/>
                <w:sz w:val="12"/>
                <w:szCs w:val="12"/>
              </w:rPr>
            </w:pPr>
            <w:r w:rsidRPr="00D475C9">
              <w:rPr>
                <w:rFonts w:eastAsia="Times New Roman"/>
                <w:color w:val="000000"/>
                <w:sz w:val="12"/>
                <w:szCs w:val="12"/>
              </w:rPr>
              <w:t>Sinu Scientific; Sinu Scientific</w:t>
            </w:r>
          </w:p>
        </w:tc>
        <w:tc>
          <w:tcPr>
            <w:tcW w:w="2101" w:type="dxa"/>
          </w:tcPr>
          <w:p w:rsidR="00DF60F4" w:rsidRPr="00D475C9" w:rsidP="00DF60F4" w14:paraId="7A287F17" w14:textId="3B88C487">
            <w:pPr>
              <w:pStyle w:val="TableParagraph"/>
              <w:spacing w:line="252" w:lineRule="auto"/>
              <w:ind w:right="102"/>
              <w:rPr>
                <w:rFonts w:eastAsia="Times New Roman"/>
                <w:color w:val="000000"/>
                <w:sz w:val="12"/>
                <w:szCs w:val="12"/>
              </w:rPr>
            </w:pPr>
            <w:r w:rsidRPr="00D475C9">
              <w:rPr>
                <w:rFonts w:eastAsia="Times New Roman"/>
                <w:color w:val="000000"/>
                <w:sz w:val="12"/>
                <w:szCs w:val="12"/>
              </w:rPr>
              <w:t>Front-of-pack" nutrition labeling"</w:t>
            </w:r>
          </w:p>
        </w:tc>
        <w:tc>
          <w:tcPr>
            <w:tcW w:w="333" w:type="dxa"/>
          </w:tcPr>
          <w:p w:rsidR="00DF60F4" w:rsidRPr="00D475C9" w:rsidP="00DF60F4" w14:paraId="7EA0999A" w14:textId="08E8315C">
            <w:pPr>
              <w:pStyle w:val="TableParagraph"/>
              <w:spacing w:line="140" w:lineRule="exact"/>
              <w:ind w:left="36"/>
              <w:rPr>
                <w:rFonts w:eastAsia="Times New Roman"/>
                <w:color w:val="00B050"/>
                <w:sz w:val="12"/>
                <w:szCs w:val="12"/>
              </w:rPr>
            </w:pPr>
            <w:r w:rsidRPr="00D475C9">
              <w:rPr>
                <w:rFonts w:eastAsia="Times New Roman"/>
                <w:color w:val="00B050"/>
                <w:sz w:val="12"/>
                <w:szCs w:val="12"/>
              </w:rPr>
              <w:t>2021</w:t>
            </w:r>
          </w:p>
        </w:tc>
        <w:tc>
          <w:tcPr>
            <w:tcW w:w="3555" w:type="dxa"/>
          </w:tcPr>
          <w:p w:rsidR="00DF60F4" w:rsidRPr="00D475C9" w:rsidP="00DF60F4" w14:paraId="723199B6" w14:textId="0058131A">
            <w:pPr>
              <w:pStyle w:val="TableParagraph"/>
              <w:spacing w:line="252" w:lineRule="auto"/>
              <w:ind w:left="29" w:right="173"/>
              <w:rPr>
                <w:rFonts w:eastAsia="Times New Roman"/>
                <w:sz w:val="12"/>
                <w:szCs w:val="12"/>
              </w:rPr>
            </w:pPr>
            <w:r w:rsidRPr="00D475C9">
              <w:rPr>
                <w:rFonts w:eastAsia="Times New Roman"/>
                <w:color w:val="000000"/>
                <w:sz w:val="12"/>
                <w:szCs w:val="12"/>
              </w:rPr>
              <w:t>Qualitative</w:t>
            </w:r>
            <w:r w:rsidRPr="00D475C9">
              <w:rPr>
                <w:rFonts w:eastAsia="Times New Roman"/>
                <w:color w:val="000000"/>
                <w:sz w:val="12"/>
                <w:szCs w:val="12"/>
              </w:rPr>
              <w:br/>
              <w:t xml:space="preserve">1. Review of FOP nutrition labeling, focus on </w:t>
            </w:r>
            <w:r w:rsidR="004B6E26">
              <w:rPr>
                <w:rFonts w:eastAsia="Times New Roman"/>
                <w:color w:val="000000"/>
                <w:sz w:val="12"/>
                <w:szCs w:val="12"/>
              </w:rPr>
              <w:t>Nutri-Score</w:t>
            </w:r>
            <w:r w:rsidRPr="00D475C9">
              <w:rPr>
                <w:rFonts w:eastAsia="Times New Roman"/>
                <w:color w:val="000000"/>
                <w:sz w:val="12"/>
                <w:szCs w:val="12"/>
              </w:rPr>
              <w:t xml:space="preserve"> and NutrInform Battery</w:t>
            </w:r>
          </w:p>
        </w:tc>
        <w:tc>
          <w:tcPr>
            <w:tcW w:w="1199" w:type="dxa"/>
          </w:tcPr>
          <w:p w:rsidR="00DF60F4" w:rsidRPr="00D475C9" w:rsidP="00DF60F4" w14:paraId="73E2C331" w14:textId="4DE18DDB">
            <w:pPr>
              <w:pStyle w:val="TableParagraph"/>
              <w:spacing w:line="252" w:lineRule="auto"/>
              <w:ind w:right="121"/>
              <w:rPr>
                <w:rFonts w:eastAsia="Times New Roman"/>
                <w:sz w:val="12"/>
                <w:szCs w:val="12"/>
              </w:rPr>
            </w:pPr>
            <w:r w:rsidRPr="00D475C9">
              <w:rPr>
                <w:rFonts w:eastAsia="Times New Roman"/>
                <w:color w:val="000000"/>
                <w:sz w:val="12"/>
                <w:szCs w:val="12"/>
              </w:rPr>
              <w:t xml:space="preserve">1. </w:t>
            </w:r>
            <w:r w:rsidR="004B6E26">
              <w:rPr>
                <w:rFonts w:eastAsia="Times New Roman"/>
                <w:color w:val="000000"/>
                <w:sz w:val="12"/>
                <w:szCs w:val="12"/>
              </w:rPr>
              <w:t>Nutri-Score</w:t>
            </w:r>
            <w:r w:rsidRPr="00D475C9">
              <w:rPr>
                <w:rFonts w:eastAsia="Times New Roman"/>
                <w:color w:val="000000"/>
                <w:sz w:val="12"/>
                <w:szCs w:val="12"/>
              </w:rPr>
              <w:t xml:space="preserve"> (NS)</w:t>
            </w:r>
            <w:r w:rsidRPr="00D475C9">
              <w:rPr>
                <w:rFonts w:eastAsia="Times New Roman"/>
                <w:color w:val="000000"/>
                <w:sz w:val="12"/>
                <w:szCs w:val="12"/>
              </w:rPr>
              <w:br/>
              <w:t>2. NutrInform Battery (NB)</w:t>
            </w:r>
          </w:p>
        </w:tc>
        <w:tc>
          <w:tcPr>
            <w:tcW w:w="1204" w:type="dxa"/>
          </w:tcPr>
          <w:p w:rsidR="00DF60F4" w:rsidRPr="00D475C9" w:rsidP="00DF60F4" w14:paraId="5D67142D" w14:textId="1A52D859">
            <w:pPr>
              <w:spacing w:after="0" w:line="240" w:lineRule="auto"/>
              <w:rPr>
                <w:rFonts w:ascii="Calibri" w:eastAsia="Times New Roman" w:hAnsi="Calibri" w:cs="Calibri"/>
                <w:color w:val="000000"/>
                <w:sz w:val="12"/>
                <w:szCs w:val="12"/>
                <w:lang w:eastAsia="en-US"/>
              </w:rPr>
            </w:pPr>
            <w:r w:rsidRPr="00D475C9">
              <w:rPr>
                <w:rFonts w:ascii="Calibri" w:eastAsia="Times New Roman" w:hAnsi="Calibri" w:cs="Calibri"/>
                <w:color w:val="000000"/>
                <w:sz w:val="12"/>
                <w:szCs w:val="12"/>
                <w:lang w:eastAsia="en-US"/>
              </w:rPr>
              <w:t>No image available</w:t>
            </w:r>
          </w:p>
        </w:tc>
        <w:tc>
          <w:tcPr>
            <w:tcW w:w="550" w:type="dxa"/>
          </w:tcPr>
          <w:p w:rsidR="00DF60F4" w:rsidRPr="00D475C9" w:rsidP="00DF60F4" w14:paraId="567DF968" w14:textId="77429357">
            <w:pPr>
              <w:pStyle w:val="TableParagraph"/>
              <w:spacing w:line="140" w:lineRule="exact"/>
              <w:ind w:left="0" w:right="39"/>
              <w:jc w:val="center"/>
              <w:rPr>
                <w:rFonts w:eastAsia="Times New Roman"/>
                <w:sz w:val="12"/>
                <w:szCs w:val="12"/>
              </w:rPr>
            </w:pPr>
            <w:r w:rsidRPr="00D475C9">
              <w:rPr>
                <w:rFonts w:eastAsia="Times New Roman"/>
                <w:color w:val="000000"/>
                <w:sz w:val="12"/>
                <w:szCs w:val="12"/>
              </w:rPr>
              <w:t>International</w:t>
            </w:r>
          </w:p>
        </w:tc>
        <w:tc>
          <w:tcPr>
            <w:tcW w:w="3487" w:type="dxa"/>
          </w:tcPr>
          <w:p w:rsidR="00DF60F4" w:rsidRPr="00D475C9" w:rsidP="00DF60F4" w14:paraId="39D5FCAC" w14:textId="610BFA5A">
            <w:pPr>
              <w:pStyle w:val="TableParagraph"/>
              <w:spacing w:line="252" w:lineRule="auto"/>
              <w:rPr>
                <w:rFonts w:eastAsia="Times New Roman"/>
                <w:sz w:val="12"/>
                <w:szCs w:val="12"/>
              </w:rPr>
            </w:pPr>
            <w:r w:rsidRPr="00D475C9">
              <w:rPr>
                <w:rFonts w:eastAsia="Times New Roman"/>
                <w:color w:val="000000"/>
                <w:sz w:val="12"/>
                <w:szCs w:val="12"/>
              </w:rPr>
              <w:t xml:space="preserve">1. NB is more focused toward the primary goal of </w:t>
            </w:r>
            <w:r w:rsidR="004B6E26">
              <w:rPr>
                <w:rFonts w:eastAsia="Times New Roman"/>
                <w:color w:val="000000"/>
                <w:sz w:val="12"/>
                <w:szCs w:val="12"/>
              </w:rPr>
              <w:t>FOP</w:t>
            </w:r>
            <w:r w:rsidR="00D64890">
              <w:rPr>
                <w:rFonts w:eastAsia="Times New Roman"/>
                <w:color w:val="000000"/>
                <w:sz w:val="12"/>
                <w:szCs w:val="12"/>
              </w:rPr>
              <w:t>s</w:t>
            </w:r>
            <w:r w:rsidRPr="00D475C9">
              <w:rPr>
                <w:rFonts w:eastAsia="Times New Roman"/>
                <w:color w:val="000000"/>
                <w:sz w:val="12"/>
                <w:szCs w:val="12"/>
              </w:rPr>
              <w:t>, which is to fight malnutrition by excess as a contributor to obesity and non-transmissible disease</w:t>
            </w:r>
            <w:r w:rsidRPr="00D475C9">
              <w:rPr>
                <w:rFonts w:eastAsia="Times New Roman"/>
                <w:color w:val="000000"/>
                <w:sz w:val="12"/>
                <w:szCs w:val="12"/>
              </w:rPr>
              <w:br/>
              <w:t>2. NS algorithm is too obscure for consumer to understand; is non-educational, requiring the consumer to simply accept the score without understanding how to improve it</w:t>
            </w:r>
          </w:p>
        </w:tc>
      </w:tr>
      <w:tr w14:paraId="214068CA"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1CE9AC76" w14:textId="43B015D1">
            <w:pPr>
              <w:pStyle w:val="TableParagraph"/>
              <w:spacing w:line="252" w:lineRule="auto"/>
              <w:ind w:right="133"/>
              <w:rPr>
                <w:rFonts w:eastAsia="Times New Roman"/>
                <w:color w:val="000000"/>
                <w:sz w:val="12"/>
                <w:szCs w:val="12"/>
              </w:rPr>
            </w:pPr>
            <w:r w:rsidRPr="00D475C9">
              <w:rPr>
                <w:rFonts w:eastAsia="Times New Roman"/>
                <w:color w:val="000000"/>
                <w:sz w:val="12"/>
                <w:szCs w:val="12"/>
              </w:rPr>
              <w:t>Song, et al.</w:t>
            </w:r>
          </w:p>
        </w:tc>
        <w:tc>
          <w:tcPr>
            <w:tcW w:w="2101" w:type="dxa"/>
          </w:tcPr>
          <w:p w:rsidR="00DF60F4" w:rsidRPr="00D475C9" w:rsidP="00DF60F4" w14:paraId="4B89F39F" w14:textId="5541CC17">
            <w:pPr>
              <w:pStyle w:val="TableParagraph"/>
              <w:spacing w:line="252" w:lineRule="auto"/>
              <w:ind w:right="102"/>
              <w:rPr>
                <w:rFonts w:eastAsia="Times New Roman"/>
                <w:color w:val="000000"/>
                <w:sz w:val="12"/>
                <w:szCs w:val="12"/>
              </w:rPr>
            </w:pPr>
            <w:r w:rsidRPr="00D475C9">
              <w:rPr>
                <w:rFonts w:eastAsia="Times New Roman"/>
                <w:color w:val="000000"/>
                <w:sz w:val="12"/>
                <w:szCs w:val="12"/>
              </w:rPr>
              <w:t>Impact of color-coded and warning nutrition labelling schemes: A systematic review and network meta-analysis</w:t>
            </w:r>
          </w:p>
        </w:tc>
        <w:tc>
          <w:tcPr>
            <w:tcW w:w="333" w:type="dxa"/>
          </w:tcPr>
          <w:p w:rsidR="00DF60F4" w:rsidRPr="00D475C9" w:rsidP="00DF60F4" w14:paraId="065402EA" w14:textId="583F6E0A">
            <w:pPr>
              <w:pStyle w:val="TableParagraph"/>
              <w:spacing w:line="140" w:lineRule="exact"/>
              <w:ind w:left="36"/>
              <w:rPr>
                <w:rFonts w:eastAsia="Times New Roman"/>
                <w:color w:val="00B050"/>
                <w:sz w:val="12"/>
                <w:szCs w:val="12"/>
              </w:rPr>
            </w:pPr>
            <w:r w:rsidRPr="00D475C9">
              <w:rPr>
                <w:rFonts w:eastAsia="Times New Roman"/>
                <w:color w:val="00B050"/>
                <w:sz w:val="12"/>
                <w:szCs w:val="12"/>
              </w:rPr>
              <w:t>2021</w:t>
            </w:r>
          </w:p>
        </w:tc>
        <w:tc>
          <w:tcPr>
            <w:tcW w:w="3555" w:type="dxa"/>
          </w:tcPr>
          <w:p w:rsidR="00DF60F4" w:rsidRPr="00D475C9" w:rsidP="00DF60F4" w14:paraId="600090EA" w14:textId="23903739">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 xml:space="preserve">1. Literature review and </w:t>
            </w:r>
            <w:r w:rsidRPr="00D475C9" w:rsidR="00580E90">
              <w:rPr>
                <w:rFonts w:eastAsia="Times New Roman"/>
                <w:sz w:val="12"/>
                <w:szCs w:val="12"/>
              </w:rPr>
              <w:t>meta-analysis</w:t>
            </w:r>
            <w:r w:rsidRPr="00D475C9">
              <w:rPr>
                <w:rFonts w:eastAsia="Times New Roman"/>
                <w:sz w:val="12"/>
                <w:szCs w:val="12"/>
              </w:rPr>
              <w:t xml:space="preserve"> of randomized controlled trials and quasi-experimental studies on the impact of </w:t>
            </w:r>
            <w:r w:rsidR="004B6E26">
              <w:rPr>
                <w:rFonts w:eastAsia="Times New Roman"/>
                <w:sz w:val="12"/>
                <w:szCs w:val="12"/>
              </w:rPr>
              <w:t>FOP</w:t>
            </w:r>
            <w:r w:rsidRPr="00D475C9">
              <w:rPr>
                <w:rFonts w:eastAsia="Times New Roman"/>
                <w:sz w:val="12"/>
                <w:szCs w:val="12"/>
              </w:rPr>
              <w:t>s on changing consumers' purchasing behavior</w:t>
            </w:r>
            <w:r w:rsidRPr="00D475C9">
              <w:rPr>
                <w:rFonts w:eastAsia="Times New Roman"/>
                <w:sz w:val="12"/>
                <w:szCs w:val="12"/>
              </w:rPr>
              <w:br/>
              <w:t>2. Analyzed 134 studies in 120 articles</w:t>
            </w:r>
          </w:p>
        </w:tc>
        <w:tc>
          <w:tcPr>
            <w:tcW w:w="1199" w:type="dxa"/>
          </w:tcPr>
          <w:p w:rsidR="00DF60F4" w:rsidRPr="00D475C9" w:rsidP="00DF60F4" w14:paraId="10C44CE8" w14:textId="404C899B">
            <w:pPr>
              <w:pStyle w:val="TableParagraph"/>
              <w:spacing w:line="252" w:lineRule="auto"/>
              <w:ind w:right="121"/>
              <w:rPr>
                <w:rFonts w:eastAsia="Times New Roman"/>
                <w:sz w:val="12"/>
                <w:szCs w:val="12"/>
              </w:rPr>
            </w:pPr>
            <w:r w:rsidRPr="00D475C9">
              <w:rPr>
                <w:rFonts w:eastAsia="Times New Roman"/>
                <w:sz w:val="12"/>
                <w:szCs w:val="12"/>
              </w:rPr>
              <w:t>Various</w:t>
            </w:r>
          </w:p>
        </w:tc>
        <w:tc>
          <w:tcPr>
            <w:tcW w:w="1204" w:type="dxa"/>
          </w:tcPr>
          <w:p w:rsidR="00DF60F4" w:rsidRPr="00D475C9" w:rsidP="00DF60F4" w14:paraId="55C72956" w14:textId="5347C464">
            <w:pPr>
              <w:spacing w:after="0" w:line="240" w:lineRule="auto"/>
              <w:rPr>
                <w:rFonts w:ascii="Calibri" w:eastAsia="Times New Roman" w:hAnsi="Calibri" w:cs="Calibri"/>
                <w:color w:val="000000"/>
                <w:sz w:val="12"/>
                <w:szCs w:val="12"/>
                <w:lang w:eastAsia="en-US"/>
              </w:rPr>
            </w:pPr>
            <w:r w:rsidRPr="00D475C9">
              <w:rPr>
                <w:rFonts w:ascii="Calibri" w:eastAsia="Times New Roman" w:hAnsi="Calibri" w:cs="Calibri"/>
                <w:color w:val="000000"/>
                <w:sz w:val="12"/>
                <w:szCs w:val="12"/>
                <w:lang w:eastAsia="en-US"/>
              </w:rPr>
              <w:t>No image available</w:t>
            </w:r>
          </w:p>
        </w:tc>
        <w:tc>
          <w:tcPr>
            <w:tcW w:w="550" w:type="dxa"/>
          </w:tcPr>
          <w:p w:rsidR="00DF60F4" w:rsidRPr="00D475C9" w:rsidP="00DF60F4" w14:paraId="5489A5E7" w14:textId="03461C4E">
            <w:pPr>
              <w:pStyle w:val="TableParagraph"/>
              <w:spacing w:line="140" w:lineRule="exact"/>
              <w:ind w:left="0" w:right="39"/>
              <w:jc w:val="center"/>
              <w:rPr>
                <w:rFonts w:eastAsia="Times New Roman"/>
                <w:sz w:val="12"/>
                <w:szCs w:val="12"/>
              </w:rPr>
            </w:pPr>
            <w:r w:rsidRPr="00D475C9">
              <w:rPr>
                <w:rFonts w:eastAsia="Times New Roman"/>
                <w:color w:val="000000"/>
                <w:sz w:val="12"/>
                <w:szCs w:val="12"/>
              </w:rPr>
              <w:t>International</w:t>
            </w:r>
          </w:p>
        </w:tc>
        <w:tc>
          <w:tcPr>
            <w:tcW w:w="3487" w:type="dxa"/>
          </w:tcPr>
          <w:p w:rsidR="00DF60F4" w:rsidRPr="00D475C9" w:rsidP="00DF60F4" w14:paraId="3FAE6AB5" w14:textId="09119804">
            <w:pPr>
              <w:pStyle w:val="TableParagraph"/>
              <w:spacing w:line="252" w:lineRule="auto"/>
              <w:rPr>
                <w:rFonts w:eastAsia="Times New Roman"/>
                <w:sz w:val="12"/>
                <w:szCs w:val="12"/>
              </w:rPr>
            </w:pPr>
            <w:r w:rsidRPr="00D475C9">
              <w:rPr>
                <w:rFonts w:eastAsia="Times New Roman"/>
                <w:sz w:val="12"/>
                <w:szCs w:val="12"/>
              </w:rPr>
              <w:t>1. Traffic light labelling systems, nutrient warning, and health warning labels associated with selecting more healthful products</w:t>
            </w:r>
            <w:r w:rsidRPr="00D475C9">
              <w:rPr>
                <w:rFonts w:eastAsia="Times New Roman"/>
                <w:sz w:val="12"/>
                <w:szCs w:val="12"/>
              </w:rPr>
              <w:br/>
              <w:t xml:space="preserve">2. </w:t>
            </w:r>
            <w:r w:rsidR="004B6E26">
              <w:rPr>
                <w:rFonts w:eastAsia="Times New Roman"/>
                <w:sz w:val="12"/>
                <w:szCs w:val="12"/>
              </w:rPr>
              <w:t>Nutri-Score</w:t>
            </w:r>
            <w:r w:rsidRPr="00D475C9">
              <w:rPr>
                <w:rFonts w:eastAsia="Times New Roman"/>
                <w:sz w:val="12"/>
                <w:szCs w:val="12"/>
              </w:rPr>
              <w:t xml:space="preserve"> and warning labels effective in reducing selection of less healthful products and with increased overall healthfulness</w:t>
            </w:r>
            <w:r w:rsidRPr="00D475C9">
              <w:rPr>
                <w:rFonts w:eastAsia="Times New Roman"/>
                <w:sz w:val="12"/>
                <w:szCs w:val="12"/>
              </w:rPr>
              <w:br/>
              <w:t xml:space="preserve">3. Traffic light, </w:t>
            </w:r>
            <w:r w:rsidR="004B6E26">
              <w:rPr>
                <w:rFonts w:eastAsia="Times New Roman"/>
                <w:sz w:val="12"/>
                <w:szCs w:val="12"/>
              </w:rPr>
              <w:t>Nutri-Score</w:t>
            </w:r>
            <w:r w:rsidRPr="00D475C9">
              <w:rPr>
                <w:rFonts w:eastAsia="Times New Roman"/>
                <w:sz w:val="12"/>
                <w:szCs w:val="12"/>
              </w:rPr>
              <w:t>, and nutrient warning labels associated with reduced energy, sodium, fat, and total sat fat purchases</w:t>
            </w:r>
            <w:r w:rsidRPr="00D475C9">
              <w:rPr>
                <w:rFonts w:eastAsia="Times New Roman"/>
                <w:sz w:val="12"/>
                <w:szCs w:val="12"/>
              </w:rPr>
              <w:br/>
              <w:t>4. Color-coded labels performed better toward purchasing more healthful products; warning labels better at discouraging unhealthful purchases.</w:t>
            </w:r>
          </w:p>
        </w:tc>
      </w:tr>
      <w:tr w14:paraId="786675C0"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582CC4E7" w14:textId="6ACC7C8B">
            <w:pPr>
              <w:pStyle w:val="TableParagraph"/>
              <w:spacing w:line="252" w:lineRule="auto"/>
              <w:ind w:right="133"/>
              <w:rPr>
                <w:rFonts w:eastAsia="Times New Roman"/>
                <w:color w:val="000000"/>
                <w:sz w:val="12"/>
                <w:szCs w:val="12"/>
              </w:rPr>
            </w:pPr>
            <w:r w:rsidRPr="00D475C9">
              <w:rPr>
                <w:rFonts w:eastAsia="Times New Roman"/>
                <w:color w:val="000000"/>
                <w:sz w:val="12"/>
                <w:szCs w:val="12"/>
              </w:rPr>
              <w:t>Thomas; Seenivasan; Wang</w:t>
            </w:r>
          </w:p>
        </w:tc>
        <w:tc>
          <w:tcPr>
            <w:tcW w:w="2101" w:type="dxa"/>
          </w:tcPr>
          <w:p w:rsidR="00DF60F4" w:rsidRPr="00D475C9" w:rsidP="00DF60F4" w14:paraId="488AA829" w14:textId="41D2DEC0">
            <w:pPr>
              <w:pStyle w:val="TableParagraph"/>
              <w:spacing w:line="252" w:lineRule="auto"/>
              <w:ind w:right="102"/>
              <w:rPr>
                <w:rFonts w:eastAsia="Times New Roman"/>
                <w:color w:val="000000"/>
                <w:sz w:val="12"/>
                <w:szCs w:val="12"/>
              </w:rPr>
            </w:pPr>
            <w:r w:rsidRPr="00D475C9">
              <w:rPr>
                <w:rFonts w:eastAsia="Times New Roman"/>
                <w:color w:val="000000"/>
                <w:sz w:val="12"/>
                <w:szCs w:val="12"/>
              </w:rPr>
              <w:t>A nudge toward healthier food choices: the influence of health star ratings on consumers' choices of packaged foods</w:t>
            </w:r>
          </w:p>
        </w:tc>
        <w:tc>
          <w:tcPr>
            <w:tcW w:w="333" w:type="dxa"/>
          </w:tcPr>
          <w:p w:rsidR="00DF60F4" w:rsidRPr="00D475C9" w:rsidP="00DF60F4" w14:paraId="0A62095C" w14:textId="51B84823">
            <w:pPr>
              <w:pStyle w:val="TableParagraph"/>
              <w:spacing w:line="140" w:lineRule="exact"/>
              <w:ind w:left="36"/>
              <w:rPr>
                <w:rFonts w:eastAsia="Times New Roman"/>
                <w:color w:val="00B050"/>
                <w:sz w:val="12"/>
                <w:szCs w:val="12"/>
              </w:rPr>
            </w:pPr>
            <w:r w:rsidRPr="00D475C9">
              <w:rPr>
                <w:rFonts w:eastAsia="Times New Roman"/>
                <w:color w:val="00B050"/>
                <w:sz w:val="12"/>
                <w:szCs w:val="12"/>
              </w:rPr>
              <w:t>2021</w:t>
            </w:r>
          </w:p>
        </w:tc>
        <w:tc>
          <w:tcPr>
            <w:tcW w:w="3555" w:type="dxa"/>
          </w:tcPr>
          <w:p w:rsidR="00DF60F4" w:rsidRPr="00D475C9" w:rsidP="00DF60F4" w14:paraId="6E0DC771" w14:textId="25B43F22">
            <w:pPr>
              <w:pStyle w:val="TableParagraph"/>
              <w:spacing w:line="252" w:lineRule="auto"/>
              <w:ind w:left="29" w:right="173"/>
              <w:rPr>
                <w:rFonts w:eastAsia="Times New Roman"/>
                <w:sz w:val="12"/>
                <w:szCs w:val="12"/>
              </w:rPr>
            </w:pPr>
            <w:r w:rsidRPr="00D475C9">
              <w:rPr>
                <w:rFonts w:eastAsia="Times New Roman"/>
                <w:color w:val="000000"/>
                <w:sz w:val="12"/>
                <w:szCs w:val="12"/>
              </w:rPr>
              <w:t>Quantitative</w:t>
            </w:r>
            <w:r w:rsidRPr="00D475C9">
              <w:rPr>
                <w:rFonts w:eastAsia="Times New Roman"/>
                <w:color w:val="000000"/>
                <w:sz w:val="12"/>
                <w:szCs w:val="12"/>
              </w:rPr>
              <w:br/>
              <w:t>1. tested perception of healthiness of products with negatively correlated nutrients, and whether Health Star Rating could help participants select the healthier option</w:t>
            </w:r>
          </w:p>
        </w:tc>
        <w:tc>
          <w:tcPr>
            <w:tcW w:w="1199" w:type="dxa"/>
          </w:tcPr>
          <w:p w:rsidR="00DF60F4" w:rsidRPr="00D475C9" w:rsidP="00DF60F4" w14:paraId="21A91CA9" w14:textId="0EE6BBB8">
            <w:pPr>
              <w:pStyle w:val="TableParagraph"/>
              <w:spacing w:line="252" w:lineRule="auto"/>
              <w:ind w:right="121"/>
              <w:rPr>
                <w:rFonts w:eastAsia="Times New Roman"/>
                <w:sz w:val="12"/>
                <w:szCs w:val="12"/>
              </w:rPr>
            </w:pPr>
            <w:r w:rsidRPr="00D475C9">
              <w:rPr>
                <w:rFonts w:eastAsia="Times New Roman"/>
                <w:color w:val="000000"/>
                <w:sz w:val="12"/>
                <w:szCs w:val="12"/>
              </w:rPr>
              <w:t>1. Health Star Rating (HSR)</w:t>
            </w:r>
          </w:p>
        </w:tc>
        <w:tc>
          <w:tcPr>
            <w:tcW w:w="1204" w:type="dxa"/>
          </w:tcPr>
          <w:p w:rsidR="00DF60F4" w:rsidRPr="00D475C9" w:rsidP="00DF60F4" w14:paraId="6FBD345E" w14:textId="44BC3672">
            <w:pPr>
              <w:spacing w:after="0" w:line="240" w:lineRule="auto"/>
              <w:rPr>
                <w:rFonts w:ascii="Calibri" w:eastAsia="Times New Roman" w:hAnsi="Calibri" w:cs="Calibri"/>
                <w:color w:val="000000"/>
                <w:sz w:val="12"/>
                <w:szCs w:val="12"/>
                <w:lang w:eastAsia="en-US"/>
              </w:rPr>
            </w:pPr>
            <w:r w:rsidRPr="00D475C9">
              <w:rPr>
                <w:rFonts w:ascii="Calibri" w:eastAsia="Times New Roman" w:hAnsi="Calibri" w:cs="Calibri"/>
                <w:noProof/>
                <w:color w:val="000000"/>
                <w:sz w:val="12"/>
                <w:szCs w:val="12"/>
                <w:lang w:eastAsia="en-US"/>
              </w:rPr>
              <w:drawing>
                <wp:anchor distT="0" distB="0" distL="114300" distR="114300" simplePos="0" relativeHeight="251698176" behindDoc="0" locked="0" layoutInCell="1" allowOverlap="1">
                  <wp:simplePos x="0" y="0"/>
                  <wp:positionH relativeFrom="column">
                    <wp:posOffset>15875</wp:posOffset>
                  </wp:positionH>
                  <wp:positionV relativeFrom="paragraph">
                    <wp:posOffset>85725</wp:posOffset>
                  </wp:positionV>
                  <wp:extent cx="457200" cy="428625"/>
                  <wp:effectExtent l="0" t="0" r="0" b="9525"/>
                  <wp:wrapNone/>
                  <wp:docPr id="134" name="Picture 134"/>
                  <wp:cNvGraphicFramePr/>
                  <a:graphic xmlns:a="http://schemas.openxmlformats.org/drawingml/2006/main">
                    <a:graphicData uri="http://schemas.openxmlformats.org/drawingml/2006/picture">
                      <pic:pic xmlns:pic="http://schemas.openxmlformats.org/drawingml/2006/picture">
                        <pic:nvPicPr>
                          <pic:cNvPr id="134" name="Picture 69"/>
                          <pic:cNvPicPr>
                            <a:picLocks noChangeAspect="1"/>
                          </pic:cNvPicPr>
                        </pic:nvPicPr>
                        <pic:blipFill>
                          <a:blip xmlns:r="http://schemas.openxmlformats.org/officeDocument/2006/relationships" r:embed="rId83">
                            <a:extLst>
                              <a:ext xmlns:a="http://schemas.openxmlformats.org/drawingml/2006/main" uri="{28A0092B-C50C-407E-A947-70E740481C1C}">
                                <a14:useLocalDpi xmlns:a14="http://schemas.microsoft.com/office/drawing/2010/main" val="0"/>
                              </a:ext>
                            </a:extLst>
                          </a:blip>
                          <a:stretch>
                            <a:fillRect/>
                          </a:stretch>
                        </pic:blipFill>
                        <pic:spPr>
                          <a:xfrm>
                            <a:off x="0" y="0"/>
                            <a:ext cx="457200" cy="428625"/>
                          </a:xfrm>
                          <a:prstGeom prst="rect">
                            <a:avLst/>
                          </a:prstGeom>
                        </pic:spPr>
                      </pic:pic>
                    </a:graphicData>
                  </a:graphic>
                  <wp14:sizeRelH relativeFrom="page">
                    <wp14:pctWidth>0</wp14:pctWidth>
                  </wp14:sizeRelH>
                  <wp14:sizeRelV relativeFrom="page">
                    <wp14:pctHeight>0</wp14:pctHeight>
                  </wp14:sizeRelV>
                </wp:anchor>
              </w:drawing>
            </w:r>
          </w:p>
        </w:tc>
        <w:tc>
          <w:tcPr>
            <w:tcW w:w="550" w:type="dxa"/>
          </w:tcPr>
          <w:p w:rsidR="00DF60F4" w:rsidRPr="00D475C9" w:rsidP="00DF60F4" w14:paraId="488EE419" w14:textId="3391093F">
            <w:pPr>
              <w:pStyle w:val="TableParagraph"/>
              <w:spacing w:line="140" w:lineRule="exact"/>
              <w:ind w:left="0" w:right="39"/>
              <w:jc w:val="center"/>
              <w:rPr>
                <w:rFonts w:eastAsia="Times New Roman"/>
                <w:color w:val="000000"/>
                <w:sz w:val="12"/>
                <w:szCs w:val="12"/>
              </w:rPr>
            </w:pPr>
            <w:r w:rsidRPr="00D475C9">
              <w:rPr>
                <w:rFonts w:eastAsia="Times New Roman"/>
                <w:color w:val="000000"/>
                <w:sz w:val="12"/>
                <w:szCs w:val="12"/>
              </w:rPr>
              <w:t>Australia</w:t>
            </w:r>
          </w:p>
        </w:tc>
        <w:tc>
          <w:tcPr>
            <w:tcW w:w="3487" w:type="dxa"/>
          </w:tcPr>
          <w:p w:rsidR="00DF60F4" w:rsidRPr="00D475C9" w:rsidP="00DF60F4" w14:paraId="2CD166EE" w14:textId="5E1C732D">
            <w:pPr>
              <w:pStyle w:val="TableParagraph"/>
              <w:spacing w:line="252" w:lineRule="auto"/>
              <w:rPr>
                <w:rFonts w:eastAsia="Times New Roman"/>
                <w:sz w:val="12"/>
                <w:szCs w:val="12"/>
              </w:rPr>
            </w:pPr>
            <w:r w:rsidRPr="00D475C9">
              <w:rPr>
                <w:rFonts w:eastAsia="Times New Roman"/>
                <w:color w:val="000000"/>
                <w:sz w:val="12"/>
                <w:szCs w:val="12"/>
              </w:rPr>
              <w:t>1. HSR increased the choice of the healthier option when nutrients were negatively correlated</w:t>
            </w:r>
            <w:r w:rsidRPr="00D475C9">
              <w:rPr>
                <w:rFonts w:eastAsia="Times New Roman"/>
                <w:color w:val="000000"/>
                <w:sz w:val="12"/>
                <w:szCs w:val="12"/>
              </w:rPr>
              <w:br/>
              <w:t>2. Consumers rely on a dominant nutrient when choosing food products, which leads to less healthy choices when nutrients are negatively correlated</w:t>
            </w:r>
            <w:r w:rsidRPr="00D475C9">
              <w:rPr>
                <w:rFonts w:eastAsia="Times New Roman"/>
                <w:color w:val="000000"/>
                <w:sz w:val="12"/>
                <w:szCs w:val="12"/>
              </w:rPr>
              <w:br/>
              <w:t>3. HSR increase healthiness of consumer food purchases</w:t>
            </w:r>
          </w:p>
        </w:tc>
      </w:tr>
      <w:tr w14:paraId="6ABADB87" w14:textId="77777777" w:rsidTr="005F2775">
        <w:tblPrEx>
          <w:tblW w:w="0" w:type="auto"/>
          <w:tblInd w:w="100" w:type="dxa"/>
          <w:tblLayout w:type="fixed"/>
          <w:tblCellMar>
            <w:left w:w="0" w:type="dxa"/>
            <w:right w:w="0" w:type="dxa"/>
          </w:tblCellMar>
          <w:tblLook w:val="01E0"/>
        </w:tblPrEx>
        <w:trPr>
          <w:trHeight w:val="1128"/>
        </w:trPr>
        <w:tc>
          <w:tcPr>
            <w:tcW w:w="1036" w:type="dxa"/>
          </w:tcPr>
          <w:p w:rsidR="00B21B8C" w:rsidRPr="00D475C9" w:rsidP="005F2775" w14:paraId="674C1FBB" w14:textId="77777777">
            <w:pPr>
              <w:pStyle w:val="TableParagraph"/>
              <w:spacing w:line="252" w:lineRule="auto"/>
              <w:ind w:right="133"/>
              <w:rPr>
                <w:rFonts w:eastAsia="Times New Roman"/>
                <w:color w:val="000000"/>
                <w:sz w:val="12"/>
                <w:szCs w:val="12"/>
              </w:rPr>
            </w:pPr>
            <w:r>
              <w:rPr>
                <w:rFonts w:eastAsia="Times New Roman"/>
                <w:color w:val="000000"/>
                <w:sz w:val="12"/>
                <w:szCs w:val="12"/>
              </w:rPr>
              <w:t>Zafar, et al.</w:t>
            </w:r>
          </w:p>
        </w:tc>
        <w:tc>
          <w:tcPr>
            <w:tcW w:w="2101" w:type="dxa"/>
          </w:tcPr>
          <w:p w:rsidR="00B21B8C" w:rsidRPr="00D475C9" w:rsidP="005F2775" w14:paraId="6E6A3846" w14:textId="77777777">
            <w:pPr>
              <w:pStyle w:val="TableParagraph"/>
              <w:spacing w:line="252" w:lineRule="auto"/>
              <w:ind w:right="102"/>
              <w:rPr>
                <w:rFonts w:eastAsia="Times New Roman"/>
                <w:color w:val="000000"/>
                <w:sz w:val="12"/>
                <w:szCs w:val="12"/>
              </w:rPr>
            </w:pPr>
            <w:r w:rsidRPr="00ED7EC3">
              <w:rPr>
                <w:rFonts w:eastAsia="Times New Roman"/>
                <w:color w:val="000000"/>
                <w:sz w:val="12"/>
                <w:szCs w:val="12"/>
              </w:rPr>
              <w:t>Readable Labels and Moderating Effect of Individual Personality Traits Effect on Consumer Healthy Packaged Food Selection Intention</w:t>
            </w:r>
          </w:p>
        </w:tc>
        <w:tc>
          <w:tcPr>
            <w:tcW w:w="333" w:type="dxa"/>
          </w:tcPr>
          <w:p w:rsidR="00B21B8C" w:rsidRPr="00D475C9" w:rsidP="005F2775" w14:paraId="7BFDD27B" w14:textId="4A9C54EB">
            <w:pPr>
              <w:pStyle w:val="TableParagraph"/>
              <w:spacing w:line="140" w:lineRule="exact"/>
              <w:ind w:left="36"/>
              <w:rPr>
                <w:rFonts w:eastAsia="Times New Roman"/>
                <w:color w:val="7030A0"/>
                <w:sz w:val="12"/>
                <w:szCs w:val="12"/>
              </w:rPr>
            </w:pPr>
            <w:r w:rsidRPr="00D475C9">
              <w:rPr>
                <w:rFonts w:eastAsia="Times New Roman"/>
                <w:color w:val="00B050"/>
                <w:sz w:val="12"/>
                <w:szCs w:val="12"/>
              </w:rPr>
              <w:t>2021</w:t>
            </w:r>
          </w:p>
        </w:tc>
        <w:tc>
          <w:tcPr>
            <w:tcW w:w="3555" w:type="dxa"/>
          </w:tcPr>
          <w:p w:rsidR="00B21B8C" w:rsidRPr="00ED7EC3" w:rsidP="005F2775" w14:paraId="5380BF07" w14:textId="77777777">
            <w:pPr>
              <w:pStyle w:val="TableParagraph"/>
              <w:spacing w:line="252" w:lineRule="auto"/>
              <w:ind w:left="29" w:right="173"/>
              <w:rPr>
                <w:rFonts w:eastAsia="Times New Roman"/>
                <w:sz w:val="12"/>
                <w:szCs w:val="12"/>
              </w:rPr>
            </w:pPr>
            <w:r w:rsidRPr="00ED7EC3">
              <w:rPr>
                <w:rFonts w:eastAsia="Times New Roman"/>
                <w:sz w:val="12"/>
                <w:szCs w:val="12"/>
              </w:rPr>
              <w:t>Qualitative and Quantitative</w:t>
            </w:r>
          </w:p>
          <w:p w:rsidR="00B21B8C" w:rsidRPr="00ED7EC3" w:rsidP="005F2775" w14:paraId="0D2D639C" w14:textId="77777777">
            <w:pPr>
              <w:pStyle w:val="TableParagraph"/>
              <w:spacing w:line="252" w:lineRule="auto"/>
              <w:ind w:left="29" w:right="173"/>
              <w:rPr>
                <w:rFonts w:eastAsia="Times New Roman"/>
                <w:sz w:val="12"/>
                <w:szCs w:val="12"/>
              </w:rPr>
            </w:pPr>
            <w:r w:rsidRPr="00ED7EC3">
              <w:rPr>
                <w:rFonts w:eastAsia="Times New Roman"/>
                <w:sz w:val="12"/>
                <w:szCs w:val="12"/>
              </w:rPr>
              <w:t>To examine factors affecting consumer intention to select healthy packaged food.</w:t>
            </w:r>
            <w:r>
              <w:rPr>
                <w:rFonts w:eastAsia="Times New Roman"/>
                <w:sz w:val="12"/>
                <w:szCs w:val="12"/>
              </w:rPr>
              <w:t xml:space="preserve"> </w:t>
            </w:r>
            <w:r w:rsidRPr="00ED7EC3">
              <w:rPr>
                <w:rFonts w:eastAsia="Times New Roman"/>
                <w:sz w:val="12"/>
                <w:szCs w:val="12"/>
              </w:rPr>
              <w:t xml:space="preserve">713 participants completed a questionnaire asking about purchase intentions for products with traffic lights label, health statements, </w:t>
            </w:r>
            <w:r w:rsidRPr="00ED7EC3">
              <w:rPr>
                <w:rFonts w:eastAsia="Times New Roman"/>
                <w:sz w:val="12"/>
                <w:szCs w:val="12"/>
              </w:rPr>
              <w:t>efficacy</w:t>
            </w:r>
            <w:r w:rsidRPr="00ED7EC3">
              <w:rPr>
                <w:rFonts w:eastAsia="Times New Roman"/>
                <w:sz w:val="12"/>
                <w:szCs w:val="12"/>
              </w:rPr>
              <w:t xml:space="preserve"> and intention for selecting healthy food items</w:t>
            </w:r>
          </w:p>
          <w:p w:rsidR="00B21B8C" w:rsidRPr="00D475C9" w:rsidP="005F2775" w14:paraId="21531903" w14:textId="77777777">
            <w:pPr>
              <w:pStyle w:val="TableParagraph"/>
              <w:spacing w:line="252" w:lineRule="auto"/>
              <w:ind w:left="29" w:right="173"/>
              <w:rPr>
                <w:rFonts w:eastAsia="Times New Roman"/>
                <w:sz w:val="12"/>
                <w:szCs w:val="12"/>
              </w:rPr>
            </w:pPr>
            <w:r w:rsidRPr="00ED7EC3">
              <w:rPr>
                <w:rFonts w:eastAsia="Times New Roman"/>
                <w:sz w:val="12"/>
                <w:szCs w:val="12"/>
              </w:rPr>
              <w:t>32 qualitative interviews assessing attitudes toward labels, effect of p</w:t>
            </w:r>
            <w:r>
              <w:rPr>
                <w:rFonts w:eastAsia="Times New Roman"/>
                <w:sz w:val="12"/>
                <w:szCs w:val="12"/>
              </w:rPr>
              <w:t>ersonality traits on intentions</w:t>
            </w:r>
          </w:p>
        </w:tc>
        <w:tc>
          <w:tcPr>
            <w:tcW w:w="1199" w:type="dxa"/>
          </w:tcPr>
          <w:p w:rsidR="00B21B8C" w:rsidRPr="00ED7EC3" w:rsidP="005F2775" w14:paraId="0BF34A8E" w14:textId="77777777">
            <w:pPr>
              <w:pStyle w:val="TableParagraph"/>
              <w:spacing w:line="252" w:lineRule="auto"/>
              <w:ind w:right="121"/>
              <w:rPr>
                <w:rFonts w:eastAsia="Times New Roman"/>
                <w:color w:val="000000"/>
                <w:sz w:val="12"/>
                <w:szCs w:val="12"/>
              </w:rPr>
            </w:pPr>
            <w:r w:rsidRPr="00ED7EC3">
              <w:rPr>
                <w:rFonts w:eastAsia="Times New Roman"/>
                <w:color w:val="000000"/>
                <w:sz w:val="12"/>
                <w:szCs w:val="12"/>
              </w:rPr>
              <w:t>1. Traffic lights</w:t>
            </w:r>
          </w:p>
          <w:p w:rsidR="00B21B8C" w:rsidRPr="00D475C9" w:rsidP="005F2775" w14:paraId="0F7FE17C" w14:textId="77777777">
            <w:pPr>
              <w:pStyle w:val="TableParagraph"/>
              <w:spacing w:line="252" w:lineRule="auto"/>
              <w:ind w:right="121"/>
              <w:rPr>
                <w:rFonts w:eastAsia="Times New Roman"/>
                <w:color w:val="000000"/>
                <w:sz w:val="12"/>
                <w:szCs w:val="12"/>
              </w:rPr>
            </w:pPr>
            <w:r>
              <w:rPr>
                <w:rFonts w:eastAsia="Times New Roman"/>
                <w:color w:val="000000"/>
                <w:sz w:val="12"/>
                <w:szCs w:val="12"/>
              </w:rPr>
              <w:t>2. Health Statements</w:t>
            </w:r>
          </w:p>
        </w:tc>
        <w:tc>
          <w:tcPr>
            <w:tcW w:w="1204" w:type="dxa"/>
          </w:tcPr>
          <w:p w:rsidR="00B21B8C" w:rsidRPr="00D475C9" w:rsidP="005F2775" w14:paraId="37FA18DB" w14:textId="77777777">
            <w:pPr>
              <w:spacing w:after="0" w:line="240" w:lineRule="auto"/>
              <w:rPr>
                <w:rFonts w:ascii="Calibri" w:eastAsia="Times New Roman" w:hAnsi="Calibri" w:cs="Calibri"/>
                <w:color w:val="000000"/>
                <w:sz w:val="12"/>
                <w:szCs w:val="12"/>
                <w:lang w:eastAsia="en-US"/>
              </w:rPr>
            </w:pPr>
            <w:r w:rsidRPr="00D475C9">
              <w:rPr>
                <w:rFonts w:ascii="Calibri" w:eastAsia="Times New Roman" w:hAnsi="Calibri" w:cs="Calibri"/>
                <w:color w:val="000000"/>
                <w:sz w:val="12"/>
                <w:szCs w:val="12"/>
                <w:lang w:eastAsia="en-US"/>
              </w:rPr>
              <w:t>No image available</w:t>
            </w:r>
          </w:p>
        </w:tc>
        <w:tc>
          <w:tcPr>
            <w:tcW w:w="550" w:type="dxa"/>
          </w:tcPr>
          <w:p w:rsidR="00B21B8C" w:rsidRPr="00D475C9" w:rsidP="005F2775" w14:paraId="109855FD" w14:textId="77777777">
            <w:pPr>
              <w:pStyle w:val="TableParagraph"/>
              <w:spacing w:line="140" w:lineRule="exact"/>
              <w:ind w:left="0" w:right="39"/>
              <w:jc w:val="center"/>
              <w:rPr>
                <w:rFonts w:eastAsia="Times New Roman"/>
                <w:sz w:val="12"/>
                <w:szCs w:val="12"/>
              </w:rPr>
            </w:pPr>
            <w:r>
              <w:rPr>
                <w:rFonts w:eastAsia="Times New Roman"/>
                <w:sz w:val="12"/>
                <w:szCs w:val="12"/>
              </w:rPr>
              <w:t>Pakistan</w:t>
            </w:r>
          </w:p>
        </w:tc>
        <w:tc>
          <w:tcPr>
            <w:tcW w:w="3487" w:type="dxa"/>
          </w:tcPr>
          <w:p w:rsidR="00B21B8C" w:rsidRPr="00D475C9" w:rsidP="005F2775" w14:paraId="3F2788E0" w14:textId="03017619">
            <w:pPr>
              <w:pStyle w:val="TableParagraph"/>
              <w:spacing w:line="252" w:lineRule="auto"/>
              <w:rPr>
                <w:rFonts w:eastAsia="Times New Roman"/>
                <w:sz w:val="12"/>
                <w:szCs w:val="12"/>
              </w:rPr>
            </w:pPr>
            <w:r>
              <w:rPr>
                <w:rFonts w:eastAsia="Times New Roman"/>
                <w:sz w:val="12"/>
                <w:szCs w:val="12"/>
              </w:rPr>
              <w:t>FOP</w:t>
            </w:r>
            <w:r w:rsidRPr="00ED7EC3">
              <w:rPr>
                <w:rFonts w:eastAsia="Times New Roman"/>
                <w:sz w:val="12"/>
                <w:szCs w:val="12"/>
              </w:rPr>
              <w:t>s had insignificant effect on purchase intentions without label reading attitude; results highlight the need for consumer education regarding nutrients.</w:t>
            </w:r>
          </w:p>
        </w:tc>
      </w:tr>
      <w:tr w14:paraId="5FF9295C"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25979FE7" w14:textId="20455276">
            <w:pPr>
              <w:pStyle w:val="TableParagraph"/>
              <w:spacing w:line="252" w:lineRule="auto"/>
              <w:ind w:right="133"/>
              <w:rPr>
                <w:rFonts w:eastAsia="Times New Roman"/>
                <w:color w:val="000000"/>
                <w:sz w:val="12"/>
                <w:szCs w:val="12"/>
              </w:rPr>
            </w:pPr>
            <w:r w:rsidRPr="00D475C9">
              <w:rPr>
                <w:rFonts w:eastAsia="Times New Roman"/>
                <w:sz w:val="12"/>
                <w:szCs w:val="12"/>
              </w:rPr>
              <w:t>Acton, et al.</w:t>
            </w:r>
          </w:p>
        </w:tc>
        <w:tc>
          <w:tcPr>
            <w:tcW w:w="2101" w:type="dxa"/>
          </w:tcPr>
          <w:p w:rsidR="00DF60F4" w:rsidRPr="00D475C9" w:rsidP="00DF60F4" w14:paraId="44DE2314" w14:textId="1E79491E">
            <w:pPr>
              <w:pStyle w:val="TableParagraph"/>
              <w:spacing w:line="252" w:lineRule="auto"/>
              <w:ind w:right="102"/>
              <w:rPr>
                <w:rFonts w:eastAsia="Times New Roman"/>
                <w:color w:val="000000"/>
                <w:sz w:val="12"/>
                <w:szCs w:val="12"/>
              </w:rPr>
            </w:pPr>
            <w:r w:rsidRPr="00D475C9">
              <w:rPr>
                <w:rFonts w:eastAsia="Times New Roman"/>
                <w:sz w:val="12"/>
                <w:szCs w:val="12"/>
              </w:rPr>
              <w:t>Comparing the Effects of Four Front-of-Package Nutrition Labels on Consumer Purchases of Five Common Beverages and Snack Foods: Results from a Randomized Trial</w:t>
            </w:r>
          </w:p>
        </w:tc>
        <w:tc>
          <w:tcPr>
            <w:tcW w:w="333" w:type="dxa"/>
          </w:tcPr>
          <w:p w:rsidR="00DF60F4" w:rsidRPr="00D475C9" w:rsidP="00DF60F4" w14:paraId="18F49F05" w14:textId="2DF6CBFB">
            <w:pPr>
              <w:pStyle w:val="TableParagraph"/>
              <w:spacing w:line="140" w:lineRule="exact"/>
              <w:ind w:left="36"/>
              <w:rPr>
                <w:rFonts w:eastAsia="Times New Roman"/>
                <w:color w:val="00B050"/>
                <w:sz w:val="12"/>
                <w:szCs w:val="12"/>
              </w:rPr>
            </w:pPr>
            <w:r w:rsidRPr="00D475C9">
              <w:rPr>
                <w:rFonts w:eastAsia="Times New Roman"/>
                <w:color w:val="7030A0"/>
                <w:sz w:val="12"/>
                <w:szCs w:val="12"/>
              </w:rPr>
              <w:t>2022</w:t>
            </w:r>
          </w:p>
        </w:tc>
        <w:tc>
          <w:tcPr>
            <w:tcW w:w="3555" w:type="dxa"/>
          </w:tcPr>
          <w:p w:rsidR="00DF60F4" w:rsidRPr="00D475C9" w:rsidP="00DF60F4" w14:paraId="7B8533BE" w14:textId="5A45BB64">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 xml:space="preserve">1. Explored the impact of sugar taxes and </w:t>
            </w:r>
            <w:r w:rsidR="004B6E26">
              <w:rPr>
                <w:rFonts w:eastAsia="Times New Roman"/>
                <w:sz w:val="12"/>
                <w:szCs w:val="12"/>
              </w:rPr>
              <w:t>FOP</w:t>
            </w:r>
            <w:r w:rsidRPr="00D475C9">
              <w:rPr>
                <w:rFonts w:eastAsia="Times New Roman"/>
                <w:sz w:val="12"/>
                <w:szCs w:val="12"/>
              </w:rPr>
              <w:t>s on the protein, calcium, and fiber density of snack food purchases</w:t>
            </w:r>
            <w:r w:rsidRPr="00D475C9">
              <w:rPr>
                <w:rFonts w:eastAsia="Times New Roman"/>
                <w:sz w:val="12"/>
                <w:szCs w:val="12"/>
              </w:rPr>
              <w:br/>
              <w:t>- Experimental study (n = 3584) aged 13+, 3 × 8 between-within group experiment.</w:t>
            </w:r>
            <w:r w:rsidRPr="00D475C9">
              <w:rPr>
                <w:rFonts w:eastAsia="Times New Roman"/>
                <w:sz w:val="12"/>
                <w:szCs w:val="12"/>
              </w:rPr>
              <w:br/>
              <w:t>- Participants received $5 and viewed images of 20 snack food products available for purchase</w:t>
            </w:r>
            <w:r w:rsidRPr="00D475C9">
              <w:rPr>
                <w:rFonts w:eastAsia="Times New Roman"/>
                <w:sz w:val="12"/>
                <w:szCs w:val="12"/>
              </w:rPr>
              <w:br/>
              <w:t xml:space="preserve">- Participants were randomized to one of five </w:t>
            </w:r>
            <w:r w:rsidR="004B6E26">
              <w:rPr>
                <w:rFonts w:eastAsia="Times New Roman"/>
                <w:sz w:val="12"/>
                <w:szCs w:val="12"/>
              </w:rPr>
              <w:t>FOP</w:t>
            </w:r>
            <w:r w:rsidRPr="00D475C9">
              <w:rPr>
                <w:rFonts w:eastAsia="Times New Roman"/>
                <w:sz w:val="12"/>
                <w:szCs w:val="12"/>
              </w:rPr>
              <w:t xml:space="preserve"> conditions</w:t>
            </w:r>
            <w:r w:rsidRPr="00D475C9">
              <w:rPr>
                <w:rFonts w:eastAsia="Times New Roman"/>
                <w:sz w:val="12"/>
                <w:szCs w:val="12"/>
              </w:rPr>
              <w:br/>
              <w:t>2. Objective: identify whether key socio-demographic and behavioral characteristics moderated the effects of sugar taxes and FOP nutrition labels</w:t>
            </w:r>
          </w:p>
        </w:tc>
        <w:tc>
          <w:tcPr>
            <w:tcW w:w="1199" w:type="dxa"/>
          </w:tcPr>
          <w:p w:rsidR="00DF60F4" w:rsidRPr="00D475C9" w:rsidP="00DF60F4" w14:paraId="401EF151" w14:textId="3830272F">
            <w:pPr>
              <w:pStyle w:val="TableParagraph"/>
              <w:spacing w:line="252" w:lineRule="auto"/>
              <w:ind w:right="121"/>
              <w:rPr>
                <w:rFonts w:eastAsia="Times New Roman"/>
                <w:sz w:val="12"/>
                <w:szCs w:val="12"/>
              </w:rPr>
            </w:pPr>
            <w:r w:rsidRPr="00D475C9">
              <w:rPr>
                <w:rFonts w:eastAsia="Times New Roman"/>
                <w:sz w:val="12"/>
                <w:szCs w:val="12"/>
              </w:rPr>
              <w:t>1. Warning label (WL)</w:t>
            </w:r>
            <w:r w:rsidRPr="00D475C9">
              <w:rPr>
                <w:rFonts w:eastAsia="Times New Roman"/>
                <w:sz w:val="12"/>
                <w:szCs w:val="12"/>
              </w:rPr>
              <w:br/>
              <w:t>2. Multiple Traffic Light (MTL)</w:t>
            </w:r>
            <w:r w:rsidRPr="00D475C9">
              <w:rPr>
                <w:rFonts w:eastAsia="Times New Roman"/>
                <w:sz w:val="12"/>
                <w:szCs w:val="12"/>
              </w:rPr>
              <w:br/>
              <w:t>3. Health Star Rating (HSR)</w:t>
            </w:r>
            <w:r w:rsidRPr="00D475C9">
              <w:rPr>
                <w:rFonts w:eastAsia="Times New Roman"/>
                <w:sz w:val="12"/>
                <w:szCs w:val="12"/>
              </w:rPr>
              <w:br/>
              <w:t>4. Nutrition grade</w:t>
            </w:r>
          </w:p>
        </w:tc>
        <w:tc>
          <w:tcPr>
            <w:tcW w:w="1204" w:type="dxa"/>
          </w:tcPr>
          <w:p w:rsidR="00DF60F4" w:rsidRPr="00D475C9" w:rsidP="00DF60F4" w14:paraId="7E1C7C79" w14:textId="2A5BF83D">
            <w:pPr>
              <w:spacing w:after="0" w:line="240" w:lineRule="auto"/>
              <w:rPr>
                <w:rFonts w:ascii="Calibri" w:eastAsia="Times New Roman" w:hAnsi="Calibri" w:cs="Calibri"/>
                <w:color w:val="000000"/>
                <w:sz w:val="12"/>
                <w:szCs w:val="12"/>
                <w:lang w:eastAsia="en-US"/>
              </w:rPr>
            </w:pPr>
            <w:r w:rsidRPr="00D475C9">
              <w:rPr>
                <w:rFonts w:ascii="Calibri" w:eastAsia="Times New Roman" w:hAnsi="Calibri" w:cs="Calibri"/>
                <w:noProof/>
                <w:color w:val="000000"/>
                <w:sz w:val="12"/>
                <w:szCs w:val="12"/>
                <w:lang w:eastAsia="en-US"/>
              </w:rPr>
              <mc:AlternateContent>
                <mc:Choice Requires="wpg">
                  <w:drawing>
                    <wp:anchor distT="0" distB="0" distL="114300" distR="114300" simplePos="0" relativeHeight="251699200" behindDoc="0" locked="0" layoutInCell="1" allowOverlap="1">
                      <wp:simplePos x="0" y="0"/>
                      <wp:positionH relativeFrom="column">
                        <wp:posOffset>60325</wp:posOffset>
                      </wp:positionH>
                      <wp:positionV relativeFrom="paragraph">
                        <wp:posOffset>85725</wp:posOffset>
                      </wp:positionV>
                      <wp:extent cx="640080" cy="365760"/>
                      <wp:effectExtent l="0" t="0" r="7620" b="0"/>
                      <wp:wrapNone/>
                      <wp:docPr id="131" name="Group 131"/>
                      <wp:cNvGraphicFramePr>
                        <a:graphicFrameLocks xmlns:a="http://schemas.openxmlformats.org/drawingml/2006/main" noChangeAspect="1"/>
                      </wp:cNvGraphicFramePr>
                      <a:graphic xmlns:a="http://schemas.openxmlformats.org/drawingml/2006/main">
                        <a:graphicData uri="http://schemas.microsoft.com/office/word/2010/wordprocessingGroup">
                          <wpg:wgp xmlns:wpg="http://schemas.microsoft.com/office/word/2010/wordprocessingGroup">
                            <wpg:cNvGrpSpPr>
                              <a:grpSpLocks noChangeAspect="1"/>
                            </wpg:cNvGrpSpPr>
                            <wpg:grpSpPr>
                              <a:xfrm>
                                <a:off x="0" y="0"/>
                                <a:ext cx="640080" cy="365760"/>
                                <a:chOff x="0" y="0"/>
                                <a:chExt cx="1702812" cy="982134"/>
                              </a:xfrm>
                            </wpg:grpSpPr>
                            <pic:pic xmlns:pic="http://schemas.openxmlformats.org/drawingml/2006/picture">
                              <pic:nvPicPr>
                                <pic:cNvPr id="132" name="Picture 132">
                                  <a:extLst>
                                    <a:ext xmlns:a="http://schemas.openxmlformats.org/drawingml/2006/main" uri="{FF2B5EF4-FFF2-40B4-BE49-F238E27FC236}">
                                      <a16:creationId xmlns:a16="http://schemas.microsoft.com/office/drawing/2014/main" id="{607410D2-AC24-4C3A-83EA-49338EC5ED14}"/>
                                    </a:ext>
                                  </a:extLst>
                                </pic:cNvPr>
                                <pic:cNvPicPr>
                                  <a:picLocks noChangeAspect="1" noChangeArrowheads="1"/>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rcRect b="54282"/>
                                <a:stretch>
                                  <a:fillRect/>
                                </a:stretch>
                              </pic:blipFill>
                              <pic:spPr bwMode="auto">
                                <a:xfrm>
                                  <a:off x="0" y="52916"/>
                                  <a:ext cx="738695" cy="836083"/>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133">
                                  <a:extLst>
                                    <a:ext xmlns:a="http://schemas.openxmlformats.org/drawingml/2006/main" uri="{FF2B5EF4-FFF2-40B4-BE49-F238E27FC236}">
                                      <a16:creationId xmlns:a16="http://schemas.microsoft.com/office/drawing/2014/main" id="{607410D2-AC24-4C3A-83EA-49338EC5ED14}"/>
                                    </a:ext>
                                  </a:extLst>
                                </pic:cNvPr>
                                <pic:cNvPicPr>
                                  <a:picLocks noChangeAspect="1" noChangeArrowheads="1"/>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rcRect t="46296"/>
                                <a:stretch>
                                  <a:fillRect/>
                                </a:stretch>
                              </pic:blipFill>
                              <pic:spPr bwMode="auto">
                                <a:xfrm>
                                  <a:off x="964117" y="0"/>
                                  <a:ext cx="738695" cy="982134"/>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1" o:spid="_x0000_s1048" style="width:50.4pt;height:28.8pt;margin-top:6.75pt;margin-left:4.75pt;position:absolute;z-index:251700224" coordsize="17028,9821">
                      <o:lock v:ext="edit" aspectratio="t"/>
                      <v:shape id="Picture 132" o:spid="_x0000_s1049" type="#_x0000_t75" style="width:7386;height:8360;mso-wrap-style:square;position:absolute;top:529;visibility:visible">
                        <v:imagedata r:id="rId70" o:title="" cropbottom="35574f"/>
                      </v:shape>
                      <v:shape id="Picture 133" o:spid="_x0000_s1050" type="#_x0000_t75" style="width:7387;height:9821;left:9641;mso-wrap-style:square;position:absolute;visibility:visible">
                        <v:imagedata r:id="rId70" o:title="" croptop="30341f"/>
                      </v:shape>
                    </v:group>
                  </w:pict>
                </mc:Fallback>
              </mc:AlternateContent>
            </w:r>
          </w:p>
        </w:tc>
        <w:tc>
          <w:tcPr>
            <w:tcW w:w="550" w:type="dxa"/>
          </w:tcPr>
          <w:p w:rsidR="00DF60F4" w:rsidRPr="00D475C9" w:rsidP="00DF60F4" w14:paraId="25E03C2C" w14:textId="1A135B19">
            <w:pPr>
              <w:pStyle w:val="TableParagraph"/>
              <w:spacing w:line="140" w:lineRule="exact"/>
              <w:ind w:left="0" w:right="39"/>
              <w:jc w:val="center"/>
              <w:rPr>
                <w:rFonts w:eastAsia="Times New Roman"/>
                <w:color w:val="000000"/>
                <w:sz w:val="12"/>
                <w:szCs w:val="12"/>
              </w:rPr>
            </w:pPr>
            <w:r w:rsidRPr="00D475C9">
              <w:rPr>
                <w:rFonts w:eastAsia="Times New Roman"/>
                <w:sz w:val="12"/>
                <w:szCs w:val="12"/>
              </w:rPr>
              <w:t>Canada</w:t>
            </w:r>
          </w:p>
        </w:tc>
        <w:tc>
          <w:tcPr>
            <w:tcW w:w="3487" w:type="dxa"/>
          </w:tcPr>
          <w:p w:rsidR="00DF60F4" w:rsidRPr="00D475C9" w:rsidP="00DF60F4" w14:paraId="26713489" w14:textId="37FB8269">
            <w:pPr>
              <w:pStyle w:val="TableParagraph"/>
              <w:spacing w:line="252" w:lineRule="auto"/>
              <w:rPr>
                <w:rFonts w:eastAsia="Times New Roman"/>
                <w:sz w:val="12"/>
                <w:szCs w:val="12"/>
              </w:rPr>
            </w:pPr>
            <w:r w:rsidRPr="00D475C9">
              <w:rPr>
                <w:rFonts w:eastAsia="Times New Roman"/>
                <w:sz w:val="12"/>
                <w:szCs w:val="12"/>
              </w:rPr>
              <w:t xml:space="preserve">1. Participants seeing HSR more likely to </w:t>
            </w:r>
            <w:r w:rsidRPr="00D475C9" w:rsidR="00F92DAA">
              <w:rPr>
                <w:rFonts w:eastAsia="Times New Roman"/>
                <w:sz w:val="12"/>
                <w:szCs w:val="12"/>
              </w:rPr>
              <w:t>purchase</w:t>
            </w:r>
            <w:r w:rsidRPr="00D475C9">
              <w:rPr>
                <w:rFonts w:eastAsia="Times New Roman"/>
                <w:sz w:val="12"/>
                <w:szCs w:val="12"/>
              </w:rPr>
              <w:t xml:space="preserve"> 100% fruit juice (compared to MTL) and cheese snacks (compared to no label and WL</w:t>
            </w:r>
            <w:r w:rsidRPr="00D475C9">
              <w:rPr>
                <w:rFonts w:eastAsia="Times New Roman"/>
                <w:sz w:val="12"/>
                <w:szCs w:val="12"/>
              </w:rPr>
              <w:br/>
              <w:t>2. WL resulted in fewer purchases of chocolate milk than no label</w:t>
            </w:r>
            <w:r w:rsidRPr="00D475C9">
              <w:rPr>
                <w:rFonts w:eastAsia="Times New Roman"/>
                <w:sz w:val="12"/>
                <w:szCs w:val="12"/>
              </w:rPr>
              <w:br/>
              <w:t>3. WL better at discouraging consumption of products with high levels of nutrients of concern; HSR less likely to discourage, and no better at encouraging purchases of protein, calcium or fiber from snack foods compared to nutrient-specific labels</w:t>
            </w:r>
          </w:p>
        </w:tc>
      </w:tr>
      <w:tr w14:paraId="4280D0B2"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31E9BFC4" w14:textId="589390F5">
            <w:pPr>
              <w:pStyle w:val="TableParagraph"/>
              <w:spacing w:line="252" w:lineRule="auto"/>
              <w:ind w:right="133"/>
              <w:rPr>
                <w:rFonts w:eastAsia="Times New Roman"/>
                <w:sz w:val="12"/>
                <w:szCs w:val="12"/>
              </w:rPr>
            </w:pPr>
            <w:r w:rsidRPr="00D475C9">
              <w:rPr>
                <w:rFonts w:eastAsia="Times New Roman"/>
                <w:sz w:val="12"/>
                <w:szCs w:val="12"/>
              </w:rPr>
              <w:t>Adasme-Berríos, et al.</w:t>
            </w:r>
          </w:p>
        </w:tc>
        <w:tc>
          <w:tcPr>
            <w:tcW w:w="2101" w:type="dxa"/>
          </w:tcPr>
          <w:p w:rsidR="00DF60F4" w:rsidRPr="00D475C9" w:rsidP="00DF60F4" w14:paraId="6F6E95BF" w14:textId="302CD95A">
            <w:pPr>
              <w:pStyle w:val="TableParagraph"/>
              <w:spacing w:line="252" w:lineRule="auto"/>
              <w:ind w:right="102"/>
              <w:rPr>
                <w:rFonts w:eastAsia="Times New Roman"/>
                <w:sz w:val="12"/>
                <w:szCs w:val="12"/>
              </w:rPr>
            </w:pPr>
            <w:r w:rsidRPr="00D475C9">
              <w:rPr>
                <w:rFonts w:eastAsia="Times New Roman"/>
                <w:sz w:val="12"/>
                <w:szCs w:val="12"/>
              </w:rPr>
              <w:t>Effect of Warning Labels on Consumer Motivation and Intention to Avoid Consuming Processed Foods</w:t>
            </w:r>
          </w:p>
        </w:tc>
        <w:tc>
          <w:tcPr>
            <w:tcW w:w="333" w:type="dxa"/>
          </w:tcPr>
          <w:p w:rsidR="00DF60F4" w:rsidRPr="00D475C9" w:rsidP="00DF60F4" w14:paraId="0073AE89" w14:textId="439B1D13">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DF60F4" w:rsidP="00DF60F4" w14:paraId="09A46794" w14:textId="77777777">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1. Explore relationship between FOP nutrition warnings and nutritional knowledge, consumer motivation, and intent to avoid consuming processed foods.</w:t>
            </w:r>
          </w:p>
          <w:p w:rsidR="00094270" w:rsidRPr="00D475C9" w:rsidP="00DF60F4" w14:paraId="70FB71D8" w14:textId="42A7B171">
            <w:pPr>
              <w:pStyle w:val="TableParagraph"/>
              <w:spacing w:line="252" w:lineRule="auto"/>
              <w:ind w:left="29" w:right="173"/>
              <w:rPr>
                <w:rFonts w:eastAsia="Times New Roman"/>
                <w:sz w:val="12"/>
                <w:szCs w:val="12"/>
              </w:rPr>
            </w:pPr>
            <w:r w:rsidRPr="00094270">
              <w:rPr>
                <w:rFonts w:eastAsia="Times New Roman"/>
                <w:sz w:val="12"/>
                <w:szCs w:val="12"/>
              </w:rPr>
              <w:t>2. 807 participants who purchased processed foods with warning labels completed a questionnaire asking about food behaviors, nutritional knowledge, and how they choose foods.</w:t>
            </w:r>
          </w:p>
        </w:tc>
        <w:tc>
          <w:tcPr>
            <w:tcW w:w="1199" w:type="dxa"/>
          </w:tcPr>
          <w:p w:rsidR="00DF60F4" w:rsidRPr="00D475C9" w:rsidP="00DF60F4" w14:paraId="794B4E86" w14:textId="7EEF0B8A">
            <w:pPr>
              <w:pStyle w:val="TableParagraph"/>
              <w:spacing w:line="252" w:lineRule="auto"/>
              <w:ind w:right="121"/>
              <w:rPr>
                <w:rFonts w:eastAsia="Times New Roman"/>
                <w:sz w:val="12"/>
                <w:szCs w:val="12"/>
              </w:rPr>
            </w:pPr>
            <w:r w:rsidRPr="00D475C9">
              <w:rPr>
                <w:rFonts w:eastAsia="Times New Roman"/>
                <w:sz w:val="12"/>
                <w:szCs w:val="12"/>
              </w:rPr>
              <w:t>1. Stop sign</w:t>
            </w:r>
          </w:p>
        </w:tc>
        <w:tc>
          <w:tcPr>
            <w:tcW w:w="1204" w:type="dxa"/>
          </w:tcPr>
          <w:p w:rsidR="00DF60F4" w:rsidRPr="00D475C9" w:rsidP="00DF60F4" w14:paraId="59105500" w14:textId="339AA625">
            <w:pPr>
              <w:spacing w:after="0" w:line="240" w:lineRule="auto"/>
              <w:rPr>
                <w:rFonts w:ascii="Calibri" w:eastAsia="Times New Roman" w:hAnsi="Calibri" w:cs="Calibri"/>
                <w:noProof/>
                <w:color w:val="000000"/>
                <w:sz w:val="12"/>
                <w:szCs w:val="12"/>
                <w:lang w:eastAsia="en-US"/>
              </w:rPr>
            </w:pPr>
            <w:r w:rsidRPr="00D475C9">
              <w:rPr>
                <w:rFonts w:ascii="Calibri" w:eastAsia="Times New Roman" w:hAnsi="Calibri" w:cs="Calibri"/>
                <w:color w:val="000000"/>
                <w:sz w:val="12"/>
                <w:szCs w:val="12"/>
                <w:lang w:eastAsia="en-US"/>
              </w:rPr>
              <w:t>No image available</w:t>
            </w:r>
          </w:p>
        </w:tc>
        <w:tc>
          <w:tcPr>
            <w:tcW w:w="550" w:type="dxa"/>
          </w:tcPr>
          <w:p w:rsidR="00DF60F4" w:rsidRPr="00D475C9" w:rsidP="00DF60F4" w14:paraId="6299D79C" w14:textId="4EE49A67">
            <w:pPr>
              <w:pStyle w:val="TableParagraph"/>
              <w:spacing w:line="140" w:lineRule="exact"/>
              <w:ind w:left="0" w:right="39"/>
              <w:jc w:val="center"/>
              <w:rPr>
                <w:rFonts w:eastAsia="Times New Roman"/>
                <w:sz w:val="12"/>
                <w:szCs w:val="12"/>
              </w:rPr>
            </w:pPr>
            <w:r w:rsidRPr="00D475C9">
              <w:rPr>
                <w:rFonts w:eastAsia="Times New Roman"/>
                <w:sz w:val="12"/>
                <w:szCs w:val="12"/>
              </w:rPr>
              <w:t>Chile</w:t>
            </w:r>
          </w:p>
        </w:tc>
        <w:tc>
          <w:tcPr>
            <w:tcW w:w="3487" w:type="dxa"/>
          </w:tcPr>
          <w:p w:rsidR="00DF60F4" w:rsidRPr="00D475C9" w:rsidP="00DF60F4" w14:paraId="42F16A1E" w14:textId="33044DC4">
            <w:pPr>
              <w:pStyle w:val="TableParagraph"/>
              <w:spacing w:line="252" w:lineRule="auto"/>
              <w:rPr>
                <w:rFonts w:eastAsia="Times New Roman"/>
                <w:sz w:val="12"/>
                <w:szCs w:val="12"/>
              </w:rPr>
            </w:pPr>
            <w:r w:rsidRPr="00D475C9">
              <w:rPr>
                <w:rFonts w:eastAsia="Times New Roman"/>
                <w:sz w:val="12"/>
                <w:szCs w:val="12"/>
              </w:rPr>
              <w:t>1. Nutrition warnings effective to help mitigate eating motivations and to boost intention to avoid processed food</w:t>
            </w:r>
          </w:p>
        </w:tc>
      </w:tr>
      <w:tr w14:paraId="15D6201C"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16F0C60B" w14:textId="472824B4">
            <w:pPr>
              <w:pStyle w:val="TableParagraph"/>
              <w:spacing w:line="252" w:lineRule="auto"/>
              <w:ind w:right="133"/>
              <w:rPr>
                <w:rFonts w:eastAsia="Times New Roman"/>
                <w:sz w:val="12"/>
                <w:szCs w:val="12"/>
              </w:rPr>
            </w:pPr>
            <w:r w:rsidRPr="00D475C9">
              <w:rPr>
                <w:rFonts w:eastAsia="Times New Roman"/>
                <w:sz w:val="12"/>
                <w:szCs w:val="12"/>
              </w:rPr>
              <w:t>Agarwal, et al.</w:t>
            </w:r>
          </w:p>
        </w:tc>
        <w:tc>
          <w:tcPr>
            <w:tcW w:w="2101" w:type="dxa"/>
          </w:tcPr>
          <w:p w:rsidR="00DF60F4" w:rsidRPr="00D475C9" w:rsidP="00DF60F4" w14:paraId="2DEA564F" w14:textId="6A14F8B0">
            <w:pPr>
              <w:pStyle w:val="TableParagraph"/>
              <w:spacing w:line="252" w:lineRule="auto"/>
              <w:ind w:right="102"/>
              <w:rPr>
                <w:rFonts w:eastAsia="Times New Roman"/>
                <w:sz w:val="12"/>
                <w:szCs w:val="12"/>
              </w:rPr>
            </w:pPr>
            <w:r w:rsidRPr="00D475C9">
              <w:rPr>
                <w:rFonts w:eastAsia="Times New Roman"/>
                <w:sz w:val="12"/>
                <w:szCs w:val="12"/>
              </w:rPr>
              <w:t>The effect of energy and fat content labeling on food consumption pattern: a systematic review and meta-analysis</w:t>
            </w:r>
          </w:p>
        </w:tc>
        <w:tc>
          <w:tcPr>
            <w:tcW w:w="333" w:type="dxa"/>
          </w:tcPr>
          <w:p w:rsidR="00DF60F4" w:rsidRPr="00D475C9" w:rsidP="00DF60F4" w14:paraId="11FDE507" w14:textId="419555F9">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DF60F4" w:rsidRPr="00D475C9" w:rsidP="00DF60F4" w14:paraId="5447E63A" w14:textId="191009BA">
            <w:pPr>
              <w:pStyle w:val="TableParagraph"/>
              <w:spacing w:line="252" w:lineRule="auto"/>
              <w:ind w:left="29" w:right="173"/>
              <w:rPr>
                <w:rFonts w:eastAsia="Times New Roman"/>
                <w:sz w:val="12"/>
                <w:szCs w:val="12"/>
              </w:rPr>
            </w:pPr>
            <w:r w:rsidRPr="00D475C9">
              <w:rPr>
                <w:rFonts w:eastAsia="Times New Roman"/>
                <w:sz w:val="12"/>
                <w:szCs w:val="12"/>
              </w:rPr>
              <w:t>Qualitative</w:t>
            </w:r>
            <w:r w:rsidRPr="00D475C9">
              <w:rPr>
                <w:rFonts w:eastAsia="Times New Roman"/>
                <w:sz w:val="12"/>
                <w:szCs w:val="12"/>
              </w:rPr>
              <w:br/>
              <w:t>1. Synthesized findings from 6 studies published between 2014 and 2019 (413 abstracts reviewed to identify 10 for further review; meta-analysis carried out on 6)</w:t>
            </w:r>
            <w:r w:rsidRPr="00D475C9">
              <w:rPr>
                <w:rFonts w:eastAsia="Times New Roman"/>
                <w:sz w:val="12"/>
                <w:szCs w:val="12"/>
              </w:rPr>
              <w:br/>
              <w:t>2. Examine the effect of energy and fat content labeling on food consumption patterns</w:t>
            </w:r>
          </w:p>
        </w:tc>
        <w:tc>
          <w:tcPr>
            <w:tcW w:w="1199" w:type="dxa"/>
          </w:tcPr>
          <w:p w:rsidR="00DF60F4" w:rsidRPr="00D475C9" w:rsidP="00DF60F4" w14:paraId="6558311C" w14:textId="1751D700">
            <w:pPr>
              <w:pStyle w:val="TableParagraph"/>
              <w:spacing w:line="252" w:lineRule="auto"/>
              <w:ind w:right="121"/>
              <w:rPr>
                <w:rFonts w:eastAsia="Times New Roman"/>
                <w:sz w:val="12"/>
                <w:szCs w:val="12"/>
              </w:rPr>
            </w:pPr>
            <w:r w:rsidRPr="00D475C9">
              <w:rPr>
                <w:rFonts w:eastAsia="Times New Roman"/>
                <w:sz w:val="12"/>
                <w:szCs w:val="12"/>
              </w:rPr>
              <w:t>Various</w:t>
            </w:r>
          </w:p>
        </w:tc>
        <w:tc>
          <w:tcPr>
            <w:tcW w:w="1204" w:type="dxa"/>
          </w:tcPr>
          <w:p w:rsidR="00DF60F4" w:rsidRPr="00D475C9" w:rsidP="00DF60F4" w14:paraId="0360EA8C" w14:textId="39B1D7D8">
            <w:pPr>
              <w:spacing w:after="0" w:line="240" w:lineRule="auto"/>
              <w:rPr>
                <w:rFonts w:ascii="Calibri" w:eastAsia="Times New Roman" w:hAnsi="Calibri" w:cs="Calibri"/>
                <w:noProof/>
                <w:color w:val="000000"/>
                <w:sz w:val="12"/>
                <w:szCs w:val="12"/>
                <w:lang w:eastAsia="en-US"/>
              </w:rPr>
            </w:pPr>
            <w:r w:rsidRPr="00D475C9">
              <w:rPr>
                <w:rFonts w:ascii="Calibri" w:eastAsia="Times New Roman" w:hAnsi="Calibri" w:cs="Calibri"/>
                <w:color w:val="000000"/>
                <w:sz w:val="12"/>
                <w:szCs w:val="12"/>
                <w:lang w:eastAsia="en-US"/>
              </w:rPr>
              <w:t>No image available</w:t>
            </w:r>
          </w:p>
        </w:tc>
        <w:tc>
          <w:tcPr>
            <w:tcW w:w="550" w:type="dxa"/>
          </w:tcPr>
          <w:p w:rsidR="00DF60F4" w:rsidRPr="00D475C9" w:rsidP="00DF60F4" w14:paraId="3812BB80" w14:textId="76B23FD3">
            <w:pPr>
              <w:pStyle w:val="TableParagraph"/>
              <w:spacing w:line="140" w:lineRule="exact"/>
              <w:ind w:left="0" w:right="39"/>
              <w:jc w:val="center"/>
              <w:rPr>
                <w:rFonts w:eastAsia="Times New Roman"/>
                <w:sz w:val="12"/>
                <w:szCs w:val="12"/>
              </w:rPr>
            </w:pPr>
            <w:r w:rsidRPr="00D475C9">
              <w:rPr>
                <w:rFonts w:eastAsia="Times New Roman"/>
                <w:color w:val="000000"/>
                <w:sz w:val="12"/>
                <w:szCs w:val="12"/>
              </w:rPr>
              <w:t>International</w:t>
            </w:r>
          </w:p>
        </w:tc>
        <w:tc>
          <w:tcPr>
            <w:tcW w:w="3487" w:type="dxa"/>
          </w:tcPr>
          <w:p w:rsidR="00DF60F4" w:rsidRPr="00D475C9" w:rsidP="00DF60F4" w14:paraId="41AFF1A5" w14:textId="2F4770FF">
            <w:pPr>
              <w:pStyle w:val="TableParagraph"/>
              <w:spacing w:line="252" w:lineRule="auto"/>
              <w:rPr>
                <w:rFonts w:eastAsia="Times New Roman"/>
                <w:sz w:val="12"/>
                <w:szCs w:val="12"/>
              </w:rPr>
            </w:pPr>
            <w:r w:rsidRPr="00D475C9">
              <w:rPr>
                <w:rFonts w:eastAsia="Times New Roman"/>
                <w:sz w:val="12"/>
                <w:szCs w:val="12"/>
              </w:rPr>
              <w:t>1. Although the 6 studies claimed that labeling did not reduce the consumption of energy or fat, meta-analysis showed that fat and energy labeling had a statistically significant effect on consumption</w:t>
            </w:r>
            <w:r w:rsidRPr="00D475C9">
              <w:rPr>
                <w:rFonts w:eastAsia="Times New Roman"/>
                <w:sz w:val="12"/>
                <w:szCs w:val="12"/>
              </w:rPr>
              <w:br/>
              <w:t>2. No difference with respect to types of labels, but energy content labels more effective than fat content labels</w:t>
            </w:r>
          </w:p>
        </w:tc>
      </w:tr>
      <w:tr w14:paraId="0765D835"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15BED888" w14:textId="3F7E8324">
            <w:pPr>
              <w:pStyle w:val="TableParagraph"/>
              <w:spacing w:line="252" w:lineRule="auto"/>
              <w:ind w:right="133"/>
              <w:rPr>
                <w:rFonts w:eastAsia="Times New Roman"/>
                <w:sz w:val="12"/>
                <w:szCs w:val="12"/>
              </w:rPr>
            </w:pPr>
            <w:r w:rsidRPr="00D475C9">
              <w:rPr>
                <w:rFonts w:eastAsia="Times New Roman"/>
                <w:sz w:val="12"/>
                <w:szCs w:val="12"/>
              </w:rPr>
              <w:t>Ahn and Lee</w:t>
            </w:r>
          </w:p>
        </w:tc>
        <w:tc>
          <w:tcPr>
            <w:tcW w:w="2101" w:type="dxa"/>
          </w:tcPr>
          <w:p w:rsidR="00DF60F4" w:rsidRPr="00D475C9" w:rsidP="00DF60F4" w14:paraId="5585A24F" w14:textId="78D97C3C">
            <w:pPr>
              <w:pStyle w:val="TableParagraph"/>
              <w:spacing w:line="252" w:lineRule="auto"/>
              <w:ind w:right="102"/>
              <w:rPr>
                <w:rFonts w:eastAsia="Times New Roman"/>
                <w:sz w:val="12"/>
                <w:szCs w:val="12"/>
              </w:rPr>
            </w:pPr>
            <w:r w:rsidRPr="00D475C9">
              <w:rPr>
                <w:rFonts w:eastAsia="Times New Roman"/>
                <w:sz w:val="12"/>
                <w:szCs w:val="12"/>
              </w:rPr>
              <w:t xml:space="preserve">Effect of </w:t>
            </w:r>
            <w:r w:rsidR="004B6E26">
              <w:rPr>
                <w:rFonts w:eastAsia="Times New Roman"/>
                <w:sz w:val="12"/>
                <w:szCs w:val="12"/>
              </w:rPr>
              <w:t>NUTRI-SCORE</w:t>
            </w:r>
            <w:r w:rsidRPr="00D475C9">
              <w:rPr>
                <w:rFonts w:eastAsia="Times New Roman"/>
                <w:sz w:val="12"/>
                <w:szCs w:val="12"/>
              </w:rPr>
              <w:t xml:space="preserve"> labeling on sales of food items in stores at sports and no</w:t>
            </w:r>
            <w:r w:rsidR="004B6E26">
              <w:rPr>
                <w:rFonts w:eastAsia="Times New Roman"/>
                <w:sz w:val="12"/>
                <w:szCs w:val="12"/>
              </w:rPr>
              <w:t>Nutri-Score</w:t>
            </w:r>
            <w:r w:rsidRPr="00D475C9">
              <w:rPr>
                <w:rFonts w:eastAsia="Times New Roman"/>
                <w:sz w:val="12"/>
                <w:szCs w:val="12"/>
              </w:rPr>
              <w:t>ports facilities</w:t>
            </w:r>
          </w:p>
        </w:tc>
        <w:tc>
          <w:tcPr>
            <w:tcW w:w="333" w:type="dxa"/>
          </w:tcPr>
          <w:p w:rsidR="00DF60F4" w:rsidRPr="00D475C9" w:rsidP="00DF60F4" w14:paraId="02B0A6CA" w14:textId="238F0FDD">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DF60F4" w:rsidRPr="00D475C9" w:rsidP="00DF60F4" w14:paraId="4DFB510C" w14:textId="0ADAEE50">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 xml:space="preserve">1. Analyze impact of </w:t>
            </w:r>
            <w:r w:rsidR="004B6E26">
              <w:rPr>
                <w:rFonts w:eastAsia="Times New Roman"/>
                <w:sz w:val="12"/>
                <w:szCs w:val="12"/>
              </w:rPr>
              <w:t>NUTRI-SCORE</w:t>
            </w:r>
            <w:r w:rsidRPr="00D475C9">
              <w:rPr>
                <w:rFonts w:eastAsia="Times New Roman"/>
                <w:sz w:val="12"/>
                <w:szCs w:val="12"/>
              </w:rPr>
              <w:t xml:space="preserve"> labels on sales at sports and no</w:t>
            </w:r>
            <w:r w:rsidR="004B6E26">
              <w:rPr>
                <w:rFonts w:eastAsia="Times New Roman"/>
                <w:sz w:val="12"/>
                <w:szCs w:val="12"/>
              </w:rPr>
              <w:t>Nutri-Score</w:t>
            </w:r>
            <w:r w:rsidRPr="00D475C9">
              <w:rPr>
                <w:rFonts w:eastAsia="Times New Roman"/>
                <w:sz w:val="12"/>
                <w:szCs w:val="12"/>
              </w:rPr>
              <w:t>ports facilities</w:t>
            </w:r>
            <w:r w:rsidRPr="00D475C9">
              <w:rPr>
                <w:rFonts w:eastAsia="Times New Roman"/>
                <w:sz w:val="12"/>
                <w:szCs w:val="12"/>
              </w:rPr>
              <w:br/>
              <w:t>2. Collected baseline sales data for 2 years</w:t>
            </w:r>
            <w:r w:rsidR="00094270">
              <w:rPr>
                <w:rFonts w:eastAsia="Times New Roman"/>
                <w:sz w:val="12"/>
                <w:szCs w:val="12"/>
              </w:rPr>
              <w:t xml:space="preserve"> at 2 stores</w:t>
            </w:r>
            <w:r w:rsidRPr="00D475C9">
              <w:rPr>
                <w:rFonts w:eastAsia="Times New Roman"/>
                <w:sz w:val="12"/>
                <w:szCs w:val="12"/>
              </w:rPr>
              <w:t xml:space="preserve">, </w:t>
            </w:r>
            <w:r w:rsidR="00094270">
              <w:rPr>
                <w:rFonts w:eastAsia="Times New Roman"/>
                <w:sz w:val="12"/>
                <w:szCs w:val="12"/>
              </w:rPr>
              <w:t xml:space="preserve">followed by </w:t>
            </w:r>
            <w:r w:rsidRPr="00D475C9">
              <w:rPr>
                <w:rFonts w:eastAsia="Times New Roman"/>
                <w:sz w:val="12"/>
                <w:szCs w:val="12"/>
              </w:rPr>
              <w:t xml:space="preserve">post-intervention sales data for 5 weeks after adding </w:t>
            </w:r>
            <w:r w:rsidR="004B6E26">
              <w:rPr>
                <w:rFonts w:eastAsia="Times New Roman"/>
                <w:sz w:val="12"/>
                <w:szCs w:val="12"/>
              </w:rPr>
              <w:t>NUTRI-SCORE</w:t>
            </w:r>
            <w:r w:rsidRPr="00D475C9">
              <w:rPr>
                <w:rFonts w:eastAsia="Times New Roman"/>
                <w:sz w:val="12"/>
                <w:szCs w:val="12"/>
              </w:rPr>
              <w:t xml:space="preserve"> labels</w:t>
            </w:r>
          </w:p>
        </w:tc>
        <w:tc>
          <w:tcPr>
            <w:tcW w:w="1199" w:type="dxa"/>
          </w:tcPr>
          <w:p w:rsidR="00DF60F4" w:rsidRPr="00D475C9" w:rsidP="00DF60F4" w14:paraId="3D612602" w14:textId="0BF5184E">
            <w:pPr>
              <w:pStyle w:val="TableParagraph"/>
              <w:spacing w:line="252" w:lineRule="auto"/>
              <w:ind w:right="121"/>
              <w:rPr>
                <w:rFonts w:eastAsia="Times New Roman"/>
                <w:sz w:val="12"/>
                <w:szCs w:val="12"/>
              </w:rPr>
            </w:pPr>
            <w:r w:rsidRPr="00D475C9">
              <w:rPr>
                <w:rFonts w:eastAsia="Times New Roman"/>
                <w:color w:val="000000"/>
                <w:sz w:val="12"/>
                <w:szCs w:val="12"/>
              </w:rPr>
              <w:t xml:space="preserve">1. </w:t>
            </w:r>
            <w:r w:rsidR="004B6E26">
              <w:rPr>
                <w:rFonts w:eastAsia="Times New Roman"/>
                <w:color w:val="000000"/>
                <w:sz w:val="12"/>
                <w:szCs w:val="12"/>
              </w:rPr>
              <w:t>Nutri-Score</w:t>
            </w:r>
          </w:p>
        </w:tc>
        <w:tc>
          <w:tcPr>
            <w:tcW w:w="1204" w:type="dxa"/>
          </w:tcPr>
          <w:p w:rsidR="00DF60F4" w:rsidRPr="00D475C9" w:rsidP="00DF60F4" w14:paraId="52FBF3BE" w14:textId="6ABE0ED6">
            <w:pPr>
              <w:spacing w:after="0" w:line="240" w:lineRule="auto"/>
              <w:rPr>
                <w:rFonts w:ascii="Calibri" w:eastAsia="Times New Roman" w:hAnsi="Calibri" w:cs="Calibri"/>
                <w:color w:val="000000"/>
                <w:sz w:val="12"/>
                <w:szCs w:val="12"/>
                <w:lang w:eastAsia="en-US"/>
              </w:rPr>
            </w:pPr>
            <w:r w:rsidRPr="00D475C9">
              <w:rPr>
                <w:rFonts w:ascii="Times New Roman" w:eastAsia="Times New Roman" w:hAnsi="Times New Roman" w:cs="Times New Roman"/>
                <w:noProof/>
                <w:color w:val="000000"/>
                <w:sz w:val="12"/>
                <w:szCs w:val="12"/>
                <w:lang w:eastAsia="en-US"/>
              </w:rPr>
              <w:drawing>
                <wp:anchor distT="0" distB="0" distL="114300" distR="114300" simplePos="0" relativeHeight="251701248" behindDoc="0" locked="0" layoutInCell="1" allowOverlap="1">
                  <wp:simplePos x="0" y="0"/>
                  <wp:positionH relativeFrom="column">
                    <wp:posOffset>-1905</wp:posOffset>
                  </wp:positionH>
                  <wp:positionV relativeFrom="paragraph">
                    <wp:posOffset>7620</wp:posOffset>
                  </wp:positionV>
                  <wp:extent cx="647700" cy="238125"/>
                  <wp:effectExtent l="0" t="0" r="0" b="9525"/>
                  <wp:wrapNone/>
                  <wp:docPr id="164" name="Picture 164" descr="Graphical user interface&#10;&#10;Description automatically generated with medium confidence">
                    <a:extLst xmlns:a="http://schemas.openxmlformats.org/drawingml/2006/main">
                      <a:ext xmlns:a="http://schemas.openxmlformats.org/drawingml/2006/main" uri="{FF2B5EF4-FFF2-40B4-BE49-F238E27FC236}">
                        <a16:creationId xmlns:a16="http://schemas.microsoft.com/office/drawing/2014/main" id="{04833AF8-41C6-4DA5-857B-AD5E2B9E9AA4}"/>
                      </a:ext>
                    </a:extLst>
                  </wp:docPr>
                  <wp:cNvGraphicFramePr/>
                  <a:graphic xmlns:a="http://schemas.openxmlformats.org/drawingml/2006/main">
                    <a:graphicData uri="http://schemas.openxmlformats.org/drawingml/2006/picture">
                      <pic:pic xmlns:pic="http://schemas.openxmlformats.org/drawingml/2006/picture">
                        <pic:nvPicPr>
                          <pic:cNvPr id="164" name="Picture 4" descr="Graphical user interface&#10;&#10;Description automatically generated with medium confidence">
                            <a:extLst>
                              <a:ext xmlns:a="http://schemas.openxmlformats.org/drawingml/2006/main" uri="{FF2B5EF4-FFF2-40B4-BE49-F238E27FC236}">
                                <a16:creationId xmlns:a16="http://schemas.microsoft.com/office/drawing/2014/main" id="{04833AF8-41C6-4DA5-857B-AD5E2B9E9AA4}"/>
                              </a:ext>
                            </a:extLst>
                          </pic:cNvPr>
                          <pic:cNvPicPr>
                            <a:picLocks noChangeAspect="1" noChangeArrowheads="1"/>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47700" cy="238125"/>
                          </a:xfrm>
                          <a:prstGeom prst="rect">
                            <a:avLst/>
                          </a:prstGeom>
                          <a:noFill/>
                        </pic:spPr>
                      </pic:pic>
                    </a:graphicData>
                  </a:graphic>
                  <wp14:sizeRelH relativeFrom="page">
                    <wp14:pctWidth>0</wp14:pctWidth>
                  </wp14:sizeRelH>
                  <wp14:sizeRelV relativeFrom="page">
                    <wp14:pctHeight>0</wp14:pctHeight>
                  </wp14:sizeRelV>
                </wp:anchor>
              </w:drawing>
            </w:r>
          </w:p>
        </w:tc>
        <w:tc>
          <w:tcPr>
            <w:tcW w:w="550" w:type="dxa"/>
          </w:tcPr>
          <w:p w:rsidR="00DF60F4" w:rsidRPr="00D475C9" w:rsidP="00DF60F4" w14:paraId="26C291C6" w14:textId="1B171C0D">
            <w:pPr>
              <w:pStyle w:val="TableParagraph"/>
              <w:spacing w:line="140" w:lineRule="exact"/>
              <w:ind w:left="0" w:right="39"/>
              <w:jc w:val="center"/>
              <w:rPr>
                <w:rFonts w:eastAsia="Times New Roman"/>
                <w:color w:val="000000"/>
                <w:sz w:val="12"/>
                <w:szCs w:val="12"/>
              </w:rPr>
            </w:pPr>
            <w:r w:rsidRPr="00D475C9">
              <w:rPr>
                <w:rFonts w:eastAsia="Times New Roman"/>
                <w:sz w:val="12"/>
                <w:szCs w:val="12"/>
              </w:rPr>
              <w:t>Korea</w:t>
            </w:r>
          </w:p>
        </w:tc>
        <w:tc>
          <w:tcPr>
            <w:tcW w:w="3487" w:type="dxa"/>
          </w:tcPr>
          <w:p w:rsidR="00DF60F4" w:rsidRPr="00D475C9" w:rsidP="00DF60F4" w14:paraId="115F12ED" w14:textId="51771A00">
            <w:pPr>
              <w:pStyle w:val="TableParagraph"/>
              <w:spacing w:line="252" w:lineRule="auto"/>
              <w:rPr>
                <w:rFonts w:eastAsia="Times New Roman"/>
                <w:sz w:val="12"/>
                <w:szCs w:val="12"/>
              </w:rPr>
            </w:pPr>
            <w:r w:rsidRPr="00D475C9">
              <w:rPr>
                <w:rFonts w:eastAsia="Times New Roman"/>
                <w:sz w:val="12"/>
                <w:szCs w:val="12"/>
              </w:rPr>
              <w:t>1. In sports facilities, sales were higher for relatively healthy foods compared to less healthy.</w:t>
            </w:r>
            <w:r w:rsidRPr="00D475C9">
              <w:rPr>
                <w:rFonts w:eastAsia="Times New Roman"/>
                <w:sz w:val="12"/>
                <w:szCs w:val="12"/>
              </w:rPr>
              <w:br/>
              <w:t>2. In no</w:t>
            </w:r>
            <w:r w:rsidR="004B6E26">
              <w:rPr>
                <w:rFonts w:eastAsia="Times New Roman"/>
                <w:sz w:val="12"/>
                <w:szCs w:val="12"/>
              </w:rPr>
              <w:t>Nutri-Score</w:t>
            </w:r>
            <w:r w:rsidRPr="00D475C9">
              <w:rPr>
                <w:rFonts w:eastAsia="Times New Roman"/>
                <w:sz w:val="12"/>
                <w:szCs w:val="12"/>
              </w:rPr>
              <w:t xml:space="preserve">ports facilities, sales for grade A items decreased while sales of grade B and E items increased. </w:t>
            </w:r>
            <w:r w:rsidRPr="00D475C9">
              <w:rPr>
                <w:rFonts w:eastAsia="Times New Roman"/>
                <w:sz w:val="12"/>
                <w:szCs w:val="12"/>
              </w:rPr>
              <w:br/>
              <w:t xml:space="preserve">3. Differences between the two facilities likely due to differences in cognitive consumption </w:t>
            </w:r>
            <w:r w:rsidRPr="00D475C9" w:rsidR="00580E90">
              <w:rPr>
                <w:rFonts w:eastAsia="Times New Roman"/>
                <w:sz w:val="12"/>
                <w:szCs w:val="12"/>
              </w:rPr>
              <w:t>patterns</w:t>
            </w:r>
            <w:r w:rsidRPr="00D475C9">
              <w:rPr>
                <w:rFonts w:eastAsia="Times New Roman"/>
                <w:sz w:val="12"/>
                <w:szCs w:val="12"/>
              </w:rPr>
              <w:t xml:space="preserve"> between consumers at sports and no</w:t>
            </w:r>
            <w:r w:rsidR="004B6E26">
              <w:rPr>
                <w:rFonts w:eastAsia="Times New Roman"/>
                <w:sz w:val="12"/>
                <w:szCs w:val="12"/>
              </w:rPr>
              <w:t>Nutri-Score</w:t>
            </w:r>
            <w:r w:rsidRPr="00D475C9">
              <w:rPr>
                <w:rFonts w:eastAsia="Times New Roman"/>
                <w:sz w:val="12"/>
                <w:szCs w:val="12"/>
              </w:rPr>
              <w:t>ports facilities.</w:t>
            </w:r>
          </w:p>
        </w:tc>
      </w:tr>
      <w:tr w14:paraId="62E38CF7"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1E883155" w14:textId="59650BF3">
            <w:pPr>
              <w:pStyle w:val="TableParagraph"/>
              <w:spacing w:line="252" w:lineRule="auto"/>
              <w:ind w:right="133"/>
              <w:rPr>
                <w:rFonts w:eastAsia="Times New Roman"/>
                <w:sz w:val="12"/>
                <w:szCs w:val="12"/>
              </w:rPr>
            </w:pPr>
            <w:r w:rsidRPr="00D475C9">
              <w:rPr>
                <w:rFonts w:eastAsia="Times New Roman"/>
                <w:sz w:val="12"/>
                <w:szCs w:val="12"/>
              </w:rPr>
              <w:t>Andreeva, et al.</w:t>
            </w:r>
          </w:p>
        </w:tc>
        <w:tc>
          <w:tcPr>
            <w:tcW w:w="2101" w:type="dxa"/>
          </w:tcPr>
          <w:p w:rsidR="00DF60F4" w:rsidRPr="00D475C9" w:rsidP="00DF60F4" w14:paraId="69D95D59" w14:textId="148859BF">
            <w:pPr>
              <w:pStyle w:val="TableParagraph"/>
              <w:spacing w:line="252" w:lineRule="auto"/>
              <w:ind w:right="102"/>
              <w:rPr>
                <w:rFonts w:eastAsia="Times New Roman"/>
                <w:sz w:val="12"/>
                <w:szCs w:val="12"/>
              </w:rPr>
            </w:pPr>
            <w:r w:rsidRPr="00D475C9">
              <w:rPr>
                <w:rFonts w:eastAsia="Times New Roman"/>
                <w:sz w:val="12"/>
                <w:szCs w:val="12"/>
              </w:rPr>
              <w:t>Polish Consumers' Understanding of Different Front-of-Package Food Labels: A Randomized Experiment</w:t>
            </w:r>
          </w:p>
        </w:tc>
        <w:tc>
          <w:tcPr>
            <w:tcW w:w="333" w:type="dxa"/>
          </w:tcPr>
          <w:p w:rsidR="00DF60F4" w:rsidRPr="00D475C9" w:rsidP="00DF60F4" w14:paraId="52DF0682" w14:textId="4DE7C083">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DF60F4" w:rsidRPr="00D475C9" w:rsidP="00DF60F4" w14:paraId="510987A3" w14:textId="20DA7341">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 xml:space="preserve">1. Compare five </w:t>
            </w:r>
            <w:r w:rsidR="004B6E26">
              <w:rPr>
                <w:rFonts w:eastAsia="Times New Roman"/>
                <w:sz w:val="12"/>
                <w:szCs w:val="12"/>
              </w:rPr>
              <w:t>FOP</w:t>
            </w:r>
            <w:r w:rsidRPr="00D475C9">
              <w:rPr>
                <w:rFonts w:eastAsia="Times New Roman"/>
                <w:sz w:val="12"/>
                <w:szCs w:val="12"/>
              </w:rPr>
              <w:t>s among Polish participants of varying age groups in terms of perception and understanding of the labels and food choices</w:t>
            </w:r>
            <w:r w:rsidRPr="00D475C9">
              <w:rPr>
                <w:rFonts w:eastAsia="Times New Roman"/>
                <w:sz w:val="12"/>
                <w:szCs w:val="12"/>
              </w:rPr>
              <w:br/>
              <w:t>- 1159 consumers asked to select one product from among a set of three foods with different nutritional profiles, and then rank the products within the sets according to their nutritional quality.</w:t>
            </w:r>
            <w:r w:rsidRPr="00D475C9">
              <w:rPr>
                <w:rFonts w:eastAsia="Times New Roman"/>
                <w:sz w:val="12"/>
                <w:szCs w:val="12"/>
              </w:rPr>
              <w:br/>
              <w:t xml:space="preserve">- These tasks were performed with no label and then with one of the five </w:t>
            </w:r>
            <w:r w:rsidR="004B6E26">
              <w:rPr>
                <w:rFonts w:eastAsia="Times New Roman"/>
                <w:sz w:val="12"/>
                <w:szCs w:val="12"/>
              </w:rPr>
              <w:t>FOP</w:t>
            </w:r>
            <w:r w:rsidRPr="00D475C9">
              <w:rPr>
                <w:rFonts w:eastAsia="Times New Roman"/>
                <w:sz w:val="12"/>
                <w:szCs w:val="12"/>
              </w:rPr>
              <w:t>s on the package, depending on the randomization arm. Finally, participants were questioned on their perceptions regarding the label to which they were exposed.</w:t>
            </w:r>
          </w:p>
        </w:tc>
        <w:tc>
          <w:tcPr>
            <w:tcW w:w="1199" w:type="dxa"/>
          </w:tcPr>
          <w:p w:rsidR="00DF60F4" w:rsidRPr="00D475C9" w:rsidP="00DF60F4" w14:paraId="75A54CF5" w14:textId="77845289">
            <w:pPr>
              <w:pStyle w:val="TableParagraph"/>
              <w:spacing w:line="252" w:lineRule="auto"/>
              <w:ind w:right="121"/>
              <w:rPr>
                <w:rFonts w:eastAsia="Times New Roman"/>
                <w:sz w:val="12"/>
                <w:szCs w:val="12"/>
              </w:rPr>
            </w:pPr>
            <w:r w:rsidRPr="00D475C9">
              <w:rPr>
                <w:rFonts w:eastAsia="Times New Roman"/>
                <w:sz w:val="12"/>
                <w:szCs w:val="12"/>
              </w:rPr>
              <w:t>1. Health Star Rating (HSR)</w:t>
            </w:r>
            <w:r w:rsidRPr="00D475C9">
              <w:rPr>
                <w:rFonts w:eastAsia="Times New Roman"/>
                <w:sz w:val="12"/>
                <w:szCs w:val="12"/>
              </w:rPr>
              <w:br/>
              <w:t>2. Multiple Traffic Light (MTL)</w:t>
            </w:r>
            <w:r w:rsidRPr="00D475C9">
              <w:rPr>
                <w:rFonts w:eastAsia="Times New Roman"/>
                <w:sz w:val="12"/>
                <w:szCs w:val="12"/>
              </w:rPr>
              <w:br/>
              <w:t xml:space="preserve">3. </w:t>
            </w:r>
            <w:r w:rsidR="004B6E26">
              <w:rPr>
                <w:rFonts w:eastAsia="Times New Roman"/>
                <w:sz w:val="12"/>
                <w:szCs w:val="12"/>
              </w:rPr>
              <w:t>Nutri-Score</w:t>
            </w:r>
            <w:r w:rsidRPr="00D475C9">
              <w:rPr>
                <w:rFonts w:eastAsia="Times New Roman"/>
                <w:sz w:val="12"/>
                <w:szCs w:val="12"/>
              </w:rPr>
              <w:br/>
              <w:t>4. Reference Intakes (RI)</w:t>
            </w:r>
            <w:r w:rsidRPr="00D475C9">
              <w:rPr>
                <w:rFonts w:eastAsia="Times New Roman"/>
                <w:sz w:val="12"/>
                <w:szCs w:val="12"/>
              </w:rPr>
              <w:br/>
              <w:t>5. Warning symbols</w:t>
            </w:r>
          </w:p>
        </w:tc>
        <w:tc>
          <w:tcPr>
            <w:tcW w:w="1204" w:type="dxa"/>
          </w:tcPr>
          <w:p w:rsidR="00DF60F4" w:rsidRPr="00D475C9" w:rsidP="00DF60F4" w14:paraId="61863D8D" w14:textId="4B123DA0">
            <w:pPr>
              <w:spacing w:after="0" w:line="240" w:lineRule="auto"/>
              <w:rPr>
                <w:rFonts w:ascii="Calibri" w:eastAsia="Times New Roman" w:hAnsi="Calibri" w:cs="Calibri"/>
                <w:color w:val="000000"/>
                <w:sz w:val="12"/>
                <w:szCs w:val="12"/>
                <w:lang w:eastAsia="en-US"/>
              </w:rPr>
            </w:pPr>
            <w:r w:rsidRPr="00D475C9">
              <w:rPr>
                <w:rFonts w:ascii="Calibri" w:eastAsia="Times New Roman" w:hAnsi="Calibri" w:cs="Calibri"/>
                <w:noProof/>
                <w:color w:val="000000"/>
                <w:sz w:val="12"/>
                <w:szCs w:val="12"/>
                <w:lang w:eastAsia="en-US"/>
              </w:rPr>
              <w:drawing>
                <wp:anchor distT="0" distB="0" distL="114300" distR="114300" simplePos="0" relativeHeight="251702272" behindDoc="0" locked="0" layoutInCell="1" allowOverlap="1">
                  <wp:simplePos x="0" y="0"/>
                  <wp:positionH relativeFrom="column">
                    <wp:posOffset>0</wp:posOffset>
                  </wp:positionH>
                  <wp:positionV relativeFrom="paragraph">
                    <wp:posOffset>71120</wp:posOffset>
                  </wp:positionV>
                  <wp:extent cx="647700" cy="342356"/>
                  <wp:effectExtent l="0" t="0" r="0" b="635"/>
                  <wp:wrapNone/>
                  <wp:docPr id="129" name="Picture 129">
                    <a:extLst xmlns:a="http://schemas.openxmlformats.org/drawingml/2006/main">
                      <a:ext xmlns:a="http://schemas.openxmlformats.org/drawingml/2006/main" uri="{FF2B5EF4-FFF2-40B4-BE49-F238E27FC236}">
                        <a16:creationId xmlns:a16="http://schemas.microsoft.com/office/drawing/2014/main" id="{8A5BD4E4-752C-43D9-ADA5-4A3BF6D4C0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52">
                            <a:extLst>
                              <a:ext xmlns:a="http://schemas.openxmlformats.org/drawingml/2006/main" uri="{FF2B5EF4-FFF2-40B4-BE49-F238E27FC236}">
                                <a16:creationId xmlns:a16="http://schemas.microsoft.com/office/drawing/2014/main" id="{8A5BD4E4-752C-43D9-ADA5-4A3BF6D4C02B}"/>
                              </a:ext>
                            </a:extLst>
                          </pic:cNvPr>
                          <pic:cNvPicPr>
                            <a:picLocks noChangeAspect="1" noChangeArrowheads="1"/>
                          </pic:cNvPicPr>
                        </pic:nvPicPr>
                        <pic:blipFill>
                          <a:blip xmlns:r="http://schemas.openxmlformats.org/officeDocument/2006/relationships" r:embed="rId8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49859" cy="343497"/>
                          </a:xfrm>
                          <a:prstGeom prst="rect">
                            <a:avLst/>
                          </a:prstGeom>
                          <a:noFill/>
                        </pic:spPr>
                      </pic:pic>
                    </a:graphicData>
                  </a:graphic>
                  <wp14:sizeRelH relativeFrom="page">
                    <wp14:pctWidth>0</wp14:pctWidth>
                  </wp14:sizeRelH>
                  <wp14:sizeRelV relativeFrom="page">
                    <wp14:pctHeight>0</wp14:pctHeight>
                  </wp14:sizeRelV>
                </wp:anchor>
              </w:drawing>
            </w:r>
          </w:p>
        </w:tc>
        <w:tc>
          <w:tcPr>
            <w:tcW w:w="550" w:type="dxa"/>
          </w:tcPr>
          <w:p w:rsidR="00DF60F4" w:rsidRPr="00D475C9" w:rsidP="00DF60F4" w14:paraId="75F42F73" w14:textId="7F51EFA4">
            <w:pPr>
              <w:pStyle w:val="TableParagraph"/>
              <w:spacing w:line="140" w:lineRule="exact"/>
              <w:ind w:left="0" w:right="39"/>
              <w:jc w:val="center"/>
              <w:rPr>
                <w:rFonts w:eastAsia="Times New Roman"/>
                <w:color w:val="000000"/>
                <w:sz w:val="12"/>
                <w:szCs w:val="12"/>
              </w:rPr>
            </w:pPr>
            <w:r w:rsidRPr="00D475C9">
              <w:rPr>
                <w:rFonts w:eastAsia="Times New Roman"/>
                <w:sz w:val="12"/>
                <w:szCs w:val="12"/>
              </w:rPr>
              <w:t>Poland</w:t>
            </w:r>
          </w:p>
        </w:tc>
        <w:tc>
          <w:tcPr>
            <w:tcW w:w="3487" w:type="dxa"/>
          </w:tcPr>
          <w:p w:rsidR="00DF60F4" w:rsidRPr="00D475C9" w:rsidP="00DF60F4" w14:paraId="33CD37D4" w14:textId="6AE55879">
            <w:pPr>
              <w:pStyle w:val="TableParagraph"/>
              <w:spacing w:line="252" w:lineRule="auto"/>
              <w:rPr>
                <w:rFonts w:eastAsia="Times New Roman"/>
                <w:sz w:val="12"/>
                <w:szCs w:val="12"/>
              </w:rPr>
            </w:pPr>
            <w:r w:rsidRPr="00D475C9">
              <w:rPr>
                <w:rFonts w:eastAsia="Times New Roman"/>
                <w:sz w:val="12"/>
                <w:szCs w:val="12"/>
              </w:rPr>
              <w:t xml:space="preserve">1. Relative to RI's, </w:t>
            </w:r>
            <w:r w:rsidR="004B6E26">
              <w:rPr>
                <w:rFonts w:eastAsia="Times New Roman"/>
                <w:sz w:val="12"/>
                <w:szCs w:val="12"/>
              </w:rPr>
              <w:t>Nutri-Score</w:t>
            </w:r>
            <w:r w:rsidRPr="00D475C9">
              <w:rPr>
                <w:rFonts w:eastAsia="Times New Roman"/>
                <w:sz w:val="12"/>
                <w:szCs w:val="12"/>
              </w:rPr>
              <w:t xml:space="preserve"> showed significant improvement in objective understanding of </w:t>
            </w:r>
            <w:r w:rsidR="004B6E26">
              <w:rPr>
                <w:rFonts w:eastAsia="Times New Roman"/>
                <w:sz w:val="12"/>
                <w:szCs w:val="12"/>
              </w:rPr>
              <w:t>FOP</w:t>
            </w:r>
            <w:r w:rsidRPr="00D475C9">
              <w:rPr>
                <w:rFonts w:eastAsia="Times New Roman"/>
                <w:sz w:val="12"/>
                <w:szCs w:val="12"/>
              </w:rPr>
              <w:t>.</w:t>
            </w:r>
            <w:r w:rsidRPr="00D475C9">
              <w:rPr>
                <w:rFonts w:eastAsia="Times New Roman"/>
                <w:sz w:val="12"/>
                <w:szCs w:val="12"/>
              </w:rPr>
              <w:br/>
              <w:t xml:space="preserve">2. Significant variability in the objective understanding of </w:t>
            </w:r>
            <w:r w:rsidR="004B6E26">
              <w:rPr>
                <w:rFonts w:eastAsia="Times New Roman"/>
                <w:sz w:val="12"/>
                <w:szCs w:val="12"/>
              </w:rPr>
              <w:t>FOP</w:t>
            </w:r>
            <w:r w:rsidRPr="00D475C9">
              <w:rPr>
                <w:rFonts w:eastAsia="Times New Roman"/>
                <w:sz w:val="12"/>
                <w:szCs w:val="12"/>
              </w:rPr>
              <w:t xml:space="preserve"> with age group; </w:t>
            </w:r>
            <w:r w:rsidR="004B6E26">
              <w:rPr>
                <w:rFonts w:eastAsia="Times New Roman"/>
                <w:sz w:val="12"/>
                <w:szCs w:val="12"/>
              </w:rPr>
              <w:t>Nutri-Score</w:t>
            </w:r>
            <w:r w:rsidRPr="00D475C9">
              <w:rPr>
                <w:rFonts w:eastAsia="Times New Roman"/>
                <w:sz w:val="12"/>
                <w:szCs w:val="12"/>
              </w:rPr>
              <w:t xml:space="preserve"> emerged as the only label capable of improving the objective understanding of </w:t>
            </w:r>
            <w:r w:rsidR="004B6E26">
              <w:rPr>
                <w:rFonts w:eastAsia="Times New Roman"/>
                <w:sz w:val="12"/>
                <w:szCs w:val="12"/>
              </w:rPr>
              <w:t>FOP</w:t>
            </w:r>
            <w:r w:rsidRPr="00D475C9">
              <w:rPr>
                <w:rFonts w:eastAsia="Times New Roman"/>
                <w:sz w:val="12"/>
                <w:szCs w:val="12"/>
              </w:rPr>
              <w:t xml:space="preserve"> relative to RI in youngest age group (18-30 </w:t>
            </w:r>
            <w:r w:rsidRPr="00D475C9">
              <w:rPr>
                <w:rFonts w:eastAsia="Times New Roman"/>
                <w:sz w:val="12"/>
                <w:szCs w:val="12"/>
              </w:rPr>
              <w:t>yo</w:t>
            </w:r>
            <w:r w:rsidRPr="00D475C9">
              <w:rPr>
                <w:rFonts w:eastAsia="Times New Roman"/>
                <w:sz w:val="12"/>
                <w:szCs w:val="12"/>
              </w:rPr>
              <w:t xml:space="preserve">); no significant associations for oldest age group. </w:t>
            </w:r>
          </w:p>
        </w:tc>
      </w:tr>
      <w:tr w14:paraId="385A9C39"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4B273E61" w14:textId="509621F9">
            <w:pPr>
              <w:pStyle w:val="TableParagraph"/>
              <w:spacing w:line="252" w:lineRule="auto"/>
              <w:ind w:right="133"/>
              <w:rPr>
                <w:rFonts w:eastAsia="Times New Roman"/>
                <w:sz w:val="12"/>
                <w:szCs w:val="12"/>
              </w:rPr>
            </w:pPr>
            <w:r w:rsidRPr="00D475C9">
              <w:rPr>
                <w:rFonts w:eastAsia="Times New Roman"/>
                <w:color w:val="000000"/>
                <w:sz w:val="12"/>
                <w:szCs w:val="12"/>
              </w:rPr>
              <w:t>Bhattacharya</w:t>
            </w:r>
          </w:p>
        </w:tc>
        <w:tc>
          <w:tcPr>
            <w:tcW w:w="2101" w:type="dxa"/>
          </w:tcPr>
          <w:p w:rsidR="00DF60F4" w:rsidRPr="00D475C9" w:rsidP="00DF60F4" w14:paraId="3B90E003" w14:textId="7B800061">
            <w:pPr>
              <w:pStyle w:val="TableParagraph"/>
              <w:spacing w:line="252" w:lineRule="auto"/>
              <w:ind w:right="102"/>
              <w:rPr>
                <w:rFonts w:eastAsia="Times New Roman"/>
                <w:sz w:val="12"/>
                <w:szCs w:val="12"/>
              </w:rPr>
            </w:pPr>
            <w:r w:rsidRPr="00D475C9">
              <w:rPr>
                <w:rFonts w:eastAsia="Times New Roman"/>
                <w:color w:val="000000"/>
                <w:sz w:val="12"/>
                <w:szCs w:val="12"/>
              </w:rPr>
              <w:t>Consumers' Perception About Front of Package Food Labels (</w:t>
            </w:r>
            <w:r w:rsidR="004B6E26">
              <w:rPr>
                <w:rFonts w:eastAsia="Times New Roman"/>
                <w:color w:val="000000"/>
                <w:sz w:val="12"/>
                <w:szCs w:val="12"/>
              </w:rPr>
              <w:t>FOP</w:t>
            </w:r>
            <w:r w:rsidRPr="00D475C9">
              <w:rPr>
                <w:rFonts w:eastAsia="Times New Roman"/>
                <w:color w:val="000000"/>
                <w:sz w:val="12"/>
                <w:szCs w:val="12"/>
              </w:rPr>
              <w:t>) in India: A Survey of 14 States</w:t>
            </w:r>
          </w:p>
        </w:tc>
        <w:tc>
          <w:tcPr>
            <w:tcW w:w="333" w:type="dxa"/>
          </w:tcPr>
          <w:p w:rsidR="00DF60F4" w:rsidRPr="00D475C9" w:rsidP="00DF60F4" w14:paraId="3FEEA596" w14:textId="2A79B865">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DF60F4" w:rsidRPr="00D475C9" w:rsidP="00DF60F4" w14:paraId="415344CF" w14:textId="03B4F1A0">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 xml:space="preserve">1. 2024 participants completed questionnaire asking about attitudes toward </w:t>
            </w:r>
            <w:r w:rsidR="004B6E26">
              <w:rPr>
                <w:rFonts w:eastAsia="Times New Roman"/>
                <w:sz w:val="12"/>
                <w:szCs w:val="12"/>
              </w:rPr>
              <w:t>FOP</w:t>
            </w:r>
            <w:r w:rsidRPr="00D475C9">
              <w:rPr>
                <w:rFonts w:eastAsia="Times New Roman"/>
                <w:sz w:val="12"/>
                <w:szCs w:val="12"/>
              </w:rPr>
              <w:t>s</w:t>
            </w:r>
            <w:r w:rsidRPr="00D475C9">
              <w:rPr>
                <w:rFonts w:eastAsia="Times New Roman"/>
                <w:sz w:val="12"/>
                <w:szCs w:val="12"/>
              </w:rPr>
              <w:br/>
              <w:t xml:space="preserve">2. Reported their perception and preference for different </w:t>
            </w:r>
            <w:r w:rsidR="004B6E26">
              <w:rPr>
                <w:rFonts w:eastAsia="Times New Roman"/>
                <w:sz w:val="12"/>
                <w:szCs w:val="12"/>
              </w:rPr>
              <w:t>FOP</w:t>
            </w:r>
            <w:r w:rsidRPr="00D475C9">
              <w:rPr>
                <w:rFonts w:eastAsia="Times New Roman"/>
                <w:sz w:val="12"/>
                <w:szCs w:val="12"/>
              </w:rPr>
              <w:t xml:space="preserve"> designs</w:t>
            </w:r>
          </w:p>
        </w:tc>
        <w:tc>
          <w:tcPr>
            <w:tcW w:w="1199" w:type="dxa"/>
          </w:tcPr>
          <w:p w:rsidR="00DF60F4" w:rsidRPr="00D475C9" w:rsidP="00DF60F4" w14:paraId="32838075" w14:textId="4FA64A7C">
            <w:pPr>
              <w:pStyle w:val="TableParagraph"/>
              <w:spacing w:line="252" w:lineRule="auto"/>
              <w:ind w:right="121"/>
              <w:rPr>
                <w:rFonts w:eastAsia="Times New Roman"/>
                <w:sz w:val="12"/>
                <w:szCs w:val="12"/>
              </w:rPr>
            </w:pPr>
            <w:r w:rsidRPr="00D475C9">
              <w:rPr>
                <w:rFonts w:eastAsia="Times New Roman"/>
                <w:sz w:val="12"/>
                <w:szCs w:val="12"/>
              </w:rPr>
              <w:t>1. Warning Labels (WL)</w:t>
            </w:r>
            <w:r w:rsidRPr="00D475C9">
              <w:rPr>
                <w:rFonts w:eastAsia="Times New Roman"/>
                <w:sz w:val="12"/>
                <w:szCs w:val="12"/>
              </w:rPr>
              <w:br/>
              <w:t>2. Multiple Traffic Lights (MTL)</w:t>
            </w:r>
            <w:r w:rsidRPr="00D475C9">
              <w:rPr>
                <w:rFonts w:eastAsia="Times New Roman"/>
                <w:sz w:val="12"/>
                <w:szCs w:val="12"/>
              </w:rPr>
              <w:br/>
              <w:t>3. Health Star Rating (HSR)</w:t>
            </w:r>
            <w:r w:rsidRPr="00D475C9">
              <w:rPr>
                <w:rFonts w:eastAsia="Times New Roman"/>
                <w:sz w:val="12"/>
                <w:szCs w:val="12"/>
              </w:rPr>
              <w:br/>
              <w:t>4. Reference Intake (RI)</w:t>
            </w:r>
            <w:r w:rsidRPr="00D475C9">
              <w:rPr>
                <w:rFonts w:eastAsia="Times New Roman"/>
                <w:sz w:val="12"/>
                <w:szCs w:val="12"/>
              </w:rPr>
              <w:br/>
              <w:t xml:space="preserve">5. </w:t>
            </w:r>
            <w:r w:rsidR="004B6E26">
              <w:rPr>
                <w:rFonts w:eastAsia="Times New Roman"/>
                <w:sz w:val="12"/>
                <w:szCs w:val="12"/>
              </w:rPr>
              <w:t>Nutri-Score</w:t>
            </w:r>
          </w:p>
        </w:tc>
        <w:tc>
          <w:tcPr>
            <w:tcW w:w="1204" w:type="dxa"/>
          </w:tcPr>
          <w:p w:rsidR="00DF60F4" w:rsidRPr="00D475C9" w:rsidP="00DF60F4" w14:paraId="79E3D860" w14:textId="70594940">
            <w:pPr>
              <w:spacing w:after="0" w:line="240" w:lineRule="auto"/>
              <w:rPr>
                <w:rFonts w:ascii="Calibri" w:eastAsia="Times New Roman" w:hAnsi="Calibri" w:cs="Calibri"/>
                <w:color w:val="000000"/>
                <w:sz w:val="12"/>
                <w:szCs w:val="12"/>
                <w:lang w:eastAsia="en-US"/>
              </w:rPr>
            </w:pPr>
            <w:r w:rsidRPr="00D475C9">
              <w:rPr>
                <w:rFonts w:ascii="Calibri" w:eastAsia="Times New Roman" w:hAnsi="Calibri" w:cs="Calibri"/>
                <w:color w:val="000000"/>
                <w:sz w:val="12"/>
                <w:szCs w:val="12"/>
                <w:lang w:eastAsia="en-US"/>
              </w:rPr>
              <w:t>No image available</w:t>
            </w:r>
          </w:p>
        </w:tc>
        <w:tc>
          <w:tcPr>
            <w:tcW w:w="550" w:type="dxa"/>
          </w:tcPr>
          <w:p w:rsidR="00DF60F4" w:rsidRPr="00D475C9" w:rsidP="00DF60F4" w14:paraId="34F0CCD8" w14:textId="2C5C17A9">
            <w:pPr>
              <w:pStyle w:val="TableParagraph"/>
              <w:spacing w:line="140" w:lineRule="exact"/>
              <w:ind w:left="0" w:right="39"/>
              <w:jc w:val="center"/>
              <w:rPr>
                <w:rFonts w:eastAsia="Times New Roman"/>
                <w:color w:val="000000"/>
                <w:sz w:val="12"/>
                <w:szCs w:val="12"/>
              </w:rPr>
            </w:pPr>
            <w:r w:rsidRPr="00D475C9">
              <w:rPr>
                <w:rFonts w:eastAsia="Times New Roman"/>
                <w:sz w:val="12"/>
                <w:szCs w:val="12"/>
              </w:rPr>
              <w:t>India</w:t>
            </w:r>
          </w:p>
        </w:tc>
        <w:tc>
          <w:tcPr>
            <w:tcW w:w="3487" w:type="dxa"/>
          </w:tcPr>
          <w:p w:rsidR="00DF60F4" w:rsidRPr="00D475C9" w:rsidP="00DF60F4" w14:paraId="14EF3896" w14:textId="39845C33">
            <w:pPr>
              <w:pStyle w:val="TableParagraph"/>
              <w:spacing w:line="252" w:lineRule="auto"/>
              <w:rPr>
                <w:rFonts w:eastAsia="Times New Roman"/>
                <w:sz w:val="12"/>
                <w:szCs w:val="12"/>
              </w:rPr>
            </w:pPr>
            <w:r w:rsidRPr="00D475C9">
              <w:rPr>
                <w:rFonts w:eastAsia="Times New Roman"/>
                <w:sz w:val="12"/>
                <w:szCs w:val="12"/>
              </w:rPr>
              <w:t>1. Majority of participants consumed packaged foods and were aware of the food package labeling; most (89%) considered the labels helpful.</w:t>
            </w:r>
            <w:r w:rsidRPr="00D475C9">
              <w:rPr>
                <w:rFonts w:eastAsia="Times New Roman"/>
                <w:sz w:val="12"/>
                <w:szCs w:val="12"/>
              </w:rPr>
              <w:br/>
              <w:t>2. WL were most preferred labels, followed by MTL, difference was significant; applied to all food products.</w:t>
            </w:r>
            <w:r w:rsidRPr="00D475C9">
              <w:rPr>
                <w:rFonts w:eastAsia="Times New Roman"/>
                <w:sz w:val="12"/>
                <w:szCs w:val="12"/>
              </w:rPr>
              <w:br/>
              <w:t xml:space="preserve">3. Majority reported </w:t>
            </w:r>
            <w:r w:rsidR="004B6E26">
              <w:rPr>
                <w:rFonts w:eastAsia="Times New Roman"/>
                <w:sz w:val="12"/>
                <w:szCs w:val="12"/>
              </w:rPr>
              <w:t>FOP</w:t>
            </w:r>
            <w:r w:rsidRPr="00D475C9">
              <w:rPr>
                <w:rFonts w:eastAsia="Times New Roman"/>
                <w:sz w:val="12"/>
                <w:szCs w:val="12"/>
              </w:rPr>
              <w:t>s would be useful</w:t>
            </w:r>
            <w:r w:rsidRPr="00D475C9">
              <w:rPr>
                <w:rFonts w:eastAsia="Times New Roman"/>
                <w:sz w:val="12"/>
                <w:szCs w:val="12"/>
              </w:rPr>
              <w:br/>
              <w:t>4. Significant difference in perception by gender, education, and employment status</w:t>
            </w:r>
            <w:r w:rsidRPr="00D475C9">
              <w:rPr>
                <w:rFonts w:eastAsia="Times New Roman"/>
                <w:sz w:val="12"/>
                <w:szCs w:val="12"/>
              </w:rPr>
              <w:br/>
              <w:t>Note: conclusion in the abstract does not align with conclusions in the article.</w:t>
            </w:r>
          </w:p>
        </w:tc>
      </w:tr>
      <w:tr w14:paraId="06E20755"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00D95B28" w14:textId="181CEED3">
            <w:pPr>
              <w:pStyle w:val="TableParagraph"/>
              <w:spacing w:line="252" w:lineRule="auto"/>
              <w:ind w:right="133"/>
              <w:rPr>
                <w:rFonts w:eastAsia="Times New Roman"/>
                <w:sz w:val="12"/>
                <w:szCs w:val="12"/>
              </w:rPr>
            </w:pPr>
            <w:r w:rsidRPr="00D475C9">
              <w:rPr>
                <w:rFonts w:eastAsia="Times New Roman"/>
                <w:sz w:val="12"/>
                <w:szCs w:val="12"/>
              </w:rPr>
              <w:t>Bhawra, et al.</w:t>
            </w:r>
          </w:p>
        </w:tc>
        <w:tc>
          <w:tcPr>
            <w:tcW w:w="2101" w:type="dxa"/>
          </w:tcPr>
          <w:p w:rsidR="00DF60F4" w:rsidRPr="00D475C9" w:rsidP="00DF60F4" w14:paraId="2D8AB5FE" w14:textId="2902C6C8">
            <w:pPr>
              <w:pStyle w:val="TableParagraph"/>
              <w:spacing w:line="252" w:lineRule="auto"/>
              <w:ind w:right="102"/>
              <w:rPr>
                <w:rFonts w:eastAsia="Times New Roman"/>
                <w:sz w:val="12"/>
                <w:szCs w:val="12"/>
              </w:rPr>
            </w:pPr>
            <w:r w:rsidRPr="00D475C9">
              <w:rPr>
                <w:rFonts w:eastAsia="Times New Roman"/>
                <w:sz w:val="12"/>
                <w:szCs w:val="12"/>
              </w:rPr>
              <w:t>Correlates of Self-Reported and Functional Understanding of Nutrition Labels across 5 Countries in the 2018 International Food Policy Study</w:t>
            </w:r>
          </w:p>
        </w:tc>
        <w:tc>
          <w:tcPr>
            <w:tcW w:w="333" w:type="dxa"/>
          </w:tcPr>
          <w:p w:rsidR="00DF60F4" w:rsidRPr="00D475C9" w:rsidP="00DF60F4" w14:paraId="3D74AE69" w14:textId="6A90ADFC">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DF60F4" w:rsidRPr="00D475C9" w:rsidP="00DF60F4" w14:paraId="4053CF05" w14:textId="4B6F99C0">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1. Online survey of adults in 5 countries (3900-5100 per country) assessing association between label understanding and consumer dietary behaviors, functional nutrition knowledge and sociodemographic characteristics</w:t>
            </w:r>
          </w:p>
        </w:tc>
        <w:tc>
          <w:tcPr>
            <w:tcW w:w="1199" w:type="dxa"/>
          </w:tcPr>
          <w:p w:rsidR="00DF60F4" w:rsidRPr="00D475C9" w:rsidP="00DF60F4" w14:paraId="6A39BEF1" w14:textId="136A4899">
            <w:pPr>
              <w:pStyle w:val="TableParagraph"/>
              <w:spacing w:line="252" w:lineRule="auto"/>
              <w:ind w:right="121"/>
              <w:rPr>
                <w:rFonts w:eastAsia="Times New Roman"/>
                <w:sz w:val="12"/>
                <w:szCs w:val="12"/>
              </w:rPr>
            </w:pPr>
            <w:r w:rsidRPr="00D475C9">
              <w:rPr>
                <w:rFonts w:eastAsia="Times New Roman"/>
                <w:sz w:val="12"/>
                <w:szCs w:val="12"/>
              </w:rPr>
              <w:t>1. Health Star Rating (HSR)</w:t>
            </w:r>
            <w:r w:rsidRPr="00D475C9">
              <w:rPr>
                <w:rFonts w:eastAsia="Times New Roman"/>
                <w:sz w:val="12"/>
                <w:szCs w:val="12"/>
              </w:rPr>
              <w:br/>
              <w:t>2. Multiple Traffic Light (MTL)</w:t>
            </w:r>
            <w:r w:rsidRPr="00D475C9">
              <w:rPr>
                <w:rFonts w:eastAsia="Times New Roman"/>
                <w:sz w:val="12"/>
                <w:szCs w:val="12"/>
              </w:rPr>
              <w:br/>
              <w:t>3. Guideline Daily Amounts (GDA)</w:t>
            </w:r>
            <w:r w:rsidRPr="00D475C9">
              <w:rPr>
                <w:rFonts w:eastAsia="Times New Roman"/>
                <w:sz w:val="12"/>
                <w:szCs w:val="12"/>
              </w:rPr>
              <w:br/>
              <w:t>4. Nutrition Facts table (</w:t>
            </w:r>
            <w:r w:rsidRPr="00D475C9">
              <w:rPr>
                <w:rFonts w:eastAsia="Times New Roman"/>
                <w:sz w:val="12"/>
                <w:szCs w:val="12"/>
              </w:rPr>
              <w:t>NFt</w:t>
            </w:r>
            <w:r w:rsidRPr="00D475C9">
              <w:rPr>
                <w:rFonts w:eastAsia="Times New Roman"/>
                <w:sz w:val="12"/>
                <w:szCs w:val="12"/>
              </w:rPr>
              <w:t>)</w:t>
            </w:r>
          </w:p>
        </w:tc>
        <w:tc>
          <w:tcPr>
            <w:tcW w:w="1204" w:type="dxa"/>
          </w:tcPr>
          <w:p w:rsidR="00DF60F4" w:rsidRPr="00D475C9" w:rsidP="00DF60F4" w14:paraId="445F125F" w14:textId="6F6FD3FF">
            <w:pPr>
              <w:spacing w:after="0" w:line="240" w:lineRule="auto"/>
              <w:rPr>
                <w:rFonts w:ascii="Calibri" w:eastAsia="Times New Roman" w:hAnsi="Calibri" w:cs="Calibri"/>
                <w:color w:val="000000"/>
                <w:sz w:val="12"/>
                <w:szCs w:val="12"/>
                <w:lang w:eastAsia="en-US"/>
              </w:rPr>
            </w:pPr>
            <w:r w:rsidRPr="00D475C9">
              <w:rPr>
                <w:rFonts w:ascii="Calibri" w:eastAsia="Times New Roman" w:hAnsi="Calibri" w:cs="Calibri"/>
                <w:noProof/>
                <w:color w:val="000000"/>
                <w:sz w:val="12"/>
                <w:szCs w:val="12"/>
                <w:lang w:eastAsia="en-US"/>
              </w:rPr>
              <w:drawing>
                <wp:anchor distT="0" distB="0" distL="114300" distR="114300" simplePos="0" relativeHeight="251703296" behindDoc="0" locked="0" layoutInCell="1" allowOverlap="1">
                  <wp:simplePos x="0" y="0"/>
                  <wp:positionH relativeFrom="column">
                    <wp:posOffset>-12700</wp:posOffset>
                  </wp:positionH>
                  <wp:positionV relativeFrom="paragraph">
                    <wp:posOffset>111760</wp:posOffset>
                  </wp:positionV>
                  <wp:extent cx="638175" cy="190500"/>
                  <wp:effectExtent l="0" t="0" r="9525"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5"/>
                          <pic:cNvPicPr>
                            <a:picLocks noChangeAspect="1"/>
                          </pic:cNvPicPr>
                        </pic:nvPicPr>
                        <pic:blipFill>
                          <a:blip xmlns:r="http://schemas.openxmlformats.org/officeDocument/2006/relationships" r:embed="rId84"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0082" cy="191069"/>
                          </a:xfrm>
                          <a:prstGeom prst="rect">
                            <a:avLst/>
                          </a:prstGeom>
                        </pic:spPr>
                      </pic:pic>
                    </a:graphicData>
                  </a:graphic>
                  <wp14:sizeRelH relativeFrom="page">
                    <wp14:pctWidth>0</wp14:pctWidth>
                  </wp14:sizeRelH>
                  <wp14:sizeRelV relativeFrom="page">
                    <wp14:pctHeight>0</wp14:pctHeight>
                  </wp14:sizeRelV>
                </wp:anchor>
              </w:drawing>
            </w:r>
          </w:p>
        </w:tc>
        <w:tc>
          <w:tcPr>
            <w:tcW w:w="550" w:type="dxa"/>
          </w:tcPr>
          <w:p w:rsidR="00DF60F4" w:rsidRPr="00D475C9" w:rsidP="00DF60F4" w14:paraId="0E5092CB" w14:textId="25529E80">
            <w:pPr>
              <w:pStyle w:val="TableParagraph"/>
              <w:spacing w:line="140" w:lineRule="exact"/>
              <w:ind w:left="0" w:right="39"/>
              <w:jc w:val="center"/>
              <w:rPr>
                <w:rFonts w:eastAsia="Times New Roman"/>
                <w:color w:val="000000"/>
                <w:sz w:val="12"/>
                <w:szCs w:val="12"/>
              </w:rPr>
            </w:pPr>
            <w:r w:rsidRPr="00D475C9">
              <w:rPr>
                <w:rFonts w:eastAsia="Times New Roman"/>
                <w:sz w:val="12"/>
                <w:szCs w:val="12"/>
              </w:rPr>
              <w:t xml:space="preserve">Australia, Canada, Mexico, </w:t>
            </w:r>
            <w:r w:rsidRPr="00D475C9">
              <w:rPr>
                <w:rFonts w:eastAsia="Times New Roman"/>
                <w:sz w:val="12"/>
                <w:szCs w:val="12"/>
              </w:rPr>
              <w:t>UK</w:t>
            </w:r>
            <w:r w:rsidRPr="00D475C9">
              <w:rPr>
                <w:rFonts w:eastAsia="Times New Roman"/>
                <w:sz w:val="12"/>
                <w:szCs w:val="12"/>
              </w:rPr>
              <w:t xml:space="preserve"> and US</w:t>
            </w:r>
          </w:p>
        </w:tc>
        <w:tc>
          <w:tcPr>
            <w:tcW w:w="3487" w:type="dxa"/>
          </w:tcPr>
          <w:p w:rsidR="00DF60F4" w:rsidRPr="00D475C9" w:rsidP="00DF60F4" w14:paraId="441C25C6" w14:textId="02551B99">
            <w:pPr>
              <w:pStyle w:val="TableParagraph"/>
              <w:spacing w:line="252" w:lineRule="auto"/>
              <w:rPr>
                <w:rFonts w:eastAsia="Times New Roman"/>
                <w:sz w:val="12"/>
                <w:szCs w:val="12"/>
              </w:rPr>
            </w:pPr>
            <w:r w:rsidRPr="00D475C9">
              <w:rPr>
                <w:rFonts w:eastAsia="Times New Roman"/>
                <w:sz w:val="12"/>
                <w:szCs w:val="12"/>
              </w:rPr>
              <w:t xml:space="preserve">1. </w:t>
            </w:r>
            <w:r w:rsidR="004B6E26">
              <w:rPr>
                <w:rFonts w:eastAsia="Times New Roman"/>
                <w:sz w:val="12"/>
                <w:szCs w:val="12"/>
              </w:rPr>
              <w:t>FOP</w:t>
            </w:r>
            <w:r w:rsidRPr="00D475C9">
              <w:rPr>
                <w:rFonts w:eastAsia="Times New Roman"/>
                <w:sz w:val="12"/>
                <w:szCs w:val="12"/>
              </w:rPr>
              <w:t xml:space="preserve"> understanding significantly higher for interpretive label systems (HSR, Traffic lights) compare with Guideline Daily Amounts</w:t>
            </w:r>
            <w:r w:rsidRPr="00D475C9">
              <w:rPr>
                <w:rFonts w:eastAsia="Times New Roman"/>
                <w:sz w:val="12"/>
                <w:szCs w:val="12"/>
              </w:rPr>
              <w:br/>
              <w:t xml:space="preserve">2. Interpretive </w:t>
            </w:r>
            <w:r w:rsidR="004B6E26">
              <w:rPr>
                <w:rFonts w:eastAsia="Times New Roman"/>
                <w:sz w:val="12"/>
                <w:szCs w:val="12"/>
              </w:rPr>
              <w:t>FOP</w:t>
            </w:r>
            <w:r w:rsidRPr="00D475C9">
              <w:rPr>
                <w:rFonts w:eastAsia="Times New Roman"/>
                <w:sz w:val="12"/>
                <w:szCs w:val="12"/>
              </w:rPr>
              <w:t>s (HSR, MTL) easier to understand than those requiring numeracy skills (</w:t>
            </w:r>
            <w:r w:rsidRPr="00D475C9">
              <w:rPr>
                <w:rFonts w:eastAsia="Times New Roman"/>
                <w:sz w:val="12"/>
                <w:szCs w:val="12"/>
              </w:rPr>
              <w:t>NFts</w:t>
            </w:r>
            <w:r w:rsidRPr="00D475C9">
              <w:rPr>
                <w:rFonts w:eastAsia="Times New Roman"/>
                <w:sz w:val="12"/>
                <w:szCs w:val="12"/>
              </w:rPr>
              <w:t>, GDAs).</w:t>
            </w:r>
          </w:p>
        </w:tc>
      </w:tr>
      <w:tr w14:paraId="50032E60"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483C1355" w14:textId="22214A0C">
            <w:pPr>
              <w:pStyle w:val="TableParagraph"/>
              <w:spacing w:line="252" w:lineRule="auto"/>
              <w:ind w:right="133"/>
              <w:rPr>
                <w:rFonts w:eastAsia="Times New Roman"/>
                <w:sz w:val="12"/>
                <w:szCs w:val="12"/>
              </w:rPr>
            </w:pPr>
            <w:r w:rsidRPr="00D475C9">
              <w:rPr>
                <w:rFonts w:eastAsia="Times New Roman"/>
                <w:color w:val="000000"/>
                <w:sz w:val="12"/>
                <w:szCs w:val="12"/>
              </w:rPr>
              <w:t>Cabrera, et al.</w:t>
            </w:r>
          </w:p>
        </w:tc>
        <w:tc>
          <w:tcPr>
            <w:tcW w:w="2101" w:type="dxa"/>
          </w:tcPr>
          <w:p w:rsidR="00DF60F4" w:rsidRPr="00D475C9" w:rsidP="00DF60F4" w14:paraId="43BE9159" w14:textId="72227D42">
            <w:pPr>
              <w:pStyle w:val="TableParagraph"/>
              <w:spacing w:line="252" w:lineRule="auto"/>
              <w:ind w:right="102"/>
              <w:rPr>
                <w:rFonts w:eastAsia="Times New Roman"/>
                <w:sz w:val="12"/>
                <w:szCs w:val="12"/>
              </w:rPr>
            </w:pPr>
            <w:r w:rsidRPr="00D475C9">
              <w:rPr>
                <w:rFonts w:eastAsia="Times New Roman"/>
                <w:color w:val="000000"/>
                <w:sz w:val="12"/>
                <w:szCs w:val="12"/>
              </w:rPr>
              <w:t>Traffic-light nutrition labeling use and demand among Ecuadorean children</w:t>
            </w:r>
          </w:p>
        </w:tc>
        <w:tc>
          <w:tcPr>
            <w:tcW w:w="333" w:type="dxa"/>
          </w:tcPr>
          <w:p w:rsidR="00DF60F4" w:rsidRPr="00D475C9" w:rsidP="00DF60F4" w14:paraId="00DAEBA3" w14:textId="302C3115">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DF60F4" w:rsidRPr="00D475C9" w:rsidP="00DF60F4" w14:paraId="698E79B2" w14:textId="2A63BFE2">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 xml:space="preserve">1. Survey of 1179 children (12-18 </w:t>
            </w:r>
            <w:r w:rsidRPr="00D475C9">
              <w:rPr>
                <w:rFonts w:eastAsia="Times New Roman"/>
                <w:sz w:val="12"/>
                <w:szCs w:val="12"/>
              </w:rPr>
              <w:t>yo</w:t>
            </w:r>
            <w:r w:rsidRPr="00D475C9">
              <w:rPr>
                <w:rFonts w:eastAsia="Times New Roman"/>
                <w:sz w:val="12"/>
                <w:szCs w:val="12"/>
              </w:rPr>
              <w:t>) assessing understanding of the Traffic Light label</w:t>
            </w:r>
            <w:r w:rsidRPr="00D475C9">
              <w:rPr>
                <w:rFonts w:eastAsia="Times New Roman"/>
                <w:sz w:val="12"/>
                <w:szCs w:val="12"/>
              </w:rPr>
              <w:br/>
              <w:t>2. Choice experiment, students chose yogurt and soft drinks</w:t>
            </w:r>
          </w:p>
        </w:tc>
        <w:tc>
          <w:tcPr>
            <w:tcW w:w="1199" w:type="dxa"/>
          </w:tcPr>
          <w:p w:rsidR="00DF60F4" w:rsidRPr="00D475C9" w:rsidP="00DF60F4" w14:paraId="19DF8553" w14:textId="4FC4FEFE">
            <w:pPr>
              <w:pStyle w:val="TableParagraph"/>
              <w:spacing w:line="252" w:lineRule="auto"/>
              <w:ind w:right="121"/>
              <w:rPr>
                <w:rFonts w:eastAsia="Times New Roman"/>
                <w:sz w:val="12"/>
                <w:szCs w:val="12"/>
              </w:rPr>
            </w:pPr>
            <w:r w:rsidRPr="00D475C9">
              <w:rPr>
                <w:rFonts w:eastAsia="Times New Roman"/>
                <w:sz w:val="12"/>
                <w:szCs w:val="12"/>
              </w:rPr>
              <w:t>1. Traffic light</w:t>
            </w:r>
          </w:p>
        </w:tc>
        <w:tc>
          <w:tcPr>
            <w:tcW w:w="1204" w:type="dxa"/>
          </w:tcPr>
          <w:p w:rsidR="00DF60F4" w:rsidRPr="00D475C9" w:rsidP="00DF60F4" w14:paraId="2F0A700F" w14:textId="53773176">
            <w:pPr>
              <w:spacing w:after="0" w:line="240" w:lineRule="auto"/>
              <w:rPr>
                <w:rFonts w:ascii="Calibri" w:eastAsia="Times New Roman" w:hAnsi="Calibri" w:cs="Calibri"/>
                <w:noProof/>
                <w:color w:val="000000"/>
                <w:sz w:val="12"/>
                <w:szCs w:val="12"/>
                <w:lang w:eastAsia="en-US"/>
              </w:rPr>
            </w:pPr>
            <w:r w:rsidRPr="00D475C9">
              <w:rPr>
                <w:rFonts w:ascii="Calibri" w:eastAsia="Times New Roman" w:hAnsi="Calibri" w:cs="Calibri"/>
                <w:noProof/>
                <w:color w:val="000000"/>
                <w:sz w:val="12"/>
                <w:szCs w:val="12"/>
                <w:lang w:eastAsia="en-US"/>
              </w:rPr>
              <w:drawing>
                <wp:anchor distT="0" distB="0" distL="114300" distR="114300" simplePos="0" relativeHeight="251704320" behindDoc="0" locked="0" layoutInCell="1" allowOverlap="1">
                  <wp:simplePos x="0" y="0"/>
                  <wp:positionH relativeFrom="column">
                    <wp:posOffset>44450</wp:posOffset>
                  </wp:positionH>
                  <wp:positionV relativeFrom="paragraph">
                    <wp:posOffset>108585</wp:posOffset>
                  </wp:positionV>
                  <wp:extent cx="639233" cy="342900"/>
                  <wp:effectExtent l="0" t="0" r="889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
                          <pic:cNvPicPr>
                            <a:picLocks noChangeAspect="1"/>
                          </pic:cNvPicPr>
                        </pic:nvPicPr>
                        <pic:blipFill>
                          <a:blip xmlns:r="http://schemas.openxmlformats.org/officeDocument/2006/relationships" r:embed="rId85"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6896" cy="347011"/>
                          </a:xfrm>
                          <a:prstGeom prst="rect">
                            <a:avLst/>
                          </a:prstGeom>
                        </pic:spPr>
                      </pic:pic>
                    </a:graphicData>
                  </a:graphic>
                  <wp14:sizeRelH relativeFrom="page">
                    <wp14:pctWidth>0</wp14:pctWidth>
                  </wp14:sizeRelH>
                  <wp14:sizeRelV relativeFrom="page">
                    <wp14:pctHeight>0</wp14:pctHeight>
                  </wp14:sizeRelV>
                </wp:anchor>
              </w:drawing>
            </w:r>
          </w:p>
        </w:tc>
        <w:tc>
          <w:tcPr>
            <w:tcW w:w="550" w:type="dxa"/>
          </w:tcPr>
          <w:p w:rsidR="00DF60F4" w:rsidRPr="00D475C9" w:rsidP="00DF60F4" w14:paraId="3E79BE0D" w14:textId="545C77D1">
            <w:pPr>
              <w:pStyle w:val="TableParagraph"/>
              <w:spacing w:line="140" w:lineRule="exact"/>
              <w:ind w:left="0" w:right="39"/>
              <w:jc w:val="center"/>
              <w:rPr>
                <w:rFonts w:eastAsia="Times New Roman"/>
                <w:sz w:val="12"/>
                <w:szCs w:val="12"/>
              </w:rPr>
            </w:pPr>
            <w:r w:rsidRPr="00D475C9">
              <w:rPr>
                <w:rFonts w:eastAsia="Times New Roman"/>
                <w:sz w:val="12"/>
                <w:szCs w:val="12"/>
              </w:rPr>
              <w:t>Ecuador</w:t>
            </w:r>
          </w:p>
        </w:tc>
        <w:tc>
          <w:tcPr>
            <w:tcW w:w="3487" w:type="dxa"/>
          </w:tcPr>
          <w:p w:rsidR="00DF60F4" w:rsidRPr="00D475C9" w:rsidP="00DF60F4" w14:paraId="5F7CC0F4" w14:textId="7A6D6603">
            <w:pPr>
              <w:pStyle w:val="TableParagraph"/>
              <w:spacing w:line="252" w:lineRule="auto"/>
              <w:rPr>
                <w:rFonts w:eastAsia="Times New Roman"/>
                <w:sz w:val="12"/>
                <w:szCs w:val="12"/>
              </w:rPr>
            </w:pPr>
            <w:r w:rsidRPr="00D475C9">
              <w:rPr>
                <w:rFonts w:eastAsia="Times New Roman"/>
                <w:sz w:val="12"/>
                <w:szCs w:val="12"/>
              </w:rPr>
              <w:t>1. Survey results: 42% of all participants answered all 4 correctly, 22% got between 2 and 3, and 36% got 0 to 1.</w:t>
            </w:r>
            <w:r w:rsidRPr="00D475C9">
              <w:rPr>
                <w:rFonts w:eastAsia="Times New Roman"/>
                <w:sz w:val="12"/>
                <w:szCs w:val="12"/>
              </w:rPr>
              <w:br/>
              <w:t>2. Choice experiment: Participants preferred products with labels indicating healthier alternatives and are willing to pay premium prices for these products.</w:t>
            </w:r>
          </w:p>
        </w:tc>
      </w:tr>
      <w:tr w14:paraId="50278B5D"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09F2228A" w14:textId="02C9932E">
            <w:pPr>
              <w:pStyle w:val="TableParagraph"/>
              <w:spacing w:line="252" w:lineRule="auto"/>
              <w:ind w:right="133"/>
              <w:rPr>
                <w:rFonts w:eastAsia="Times New Roman"/>
                <w:color w:val="000000"/>
                <w:sz w:val="12"/>
                <w:szCs w:val="12"/>
              </w:rPr>
            </w:pPr>
            <w:r w:rsidRPr="00D475C9">
              <w:rPr>
                <w:rFonts w:eastAsia="Times New Roman"/>
                <w:sz w:val="12"/>
                <w:szCs w:val="12"/>
              </w:rPr>
              <w:t>Contreras-Manzano, et al.</w:t>
            </w:r>
          </w:p>
        </w:tc>
        <w:tc>
          <w:tcPr>
            <w:tcW w:w="2101" w:type="dxa"/>
          </w:tcPr>
          <w:p w:rsidR="00DF60F4" w:rsidRPr="00D475C9" w:rsidP="00DF60F4" w14:paraId="2923D0E4" w14:textId="0A1FF154">
            <w:pPr>
              <w:pStyle w:val="TableParagraph"/>
              <w:spacing w:line="252" w:lineRule="auto"/>
              <w:ind w:right="102"/>
              <w:rPr>
                <w:rFonts w:eastAsia="Times New Roman"/>
                <w:color w:val="000000"/>
                <w:sz w:val="12"/>
                <w:szCs w:val="12"/>
              </w:rPr>
            </w:pPr>
            <w:r w:rsidRPr="00D475C9">
              <w:rPr>
                <w:rFonts w:eastAsia="Times New Roman"/>
                <w:sz w:val="12"/>
                <w:szCs w:val="12"/>
              </w:rPr>
              <w:t>Objective understanding of front of pack warning labels among Mexican children of public elementary schools. A randomized experiment</w:t>
            </w:r>
          </w:p>
        </w:tc>
        <w:tc>
          <w:tcPr>
            <w:tcW w:w="333" w:type="dxa"/>
          </w:tcPr>
          <w:p w:rsidR="00DF60F4" w:rsidRPr="00D475C9" w:rsidP="00DF60F4" w14:paraId="5E117C9D" w14:textId="0679DE0A">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DF60F4" w:rsidRPr="00D475C9" w:rsidP="00DF60F4" w14:paraId="5FE67F4E" w14:textId="0C47EAC9">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410 children ages 6-13; examined use of warning labels and nutrition facts panel and ability of children to select healthiest and least healthy choices; also determine length of time to make selections</w:t>
            </w:r>
          </w:p>
        </w:tc>
        <w:tc>
          <w:tcPr>
            <w:tcW w:w="1199" w:type="dxa"/>
          </w:tcPr>
          <w:p w:rsidR="00DF60F4" w:rsidRPr="00D475C9" w:rsidP="00DF60F4" w14:paraId="28AEBF3C" w14:textId="3E06DE57">
            <w:pPr>
              <w:pStyle w:val="TableParagraph"/>
              <w:spacing w:line="252" w:lineRule="auto"/>
              <w:ind w:right="121"/>
              <w:rPr>
                <w:rFonts w:eastAsia="Times New Roman"/>
                <w:sz w:val="12"/>
                <w:szCs w:val="12"/>
              </w:rPr>
            </w:pPr>
            <w:r w:rsidRPr="00D475C9">
              <w:rPr>
                <w:rFonts w:eastAsia="Times New Roman"/>
                <w:sz w:val="12"/>
                <w:szCs w:val="12"/>
              </w:rPr>
              <w:t>1. Traditional warning labels</w:t>
            </w:r>
            <w:r w:rsidRPr="00D475C9">
              <w:rPr>
                <w:rFonts w:eastAsia="Times New Roman"/>
                <w:sz w:val="12"/>
                <w:szCs w:val="12"/>
              </w:rPr>
              <w:br/>
              <w:t>2. Numeric warning labels</w:t>
            </w:r>
          </w:p>
        </w:tc>
        <w:tc>
          <w:tcPr>
            <w:tcW w:w="1204" w:type="dxa"/>
          </w:tcPr>
          <w:p w:rsidR="00DF60F4" w:rsidRPr="00D475C9" w:rsidP="00DF60F4" w14:paraId="52EB29DA" w14:textId="288C80D2">
            <w:pPr>
              <w:spacing w:after="0" w:line="240" w:lineRule="auto"/>
              <w:rPr>
                <w:rFonts w:ascii="Calibri" w:eastAsia="Times New Roman" w:hAnsi="Calibri" w:cs="Calibri"/>
                <w:noProof/>
                <w:color w:val="000000"/>
                <w:sz w:val="12"/>
                <w:szCs w:val="12"/>
                <w:lang w:eastAsia="en-US"/>
              </w:rPr>
            </w:pPr>
            <w:r w:rsidRPr="00D475C9">
              <w:rPr>
                <w:rFonts w:ascii="Calibri" w:eastAsia="Times New Roman" w:hAnsi="Calibri" w:cs="Calibri"/>
                <w:noProof/>
                <w:color w:val="000000"/>
                <w:sz w:val="12"/>
                <w:szCs w:val="12"/>
                <w:lang w:eastAsia="en-US"/>
              </w:rPr>
              <w:drawing>
                <wp:anchor distT="0" distB="0" distL="114300" distR="114300" simplePos="0" relativeHeight="251705344" behindDoc="0" locked="0" layoutInCell="1" allowOverlap="1">
                  <wp:simplePos x="0" y="0"/>
                  <wp:positionH relativeFrom="column">
                    <wp:posOffset>-12700</wp:posOffset>
                  </wp:positionH>
                  <wp:positionV relativeFrom="paragraph">
                    <wp:posOffset>62230</wp:posOffset>
                  </wp:positionV>
                  <wp:extent cx="639233" cy="444500"/>
                  <wp:effectExtent l="0" t="0" r="889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54"/>
                          <pic:cNvPicPr>
                            <a:picLocks noChangeAspect="1"/>
                          </pic:cNvPicPr>
                        </pic:nvPicPr>
                        <pic:blipFill>
                          <a:blip xmlns:r="http://schemas.openxmlformats.org/officeDocument/2006/relationships" r:embed="rId8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1192" cy="452816"/>
                          </a:xfrm>
                          <a:prstGeom prst="rect">
                            <a:avLst/>
                          </a:prstGeom>
                        </pic:spPr>
                      </pic:pic>
                    </a:graphicData>
                  </a:graphic>
                  <wp14:sizeRelH relativeFrom="page">
                    <wp14:pctWidth>0</wp14:pctWidth>
                  </wp14:sizeRelH>
                  <wp14:sizeRelV relativeFrom="page">
                    <wp14:pctHeight>0</wp14:pctHeight>
                  </wp14:sizeRelV>
                </wp:anchor>
              </w:drawing>
            </w:r>
          </w:p>
        </w:tc>
        <w:tc>
          <w:tcPr>
            <w:tcW w:w="550" w:type="dxa"/>
          </w:tcPr>
          <w:p w:rsidR="00DF60F4" w:rsidRPr="00D475C9" w:rsidP="00DF60F4" w14:paraId="22B16DDC" w14:textId="183701C7">
            <w:pPr>
              <w:pStyle w:val="TableParagraph"/>
              <w:spacing w:line="140" w:lineRule="exact"/>
              <w:ind w:left="0" w:right="39"/>
              <w:jc w:val="center"/>
              <w:rPr>
                <w:rFonts w:eastAsia="Times New Roman"/>
                <w:sz w:val="12"/>
                <w:szCs w:val="12"/>
              </w:rPr>
            </w:pPr>
            <w:r w:rsidRPr="00D475C9">
              <w:rPr>
                <w:rFonts w:eastAsia="Times New Roman"/>
                <w:sz w:val="12"/>
                <w:szCs w:val="12"/>
              </w:rPr>
              <w:t>Mexico</w:t>
            </w:r>
          </w:p>
        </w:tc>
        <w:tc>
          <w:tcPr>
            <w:tcW w:w="3487" w:type="dxa"/>
          </w:tcPr>
          <w:p w:rsidR="00DF60F4" w:rsidRPr="00D475C9" w:rsidP="00DF60F4" w14:paraId="0BD04659" w14:textId="114BEA57">
            <w:pPr>
              <w:pStyle w:val="TableParagraph"/>
              <w:spacing w:line="252" w:lineRule="auto"/>
              <w:rPr>
                <w:rFonts w:eastAsia="Times New Roman"/>
                <w:sz w:val="12"/>
                <w:szCs w:val="12"/>
              </w:rPr>
            </w:pPr>
            <w:r w:rsidRPr="00D475C9">
              <w:rPr>
                <w:rFonts w:eastAsia="Times New Roman"/>
                <w:sz w:val="12"/>
                <w:szCs w:val="12"/>
              </w:rPr>
              <w:t>1. Warning labels led to children identifying healthiest or least healthy items most correctly and in the least amount of time</w:t>
            </w:r>
            <w:r w:rsidRPr="00D475C9">
              <w:rPr>
                <w:rFonts w:eastAsia="Times New Roman"/>
                <w:sz w:val="12"/>
                <w:szCs w:val="12"/>
              </w:rPr>
              <w:br/>
              <w:t>2. Traditional warning labels more effective than numeric warning labels (these display a single warning sign with a number indicating the number of warnings for the food item; used on foods in small packages)</w:t>
            </w:r>
            <w:r w:rsidRPr="00D475C9">
              <w:rPr>
                <w:rFonts w:eastAsia="Times New Roman"/>
                <w:sz w:val="12"/>
                <w:szCs w:val="12"/>
              </w:rPr>
              <w:br/>
              <w:t>3. Presence of a cartoon character on the package reduced the ability of children to select healthy or unhealthy foods correctly.</w:t>
            </w:r>
          </w:p>
        </w:tc>
      </w:tr>
      <w:tr w14:paraId="30DEF569"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087C0584" w14:textId="10E6DC37">
            <w:pPr>
              <w:pStyle w:val="TableParagraph"/>
              <w:spacing w:line="252" w:lineRule="auto"/>
              <w:ind w:right="133"/>
              <w:rPr>
                <w:rFonts w:eastAsia="Times New Roman"/>
                <w:sz w:val="12"/>
                <w:szCs w:val="12"/>
              </w:rPr>
            </w:pPr>
            <w:r w:rsidRPr="00D475C9">
              <w:rPr>
                <w:rFonts w:eastAsia="Times New Roman"/>
                <w:sz w:val="12"/>
                <w:szCs w:val="12"/>
              </w:rPr>
              <w:t>Cordero-Ahiman, et al.</w:t>
            </w:r>
          </w:p>
        </w:tc>
        <w:tc>
          <w:tcPr>
            <w:tcW w:w="2101" w:type="dxa"/>
          </w:tcPr>
          <w:p w:rsidR="00DF60F4" w:rsidRPr="00D475C9" w:rsidP="00DF60F4" w14:paraId="18EC5EB7" w14:textId="039AE7F3">
            <w:pPr>
              <w:pStyle w:val="TableParagraph"/>
              <w:spacing w:line="252" w:lineRule="auto"/>
              <w:ind w:right="102"/>
              <w:rPr>
                <w:rFonts w:eastAsia="Times New Roman"/>
                <w:sz w:val="12"/>
                <w:szCs w:val="12"/>
              </w:rPr>
            </w:pPr>
            <w:r w:rsidRPr="00D475C9">
              <w:rPr>
                <w:rFonts w:eastAsia="Times New Roman"/>
                <w:sz w:val="12"/>
                <w:szCs w:val="12"/>
              </w:rPr>
              <w:t>Responsible Marketing in the Traffic Light Labeling of Food Products in Ecuador: Perceptions of Cuenca Consumers</w:t>
            </w:r>
          </w:p>
        </w:tc>
        <w:tc>
          <w:tcPr>
            <w:tcW w:w="333" w:type="dxa"/>
          </w:tcPr>
          <w:p w:rsidR="00DF60F4" w:rsidRPr="00D475C9" w:rsidP="00DF60F4" w14:paraId="3EFA4A14" w14:textId="68C11111">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DF60F4" w:rsidRPr="00D475C9" w:rsidP="00DF60F4" w14:paraId="22F8B291" w14:textId="51B8B76E">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1. 384 participants completed a survey asking about knowledge and use of traffic light nutrition labels</w:t>
            </w:r>
            <w:r w:rsidRPr="00D475C9">
              <w:rPr>
                <w:rFonts w:eastAsia="Times New Roman"/>
                <w:sz w:val="12"/>
                <w:szCs w:val="12"/>
              </w:rPr>
              <w:br/>
              <w:t>2. Examined variables that were associated with people being more likely to use traffic light nutrition lanes</w:t>
            </w:r>
            <w:r w:rsidRPr="00D475C9">
              <w:rPr>
                <w:rFonts w:eastAsia="Times New Roman"/>
                <w:sz w:val="12"/>
                <w:szCs w:val="12"/>
              </w:rPr>
              <w:br/>
              <w:t>-evaluating traffic light labels as part of responsible marketing research</w:t>
            </w:r>
          </w:p>
        </w:tc>
        <w:tc>
          <w:tcPr>
            <w:tcW w:w="1199" w:type="dxa"/>
          </w:tcPr>
          <w:p w:rsidR="00DF60F4" w:rsidRPr="00D475C9" w:rsidP="00DF60F4" w14:paraId="39E71B39" w14:textId="3661D346">
            <w:pPr>
              <w:pStyle w:val="TableParagraph"/>
              <w:spacing w:line="252" w:lineRule="auto"/>
              <w:ind w:right="121"/>
              <w:rPr>
                <w:rFonts w:eastAsia="Times New Roman"/>
                <w:sz w:val="12"/>
                <w:szCs w:val="12"/>
              </w:rPr>
            </w:pPr>
            <w:r w:rsidRPr="00D475C9">
              <w:rPr>
                <w:rFonts w:eastAsia="Times New Roman"/>
                <w:sz w:val="12"/>
                <w:szCs w:val="12"/>
              </w:rPr>
              <w:t>1. Traffic light nutrition labels</w:t>
            </w:r>
          </w:p>
        </w:tc>
        <w:tc>
          <w:tcPr>
            <w:tcW w:w="1204" w:type="dxa"/>
          </w:tcPr>
          <w:p w:rsidR="00DF60F4" w:rsidRPr="00D475C9" w:rsidP="00DF60F4" w14:paraId="720C3C89" w14:textId="61F2F5E0">
            <w:pPr>
              <w:spacing w:after="0" w:line="240" w:lineRule="auto"/>
              <w:rPr>
                <w:rFonts w:ascii="Calibri" w:eastAsia="Times New Roman" w:hAnsi="Calibri" w:cs="Calibri"/>
                <w:noProof/>
                <w:color w:val="000000"/>
                <w:sz w:val="12"/>
                <w:szCs w:val="12"/>
                <w:lang w:eastAsia="en-US"/>
              </w:rPr>
            </w:pPr>
            <w:r w:rsidRPr="00D475C9">
              <w:rPr>
                <w:rFonts w:ascii="Calibri" w:eastAsia="Times New Roman" w:hAnsi="Calibri" w:cs="Calibri"/>
                <w:color w:val="000000"/>
                <w:sz w:val="12"/>
                <w:szCs w:val="12"/>
                <w:lang w:eastAsia="en-US"/>
              </w:rPr>
              <w:t>No image available</w:t>
            </w:r>
          </w:p>
        </w:tc>
        <w:tc>
          <w:tcPr>
            <w:tcW w:w="550" w:type="dxa"/>
          </w:tcPr>
          <w:p w:rsidR="00DF60F4" w:rsidRPr="00D475C9" w:rsidP="00DF60F4" w14:paraId="5A7B4403" w14:textId="40CF7D39">
            <w:pPr>
              <w:pStyle w:val="TableParagraph"/>
              <w:spacing w:line="140" w:lineRule="exact"/>
              <w:ind w:left="0" w:right="39"/>
              <w:jc w:val="center"/>
              <w:rPr>
                <w:rFonts w:eastAsia="Times New Roman"/>
                <w:sz w:val="12"/>
                <w:szCs w:val="12"/>
              </w:rPr>
            </w:pPr>
            <w:r w:rsidRPr="00D475C9">
              <w:rPr>
                <w:rFonts w:eastAsia="Times New Roman"/>
                <w:sz w:val="12"/>
                <w:szCs w:val="12"/>
              </w:rPr>
              <w:t>Ecuador</w:t>
            </w:r>
          </w:p>
        </w:tc>
        <w:tc>
          <w:tcPr>
            <w:tcW w:w="3487" w:type="dxa"/>
          </w:tcPr>
          <w:p w:rsidR="00DF60F4" w:rsidRPr="00D475C9" w:rsidP="00DF60F4" w14:paraId="45ED04D3" w14:textId="7303CE4B">
            <w:pPr>
              <w:pStyle w:val="TableParagraph"/>
              <w:spacing w:line="252" w:lineRule="auto"/>
              <w:rPr>
                <w:rFonts w:eastAsia="Times New Roman"/>
                <w:sz w:val="12"/>
                <w:szCs w:val="12"/>
              </w:rPr>
            </w:pPr>
            <w:r w:rsidRPr="00D475C9">
              <w:rPr>
                <w:rFonts w:eastAsia="Times New Roman"/>
                <w:sz w:val="12"/>
                <w:szCs w:val="12"/>
              </w:rPr>
              <w:t>1. Education, knowledge of labeling, and knowledge of marketing were associated with understanding of traffic light nutrition labels.</w:t>
            </w:r>
            <w:r w:rsidRPr="00D475C9">
              <w:rPr>
                <w:rFonts w:eastAsia="Times New Roman"/>
                <w:sz w:val="12"/>
                <w:szCs w:val="12"/>
              </w:rPr>
              <w:br/>
              <w:t>2. Use of the traffic light nutrition labels associated with income level, knowledge of the traffic light labels, illnesses, confidence in the traffic light label, influence of COVID-19 on eating habits, and knowledge of marketing.</w:t>
            </w:r>
          </w:p>
        </w:tc>
      </w:tr>
      <w:tr w14:paraId="2BF01D89"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0E85C025" w14:textId="540AA724">
            <w:pPr>
              <w:pStyle w:val="TableParagraph"/>
              <w:spacing w:line="252" w:lineRule="auto"/>
              <w:ind w:right="133"/>
              <w:rPr>
                <w:rFonts w:eastAsia="Times New Roman"/>
                <w:sz w:val="12"/>
                <w:szCs w:val="12"/>
              </w:rPr>
            </w:pPr>
            <w:r w:rsidRPr="00D475C9">
              <w:rPr>
                <w:rFonts w:eastAsia="Times New Roman"/>
                <w:sz w:val="12"/>
                <w:szCs w:val="12"/>
              </w:rPr>
              <w:t>Correa et al.</w:t>
            </w:r>
          </w:p>
        </w:tc>
        <w:tc>
          <w:tcPr>
            <w:tcW w:w="2101" w:type="dxa"/>
          </w:tcPr>
          <w:p w:rsidR="00DF60F4" w:rsidRPr="00D475C9" w:rsidP="00DF60F4" w14:paraId="3C290BBB" w14:textId="37BADFA7">
            <w:pPr>
              <w:pStyle w:val="TableParagraph"/>
              <w:spacing w:line="252" w:lineRule="auto"/>
              <w:ind w:right="102"/>
              <w:rPr>
                <w:rFonts w:eastAsia="Times New Roman"/>
                <w:sz w:val="12"/>
                <w:szCs w:val="12"/>
              </w:rPr>
            </w:pPr>
            <w:r w:rsidRPr="00D475C9">
              <w:rPr>
                <w:rFonts w:eastAsia="Times New Roman"/>
                <w:sz w:val="12"/>
                <w:szCs w:val="12"/>
              </w:rPr>
              <w:t>Why Don't You [Government] Help Us Make Healthier Foods More Affordable Instead of Bombarding Us with Labels? Maternal Knowledge, Perceptions, and Practices after Full Implementation of the Chilean Food Labelling Law</w:t>
            </w:r>
          </w:p>
        </w:tc>
        <w:tc>
          <w:tcPr>
            <w:tcW w:w="333" w:type="dxa"/>
          </w:tcPr>
          <w:p w:rsidR="00DF60F4" w:rsidRPr="00D475C9" w:rsidP="00DF60F4" w14:paraId="0DB3D8EE" w14:textId="1722DFC3">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D745D9" w:rsidRPr="00D745D9" w:rsidP="00D745D9" w14:paraId="12718262" w14:textId="77777777">
            <w:pPr>
              <w:pStyle w:val="TableParagraph"/>
              <w:spacing w:line="252" w:lineRule="auto"/>
              <w:ind w:left="29" w:right="173"/>
              <w:rPr>
                <w:rFonts w:eastAsia="Times New Roman"/>
                <w:sz w:val="12"/>
                <w:szCs w:val="12"/>
              </w:rPr>
            </w:pPr>
            <w:r w:rsidRPr="00D745D9">
              <w:rPr>
                <w:rFonts w:eastAsia="Times New Roman"/>
                <w:sz w:val="12"/>
                <w:szCs w:val="12"/>
              </w:rPr>
              <w:t>Qualitative</w:t>
            </w:r>
          </w:p>
          <w:p w:rsidR="00D745D9" w:rsidRPr="00D745D9" w:rsidP="00D745D9" w14:paraId="27A3A938" w14:textId="161076A8">
            <w:pPr>
              <w:pStyle w:val="TableParagraph"/>
              <w:spacing w:line="252" w:lineRule="auto"/>
              <w:ind w:left="29" w:right="173"/>
              <w:rPr>
                <w:rFonts w:eastAsia="Times New Roman"/>
                <w:sz w:val="12"/>
                <w:szCs w:val="12"/>
              </w:rPr>
            </w:pPr>
            <w:r w:rsidRPr="00D745D9">
              <w:rPr>
                <w:rFonts w:eastAsia="Times New Roman"/>
                <w:sz w:val="12"/>
                <w:szCs w:val="12"/>
              </w:rPr>
              <w:t xml:space="preserve">1. Examined mothers’ understanding, perceptions, and behaviors associated with the </w:t>
            </w:r>
            <w:r w:rsidR="004B6E26">
              <w:rPr>
                <w:rFonts w:eastAsia="Times New Roman"/>
                <w:sz w:val="12"/>
                <w:szCs w:val="12"/>
              </w:rPr>
              <w:t>FOP</w:t>
            </w:r>
            <w:r w:rsidRPr="00D745D9">
              <w:rPr>
                <w:rFonts w:eastAsia="Times New Roman"/>
                <w:sz w:val="12"/>
                <w:szCs w:val="12"/>
              </w:rPr>
              <w:t xml:space="preserve"> warning label regulation four years after its implementation, using a qualitative approach</w:t>
            </w:r>
          </w:p>
          <w:p w:rsidR="00DF60F4" w:rsidRPr="00D475C9" w:rsidP="00D745D9" w14:paraId="4795EDB0" w14:textId="4C9F84FC">
            <w:pPr>
              <w:pStyle w:val="TableParagraph"/>
              <w:spacing w:line="252" w:lineRule="auto"/>
              <w:ind w:left="29" w:right="173"/>
              <w:rPr>
                <w:rFonts w:eastAsia="Times New Roman"/>
                <w:sz w:val="12"/>
                <w:szCs w:val="12"/>
              </w:rPr>
            </w:pPr>
            <w:r w:rsidRPr="00D745D9">
              <w:rPr>
                <w:rFonts w:eastAsia="Times New Roman"/>
                <w:sz w:val="12"/>
                <w:szCs w:val="12"/>
              </w:rPr>
              <w:t>- - Nine focus groups of mothers (n= 69) of children 2-14 years old, stratified by SES and children’s age</w:t>
            </w:r>
          </w:p>
        </w:tc>
        <w:tc>
          <w:tcPr>
            <w:tcW w:w="1199" w:type="dxa"/>
          </w:tcPr>
          <w:p w:rsidR="00DF60F4" w:rsidRPr="00D475C9" w:rsidP="00DF60F4" w14:paraId="5DCC60DD" w14:textId="006D796A">
            <w:pPr>
              <w:pStyle w:val="TableParagraph"/>
              <w:spacing w:line="252" w:lineRule="auto"/>
              <w:ind w:right="121"/>
              <w:rPr>
                <w:rFonts w:eastAsia="Times New Roman"/>
                <w:sz w:val="12"/>
                <w:szCs w:val="12"/>
              </w:rPr>
            </w:pPr>
            <w:r w:rsidRPr="00D475C9">
              <w:rPr>
                <w:rFonts w:eastAsia="Times New Roman"/>
                <w:color w:val="000000"/>
                <w:sz w:val="12"/>
                <w:szCs w:val="12"/>
              </w:rPr>
              <w:t>1. Warning label (WL)</w:t>
            </w:r>
          </w:p>
        </w:tc>
        <w:tc>
          <w:tcPr>
            <w:tcW w:w="1204" w:type="dxa"/>
          </w:tcPr>
          <w:p w:rsidR="00DF60F4" w:rsidRPr="00D475C9" w:rsidP="00DF60F4" w14:paraId="04ACD5A8" w14:textId="02D79301">
            <w:pPr>
              <w:spacing w:after="0" w:line="240" w:lineRule="auto"/>
              <w:rPr>
                <w:rFonts w:ascii="Calibri" w:eastAsia="Times New Roman" w:hAnsi="Calibri" w:cs="Calibri"/>
                <w:color w:val="000000"/>
                <w:sz w:val="12"/>
                <w:szCs w:val="12"/>
                <w:lang w:eastAsia="en-US"/>
              </w:rPr>
            </w:pPr>
            <w:r w:rsidRPr="00D475C9">
              <w:rPr>
                <w:rFonts w:ascii="Calibri" w:eastAsia="Times New Roman" w:hAnsi="Calibri" w:cs="Calibri"/>
                <w:color w:val="000000"/>
                <w:sz w:val="12"/>
                <w:szCs w:val="12"/>
                <w:lang w:eastAsia="en-US"/>
              </w:rPr>
              <w:t>No image available</w:t>
            </w:r>
          </w:p>
        </w:tc>
        <w:tc>
          <w:tcPr>
            <w:tcW w:w="550" w:type="dxa"/>
          </w:tcPr>
          <w:p w:rsidR="00DF60F4" w:rsidRPr="00D475C9" w:rsidP="00DF60F4" w14:paraId="758D3990" w14:textId="232F4962">
            <w:pPr>
              <w:pStyle w:val="TableParagraph"/>
              <w:spacing w:line="140" w:lineRule="exact"/>
              <w:ind w:left="0" w:right="39"/>
              <w:jc w:val="center"/>
              <w:rPr>
                <w:rFonts w:eastAsia="Times New Roman"/>
                <w:sz w:val="12"/>
                <w:szCs w:val="12"/>
              </w:rPr>
            </w:pPr>
            <w:r w:rsidRPr="00D475C9">
              <w:rPr>
                <w:rFonts w:eastAsia="Times New Roman"/>
                <w:sz w:val="12"/>
                <w:szCs w:val="12"/>
              </w:rPr>
              <w:t>Chile</w:t>
            </w:r>
          </w:p>
        </w:tc>
        <w:tc>
          <w:tcPr>
            <w:tcW w:w="3487" w:type="dxa"/>
          </w:tcPr>
          <w:p w:rsidR="00DF60F4" w:rsidRPr="00D475C9" w:rsidP="00DF60F4" w14:paraId="45E6379B" w14:textId="19DD1909">
            <w:pPr>
              <w:pStyle w:val="TableParagraph"/>
              <w:spacing w:line="252" w:lineRule="auto"/>
              <w:rPr>
                <w:rFonts w:eastAsia="Times New Roman"/>
                <w:sz w:val="12"/>
                <w:szCs w:val="12"/>
              </w:rPr>
            </w:pPr>
            <w:r w:rsidRPr="00D475C9">
              <w:rPr>
                <w:rFonts w:eastAsia="Times New Roman"/>
                <w:sz w:val="12"/>
                <w:szCs w:val="12"/>
              </w:rPr>
              <w:t xml:space="preserve">1. Mothers' reported fatigue with </w:t>
            </w:r>
            <w:r w:rsidR="004B6E26">
              <w:rPr>
                <w:rFonts w:eastAsia="Times New Roman"/>
                <w:sz w:val="12"/>
                <w:szCs w:val="12"/>
              </w:rPr>
              <w:t>FOP</w:t>
            </w:r>
            <w:r w:rsidRPr="00D475C9">
              <w:rPr>
                <w:rFonts w:eastAsia="Times New Roman"/>
                <w:sz w:val="12"/>
                <w:szCs w:val="12"/>
              </w:rPr>
              <w:t>s.</w:t>
            </w:r>
            <w:r w:rsidRPr="00D475C9">
              <w:rPr>
                <w:rFonts w:eastAsia="Times New Roman"/>
                <w:sz w:val="12"/>
                <w:szCs w:val="12"/>
              </w:rPr>
              <w:br/>
              <w:t>2. Suggest (a) need to identify groups more likely to get desensitized, (b) develop ad hoc strategies, (c) reinforce targeted messages.</w:t>
            </w:r>
            <w:r w:rsidRPr="00D475C9">
              <w:rPr>
                <w:rFonts w:eastAsia="Times New Roman"/>
                <w:sz w:val="12"/>
                <w:szCs w:val="12"/>
              </w:rPr>
              <w:br/>
              <w:t xml:space="preserve">3. Schools are important routes for promoting healthier diets and awareness of </w:t>
            </w:r>
            <w:r w:rsidR="004B6E26">
              <w:rPr>
                <w:rFonts w:eastAsia="Times New Roman"/>
                <w:sz w:val="12"/>
                <w:szCs w:val="12"/>
              </w:rPr>
              <w:t>FOP</w:t>
            </w:r>
            <w:r w:rsidRPr="00D475C9">
              <w:rPr>
                <w:rFonts w:eastAsia="Times New Roman"/>
                <w:sz w:val="12"/>
                <w:szCs w:val="12"/>
              </w:rPr>
              <w:t>s.</w:t>
            </w:r>
          </w:p>
        </w:tc>
      </w:tr>
      <w:tr w14:paraId="55DF43D9"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7D67981B" w14:textId="2F0D0098">
            <w:pPr>
              <w:pStyle w:val="TableParagraph"/>
              <w:spacing w:line="252" w:lineRule="auto"/>
              <w:ind w:right="133"/>
              <w:rPr>
                <w:rFonts w:eastAsia="Times New Roman"/>
                <w:sz w:val="12"/>
                <w:szCs w:val="12"/>
              </w:rPr>
            </w:pPr>
            <w:r w:rsidRPr="00D475C9">
              <w:rPr>
                <w:rFonts w:eastAsia="Times New Roman"/>
                <w:color w:val="000000"/>
                <w:sz w:val="12"/>
                <w:szCs w:val="12"/>
              </w:rPr>
              <w:t>Cui, et al.</w:t>
            </w:r>
          </w:p>
        </w:tc>
        <w:tc>
          <w:tcPr>
            <w:tcW w:w="2101" w:type="dxa"/>
          </w:tcPr>
          <w:p w:rsidR="00DF60F4" w:rsidRPr="00D475C9" w:rsidP="00DF60F4" w14:paraId="0A432C0A" w14:textId="20DC979E">
            <w:pPr>
              <w:pStyle w:val="TableParagraph"/>
              <w:spacing w:line="252" w:lineRule="auto"/>
              <w:ind w:right="102"/>
              <w:rPr>
                <w:rFonts w:eastAsia="Times New Roman"/>
                <w:sz w:val="12"/>
                <w:szCs w:val="12"/>
              </w:rPr>
            </w:pPr>
            <w:r w:rsidRPr="00D475C9">
              <w:rPr>
                <w:rFonts w:eastAsia="Times New Roman"/>
                <w:color w:val="000000"/>
                <w:sz w:val="12"/>
                <w:szCs w:val="12"/>
              </w:rPr>
              <w:t>Types and Aspects of Front-of-Package Labeling Preferred by Parents: Insights for Policy Making in China</w:t>
            </w:r>
          </w:p>
        </w:tc>
        <w:tc>
          <w:tcPr>
            <w:tcW w:w="333" w:type="dxa"/>
          </w:tcPr>
          <w:p w:rsidR="00DF60F4" w:rsidRPr="00D475C9" w:rsidP="00DF60F4" w14:paraId="4DFD2238" w14:textId="49B15E6A">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DF60F4" w:rsidRPr="00D475C9" w:rsidP="00DF60F4" w14:paraId="0316AD18" w14:textId="2DBBE4E9">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 xml:space="preserve">1. Questionnaire (2,407 participants) collecting data on parents' preference for 5 different </w:t>
            </w:r>
            <w:r w:rsidR="004B6E26">
              <w:rPr>
                <w:rFonts w:eastAsia="Times New Roman"/>
                <w:sz w:val="12"/>
                <w:szCs w:val="12"/>
              </w:rPr>
              <w:t>FOP</w:t>
            </w:r>
            <w:r w:rsidRPr="00D475C9">
              <w:rPr>
                <w:rFonts w:eastAsia="Times New Roman"/>
                <w:sz w:val="12"/>
                <w:szCs w:val="12"/>
              </w:rPr>
              <w:t xml:space="preserve">s, the importance of nutrients to include on </w:t>
            </w:r>
            <w:r w:rsidR="004B6E26">
              <w:rPr>
                <w:rFonts w:eastAsia="Times New Roman"/>
                <w:sz w:val="12"/>
                <w:szCs w:val="12"/>
              </w:rPr>
              <w:t>FOP</w:t>
            </w:r>
            <w:r w:rsidRPr="00D475C9">
              <w:rPr>
                <w:rFonts w:eastAsia="Times New Roman"/>
                <w:sz w:val="12"/>
                <w:szCs w:val="12"/>
              </w:rPr>
              <w:t xml:space="preserve">s, packages food that most needs to have </w:t>
            </w:r>
            <w:r w:rsidR="004B6E26">
              <w:rPr>
                <w:rFonts w:eastAsia="Times New Roman"/>
                <w:sz w:val="12"/>
                <w:szCs w:val="12"/>
              </w:rPr>
              <w:t>FOP</w:t>
            </w:r>
            <w:r w:rsidRPr="00D475C9">
              <w:rPr>
                <w:rFonts w:eastAsia="Times New Roman"/>
                <w:sz w:val="12"/>
                <w:szCs w:val="12"/>
              </w:rPr>
              <w:t>s</w:t>
            </w:r>
          </w:p>
        </w:tc>
        <w:tc>
          <w:tcPr>
            <w:tcW w:w="1199" w:type="dxa"/>
          </w:tcPr>
          <w:p w:rsidR="00DF60F4" w:rsidRPr="00D475C9" w:rsidP="00DF60F4" w14:paraId="17FB10AB" w14:textId="1C497D96">
            <w:pPr>
              <w:pStyle w:val="TableParagraph"/>
              <w:spacing w:line="252" w:lineRule="auto"/>
              <w:ind w:right="121"/>
              <w:rPr>
                <w:rFonts w:eastAsia="Times New Roman"/>
                <w:color w:val="000000"/>
                <w:sz w:val="12"/>
                <w:szCs w:val="12"/>
              </w:rPr>
            </w:pPr>
            <w:r w:rsidRPr="00D475C9">
              <w:rPr>
                <w:rFonts w:eastAsia="Times New Roman"/>
                <w:sz w:val="12"/>
                <w:szCs w:val="12"/>
              </w:rPr>
              <w:t>1. Multiple Traffic Light (MTL)</w:t>
            </w:r>
            <w:r w:rsidRPr="00D475C9">
              <w:rPr>
                <w:rFonts w:eastAsia="Times New Roman"/>
                <w:sz w:val="12"/>
                <w:szCs w:val="12"/>
              </w:rPr>
              <w:br/>
              <w:t xml:space="preserve">2. </w:t>
            </w:r>
            <w:r w:rsidR="004B6E26">
              <w:rPr>
                <w:rFonts w:eastAsia="Times New Roman"/>
                <w:sz w:val="12"/>
                <w:szCs w:val="12"/>
              </w:rPr>
              <w:t>Nutri-Score</w:t>
            </w:r>
            <w:r w:rsidRPr="00D475C9">
              <w:rPr>
                <w:rFonts w:eastAsia="Times New Roman"/>
                <w:sz w:val="12"/>
                <w:szCs w:val="12"/>
              </w:rPr>
              <w:br/>
              <w:t>3. Warning label (WL)</w:t>
            </w:r>
            <w:r w:rsidRPr="00D475C9">
              <w:rPr>
                <w:rFonts w:eastAsia="Times New Roman"/>
                <w:sz w:val="12"/>
                <w:szCs w:val="12"/>
              </w:rPr>
              <w:br/>
              <w:t>4. Health logos</w:t>
            </w:r>
            <w:r w:rsidRPr="00D475C9">
              <w:rPr>
                <w:rFonts w:eastAsia="Times New Roman"/>
                <w:sz w:val="12"/>
                <w:szCs w:val="12"/>
              </w:rPr>
              <w:br/>
              <w:t>5. Guideline Daily Amount (GDA)</w:t>
            </w:r>
          </w:p>
        </w:tc>
        <w:tc>
          <w:tcPr>
            <w:tcW w:w="1204" w:type="dxa"/>
          </w:tcPr>
          <w:p w:rsidR="00DF60F4" w:rsidRPr="00D475C9" w:rsidP="00DF60F4" w14:paraId="15BB2447" w14:textId="0776D474">
            <w:pPr>
              <w:spacing w:after="0" w:line="240" w:lineRule="auto"/>
              <w:rPr>
                <w:rFonts w:ascii="Calibri" w:eastAsia="Times New Roman" w:hAnsi="Calibri" w:cs="Calibri"/>
                <w:color w:val="000000"/>
                <w:sz w:val="12"/>
                <w:szCs w:val="12"/>
                <w:lang w:eastAsia="en-US"/>
              </w:rPr>
            </w:pPr>
            <w:r w:rsidRPr="00D475C9">
              <w:rPr>
                <w:rFonts w:ascii="Times New Roman" w:eastAsia="Times New Roman" w:hAnsi="Times New Roman" w:cs="Times New Roman"/>
                <w:noProof/>
                <w:color w:val="000000"/>
                <w:sz w:val="12"/>
                <w:szCs w:val="12"/>
                <w:lang w:eastAsia="en-US"/>
              </w:rPr>
              <mc:AlternateContent>
                <mc:Choice Requires="wpg">
                  <w:drawing>
                    <wp:anchor distT="0" distB="0" distL="114300" distR="114300" simplePos="0" relativeHeight="251706368" behindDoc="0" locked="0" layoutInCell="1" allowOverlap="1">
                      <wp:simplePos x="0" y="0"/>
                      <wp:positionH relativeFrom="column">
                        <wp:posOffset>38100</wp:posOffset>
                      </wp:positionH>
                      <wp:positionV relativeFrom="paragraph">
                        <wp:posOffset>35560</wp:posOffset>
                      </wp:positionV>
                      <wp:extent cx="640080" cy="381000"/>
                      <wp:effectExtent l="0" t="0" r="7620" b="0"/>
                      <wp:wrapNone/>
                      <wp:docPr id="120" name="Group 120"/>
                      <wp:cNvGraphicFramePr>
                        <a:graphicFrameLocks xmlns:a="http://schemas.openxmlformats.org/drawingml/2006/main" noChangeAspect="1"/>
                      </wp:cNvGraphicFramePr>
                      <a:graphic xmlns:a="http://schemas.openxmlformats.org/drawingml/2006/main">
                        <a:graphicData uri="http://schemas.microsoft.com/office/word/2010/wordprocessingGroup">
                          <wpg:wgp xmlns:wpg="http://schemas.microsoft.com/office/word/2010/wordprocessingGroup">
                            <wpg:cNvGrpSpPr>
                              <a:grpSpLocks noChangeAspect="1"/>
                            </wpg:cNvGrpSpPr>
                            <wpg:grpSpPr>
                              <a:xfrm>
                                <a:off x="0" y="0"/>
                                <a:ext cx="640080" cy="381000"/>
                                <a:chOff x="0" y="0"/>
                                <a:chExt cx="1841714" cy="1096820"/>
                              </a:xfrm>
                            </wpg:grpSpPr>
                            <pic:pic xmlns:pic="http://schemas.openxmlformats.org/drawingml/2006/picture">
                              <pic:nvPicPr>
                                <pic:cNvPr id="123" name="Picture 123"/>
                                <pic:cNvPicPr>
                                  <a:picLocks noChangeAspect="1"/>
                                </pic:cNvPicPr>
                              </pic:nvPicPr>
                              <pic:blipFill>
                                <a:blip xmlns:r="http://schemas.openxmlformats.org/officeDocument/2006/relationships" r:embed="rId87" cstate="print">
                                  <a:extLst>
                                    <a:ext xmlns:a="http://schemas.openxmlformats.org/drawingml/2006/main" uri="{28A0092B-C50C-407E-A947-70E740481C1C}">
                                      <a14:useLocalDpi xmlns:a14="http://schemas.microsoft.com/office/drawing/2010/main" val="0"/>
                                    </a:ext>
                                  </a:extLst>
                                </a:blip>
                                <a:stretch>
                                  <a:fillRect/>
                                </a:stretch>
                              </pic:blipFill>
                              <pic:spPr>
                                <a:xfrm>
                                  <a:off x="2400" y="0"/>
                                  <a:ext cx="1653683" cy="411516"/>
                                </a:xfrm>
                                <a:prstGeom prst="rect">
                                  <a:avLst/>
                                </a:prstGeom>
                              </pic:spPr>
                            </pic:pic>
                            <pic:pic xmlns:pic="http://schemas.openxmlformats.org/drawingml/2006/picture">
                              <pic:nvPicPr>
                                <pic:cNvPr id="124" name="Picture 124"/>
                                <pic:cNvPicPr>
                                  <a:picLocks noChangeAspect="1"/>
                                </pic:cNvPicPr>
                              </pic:nvPicPr>
                              <pic:blipFill>
                                <a:blip xmlns:r="http://schemas.openxmlformats.org/officeDocument/2006/relationships" r:embed="rId88" cstate="print">
                                  <a:extLst>
                                    <a:ext xmlns:a="http://schemas.openxmlformats.org/drawingml/2006/main" uri="{28A0092B-C50C-407E-A947-70E740481C1C}">
                                      <a14:useLocalDpi xmlns:a14="http://schemas.microsoft.com/office/drawing/2010/main" val="0"/>
                                    </a:ext>
                                  </a:extLst>
                                </a:blip>
                                <a:stretch>
                                  <a:fillRect/>
                                </a:stretch>
                              </pic:blipFill>
                              <pic:spPr>
                                <a:xfrm>
                                  <a:off x="0" y="692925"/>
                                  <a:ext cx="1585097" cy="403895"/>
                                </a:xfrm>
                                <a:prstGeom prst="rect">
                                  <a:avLst/>
                                </a:prstGeom>
                              </pic:spPr>
                            </pic:pic>
                            <pic:pic xmlns:pic="http://schemas.openxmlformats.org/drawingml/2006/picture">
                              <pic:nvPicPr>
                                <pic:cNvPr id="126" name="Picture 126"/>
                                <pic:cNvPicPr>
                                  <a:picLocks noChangeAspect="1"/>
                                </pic:cNvPicPr>
                              </pic:nvPicPr>
                              <pic:blipFill>
                                <a:blip xmlns:r="http://schemas.openxmlformats.org/officeDocument/2006/relationships" r:embed="rId89" cstate="print">
                                  <a:extLst>
                                    <a:ext xmlns:a="http://schemas.openxmlformats.org/drawingml/2006/main" uri="{28A0092B-C50C-407E-A947-70E740481C1C}">
                                      <a14:useLocalDpi xmlns:a14="http://schemas.microsoft.com/office/drawing/2010/main" val="0"/>
                                    </a:ext>
                                  </a:extLst>
                                </a:blip>
                                <a:stretch>
                                  <a:fillRect/>
                                </a:stretch>
                              </pic:blipFill>
                              <pic:spPr>
                                <a:xfrm>
                                  <a:off x="988200" y="300000"/>
                                  <a:ext cx="853514" cy="396274"/>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20" o:spid="_x0000_s1051" style="width:50.4pt;height:30pt;margin-top:2.8pt;margin-left:3pt;position:absolute;z-index:251707392" coordsize="18417,10968">
                      <o:lock v:ext="edit" aspectratio="t"/>
                      <v:shape id="Picture 123" o:spid="_x0000_s1052" type="#_x0000_t75" style="width:16536;height:4115;left:24;mso-wrap-style:square;position:absolute;visibility:visible">
                        <v:imagedata r:id="rId87" o:title=""/>
                      </v:shape>
                      <v:shape id="Picture 124" o:spid="_x0000_s1053" type="#_x0000_t75" style="width:15850;height:4039;mso-wrap-style:square;position:absolute;top:6929;visibility:visible">
                        <v:imagedata r:id="rId88" o:title=""/>
                      </v:shape>
                      <v:shape id="Picture 126" o:spid="_x0000_s1054" type="#_x0000_t75" style="width:8535;height:3962;left:9882;mso-wrap-style:square;position:absolute;top:3000;visibility:visible">
                        <v:imagedata r:id="rId89" o:title=""/>
                      </v:shape>
                    </v:group>
                  </w:pict>
                </mc:Fallback>
              </mc:AlternateContent>
            </w:r>
          </w:p>
        </w:tc>
        <w:tc>
          <w:tcPr>
            <w:tcW w:w="550" w:type="dxa"/>
          </w:tcPr>
          <w:p w:rsidR="00DF60F4" w:rsidRPr="00D475C9" w:rsidP="00DF60F4" w14:paraId="476B6C18" w14:textId="1E85E867">
            <w:pPr>
              <w:pStyle w:val="TableParagraph"/>
              <w:spacing w:line="140" w:lineRule="exact"/>
              <w:ind w:left="0" w:right="39"/>
              <w:jc w:val="center"/>
              <w:rPr>
                <w:rFonts w:eastAsia="Times New Roman"/>
                <w:sz w:val="12"/>
                <w:szCs w:val="12"/>
              </w:rPr>
            </w:pPr>
            <w:r w:rsidRPr="00D475C9">
              <w:rPr>
                <w:rFonts w:eastAsia="Times New Roman"/>
                <w:sz w:val="12"/>
                <w:szCs w:val="12"/>
              </w:rPr>
              <w:t>China</w:t>
            </w:r>
          </w:p>
        </w:tc>
        <w:tc>
          <w:tcPr>
            <w:tcW w:w="3487" w:type="dxa"/>
          </w:tcPr>
          <w:p w:rsidR="00DF60F4" w:rsidRPr="00D475C9" w:rsidP="00DF60F4" w14:paraId="7F1EA650" w14:textId="12317C35">
            <w:pPr>
              <w:pStyle w:val="TableParagraph"/>
              <w:spacing w:line="252" w:lineRule="auto"/>
              <w:rPr>
                <w:rFonts w:eastAsia="Times New Roman"/>
                <w:sz w:val="12"/>
                <w:szCs w:val="12"/>
              </w:rPr>
            </w:pPr>
            <w:r w:rsidRPr="00D475C9">
              <w:rPr>
                <w:rFonts w:eastAsia="Times New Roman"/>
                <w:sz w:val="12"/>
                <w:szCs w:val="12"/>
              </w:rPr>
              <w:t>1. MTL preferred, followed by warning labels</w:t>
            </w:r>
            <w:r w:rsidRPr="00D475C9">
              <w:rPr>
                <w:rFonts w:eastAsia="Times New Roman"/>
                <w:sz w:val="12"/>
                <w:szCs w:val="12"/>
              </w:rPr>
              <w:br/>
              <w:t>2. Most needed nutrients: sugar, salt, total fat</w:t>
            </w:r>
            <w:r w:rsidRPr="00D475C9">
              <w:rPr>
                <w:rFonts w:eastAsia="Times New Roman"/>
                <w:sz w:val="12"/>
                <w:szCs w:val="12"/>
              </w:rPr>
              <w:br/>
              <w:t>3. Top three foods needing label: "baked food", "milk and dairy products", "sugar-sweetened beverages"</w:t>
            </w:r>
          </w:p>
        </w:tc>
      </w:tr>
      <w:tr w14:paraId="5CA2EEC9"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2F82F605" w14:textId="31F132A0">
            <w:pPr>
              <w:pStyle w:val="TableParagraph"/>
              <w:spacing w:line="252" w:lineRule="auto"/>
              <w:ind w:right="133"/>
              <w:rPr>
                <w:rFonts w:eastAsia="Times New Roman"/>
                <w:color w:val="000000"/>
                <w:sz w:val="12"/>
                <w:szCs w:val="12"/>
              </w:rPr>
            </w:pPr>
            <w:r w:rsidRPr="00D475C9">
              <w:rPr>
                <w:rFonts w:eastAsia="Times New Roman"/>
                <w:color w:val="000000"/>
                <w:sz w:val="12"/>
                <w:szCs w:val="12"/>
              </w:rPr>
              <w:t>Dang and Nichols</w:t>
            </w:r>
          </w:p>
        </w:tc>
        <w:tc>
          <w:tcPr>
            <w:tcW w:w="2101" w:type="dxa"/>
          </w:tcPr>
          <w:p w:rsidR="00DF60F4" w:rsidRPr="00D475C9" w:rsidP="00DF60F4" w14:paraId="4E24F867" w14:textId="0D2FE7DD">
            <w:pPr>
              <w:pStyle w:val="TableParagraph"/>
              <w:spacing w:line="252" w:lineRule="auto"/>
              <w:ind w:right="102"/>
              <w:rPr>
                <w:rFonts w:eastAsia="Times New Roman"/>
                <w:color w:val="000000"/>
                <w:sz w:val="12"/>
                <w:szCs w:val="12"/>
              </w:rPr>
            </w:pPr>
            <w:r w:rsidRPr="00D475C9">
              <w:rPr>
                <w:rFonts w:eastAsia="Times New Roman"/>
                <w:color w:val="000000"/>
                <w:sz w:val="12"/>
                <w:szCs w:val="12"/>
              </w:rPr>
              <w:t>Consumer response to positive nutrients on the facts up front (FUF) label: A comparison between healthy and unhealthy foods and the role of nutrition motivation</w:t>
            </w:r>
          </w:p>
        </w:tc>
        <w:tc>
          <w:tcPr>
            <w:tcW w:w="333" w:type="dxa"/>
          </w:tcPr>
          <w:p w:rsidR="00DF60F4" w:rsidRPr="00D475C9" w:rsidP="00DF60F4" w14:paraId="7B5A7868" w14:textId="01DEC48F">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DF60F4" w:rsidRPr="00D475C9" w:rsidP="00DF60F4" w14:paraId="58CA2AAF" w14:textId="5A27490F">
            <w:pPr>
              <w:pStyle w:val="TableParagraph"/>
              <w:spacing w:line="252" w:lineRule="auto"/>
              <w:ind w:left="29" w:right="173"/>
              <w:rPr>
                <w:rFonts w:eastAsia="Times New Roman"/>
                <w:sz w:val="12"/>
                <w:szCs w:val="12"/>
              </w:rPr>
            </w:pPr>
            <w:r w:rsidRPr="00D475C9">
              <w:rPr>
                <w:rFonts w:eastAsia="Times New Roman"/>
                <w:color w:val="000000"/>
                <w:sz w:val="12"/>
                <w:szCs w:val="12"/>
              </w:rPr>
              <w:t>Quantitative</w:t>
            </w:r>
            <w:r w:rsidRPr="00D475C9">
              <w:rPr>
                <w:rFonts w:eastAsia="Times New Roman"/>
                <w:color w:val="000000"/>
                <w:sz w:val="12"/>
                <w:szCs w:val="12"/>
              </w:rPr>
              <w:br/>
              <w:t>3 studies testing 3 hypotheses</w:t>
            </w:r>
            <w:r w:rsidRPr="00D475C9">
              <w:rPr>
                <w:rFonts w:eastAsia="Times New Roman"/>
                <w:color w:val="000000"/>
                <w:sz w:val="12"/>
                <w:szCs w:val="12"/>
              </w:rPr>
              <w:br/>
              <w:t>Study 1: 208 participants viewed product images and answered questions about perceived healthiness, purchase interest, nutrition motivation</w:t>
            </w:r>
            <w:r w:rsidRPr="00D475C9">
              <w:rPr>
                <w:rFonts w:eastAsia="Times New Roman"/>
                <w:color w:val="000000"/>
                <w:sz w:val="12"/>
                <w:szCs w:val="12"/>
              </w:rPr>
              <w:br/>
              <w:t>Study 2: 425 participants followed same procedures as study 1, but then saw a second similar product without nutrition label, asked about perceived healthiness and purchase interest for the 2nd product</w:t>
            </w:r>
            <w:r w:rsidRPr="00D475C9">
              <w:rPr>
                <w:rFonts w:eastAsia="Times New Roman"/>
                <w:color w:val="000000"/>
                <w:sz w:val="12"/>
                <w:szCs w:val="12"/>
              </w:rPr>
              <w:br/>
              <w:t>Study 3: eye tracking data collected while 56 students viewed two versions of a product label, one with only negative nutrients, one with positive nutrient</w:t>
            </w:r>
          </w:p>
        </w:tc>
        <w:tc>
          <w:tcPr>
            <w:tcW w:w="1199" w:type="dxa"/>
          </w:tcPr>
          <w:p w:rsidR="00DF60F4" w:rsidRPr="00D475C9" w:rsidP="00DF60F4" w14:paraId="5ED473FC" w14:textId="302ABD9D">
            <w:pPr>
              <w:pStyle w:val="TableParagraph"/>
              <w:spacing w:line="252" w:lineRule="auto"/>
              <w:ind w:right="121"/>
              <w:rPr>
                <w:rFonts w:eastAsia="Times New Roman"/>
                <w:sz w:val="12"/>
                <w:szCs w:val="12"/>
              </w:rPr>
            </w:pPr>
            <w:r w:rsidRPr="00D475C9">
              <w:rPr>
                <w:rFonts w:eastAsia="Times New Roman"/>
                <w:color w:val="000000"/>
                <w:sz w:val="12"/>
                <w:szCs w:val="12"/>
              </w:rPr>
              <w:t>1. FactsUpFront (FUF)</w:t>
            </w:r>
          </w:p>
        </w:tc>
        <w:tc>
          <w:tcPr>
            <w:tcW w:w="1204" w:type="dxa"/>
          </w:tcPr>
          <w:p w:rsidR="00DF60F4" w:rsidRPr="00D475C9" w:rsidP="00DF60F4" w14:paraId="1772606B" w14:textId="72B8EF7F">
            <w:pPr>
              <w:spacing w:after="0" w:line="240" w:lineRule="auto"/>
              <w:rPr>
                <w:rFonts w:ascii="Times New Roman" w:eastAsia="Times New Roman" w:hAnsi="Times New Roman" w:cs="Times New Roman"/>
                <w:noProof/>
                <w:color w:val="000000"/>
                <w:sz w:val="12"/>
                <w:szCs w:val="12"/>
                <w:lang w:eastAsia="en-US"/>
              </w:rPr>
            </w:pPr>
            <w:r w:rsidRPr="00D475C9">
              <w:rPr>
                <w:rFonts w:ascii="Calibri" w:eastAsia="Times New Roman" w:hAnsi="Calibri" w:cs="Calibri"/>
                <w:noProof/>
                <w:color w:val="000000"/>
                <w:sz w:val="12"/>
                <w:szCs w:val="12"/>
                <w:lang w:eastAsia="en-US"/>
              </w:rPr>
              <w:drawing>
                <wp:anchor distT="0" distB="0" distL="114300" distR="114300" simplePos="0" relativeHeight="251708416" behindDoc="0" locked="0" layoutInCell="1" allowOverlap="1">
                  <wp:simplePos x="0" y="0"/>
                  <wp:positionH relativeFrom="column">
                    <wp:posOffset>41487</wp:posOffset>
                  </wp:positionH>
                  <wp:positionV relativeFrom="paragraph">
                    <wp:posOffset>55880</wp:posOffset>
                  </wp:positionV>
                  <wp:extent cx="640080" cy="192024"/>
                  <wp:effectExtent l="0" t="0" r="762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4"/>
                          <pic:cNvPicPr>
                            <a:picLocks noChangeAspect="1"/>
                          </pic:cNvPicPr>
                        </pic:nvPicPr>
                        <pic:blipFill>
                          <a:blip xmlns:r="http://schemas.openxmlformats.org/officeDocument/2006/relationships" r:embed="rId90"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0080" cy="192024"/>
                          </a:xfrm>
                          <a:prstGeom prst="rect">
                            <a:avLst/>
                          </a:prstGeom>
                        </pic:spPr>
                      </pic:pic>
                    </a:graphicData>
                  </a:graphic>
                  <wp14:sizeRelH relativeFrom="page">
                    <wp14:pctWidth>0</wp14:pctWidth>
                  </wp14:sizeRelH>
                  <wp14:sizeRelV relativeFrom="page">
                    <wp14:pctHeight>0</wp14:pctHeight>
                  </wp14:sizeRelV>
                </wp:anchor>
              </w:drawing>
            </w:r>
          </w:p>
        </w:tc>
        <w:tc>
          <w:tcPr>
            <w:tcW w:w="550" w:type="dxa"/>
          </w:tcPr>
          <w:p w:rsidR="00DF60F4" w:rsidRPr="00D475C9" w:rsidP="00DF60F4" w14:paraId="19E9A27E" w14:textId="3E38E558">
            <w:pPr>
              <w:pStyle w:val="TableParagraph"/>
              <w:spacing w:line="140" w:lineRule="exact"/>
              <w:ind w:left="0" w:right="39"/>
              <w:jc w:val="center"/>
              <w:rPr>
                <w:rFonts w:eastAsia="Times New Roman"/>
                <w:sz w:val="12"/>
                <w:szCs w:val="12"/>
              </w:rPr>
            </w:pPr>
            <w:r w:rsidRPr="00D475C9">
              <w:rPr>
                <w:rFonts w:eastAsia="Times New Roman"/>
                <w:sz w:val="12"/>
                <w:szCs w:val="12"/>
              </w:rPr>
              <w:t>U.S.</w:t>
            </w:r>
          </w:p>
        </w:tc>
        <w:tc>
          <w:tcPr>
            <w:tcW w:w="3487" w:type="dxa"/>
          </w:tcPr>
          <w:p w:rsidR="00DF60F4" w:rsidRPr="00D475C9" w:rsidP="00DF60F4" w14:paraId="330B8966" w14:textId="27C33078">
            <w:pPr>
              <w:pStyle w:val="TableParagraph"/>
              <w:spacing w:line="252" w:lineRule="auto"/>
              <w:rPr>
                <w:rFonts w:eastAsia="Times New Roman"/>
                <w:sz w:val="12"/>
                <w:szCs w:val="12"/>
              </w:rPr>
            </w:pPr>
            <w:r w:rsidRPr="00D475C9">
              <w:rPr>
                <w:rFonts w:eastAsia="Times New Roman"/>
                <w:color w:val="000000"/>
                <w:sz w:val="12"/>
                <w:szCs w:val="12"/>
              </w:rPr>
              <w:t>1. Positive nutrient label causes unhealthy food to be perceived as healthier; healthy food is unaffected.</w:t>
            </w:r>
            <w:r w:rsidRPr="00D475C9">
              <w:rPr>
                <w:rFonts w:eastAsia="Times New Roman"/>
                <w:color w:val="000000"/>
                <w:sz w:val="12"/>
                <w:szCs w:val="12"/>
              </w:rPr>
              <w:br/>
              <w:t>2. Spillover effect can occur where a similar unhealthy food without a FUF label is perceived as healthier after person is exposed to a product with a positive nutrition fact on the FUF label.</w:t>
            </w:r>
            <w:r w:rsidRPr="00D475C9">
              <w:rPr>
                <w:rFonts w:eastAsia="Times New Roman"/>
                <w:color w:val="000000"/>
                <w:sz w:val="12"/>
                <w:szCs w:val="12"/>
              </w:rPr>
              <w:br/>
              <w:t>3. Eye tracking showed no difference in attention to positive nutrients over negative nutrients.</w:t>
            </w:r>
          </w:p>
        </w:tc>
      </w:tr>
      <w:tr w14:paraId="387828E9" w14:textId="77777777" w:rsidTr="4C9BFAA2">
        <w:tblPrEx>
          <w:tblW w:w="0" w:type="auto"/>
          <w:tblInd w:w="100" w:type="dxa"/>
          <w:tblLayout w:type="fixed"/>
          <w:tblCellMar>
            <w:left w:w="0" w:type="dxa"/>
            <w:right w:w="0" w:type="dxa"/>
          </w:tblCellMar>
          <w:tblLook w:val="01E0"/>
        </w:tblPrEx>
        <w:trPr>
          <w:trHeight w:val="1128"/>
        </w:trPr>
        <w:tc>
          <w:tcPr>
            <w:tcW w:w="1036" w:type="dxa"/>
            <w:tcBorders>
              <w:bottom w:val="single" w:sz="6" w:space="0" w:color="000000" w:themeColor="text1"/>
            </w:tcBorders>
          </w:tcPr>
          <w:p w:rsidR="00DF60F4" w:rsidRPr="00D475C9" w:rsidP="00DF60F4" w14:paraId="0225217C" w14:textId="3136E1E2">
            <w:pPr>
              <w:pStyle w:val="TableParagraph"/>
              <w:spacing w:line="252" w:lineRule="auto"/>
              <w:ind w:right="133"/>
              <w:rPr>
                <w:rFonts w:eastAsia="Times New Roman"/>
                <w:color w:val="000000"/>
                <w:sz w:val="12"/>
                <w:szCs w:val="12"/>
              </w:rPr>
            </w:pPr>
            <w:r w:rsidRPr="00D475C9">
              <w:rPr>
                <w:rFonts w:eastAsia="Times New Roman"/>
                <w:color w:val="000000"/>
                <w:sz w:val="12"/>
                <w:szCs w:val="12"/>
              </w:rPr>
              <w:t>de Alcantara, et al.</w:t>
            </w:r>
          </w:p>
        </w:tc>
        <w:tc>
          <w:tcPr>
            <w:tcW w:w="2101" w:type="dxa"/>
            <w:tcBorders>
              <w:bottom w:val="single" w:sz="6" w:space="0" w:color="000000" w:themeColor="text1"/>
            </w:tcBorders>
          </w:tcPr>
          <w:p w:rsidR="00DF60F4" w:rsidRPr="00D475C9" w:rsidP="00DF60F4" w14:paraId="658253E8" w14:textId="21845745">
            <w:pPr>
              <w:pStyle w:val="TableParagraph"/>
              <w:spacing w:line="252" w:lineRule="auto"/>
              <w:ind w:right="102"/>
              <w:rPr>
                <w:rFonts w:eastAsia="Times New Roman"/>
                <w:color w:val="000000"/>
                <w:sz w:val="12"/>
                <w:szCs w:val="12"/>
              </w:rPr>
            </w:pPr>
            <w:r w:rsidRPr="00D475C9">
              <w:rPr>
                <w:rFonts w:eastAsia="Times New Roman"/>
                <w:color w:val="000000"/>
                <w:sz w:val="12"/>
                <w:szCs w:val="12"/>
              </w:rPr>
              <w:t>How Do Nutritional Warnings Work on Commercial Products? Results From a Hypothetical Choice Experiment</w:t>
            </w:r>
          </w:p>
        </w:tc>
        <w:tc>
          <w:tcPr>
            <w:tcW w:w="333" w:type="dxa"/>
            <w:tcBorders>
              <w:bottom w:val="single" w:sz="6" w:space="0" w:color="000000" w:themeColor="text1"/>
            </w:tcBorders>
          </w:tcPr>
          <w:p w:rsidR="00DF60F4" w:rsidRPr="00D475C9" w:rsidP="00DF60F4" w14:paraId="53D9DE86" w14:textId="6D14C66F">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Borders>
              <w:bottom w:val="single" w:sz="6" w:space="0" w:color="000000" w:themeColor="text1"/>
            </w:tcBorders>
          </w:tcPr>
          <w:p w:rsidR="00DF60F4" w:rsidRPr="00D475C9" w:rsidP="00DF60F4" w14:paraId="683A9318" w14:textId="510D7E65">
            <w:pPr>
              <w:pStyle w:val="TableParagraph"/>
              <w:spacing w:line="252" w:lineRule="auto"/>
              <w:ind w:left="29" w:right="173"/>
              <w:rPr>
                <w:rFonts w:eastAsia="Times New Roman"/>
                <w:color w:val="000000"/>
                <w:sz w:val="12"/>
                <w:szCs w:val="12"/>
              </w:rPr>
            </w:pPr>
            <w:r w:rsidRPr="00D475C9">
              <w:rPr>
                <w:rFonts w:eastAsia="Times New Roman"/>
                <w:sz w:val="12"/>
                <w:szCs w:val="12"/>
              </w:rPr>
              <w:t>Quantitative</w:t>
            </w:r>
            <w:r w:rsidRPr="00D475C9">
              <w:rPr>
                <w:rFonts w:eastAsia="Times New Roman"/>
                <w:sz w:val="12"/>
                <w:szCs w:val="12"/>
              </w:rPr>
              <w:br/>
              <w:t xml:space="preserve">1. Online randomized controlled </w:t>
            </w:r>
            <w:r w:rsidRPr="00D475C9">
              <w:rPr>
                <w:rFonts w:eastAsia="Times New Roman"/>
                <w:sz w:val="12"/>
                <w:szCs w:val="12"/>
              </w:rPr>
              <w:t>trial;</w:t>
            </w:r>
            <w:r w:rsidRPr="00D475C9">
              <w:rPr>
                <w:rFonts w:eastAsia="Times New Roman"/>
                <w:sz w:val="12"/>
                <w:szCs w:val="12"/>
              </w:rPr>
              <w:t xml:space="preserve"> 1,932 participants selected food products in eight sets of three commercial products with 7 different labels</w:t>
            </w:r>
          </w:p>
        </w:tc>
        <w:tc>
          <w:tcPr>
            <w:tcW w:w="1199" w:type="dxa"/>
            <w:tcBorders>
              <w:bottom w:val="single" w:sz="6" w:space="0" w:color="000000" w:themeColor="text1"/>
            </w:tcBorders>
          </w:tcPr>
          <w:p w:rsidR="00DF60F4" w:rsidRPr="00D475C9" w:rsidP="00DF60F4" w14:paraId="2A29E672" w14:textId="0DB6BC17">
            <w:pPr>
              <w:pStyle w:val="TableParagraph"/>
              <w:spacing w:line="252" w:lineRule="auto"/>
              <w:ind w:right="121"/>
              <w:rPr>
                <w:rFonts w:eastAsia="Times New Roman"/>
                <w:color w:val="000000"/>
                <w:sz w:val="12"/>
                <w:szCs w:val="12"/>
              </w:rPr>
            </w:pPr>
            <w:r w:rsidRPr="00D475C9">
              <w:rPr>
                <w:rFonts w:eastAsia="Times New Roman"/>
                <w:sz w:val="12"/>
                <w:szCs w:val="12"/>
              </w:rPr>
              <w:t>1. Guideline Daily Amount (GDA)</w:t>
            </w:r>
            <w:r w:rsidRPr="00D475C9">
              <w:rPr>
                <w:rFonts w:eastAsia="Times New Roman"/>
                <w:sz w:val="12"/>
                <w:szCs w:val="12"/>
              </w:rPr>
              <w:br/>
              <w:t>2. Traffic Light</w:t>
            </w:r>
            <w:r w:rsidRPr="00D475C9">
              <w:rPr>
                <w:rFonts w:eastAsia="Times New Roman"/>
                <w:sz w:val="12"/>
                <w:szCs w:val="12"/>
              </w:rPr>
              <w:br/>
              <w:t>3. 5 variations of warning labels:</w:t>
            </w:r>
            <w:r w:rsidRPr="00D475C9">
              <w:rPr>
                <w:rFonts w:eastAsia="Times New Roman"/>
                <w:sz w:val="12"/>
                <w:szCs w:val="12"/>
              </w:rPr>
              <w:br/>
              <w:t>-black magnifier</w:t>
            </w:r>
            <w:r w:rsidRPr="00D475C9">
              <w:rPr>
                <w:rFonts w:eastAsia="Times New Roman"/>
                <w:sz w:val="12"/>
                <w:szCs w:val="12"/>
              </w:rPr>
              <w:br/>
              <w:t>-red magnifier</w:t>
            </w:r>
            <w:r w:rsidRPr="00D475C9">
              <w:rPr>
                <w:rFonts w:eastAsia="Times New Roman"/>
                <w:sz w:val="12"/>
                <w:szCs w:val="12"/>
              </w:rPr>
              <w:br/>
              <w:t>-black octagon</w:t>
            </w:r>
            <w:r w:rsidRPr="00D475C9">
              <w:rPr>
                <w:rFonts w:eastAsia="Times New Roman"/>
                <w:sz w:val="12"/>
                <w:szCs w:val="12"/>
              </w:rPr>
              <w:br/>
              <w:t>-black triangle</w:t>
            </w:r>
            <w:r w:rsidRPr="00D475C9">
              <w:rPr>
                <w:rFonts w:eastAsia="Times New Roman"/>
                <w:sz w:val="12"/>
                <w:szCs w:val="12"/>
              </w:rPr>
              <w:br/>
              <w:t>-red circle</w:t>
            </w:r>
          </w:p>
        </w:tc>
        <w:tc>
          <w:tcPr>
            <w:tcW w:w="1204" w:type="dxa"/>
            <w:tcBorders>
              <w:bottom w:val="single" w:sz="6" w:space="0" w:color="000000" w:themeColor="text1"/>
            </w:tcBorders>
          </w:tcPr>
          <w:p w:rsidR="00DF60F4" w:rsidRPr="00D475C9" w:rsidP="00DF60F4" w14:paraId="247A7E61" w14:textId="365A7833">
            <w:pPr>
              <w:spacing w:after="0" w:line="240" w:lineRule="auto"/>
              <w:rPr>
                <w:rFonts w:ascii="Calibri" w:eastAsia="Times New Roman" w:hAnsi="Calibri" w:cs="Calibri"/>
                <w:noProof/>
                <w:color w:val="000000"/>
                <w:sz w:val="12"/>
                <w:szCs w:val="12"/>
                <w:lang w:eastAsia="en-US"/>
              </w:rPr>
            </w:pPr>
            <w:r w:rsidRPr="00D475C9">
              <w:rPr>
                <w:rFonts w:ascii="Calibri" w:eastAsia="Times New Roman" w:hAnsi="Calibri" w:cs="Calibri"/>
                <w:noProof/>
                <w:color w:val="000000"/>
                <w:sz w:val="12"/>
                <w:szCs w:val="12"/>
                <w:lang w:eastAsia="en-US"/>
              </w:rPr>
              <w:drawing>
                <wp:anchor distT="0" distB="0" distL="114300" distR="114300" simplePos="0" relativeHeight="251709440" behindDoc="0" locked="0" layoutInCell="1" allowOverlap="1">
                  <wp:simplePos x="0" y="0"/>
                  <wp:positionH relativeFrom="column">
                    <wp:posOffset>19050</wp:posOffset>
                  </wp:positionH>
                  <wp:positionV relativeFrom="paragraph">
                    <wp:posOffset>114300</wp:posOffset>
                  </wp:positionV>
                  <wp:extent cx="639233" cy="514350"/>
                  <wp:effectExtent l="0" t="0" r="889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53"/>
                          <pic:cNvPicPr>
                            <a:picLocks noChangeAspect="1"/>
                          </pic:cNvPicPr>
                        </pic:nvPicPr>
                        <pic:blipFill>
                          <a:blip xmlns:r="http://schemas.openxmlformats.org/officeDocument/2006/relationships" r:embed="rId9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4649" cy="526754"/>
                          </a:xfrm>
                          <a:prstGeom prst="rect">
                            <a:avLst/>
                          </a:prstGeom>
                        </pic:spPr>
                      </pic:pic>
                    </a:graphicData>
                  </a:graphic>
                  <wp14:sizeRelH relativeFrom="page">
                    <wp14:pctWidth>0</wp14:pctWidth>
                  </wp14:sizeRelH>
                  <wp14:sizeRelV relativeFrom="page">
                    <wp14:pctHeight>0</wp14:pctHeight>
                  </wp14:sizeRelV>
                </wp:anchor>
              </w:drawing>
            </w:r>
          </w:p>
        </w:tc>
        <w:tc>
          <w:tcPr>
            <w:tcW w:w="550" w:type="dxa"/>
            <w:tcBorders>
              <w:bottom w:val="single" w:sz="6" w:space="0" w:color="000000" w:themeColor="text1"/>
            </w:tcBorders>
          </w:tcPr>
          <w:p w:rsidR="00DF60F4" w:rsidRPr="00D475C9" w:rsidP="00DF60F4" w14:paraId="0A4F1659" w14:textId="75C57DFE">
            <w:pPr>
              <w:pStyle w:val="TableParagraph"/>
              <w:spacing w:line="140" w:lineRule="exact"/>
              <w:ind w:left="0" w:right="39"/>
              <w:jc w:val="center"/>
              <w:rPr>
                <w:rFonts w:eastAsia="Times New Roman"/>
                <w:sz w:val="12"/>
                <w:szCs w:val="12"/>
              </w:rPr>
            </w:pPr>
            <w:r w:rsidRPr="00D475C9">
              <w:rPr>
                <w:rFonts w:eastAsia="Times New Roman"/>
                <w:sz w:val="12"/>
                <w:szCs w:val="12"/>
              </w:rPr>
              <w:t>Brazil</w:t>
            </w:r>
          </w:p>
        </w:tc>
        <w:tc>
          <w:tcPr>
            <w:tcW w:w="3487" w:type="dxa"/>
            <w:tcBorders>
              <w:bottom w:val="single" w:sz="6" w:space="0" w:color="000000" w:themeColor="text1"/>
            </w:tcBorders>
          </w:tcPr>
          <w:p w:rsidR="00DF60F4" w:rsidRPr="00D475C9" w:rsidP="00DF60F4" w14:paraId="17191646" w14:textId="347F7308">
            <w:pPr>
              <w:pStyle w:val="TableParagraph"/>
              <w:spacing w:line="252" w:lineRule="auto"/>
              <w:rPr>
                <w:rFonts w:eastAsia="Times New Roman"/>
                <w:color w:val="000000"/>
                <w:sz w:val="12"/>
                <w:szCs w:val="12"/>
              </w:rPr>
            </w:pPr>
            <w:r w:rsidRPr="00D475C9">
              <w:rPr>
                <w:rFonts w:eastAsia="Times New Roman"/>
                <w:sz w:val="12"/>
                <w:szCs w:val="12"/>
              </w:rPr>
              <w:t>1. Nutritional warnings and the TLS significantly increased likelihood of selecting none of the projects instead of the least healthful product; increased likelihood of selecting a healthier product compared to the GDA.</w:t>
            </w:r>
            <w:r w:rsidRPr="00D475C9">
              <w:rPr>
                <w:rFonts w:eastAsia="Times New Roman"/>
                <w:sz w:val="12"/>
                <w:szCs w:val="12"/>
              </w:rPr>
              <w:br/>
              <w:t>2. No effect on purchases of snack foods, authors suggest this is due to participants already expecting snack foods to be less healthy</w:t>
            </w:r>
            <w:r w:rsidRPr="00D475C9">
              <w:rPr>
                <w:rFonts w:eastAsia="Times New Roman"/>
                <w:sz w:val="12"/>
                <w:szCs w:val="12"/>
              </w:rPr>
              <w:br/>
              <w:t>3. Only slight advantage with black octagon, black triangle and red circle compared with the red magnifier.</w:t>
            </w:r>
          </w:p>
        </w:tc>
      </w:tr>
      <w:tr w14:paraId="3801428A" w14:textId="77777777" w:rsidTr="000444F6">
        <w:tblPrEx>
          <w:tblW w:w="0" w:type="auto"/>
          <w:tblInd w:w="100" w:type="dxa"/>
          <w:tblLayout w:type="fixed"/>
          <w:tblCellMar>
            <w:left w:w="0" w:type="dxa"/>
            <w:right w:w="0" w:type="dxa"/>
          </w:tblCellMar>
          <w:tblLook w:val="01E0"/>
        </w:tblPrEx>
        <w:trPr>
          <w:trHeight w:val="1128"/>
        </w:trPr>
        <w:tc>
          <w:tcPr>
            <w:tcW w:w="1036" w:type="dxa"/>
            <w:tcBorders>
              <w:left w:val="nil"/>
              <w:bottom w:val="nil"/>
              <w:right w:val="nil"/>
            </w:tcBorders>
          </w:tcPr>
          <w:p w:rsidR="000444F6" w:rsidRPr="00D475C9" w:rsidP="00DF60F4" w14:paraId="04B516B1" w14:textId="77777777">
            <w:pPr>
              <w:pStyle w:val="TableParagraph"/>
              <w:spacing w:line="252" w:lineRule="auto"/>
              <w:ind w:right="133"/>
              <w:rPr>
                <w:rFonts w:eastAsia="Times New Roman"/>
                <w:sz w:val="12"/>
                <w:szCs w:val="12"/>
              </w:rPr>
            </w:pPr>
          </w:p>
        </w:tc>
        <w:tc>
          <w:tcPr>
            <w:tcW w:w="2101" w:type="dxa"/>
            <w:tcBorders>
              <w:left w:val="nil"/>
              <w:bottom w:val="nil"/>
              <w:right w:val="nil"/>
            </w:tcBorders>
          </w:tcPr>
          <w:p w:rsidR="000444F6" w:rsidRPr="00D475C9" w:rsidP="00DF60F4" w14:paraId="32343515" w14:textId="77777777">
            <w:pPr>
              <w:pStyle w:val="TableParagraph"/>
              <w:spacing w:line="252" w:lineRule="auto"/>
              <w:ind w:right="102"/>
              <w:rPr>
                <w:rFonts w:eastAsia="Times New Roman"/>
                <w:sz w:val="12"/>
                <w:szCs w:val="12"/>
              </w:rPr>
            </w:pPr>
          </w:p>
        </w:tc>
        <w:tc>
          <w:tcPr>
            <w:tcW w:w="333" w:type="dxa"/>
            <w:tcBorders>
              <w:left w:val="nil"/>
              <w:bottom w:val="nil"/>
              <w:right w:val="nil"/>
            </w:tcBorders>
          </w:tcPr>
          <w:p w:rsidR="000444F6" w:rsidRPr="00D475C9" w:rsidP="00DF60F4" w14:paraId="17E523A0" w14:textId="77777777">
            <w:pPr>
              <w:pStyle w:val="TableParagraph"/>
              <w:spacing w:line="140" w:lineRule="exact"/>
              <w:ind w:left="36"/>
              <w:rPr>
                <w:rFonts w:eastAsia="Times New Roman"/>
                <w:color w:val="7030A0"/>
                <w:sz w:val="12"/>
                <w:szCs w:val="12"/>
              </w:rPr>
            </w:pPr>
          </w:p>
        </w:tc>
        <w:tc>
          <w:tcPr>
            <w:tcW w:w="3555" w:type="dxa"/>
            <w:tcBorders>
              <w:left w:val="nil"/>
              <w:bottom w:val="nil"/>
              <w:right w:val="nil"/>
            </w:tcBorders>
          </w:tcPr>
          <w:p w:rsidR="000444F6" w:rsidRPr="00D475C9" w:rsidP="00DF60F4" w14:paraId="4C945F0E" w14:textId="77777777">
            <w:pPr>
              <w:pStyle w:val="TableParagraph"/>
              <w:spacing w:line="252" w:lineRule="auto"/>
              <w:ind w:left="29" w:right="173"/>
              <w:rPr>
                <w:rFonts w:eastAsia="Times New Roman"/>
                <w:sz w:val="12"/>
                <w:szCs w:val="12"/>
              </w:rPr>
            </w:pPr>
          </w:p>
        </w:tc>
        <w:tc>
          <w:tcPr>
            <w:tcW w:w="1199" w:type="dxa"/>
            <w:tcBorders>
              <w:left w:val="nil"/>
              <w:bottom w:val="nil"/>
              <w:right w:val="nil"/>
            </w:tcBorders>
          </w:tcPr>
          <w:p w:rsidR="000444F6" w:rsidRPr="00D475C9" w:rsidP="00DF60F4" w14:paraId="730F832F" w14:textId="77777777">
            <w:pPr>
              <w:pStyle w:val="TableParagraph"/>
              <w:spacing w:line="252" w:lineRule="auto"/>
              <w:ind w:right="121"/>
              <w:rPr>
                <w:rFonts w:eastAsia="Times New Roman"/>
                <w:sz w:val="12"/>
                <w:szCs w:val="12"/>
              </w:rPr>
            </w:pPr>
          </w:p>
        </w:tc>
        <w:tc>
          <w:tcPr>
            <w:tcW w:w="1204" w:type="dxa"/>
            <w:tcBorders>
              <w:left w:val="nil"/>
              <w:bottom w:val="nil"/>
              <w:right w:val="nil"/>
            </w:tcBorders>
          </w:tcPr>
          <w:p w:rsidR="000444F6" w:rsidRPr="00D475C9" w:rsidP="00DF60F4" w14:paraId="35289FE1" w14:textId="77777777">
            <w:pPr>
              <w:spacing w:after="0" w:line="240" w:lineRule="auto"/>
              <w:rPr>
                <w:rFonts w:ascii="Calibri" w:eastAsia="Times New Roman" w:hAnsi="Calibri" w:cs="Calibri"/>
                <w:color w:val="000000"/>
                <w:sz w:val="12"/>
                <w:szCs w:val="12"/>
                <w:lang w:eastAsia="en-US"/>
              </w:rPr>
            </w:pPr>
          </w:p>
        </w:tc>
        <w:tc>
          <w:tcPr>
            <w:tcW w:w="550" w:type="dxa"/>
            <w:tcBorders>
              <w:left w:val="nil"/>
              <w:bottom w:val="nil"/>
              <w:right w:val="nil"/>
            </w:tcBorders>
          </w:tcPr>
          <w:p w:rsidR="000444F6" w:rsidRPr="00D475C9" w:rsidP="00DF60F4" w14:paraId="728A53AD" w14:textId="77777777">
            <w:pPr>
              <w:pStyle w:val="TableParagraph"/>
              <w:spacing w:line="140" w:lineRule="exact"/>
              <w:ind w:left="0" w:right="39"/>
              <w:jc w:val="center"/>
              <w:rPr>
                <w:rFonts w:eastAsia="Times New Roman"/>
                <w:sz w:val="12"/>
                <w:szCs w:val="12"/>
              </w:rPr>
            </w:pPr>
          </w:p>
        </w:tc>
        <w:tc>
          <w:tcPr>
            <w:tcW w:w="3487" w:type="dxa"/>
            <w:tcBorders>
              <w:left w:val="nil"/>
              <w:bottom w:val="nil"/>
              <w:right w:val="nil"/>
            </w:tcBorders>
          </w:tcPr>
          <w:p w:rsidR="000444F6" w:rsidRPr="00D475C9" w:rsidP="00DF60F4" w14:paraId="3FB904FD" w14:textId="77777777">
            <w:pPr>
              <w:pStyle w:val="TableParagraph"/>
              <w:spacing w:line="252" w:lineRule="auto"/>
              <w:rPr>
                <w:rFonts w:eastAsia="Times New Roman"/>
                <w:sz w:val="12"/>
                <w:szCs w:val="12"/>
              </w:rPr>
            </w:pPr>
          </w:p>
        </w:tc>
      </w:tr>
      <w:tr w14:paraId="6E4FBBE0" w14:textId="77777777" w:rsidTr="000444F6">
        <w:tblPrEx>
          <w:tblW w:w="0" w:type="auto"/>
          <w:tblInd w:w="100" w:type="dxa"/>
          <w:tblLayout w:type="fixed"/>
          <w:tblCellMar>
            <w:left w:w="0" w:type="dxa"/>
            <w:right w:w="0" w:type="dxa"/>
          </w:tblCellMar>
          <w:tblLook w:val="01E0"/>
        </w:tblPrEx>
        <w:trPr>
          <w:trHeight w:val="1128"/>
        </w:trPr>
        <w:tc>
          <w:tcPr>
            <w:tcW w:w="1036" w:type="dxa"/>
            <w:tcBorders>
              <w:top w:val="nil"/>
            </w:tcBorders>
          </w:tcPr>
          <w:p w:rsidR="00DF60F4" w:rsidRPr="00D475C9" w:rsidP="00DF60F4" w14:paraId="1ECC7228" w14:textId="1E9F6AD1">
            <w:pPr>
              <w:pStyle w:val="TableParagraph"/>
              <w:spacing w:line="252" w:lineRule="auto"/>
              <w:ind w:right="133"/>
              <w:rPr>
                <w:rFonts w:eastAsia="Times New Roman"/>
                <w:color w:val="000000"/>
                <w:sz w:val="12"/>
                <w:szCs w:val="12"/>
              </w:rPr>
            </w:pPr>
            <w:r w:rsidRPr="00D475C9">
              <w:rPr>
                <w:rFonts w:eastAsia="Times New Roman"/>
                <w:sz w:val="12"/>
                <w:szCs w:val="12"/>
              </w:rPr>
              <w:t>Donini, et al.</w:t>
            </w:r>
          </w:p>
        </w:tc>
        <w:tc>
          <w:tcPr>
            <w:tcW w:w="2101" w:type="dxa"/>
            <w:tcBorders>
              <w:top w:val="nil"/>
            </w:tcBorders>
          </w:tcPr>
          <w:p w:rsidR="00DF60F4" w:rsidRPr="00D475C9" w:rsidP="00DF60F4" w14:paraId="24441EA2" w14:textId="64D18693">
            <w:pPr>
              <w:pStyle w:val="TableParagraph"/>
              <w:spacing w:line="252" w:lineRule="auto"/>
              <w:ind w:right="102"/>
              <w:rPr>
                <w:rFonts w:eastAsia="Times New Roman"/>
                <w:color w:val="000000"/>
                <w:sz w:val="12"/>
                <w:szCs w:val="12"/>
              </w:rPr>
            </w:pPr>
            <w:r w:rsidRPr="00D475C9">
              <w:rPr>
                <w:rFonts w:eastAsia="Times New Roman"/>
                <w:sz w:val="12"/>
                <w:szCs w:val="12"/>
              </w:rPr>
              <w:t>Efficacy of front-of-pack nutrition labels in improving health status</w:t>
            </w:r>
          </w:p>
        </w:tc>
        <w:tc>
          <w:tcPr>
            <w:tcW w:w="333" w:type="dxa"/>
            <w:tcBorders>
              <w:top w:val="nil"/>
            </w:tcBorders>
          </w:tcPr>
          <w:p w:rsidR="00DF60F4" w:rsidRPr="00D475C9" w:rsidP="00DF60F4" w14:paraId="6457E5DF" w14:textId="5524AD83">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Borders>
              <w:top w:val="nil"/>
            </w:tcBorders>
          </w:tcPr>
          <w:p w:rsidR="00DF60F4" w:rsidRPr="00D475C9" w:rsidP="00DF60F4" w14:paraId="1B1A7E9F" w14:textId="4A63AD25">
            <w:pPr>
              <w:pStyle w:val="TableParagraph"/>
              <w:spacing w:line="252" w:lineRule="auto"/>
              <w:ind w:left="29" w:right="173"/>
              <w:rPr>
                <w:rFonts w:eastAsia="Times New Roman"/>
                <w:sz w:val="12"/>
                <w:szCs w:val="12"/>
              </w:rPr>
            </w:pPr>
            <w:r w:rsidRPr="00D475C9">
              <w:rPr>
                <w:rFonts w:eastAsia="Times New Roman"/>
                <w:sz w:val="12"/>
                <w:szCs w:val="12"/>
              </w:rPr>
              <w:t>Qualitative</w:t>
            </w:r>
            <w:r w:rsidRPr="00D475C9">
              <w:rPr>
                <w:rFonts w:eastAsia="Times New Roman"/>
                <w:sz w:val="12"/>
                <w:szCs w:val="12"/>
              </w:rPr>
              <w:br/>
              <w:t xml:space="preserve">1. Narrative review of studies demonstrating the ability of </w:t>
            </w:r>
            <w:r w:rsidR="004B6E26">
              <w:rPr>
                <w:rFonts w:eastAsia="Times New Roman"/>
                <w:sz w:val="12"/>
                <w:szCs w:val="12"/>
              </w:rPr>
              <w:t>FOP</w:t>
            </w:r>
            <w:r w:rsidRPr="00D475C9">
              <w:rPr>
                <w:rFonts w:eastAsia="Times New Roman"/>
                <w:sz w:val="12"/>
                <w:szCs w:val="12"/>
              </w:rPr>
              <w:t>s to improve health status, with emphasis on concern about focusing on single nutrients/goods rather than eating patterns to prevent obesity and non-communicable disease</w:t>
            </w:r>
          </w:p>
        </w:tc>
        <w:tc>
          <w:tcPr>
            <w:tcW w:w="1199" w:type="dxa"/>
            <w:tcBorders>
              <w:top w:val="nil"/>
            </w:tcBorders>
          </w:tcPr>
          <w:p w:rsidR="00DF60F4" w:rsidRPr="00D475C9" w:rsidP="00DF60F4" w14:paraId="62784EBC" w14:textId="6CF6537C">
            <w:pPr>
              <w:pStyle w:val="TableParagraph"/>
              <w:spacing w:line="252" w:lineRule="auto"/>
              <w:ind w:right="121"/>
              <w:rPr>
                <w:rFonts w:eastAsia="Times New Roman"/>
                <w:sz w:val="12"/>
                <w:szCs w:val="12"/>
              </w:rPr>
            </w:pPr>
            <w:r w:rsidRPr="00D475C9">
              <w:rPr>
                <w:rFonts w:eastAsia="Times New Roman"/>
                <w:sz w:val="12"/>
                <w:szCs w:val="12"/>
              </w:rPr>
              <w:t xml:space="preserve">1. </w:t>
            </w:r>
            <w:r w:rsidRPr="00D475C9">
              <w:rPr>
                <w:rFonts w:eastAsia="Times New Roman"/>
                <w:sz w:val="12"/>
                <w:szCs w:val="12"/>
              </w:rPr>
              <w:t>Non-direc</w:t>
            </w:r>
            <w:r>
              <w:rPr>
                <w:rFonts w:eastAsia="Times New Roman"/>
                <w:sz w:val="12"/>
                <w:szCs w:val="12"/>
              </w:rPr>
              <w:t>tive</w:t>
            </w:r>
            <w:r>
              <w:rPr>
                <w:rFonts w:eastAsia="Times New Roman"/>
                <w:sz w:val="12"/>
                <w:szCs w:val="12"/>
              </w:rPr>
              <w:t xml:space="preserve"> labels </w:t>
            </w:r>
            <w:r w:rsidRPr="00D475C9">
              <w:rPr>
                <w:rFonts w:eastAsia="Times New Roman"/>
                <w:sz w:val="12"/>
                <w:szCs w:val="12"/>
              </w:rPr>
              <w:t>(e.g., Reference In</w:t>
            </w:r>
            <w:r>
              <w:rPr>
                <w:rFonts w:eastAsia="Times New Roman"/>
                <w:sz w:val="12"/>
                <w:szCs w:val="12"/>
              </w:rPr>
              <w:t>takes [RI], NutrInform Battery)</w:t>
            </w:r>
            <w:r w:rsidRPr="00D475C9">
              <w:rPr>
                <w:rFonts w:eastAsia="Times New Roman"/>
                <w:sz w:val="12"/>
                <w:szCs w:val="12"/>
              </w:rPr>
              <w:br/>
              <w:t xml:space="preserve"> 2. Semi-directive label</w:t>
            </w:r>
            <w:r>
              <w:rPr>
                <w:rFonts w:eastAsia="Times New Roman"/>
                <w:sz w:val="12"/>
                <w:szCs w:val="12"/>
              </w:rPr>
              <w:t>s</w:t>
            </w:r>
            <w:r w:rsidRPr="00D475C9">
              <w:rPr>
                <w:rFonts w:eastAsia="Times New Roman"/>
                <w:sz w:val="12"/>
                <w:szCs w:val="12"/>
              </w:rPr>
              <w:t xml:space="preserve"> (e.g., the English traffic light or Multiple Traffic Light [MTL], Warning Signs such as the octagon </w:t>
            </w:r>
            <w:r w:rsidRPr="00D475C9">
              <w:rPr>
                <w:rFonts w:eastAsia="Times New Roman"/>
                <w:sz w:val="12"/>
                <w:szCs w:val="12"/>
              </w:rPr>
              <w:t xml:space="preserve">“stop” or the words “rich in”). </w:t>
            </w:r>
            <w:r w:rsidRPr="00D475C9">
              <w:rPr>
                <w:rFonts w:eastAsia="Times New Roman"/>
                <w:sz w:val="12"/>
                <w:szCs w:val="12"/>
              </w:rPr>
              <w:br/>
              <w:t xml:space="preserve">3. Directive labels (e.g., Swedish Keyhole, </w:t>
            </w:r>
            <w:r w:rsidR="004B6E26">
              <w:rPr>
                <w:rFonts w:eastAsia="Times New Roman"/>
                <w:sz w:val="12"/>
                <w:szCs w:val="12"/>
              </w:rPr>
              <w:t>Nutri-Score</w:t>
            </w:r>
            <w:r w:rsidRPr="00D475C9">
              <w:rPr>
                <w:rFonts w:eastAsia="Times New Roman"/>
                <w:sz w:val="12"/>
                <w:szCs w:val="12"/>
              </w:rPr>
              <w:t xml:space="preserve">) </w:t>
            </w:r>
          </w:p>
        </w:tc>
        <w:tc>
          <w:tcPr>
            <w:tcW w:w="1204" w:type="dxa"/>
            <w:tcBorders>
              <w:top w:val="nil"/>
            </w:tcBorders>
          </w:tcPr>
          <w:p w:rsidR="00DF60F4" w:rsidRPr="00D475C9" w:rsidP="00DF60F4" w14:paraId="3C716C3F" w14:textId="3C5509CE">
            <w:pPr>
              <w:spacing w:after="0" w:line="240" w:lineRule="auto"/>
              <w:rPr>
                <w:rFonts w:ascii="Calibri" w:eastAsia="Times New Roman" w:hAnsi="Calibri" w:cs="Calibri"/>
                <w:noProof/>
                <w:color w:val="000000"/>
                <w:sz w:val="12"/>
                <w:szCs w:val="12"/>
                <w:lang w:eastAsia="en-US"/>
              </w:rPr>
            </w:pPr>
            <w:r w:rsidRPr="00D475C9">
              <w:rPr>
                <w:rFonts w:ascii="Calibri" w:eastAsia="Times New Roman" w:hAnsi="Calibri" w:cs="Calibri"/>
                <w:color w:val="000000"/>
                <w:sz w:val="12"/>
                <w:szCs w:val="12"/>
                <w:lang w:eastAsia="en-US"/>
              </w:rPr>
              <w:t>No image available</w:t>
            </w:r>
          </w:p>
        </w:tc>
        <w:tc>
          <w:tcPr>
            <w:tcW w:w="550" w:type="dxa"/>
            <w:tcBorders>
              <w:top w:val="nil"/>
            </w:tcBorders>
          </w:tcPr>
          <w:p w:rsidR="00DF60F4" w:rsidRPr="00D475C9" w:rsidP="00DF60F4" w14:paraId="66528094" w14:textId="2565F343">
            <w:pPr>
              <w:pStyle w:val="TableParagraph"/>
              <w:spacing w:line="140" w:lineRule="exact"/>
              <w:ind w:left="0" w:right="39"/>
              <w:jc w:val="center"/>
              <w:rPr>
                <w:rFonts w:eastAsia="Times New Roman"/>
                <w:sz w:val="12"/>
                <w:szCs w:val="12"/>
              </w:rPr>
            </w:pPr>
            <w:r w:rsidRPr="00D475C9">
              <w:rPr>
                <w:rFonts w:eastAsia="Times New Roman"/>
                <w:sz w:val="12"/>
                <w:szCs w:val="12"/>
              </w:rPr>
              <w:t>Italy</w:t>
            </w:r>
          </w:p>
        </w:tc>
        <w:tc>
          <w:tcPr>
            <w:tcW w:w="3487" w:type="dxa"/>
            <w:tcBorders>
              <w:top w:val="nil"/>
            </w:tcBorders>
          </w:tcPr>
          <w:p w:rsidR="00DF60F4" w:rsidRPr="00D475C9" w:rsidP="00DF60F4" w14:paraId="061BA9DA" w14:textId="76B5AA89">
            <w:pPr>
              <w:pStyle w:val="TableParagraph"/>
              <w:spacing w:line="252" w:lineRule="auto"/>
              <w:rPr>
                <w:rFonts w:eastAsia="Times New Roman"/>
                <w:sz w:val="12"/>
                <w:szCs w:val="12"/>
              </w:rPr>
            </w:pPr>
            <w:r w:rsidRPr="00D475C9">
              <w:rPr>
                <w:rFonts w:eastAsia="Times New Roman"/>
                <w:sz w:val="12"/>
                <w:szCs w:val="12"/>
              </w:rPr>
              <w:t xml:space="preserve">1. Few studies conducted in real world settings on </w:t>
            </w:r>
            <w:r w:rsidR="004B6E26">
              <w:rPr>
                <w:rFonts w:eastAsia="Times New Roman"/>
                <w:sz w:val="12"/>
                <w:szCs w:val="12"/>
              </w:rPr>
              <w:t>FOP</w:t>
            </w:r>
            <w:r w:rsidRPr="00D475C9">
              <w:rPr>
                <w:rFonts w:eastAsia="Times New Roman"/>
                <w:sz w:val="12"/>
                <w:szCs w:val="12"/>
              </w:rPr>
              <w:t>s on purchase attitudes</w:t>
            </w:r>
            <w:r w:rsidRPr="00D475C9">
              <w:rPr>
                <w:rFonts w:eastAsia="Times New Roman"/>
                <w:sz w:val="12"/>
                <w:szCs w:val="12"/>
              </w:rPr>
              <w:br/>
              <w:t xml:space="preserve">2. Evidence showing that reducing intake of a certain nutrient/food has a positive effect on health status is weak; only limited evidence that clearly correlates </w:t>
            </w:r>
            <w:r w:rsidR="004B6E26">
              <w:rPr>
                <w:rFonts w:eastAsia="Times New Roman"/>
                <w:sz w:val="12"/>
                <w:szCs w:val="12"/>
              </w:rPr>
              <w:t>FOP</w:t>
            </w:r>
            <w:r w:rsidRPr="00D475C9">
              <w:rPr>
                <w:rFonts w:eastAsia="Times New Roman"/>
                <w:sz w:val="12"/>
                <w:szCs w:val="12"/>
              </w:rPr>
              <w:t>s with health outcomes, and most are retrospective microsimulations</w:t>
            </w:r>
          </w:p>
        </w:tc>
      </w:tr>
      <w:tr w14:paraId="39ADDB05"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61D55D70" w14:textId="2A875915">
            <w:pPr>
              <w:pStyle w:val="TableParagraph"/>
              <w:spacing w:line="252" w:lineRule="auto"/>
              <w:ind w:right="133"/>
              <w:rPr>
                <w:rFonts w:eastAsia="Times New Roman"/>
                <w:sz w:val="12"/>
                <w:szCs w:val="12"/>
              </w:rPr>
            </w:pPr>
            <w:r w:rsidRPr="00D475C9">
              <w:rPr>
                <w:rFonts w:eastAsia="Times New Roman"/>
                <w:color w:val="000000"/>
                <w:sz w:val="12"/>
                <w:szCs w:val="12"/>
              </w:rPr>
              <w:t>Ducrot, et al.</w:t>
            </w:r>
          </w:p>
        </w:tc>
        <w:tc>
          <w:tcPr>
            <w:tcW w:w="2101" w:type="dxa"/>
          </w:tcPr>
          <w:p w:rsidR="00DF60F4" w:rsidRPr="00D475C9" w:rsidP="00DF60F4" w14:paraId="516E72DE" w14:textId="325C3C43">
            <w:pPr>
              <w:pStyle w:val="TableParagraph"/>
              <w:spacing w:line="252" w:lineRule="auto"/>
              <w:ind w:right="102"/>
              <w:rPr>
                <w:rFonts w:eastAsia="Times New Roman"/>
                <w:sz w:val="12"/>
                <w:szCs w:val="12"/>
              </w:rPr>
            </w:pPr>
            <w:r>
              <w:rPr>
                <w:rFonts w:eastAsia="Times New Roman"/>
                <w:color w:val="000000"/>
                <w:sz w:val="12"/>
                <w:szCs w:val="12"/>
              </w:rPr>
              <w:t>Nutri-Score</w:t>
            </w:r>
            <w:r w:rsidRPr="00D475C9">
              <w:rPr>
                <w:rFonts w:eastAsia="Times New Roman"/>
                <w:color w:val="000000"/>
                <w:sz w:val="12"/>
                <w:szCs w:val="12"/>
              </w:rPr>
              <w:t>: Awareness, Perception and Self-Reported Impact on Food Choices among French Adolescents</w:t>
            </w:r>
          </w:p>
        </w:tc>
        <w:tc>
          <w:tcPr>
            <w:tcW w:w="333" w:type="dxa"/>
          </w:tcPr>
          <w:p w:rsidR="00DF60F4" w:rsidRPr="00D475C9" w:rsidP="00DF60F4" w14:paraId="15399F0B" w14:textId="073E1738">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DF60F4" w:rsidRPr="00D475C9" w:rsidP="00DF60F4" w14:paraId="5E972E27" w14:textId="17809ECC">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 xml:space="preserve">1. 1201 adolescents completed a web-based survey assessing </w:t>
            </w:r>
            <w:r w:rsidR="004B6E26">
              <w:rPr>
                <w:rFonts w:eastAsia="Times New Roman"/>
                <w:sz w:val="12"/>
                <w:szCs w:val="12"/>
              </w:rPr>
              <w:t>Nutri-Score</w:t>
            </w:r>
            <w:r w:rsidRPr="00D475C9">
              <w:rPr>
                <w:rFonts w:eastAsia="Times New Roman"/>
                <w:sz w:val="12"/>
                <w:szCs w:val="12"/>
              </w:rPr>
              <w:t xml:space="preserve"> awareness, </w:t>
            </w:r>
            <w:r w:rsidRPr="00D475C9">
              <w:rPr>
                <w:rFonts w:eastAsia="Times New Roman"/>
                <w:sz w:val="12"/>
                <w:szCs w:val="12"/>
              </w:rPr>
              <w:t>perception</w:t>
            </w:r>
            <w:r w:rsidRPr="00D475C9">
              <w:rPr>
                <w:rFonts w:eastAsia="Times New Roman"/>
                <w:sz w:val="12"/>
                <w:szCs w:val="12"/>
              </w:rPr>
              <w:t xml:space="preserve"> and self-reported impact on food choices</w:t>
            </w:r>
            <w:r w:rsidRPr="00D475C9">
              <w:rPr>
                <w:rFonts w:eastAsia="Times New Roman"/>
                <w:sz w:val="12"/>
                <w:szCs w:val="12"/>
              </w:rPr>
              <w:br/>
              <w:t>2. Also identified determinants associated with higher awareness and impact on food choices</w:t>
            </w:r>
          </w:p>
        </w:tc>
        <w:tc>
          <w:tcPr>
            <w:tcW w:w="1199" w:type="dxa"/>
          </w:tcPr>
          <w:p w:rsidR="00DF60F4" w:rsidRPr="00D475C9" w:rsidP="00DF60F4" w14:paraId="68D2811B" w14:textId="3C58C463">
            <w:pPr>
              <w:pStyle w:val="TableParagraph"/>
              <w:spacing w:line="252" w:lineRule="auto"/>
              <w:ind w:right="121"/>
              <w:rPr>
                <w:rFonts w:eastAsia="Times New Roman"/>
                <w:sz w:val="12"/>
                <w:szCs w:val="12"/>
              </w:rPr>
            </w:pPr>
            <w:r w:rsidRPr="00D475C9">
              <w:rPr>
                <w:rFonts w:eastAsia="Times New Roman"/>
                <w:sz w:val="12"/>
                <w:szCs w:val="12"/>
              </w:rPr>
              <w:t xml:space="preserve">1. </w:t>
            </w:r>
            <w:r w:rsidR="004B6E26">
              <w:rPr>
                <w:rFonts w:eastAsia="Times New Roman"/>
                <w:sz w:val="12"/>
                <w:szCs w:val="12"/>
              </w:rPr>
              <w:t>Nutri-Score</w:t>
            </w:r>
          </w:p>
        </w:tc>
        <w:tc>
          <w:tcPr>
            <w:tcW w:w="1204" w:type="dxa"/>
            <w:vAlign w:val="bottom"/>
          </w:tcPr>
          <w:p w:rsidR="00DF60F4" w:rsidRPr="00D475C9" w:rsidP="00DF60F4" w14:paraId="24EFD9D8" w14:textId="4D7297FD">
            <w:pPr>
              <w:spacing w:after="0" w:line="240" w:lineRule="auto"/>
              <w:rPr>
                <w:rFonts w:ascii="Calibri" w:eastAsia="Times New Roman" w:hAnsi="Calibri" w:cs="Calibri"/>
                <w:color w:val="000000"/>
                <w:sz w:val="12"/>
                <w:szCs w:val="12"/>
                <w:lang w:eastAsia="en-US"/>
              </w:rPr>
            </w:pPr>
          </w:p>
          <w:tbl>
            <w:tblPr>
              <w:tblW w:w="0" w:type="auto"/>
              <w:tblCellSpacing w:w="0" w:type="dxa"/>
              <w:tblLayout w:type="fixed"/>
              <w:tblCellMar>
                <w:left w:w="0" w:type="dxa"/>
                <w:right w:w="0" w:type="dxa"/>
              </w:tblCellMar>
              <w:tblLook w:val="04A0"/>
            </w:tblPr>
            <w:tblGrid>
              <w:gridCol w:w="3160"/>
            </w:tblGrid>
            <w:tr w14:paraId="29B014A4" w14:textId="77777777" w:rsidTr="00DF60F4">
              <w:tblPrEx>
                <w:tblW w:w="0" w:type="auto"/>
                <w:tblCellSpacing w:w="0" w:type="dxa"/>
                <w:tblLayout w:type="fixed"/>
                <w:tblCellMar>
                  <w:left w:w="0" w:type="dxa"/>
                  <w:right w:w="0" w:type="dxa"/>
                </w:tblCellMar>
                <w:tblLook w:val="04A0"/>
              </w:tblPrEx>
              <w:trPr>
                <w:trHeight w:val="1845"/>
                <w:tblCellSpacing w:w="0" w:type="dxa"/>
              </w:trPr>
              <w:tc>
                <w:tcPr>
                  <w:tcW w:w="3160" w:type="dxa"/>
                  <w:tcBorders>
                    <w:top w:val="nil"/>
                    <w:left w:val="nil"/>
                    <w:bottom w:val="single" w:sz="4" w:space="0" w:color="auto"/>
                    <w:right w:val="single" w:sz="4" w:space="0" w:color="auto"/>
                  </w:tcBorders>
                  <w:shd w:val="clear" w:color="auto" w:fill="auto"/>
                  <w:noWrap/>
                  <w:hideMark/>
                </w:tcPr>
                <w:p w:rsidR="00DF60F4" w:rsidRPr="00D475C9" w:rsidP="00DF60F4" w14:paraId="20850225" w14:textId="403DB3A8">
                  <w:pPr>
                    <w:spacing w:after="0" w:line="240" w:lineRule="auto"/>
                    <w:jc w:val="center"/>
                    <w:rPr>
                      <w:rFonts w:ascii="Calibri" w:eastAsia="Times New Roman" w:hAnsi="Calibri" w:cs="Calibri"/>
                      <w:color w:val="000000"/>
                      <w:sz w:val="12"/>
                      <w:szCs w:val="12"/>
                      <w:lang w:eastAsia="en-US"/>
                    </w:rPr>
                  </w:pPr>
                  <w:r w:rsidRPr="00D475C9">
                    <w:rPr>
                      <w:rFonts w:ascii="Calibri" w:eastAsia="Times New Roman" w:hAnsi="Calibri" w:cs="Calibri"/>
                      <w:noProof/>
                      <w:color w:val="000000"/>
                      <w:sz w:val="12"/>
                      <w:szCs w:val="12"/>
                      <w:lang w:eastAsia="en-US"/>
                    </w:rPr>
                    <mc:AlternateContent>
                      <mc:Choice Requires="wpg">
                        <w:drawing>
                          <wp:anchor distT="0" distB="0" distL="114300" distR="114300" simplePos="0" relativeHeight="251710464" behindDoc="0" locked="0" layoutInCell="1" allowOverlap="1">
                            <wp:simplePos x="0" y="0"/>
                            <wp:positionH relativeFrom="column">
                              <wp:posOffset>158115</wp:posOffset>
                            </wp:positionH>
                            <wp:positionV relativeFrom="paragraph">
                              <wp:posOffset>6985</wp:posOffset>
                            </wp:positionV>
                            <wp:extent cx="321945" cy="847725"/>
                            <wp:effectExtent l="0" t="0" r="1905" b="9525"/>
                            <wp:wrapNone/>
                            <wp:docPr id="113" name="Group 113"/>
                            <wp:cNvGraphicFramePr>
                              <a:graphicFrameLocks xmlns:a="http://schemas.openxmlformats.org/drawingml/2006/main" noChangeAspect="1"/>
                            </wp:cNvGraphicFramePr>
                            <a:graphic xmlns:a="http://schemas.openxmlformats.org/drawingml/2006/main">
                              <a:graphicData uri="http://schemas.microsoft.com/office/word/2010/wordprocessingGroup">
                                <wpg:wgp xmlns:wpg="http://schemas.microsoft.com/office/word/2010/wordprocessingGroup">
                                  <wpg:cNvGrpSpPr>
                                    <a:grpSpLocks noChangeAspect="1"/>
                                  </wpg:cNvGrpSpPr>
                                  <wpg:grpSpPr>
                                    <a:xfrm>
                                      <a:off x="0" y="0"/>
                                      <a:ext cx="321945" cy="847725"/>
                                      <a:chOff x="0" y="0"/>
                                      <a:chExt cx="929502" cy="2617701"/>
                                    </a:xfrm>
                                  </wpg:grpSpPr>
                                  <pic:pic xmlns:pic="http://schemas.openxmlformats.org/drawingml/2006/picture">
                                    <pic:nvPicPr>
                                      <pic:cNvPr id="118" name="Picture 118"/>
                                      <pic:cNvPicPr>
                                        <a:picLocks noChangeAspect="1"/>
                                      </pic:cNvPicPr>
                                    </pic:nvPicPr>
                                    <pic:blipFill>
                                      <a:blip xmlns:r="http://schemas.openxmlformats.org/officeDocument/2006/relationships" r:embed="rId92" cstate="print">
                                        <a:extLst>
                                          <a:ext xmlns:a="http://schemas.openxmlformats.org/drawingml/2006/main" uri="{28A0092B-C50C-407E-A947-70E740481C1C}">
                                            <a14:useLocalDpi xmlns:a14="http://schemas.microsoft.com/office/drawing/2010/main" val="0"/>
                                          </a:ext>
                                        </a:extLst>
                                      </a:blip>
                                      <a:stretch>
                                        <a:fillRect/>
                                      </a:stretch>
                                    </pic:blipFill>
                                    <pic:spPr>
                                      <a:xfrm>
                                        <a:off x="13093" y="1679474"/>
                                        <a:ext cx="916409" cy="938227"/>
                                      </a:xfrm>
                                      <a:prstGeom prst="rect">
                                        <a:avLst/>
                                      </a:prstGeom>
                                    </pic:spPr>
                                  </pic:pic>
                                  <pic:pic xmlns:pic="http://schemas.openxmlformats.org/drawingml/2006/picture">
                                    <pic:nvPicPr>
                                      <pic:cNvPr id="119" name="Picture 119"/>
                                      <pic:cNvPicPr>
                                        <a:picLocks noChangeAspect="1"/>
                                      </pic:cNvPicPr>
                                    </pic:nvPicPr>
                                    <pic:blipFill>
                                      <a:blip xmlns:r="http://schemas.openxmlformats.org/officeDocument/2006/relationships" r:embed="rId93" cstate="print">
                                        <a:extLst>
                                          <a:ext xmlns:a="http://schemas.openxmlformats.org/drawingml/2006/main" uri="{28A0092B-C50C-407E-A947-70E740481C1C}">
                                            <a14:useLocalDpi xmlns:a14="http://schemas.microsoft.com/office/drawing/2010/main" val="0"/>
                                          </a:ext>
                                        </a:extLst>
                                      </a:blip>
                                      <a:stretch>
                                        <a:fillRect/>
                                      </a:stretch>
                                    </pic:blipFill>
                                    <pic:spPr>
                                      <a:xfrm>
                                        <a:off x="0" y="0"/>
                                        <a:ext cx="929500" cy="11564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13" o:spid="_x0000_s1055" style="width:25.35pt;height:66.75pt;margin-top:0.55pt;margin-left:12.45pt;position:absolute;z-index:251711488" coordsize="9295,26177">
                            <o:lock v:ext="edit" aspectratio="t"/>
                            <v:shape id="Picture 118" o:spid="_x0000_s1056" type="#_x0000_t75" style="width:9165;height:9383;left:130;mso-wrap-style:square;position:absolute;top:16794;visibility:visible">
                              <v:imagedata r:id="rId92" o:title=""/>
                            </v:shape>
                            <v:shape id="Picture 119" o:spid="_x0000_s1057" type="#_x0000_t75" style="width:9295;height:11564;mso-wrap-style:square;position:absolute;visibility:visible">
                              <v:imagedata r:id="rId93" o:title=""/>
                            </v:shape>
                          </v:group>
                        </w:pict>
                      </mc:Fallback>
                    </mc:AlternateContent>
                  </w:r>
                  <w:r w:rsidRPr="00D475C9">
                    <w:rPr>
                      <w:rFonts w:ascii="Calibri" w:eastAsia="Times New Roman" w:hAnsi="Calibri" w:cs="Calibri"/>
                      <w:color w:val="000000"/>
                      <w:sz w:val="12"/>
                      <w:szCs w:val="12"/>
                      <w:lang w:eastAsia="en-US"/>
                    </w:rPr>
                    <w:t>e available</w:t>
                  </w:r>
                </w:p>
              </w:tc>
            </w:tr>
          </w:tbl>
          <w:p w:rsidR="00DF60F4" w:rsidRPr="00D475C9" w:rsidP="00DF60F4" w14:paraId="6EAFDB12" w14:textId="77777777">
            <w:pPr>
              <w:spacing w:after="0" w:line="240" w:lineRule="auto"/>
              <w:rPr>
                <w:rFonts w:ascii="Calibri" w:eastAsia="Times New Roman" w:hAnsi="Calibri" w:cs="Calibri"/>
                <w:color w:val="000000"/>
                <w:sz w:val="12"/>
                <w:szCs w:val="12"/>
                <w:lang w:eastAsia="en-US"/>
              </w:rPr>
            </w:pPr>
          </w:p>
        </w:tc>
        <w:tc>
          <w:tcPr>
            <w:tcW w:w="550" w:type="dxa"/>
          </w:tcPr>
          <w:p w:rsidR="00DF60F4" w:rsidRPr="00D475C9" w:rsidP="00DF60F4" w14:paraId="6B7441D0" w14:textId="13119B37">
            <w:pPr>
              <w:pStyle w:val="TableParagraph"/>
              <w:spacing w:line="140" w:lineRule="exact"/>
              <w:ind w:left="0" w:right="39"/>
              <w:jc w:val="center"/>
              <w:rPr>
                <w:rFonts w:eastAsia="Times New Roman"/>
                <w:sz w:val="12"/>
                <w:szCs w:val="12"/>
              </w:rPr>
            </w:pPr>
            <w:r w:rsidRPr="00D475C9">
              <w:rPr>
                <w:rFonts w:eastAsia="Times New Roman"/>
                <w:sz w:val="12"/>
                <w:szCs w:val="12"/>
              </w:rPr>
              <w:t>France</w:t>
            </w:r>
          </w:p>
        </w:tc>
        <w:tc>
          <w:tcPr>
            <w:tcW w:w="3487" w:type="dxa"/>
          </w:tcPr>
          <w:p w:rsidR="00DF60F4" w:rsidRPr="00D475C9" w:rsidP="00DF60F4" w14:paraId="660DC790" w14:textId="3615ED75">
            <w:pPr>
              <w:pStyle w:val="TableParagraph"/>
              <w:spacing w:line="252" w:lineRule="auto"/>
              <w:rPr>
                <w:rFonts w:eastAsia="Times New Roman"/>
                <w:sz w:val="12"/>
                <w:szCs w:val="12"/>
              </w:rPr>
            </w:pPr>
            <w:r w:rsidRPr="00D475C9">
              <w:rPr>
                <w:rFonts w:eastAsia="Times New Roman"/>
                <w:sz w:val="12"/>
                <w:szCs w:val="12"/>
              </w:rPr>
              <w:t xml:space="preserve">1. Almost all knew </w:t>
            </w:r>
            <w:r w:rsidR="004B6E26">
              <w:rPr>
                <w:rFonts w:eastAsia="Times New Roman"/>
                <w:sz w:val="12"/>
                <w:szCs w:val="12"/>
              </w:rPr>
              <w:t>Nutri-Score</w:t>
            </w:r>
            <w:r w:rsidRPr="00D475C9">
              <w:rPr>
                <w:rFonts w:eastAsia="Times New Roman"/>
                <w:sz w:val="12"/>
                <w:szCs w:val="12"/>
              </w:rPr>
              <w:t xml:space="preserve"> and considered it easy to understand and easy to identify; 54% reported that it impacted their food choices</w:t>
            </w:r>
            <w:r w:rsidRPr="00D475C9">
              <w:rPr>
                <w:rFonts w:eastAsia="Times New Roman"/>
                <w:sz w:val="12"/>
                <w:szCs w:val="12"/>
              </w:rPr>
              <w:br/>
              <w:t xml:space="preserve">2. Girls more likely to be aware than boys; 15-17 </w:t>
            </w:r>
            <w:r w:rsidRPr="00D475C9">
              <w:rPr>
                <w:rFonts w:eastAsia="Times New Roman"/>
                <w:sz w:val="12"/>
                <w:szCs w:val="12"/>
              </w:rPr>
              <w:t>yos</w:t>
            </w:r>
            <w:r w:rsidRPr="00D475C9">
              <w:rPr>
                <w:rFonts w:eastAsia="Times New Roman"/>
                <w:sz w:val="12"/>
                <w:szCs w:val="12"/>
              </w:rPr>
              <w:t xml:space="preserve"> more likely to be aware than 11-14 </w:t>
            </w:r>
            <w:r w:rsidRPr="00D475C9">
              <w:rPr>
                <w:rFonts w:eastAsia="Times New Roman"/>
                <w:sz w:val="12"/>
                <w:szCs w:val="12"/>
              </w:rPr>
              <w:t>yos</w:t>
            </w:r>
            <w:r w:rsidRPr="00D475C9">
              <w:rPr>
                <w:rFonts w:eastAsia="Times New Roman"/>
                <w:sz w:val="12"/>
                <w:szCs w:val="12"/>
              </w:rPr>
              <w:br/>
              <w:t xml:space="preserve">3. Use of </w:t>
            </w:r>
            <w:r w:rsidR="004B6E26">
              <w:rPr>
                <w:rFonts w:eastAsia="Times New Roman"/>
                <w:sz w:val="12"/>
                <w:szCs w:val="12"/>
              </w:rPr>
              <w:t>Nutri-Score</w:t>
            </w:r>
            <w:r w:rsidRPr="00D475C9">
              <w:rPr>
                <w:rFonts w:eastAsia="Times New Roman"/>
                <w:sz w:val="12"/>
                <w:szCs w:val="12"/>
              </w:rPr>
              <w:t xml:space="preserve"> by parents was the most determinant criterion</w:t>
            </w:r>
          </w:p>
        </w:tc>
      </w:tr>
      <w:tr w14:paraId="288D11B7"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797A5B3E" w14:textId="2393532F">
            <w:pPr>
              <w:pStyle w:val="TableParagraph"/>
              <w:spacing w:line="252" w:lineRule="auto"/>
              <w:ind w:right="133"/>
              <w:rPr>
                <w:rFonts w:eastAsia="Times New Roman"/>
                <w:color w:val="000000"/>
                <w:sz w:val="12"/>
                <w:szCs w:val="12"/>
              </w:rPr>
            </w:pPr>
            <w:r w:rsidRPr="00D475C9">
              <w:rPr>
                <w:rFonts w:eastAsia="Times New Roman"/>
                <w:color w:val="000000"/>
                <w:sz w:val="12"/>
                <w:szCs w:val="12"/>
              </w:rPr>
              <w:t>Fondevila-Gascón, et al.</w:t>
            </w:r>
          </w:p>
        </w:tc>
        <w:tc>
          <w:tcPr>
            <w:tcW w:w="2101" w:type="dxa"/>
          </w:tcPr>
          <w:p w:rsidR="00DF60F4" w:rsidRPr="00D475C9" w:rsidP="00DF60F4" w14:paraId="660B60B1" w14:textId="024378A6">
            <w:pPr>
              <w:pStyle w:val="TableParagraph"/>
              <w:spacing w:line="252" w:lineRule="auto"/>
              <w:ind w:right="102"/>
              <w:rPr>
                <w:rFonts w:eastAsia="Times New Roman"/>
                <w:color w:val="000000"/>
                <w:sz w:val="12"/>
                <w:szCs w:val="12"/>
              </w:rPr>
            </w:pPr>
            <w:r w:rsidRPr="00D475C9">
              <w:rPr>
                <w:rFonts w:eastAsia="Times New Roman"/>
                <w:color w:val="000000"/>
                <w:sz w:val="12"/>
                <w:szCs w:val="12"/>
              </w:rPr>
              <w:t xml:space="preserve">Ultra-Processed Foods in University Students: Implementing </w:t>
            </w:r>
            <w:r w:rsidR="004B6E26">
              <w:rPr>
                <w:rFonts w:eastAsia="Times New Roman"/>
                <w:color w:val="000000"/>
                <w:sz w:val="12"/>
                <w:szCs w:val="12"/>
              </w:rPr>
              <w:t>Nutri-Score</w:t>
            </w:r>
            <w:r w:rsidRPr="00D475C9">
              <w:rPr>
                <w:rFonts w:eastAsia="Times New Roman"/>
                <w:color w:val="000000"/>
                <w:sz w:val="12"/>
                <w:szCs w:val="12"/>
              </w:rPr>
              <w:t xml:space="preserve"> to Make Healthy Choices</w:t>
            </w:r>
          </w:p>
        </w:tc>
        <w:tc>
          <w:tcPr>
            <w:tcW w:w="333" w:type="dxa"/>
          </w:tcPr>
          <w:p w:rsidR="00DF60F4" w:rsidRPr="00D475C9" w:rsidP="00DF60F4" w14:paraId="5D895A37" w14:textId="0451CBE6">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DF60F4" w:rsidRPr="00D475C9" w:rsidP="00DF60F4" w14:paraId="7956C9BE" w14:textId="7178354B">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 xml:space="preserve">1. 161 university students completed a survey to evaluate the </w:t>
            </w:r>
            <w:r w:rsidR="004B6E26">
              <w:rPr>
                <w:rFonts w:eastAsia="Times New Roman"/>
                <w:sz w:val="12"/>
                <w:szCs w:val="12"/>
              </w:rPr>
              <w:t>Nutri-Score</w:t>
            </w:r>
            <w:r w:rsidRPr="00D475C9">
              <w:rPr>
                <w:rFonts w:eastAsia="Times New Roman"/>
                <w:sz w:val="12"/>
                <w:szCs w:val="12"/>
              </w:rPr>
              <w:t xml:space="preserve"> label as an aid </w:t>
            </w:r>
            <w:r w:rsidR="00D745D9">
              <w:rPr>
                <w:rFonts w:eastAsia="Times New Roman"/>
                <w:sz w:val="12"/>
                <w:szCs w:val="12"/>
              </w:rPr>
              <w:t>i</w:t>
            </w:r>
            <w:r w:rsidRPr="00D475C9">
              <w:rPr>
                <w:rFonts w:eastAsia="Times New Roman"/>
                <w:sz w:val="12"/>
                <w:szCs w:val="12"/>
              </w:rPr>
              <w:t>n choosing healthier products</w:t>
            </w:r>
          </w:p>
        </w:tc>
        <w:tc>
          <w:tcPr>
            <w:tcW w:w="1199" w:type="dxa"/>
          </w:tcPr>
          <w:p w:rsidR="00DF60F4" w:rsidRPr="00D475C9" w:rsidP="00DF60F4" w14:paraId="11866F18" w14:textId="2BA178E8">
            <w:pPr>
              <w:pStyle w:val="TableParagraph"/>
              <w:spacing w:line="252" w:lineRule="auto"/>
              <w:ind w:right="121"/>
              <w:rPr>
                <w:rFonts w:eastAsia="Times New Roman"/>
                <w:sz w:val="12"/>
                <w:szCs w:val="12"/>
              </w:rPr>
            </w:pPr>
            <w:r>
              <w:rPr>
                <w:rFonts w:eastAsia="Times New Roman"/>
                <w:sz w:val="12"/>
                <w:szCs w:val="12"/>
              </w:rPr>
              <w:t>Nutri-Score</w:t>
            </w:r>
          </w:p>
        </w:tc>
        <w:tc>
          <w:tcPr>
            <w:tcW w:w="1204" w:type="dxa"/>
          </w:tcPr>
          <w:p w:rsidR="00DF60F4" w:rsidRPr="00D475C9" w:rsidP="00DF60F4" w14:paraId="6D60A2F0" w14:textId="3DA1B896">
            <w:pPr>
              <w:spacing w:after="0" w:line="240" w:lineRule="auto"/>
              <w:rPr>
                <w:rFonts w:ascii="Calibri" w:eastAsia="Times New Roman" w:hAnsi="Calibri" w:cs="Calibri"/>
                <w:color w:val="000000"/>
                <w:sz w:val="12"/>
                <w:szCs w:val="12"/>
                <w:lang w:eastAsia="en-US"/>
              </w:rPr>
            </w:pPr>
            <w:r w:rsidRPr="00D475C9">
              <w:rPr>
                <w:rFonts w:ascii="Times New Roman" w:eastAsia="Times New Roman" w:hAnsi="Times New Roman" w:cs="Times New Roman"/>
                <w:noProof/>
                <w:color w:val="000000"/>
                <w:sz w:val="12"/>
                <w:szCs w:val="12"/>
                <w:lang w:eastAsia="en-US"/>
              </w:rPr>
              <w:drawing>
                <wp:anchor distT="0" distB="0" distL="114300" distR="114300" simplePos="0" relativeHeight="251712512" behindDoc="0" locked="0" layoutInCell="1" allowOverlap="1">
                  <wp:simplePos x="0" y="0"/>
                  <wp:positionH relativeFrom="column">
                    <wp:posOffset>41797</wp:posOffset>
                  </wp:positionH>
                  <wp:positionV relativeFrom="paragraph">
                    <wp:posOffset>48260</wp:posOffset>
                  </wp:positionV>
                  <wp:extent cx="596900" cy="222250"/>
                  <wp:effectExtent l="0" t="0" r="0" b="6350"/>
                  <wp:wrapNone/>
                  <wp:docPr id="112" name="Picture 112"/>
                  <wp:cNvGraphicFramePr/>
                  <a:graphic xmlns:a="http://schemas.openxmlformats.org/drawingml/2006/main">
                    <a:graphicData uri="http://schemas.openxmlformats.org/drawingml/2006/picture">
                      <pic:pic xmlns:pic="http://schemas.openxmlformats.org/drawingml/2006/picture">
                        <pic:nvPicPr>
                          <pic:cNvPr id="112" name="Picture 61"/>
                          <pic:cNvPicPr>
                            <a:picLocks noChangeAspect="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rcRect t="67680"/>
                          <a:stretch>
                            <a:fillRect/>
                          </a:stretch>
                        </pic:blipFill>
                        <pic:spPr>
                          <a:xfrm>
                            <a:off x="0" y="0"/>
                            <a:ext cx="596900" cy="222250"/>
                          </a:xfrm>
                          <a:prstGeom prst="rect">
                            <a:avLst/>
                          </a:prstGeom>
                        </pic:spPr>
                      </pic:pic>
                    </a:graphicData>
                  </a:graphic>
                  <wp14:sizeRelH relativeFrom="page">
                    <wp14:pctWidth>0</wp14:pctWidth>
                  </wp14:sizeRelH>
                  <wp14:sizeRelV relativeFrom="page">
                    <wp14:pctHeight>0</wp14:pctHeight>
                  </wp14:sizeRelV>
                </wp:anchor>
              </w:drawing>
            </w:r>
          </w:p>
        </w:tc>
        <w:tc>
          <w:tcPr>
            <w:tcW w:w="550" w:type="dxa"/>
          </w:tcPr>
          <w:p w:rsidR="00DF60F4" w:rsidRPr="00D475C9" w:rsidP="00DF60F4" w14:paraId="2F57CC5F" w14:textId="040F00AE">
            <w:pPr>
              <w:pStyle w:val="TableParagraph"/>
              <w:spacing w:line="140" w:lineRule="exact"/>
              <w:ind w:left="0" w:right="39"/>
              <w:jc w:val="center"/>
              <w:rPr>
                <w:rFonts w:eastAsia="Times New Roman"/>
                <w:sz w:val="12"/>
                <w:szCs w:val="12"/>
              </w:rPr>
            </w:pPr>
            <w:r w:rsidRPr="00D475C9">
              <w:rPr>
                <w:rFonts w:eastAsia="Times New Roman"/>
                <w:sz w:val="12"/>
                <w:szCs w:val="12"/>
              </w:rPr>
              <w:t>Spain</w:t>
            </w:r>
          </w:p>
        </w:tc>
        <w:tc>
          <w:tcPr>
            <w:tcW w:w="3487" w:type="dxa"/>
          </w:tcPr>
          <w:p w:rsidR="00DF60F4" w:rsidRPr="00D475C9" w:rsidP="00DF60F4" w14:paraId="564823AA" w14:textId="0BE0988F">
            <w:pPr>
              <w:pStyle w:val="TableParagraph"/>
              <w:spacing w:line="252" w:lineRule="auto"/>
              <w:rPr>
                <w:rFonts w:eastAsia="Times New Roman"/>
                <w:sz w:val="12"/>
                <w:szCs w:val="12"/>
              </w:rPr>
            </w:pPr>
            <w:r w:rsidRPr="00D475C9">
              <w:rPr>
                <w:rFonts w:eastAsia="Times New Roman"/>
                <w:sz w:val="12"/>
                <w:szCs w:val="12"/>
              </w:rPr>
              <w:t xml:space="preserve">1. One third of students did not know what </w:t>
            </w:r>
            <w:r w:rsidR="004B6E26">
              <w:rPr>
                <w:rFonts w:eastAsia="Times New Roman"/>
                <w:sz w:val="12"/>
                <w:szCs w:val="12"/>
              </w:rPr>
              <w:t>Nutri-Score</w:t>
            </w:r>
            <w:r w:rsidRPr="00D475C9">
              <w:rPr>
                <w:rFonts w:eastAsia="Times New Roman"/>
                <w:sz w:val="12"/>
                <w:szCs w:val="12"/>
              </w:rPr>
              <w:t xml:space="preserve"> label indicates.</w:t>
            </w:r>
            <w:r w:rsidRPr="00D475C9">
              <w:rPr>
                <w:rFonts w:eastAsia="Times New Roman"/>
                <w:sz w:val="12"/>
                <w:szCs w:val="12"/>
              </w:rPr>
              <w:br/>
              <w:t xml:space="preserve">2. Majority (89%) of students felt </w:t>
            </w:r>
            <w:r w:rsidR="004B6E26">
              <w:rPr>
                <w:rFonts w:eastAsia="Times New Roman"/>
                <w:sz w:val="12"/>
                <w:szCs w:val="12"/>
              </w:rPr>
              <w:t>Nutri-Score</w:t>
            </w:r>
            <w:r w:rsidRPr="00D475C9">
              <w:rPr>
                <w:rFonts w:eastAsia="Times New Roman"/>
                <w:sz w:val="12"/>
                <w:szCs w:val="12"/>
              </w:rPr>
              <w:t xml:space="preserve"> is helpful for better product choice</w:t>
            </w:r>
          </w:p>
        </w:tc>
      </w:tr>
      <w:tr w14:paraId="2B301597"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7DD02DFA" w14:textId="2E62314B">
            <w:pPr>
              <w:pStyle w:val="TableParagraph"/>
              <w:spacing w:line="252" w:lineRule="auto"/>
              <w:ind w:right="133"/>
              <w:rPr>
                <w:rFonts w:eastAsia="Times New Roman"/>
                <w:color w:val="000000"/>
                <w:sz w:val="12"/>
                <w:szCs w:val="12"/>
              </w:rPr>
            </w:pPr>
            <w:r w:rsidRPr="00D475C9">
              <w:rPr>
                <w:rFonts w:eastAsia="Times New Roman"/>
                <w:color w:val="000000"/>
                <w:sz w:val="12"/>
                <w:szCs w:val="12"/>
              </w:rPr>
              <w:t xml:space="preserve">Gibson‐Moore </w:t>
            </w:r>
          </w:p>
        </w:tc>
        <w:tc>
          <w:tcPr>
            <w:tcW w:w="2101" w:type="dxa"/>
          </w:tcPr>
          <w:p w:rsidR="00DF60F4" w:rsidRPr="00D475C9" w:rsidP="00DF60F4" w14:paraId="3680C6BB" w14:textId="0809E86F">
            <w:pPr>
              <w:pStyle w:val="TableParagraph"/>
              <w:spacing w:line="252" w:lineRule="auto"/>
              <w:ind w:right="102"/>
              <w:rPr>
                <w:rFonts w:eastAsia="Times New Roman"/>
                <w:color w:val="000000"/>
                <w:sz w:val="12"/>
                <w:szCs w:val="12"/>
              </w:rPr>
            </w:pPr>
            <w:r w:rsidRPr="00D475C9">
              <w:rPr>
                <w:rFonts w:eastAsia="Times New Roman"/>
                <w:color w:val="000000"/>
                <w:sz w:val="12"/>
                <w:szCs w:val="12"/>
              </w:rPr>
              <w:t xml:space="preserve">Evolution not revolution – what might the future hold for front‐of‐pack nutrition labelling in the </w:t>
            </w:r>
            <w:r w:rsidRPr="00D475C9">
              <w:rPr>
                <w:rFonts w:eastAsia="Times New Roman"/>
                <w:color w:val="000000"/>
                <w:sz w:val="12"/>
                <w:szCs w:val="12"/>
              </w:rPr>
              <w:t>UK?:</w:t>
            </w:r>
            <w:r w:rsidRPr="00D475C9">
              <w:rPr>
                <w:rFonts w:eastAsia="Times New Roman"/>
                <w:color w:val="000000"/>
                <w:sz w:val="12"/>
                <w:szCs w:val="12"/>
              </w:rPr>
              <w:t xml:space="preserve"> A British Nutrition Foundation roundtable</w:t>
            </w:r>
          </w:p>
        </w:tc>
        <w:tc>
          <w:tcPr>
            <w:tcW w:w="333" w:type="dxa"/>
          </w:tcPr>
          <w:p w:rsidR="00DF60F4" w:rsidRPr="00D475C9" w:rsidP="00DF60F4" w14:paraId="0554D7F7" w14:textId="7F26AA29">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DF60F4" w:rsidRPr="00D475C9" w:rsidP="00DF60F4" w14:paraId="22EDE504" w14:textId="12F87C46">
            <w:pPr>
              <w:pStyle w:val="TableParagraph"/>
              <w:spacing w:line="252" w:lineRule="auto"/>
              <w:ind w:left="29" w:right="173"/>
              <w:rPr>
                <w:rFonts w:eastAsia="Times New Roman"/>
                <w:sz w:val="12"/>
                <w:szCs w:val="12"/>
              </w:rPr>
            </w:pPr>
            <w:r w:rsidRPr="00D475C9">
              <w:rPr>
                <w:rFonts w:eastAsia="Times New Roman"/>
                <w:sz w:val="12"/>
                <w:szCs w:val="12"/>
              </w:rPr>
              <w:t>Qualitative</w:t>
            </w:r>
            <w:r w:rsidRPr="00D475C9">
              <w:rPr>
                <w:rFonts w:eastAsia="Times New Roman"/>
                <w:sz w:val="12"/>
                <w:szCs w:val="12"/>
              </w:rPr>
              <w:br/>
              <w:t xml:space="preserve">Report from British Nutrition Foundation roundtable discussion on </w:t>
            </w:r>
            <w:r w:rsidR="004B6E26">
              <w:rPr>
                <w:rFonts w:eastAsia="Times New Roman"/>
                <w:sz w:val="12"/>
                <w:szCs w:val="12"/>
              </w:rPr>
              <w:t>FOP</w:t>
            </w:r>
            <w:r w:rsidRPr="00D475C9">
              <w:rPr>
                <w:rFonts w:eastAsia="Times New Roman"/>
                <w:sz w:val="12"/>
                <w:szCs w:val="12"/>
              </w:rPr>
              <w:t xml:space="preserve">s to gather views and evidence on multiple traffic light and other </w:t>
            </w:r>
            <w:r w:rsidR="004B6E26">
              <w:rPr>
                <w:rFonts w:eastAsia="Times New Roman"/>
                <w:sz w:val="12"/>
                <w:szCs w:val="12"/>
              </w:rPr>
              <w:t>FOP</w:t>
            </w:r>
            <w:r w:rsidRPr="00D475C9">
              <w:rPr>
                <w:rFonts w:eastAsia="Times New Roman"/>
                <w:sz w:val="12"/>
                <w:szCs w:val="12"/>
              </w:rPr>
              <w:t>s in respect of their impact on consumer and industry behavior</w:t>
            </w:r>
          </w:p>
        </w:tc>
        <w:tc>
          <w:tcPr>
            <w:tcW w:w="1199" w:type="dxa"/>
          </w:tcPr>
          <w:p w:rsidR="00DF60F4" w:rsidRPr="00D475C9" w:rsidP="00DF60F4" w14:paraId="1B778C78" w14:textId="61C43C74">
            <w:pPr>
              <w:pStyle w:val="TableParagraph"/>
              <w:spacing w:line="252" w:lineRule="auto"/>
              <w:ind w:right="121"/>
              <w:rPr>
                <w:rFonts w:eastAsia="Times New Roman"/>
                <w:sz w:val="12"/>
                <w:szCs w:val="12"/>
              </w:rPr>
            </w:pPr>
            <w:r w:rsidRPr="00D475C9">
              <w:rPr>
                <w:rFonts w:eastAsia="Times New Roman"/>
                <w:sz w:val="12"/>
                <w:szCs w:val="12"/>
              </w:rPr>
              <w:t>1. Reference Intakes (RI)</w:t>
            </w:r>
            <w:r w:rsidRPr="00D475C9">
              <w:rPr>
                <w:rFonts w:eastAsia="Times New Roman"/>
                <w:sz w:val="12"/>
                <w:szCs w:val="12"/>
              </w:rPr>
              <w:br/>
              <w:t xml:space="preserve">2. NutrInform Battery </w:t>
            </w:r>
            <w:r w:rsidRPr="00D475C9">
              <w:rPr>
                <w:rFonts w:eastAsia="Times New Roman"/>
                <w:sz w:val="12"/>
                <w:szCs w:val="12"/>
              </w:rPr>
              <w:br/>
              <w:t>3. Multiple Traffic Light (MTL)</w:t>
            </w:r>
            <w:r w:rsidRPr="00D475C9">
              <w:rPr>
                <w:rFonts w:eastAsia="Times New Roman"/>
                <w:sz w:val="12"/>
                <w:szCs w:val="12"/>
              </w:rPr>
              <w:br/>
              <w:t>4. Stop sign warnings</w:t>
            </w:r>
            <w:r w:rsidRPr="00D475C9">
              <w:rPr>
                <w:rFonts w:eastAsia="Times New Roman"/>
                <w:sz w:val="12"/>
                <w:szCs w:val="12"/>
              </w:rPr>
              <w:br/>
              <w:t>5. Keyhole logo</w:t>
            </w:r>
            <w:r w:rsidRPr="00D475C9">
              <w:rPr>
                <w:rFonts w:eastAsia="Times New Roman"/>
                <w:sz w:val="12"/>
                <w:szCs w:val="12"/>
              </w:rPr>
              <w:br/>
              <w:t>6. Heart/Health logos</w:t>
            </w:r>
            <w:r w:rsidRPr="00D475C9">
              <w:rPr>
                <w:rFonts w:eastAsia="Times New Roman"/>
                <w:sz w:val="12"/>
                <w:szCs w:val="12"/>
              </w:rPr>
              <w:br/>
              <w:t>7. Healthy/Healthier choice</w:t>
            </w:r>
            <w:r w:rsidRPr="00D475C9">
              <w:rPr>
                <w:rFonts w:eastAsia="Times New Roman"/>
                <w:sz w:val="12"/>
                <w:szCs w:val="12"/>
              </w:rPr>
              <w:br/>
              <w:t xml:space="preserve">8. </w:t>
            </w:r>
            <w:r w:rsidR="004B6E26">
              <w:rPr>
                <w:rFonts w:eastAsia="Times New Roman"/>
                <w:sz w:val="12"/>
                <w:szCs w:val="12"/>
              </w:rPr>
              <w:t>Nutri-Score</w:t>
            </w:r>
            <w:r w:rsidRPr="00D475C9">
              <w:rPr>
                <w:rFonts w:eastAsia="Times New Roman"/>
                <w:sz w:val="12"/>
                <w:szCs w:val="12"/>
              </w:rPr>
              <w:br/>
              <w:t>9. Health Star Rating (HSR)</w:t>
            </w:r>
          </w:p>
        </w:tc>
        <w:tc>
          <w:tcPr>
            <w:tcW w:w="1204" w:type="dxa"/>
          </w:tcPr>
          <w:p w:rsidR="00DF60F4" w:rsidRPr="00D475C9" w:rsidP="00DF60F4" w14:paraId="54548C0B" w14:textId="496009EE">
            <w:pPr>
              <w:spacing w:after="0" w:line="240" w:lineRule="auto"/>
              <w:rPr>
                <w:rFonts w:ascii="Times New Roman" w:eastAsia="Times New Roman" w:hAnsi="Times New Roman" w:cs="Times New Roman"/>
                <w:noProof/>
                <w:color w:val="000000"/>
                <w:sz w:val="12"/>
                <w:szCs w:val="12"/>
                <w:lang w:eastAsia="en-US"/>
              </w:rPr>
            </w:pPr>
            <w:r w:rsidRPr="00D475C9">
              <w:rPr>
                <w:rFonts w:ascii="Times New Roman" w:eastAsia="Times New Roman" w:hAnsi="Times New Roman" w:cs="Times New Roman"/>
                <w:noProof/>
                <w:color w:val="000000"/>
                <w:sz w:val="12"/>
                <w:szCs w:val="12"/>
                <w:lang w:eastAsia="en-US"/>
              </w:rPr>
              <mc:AlternateContent>
                <mc:Choice Requires="wpg">
                  <w:drawing>
                    <wp:anchor distT="0" distB="0" distL="114300" distR="114300" simplePos="0" relativeHeight="251713536" behindDoc="0" locked="0" layoutInCell="1" allowOverlap="1">
                      <wp:simplePos x="0" y="0"/>
                      <wp:positionH relativeFrom="column">
                        <wp:posOffset>50800</wp:posOffset>
                      </wp:positionH>
                      <wp:positionV relativeFrom="paragraph">
                        <wp:posOffset>71755</wp:posOffset>
                      </wp:positionV>
                      <wp:extent cx="640080" cy="412750"/>
                      <wp:effectExtent l="0" t="0" r="7620" b="6350"/>
                      <wp:wrapNone/>
                      <wp:docPr id="111" name="Group 111"/>
                      <wp:cNvGraphicFramePr>
                        <a:graphicFrameLocks xmlns:a="http://schemas.openxmlformats.org/drawingml/2006/main" noChangeAspect="1"/>
                      </wp:cNvGraphicFramePr>
                      <a:graphic xmlns:a="http://schemas.openxmlformats.org/drawingml/2006/main">
                        <a:graphicData uri="http://schemas.microsoft.com/office/word/2010/wordprocessingGroup">
                          <wpg:wgp xmlns:wpg="http://schemas.microsoft.com/office/word/2010/wordprocessingGroup">
                            <wpg:cNvGrpSpPr>
                              <a:grpSpLocks noChangeAspect="1"/>
                            </wpg:cNvGrpSpPr>
                            <wpg:grpSpPr>
                              <a:xfrm>
                                <a:off x="0" y="0"/>
                                <a:ext cx="640080" cy="412750"/>
                                <a:chOff x="0" y="0"/>
                                <a:chExt cx="1434994" cy="1054868"/>
                              </a:xfrm>
                            </wpg:grpSpPr>
                            <pic:pic xmlns:pic="http://schemas.openxmlformats.org/drawingml/2006/picture">
                              <pic:nvPicPr>
                                <pic:cNvPr id="114" name="Picture 114"/>
                                <pic:cNvPicPr>
                                  <a:picLocks noChangeAspect="1"/>
                                </pic:cNvPicPr>
                              </pic:nvPicPr>
                              <pic:blipFill>
                                <a:blip xmlns:r="http://schemas.openxmlformats.org/officeDocument/2006/relationships" r:embed="rId95" cstate="print">
                                  <a:extLst>
                                    <a:ext xmlns:a="http://schemas.openxmlformats.org/drawingml/2006/main" uri="{28A0092B-C50C-407E-A947-70E740481C1C}">
                                      <a14:useLocalDpi xmlns:a14="http://schemas.microsoft.com/office/drawing/2010/main" val="0"/>
                                    </a:ext>
                                  </a:extLst>
                                </a:blip>
                                <a:stretch>
                                  <a:fillRect/>
                                </a:stretch>
                              </pic:blipFill>
                              <pic:spPr>
                                <a:xfrm rot="5400000">
                                  <a:off x="659804" y="203691"/>
                                  <a:ext cx="978882" cy="571499"/>
                                </a:xfrm>
                                <a:prstGeom prst="rect">
                                  <a:avLst/>
                                </a:prstGeom>
                              </pic:spPr>
                            </pic:pic>
                            <pic:pic xmlns:pic="http://schemas.openxmlformats.org/drawingml/2006/picture">
                              <pic:nvPicPr>
                                <pic:cNvPr id="115" name="Picture 115"/>
                                <pic:cNvPicPr>
                                  <a:picLocks noChangeAspect="1"/>
                                </pic:cNvPicPr>
                              </pic:nvPicPr>
                              <pic:blipFill>
                                <a:blip xmlns:r="http://schemas.openxmlformats.org/officeDocument/2006/relationships" r:embed="rId96" cstate="print">
                                  <a:extLst>
                                    <a:ext xmlns:a="http://schemas.openxmlformats.org/drawingml/2006/main" uri="{28A0092B-C50C-407E-A947-70E740481C1C}">
                                      <a14:useLocalDpi xmlns:a14="http://schemas.microsoft.com/office/drawing/2010/main" val="0"/>
                                    </a:ext>
                                  </a:extLst>
                                </a:blip>
                                <a:stretch>
                                  <a:fillRect/>
                                </a:stretch>
                              </pic:blipFill>
                              <pic:spPr>
                                <a:xfrm rot="5400000">
                                  <a:off x="-240764" y="255409"/>
                                  <a:ext cx="1040223" cy="558696"/>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11" o:spid="_x0000_s1058" style="width:50.4pt;height:32.5pt;margin-top:5.65pt;margin-left:4pt;position:absolute;z-index:251714560" coordsize="14349,10548">
                      <o:lock v:ext="edit" aspectratio="t"/>
                      <v:shape id="Picture 114" o:spid="_x0000_s1059" type="#_x0000_t75" style="width:9788;height:5715;left:6598;mso-wrap-style:square;position:absolute;rotation:90;top:2036;visibility:visible">
                        <v:imagedata r:id="rId95" o:title=""/>
                      </v:shape>
                      <v:shape id="Picture 115" o:spid="_x0000_s1060" type="#_x0000_t75" style="width:10402;height:5586;left:-2408;mso-wrap-style:square;position:absolute;rotation:90;top:2554;visibility:visible">
                        <v:imagedata r:id="rId96" o:title=""/>
                      </v:shape>
                    </v:group>
                  </w:pict>
                </mc:Fallback>
              </mc:AlternateContent>
            </w:r>
          </w:p>
        </w:tc>
        <w:tc>
          <w:tcPr>
            <w:tcW w:w="550" w:type="dxa"/>
          </w:tcPr>
          <w:p w:rsidR="00DF60F4" w:rsidRPr="00D475C9" w:rsidP="00DF60F4" w14:paraId="4A8D6188" w14:textId="05DD85E8">
            <w:pPr>
              <w:pStyle w:val="TableParagraph"/>
              <w:spacing w:line="140" w:lineRule="exact"/>
              <w:ind w:left="0" w:right="39"/>
              <w:jc w:val="center"/>
              <w:rPr>
                <w:rFonts w:eastAsia="Times New Roman"/>
                <w:sz w:val="12"/>
                <w:szCs w:val="12"/>
              </w:rPr>
            </w:pPr>
            <w:r w:rsidRPr="00D475C9">
              <w:rPr>
                <w:rFonts w:eastAsia="Times New Roman"/>
                <w:sz w:val="12"/>
                <w:szCs w:val="12"/>
              </w:rPr>
              <w:t>U.K.</w:t>
            </w:r>
          </w:p>
        </w:tc>
        <w:tc>
          <w:tcPr>
            <w:tcW w:w="3487" w:type="dxa"/>
          </w:tcPr>
          <w:p w:rsidR="00DF60F4" w:rsidRPr="00D475C9" w:rsidP="00DF60F4" w14:paraId="2CE36896" w14:textId="405022BB">
            <w:pPr>
              <w:pStyle w:val="TableParagraph"/>
              <w:spacing w:line="252" w:lineRule="auto"/>
              <w:rPr>
                <w:rFonts w:eastAsia="Times New Roman"/>
                <w:sz w:val="12"/>
                <w:szCs w:val="12"/>
              </w:rPr>
            </w:pPr>
            <w:r w:rsidRPr="00D475C9">
              <w:rPr>
                <w:rFonts w:eastAsia="Times New Roman"/>
                <w:sz w:val="12"/>
                <w:szCs w:val="12"/>
              </w:rPr>
              <w:t>1. Labels use colors, shapes, and nutrition information to help consumers make informed choices, but no strong evidence to say that any one is more effective than another, particularly in the UK.</w:t>
            </w:r>
            <w:r w:rsidRPr="00D475C9">
              <w:rPr>
                <w:rFonts w:eastAsia="Times New Roman"/>
                <w:sz w:val="12"/>
                <w:szCs w:val="12"/>
              </w:rPr>
              <w:br/>
              <w:t xml:space="preserve">2. Using just one consistent form of </w:t>
            </w:r>
            <w:r w:rsidR="004B6E26">
              <w:rPr>
                <w:rFonts w:eastAsia="Times New Roman"/>
                <w:sz w:val="12"/>
                <w:szCs w:val="12"/>
              </w:rPr>
              <w:t>FOP</w:t>
            </w:r>
            <w:r w:rsidRPr="00D475C9">
              <w:rPr>
                <w:rFonts w:eastAsia="Times New Roman"/>
                <w:sz w:val="12"/>
                <w:szCs w:val="12"/>
              </w:rPr>
              <w:t xml:space="preserve"> is key in consumers noticing the information, becoming familiar with </w:t>
            </w:r>
            <w:r w:rsidRPr="00D475C9">
              <w:rPr>
                <w:rFonts w:eastAsia="Times New Roman"/>
                <w:sz w:val="12"/>
                <w:szCs w:val="12"/>
              </w:rPr>
              <w:t>it</w:t>
            </w:r>
            <w:r w:rsidRPr="00D475C9">
              <w:rPr>
                <w:rFonts w:eastAsia="Times New Roman"/>
                <w:sz w:val="12"/>
                <w:szCs w:val="12"/>
              </w:rPr>
              <w:t xml:space="preserve"> and gaining confidence in its use.</w:t>
            </w:r>
            <w:r w:rsidRPr="00D475C9">
              <w:rPr>
                <w:rFonts w:eastAsia="Times New Roman"/>
                <w:sz w:val="12"/>
                <w:szCs w:val="12"/>
              </w:rPr>
              <w:br/>
              <w:t>3. Roundtable participants recommend:</w:t>
            </w:r>
            <w:r w:rsidRPr="00D475C9">
              <w:rPr>
                <w:rFonts w:eastAsia="Times New Roman"/>
                <w:sz w:val="12"/>
                <w:szCs w:val="12"/>
              </w:rPr>
              <w:br/>
              <w:t>- ongoing and timely reviews of the underlying basis of any FOPNL.</w:t>
            </w:r>
            <w:r w:rsidRPr="00D475C9">
              <w:rPr>
                <w:rFonts w:eastAsia="Times New Roman"/>
                <w:sz w:val="12"/>
                <w:szCs w:val="12"/>
              </w:rPr>
              <w:br/>
              <w:t>- FOPNL should never be considered as a magic bullet for improving public health and encouraging healthier food choices</w:t>
            </w:r>
            <w:r w:rsidRPr="00D475C9">
              <w:rPr>
                <w:rFonts w:eastAsia="Times New Roman"/>
                <w:sz w:val="12"/>
                <w:szCs w:val="12"/>
              </w:rPr>
              <w:br/>
              <w:t>- needs wider approach than just focus on single nutrients</w:t>
            </w:r>
            <w:r w:rsidRPr="00D475C9">
              <w:rPr>
                <w:rFonts w:eastAsia="Times New Roman"/>
                <w:sz w:val="12"/>
                <w:szCs w:val="12"/>
              </w:rPr>
              <w:br/>
              <w:t>- may not need all evidence that the FOPNLs are effective, need to act to educate consumers about the nutritional value of foods/beverages so they can made informed choices.</w:t>
            </w:r>
          </w:p>
        </w:tc>
      </w:tr>
      <w:tr w14:paraId="7E13C9E6"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505C33E2" w14:textId="223115DE">
            <w:pPr>
              <w:pStyle w:val="TableParagraph"/>
              <w:spacing w:line="252" w:lineRule="auto"/>
              <w:ind w:right="133"/>
              <w:rPr>
                <w:rFonts w:eastAsia="Times New Roman"/>
                <w:color w:val="000000"/>
                <w:sz w:val="12"/>
                <w:szCs w:val="12"/>
              </w:rPr>
            </w:pPr>
            <w:r w:rsidRPr="00D475C9">
              <w:rPr>
                <w:rFonts w:eastAsia="Times New Roman"/>
                <w:color w:val="000000"/>
                <w:sz w:val="12"/>
                <w:szCs w:val="12"/>
              </w:rPr>
              <w:t>Hoge, et al.</w:t>
            </w:r>
          </w:p>
        </w:tc>
        <w:tc>
          <w:tcPr>
            <w:tcW w:w="2101" w:type="dxa"/>
          </w:tcPr>
          <w:p w:rsidR="00DF60F4" w:rsidRPr="00D475C9" w:rsidP="00DF60F4" w14:paraId="7C3F4190" w14:textId="50209E85">
            <w:pPr>
              <w:pStyle w:val="TableParagraph"/>
              <w:spacing w:line="252" w:lineRule="auto"/>
              <w:ind w:right="102"/>
              <w:rPr>
                <w:rFonts w:eastAsia="Times New Roman"/>
                <w:color w:val="000000"/>
                <w:sz w:val="12"/>
                <w:szCs w:val="12"/>
              </w:rPr>
            </w:pPr>
            <w:r w:rsidRPr="00D475C9">
              <w:rPr>
                <w:rFonts w:eastAsia="Times New Roman"/>
                <w:color w:val="000000"/>
                <w:sz w:val="12"/>
                <w:szCs w:val="12"/>
              </w:rPr>
              <w:t>Health Literacy and Its Associations with Understanding and Perception of Front-of-Package Nutrition Labels among Higher Education Students</w:t>
            </w:r>
          </w:p>
        </w:tc>
        <w:tc>
          <w:tcPr>
            <w:tcW w:w="333" w:type="dxa"/>
          </w:tcPr>
          <w:p w:rsidR="00DF60F4" w:rsidRPr="00D475C9" w:rsidP="00DF60F4" w14:paraId="21C327B4" w14:textId="0E6E28FD">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DF60F4" w:rsidRPr="00D475C9" w:rsidP="00DF60F4" w14:paraId="56D6D791" w14:textId="5D512BAF">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 xml:space="preserve">1. Online survey of 2295 students (universities, colleges, arts colleges, social advancement education institutions) relating to objective understanding and perception to assigned </w:t>
            </w:r>
            <w:r w:rsidR="004B6E26">
              <w:rPr>
                <w:rFonts w:eastAsia="Times New Roman"/>
                <w:sz w:val="12"/>
                <w:szCs w:val="12"/>
              </w:rPr>
              <w:t>FOP</w:t>
            </w:r>
            <w:r w:rsidRPr="00D475C9">
              <w:rPr>
                <w:rFonts w:eastAsia="Times New Roman"/>
                <w:sz w:val="12"/>
                <w:szCs w:val="12"/>
              </w:rPr>
              <w:t xml:space="preserve"> and level of health literacy</w:t>
            </w:r>
          </w:p>
        </w:tc>
        <w:tc>
          <w:tcPr>
            <w:tcW w:w="1199" w:type="dxa"/>
          </w:tcPr>
          <w:p w:rsidR="00DF60F4" w:rsidRPr="00D475C9" w:rsidP="00DF60F4" w14:paraId="0B18B1D7" w14:textId="0E05CAEB">
            <w:pPr>
              <w:pStyle w:val="TableParagraph"/>
              <w:spacing w:line="252" w:lineRule="auto"/>
              <w:ind w:right="121"/>
              <w:rPr>
                <w:rFonts w:eastAsia="Times New Roman"/>
                <w:sz w:val="12"/>
                <w:szCs w:val="12"/>
              </w:rPr>
            </w:pPr>
            <w:r w:rsidRPr="00D475C9">
              <w:rPr>
                <w:rFonts w:eastAsia="Times New Roman"/>
                <w:sz w:val="12"/>
                <w:szCs w:val="12"/>
              </w:rPr>
              <w:t xml:space="preserve">1. </w:t>
            </w:r>
            <w:r w:rsidR="004B6E26">
              <w:rPr>
                <w:rFonts w:eastAsia="Times New Roman"/>
                <w:sz w:val="12"/>
                <w:szCs w:val="12"/>
              </w:rPr>
              <w:t>Nutri-Score</w:t>
            </w:r>
            <w:r w:rsidRPr="00D475C9">
              <w:rPr>
                <w:rFonts w:eastAsia="Times New Roman"/>
                <w:sz w:val="12"/>
                <w:szCs w:val="12"/>
              </w:rPr>
              <w:br/>
              <w:t>2. Reference Intakes (RI)</w:t>
            </w:r>
            <w:r w:rsidRPr="00D475C9">
              <w:rPr>
                <w:rFonts w:eastAsia="Times New Roman"/>
                <w:sz w:val="12"/>
                <w:szCs w:val="12"/>
              </w:rPr>
              <w:br/>
              <w:t>3. Multiple Traffic Light (MTL)</w:t>
            </w:r>
          </w:p>
        </w:tc>
        <w:tc>
          <w:tcPr>
            <w:tcW w:w="1204" w:type="dxa"/>
          </w:tcPr>
          <w:p w:rsidR="00DF60F4" w:rsidRPr="00D475C9" w:rsidP="00DF60F4" w14:paraId="4D6B489E" w14:textId="39C9C464">
            <w:pPr>
              <w:spacing w:after="0" w:line="240" w:lineRule="auto"/>
              <w:rPr>
                <w:rFonts w:ascii="Times New Roman" w:eastAsia="Times New Roman" w:hAnsi="Times New Roman" w:cs="Times New Roman"/>
                <w:noProof/>
                <w:color w:val="000000"/>
                <w:sz w:val="12"/>
                <w:szCs w:val="12"/>
                <w:lang w:eastAsia="en-US"/>
              </w:rPr>
            </w:pPr>
            <w:r w:rsidRPr="00D475C9">
              <w:rPr>
                <w:rFonts w:ascii="Calibri" w:eastAsia="Times New Roman" w:hAnsi="Calibri" w:cs="Calibri"/>
                <w:color w:val="000000"/>
                <w:sz w:val="12"/>
                <w:szCs w:val="12"/>
                <w:lang w:eastAsia="en-US"/>
              </w:rPr>
              <w:t>No image available</w:t>
            </w:r>
          </w:p>
        </w:tc>
        <w:tc>
          <w:tcPr>
            <w:tcW w:w="550" w:type="dxa"/>
          </w:tcPr>
          <w:p w:rsidR="00DF60F4" w:rsidRPr="00D475C9" w:rsidP="00DF60F4" w14:paraId="27CDA220" w14:textId="0C8008E6">
            <w:pPr>
              <w:pStyle w:val="TableParagraph"/>
              <w:spacing w:line="140" w:lineRule="exact"/>
              <w:ind w:left="0" w:right="39"/>
              <w:jc w:val="center"/>
              <w:rPr>
                <w:rFonts w:eastAsia="Times New Roman"/>
                <w:sz w:val="12"/>
                <w:szCs w:val="12"/>
              </w:rPr>
            </w:pPr>
            <w:r w:rsidRPr="00D475C9">
              <w:rPr>
                <w:rFonts w:eastAsia="Times New Roman"/>
                <w:sz w:val="12"/>
                <w:szCs w:val="12"/>
              </w:rPr>
              <w:t>Belgium</w:t>
            </w:r>
          </w:p>
        </w:tc>
        <w:tc>
          <w:tcPr>
            <w:tcW w:w="3487" w:type="dxa"/>
          </w:tcPr>
          <w:p w:rsidR="00DF60F4" w:rsidRPr="00D475C9" w:rsidP="00DF60F4" w14:paraId="16D17F78" w14:textId="180D265A">
            <w:pPr>
              <w:pStyle w:val="TableParagraph"/>
              <w:spacing w:line="252" w:lineRule="auto"/>
              <w:rPr>
                <w:rFonts w:eastAsia="Times New Roman"/>
                <w:sz w:val="12"/>
                <w:szCs w:val="12"/>
              </w:rPr>
            </w:pPr>
            <w:r w:rsidRPr="00D475C9">
              <w:rPr>
                <w:rFonts w:eastAsia="Times New Roman"/>
                <w:sz w:val="12"/>
                <w:szCs w:val="12"/>
              </w:rPr>
              <w:t xml:space="preserve">1. </w:t>
            </w:r>
            <w:r w:rsidR="004B6E26">
              <w:rPr>
                <w:rFonts w:eastAsia="Times New Roman"/>
                <w:sz w:val="12"/>
                <w:szCs w:val="12"/>
              </w:rPr>
              <w:t>Nutri-Score</w:t>
            </w:r>
            <w:r w:rsidRPr="00D475C9">
              <w:rPr>
                <w:rFonts w:eastAsia="Times New Roman"/>
                <w:sz w:val="12"/>
                <w:szCs w:val="12"/>
              </w:rPr>
              <w:t xml:space="preserve"> most effective in guiding students among disadvantaged students (those with inadequate health literacy, from non-university institutions, with low self-estimated nutrition knowledge or low self-estimated diet quality)</w:t>
            </w:r>
            <w:r w:rsidRPr="00D475C9">
              <w:rPr>
                <w:rFonts w:eastAsia="Times New Roman"/>
                <w:sz w:val="12"/>
                <w:szCs w:val="12"/>
              </w:rPr>
              <w:br/>
              <w:t xml:space="preserve">2. Students with inadequate health literacy preferred </w:t>
            </w:r>
            <w:r w:rsidR="004B6E26">
              <w:rPr>
                <w:rFonts w:eastAsia="Times New Roman"/>
                <w:sz w:val="12"/>
                <w:szCs w:val="12"/>
              </w:rPr>
              <w:t>Nutri-Score</w:t>
            </w:r>
            <w:r w:rsidRPr="00D475C9">
              <w:rPr>
                <w:rFonts w:eastAsia="Times New Roman"/>
                <w:sz w:val="12"/>
                <w:szCs w:val="12"/>
              </w:rPr>
              <w:t>, those with problematic health literacy preferred the MTL, and those with sufficient health literacy preferred the RI or no label.</w:t>
            </w:r>
          </w:p>
        </w:tc>
      </w:tr>
      <w:tr w14:paraId="78445740"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403D5E26" w14:textId="509075CB">
            <w:pPr>
              <w:pStyle w:val="TableParagraph"/>
              <w:spacing w:line="252" w:lineRule="auto"/>
              <w:ind w:right="133"/>
              <w:rPr>
                <w:rFonts w:eastAsia="Times New Roman"/>
                <w:color w:val="000000"/>
                <w:sz w:val="12"/>
                <w:szCs w:val="12"/>
              </w:rPr>
            </w:pPr>
            <w:r w:rsidRPr="00D475C9">
              <w:rPr>
                <w:rFonts w:eastAsia="Times New Roman"/>
                <w:color w:val="000000"/>
                <w:sz w:val="12"/>
                <w:szCs w:val="12"/>
              </w:rPr>
              <w:t>Jáuregui, et al.</w:t>
            </w:r>
          </w:p>
        </w:tc>
        <w:tc>
          <w:tcPr>
            <w:tcW w:w="2101" w:type="dxa"/>
          </w:tcPr>
          <w:p w:rsidR="00DF60F4" w:rsidRPr="00D475C9" w:rsidP="00DF60F4" w14:paraId="0D51BD09" w14:textId="5103D93E">
            <w:pPr>
              <w:pStyle w:val="TableParagraph"/>
              <w:spacing w:line="252" w:lineRule="auto"/>
              <w:ind w:right="102"/>
              <w:rPr>
                <w:rFonts w:eastAsia="Times New Roman"/>
                <w:color w:val="000000"/>
                <w:sz w:val="12"/>
                <w:szCs w:val="12"/>
              </w:rPr>
            </w:pPr>
            <w:r w:rsidRPr="00D475C9">
              <w:rPr>
                <w:rFonts w:eastAsia="Times New Roman"/>
                <w:color w:val="000000"/>
                <w:sz w:val="12"/>
                <w:szCs w:val="12"/>
              </w:rPr>
              <w:t>Impact of front-of-pack labels on the perceived healthfulness of a sweetened fruit drink: a randomized experiment in five countries</w:t>
            </w:r>
          </w:p>
        </w:tc>
        <w:tc>
          <w:tcPr>
            <w:tcW w:w="333" w:type="dxa"/>
          </w:tcPr>
          <w:p w:rsidR="00DF60F4" w:rsidRPr="00D475C9" w:rsidP="00DF60F4" w14:paraId="13CDC4F5" w14:textId="1BB1F9F7">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DF60F4" w:rsidRPr="00D475C9" w:rsidP="00DF60F4" w14:paraId="5809B7CE" w14:textId="4B84F9FA">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 xml:space="preserve">1. </w:t>
            </w:r>
            <w:r w:rsidRPr="00D745D9" w:rsidR="00D745D9">
              <w:rPr>
                <w:rFonts w:eastAsia="Times New Roman"/>
                <w:sz w:val="12"/>
                <w:szCs w:val="12"/>
              </w:rPr>
              <w:t xml:space="preserve">Online survey: 22,140 participants randomly assigned to view one of 6 images with different </w:t>
            </w:r>
            <w:r w:rsidR="004B6E26">
              <w:rPr>
                <w:rFonts w:eastAsia="Times New Roman"/>
                <w:sz w:val="12"/>
                <w:szCs w:val="12"/>
              </w:rPr>
              <w:t>FOP</w:t>
            </w:r>
            <w:r w:rsidRPr="00D745D9" w:rsidR="00D745D9">
              <w:rPr>
                <w:rFonts w:eastAsia="Times New Roman"/>
                <w:sz w:val="12"/>
                <w:szCs w:val="12"/>
              </w:rPr>
              <w:t>s and then rated healthfulness of sweetened fruit drinks</w:t>
            </w:r>
          </w:p>
        </w:tc>
        <w:tc>
          <w:tcPr>
            <w:tcW w:w="1199" w:type="dxa"/>
          </w:tcPr>
          <w:p w:rsidR="00DF60F4" w:rsidRPr="00D475C9" w:rsidP="00DF60F4" w14:paraId="07DD3AA6" w14:textId="49414F05">
            <w:pPr>
              <w:pStyle w:val="TableParagraph"/>
              <w:spacing w:line="252" w:lineRule="auto"/>
              <w:ind w:right="121"/>
              <w:rPr>
                <w:rFonts w:eastAsia="Times New Roman"/>
                <w:sz w:val="12"/>
                <w:szCs w:val="12"/>
              </w:rPr>
            </w:pPr>
            <w:r w:rsidRPr="00D475C9">
              <w:rPr>
                <w:rFonts w:eastAsia="Times New Roman"/>
                <w:sz w:val="12"/>
                <w:szCs w:val="12"/>
              </w:rPr>
              <w:t>1. Guideline Daily Amounts (GDA)</w:t>
            </w:r>
            <w:r w:rsidRPr="00D475C9">
              <w:rPr>
                <w:rFonts w:eastAsia="Times New Roman"/>
                <w:sz w:val="12"/>
                <w:szCs w:val="12"/>
              </w:rPr>
              <w:br/>
              <w:t>2. Multiple Traffic Lights (MTL)</w:t>
            </w:r>
            <w:r w:rsidRPr="00D475C9">
              <w:rPr>
                <w:rFonts w:eastAsia="Times New Roman"/>
                <w:sz w:val="12"/>
                <w:szCs w:val="12"/>
              </w:rPr>
              <w:br/>
              <w:t>3. Health Star Rating (HSR)</w:t>
            </w:r>
            <w:r w:rsidRPr="00D475C9">
              <w:rPr>
                <w:rFonts w:eastAsia="Times New Roman"/>
                <w:sz w:val="12"/>
                <w:szCs w:val="12"/>
              </w:rPr>
              <w:br/>
              <w:t>4. ‘High-in’ Warning Labels (HIWL)</w:t>
            </w:r>
            <w:r w:rsidRPr="00D475C9">
              <w:rPr>
                <w:rFonts w:eastAsia="Times New Roman"/>
                <w:sz w:val="12"/>
                <w:szCs w:val="12"/>
              </w:rPr>
              <w:br/>
              <w:t>5. Health Warning Labels (HWL)</w:t>
            </w:r>
          </w:p>
        </w:tc>
        <w:tc>
          <w:tcPr>
            <w:tcW w:w="1204" w:type="dxa"/>
            <w:vAlign w:val="bottom"/>
          </w:tcPr>
          <w:p w:rsidR="00DF60F4" w:rsidRPr="00D475C9" w:rsidP="00DF60F4" w14:paraId="69814409" w14:textId="77777777">
            <w:pPr>
              <w:spacing w:after="0" w:line="240" w:lineRule="auto"/>
              <w:rPr>
                <w:rFonts w:ascii="Calibri" w:eastAsia="Times New Roman" w:hAnsi="Calibri" w:cs="Calibri"/>
                <w:color w:val="000000"/>
                <w:sz w:val="12"/>
                <w:szCs w:val="12"/>
                <w:lang w:eastAsia="en-US"/>
              </w:rPr>
            </w:pPr>
            <w:r w:rsidRPr="00D475C9">
              <w:rPr>
                <w:rFonts w:ascii="Calibri" w:eastAsia="Times New Roman" w:hAnsi="Calibri" w:cs="Calibri"/>
                <w:noProof/>
                <w:color w:val="000000"/>
                <w:sz w:val="12"/>
                <w:szCs w:val="12"/>
                <w:lang w:eastAsia="en-US"/>
              </w:rPr>
              <w:drawing>
                <wp:anchor distT="0" distB="0" distL="114300" distR="114300" simplePos="0" relativeHeight="251715584" behindDoc="0" locked="0" layoutInCell="1" allowOverlap="1">
                  <wp:simplePos x="0" y="0"/>
                  <wp:positionH relativeFrom="column">
                    <wp:posOffset>38100</wp:posOffset>
                  </wp:positionH>
                  <wp:positionV relativeFrom="paragraph">
                    <wp:posOffset>219075</wp:posOffset>
                  </wp:positionV>
                  <wp:extent cx="640080" cy="192024"/>
                  <wp:effectExtent l="0" t="0" r="762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3"/>
                          <pic:cNvPicPr>
                            <a:picLocks noChangeAspect="1"/>
                          </pic:cNvPicPr>
                        </pic:nvPicPr>
                        <pic:blipFill>
                          <a:blip xmlns:r="http://schemas.openxmlformats.org/officeDocument/2006/relationships" r:embed="rId97"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0080" cy="19202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tblPr>
            <w:tblGrid>
              <w:gridCol w:w="3160"/>
            </w:tblGrid>
            <w:tr w14:paraId="11A8335B" w14:textId="77777777" w:rsidTr="00DF60F4">
              <w:tblPrEx>
                <w:tblW w:w="0" w:type="auto"/>
                <w:tblCellSpacing w:w="0" w:type="dxa"/>
                <w:tblLayout w:type="fixed"/>
                <w:tblCellMar>
                  <w:left w:w="0" w:type="dxa"/>
                  <w:right w:w="0" w:type="dxa"/>
                </w:tblCellMar>
                <w:tblLook w:val="04A0"/>
              </w:tblPrEx>
              <w:trPr>
                <w:trHeight w:val="1845"/>
                <w:tblCellSpacing w:w="0" w:type="dxa"/>
              </w:trPr>
              <w:tc>
                <w:tcPr>
                  <w:tcW w:w="3160" w:type="dxa"/>
                  <w:tcBorders>
                    <w:top w:val="nil"/>
                    <w:left w:val="nil"/>
                    <w:bottom w:val="single" w:sz="4" w:space="0" w:color="auto"/>
                    <w:right w:val="single" w:sz="4" w:space="0" w:color="auto"/>
                  </w:tcBorders>
                  <w:shd w:val="clear" w:color="auto" w:fill="auto"/>
                  <w:hideMark/>
                </w:tcPr>
                <w:p w:rsidR="00DF60F4" w:rsidRPr="00D475C9" w:rsidP="00DF60F4" w14:paraId="1F1C0994" w14:textId="77777777">
                  <w:pPr>
                    <w:spacing w:after="0" w:line="240" w:lineRule="auto"/>
                    <w:jc w:val="center"/>
                    <w:rPr>
                      <w:rFonts w:ascii="Times New Roman" w:eastAsia="Times New Roman" w:hAnsi="Times New Roman" w:cs="Times New Roman"/>
                      <w:color w:val="000000"/>
                      <w:sz w:val="12"/>
                      <w:szCs w:val="12"/>
                      <w:lang w:eastAsia="en-US"/>
                    </w:rPr>
                  </w:pPr>
                  <w:r w:rsidRPr="00D475C9">
                    <w:rPr>
                      <w:rFonts w:ascii="Times New Roman" w:eastAsia="Times New Roman" w:hAnsi="Times New Roman" w:cs="Times New Roman"/>
                      <w:color w:val="000000"/>
                      <w:sz w:val="12"/>
                      <w:szCs w:val="12"/>
                      <w:lang w:eastAsia="en-US"/>
                    </w:rPr>
                    <w:t> </w:t>
                  </w:r>
                </w:p>
              </w:tc>
            </w:tr>
          </w:tbl>
          <w:p w:rsidR="00DF60F4" w:rsidRPr="00D475C9" w:rsidP="00DF60F4" w14:paraId="4D1F997E" w14:textId="77777777">
            <w:pPr>
              <w:spacing w:after="0" w:line="240" w:lineRule="auto"/>
              <w:rPr>
                <w:rFonts w:ascii="Calibri" w:eastAsia="Times New Roman" w:hAnsi="Calibri" w:cs="Calibri"/>
                <w:color w:val="000000"/>
                <w:sz w:val="12"/>
                <w:szCs w:val="12"/>
                <w:lang w:eastAsia="en-US"/>
              </w:rPr>
            </w:pPr>
          </w:p>
        </w:tc>
        <w:tc>
          <w:tcPr>
            <w:tcW w:w="550" w:type="dxa"/>
          </w:tcPr>
          <w:p w:rsidR="00DF60F4" w:rsidRPr="00D475C9" w:rsidP="00DF60F4" w14:paraId="50505089" w14:textId="3A9B3E4C">
            <w:pPr>
              <w:pStyle w:val="TableParagraph"/>
              <w:spacing w:line="140" w:lineRule="exact"/>
              <w:ind w:left="0" w:right="39"/>
              <w:jc w:val="center"/>
              <w:rPr>
                <w:rFonts w:eastAsia="Times New Roman"/>
                <w:sz w:val="12"/>
                <w:szCs w:val="12"/>
              </w:rPr>
            </w:pPr>
            <w:r w:rsidRPr="00D475C9">
              <w:rPr>
                <w:rFonts w:eastAsia="Times New Roman"/>
                <w:sz w:val="12"/>
                <w:szCs w:val="12"/>
              </w:rPr>
              <w:t xml:space="preserve">Australia, Canada, Mexico, </w:t>
            </w:r>
            <w:r w:rsidRPr="00D475C9">
              <w:rPr>
                <w:rFonts w:eastAsia="Times New Roman"/>
                <w:sz w:val="12"/>
                <w:szCs w:val="12"/>
              </w:rPr>
              <w:t>UK</w:t>
            </w:r>
            <w:r w:rsidRPr="00D475C9">
              <w:rPr>
                <w:rFonts w:eastAsia="Times New Roman"/>
                <w:sz w:val="12"/>
                <w:szCs w:val="12"/>
              </w:rPr>
              <w:t xml:space="preserve"> and US</w:t>
            </w:r>
          </w:p>
        </w:tc>
        <w:tc>
          <w:tcPr>
            <w:tcW w:w="3487" w:type="dxa"/>
          </w:tcPr>
          <w:p w:rsidR="00DF60F4" w:rsidRPr="00D475C9" w:rsidP="00DF60F4" w14:paraId="342E88D6" w14:textId="70B1B2F6">
            <w:pPr>
              <w:pStyle w:val="TableParagraph"/>
              <w:spacing w:line="252" w:lineRule="auto"/>
              <w:rPr>
                <w:rFonts w:eastAsia="Times New Roman"/>
                <w:sz w:val="12"/>
                <w:szCs w:val="12"/>
              </w:rPr>
            </w:pPr>
            <w:r w:rsidRPr="00D475C9">
              <w:rPr>
                <w:rFonts w:eastAsia="Times New Roman"/>
                <w:sz w:val="12"/>
                <w:szCs w:val="12"/>
              </w:rPr>
              <w:t>1. HWL most effective in decreasing perceived healthfulness of a sweetened fruit drink across all countries and demographic characteristics</w:t>
            </w:r>
          </w:p>
        </w:tc>
      </w:tr>
      <w:tr w14:paraId="5E92C053"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73E67B7C" w14:textId="75CDA75B">
            <w:pPr>
              <w:pStyle w:val="TableParagraph"/>
              <w:spacing w:line="252" w:lineRule="auto"/>
              <w:ind w:right="133"/>
              <w:rPr>
                <w:rFonts w:eastAsia="Times New Roman"/>
                <w:color w:val="000000"/>
                <w:sz w:val="12"/>
                <w:szCs w:val="12"/>
              </w:rPr>
            </w:pPr>
            <w:r w:rsidRPr="00D475C9">
              <w:rPr>
                <w:rFonts w:eastAsia="Times New Roman"/>
                <w:color w:val="000000"/>
                <w:sz w:val="12"/>
                <w:szCs w:val="12"/>
              </w:rPr>
              <w:t>Khandpur, et al.</w:t>
            </w:r>
          </w:p>
        </w:tc>
        <w:tc>
          <w:tcPr>
            <w:tcW w:w="2101" w:type="dxa"/>
          </w:tcPr>
          <w:p w:rsidR="00DF60F4" w:rsidRPr="00D475C9" w:rsidP="00DF60F4" w14:paraId="6C1C32F0" w14:textId="6D9A492A">
            <w:pPr>
              <w:pStyle w:val="TableParagraph"/>
              <w:spacing w:line="252" w:lineRule="auto"/>
              <w:ind w:right="102"/>
              <w:rPr>
                <w:rFonts w:eastAsia="Times New Roman"/>
                <w:color w:val="000000"/>
                <w:sz w:val="12"/>
                <w:szCs w:val="12"/>
              </w:rPr>
            </w:pPr>
            <w:r w:rsidRPr="00D475C9">
              <w:rPr>
                <w:rFonts w:eastAsia="Times New Roman"/>
                <w:color w:val="000000"/>
                <w:sz w:val="12"/>
                <w:szCs w:val="12"/>
              </w:rPr>
              <w:t>A comparative assessment of two different front-of-package nutrition label designs: A randomized experiment in Brazil</w:t>
            </w:r>
          </w:p>
        </w:tc>
        <w:tc>
          <w:tcPr>
            <w:tcW w:w="333" w:type="dxa"/>
          </w:tcPr>
          <w:p w:rsidR="00DF60F4" w:rsidRPr="00D475C9" w:rsidP="00DF60F4" w14:paraId="10DB1ACD" w14:textId="52F5BAE1">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DF60F4" w:rsidRPr="00D475C9" w:rsidP="00DF60F4" w14:paraId="409FD675" w14:textId="380F35DC">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1. 1384 participants viewed images of snacks with either a triangular warning label or a magnifying glass, answered questions about usefulness, understanding, and purchase intentions.</w:t>
            </w:r>
          </w:p>
        </w:tc>
        <w:tc>
          <w:tcPr>
            <w:tcW w:w="1199" w:type="dxa"/>
          </w:tcPr>
          <w:p w:rsidR="00DF60F4" w:rsidRPr="00D475C9" w:rsidP="00DF60F4" w14:paraId="4EF311E2" w14:textId="3A9216E2">
            <w:pPr>
              <w:pStyle w:val="TableParagraph"/>
              <w:spacing w:line="252" w:lineRule="auto"/>
              <w:ind w:right="121"/>
              <w:rPr>
                <w:rFonts w:eastAsia="Times New Roman"/>
                <w:sz w:val="12"/>
                <w:szCs w:val="12"/>
              </w:rPr>
            </w:pPr>
            <w:r w:rsidRPr="00D475C9">
              <w:rPr>
                <w:rFonts w:eastAsia="Times New Roman"/>
                <w:sz w:val="12"/>
                <w:szCs w:val="12"/>
              </w:rPr>
              <w:t>1. Warning label (WL)</w:t>
            </w:r>
            <w:r w:rsidRPr="00D475C9">
              <w:rPr>
                <w:rFonts w:eastAsia="Times New Roman"/>
                <w:sz w:val="12"/>
                <w:szCs w:val="12"/>
              </w:rPr>
              <w:br/>
              <w:t xml:space="preserve"> - Triangular</w:t>
            </w:r>
            <w:r w:rsidRPr="00D475C9">
              <w:rPr>
                <w:rFonts w:eastAsia="Times New Roman"/>
                <w:sz w:val="12"/>
                <w:szCs w:val="12"/>
              </w:rPr>
              <w:br/>
              <w:t xml:space="preserve"> - Magnifying glass</w:t>
            </w:r>
          </w:p>
        </w:tc>
        <w:tc>
          <w:tcPr>
            <w:tcW w:w="1204" w:type="dxa"/>
          </w:tcPr>
          <w:p w:rsidR="00DF60F4" w:rsidRPr="00D475C9" w:rsidP="00DF60F4" w14:paraId="5E01DA99" w14:textId="1184AD67">
            <w:pPr>
              <w:spacing w:after="0" w:line="240" w:lineRule="auto"/>
              <w:rPr>
                <w:rFonts w:ascii="Calibri" w:eastAsia="Times New Roman" w:hAnsi="Calibri" w:cs="Calibri"/>
                <w:noProof/>
                <w:color w:val="000000"/>
                <w:sz w:val="12"/>
                <w:szCs w:val="12"/>
                <w:lang w:eastAsia="en-US"/>
              </w:rPr>
            </w:pPr>
            <w:r w:rsidRPr="00D475C9">
              <w:rPr>
                <w:rFonts w:ascii="Calibri" w:eastAsia="Times New Roman" w:hAnsi="Calibri" w:cs="Calibri"/>
                <w:noProof/>
                <w:color w:val="000000"/>
                <w:sz w:val="12"/>
                <w:szCs w:val="12"/>
                <w:lang w:eastAsia="en-US"/>
              </w:rPr>
              <w:drawing>
                <wp:anchor distT="0" distB="0" distL="114300" distR="114300" simplePos="0" relativeHeight="251716608" behindDoc="0" locked="0" layoutInCell="1" allowOverlap="1">
                  <wp:simplePos x="0" y="0"/>
                  <wp:positionH relativeFrom="column">
                    <wp:posOffset>19050</wp:posOffset>
                  </wp:positionH>
                  <wp:positionV relativeFrom="paragraph">
                    <wp:posOffset>133350</wp:posOffset>
                  </wp:positionV>
                  <wp:extent cx="640080" cy="192024"/>
                  <wp:effectExtent l="0" t="0" r="762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51"/>
                          <pic:cNvPicPr>
                            <a:picLocks noChangeAspect="1"/>
                          </pic:cNvPicPr>
                        </pic:nvPicPr>
                        <pic:blipFill>
                          <a:blip xmlns:r="http://schemas.openxmlformats.org/officeDocument/2006/relationships" r:embed="rId98"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0080" cy="192024"/>
                          </a:xfrm>
                          <a:prstGeom prst="rect">
                            <a:avLst/>
                          </a:prstGeom>
                        </pic:spPr>
                      </pic:pic>
                    </a:graphicData>
                  </a:graphic>
                  <wp14:sizeRelH relativeFrom="page">
                    <wp14:pctWidth>0</wp14:pctWidth>
                  </wp14:sizeRelH>
                  <wp14:sizeRelV relativeFrom="page">
                    <wp14:pctHeight>0</wp14:pctHeight>
                  </wp14:sizeRelV>
                </wp:anchor>
              </w:drawing>
            </w:r>
          </w:p>
        </w:tc>
        <w:tc>
          <w:tcPr>
            <w:tcW w:w="550" w:type="dxa"/>
          </w:tcPr>
          <w:p w:rsidR="00DF60F4" w:rsidRPr="00D475C9" w:rsidP="00DF60F4" w14:paraId="082C1513" w14:textId="25905A32">
            <w:pPr>
              <w:pStyle w:val="TableParagraph"/>
              <w:spacing w:line="140" w:lineRule="exact"/>
              <w:ind w:left="0" w:right="39"/>
              <w:jc w:val="center"/>
              <w:rPr>
                <w:rFonts w:eastAsia="Times New Roman"/>
                <w:sz w:val="12"/>
                <w:szCs w:val="12"/>
              </w:rPr>
            </w:pPr>
            <w:r w:rsidRPr="00D475C9">
              <w:rPr>
                <w:rFonts w:eastAsia="Times New Roman"/>
                <w:sz w:val="12"/>
                <w:szCs w:val="12"/>
              </w:rPr>
              <w:t>Brazil</w:t>
            </w:r>
          </w:p>
        </w:tc>
        <w:tc>
          <w:tcPr>
            <w:tcW w:w="3487" w:type="dxa"/>
          </w:tcPr>
          <w:p w:rsidR="00DF60F4" w:rsidRPr="00D475C9" w:rsidP="00DF60F4" w14:paraId="1E312630" w14:textId="2DE0E763">
            <w:pPr>
              <w:pStyle w:val="TableParagraph"/>
              <w:spacing w:line="252" w:lineRule="auto"/>
              <w:rPr>
                <w:rFonts w:eastAsia="Times New Roman"/>
                <w:sz w:val="12"/>
                <w:szCs w:val="12"/>
              </w:rPr>
            </w:pPr>
            <w:r w:rsidRPr="00D475C9">
              <w:rPr>
                <w:rFonts w:eastAsia="Times New Roman"/>
                <w:sz w:val="12"/>
                <w:szCs w:val="12"/>
              </w:rPr>
              <w:t>1. Usefulness: TL found to be significantly more useful</w:t>
            </w:r>
            <w:r w:rsidRPr="00D475C9">
              <w:rPr>
                <w:rFonts w:eastAsia="Times New Roman"/>
                <w:sz w:val="12"/>
                <w:szCs w:val="12"/>
              </w:rPr>
              <w:br/>
              <w:t>2. Understanding nutrient content: no significant difference; but participants thought the TL would be easier for the general Brazilian population to understand</w:t>
            </w:r>
            <w:r w:rsidRPr="00D475C9">
              <w:rPr>
                <w:rFonts w:eastAsia="Times New Roman"/>
                <w:sz w:val="12"/>
                <w:szCs w:val="12"/>
              </w:rPr>
              <w:br/>
              <w:t>3. Understanding product healthfulness: participants in TL significantly better at identifying healthier of two products</w:t>
            </w:r>
            <w:r w:rsidRPr="00D475C9">
              <w:rPr>
                <w:rFonts w:eastAsia="Times New Roman"/>
                <w:sz w:val="12"/>
                <w:szCs w:val="12"/>
              </w:rPr>
              <w:br/>
              <w:t xml:space="preserve">Participants in TL arm significantly more worried if children in their family consumed products with this </w:t>
            </w:r>
            <w:r w:rsidRPr="00D475C9">
              <w:rPr>
                <w:rFonts w:eastAsia="Times New Roman"/>
                <w:sz w:val="12"/>
                <w:szCs w:val="12"/>
              </w:rPr>
              <w:t>label, and</w:t>
            </w:r>
            <w:r w:rsidRPr="00D475C9">
              <w:rPr>
                <w:rFonts w:eastAsia="Times New Roman"/>
                <w:sz w:val="12"/>
                <w:szCs w:val="12"/>
              </w:rPr>
              <w:t xml:space="preserve"> were marginally more likely to continue to purchase a frequently bought product even if it carried a TL</w:t>
            </w:r>
            <w:r w:rsidRPr="00D475C9">
              <w:rPr>
                <w:rFonts w:eastAsia="Times New Roman"/>
                <w:sz w:val="12"/>
                <w:szCs w:val="12"/>
              </w:rPr>
              <w:br/>
              <w:t>4. 73% of participants from TL arm selected same label over the ML, but 79% of the ML arm preferred the TL</w:t>
            </w:r>
          </w:p>
        </w:tc>
      </w:tr>
      <w:tr w14:paraId="65C1FF0E"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10F3E982" w14:textId="0254D139">
            <w:pPr>
              <w:pStyle w:val="TableParagraph"/>
              <w:spacing w:line="252" w:lineRule="auto"/>
              <w:ind w:right="133"/>
              <w:rPr>
                <w:rFonts w:eastAsia="Times New Roman"/>
                <w:color w:val="000000"/>
                <w:sz w:val="12"/>
                <w:szCs w:val="12"/>
              </w:rPr>
            </w:pPr>
            <w:r w:rsidRPr="00D475C9">
              <w:rPr>
                <w:rFonts w:eastAsia="Times New Roman"/>
                <w:color w:val="000000"/>
                <w:sz w:val="12"/>
                <w:szCs w:val="12"/>
              </w:rPr>
              <w:t>Kühne, et al.</w:t>
            </w:r>
          </w:p>
        </w:tc>
        <w:tc>
          <w:tcPr>
            <w:tcW w:w="2101" w:type="dxa"/>
          </w:tcPr>
          <w:p w:rsidR="00DF60F4" w:rsidRPr="00D475C9" w:rsidP="00DF60F4" w14:paraId="7851EB60" w14:textId="0AEB1E60">
            <w:pPr>
              <w:pStyle w:val="TableParagraph"/>
              <w:spacing w:line="252" w:lineRule="auto"/>
              <w:ind w:right="102"/>
              <w:rPr>
                <w:rFonts w:eastAsia="Times New Roman"/>
                <w:color w:val="000000"/>
                <w:sz w:val="12"/>
                <w:szCs w:val="12"/>
              </w:rPr>
            </w:pPr>
            <w:r w:rsidRPr="00D475C9">
              <w:rPr>
                <w:rFonts w:eastAsia="Times New Roman"/>
                <w:color w:val="000000"/>
                <w:sz w:val="12"/>
                <w:szCs w:val="12"/>
              </w:rPr>
              <w:t>Labels Affect Food Choices, but in What Ways?</w:t>
            </w:r>
          </w:p>
        </w:tc>
        <w:tc>
          <w:tcPr>
            <w:tcW w:w="333" w:type="dxa"/>
          </w:tcPr>
          <w:p w:rsidR="00DF60F4" w:rsidRPr="00D475C9" w:rsidP="00DF60F4" w14:paraId="79BFC931" w14:textId="78F8F1DC">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DF60F4" w:rsidRPr="00D475C9" w:rsidP="00DF60F4" w14:paraId="4D965ECD" w14:textId="4776B6E6">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1. 354 participants viewed product offerings at online store, then selected products they needed for a weekend with 6 people</w:t>
            </w:r>
            <w:r w:rsidRPr="00D475C9">
              <w:rPr>
                <w:rFonts w:eastAsia="Times New Roman"/>
                <w:sz w:val="12"/>
                <w:szCs w:val="12"/>
              </w:rPr>
              <w:br/>
              <w:t xml:space="preserve">2. Participants randomly assigned to one of 5 label conditions (4 </w:t>
            </w:r>
            <w:r w:rsidR="004B6E26">
              <w:rPr>
                <w:rFonts w:eastAsia="Times New Roman"/>
                <w:sz w:val="12"/>
                <w:szCs w:val="12"/>
              </w:rPr>
              <w:t>FOP</w:t>
            </w:r>
            <w:r w:rsidRPr="00D475C9">
              <w:rPr>
                <w:rFonts w:eastAsia="Times New Roman"/>
                <w:sz w:val="12"/>
                <w:szCs w:val="12"/>
              </w:rPr>
              <w:t>s and control = no label)</w:t>
            </w:r>
          </w:p>
        </w:tc>
        <w:tc>
          <w:tcPr>
            <w:tcW w:w="1199" w:type="dxa"/>
          </w:tcPr>
          <w:p w:rsidR="00DF60F4" w:rsidRPr="00D475C9" w:rsidP="00DF60F4" w14:paraId="1CBFBE02" w14:textId="30536F8B">
            <w:pPr>
              <w:pStyle w:val="TableParagraph"/>
              <w:spacing w:line="252" w:lineRule="auto"/>
              <w:ind w:right="121"/>
              <w:rPr>
                <w:rFonts w:eastAsia="Times New Roman"/>
                <w:sz w:val="12"/>
                <w:szCs w:val="12"/>
              </w:rPr>
            </w:pPr>
            <w:r w:rsidRPr="00D475C9">
              <w:rPr>
                <w:rFonts w:eastAsia="Times New Roman"/>
                <w:sz w:val="12"/>
                <w:szCs w:val="12"/>
              </w:rPr>
              <w:t>1. 2 summary label conditions (</w:t>
            </w:r>
            <w:r w:rsidR="004B6E26">
              <w:rPr>
                <w:rFonts w:eastAsia="Times New Roman"/>
                <w:sz w:val="12"/>
                <w:szCs w:val="12"/>
              </w:rPr>
              <w:t>Nutri-Score</w:t>
            </w:r>
            <w:r w:rsidRPr="00D475C9">
              <w:rPr>
                <w:rFonts w:eastAsia="Times New Roman"/>
                <w:sz w:val="12"/>
                <w:szCs w:val="12"/>
              </w:rPr>
              <w:t xml:space="preserve"> and Healthy Food Label (HFL))</w:t>
            </w:r>
            <w:r w:rsidRPr="00D475C9">
              <w:rPr>
                <w:rFonts w:eastAsia="Times New Roman"/>
                <w:sz w:val="12"/>
                <w:szCs w:val="12"/>
              </w:rPr>
              <w:br/>
              <w:t>2. 2 nutrient (sugar)-specific label conditions (manga and comic)</w:t>
            </w:r>
          </w:p>
        </w:tc>
        <w:tc>
          <w:tcPr>
            <w:tcW w:w="1204" w:type="dxa"/>
            <w:vAlign w:val="bottom"/>
          </w:tcPr>
          <w:p w:rsidR="00DF60F4" w:rsidRPr="00D475C9" w:rsidP="00DF60F4" w14:paraId="02E91CE9" w14:textId="57F43C5C">
            <w:pPr>
              <w:spacing w:after="0" w:line="240" w:lineRule="auto"/>
              <w:rPr>
                <w:rFonts w:ascii="Calibri" w:eastAsia="Times New Roman" w:hAnsi="Calibri" w:cs="Calibri"/>
                <w:noProof/>
                <w:color w:val="000000"/>
                <w:sz w:val="12"/>
                <w:szCs w:val="12"/>
                <w:lang w:eastAsia="en-US"/>
              </w:rPr>
            </w:pPr>
            <w:r w:rsidRPr="00D475C9">
              <w:rPr>
                <w:rFonts w:ascii="Calibri" w:eastAsia="Times New Roman" w:hAnsi="Calibri" w:cs="Calibri"/>
                <w:noProof/>
                <w:color w:val="000000"/>
                <w:sz w:val="12"/>
                <w:szCs w:val="12"/>
                <w:lang w:eastAsia="en-US"/>
              </w:rPr>
              <w:drawing>
                <wp:anchor distT="0" distB="0" distL="114300" distR="114300" simplePos="0" relativeHeight="251717632" behindDoc="0" locked="0" layoutInCell="1" allowOverlap="1">
                  <wp:simplePos x="0" y="0"/>
                  <wp:positionH relativeFrom="column">
                    <wp:posOffset>39370</wp:posOffset>
                  </wp:positionH>
                  <wp:positionV relativeFrom="paragraph">
                    <wp:posOffset>-613410</wp:posOffset>
                  </wp:positionV>
                  <wp:extent cx="640080" cy="330200"/>
                  <wp:effectExtent l="0" t="0" r="762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6"/>
                          <pic:cNvPicPr>
                            <a:picLocks noChangeAspect="1"/>
                          </pic:cNvPicPr>
                        </pic:nvPicPr>
                        <pic:blipFill>
                          <a:blip xmlns:r="http://schemas.openxmlformats.org/officeDocument/2006/relationships" r:embed="rId9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0080" cy="330200"/>
                          </a:xfrm>
                          <a:prstGeom prst="rect">
                            <a:avLst/>
                          </a:prstGeom>
                        </pic:spPr>
                      </pic:pic>
                    </a:graphicData>
                  </a:graphic>
                  <wp14:sizeRelH relativeFrom="page">
                    <wp14:pctWidth>0</wp14:pctWidth>
                  </wp14:sizeRelH>
                  <wp14:sizeRelV relativeFrom="page">
                    <wp14:pctHeight>0</wp14:pctHeight>
                  </wp14:sizeRelV>
                </wp:anchor>
              </w:drawing>
            </w:r>
          </w:p>
        </w:tc>
        <w:tc>
          <w:tcPr>
            <w:tcW w:w="550" w:type="dxa"/>
          </w:tcPr>
          <w:p w:rsidR="00DF60F4" w:rsidRPr="00D475C9" w:rsidP="00DF60F4" w14:paraId="4406C360" w14:textId="48B9ACB0">
            <w:pPr>
              <w:pStyle w:val="TableParagraph"/>
              <w:spacing w:line="140" w:lineRule="exact"/>
              <w:ind w:left="0" w:right="39"/>
              <w:jc w:val="center"/>
              <w:rPr>
                <w:rFonts w:eastAsia="Times New Roman"/>
                <w:sz w:val="12"/>
                <w:szCs w:val="12"/>
              </w:rPr>
            </w:pPr>
            <w:r w:rsidRPr="00D475C9">
              <w:rPr>
                <w:rFonts w:eastAsia="Times New Roman"/>
                <w:sz w:val="12"/>
                <w:szCs w:val="12"/>
              </w:rPr>
              <w:t>Switzerland</w:t>
            </w:r>
          </w:p>
        </w:tc>
        <w:tc>
          <w:tcPr>
            <w:tcW w:w="3487" w:type="dxa"/>
          </w:tcPr>
          <w:p w:rsidR="00DF60F4" w:rsidRPr="00D475C9" w:rsidP="00DF60F4" w14:paraId="52822493" w14:textId="14FD640E">
            <w:pPr>
              <w:pStyle w:val="TableParagraph"/>
              <w:spacing w:line="252" w:lineRule="auto"/>
              <w:rPr>
                <w:rFonts w:eastAsia="Times New Roman"/>
                <w:sz w:val="12"/>
                <w:szCs w:val="12"/>
              </w:rPr>
            </w:pPr>
            <w:r w:rsidRPr="00D475C9">
              <w:rPr>
                <w:rFonts w:eastAsia="Times New Roman"/>
                <w:sz w:val="12"/>
                <w:szCs w:val="12"/>
              </w:rPr>
              <w:t>1. Labels boosted healthy food product sales, however, more products and more calories purchased in the label conditions than in the control; use of the labels did not lead to reduction in calorie intake.</w:t>
            </w:r>
            <w:r w:rsidRPr="00D475C9">
              <w:rPr>
                <w:rFonts w:eastAsia="Times New Roman"/>
                <w:sz w:val="12"/>
                <w:szCs w:val="12"/>
              </w:rPr>
              <w:br/>
              <w:t xml:space="preserve">2. Effects were smaller and not as clear as estimated in the past. </w:t>
            </w:r>
          </w:p>
        </w:tc>
      </w:tr>
      <w:tr w14:paraId="32BFEEAF"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6C2C2774" w14:textId="13CC05EE">
            <w:pPr>
              <w:pStyle w:val="TableParagraph"/>
              <w:spacing w:line="252" w:lineRule="auto"/>
              <w:ind w:right="133"/>
              <w:rPr>
                <w:rFonts w:eastAsia="Times New Roman"/>
                <w:color w:val="000000"/>
                <w:sz w:val="12"/>
                <w:szCs w:val="12"/>
              </w:rPr>
            </w:pPr>
            <w:r w:rsidRPr="00D475C9">
              <w:rPr>
                <w:rFonts w:eastAsia="Times New Roman"/>
                <w:color w:val="000000"/>
                <w:sz w:val="12"/>
                <w:szCs w:val="12"/>
              </w:rPr>
              <w:t>Leão, et al.</w:t>
            </w:r>
          </w:p>
        </w:tc>
        <w:tc>
          <w:tcPr>
            <w:tcW w:w="2101" w:type="dxa"/>
          </w:tcPr>
          <w:p w:rsidR="00DF60F4" w:rsidRPr="00D475C9" w:rsidP="00DF60F4" w14:paraId="74F28852" w14:textId="150C287F">
            <w:pPr>
              <w:pStyle w:val="TableParagraph"/>
              <w:spacing w:line="252" w:lineRule="auto"/>
              <w:ind w:right="102"/>
              <w:rPr>
                <w:rFonts w:eastAsia="Times New Roman"/>
                <w:color w:val="000000"/>
                <w:sz w:val="12"/>
                <w:szCs w:val="12"/>
              </w:rPr>
            </w:pPr>
            <w:r w:rsidRPr="00D475C9">
              <w:rPr>
                <w:rFonts w:eastAsia="Times New Roman"/>
                <w:color w:val="000000"/>
                <w:sz w:val="12"/>
                <w:szCs w:val="12"/>
              </w:rPr>
              <w:t>Impact of front‐of‐pack labels in chocolate bars and soft drinks on consumer perceptions: A cross‐sectional study using free word association</w:t>
            </w:r>
          </w:p>
        </w:tc>
        <w:tc>
          <w:tcPr>
            <w:tcW w:w="333" w:type="dxa"/>
          </w:tcPr>
          <w:p w:rsidR="00DF60F4" w:rsidRPr="00D475C9" w:rsidP="00DF60F4" w14:paraId="1764A34F" w14:textId="0E7A49FC">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DF60F4" w:rsidRPr="00D475C9" w:rsidP="00DF60F4" w14:paraId="0AD9C85F" w14:textId="0BEB071C">
            <w:pPr>
              <w:pStyle w:val="TableParagraph"/>
              <w:spacing w:line="252" w:lineRule="auto"/>
              <w:ind w:left="29" w:right="173"/>
              <w:rPr>
                <w:rFonts w:eastAsia="Times New Roman"/>
                <w:sz w:val="12"/>
                <w:szCs w:val="12"/>
              </w:rPr>
            </w:pPr>
            <w:r w:rsidRPr="00D475C9">
              <w:rPr>
                <w:rFonts w:eastAsia="Times New Roman"/>
                <w:sz w:val="12"/>
                <w:szCs w:val="12"/>
              </w:rPr>
              <w:t>Qualitative</w:t>
            </w:r>
            <w:r w:rsidRPr="00D475C9">
              <w:rPr>
                <w:rFonts w:eastAsia="Times New Roman"/>
                <w:sz w:val="12"/>
                <w:szCs w:val="12"/>
              </w:rPr>
              <w:br/>
              <w:t xml:space="preserve">1. Participants completed a questionnaire asking about their purchase habits and then entered a word describing their response to a </w:t>
            </w:r>
            <w:r w:rsidR="004B6E26">
              <w:rPr>
                <w:rFonts w:eastAsia="Times New Roman"/>
                <w:sz w:val="12"/>
                <w:szCs w:val="12"/>
              </w:rPr>
              <w:t>FOP</w:t>
            </w:r>
            <w:r w:rsidRPr="00D475C9">
              <w:rPr>
                <w:rFonts w:eastAsia="Times New Roman"/>
                <w:sz w:val="12"/>
                <w:szCs w:val="12"/>
              </w:rPr>
              <w:t xml:space="preserve"> on either a chocolate bar or soda.</w:t>
            </w:r>
            <w:r w:rsidRPr="00D475C9">
              <w:rPr>
                <w:rFonts w:eastAsia="Times New Roman"/>
                <w:sz w:val="12"/>
                <w:szCs w:val="12"/>
              </w:rPr>
              <w:br/>
              <w:t>2. Word obtained in the word association test were categorized by three researchers, revised until a consensus was reached, categories mentioned by at least 5% of the 551 participants were analyzed.</w:t>
            </w:r>
          </w:p>
        </w:tc>
        <w:tc>
          <w:tcPr>
            <w:tcW w:w="1199" w:type="dxa"/>
          </w:tcPr>
          <w:p w:rsidR="00DF60F4" w:rsidRPr="00D475C9" w:rsidP="00DF60F4" w14:paraId="5FE8A09A" w14:textId="1842B4DA">
            <w:pPr>
              <w:pStyle w:val="TableParagraph"/>
              <w:spacing w:line="252" w:lineRule="auto"/>
              <w:ind w:right="121"/>
              <w:rPr>
                <w:rFonts w:eastAsia="Times New Roman"/>
                <w:sz w:val="12"/>
                <w:szCs w:val="12"/>
              </w:rPr>
            </w:pPr>
            <w:r w:rsidRPr="00D475C9">
              <w:rPr>
                <w:rFonts w:eastAsia="Times New Roman"/>
                <w:sz w:val="12"/>
                <w:szCs w:val="12"/>
              </w:rPr>
              <w:t>1. Traffic light (TL)</w:t>
            </w:r>
            <w:r w:rsidRPr="00D475C9">
              <w:rPr>
                <w:rFonts w:eastAsia="Times New Roman"/>
                <w:sz w:val="12"/>
                <w:szCs w:val="12"/>
              </w:rPr>
              <w:br/>
              <w:t>2. Warning labels (WL)</w:t>
            </w:r>
          </w:p>
        </w:tc>
        <w:tc>
          <w:tcPr>
            <w:tcW w:w="1204" w:type="dxa"/>
          </w:tcPr>
          <w:p w:rsidR="00DF60F4" w:rsidRPr="00D475C9" w:rsidP="00DF60F4" w14:paraId="7A6627B5" w14:textId="5220D6E7">
            <w:pPr>
              <w:spacing w:after="0" w:line="240" w:lineRule="auto"/>
              <w:rPr>
                <w:rFonts w:ascii="Calibri" w:eastAsia="Times New Roman" w:hAnsi="Calibri" w:cs="Calibri"/>
                <w:noProof/>
                <w:color w:val="000000"/>
                <w:sz w:val="12"/>
                <w:szCs w:val="12"/>
                <w:lang w:eastAsia="en-US"/>
              </w:rPr>
            </w:pPr>
            <w:r w:rsidRPr="00D475C9">
              <w:rPr>
                <w:rFonts w:ascii="Calibri" w:eastAsia="Times New Roman" w:hAnsi="Calibri" w:cs="Calibri"/>
                <w:color w:val="000000"/>
                <w:sz w:val="12"/>
                <w:szCs w:val="12"/>
                <w:lang w:eastAsia="en-US"/>
              </w:rPr>
              <w:t>No image available</w:t>
            </w:r>
          </w:p>
        </w:tc>
        <w:tc>
          <w:tcPr>
            <w:tcW w:w="550" w:type="dxa"/>
          </w:tcPr>
          <w:p w:rsidR="00DF60F4" w:rsidRPr="00D475C9" w:rsidP="00DF60F4" w14:paraId="3C0E3CF2" w14:textId="50E12F3D">
            <w:pPr>
              <w:pStyle w:val="TableParagraph"/>
              <w:spacing w:line="140" w:lineRule="exact"/>
              <w:ind w:left="0" w:right="39"/>
              <w:jc w:val="center"/>
              <w:rPr>
                <w:rFonts w:eastAsia="Times New Roman"/>
                <w:sz w:val="12"/>
                <w:szCs w:val="12"/>
              </w:rPr>
            </w:pPr>
            <w:r w:rsidRPr="00D475C9">
              <w:rPr>
                <w:rFonts w:eastAsia="Times New Roman"/>
                <w:sz w:val="12"/>
                <w:szCs w:val="12"/>
              </w:rPr>
              <w:t>Brazil</w:t>
            </w:r>
          </w:p>
        </w:tc>
        <w:tc>
          <w:tcPr>
            <w:tcW w:w="3487" w:type="dxa"/>
          </w:tcPr>
          <w:p w:rsidR="00DF60F4" w:rsidRPr="00D475C9" w:rsidP="00DF60F4" w14:paraId="0944E2DD" w14:textId="09ACF0FB">
            <w:pPr>
              <w:pStyle w:val="TableParagraph"/>
              <w:spacing w:line="252" w:lineRule="auto"/>
              <w:rPr>
                <w:rFonts w:eastAsia="Times New Roman"/>
                <w:sz w:val="12"/>
                <w:szCs w:val="12"/>
              </w:rPr>
            </w:pPr>
            <w:r w:rsidRPr="00D475C9">
              <w:rPr>
                <w:rFonts w:eastAsia="Times New Roman"/>
                <w:sz w:val="12"/>
                <w:szCs w:val="12"/>
              </w:rPr>
              <w:t xml:space="preserve">1. </w:t>
            </w:r>
            <w:r w:rsidR="004B6E26">
              <w:rPr>
                <w:rFonts w:eastAsia="Times New Roman"/>
                <w:sz w:val="12"/>
                <w:szCs w:val="12"/>
              </w:rPr>
              <w:t>FOP</w:t>
            </w:r>
            <w:r w:rsidRPr="00D475C9">
              <w:rPr>
                <w:rFonts w:eastAsia="Times New Roman"/>
                <w:sz w:val="12"/>
                <w:szCs w:val="12"/>
              </w:rPr>
              <w:t>s did not impact the purchasing intention when compared with packaging only having the nutritional table</w:t>
            </w:r>
            <w:r w:rsidRPr="00D475C9">
              <w:rPr>
                <w:rFonts w:eastAsia="Times New Roman"/>
                <w:sz w:val="12"/>
                <w:szCs w:val="12"/>
              </w:rPr>
              <w:br/>
              <w:t xml:space="preserve">2. </w:t>
            </w:r>
            <w:r w:rsidR="004B6E26">
              <w:rPr>
                <w:rFonts w:eastAsia="Times New Roman"/>
                <w:sz w:val="12"/>
                <w:szCs w:val="12"/>
              </w:rPr>
              <w:t>FOP</w:t>
            </w:r>
            <w:r w:rsidRPr="00D475C9">
              <w:rPr>
                <w:rFonts w:eastAsia="Times New Roman"/>
                <w:sz w:val="12"/>
                <w:szCs w:val="12"/>
              </w:rPr>
              <w:t>s cause participants to reflect on the information; WL more effective than TL.</w:t>
            </w:r>
          </w:p>
        </w:tc>
      </w:tr>
      <w:tr w14:paraId="5038F303"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7B11AE85" w14:textId="15154258">
            <w:pPr>
              <w:pStyle w:val="TableParagraph"/>
              <w:spacing w:line="252" w:lineRule="auto"/>
              <w:ind w:right="133"/>
              <w:rPr>
                <w:rFonts w:eastAsia="Times New Roman"/>
                <w:color w:val="000000"/>
                <w:sz w:val="12"/>
                <w:szCs w:val="12"/>
              </w:rPr>
            </w:pPr>
            <w:r w:rsidRPr="00D475C9">
              <w:rPr>
                <w:rFonts w:eastAsia="Times New Roman"/>
                <w:color w:val="000000"/>
                <w:sz w:val="12"/>
                <w:szCs w:val="12"/>
              </w:rPr>
              <w:t>Mazzonetto, et al.</w:t>
            </w:r>
          </w:p>
        </w:tc>
        <w:tc>
          <w:tcPr>
            <w:tcW w:w="2101" w:type="dxa"/>
          </w:tcPr>
          <w:p w:rsidR="00DF60F4" w:rsidRPr="00D475C9" w:rsidP="00DF60F4" w14:paraId="70612770" w14:textId="6B9EDCFE">
            <w:pPr>
              <w:pStyle w:val="TableParagraph"/>
              <w:spacing w:line="252" w:lineRule="auto"/>
              <w:ind w:right="102"/>
              <w:rPr>
                <w:rFonts w:eastAsia="Times New Roman"/>
                <w:color w:val="000000"/>
                <w:sz w:val="12"/>
                <w:szCs w:val="12"/>
              </w:rPr>
            </w:pPr>
            <w:r w:rsidRPr="00D475C9">
              <w:rPr>
                <w:rFonts w:eastAsia="Times New Roman"/>
                <w:color w:val="000000"/>
                <w:sz w:val="12"/>
                <w:szCs w:val="12"/>
              </w:rPr>
              <w:t>Front-of-pack nutrition labels: perceptions and preferences of Brazilian adult consumers</w:t>
            </w:r>
          </w:p>
        </w:tc>
        <w:tc>
          <w:tcPr>
            <w:tcW w:w="333" w:type="dxa"/>
          </w:tcPr>
          <w:p w:rsidR="00DF60F4" w:rsidRPr="00D475C9" w:rsidP="00DF60F4" w14:paraId="5A32EF18" w14:textId="4890F0DD">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DF60F4" w:rsidRPr="00D475C9" w:rsidP="00DF60F4" w14:paraId="6F0B4BD9" w14:textId="4AA591E4">
            <w:pPr>
              <w:pStyle w:val="TableParagraph"/>
              <w:spacing w:line="252" w:lineRule="auto"/>
              <w:ind w:left="29" w:right="173"/>
              <w:rPr>
                <w:rFonts w:eastAsia="Times New Roman"/>
                <w:sz w:val="12"/>
                <w:szCs w:val="12"/>
              </w:rPr>
            </w:pPr>
            <w:r w:rsidRPr="00D475C9">
              <w:rPr>
                <w:rFonts w:eastAsia="Times New Roman"/>
                <w:sz w:val="12"/>
                <w:szCs w:val="12"/>
              </w:rPr>
              <w:t>Qualitative</w:t>
            </w:r>
            <w:r w:rsidRPr="00D475C9">
              <w:rPr>
                <w:rFonts w:eastAsia="Times New Roman"/>
                <w:sz w:val="12"/>
                <w:szCs w:val="12"/>
              </w:rPr>
              <w:br/>
              <w:t xml:space="preserve">1. Four </w:t>
            </w:r>
            <w:r w:rsidR="004B6E26">
              <w:rPr>
                <w:rFonts w:eastAsia="Times New Roman"/>
                <w:sz w:val="12"/>
                <w:szCs w:val="12"/>
              </w:rPr>
              <w:t>FOP</w:t>
            </w:r>
            <w:r w:rsidRPr="00D475C9">
              <w:rPr>
                <w:rFonts w:eastAsia="Times New Roman"/>
                <w:sz w:val="12"/>
                <w:szCs w:val="12"/>
              </w:rPr>
              <w:t>s displayed on packaged bread; thematic analysis used to identify key topics addressed by participants</w:t>
            </w:r>
            <w:r w:rsidRPr="00D475C9">
              <w:rPr>
                <w:rFonts w:eastAsia="Times New Roman"/>
                <w:sz w:val="12"/>
                <w:szCs w:val="12"/>
              </w:rPr>
              <w:br/>
              <w:t>2. 6 focus groups with 33 participants</w:t>
            </w:r>
          </w:p>
        </w:tc>
        <w:tc>
          <w:tcPr>
            <w:tcW w:w="1199" w:type="dxa"/>
          </w:tcPr>
          <w:p w:rsidR="00DF60F4" w:rsidRPr="00D475C9" w:rsidP="00DF60F4" w14:paraId="1F69C5C3" w14:textId="5674BD9C">
            <w:pPr>
              <w:pStyle w:val="TableParagraph"/>
              <w:spacing w:line="252" w:lineRule="auto"/>
              <w:ind w:right="121"/>
              <w:rPr>
                <w:rFonts w:eastAsia="Times New Roman"/>
                <w:sz w:val="12"/>
                <w:szCs w:val="12"/>
              </w:rPr>
            </w:pPr>
            <w:r w:rsidRPr="00D475C9">
              <w:rPr>
                <w:rFonts w:eastAsia="Times New Roman"/>
                <w:sz w:val="12"/>
                <w:szCs w:val="12"/>
              </w:rPr>
              <w:t>1. Traffic light</w:t>
            </w:r>
            <w:r w:rsidRPr="00D475C9">
              <w:rPr>
                <w:rFonts w:eastAsia="Times New Roman"/>
                <w:sz w:val="12"/>
                <w:szCs w:val="12"/>
              </w:rPr>
              <w:br/>
              <w:t>2. Warning labels:</w:t>
            </w:r>
            <w:r w:rsidRPr="00D475C9">
              <w:rPr>
                <w:rFonts w:eastAsia="Times New Roman"/>
                <w:sz w:val="12"/>
                <w:szCs w:val="12"/>
              </w:rPr>
              <w:br/>
              <w:t>- Black octagon</w:t>
            </w:r>
            <w:r w:rsidRPr="00D475C9">
              <w:rPr>
                <w:rFonts w:eastAsia="Times New Roman"/>
                <w:sz w:val="12"/>
                <w:szCs w:val="12"/>
              </w:rPr>
              <w:br/>
              <w:t>- Black triangle</w:t>
            </w:r>
            <w:r w:rsidRPr="00D475C9">
              <w:rPr>
                <w:rFonts w:eastAsia="Times New Roman"/>
                <w:sz w:val="12"/>
                <w:szCs w:val="12"/>
              </w:rPr>
              <w:br/>
              <w:t>- Red ellipse</w:t>
            </w:r>
          </w:p>
        </w:tc>
        <w:tc>
          <w:tcPr>
            <w:tcW w:w="1204" w:type="dxa"/>
            <w:vAlign w:val="bottom"/>
          </w:tcPr>
          <w:p w:rsidR="00DF60F4" w:rsidRPr="00D475C9" w:rsidP="00DF60F4" w14:paraId="579AEAB4" w14:textId="60798BCF">
            <w:pPr>
              <w:spacing w:after="0" w:line="240" w:lineRule="auto"/>
              <w:rPr>
                <w:rFonts w:ascii="Calibri" w:eastAsia="Times New Roman" w:hAnsi="Calibri" w:cs="Calibri"/>
                <w:color w:val="000000"/>
                <w:sz w:val="12"/>
                <w:szCs w:val="12"/>
                <w:lang w:eastAsia="en-US"/>
              </w:rPr>
            </w:pPr>
            <w:r w:rsidRPr="00D475C9">
              <w:rPr>
                <w:rFonts w:ascii="Calibri" w:eastAsia="Times New Roman" w:hAnsi="Calibri" w:cs="Calibri"/>
                <w:noProof/>
                <w:color w:val="000000"/>
                <w:sz w:val="12"/>
                <w:szCs w:val="12"/>
                <w:lang w:eastAsia="en-US"/>
              </w:rPr>
              <w:drawing>
                <wp:anchor distT="0" distB="0" distL="114300" distR="114300" simplePos="0" relativeHeight="251718656" behindDoc="0" locked="0" layoutInCell="1" allowOverlap="1">
                  <wp:simplePos x="0" y="0"/>
                  <wp:positionH relativeFrom="column">
                    <wp:posOffset>26670</wp:posOffset>
                  </wp:positionH>
                  <wp:positionV relativeFrom="paragraph">
                    <wp:posOffset>-605155</wp:posOffset>
                  </wp:positionV>
                  <wp:extent cx="640080" cy="191770"/>
                  <wp:effectExtent l="0" t="0" r="762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0"/>
                          <pic:cNvPicPr>
                            <a:picLocks noChangeAspect="1"/>
                          </pic:cNvPicPr>
                        </pic:nvPicPr>
                        <pic:blipFill>
                          <a:blip xmlns:r="http://schemas.openxmlformats.org/officeDocument/2006/relationships" r:embed="rId100"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0080" cy="191770"/>
                          </a:xfrm>
                          <a:prstGeom prst="rect">
                            <a:avLst/>
                          </a:prstGeom>
                        </pic:spPr>
                      </pic:pic>
                    </a:graphicData>
                  </a:graphic>
                  <wp14:sizeRelH relativeFrom="page">
                    <wp14:pctWidth>0</wp14:pctWidth>
                  </wp14:sizeRelH>
                  <wp14:sizeRelV relativeFrom="page">
                    <wp14:pctHeight>0</wp14:pctHeight>
                  </wp14:sizeRelV>
                </wp:anchor>
              </w:drawing>
            </w:r>
          </w:p>
          <w:p w:rsidR="00DF60F4" w:rsidRPr="00D475C9" w:rsidP="00DF60F4" w14:paraId="37D47C1E" w14:textId="77777777">
            <w:pPr>
              <w:spacing w:after="0" w:line="240" w:lineRule="auto"/>
              <w:rPr>
                <w:rFonts w:ascii="Calibri" w:eastAsia="Times New Roman" w:hAnsi="Calibri" w:cs="Calibri"/>
                <w:color w:val="000000"/>
                <w:sz w:val="12"/>
                <w:szCs w:val="12"/>
                <w:lang w:eastAsia="en-US"/>
              </w:rPr>
            </w:pPr>
          </w:p>
        </w:tc>
        <w:tc>
          <w:tcPr>
            <w:tcW w:w="550" w:type="dxa"/>
          </w:tcPr>
          <w:p w:rsidR="00DF60F4" w:rsidRPr="00D475C9" w:rsidP="00DF60F4" w14:paraId="6DAA602A" w14:textId="137F46A1">
            <w:pPr>
              <w:pStyle w:val="TableParagraph"/>
              <w:spacing w:line="140" w:lineRule="exact"/>
              <w:ind w:left="0" w:right="39"/>
              <w:jc w:val="center"/>
              <w:rPr>
                <w:rFonts w:eastAsia="Times New Roman"/>
                <w:sz w:val="12"/>
                <w:szCs w:val="12"/>
              </w:rPr>
            </w:pPr>
            <w:r w:rsidRPr="00D475C9">
              <w:rPr>
                <w:rFonts w:eastAsia="Times New Roman"/>
                <w:sz w:val="12"/>
                <w:szCs w:val="12"/>
              </w:rPr>
              <w:t>Brazil</w:t>
            </w:r>
          </w:p>
        </w:tc>
        <w:tc>
          <w:tcPr>
            <w:tcW w:w="3487" w:type="dxa"/>
          </w:tcPr>
          <w:p w:rsidR="00DF60F4" w:rsidRPr="00D475C9" w:rsidP="00DF60F4" w14:paraId="3C382039" w14:textId="66EB005B">
            <w:pPr>
              <w:pStyle w:val="TableParagraph"/>
              <w:spacing w:line="252" w:lineRule="auto"/>
              <w:rPr>
                <w:rFonts w:eastAsia="Times New Roman"/>
                <w:sz w:val="12"/>
                <w:szCs w:val="12"/>
              </w:rPr>
            </w:pPr>
            <w:r w:rsidRPr="00D475C9">
              <w:rPr>
                <w:rFonts w:eastAsia="Times New Roman"/>
                <w:sz w:val="12"/>
                <w:szCs w:val="12"/>
              </w:rPr>
              <w:t>1. General: difficult to read the NFP because of low readability; did not pay attention to nutrition info except to identify items related to dietary restrictions</w:t>
            </w:r>
            <w:r w:rsidRPr="00D475C9">
              <w:rPr>
                <w:rFonts w:eastAsia="Times New Roman"/>
                <w:sz w:val="12"/>
                <w:szCs w:val="12"/>
              </w:rPr>
              <w:br/>
              <w:t>2. Label design: most preferred black warning labels and statements from Ministry of Health</w:t>
            </w:r>
            <w:r w:rsidRPr="00D475C9">
              <w:rPr>
                <w:rFonts w:eastAsia="Times New Roman"/>
                <w:sz w:val="12"/>
                <w:szCs w:val="12"/>
              </w:rPr>
              <w:br/>
              <w:t>3. Traffic light provides more info but is difficult to interpret</w:t>
            </w:r>
            <w:r w:rsidRPr="00D475C9">
              <w:rPr>
                <w:rFonts w:eastAsia="Times New Roman"/>
                <w:sz w:val="12"/>
                <w:szCs w:val="12"/>
              </w:rPr>
              <w:br/>
              <w:t>4. Warning labels had greatest influence on purchase decisions, but participants did not know how to interpret lack of warning labels on products</w:t>
            </w:r>
          </w:p>
        </w:tc>
      </w:tr>
      <w:tr w14:paraId="06D4038D"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60731C30" w14:textId="3EDED403">
            <w:pPr>
              <w:pStyle w:val="TableParagraph"/>
              <w:spacing w:line="252" w:lineRule="auto"/>
              <w:ind w:right="133"/>
              <w:rPr>
                <w:rFonts w:eastAsia="Times New Roman"/>
                <w:color w:val="000000"/>
                <w:sz w:val="12"/>
                <w:szCs w:val="12"/>
              </w:rPr>
            </w:pPr>
            <w:r w:rsidRPr="00D475C9">
              <w:rPr>
                <w:rFonts w:eastAsia="Times New Roman"/>
                <w:color w:val="000000"/>
                <w:sz w:val="12"/>
                <w:szCs w:val="12"/>
              </w:rPr>
              <w:t>Mazzù, et al.</w:t>
            </w:r>
          </w:p>
        </w:tc>
        <w:tc>
          <w:tcPr>
            <w:tcW w:w="2101" w:type="dxa"/>
          </w:tcPr>
          <w:p w:rsidR="00DF60F4" w:rsidRPr="00D475C9" w:rsidP="00DF60F4" w14:paraId="3B0D5147" w14:textId="05783B34">
            <w:pPr>
              <w:pStyle w:val="TableParagraph"/>
              <w:spacing w:line="252" w:lineRule="auto"/>
              <w:ind w:right="102"/>
              <w:rPr>
                <w:rFonts w:eastAsia="Times New Roman"/>
                <w:color w:val="000000"/>
                <w:sz w:val="12"/>
                <w:szCs w:val="12"/>
              </w:rPr>
            </w:pPr>
            <w:r w:rsidRPr="00D475C9">
              <w:rPr>
                <w:rFonts w:eastAsia="Times New Roman"/>
                <w:color w:val="000000"/>
                <w:sz w:val="12"/>
                <w:szCs w:val="12"/>
              </w:rPr>
              <w:t>Introducing the Front-Of-Pack Acceptance Model: the role of usefulness and ease of use in European consumers’ acceptance of Front-Of-Pack Labels</w:t>
            </w:r>
          </w:p>
        </w:tc>
        <w:tc>
          <w:tcPr>
            <w:tcW w:w="333" w:type="dxa"/>
          </w:tcPr>
          <w:p w:rsidR="00DF60F4" w:rsidRPr="00D475C9" w:rsidP="00DF60F4" w14:paraId="08F3E398" w14:textId="7083F1A2">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DF60F4" w:rsidRPr="00D475C9" w:rsidP="00DF60F4" w14:paraId="0F6EE6AF" w14:textId="5E57D68A">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 xml:space="preserve">1. Tested a model developed to assess understanding and usefulness of </w:t>
            </w:r>
            <w:r w:rsidR="004B6E26">
              <w:rPr>
                <w:rFonts w:eastAsia="Times New Roman"/>
                <w:sz w:val="12"/>
                <w:szCs w:val="12"/>
              </w:rPr>
              <w:t>FOP</w:t>
            </w:r>
            <w:r w:rsidRPr="00D475C9">
              <w:rPr>
                <w:rFonts w:eastAsia="Times New Roman"/>
                <w:sz w:val="12"/>
                <w:szCs w:val="12"/>
              </w:rPr>
              <w:t>s in decision-making</w:t>
            </w:r>
            <w:r w:rsidRPr="00D475C9">
              <w:rPr>
                <w:rFonts w:eastAsia="Times New Roman"/>
                <w:sz w:val="12"/>
                <w:szCs w:val="12"/>
              </w:rPr>
              <w:br/>
              <w:t xml:space="preserve">2. Preliminary plus 2 main studies assessed ease and usefulness of </w:t>
            </w:r>
            <w:r w:rsidR="004B6E26">
              <w:rPr>
                <w:rFonts w:eastAsia="Times New Roman"/>
                <w:sz w:val="12"/>
                <w:szCs w:val="12"/>
              </w:rPr>
              <w:t>FOP</w:t>
            </w:r>
            <w:r w:rsidRPr="00D475C9">
              <w:rPr>
                <w:rFonts w:eastAsia="Times New Roman"/>
                <w:sz w:val="12"/>
                <w:szCs w:val="12"/>
              </w:rPr>
              <w:t xml:space="preserve">s. Shoppers made selections and then completed questionnaires about their purchases. In preliminary studies, students were instructed about the labels, over several sessions, and then tasked with select foods from 5 categories. In Study 1, respondents assessed the items from the preliminary phase according to </w:t>
            </w:r>
            <w:r w:rsidR="004B6E26">
              <w:rPr>
                <w:rFonts w:eastAsia="Times New Roman"/>
                <w:sz w:val="12"/>
                <w:szCs w:val="12"/>
              </w:rPr>
              <w:t>Nutri-Score</w:t>
            </w:r>
            <w:r w:rsidRPr="00D475C9">
              <w:rPr>
                <w:rFonts w:eastAsia="Times New Roman"/>
                <w:sz w:val="12"/>
                <w:szCs w:val="12"/>
              </w:rPr>
              <w:t xml:space="preserve"> and MTL. In Study 2, tested the acceptance of NutrInform Batter, a Nutrient-specific numerical label, the MTL, a nutrient-specific color-coded label, and </w:t>
            </w:r>
            <w:r w:rsidR="004B6E26">
              <w:rPr>
                <w:rFonts w:eastAsia="Times New Roman"/>
                <w:sz w:val="12"/>
                <w:szCs w:val="12"/>
              </w:rPr>
              <w:t>Nutri-Score</w:t>
            </w:r>
            <w:r w:rsidRPr="00D475C9">
              <w:rPr>
                <w:rFonts w:eastAsia="Times New Roman"/>
                <w:sz w:val="12"/>
                <w:szCs w:val="12"/>
              </w:rPr>
              <w:t>.</w:t>
            </w:r>
          </w:p>
        </w:tc>
        <w:tc>
          <w:tcPr>
            <w:tcW w:w="1199" w:type="dxa"/>
          </w:tcPr>
          <w:p w:rsidR="00DF60F4" w:rsidRPr="00D475C9" w:rsidP="00DF60F4" w14:paraId="2C947E59" w14:textId="6ACE5850">
            <w:pPr>
              <w:pStyle w:val="TableParagraph"/>
              <w:spacing w:line="252" w:lineRule="auto"/>
              <w:ind w:right="121"/>
              <w:rPr>
                <w:rFonts w:eastAsia="Times New Roman"/>
                <w:sz w:val="12"/>
                <w:szCs w:val="12"/>
              </w:rPr>
            </w:pPr>
            <w:r w:rsidRPr="00D475C9">
              <w:rPr>
                <w:rFonts w:eastAsia="Times New Roman"/>
                <w:sz w:val="12"/>
                <w:szCs w:val="12"/>
              </w:rPr>
              <w:t xml:space="preserve">1. </w:t>
            </w:r>
            <w:r w:rsidR="004B6E26">
              <w:rPr>
                <w:rFonts w:eastAsia="Times New Roman"/>
                <w:sz w:val="12"/>
                <w:szCs w:val="12"/>
              </w:rPr>
              <w:t>Nutri-Score</w:t>
            </w:r>
            <w:r w:rsidRPr="00D475C9">
              <w:rPr>
                <w:rFonts w:eastAsia="Times New Roman"/>
                <w:sz w:val="12"/>
                <w:szCs w:val="12"/>
              </w:rPr>
              <w:br/>
              <w:t>2. Multiple Traffic Light</w:t>
            </w:r>
            <w:r w:rsidRPr="00D475C9">
              <w:rPr>
                <w:rFonts w:eastAsia="Times New Roman"/>
                <w:sz w:val="12"/>
                <w:szCs w:val="12"/>
              </w:rPr>
              <w:br/>
              <w:t>3. NutrInform Battery</w:t>
            </w:r>
          </w:p>
        </w:tc>
        <w:tc>
          <w:tcPr>
            <w:tcW w:w="1204" w:type="dxa"/>
          </w:tcPr>
          <w:p w:rsidR="00DF60F4" w:rsidRPr="00D475C9" w:rsidP="00DF60F4" w14:paraId="57BFEDB4" w14:textId="62AD09DD">
            <w:pPr>
              <w:spacing w:after="0" w:line="240" w:lineRule="auto"/>
              <w:rPr>
                <w:rFonts w:ascii="Calibri" w:eastAsia="Times New Roman" w:hAnsi="Calibri" w:cs="Calibri"/>
                <w:color w:val="000000"/>
                <w:sz w:val="12"/>
                <w:szCs w:val="12"/>
                <w:lang w:eastAsia="en-US"/>
              </w:rPr>
            </w:pPr>
            <w:r w:rsidRPr="00D475C9">
              <w:rPr>
                <w:rFonts w:ascii="Calibri" w:eastAsia="Times New Roman" w:hAnsi="Calibri" w:cs="Calibri"/>
                <w:color w:val="000000"/>
                <w:sz w:val="12"/>
                <w:szCs w:val="12"/>
                <w:lang w:eastAsia="en-US"/>
              </w:rPr>
              <w:t>No image available</w:t>
            </w:r>
          </w:p>
        </w:tc>
        <w:tc>
          <w:tcPr>
            <w:tcW w:w="550" w:type="dxa"/>
          </w:tcPr>
          <w:p w:rsidR="00DF60F4" w:rsidRPr="00D475C9" w:rsidP="00DF60F4" w14:paraId="790EF644" w14:textId="2360485E">
            <w:pPr>
              <w:pStyle w:val="TableParagraph"/>
              <w:spacing w:line="140" w:lineRule="exact"/>
              <w:ind w:left="0" w:right="39"/>
              <w:jc w:val="center"/>
              <w:rPr>
                <w:rFonts w:eastAsia="Times New Roman"/>
                <w:sz w:val="12"/>
                <w:szCs w:val="12"/>
              </w:rPr>
            </w:pPr>
            <w:r w:rsidRPr="00D475C9">
              <w:rPr>
                <w:rFonts w:eastAsia="Times New Roman"/>
                <w:sz w:val="12"/>
                <w:szCs w:val="12"/>
              </w:rPr>
              <w:t>Italy, France, UK</w:t>
            </w:r>
          </w:p>
        </w:tc>
        <w:tc>
          <w:tcPr>
            <w:tcW w:w="3487" w:type="dxa"/>
          </w:tcPr>
          <w:p w:rsidR="00DF60F4" w:rsidRPr="00D475C9" w:rsidP="00DF60F4" w14:paraId="4E0A93C6" w14:textId="091EE981">
            <w:pPr>
              <w:pStyle w:val="TableParagraph"/>
              <w:spacing w:line="252" w:lineRule="auto"/>
              <w:rPr>
                <w:rFonts w:eastAsia="Times New Roman"/>
                <w:sz w:val="12"/>
                <w:szCs w:val="12"/>
              </w:rPr>
            </w:pPr>
            <w:r w:rsidRPr="00D475C9">
              <w:rPr>
                <w:rFonts w:eastAsia="Times New Roman"/>
                <w:sz w:val="12"/>
                <w:szCs w:val="12"/>
              </w:rPr>
              <w:t xml:space="preserve">1. Labelling systems support buying decisions and contribute to the definition of healthier choices when they are perceived as useful and easy to use. </w:t>
            </w:r>
            <w:r w:rsidRPr="00D475C9">
              <w:rPr>
                <w:rFonts w:eastAsia="Times New Roman"/>
                <w:sz w:val="12"/>
                <w:szCs w:val="12"/>
              </w:rPr>
              <w:br/>
              <w:t xml:space="preserve">2. Both interpretative and summary labels are effective, though the magnitude of the effects for the two categories and for countries with different degree of adoption of </w:t>
            </w:r>
            <w:r w:rsidR="004B6E26">
              <w:rPr>
                <w:rFonts w:eastAsia="Times New Roman"/>
                <w:sz w:val="12"/>
                <w:szCs w:val="12"/>
              </w:rPr>
              <w:t>FOP</w:t>
            </w:r>
            <w:r w:rsidRPr="00D475C9">
              <w:rPr>
                <w:rFonts w:eastAsia="Times New Roman"/>
                <w:sz w:val="12"/>
                <w:szCs w:val="12"/>
              </w:rPr>
              <w:t xml:space="preserve"> in their respective market vary.</w:t>
            </w:r>
          </w:p>
        </w:tc>
      </w:tr>
      <w:tr w14:paraId="6C5BFDD1"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590AA987" w14:textId="01A7369A">
            <w:pPr>
              <w:pStyle w:val="TableParagraph"/>
              <w:spacing w:line="252" w:lineRule="auto"/>
              <w:ind w:right="133"/>
              <w:rPr>
                <w:rFonts w:eastAsia="Times New Roman"/>
                <w:color w:val="000000"/>
                <w:sz w:val="12"/>
                <w:szCs w:val="12"/>
              </w:rPr>
            </w:pPr>
            <w:r w:rsidRPr="00D475C9">
              <w:rPr>
                <w:rFonts w:eastAsia="Times New Roman"/>
                <w:color w:val="000000"/>
                <w:sz w:val="12"/>
                <w:szCs w:val="12"/>
              </w:rPr>
              <w:t>Mazzù, et al.</w:t>
            </w:r>
          </w:p>
        </w:tc>
        <w:tc>
          <w:tcPr>
            <w:tcW w:w="2101" w:type="dxa"/>
          </w:tcPr>
          <w:p w:rsidR="00DF60F4" w:rsidRPr="00D475C9" w:rsidP="00DF60F4" w14:paraId="09168905" w14:textId="06E66BA5">
            <w:pPr>
              <w:pStyle w:val="TableParagraph"/>
              <w:spacing w:line="252" w:lineRule="auto"/>
              <w:ind w:right="102"/>
              <w:rPr>
                <w:rFonts w:eastAsia="Times New Roman"/>
                <w:color w:val="000000"/>
                <w:sz w:val="12"/>
                <w:szCs w:val="12"/>
              </w:rPr>
            </w:pPr>
            <w:r w:rsidRPr="00D475C9">
              <w:rPr>
                <w:rFonts w:eastAsia="Times New Roman"/>
                <w:color w:val="000000"/>
                <w:sz w:val="12"/>
                <w:szCs w:val="12"/>
              </w:rPr>
              <w:t>The role of trust and algorithms in consumers’ front-of-pack labels acceptance: a cross-country investigation</w:t>
            </w:r>
          </w:p>
        </w:tc>
        <w:tc>
          <w:tcPr>
            <w:tcW w:w="333" w:type="dxa"/>
          </w:tcPr>
          <w:p w:rsidR="00DF60F4" w:rsidRPr="00D475C9" w:rsidP="00DF60F4" w14:paraId="40934AA6" w14:textId="50BC472C">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DF60F4" w:rsidRPr="00D475C9" w:rsidP="00DF60F4" w14:paraId="6DA3A73B" w14:textId="0AC9222D">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 xml:space="preserve">3 studies: all three studies collected data from primary grocery shoppers selected from a web panel. All 3 studies asked shoppers to review products with various </w:t>
            </w:r>
            <w:r w:rsidR="004B6E26">
              <w:rPr>
                <w:rFonts w:eastAsia="Times New Roman"/>
                <w:sz w:val="12"/>
                <w:szCs w:val="12"/>
              </w:rPr>
              <w:t>FOP</w:t>
            </w:r>
            <w:r w:rsidRPr="00D475C9">
              <w:rPr>
                <w:rFonts w:eastAsia="Times New Roman"/>
                <w:sz w:val="12"/>
                <w:szCs w:val="12"/>
              </w:rPr>
              <w:t xml:space="preserve">s, assessed trust in the </w:t>
            </w:r>
            <w:r w:rsidR="004B6E26">
              <w:rPr>
                <w:rFonts w:eastAsia="Times New Roman"/>
                <w:sz w:val="12"/>
                <w:szCs w:val="12"/>
              </w:rPr>
              <w:t>FOP</w:t>
            </w:r>
            <w:r w:rsidRPr="00D475C9">
              <w:rPr>
                <w:rFonts w:eastAsia="Times New Roman"/>
                <w:sz w:val="12"/>
                <w:szCs w:val="12"/>
              </w:rPr>
              <w:t xml:space="preserve">s affecting behavioral intention; work done to strengthen the Front-of-Pack Acceptance Model </w:t>
            </w:r>
          </w:p>
        </w:tc>
        <w:tc>
          <w:tcPr>
            <w:tcW w:w="1199" w:type="dxa"/>
          </w:tcPr>
          <w:p w:rsidR="00DF60F4" w:rsidRPr="00D475C9" w:rsidP="000444F6" w14:paraId="3A5375F9" w14:textId="7BA449DE">
            <w:pPr>
              <w:pStyle w:val="TableParagraph"/>
              <w:spacing w:line="252" w:lineRule="auto"/>
              <w:ind w:right="121"/>
              <w:rPr>
                <w:rFonts w:eastAsia="Times New Roman"/>
                <w:sz w:val="12"/>
                <w:szCs w:val="12"/>
              </w:rPr>
            </w:pPr>
            <w:r w:rsidRPr="00D475C9">
              <w:rPr>
                <w:rFonts w:eastAsia="Times New Roman"/>
                <w:sz w:val="12"/>
                <w:szCs w:val="12"/>
              </w:rPr>
              <w:t>1. Nutrient-specific labels</w:t>
            </w:r>
            <w:r w:rsidRPr="00D475C9">
              <w:rPr>
                <w:rFonts w:eastAsia="Times New Roman"/>
                <w:sz w:val="12"/>
                <w:szCs w:val="12"/>
              </w:rPr>
              <w:br/>
              <w:t xml:space="preserve">- Numerical labels </w:t>
            </w:r>
            <w:r w:rsidRPr="00D475C9">
              <w:rPr>
                <w:rFonts w:eastAsia="Times New Roman"/>
                <w:sz w:val="12"/>
                <w:szCs w:val="12"/>
              </w:rPr>
              <w:br/>
              <w:t xml:space="preserve">- Color-coded labels </w:t>
            </w:r>
            <w:r w:rsidRPr="00D475C9">
              <w:rPr>
                <w:rFonts w:eastAsia="Times New Roman"/>
                <w:sz w:val="12"/>
                <w:szCs w:val="12"/>
              </w:rPr>
              <w:br/>
              <w:t>2. Summary labels</w:t>
            </w:r>
            <w:r w:rsidRPr="00D475C9">
              <w:rPr>
                <w:rFonts w:eastAsia="Times New Roman"/>
                <w:sz w:val="12"/>
                <w:szCs w:val="12"/>
              </w:rPr>
              <w:br/>
              <w:t xml:space="preserve">- Endorsement logos </w:t>
            </w:r>
            <w:r w:rsidRPr="00D475C9">
              <w:rPr>
                <w:rFonts w:eastAsia="Times New Roman"/>
                <w:sz w:val="12"/>
                <w:szCs w:val="12"/>
              </w:rPr>
              <w:br/>
              <w:t xml:space="preserve">- Graded indicators </w:t>
            </w:r>
          </w:p>
        </w:tc>
        <w:tc>
          <w:tcPr>
            <w:tcW w:w="1204" w:type="dxa"/>
          </w:tcPr>
          <w:p w:rsidR="00DF60F4" w:rsidRPr="00D475C9" w:rsidP="00DF60F4" w14:paraId="2EE1AEE5" w14:textId="00F18498">
            <w:pPr>
              <w:spacing w:after="0" w:line="240" w:lineRule="auto"/>
              <w:rPr>
                <w:rFonts w:ascii="Calibri" w:eastAsia="Times New Roman" w:hAnsi="Calibri" w:cs="Calibri"/>
                <w:color w:val="000000"/>
                <w:sz w:val="12"/>
                <w:szCs w:val="12"/>
                <w:lang w:eastAsia="en-US"/>
              </w:rPr>
            </w:pPr>
            <w:r w:rsidRPr="00D475C9">
              <w:rPr>
                <w:rFonts w:ascii="Times New Roman" w:eastAsia="Times New Roman" w:hAnsi="Times New Roman" w:cs="Times New Roman"/>
                <w:noProof/>
                <w:color w:val="000000"/>
                <w:sz w:val="12"/>
                <w:szCs w:val="12"/>
                <w:lang w:eastAsia="en-US"/>
              </w:rPr>
              <mc:AlternateContent>
                <mc:Choice Requires="wpg">
                  <w:drawing>
                    <wp:anchor distT="0" distB="0" distL="114300" distR="114300" simplePos="0" relativeHeight="251744256" behindDoc="0" locked="0" layoutInCell="1" allowOverlap="1">
                      <wp:simplePos x="0" y="0"/>
                      <wp:positionH relativeFrom="column">
                        <wp:posOffset>80493</wp:posOffset>
                      </wp:positionH>
                      <wp:positionV relativeFrom="paragraph">
                        <wp:posOffset>90170</wp:posOffset>
                      </wp:positionV>
                      <wp:extent cx="640080" cy="514350"/>
                      <wp:effectExtent l="0" t="0" r="7620" b="0"/>
                      <wp:wrapNone/>
                      <wp:docPr id="130" name="Group 130"/>
                      <wp:cNvGraphicFramePr>
                        <a:graphicFrameLocks xmlns:a="http://schemas.openxmlformats.org/drawingml/2006/main" noChangeAspect="1"/>
                      </wp:cNvGraphicFramePr>
                      <a:graphic xmlns:a="http://schemas.openxmlformats.org/drawingml/2006/main">
                        <a:graphicData uri="http://schemas.microsoft.com/office/word/2010/wordprocessingGroup">
                          <wpg:wgp xmlns:wpg="http://schemas.microsoft.com/office/word/2010/wordprocessingGroup">
                            <wpg:cNvGrpSpPr>
                              <a:grpSpLocks noChangeAspect="1"/>
                            </wpg:cNvGrpSpPr>
                            <wpg:grpSpPr>
                              <a:xfrm>
                                <a:off x="0" y="0"/>
                                <a:ext cx="640080" cy="514350"/>
                                <a:chOff x="0" y="0"/>
                                <a:chExt cx="1727451" cy="962864"/>
                              </a:xfrm>
                            </wpg:grpSpPr>
                            <pic:pic xmlns:pic="http://schemas.openxmlformats.org/drawingml/2006/picture">
                              <pic:nvPicPr>
                                <pic:cNvPr id="136" name="Picture 136"/>
                                <pic:cNvPicPr>
                                  <a:picLocks noChangeAspect="1"/>
                                </pic:cNvPicPr>
                              </pic:nvPicPr>
                              <pic:blipFill>
                                <a:blip xmlns:r="http://schemas.openxmlformats.org/officeDocument/2006/relationships" r:embed="rId101" cstate="print">
                                  <a:extLst>
                                    <a:ext xmlns:a="http://schemas.openxmlformats.org/drawingml/2006/main" uri="{28A0092B-C50C-407E-A947-70E740481C1C}">
                                      <a14:useLocalDpi xmlns:a14="http://schemas.microsoft.com/office/drawing/2010/main" val="0"/>
                                    </a:ext>
                                  </a:extLst>
                                </a:blip>
                                <a:stretch>
                                  <a:fillRect/>
                                </a:stretch>
                              </pic:blipFill>
                              <pic:spPr>
                                <a:xfrm>
                                  <a:off x="964426" y="2399"/>
                                  <a:ext cx="763025" cy="781193"/>
                                </a:xfrm>
                                <a:prstGeom prst="rect">
                                  <a:avLst/>
                                </a:prstGeom>
                              </pic:spPr>
                            </pic:pic>
                            <pic:pic xmlns:pic="http://schemas.openxmlformats.org/drawingml/2006/picture">
                              <pic:nvPicPr>
                                <pic:cNvPr id="146" name="Picture 146"/>
                                <pic:cNvPicPr>
                                  <a:picLocks noChangeAspect="1"/>
                                </pic:cNvPicPr>
                              </pic:nvPicPr>
                              <pic:blipFill>
                                <a:blip xmlns:r="http://schemas.openxmlformats.org/officeDocument/2006/relationships" r:embed="rId10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3925" cy="962864"/>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30" o:spid="_x0000_s1061" style="width:50.4pt;height:40.5pt;margin-top:7.1pt;margin-left:6.35pt;position:absolute;z-index:251745280" coordsize="17274,9628">
                      <o:lock v:ext="edit" aspectratio="t"/>
                      <v:shape id="Picture 136" o:spid="_x0000_s1062" type="#_x0000_t75" style="width:7630;height:7812;left:9644;mso-wrap-style:square;position:absolute;top:23;visibility:visible">
                        <v:imagedata r:id="rId101" o:title=""/>
                      </v:shape>
                      <v:shape id="Picture 146" o:spid="_x0000_s1063" type="#_x0000_t75" style="width:7739;height:9628;mso-wrap-style:square;position:absolute;visibility:visible">
                        <v:imagedata r:id="rId102" o:title=""/>
                      </v:shape>
                    </v:group>
                  </w:pict>
                </mc:Fallback>
              </mc:AlternateContent>
            </w:r>
            <w:r w:rsidRPr="00D475C9">
              <w:rPr>
                <w:rFonts w:ascii="Times New Roman" w:eastAsia="Times New Roman" w:hAnsi="Times New Roman" w:cs="Times New Roman"/>
                <w:color w:val="000000"/>
                <w:sz w:val="12"/>
                <w:szCs w:val="12"/>
                <w:lang w:eastAsia="en-US"/>
              </w:rPr>
              <w:t> </w:t>
            </w:r>
          </w:p>
        </w:tc>
        <w:tc>
          <w:tcPr>
            <w:tcW w:w="550" w:type="dxa"/>
          </w:tcPr>
          <w:p w:rsidR="00DF60F4" w:rsidRPr="00D475C9" w:rsidP="00DF60F4" w14:paraId="22FF4E13" w14:textId="37C18C11">
            <w:pPr>
              <w:pStyle w:val="TableParagraph"/>
              <w:spacing w:line="140" w:lineRule="exact"/>
              <w:ind w:left="0" w:right="39"/>
              <w:jc w:val="center"/>
              <w:rPr>
                <w:rFonts w:eastAsia="Times New Roman"/>
                <w:sz w:val="12"/>
                <w:szCs w:val="12"/>
              </w:rPr>
            </w:pPr>
            <w:r w:rsidRPr="00D475C9">
              <w:rPr>
                <w:rFonts w:eastAsia="Times New Roman"/>
                <w:sz w:val="12"/>
                <w:szCs w:val="12"/>
              </w:rPr>
              <w:t>Italy, France, UK</w:t>
            </w:r>
          </w:p>
        </w:tc>
        <w:tc>
          <w:tcPr>
            <w:tcW w:w="3487" w:type="dxa"/>
          </w:tcPr>
          <w:p w:rsidR="00DF60F4" w:rsidRPr="00D475C9" w:rsidP="00DF60F4" w14:paraId="3763024C" w14:textId="27BD89AF">
            <w:pPr>
              <w:pStyle w:val="TableParagraph"/>
              <w:spacing w:line="252" w:lineRule="auto"/>
              <w:rPr>
                <w:rFonts w:eastAsia="Times New Roman"/>
                <w:sz w:val="12"/>
                <w:szCs w:val="12"/>
              </w:rPr>
            </w:pPr>
            <w:r w:rsidRPr="00D475C9">
              <w:rPr>
                <w:rFonts w:eastAsia="Times New Roman"/>
                <w:sz w:val="12"/>
                <w:szCs w:val="12"/>
              </w:rPr>
              <w:t xml:space="preserve">1. Trust in </w:t>
            </w:r>
            <w:r w:rsidR="004B6E26">
              <w:rPr>
                <w:rFonts w:eastAsia="Times New Roman"/>
                <w:sz w:val="12"/>
                <w:szCs w:val="12"/>
              </w:rPr>
              <w:t>FOP</w:t>
            </w:r>
            <w:r w:rsidRPr="00D475C9">
              <w:rPr>
                <w:rFonts w:eastAsia="Times New Roman"/>
                <w:sz w:val="12"/>
                <w:szCs w:val="12"/>
              </w:rPr>
              <w:t>s has a positive effect on behavioral intention</w:t>
            </w:r>
            <w:r w:rsidRPr="00D475C9">
              <w:rPr>
                <w:rFonts w:eastAsia="Times New Roman"/>
                <w:sz w:val="12"/>
                <w:szCs w:val="12"/>
              </w:rPr>
              <w:br/>
              <w:t>2. Relative performance of different labels on the Front-of-Pack Acceptance Model is due to trust differences</w:t>
            </w:r>
            <w:r w:rsidRPr="00D475C9">
              <w:rPr>
                <w:rFonts w:eastAsia="Times New Roman"/>
                <w:sz w:val="12"/>
                <w:szCs w:val="12"/>
              </w:rPr>
              <w:br/>
              <w:t xml:space="preserve">3. </w:t>
            </w:r>
            <w:r w:rsidR="004B6E26">
              <w:rPr>
                <w:rFonts w:eastAsia="Times New Roman"/>
                <w:sz w:val="12"/>
                <w:szCs w:val="12"/>
              </w:rPr>
              <w:t>Nutri-Score</w:t>
            </w:r>
            <w:r w:rsidRPr="00D475C9">
              <w:rPr>
                <w:rFonts w:eastAsia="Times New Roman"/>
                <w:sz w:val="12"/>
                <w:szCs w:val="12"/>
              </w:rPr>
              <w:t xml:space="preserve"> is less effective than the NutrInform Battery on attitude, behavioral intention, and trust.</w:t>
            </w:r>
          </w:p>
        </w:tc>
      </w:tr>
      <w:tr w14:paraId="2741CEFC"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491C2CB0" w14:textId="13955C99">
            <w:pPr>
              <w:pStyle w:val="TableParagraph"/>
              <w:spacing w:line="252" w:lineRule="auto"/>
              <w:ind w:right="133"/>
              <w:rPr>
                <w:rFonts w:eastAsia="Times New Roman"/>
                <w:color w:val="000000"/>
                <w:sz w:val="12"/>
                <w:szCs w:val="12"/>
              </w:rPr>
            </w:pPr>
            <w:r w:rsidRPr="00D475C9">
              <w:rPr>
                <w:rFonts w:eastAsia="Times New Roman"/>
                <w:color w:val="000000"/>
                <w:sz w:val="12"/>
                <w:szCs w:val="12"/>
              </w:rPr>
              <w:t>Mazzù, et al.</w:t>
            </w:r>
          </w:p>
        </w:tc>
        <w:tc>
          <w:tcPr>
            <w:tcW w:w="2101" w:type="dxa"/>
          </w:tcPr>
          <w:p w:rsidR="00DF60F4" w:rsidRPr="00D475C9" w:rsidP="00DF60F4" w14:paraId="58EB2F8E" w14:textId="640E27BB">
            <w:pPr>
              <w:pStyle w:val="TableParagraph"/>
              <w:spacing w:line="252" w:lineRule="auto"/>
              <w:ind w:right="102"/>
              <w:rPr>
                <w:rFonts w:eastAsia="Times New Roman"/>
                <w:color w:val="000000"/>
                <w:sz w:val="12"/>
                <w:szCs w:val="12"/>
              </w:rPr>
            </w:pPr>
            <w:r w:rsidRPr="00D475C9">
              <w:rPr>
                <w:rFonts w:eastAsia="Times New Roman"/>
                <w:color w:val="000000"/>
                <w:sz w:val="12"/>
                <w:szCs w:val="12"/>
              </w:rPr>
              <w:t>Uncovering the Effect of European Policy-Making Initiatives in Addressing Nutrition-Related Issues: A Systematic Literature Review and Bibliometric Analysis on Front-of-Pack Labels</w:t>
            </w:r>
          </w:p>
        </w:tc>
        <w:tc>
          <w:tcPr>
            <w:tcW w:w="333" w:type="dxa"/>
          </w:tcPr>
          <w:p w:rsidR="00DF60F4" w:rsidRPr="00D475C9" w:rsidP="00DF60F4" w14:paraId="518C4FB3" w14:textId="0E171C16">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DF60F4" w:rsidRPr="00D475C9" w:rsidP="00DF60F4" w14:paraId="0EDA5C33" w14:textId="279D21BB">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1. Bibliometric and co-citation analyses and systematic literature review of 170 papers and 49 articles recent publications (219 articles total), analyzed over 3 time periods.</w:t>
            </w:r>
          </w:p>
        </w:tc>
        <w:tc>
          <w:tcPr>
            <w:tcW w:w="1199" w:type="dxa"/>
          </w:tcPr>
          <w:p w:rsidR="00DF60F4" w:rsidRPr="00D475C9" w:rsidP="000444F6" w14:paraId="6A0FBFA8" w14:textId="2F3978B8">
            <w:pPr>
              <w:pStyle w:val="TableParagraph"/>
              <w:spacing w:line="252" w:lineRule="auto"/>
              <w:ind w:right="121"/>
              <w:rPr>
                <w:rFonts w:eastAsia="Times New Roman"/>
                <w:sz w:val="12"/>
                <w:szCs w:val="12"/>
              </w:rPr>
            </w:pPr>
            <w:r w:rsidRPr="00D475C9">
              <w:rPr>
                <w:rFonts w:eastAsia="Times New Roman"/>
                <w:sz w:val="12"/>
                <w:szCs w:val="12"/>
              </w:rPr>
              <w:t>1. Nutrient-specific labels</w:t>
            </w:r>
            <w:r w:rsidRPr="00D475C9">
              <w:rPr>
                <w:rFonts w:eastAsia="Times New Roman"/>
                <w:sz w:val="12"/>
                <w:szCs w:val="12"/>
              </w:rPr>
              <w:br/>
              <w:t xml:space="preserve">- Numerical labels </w:t>
            </w:r>
            <w:r w:rsidRPr="00D475C9">
              <w:rPr>
                <w:rFonts w:eastAsia="Times New Roman"/>
                <w:sz w:val="12"/>
                <w:szCs w:val="12"/>
              </w:rPr>
              <w:br/>
              <w:t xml:space="preserve">- Color-coded labels </w:t>
            </w:r>
            <w:r w:rsidRPr="00D475C9">
              <w:rPr>
                <w:rFonts w:eastAsia="Times New Roman"/>
                <w:sz w:val="12"/>
                <w:szCs w:val="12"/>
              </w:rPr>
              <w:br/>
              <w:t>2. Summary labels</w:t>
            </w:r>
            <w:r w:rsidRPr="00D475C9">
              <w:rPr>
                <w:rFonts w:eastAsia="Times New Roman"/>
                <w:sz w:val="12"/>
                <w:szCs w:val="12"/>
              </w:rPr>
              <w:br/>
              <w:t xml:space="preserve">- Endorsement logos </w:t>
            </w:r>
            <w:r w:rsidRPr="00D475C9">
              <w:rPr>
                <w:rFonts w:eastAsia="Times New Roman"/>
                <w:sz w:val="12"/>
                <w:szCs w:val="12"/>
              </w:rPr>
              <w:br/>
              <w:t xml:space="preserve">- Graded indicators </w:t>
            </w:r>
          </w:p>
        </w:tc>
        <w:tc>
          <w:tcPr>
            <w:tcW w:w="1204" w:type="dxa"/>
          </w:tcPr>
          <w:p w:rsidR="00DF60F4" w:rsidRPr="00D475C9" w:rsidP="00DF60F4" w14:paraId="79387388" w14:textId="4019804F">
            <w:pPr>
              <w:spacing w:after="0" w:line="240" w:lineRule="auto"/>
              <w:rPr>
                <w:rFonts w:ascii="Times New Roman" w:eastAsia="Times New Roman" w:hAnsi="Times New Roman" w:cs="Times New Roman"/>
                <w:color w:val="000000"/>
                <w:sz w:val="12"/>
                <w:szCs w:val="12"/>
                <w:lang w:eastAsia="en-US"/>
              </w:rPr>
            </w:pPr>
            <w:r w:rsidRPr="00D475C9">
              <w:rPr>
                <w:rFonts w:ascii="Times New Roman" w:eastAsia="Times New Roman" w:hAnsi="Times New Roman" w:cs="Times New Roman"/>
                <w:noProof/>
                <w:color w:val="000000"/>
                <w:sz w:val="12"/>
                <w:szCs w:val="12"/>
                <w:lang w:eastAsia="en-US"/>
              </w:rPr>
              <mc:AlternateContent>
                <mc:Choice Requires="wpg">
                  <w:drawing>
                    <wp:anchor distT="0" distB="0" distL="114300" distR="114300" simplePos="0" relativeHeight="251719680" behindDoc="0" locked="0" layoutInCell="1" allowOverlap="1">
                      <wp:simplePos x="0" y="0"/>
                      <wp:positionH relativeFrom="column">
                        <wp:posOffset>63500</wp:posOffset>
                      </wp:positionH>
                      <wp:positionV relativeFrom="paragraph">
                        <wp:posOffset>102870</wp:posOffset>
                      </wp:positionV>
                      <wp:extent cx="640080" cy="514350"/>
                      <wp:effectExtent l="0" t="0" r="7620" b="0"/>
                      <wp:wrapNone/>
                      <wp:docPr id="66" name="Group 66"/>
                      <wp:cNvGraphicFramePr>
                        <a:graphicFrameLocks xmlns:a="http://schemas.openxmlformats.org/drawingml/2006/main" noChangeAspect="1"/>
                      </wp:cNvGraphicFramePr>
                      <a:graphic xmlns:a="http://schemas.openxmlformats.org/drawingml/2006/main">
                        <a:graphicData uri="http://schemas.microsoft.com/office/word/2010/wordprocessingGroup">
                          <wpg:wgp xmlns:wpg="http://schemas.microsoft.com/office/word/2010/wordprocessingGroup">
                            <wpg:cNvGrpSpPr>
                              <a:grpSpLocks noChangeAspect="1"/>
                            </wpg:cNvGrpSpPr>
                            <wpg:grpSpPr>
                              <a:xfrm>
                                <a:off x="0" y="0"/>
                                <a:ext cx="640080" cy="514350"/>
                                <a:chOff x="0" y="0"/>
                                <a:chExt cx="1727451" cy="962864"/>
                              </a:xfrm>
                            </wpg:grpSpPr>
                            <pic:pic xmlns:pic="http://schemas.openxmlformats.org/drawingml/2006/picture">
                              <pic:nvPicPr>
                                <pic:cNvPr id="107" name="Picture 107"/>
                                <pic:cNvPicPr>
                                  <a:picLocks noChangeAspect="1"/>
                                </pic:cNvPicPr>
                              </pic:nvPicPr>
                              <pic:blipFill>
                                <a:blip xmlns:r="http://schemas.openxmlformats.org/officeDocument/2006/relationships" r:embed="rId101" cstate="print">
                                  <a:extLst>
                                    <a:ext xmlns:a="http://schemas.openxmlformats.org/drawingml/2006/main" uri="{28A0092B-C50C-407E-A947-70E740481C1C}">
                                      <a14:useLocalDpi xmlns:a14="http://schemas.microsoft.com/office/drawing/2010/main" val="0"/>
                                    </a:ext>
                                  </a:extLst>
                                </a:blip>
                                <a:stretch>
                                  <a:fillRect/>
                                </a:stretch>
                              </pic:blipFill>
                              <pic:spPr>
                                <a:xfrm>
                                  <a:off x="964426" y="2399"/>
                                  <a:ext cx="763025" cy="781193"/>
                                </a:xfrm>
                                <a:prstGeom prst="rect">
                                  <a:avLst/>
                                </a:prstGeom>
                              </pic:spPr>
                            </pic:pic>
                            <pic:pic xmlns:pic="http://schemas.openxmlformats.org/drawingml/2006/picture">
                              <pic:nvPicPr>
                                <pic:cNvPr id="108" name="Picture 108"/>
                                <pic:cNvPicPr>
                                  <a:picLocks noChangeAspect="1"/>
                                </pic:cNvPicPr>
                              </pic:nvPicPr>
                              <pic:blipFill>
                                <a:blip xmlns:r="http://schemas.openxmlformats.org/officeDocument/2006/relationships" r:embed="rId10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3925" cy="962864"/>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66" o:spid="_x0000_s1064" style="width:50.4pt;height:40.5pt;margin-top:8.1pt;margin-left:5pt;position:absolute;z-index:251720704" coordsize="17274,9628">
                      <o:lock v:ext="edit" aspectratio="t"/>
                      <v:shape id="Picture 107" o:spid="_x0000_s1065" type="#_x0000_t75" style="width:7630;height:7812;left:9644;mso-wrap-style:square;position:absolute;top:23;visibility:visible">
                        <v:imagedata r:id="rId101" o:title=""/>
                      </v:shape>
                      <v:shape id="Picture 108" o:spid="_x0000_s1066" type="#_x0000_t75" style="width:7739;height:9628;mso-wrap-style:square;position:absolute;visibility:visible">
                        <v:imagedata r:id="rId102" o:title=""/>
                      </v:shape>
                    </v:group>
                  </w:pict>
                </mc:Fallback>
              </mc:AlternateContent>
            </w:r>
          </w:p>
        </w:tc>
        <w:tc>
          <w:tcPr>
            <w:tcW w:w="550" w:type="dxa"/>
          </w:tcPr>
          <w:p w:rsidR="00DF60F4" w:rsidRPr="00D475C9" w:rsidP="00DF60F4" w14:paraId="05B53101" w14:textId="356B5943">
            <w:pPr>
              <w:pStyle w:val="TableParagraph"/>
              <w:spacing w:line="140" w:lineRule="exact"/>
              <w:ind w:left="0" w:right="39"/>
              <w:jc w:val="center"/>
              <w:rPr>
                <w:rFonts w:eastAsia="Times New Roman"/>
                <w:sz w:val="12"/>
                <w:szCs w:val="12"/>
              </w:rPr>
            </w:pPr>
            <w:r w:rsidRPr="00D475C9">
              <w:rPr>
                <w:rFonts w:eastAsia="Times New Roman"/>
                <w:sz w:val="12"/>
                <w:szCs w:val="12"/>
              </w:rPr>
              <w:t>Europe</w:t>
            </w:r>
          </w:p>
        </w:tc>
        <w:tc>
          <w:tcPr>
            <w:tcW w:w="3487" w:type="dxa"/>
          </w:tcPr>
          <w:p w:rsidR="00DF60F4" w:rsidRPr="00D475C9" w:rsidP="00DF60F4" w14:paraId="1325ABF0" w14:textId="1576F7E2">
            <w:pPr>
              <w:pStyle w:val="TableParagraph"/>
              <w:spacing w:line="252" w:lineRule="auto"/>
              <w:rPr>
                <w:rFonts w:eastAsia="Times New Roman"/>
                <w:sz w:val="12"/>
                <w:szCs w:val="12"/>
              </w:rPr>
            </w:pPr>
            <w:r w:rsidRPr="00D475C9">
              <w:rPr>
                <w:rFonts w:eastAsia="Times New Roman"/>
                <w:sz w:val="12"/>
                <w:szCs w:val="12"/>
              </w:rPr>
              <w:t>1. Regulations evolved over the 33 years covered by the review, with the most recent goal of finding a harmonized and universal system to adapt in all EU countries; must avoid two risks identified in literature:</w:t>
            </w:r>
            <w:r w:rsidRPr="00D475C9">
              <w:rPr>
                <w:rFonts w:eastAsia="Times New Roman"/>
                <w:sz w:val="12"/>
                <w:szCs w:val="12"/>
              </w:rPr>
              <w:br/>
              <w:t xml:space="preserve">- </w:t>
            </w:r>
            <w:r w:rsidR="004B6E26">
              <w:rPr>
                <w:rFonts w:eastAsia="Times New Roman"/>
                <w:sz w:val="12"/>
                <w:szCs w:val="12"/>
              </w:rPr>
              <w:t>FOP</w:t>
            </w:r>
            <w:r w:rsidRPr="00D475C9">
              <w:rPr>
                <w:rFonts w:eastAsia="Times New Roman"/>
                <w:sz w:val="12"/>
                <w:szCs w:val="12"/>
              </w:rPr>
              <w:t xml:space="preserve"> system may be fully supported by converging evidence derived from multiple constructs</w:t>
            </w:r>
            <w:r w:rsidRPr="00D475C9">
              <w:rPr>
                <w:rFonts w:eastAsia="Times New Roman"/>
                <w:sz w:val="12"/>
                <w:szCs w:val="12"/>
              </w:rPr>
              <w:br/>
              <w:t xml:space="preserve">- intention to purchase healthier products improved with </w:t>
            </w:r>
            <w:r w:rsidR="004B6E26">
              <w:rPr>
                <w:rFonts w:eastAsia="Times New Roman"/>
                <w:sz w:val="12"/>
                <w:szCs w:val="12"/>
              </w:rPr>
              <w:t>FOP</w:t>
            </w:r>
            <w:r w:rsidRPr="00D475C9">
              <w:rPr>
                <w:rFonts w:eastAsia="Times New Roman"/>
                <w:sz w:val="12"/>
                <w:szCs w:val="12"/>
              </w:rPr>
              <w:t xml:space="preserve"> but little real world proof</w:t>
            </w:r>
            <w:r w:rsidRPr="00D475C9">
              <w:rPr>
                <w:rFonts w:eastAsia="Times New Roman"/>
                <w:sz w:val="12"/>
                <w:szCs w:val="12"/>
              </w:rPr>
              <w:br/>
            </w:r>
            <w:r w:rsidRPr="00D475C9">
              <w:rPr>
                <w:rFonts w:eastAsia="Times New Roman"/>
                <w:sz w:val="12"/>
                <w:szCs w:val="12"/>
              </w:rPr>
              <w:t>- must not overlook valid and worthwhile alternatives that may not have as many citations or as large a network of authors</w:t>
            </w:r>
            <w:r w:rsidRPr="00D475C9">
              <w:rPr>
                <w:rFonts w:eastAsia="Times New Roman"/>
                <w:sz w:val="12"/>
                <w:szCs w:val="12"/>
              </w:rPr>
              <w:br/>
              <w:t xml:space="preserve">3. The right choice of </w:t>
            </w:r>
            <w:r w:rsidR="004B6E26">
              <w:rPr>
                <w:rFonts w:eastAsia="Times New Roman"/>
                <w:sz w:val="12"/>
                <w:szCs w:val="12"/>
              </w:rPr>
              <w:t>FOP</w:t>
            </w:r>
            <w:r w:rsidRPr="00D475C9">
              <w:rPr>
                <w:rFonts w:eastAsia="Times New Roman"/>
                <w:sz w:val="12"/>
                <w:szCs w:val="12"/>
              </w:rPr>
              <w:t xml:space="preserve"> would be beneficial for consumers and industry, but knowledge gaps remain.</w:t>
            </w:r>
          </w:p>
        </w:tc>
      </w:tr>
      <w:tr w14:paraId="56D8D3C8" w14:textId="77777777" w:rsidTr="00DF60F4">
        <w:tblPrEx>
          <w:tblW w:w="0" w:type="auto"/>
          <w:tblInd w:w="100" w:type="dxa"/>
          <w:tblLayout w:type="fixed"/>
          <w:tblCellMar>
            <w:left w:w="0" w:type="dxa"/>
            <w:right w:w="0" w:type="dxa"/>
          </w:tblCellMar>
          <w:tblLook w:val="01E0"/>
        </w:tblPrEx>
        <w:trPr>
          <w:trHeight w:val="1128"/>
        </w:trPr>
        <w:tc>
          <w:tcPr>
            <w:tcW w:w="1036" w:type="dxa"/>
          </w:tcPr>
          <w:p w:rsidR="00DF60F4" w:rsidRPr="00D475C9" w:rsidP="00DF60F4" w14:paraId="07EEE8E2" w14:textId="1B46291F">
            <w:pPr>
              <w:pStyle w:val="TableParagraph"/>
              <w:spacing w:line="252" w:lineRule="auto"/>
              <w:ind w:right="133"/>
              <w:rPr>
                <w:rFonts w:eastAsia="Times New Roman"/>
                <w:color w:val="000000"/>
                <w:sz w:val="12"/>
                <w:szCs w:val="12"/>
              </w:rPr>
            </w:pPr>
            <w:r w:rsidRPr="00D475C9">
              <w:rPr>
                <w:rFonts w:eastAsia="Times New Roman"/>
                <w:color w:val="000000"/>
                <w:sz w:val="12"/>
                <w:szCs w:val="12"/>
              </w:rPr>
              <w:t>Meng et al.</w:t>
            </w:r>
          </w:p>
        </w:tc>
        <w:tc>
          <w:tcPr>
            <w:tcW w:w="2101" w:type="dxa"/>
          </w:tcPr>
          <w:p w:rsidR="00DF60F4" w:rsidRPr="00D475C9" w:rsidP="00DF60F4" w14:paraId="7368E603" w14:textId="6DA43FD5">
            <w:pPr>
              <w:pStyle w:val="TableParagraph"/>
              <w:spacing w:line="252" w:lineRule="auto"/>
              <w:ind w:right="102"/>
              <w:rPr>
                <w:rFonts w:eastAsia="Times New Roman"/>
                <w:color w:val="000000"/>
                <w:sz w:val="12"/>
                <w:szCs w:val="12"/>
              </w:rPr>
            </w:pPr>
            <w:r w:rsidRPr="00D475C9">
              <w:rPr>
                <w:rFonts w:eastAsia="Times New Roman"/>
                <w:color w:val="000000"/>
                <w:sz w:val="12"/>
                <w:szCs w:val="12"/>
              </w:rPr>
              <w:t>Traffic light signals and healthy food choice: Investigating gender differences</w:t>
            </w:r>
          </w:p>
        </w:tc>
        <w:tc>
          <w:tcPr>
            <w:tcW w:w="333" w:type="dxa"/>
          </w:tcPr>
          <w:p w:rsidR="00DF60F4" w:rsidRPr="00D475C9" w:rsidP="00DF60F4" w14:paraId="1A4CFEF9" w14:textId="5131C9B6">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DF60F4" w:rsidRPr="00D475C9" w:rsidP="00DF60F4" w14:paraId="16DE4FEE" w14:textId="7E14245A">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Study 1: Participants viewed two different versions of cracker packages bordered with green, red or black border for a standard package and a manipulated one with higher sodium and less fiber content, then answered questions about the healthiness of the product and about the nutrition label and whether it helped them to determine the healthiness and was understandable</w:t>
            </w:r>
            <w:r w:rsidRPr="00D475C9">
              <w:rPr>
                <w:rFonts w:eastAsia="Times New Roman"/>
                <w:sz w:val="12"/>
                <w:szCs w:val="12"/>
              </w:rPr>
              <w:br/>
              <w:t xml:space="preserve">Study 2: Participants viewed two versions of potato chip packages where the nutrient of interest (sodium was bordered with the color. Participants reported </w:t>
            </w:r>
            <w:r w:rsidRPr="00D475C9">
              <w:rPr>
                <w:rFonts w:eastAsia="Times New Roman"/>
                <w:sz w:val="12"/>
                <w:szCs w:val="12"/>
              </w:rPr>
              <w:t>whether or not</w:t>
            </w:r>
            <w:r w:rsidRPr="00D475C9">
              <w:rPr>
                <w:rFonts w:eastAsia="Times New Roman"/>
                <w:sz w:val="12"/>
                <w:szCs w:val="12"/>
              </w:rPr>
              <w:t xml:space="preserve"> they would buy the product and responded to questions from the Analism-Holism Scale.</w:t>
            </w:r>
          </w:p>
        </w:tc>
        <w:tc>
          <w:tcPr>
            <w:tcW w:w="1199" w:type="dxa"/>
          </w:tcPr>
          <w:p w:rsidR="00DF60F4" w:rsidRPr="00D475C9" w:rsidP="00DF60F4" w14:paraId="69AD1D26" w14:textId="65C39DB5">
            <w:pPr>
              <w:pStyle w:val="TableParagraph"/>
              <w:spacing w:line="252" w:lineRule="auto"/>
              <w:ind w:right="121"/>
              <w:rPr>
                <w:rFonts w:eastAsia="Times New Roman"/>
                <w:sz w:val="12"/>
                <w:szCs w:val="12"/>
              </w:rPr>
            </w:pPr>
            <w:r w:rsidRPr="00D475C9">
              <w:rPr>
                <w:rFonts w:eastAsia="Times New Roman"/>
                <w:sz w:val="12"/>
                <w:szCs w:val="12"/>
              </w:rPr>
              <w:t xml:space="preserve">1. Red, </w:t>
            </w:r>
            <w:r w:rsidRPr="00D475C9">
              <w:rPr>
                <w:rFonts w:eastAsia="Times New Roman"/>
                <w:sz w:val="12"/>
                <w:szCs w:val="12"/>
              </w:rPr>
              <w:t>green</w:t>
            </w:r>
            <w:r w:rsidRPr="00D475C9">
              <w:rPr>
                <w:rFonts w:eastAsia="Times New Roman"/>
                <w:sz w:val="12"/>
                <w:szCs w:val="12"/>
              </w:rPr>
              <w:t xml:space="preserve"> or black border on either nutrition facts label or the nutrient of concern</w:t>
            </w:r>
          </w:p>
        </w:tc>
        <w:tc>
          <w:tcPr>
            <w:tcW w:w="1204" w:type="dxa"/>
          </w:tcPr>
          <w:p w:rsidR="00DF60F4" w:rsidRPr="00D475C9" w:rsidP="00DF60F4" w14:paraId="314423C8" w14:textId="1C862344">
            <w:pPr>
              <w:spacing w:after="0" w:line="240" w:lineRule="auto"/>
              <w:rPr>
                <w:rFonts w:ascii="Times New Roman" w:eastAsia="Times New Roman" w:hAnsi="Times New Roman" w:cs="Times New Roman"/>
                <w:noProof/>
                <w:color w:val="000000"/>
                <w:sz w:val="12"/>
                <w:szCs w:val="12"/>
                <w:lang w:eastAsia="en-US"/>
              </w:rPr>
            </w:pPr>
            <w:r w:rsidRPr="00D475C9">
              <w:rPr>
                <w:rFonts w:ascii="Times New Roman" w:eastAsia="Times New Roman" w:hAnsi="Times New Roman" w:cs="Times New Roman"/>
                <w:noProof/>
                <w:color w:val="000000"/>
                <w:sz w:val="12"/>
                <w:szCs w:val="12"/>
                <w:lang w:eastAsia="en-US"/>
              </w:rPr>
              <mc:AlternateContent>
                <mc:Choice Requires="wpg">
                  <w:drawing>
                    <wp:anchor distT="0" distB="0" distL="114300" distR="114300" simplePos="0" relativeHeight="251721728" behindDoc="0" locked="0" layoutInCell="1" allowOverlap="1">
                      <wp:simplePos x="0" y="0"/>
                      <wp:positionH relativeFrom="column">
                        <wp:posOffset>77470</wp:posOffset>
                      </wp:positionH>
                      <wp:positionV relativeFrom="paragraph">
                        <wp:posOffset>28575</wp:posOffset>
                      </wp:positionV>
                      <wp:extent cx="640080" cy="457200"/>
                      <wp:effectExtent l="0" t="0" r="7620" b="0"/>
                      <wp:wrapNone/>
                      <wp:docPr id="64" name="Group 64"/>
                      <wp:cNvGraphicFramePr>
                        <a:graphicFrameLocks xmlns:a="http://schemas.openxmlformats.org/drawingml/2006/main" noChangeAspect="1"/>
                      </wp:cNvGraphicFramePr>
                      <a:graphic xmlns:a="http://schemas.openxmlformats.org/drawingml/2006/main">
                        <a:graphicData uri="http://schemas.microsoft.com/office/word/2010/wordprocessingGroup">
                          <wpg:wgp xmlns:wpg="http://schemas.microsoft.com/office/word/2010/wordprocessingGroup">
                            <wpg:cNvGrpSpPr>
                              <a:grpSpLocks noChangeAspect="1"/>
                            </wpg:cNvGrpSpPr>
                            <wpg:grpSpPr>
                              <a:xfrm>
                                <a:off x="0" y="0"/>
                                <a:ext cx="640080" cy="457200"/>
                                <a:chOff x="0" y="0"/>
                                <a:chExt cx="1540934" cy="1088136"/>
                              </a:xfrm>
                            </wpg:grpSpPr>
                            <pic:pic xmlns:pic="http://schemas.openxmlformats.org/drawingml/2006/picture">
                              <pic:nvPicPr>
                                <pic:cNvPr id="105" name="Picture 105"/>
                                <pic:cNvPicPr>
                                  <a:picLocks noChangeAspect="1"/>
                                </pic:cNvPicPr>
                              </pic:nvPicPr>
                              <pic:blipFill>
                                <a:blip xmlns:r="http://schemas.openxmlformats.org/officeDocument/2006/relationships" r:embed="rId103" cstate="print">
                                  <a:extLst>
                                    <a:ext xmlns:a="http://schemas.openxmlformats.org/drawingml/2006/main" uri="{28A0092B-C50C-407E-A947-70E740481C1C}">
                                      <a14:useLocalDpi xmlns:a14="http://schemas.microsoft.com/office/drawing/2010/main" val="0"/>
                                    </a:ext>
                                  </a:extLst>
                                </a:blip>
                                <a:stretch>
                                  <a:fillRect/>
                                </a:stretch>
                              </pic:blipFill>
                              <pic:spPr>
                                <a:xfrm>
                                  <a:off x="0" y="855204"/>
                                  <a:ext cx="1540934" cy="232932"/>
                                </a:xfrm>
                                <a:prstGeom prst="rect">
                                  <a:avLst/>
                                </a:prstGeom>
                              </pic:spPr>
                            </pic:pic>
                            <pic:pic xmlns:pic="http://schemas.openxmlformats.org/drawingml/2006/picture">
                              <pic:nvPicPr>
                                <pic:cNvPr id="106" name="Picture 106"/>
                                <pic:cNvPicPr>
                                  <a:picLocks noChangeAspect="1"/>
                                </pic:cNvPicPr>
                              </pic:nvPicPr>
                              <pic:blipFill>
                                <a:blip xmlns:r="http://schemas.openxmlformats.org/officeDocument/2006/relationships" r:embed="rId104" cstate="print">
                                  <a:extLst>
                                    <a:ext xmlns:a="http://schemas.openxmlformats.org/drawingml/2006/main" uri="{28A0092B-C50C-407E-A947-70E740481C1C}">
                                      <a14:useLocalDpi xmlns:a14="http://schemas.microsoft.com/office/drawing/2010/main" val="0"/>
                                    </a:ext>
                                  </a:extLst>
                                </a:blip>
                                <a:stretch>
                                  <a:fillRect/>
                                </a:stretch>
                              </pic:blipFill>
                              <pic:spPr>
                                <a:xfrm>
                                  <a:off x="228599" y="0"/>
                                  <a:ext cx="1258687" cy="881957"/>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64" o:spid="_x0000_s1067" style="width:50.4pt;height:36pt;margin-top:2.25pt;margin-left:6.1pt;position:absolute;z-index:251722752" coordsize="15409,10881">
                      <o:lock v:ext="edit" aspectratio="t"/>
                      <v:shape id="Picture 105" o:spid="_x0000_s1068" type="#_x0000_t75" style="width:15409;height:2329;mso-wrap-style:square;position:absolute;top:8552;visibility:visible">
                        <v:imagedata r:id="rId103" o:title=""/>
                      </v:shape>
                      <v:shape id="Picture 106" o:spid="_x0000_s1069" type="#_x0000_t75" style="width:12587;height:8819;left:2285;mso-wrap-style:square;position:absolute;visibility:visible">
                        <v:imagedata r:id="rId104" o:title=""/>
                      </v:shape>
                    </v:group>
                  </w:pict>
                </mc:Fallback>
              </mc:AlternateContent>
            </w:r>
          </w:p>
        </w:tc>
        <w:tc>
          <w:tcPr>
            <w:tcW w:w="550" w:type="dxa"/>
          </w:tcPr>
          <w:p w:rsidR="00DF60F4" w:rsidRPr="00D475C9" w:rsidP="00DF60F4" w14:paraId="1E1D757E" w14:textId="7812A0F9">
            <w:pPr>
              <w:pStyle w:val="TableParagraph"/>
              <w:spacing w:line="140" w:lineRule="exact"/>
              <w:ind w:left="0" w:right="39"/>
              <w:jc w:val="center"/>
              <w:rPr>
                <w:rFonts w:eastAsia="Times New Roman"/>
                <w:sz w:val="12"/>
                <w:szCs w:val="12"/>
              </w:rPr>
            </w:pPr>
            <w:r w:rsidRPr="00D475C9">
              <w:rPr>
                <w:rFonts w:eastAsia="Times New Roman"/>
                <w:sz w:val="12"/>
                <w:szCs w:val="12"/>
              </w:rPr>
              <w:t>U.S.</w:t>
            </w:r>
          </w:p>
        </w:tc>
        <w:tc>
          <w:tcPr>
            <w:tcW w:w="3487" w:type="dxa"/>
          </w:tcPr>
          <w:p w:rsidR="00DF60F4" w:rsidRPr="00D475C9" w:rsidP="00DF60F4" w14:paraId="6B312156" w14:textId="7DB661AC">
            <w:pPr>
              <w:pStyle w:val="TableParagraph"/>
              <w:spacing w:line="252" w:lineRule="auto"/>
              <w:rPr>
                <w:rFonts w:eastAsia="Times New Roman"/>
                <w:sz w:val="12"/>
                <w:szCs w:val="12"/>
              </w:rPr>
            </w:pPr>
            <w:r w:rsidRPr="00D475C9">
              <w:rPr>
                <w:rFonts w:eastAsia="Times New Roman"/>
                <w:sz w:val="12"/>
                <w:szCs w:val="12"/>
              </w:rPr>
              <w:t xml:space="preserve">1. All participants rated the unmanipulated cracker as </w:t>
            </w:r>
            <w:r w:rsidRPr="00D475C9">
              <w:rPr>
                <w:rFonts w:eastAsia="Times New Roman"/>
                <w:sz w:val="12"/>
                <w:szCs w:val="12"/>
              </w:rPr>
              <w:t>more healthy</w:t>
            </w:r>
            <w:r w:rsidRPr="00D475C9">
              <w:rPr>
                <w:rFonts w:eastAsia="Times New Roman"/>
                <w:sz w:val="12"/>
                <w:szCs w:val="12"/>
              </w:rPr>
              <w:t>, but there was a higher perceived healthiness for the green label, lower for the red label, compared to the black label. Men were more responsive to the color than women. The text information on the package affected women's but not men's perceived healthiness. The NFP had no differences based on gender, though men referred to this less often than women.</w:t>
            </w:r>
            <w:r w:rsidRPr="00D475C9">
              <w:rPr>
                <w:rFonts w:eastAsia="Times New Roman"/>
                <w:sz w:val="12"/>
                <w:szCs w:val="12"/>
              </w:rPr>
              <w:br/>
              <w:t>2. No main effect of gender on purchase intentions, but participants reported higher purchase intentions when the sodium label was in green than black or red. Among men, difference across three colors was significant, but not among women.</w:t>
            </w:r>
            <w:r w:rsidRPr="00D475C9">
              <w:rPr>
                <w:rFonts w:eastAsia="Times New Roman"/>
                <w:sz w:val="12"/>
                <w:szCs w:val="12"/>
              </w:rPr>
              <w:br/>
              <w:t>Conclusion is that traffic light signals are more useful for men than women.</w:t>
            </w:r>
          </w:p>
        </w:tc>
      </w:tr>
      <w:tr w14:paraId="0A32D71C" w14:textId="77777777" w:rsidTr="00DF60F4">
        <w:tblPrEx>
          <w:tblW w:w="0" w:type="auto"/>
          <w:tblInd w:w="100" w:type="dxa"/>
          <w:tblLayout w:type="fixed"/>
          <w:tblCellMar>
            <w:left w:w="0" w:type="dxa"/>
            <w:right w:w="0" w:type="dxa"/>
          </w:tblCellMar>
          <w:tblLook w:val="01E0"/>
        </w:tblPrEx>
        <w:trPr>
          <w:trHeight w:val="1128"/>
        </w:trPr>
        <w:tc>
          <w:tcPr>
            <w:tcW w:w="1036" w:type="dxa"/>
          </w:tcPr>
          <w:p w:rsidR="005661F2" w:rsidRPr="00D475C9" w:rsidP="005661F2" w14:paraId="72D6017B" w14:textId="0C7F0494">
            <w:pPr>
              <w:pStyle w:val="TableParagraph"/>
              <w:spacing w:line="252" w:lineRule="auto"/>
              <w:ind w:right="133"/>
              <w:rPr>
                <w:rFonts w:eastAsia="Times New Roman"/>
                <w:color w:val="000000"/>
                <w:sz w:val="12"/>
                <w:szCs w:val="12"/>
              </w:rPr>
            </w:pPr>
            <w:r w:rsidRPr="00D475C9">
              <w:rPr>
                <w:rFonts w:eastAsia="Times New Roman"/>
                <w:color w:val="000000"/>
                <w:sz w:val="12"/>
                <w:szCs w:val="12"/>
              </w:rPr>
              <w:t>Miller, et al.</w:t>
            </w:r>
          </w:p>
        </w:tc>
        <w:tc>
          <w:tcPr>
            <w:tcW w:w="2101" w:type="dxa"/>
          </w:tcPr>
          <w:p w:rsidR="005661F2" w:rsidRPr="00D475C9" w:rsidP="005661F2" w14:paraId="1703CDC3" w14:textId="7FDF5131">
            <w:pPr>
              <w:pStyle w:val="TableParagraph"/>
              <w:spacing w:line="252" w:lineRule="auto"/>
              <w:ind w:right="102"/>
              <w:rPr>
                <w:rFonts w:eastAsia="Times New Roman"/>
                <w:color w:val="000000"/>
                <w:sz w:val="12"/>
                <w:szCs w:val="12"/>
              </w:rPr>
            </w:pPr>
            <w:r w:rsidRPr="00D475C9">
              <w:rPr>
                <w:rFonts w:eastAsia="Times New Roman"/>
                <w:color w:val="000000"/>
                <w:sz w:val="12"/>
                <w:szCs w:val="12"/>
              </w:rPr>
              <w:t>"You can't just eat 16 teaspoons of sugar so why would you drink 16 teaspoons' worth of sugar?": a qualitative study of young adults' reactions to sugary drink warning labels</w:t>
            </w:r>
          </w:p>
        </w:tc>
        <w:tc>
          <w:tcPr>
            <w:tcW w:w="333" w:type="dxa"/>
          </w:tcPr>
          <w:p w:rsidR="005661F2" w:rsidRPr="00D475C9" w:rsidP="005661F2" w14:paraId="07F971E8" w14:textId="353AC42E">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5661F2" w:rsidRPr="00D475C9" w:rsidP="005661F2" w14:paraId="07939060" w14:textId="2A84EA76">
            <w:pPr>
              <w:pStyle w:val="TableParagraph"/>
              <w:spacing w:line="252" w:lineRule="auto"/>
              <w:ind w:left="29" w:right="173"/>
              <w:rPr>
                <w:rFonts w:eastAsia="Times New Roman"/>
                <w:sz w:val="12"/>
                <w:szCs w:val="12"/>
              </w:rPr>
            </w:pPr>
            <w:r w:rsidRPr="00D475C9">
              <w:rPr>
                <w:rFonts w:eastAsia="Times New Roman"/>
                <w:sz w:val="12"/>
                <w:szCs w:val="12"/>
              </w:rPr>
              <w:t>Qualitative</w:t>
            </w:r>
            <w:r w:rsidRPr="00D475C9">
              <w:rPr>
                <w:rFonts w:eastAsia="Times New Roman"/>
                <w:sz w:val="12"/>
                <w:szCs w:val="12"/>
              </w:rPr>
              <w:br/>
              <w:t xml:space="preserve">1. 16 focus groups with 105 young adults (18-24 </w:t>
            </w:r>
            <w:r w:rsidRPr="00D475C9">
              <w:rPr>
                <w:rFonts w:eastAsia="Times New Roman"/>
                <w:sz w:val="12"/>
                <w:szCs w:val="12"/>
              </w:rPr>
              <w:t>yo</w:t>
            </w:r>
            <w:r w:rsidRPr="00D475C9">
              <w:rPr>
                <w:rFonts w:eastAsia="Times New Roman"/>
                <w:sz w:val="12"/>
                <w:szCs w:val="12"/>
              </w:rPr>
              <w:t xml:space="preserve">); labels shown during group discussion, themes identified related to participants' perceptions </w:t>
            </w:r>
          </w:p>
        </w:tc>
        <w:tc>
          <w:tcPr>
            <w:tcW w:w="1199" w:type="dxa"/>
          </w:tcPr>
          <w:p w:rsidR="005661F2" w:rsidRPr="00D475C9" w:rsidP="005661F2" w14:paraId="4316641A" w14:textId="48236ADD">
            <w:pPr>
              <w:pStyle w:val="TableParagraph"/>
              <w:spacing w:line="252" w:lineRule="auto"/>
              <w:ind w:right="121"/>
              <w:rPr>
                <w:rFonts w:eastAsia="Times New Roman"/>
                <w:sz w:val="12"/>
                <w:szCs w:val="12"/>
              </w:rPr>
            </w:pPr>
            <w:r w:rsidRPr="00D475C9">
              <w:rPr>
                <w:rFonts w:eastAsia="Times New Roman"/>
                <w:sz w:val="12"/>
                <w:szCs w:val="12"/>
              </w:rPr>
              <w:t>1. Warning labels (WL):</w:t>
            </w:r>
            <w:r w:rsidRPr="00D475C9">
              <w:rPr>
                <w:rFonts w:eastAsia="Times New Roman"/>
                <w:sz w:val="12"/>
                <w:szCs w:val="12"/>
              </w:rPr>
              <w:br/>
              <w:t>- Health effects</w:t>
            </w:r>
            <w:r w:rsidRPr="00D475C9">
              <w:rPr>
                <w:rFonts w:eastAsia="Times New Roman"/>
                <w:sz w:val="12"/>
                <w:szCs w:val="12"/>
              </w:rPr>
              <w:br/>
              <w:t>- Nutrient content</w:t>
            </w:r>
            <w:r w:rsidRPr="00D475C9">
              <w:rPr>
                <w:rFonts w:eastAsia="Times New Roman"/>
                <w:sz w:val="12"/>
                <w:szCs w:val="12"/>
              </w:rPr>
              <w:br/>
              <w:t>- Exercise</w:t>
            </w:r>
            <w:r w:rsidRPr="00D475C9">
              <w:rPr>
                <w:rFonts w:eastAsia="Times New Roman"/>
                <w:sz w:val="12"/>
                <w:szCs w:val="12"/>
              </w:rPr>
              <w:br/>
              <w:t>2. Pictograms of sugar content</w:t>
            </w:r>
          </w:p>
        </w:tc>
        <w:tc>
          <w:tcPr>
            <w:tcW w:w="1204" w:type="dxa"/>
          </w:tcPr>
          <w:p w:rsidR="005661F2" w:rsidRPr="00D475C9" w:rsidP="005661F2" w14:paraId="4D0B203F" w14:textId="11C76A64">
            <w:pPr>
              <w:spacing w:after="0" w:line="240" w:lineRule="auto"/>
              <w:rPr>
                <w:rFonts w:ascii="Times New Roman" w:eastAsia="Times New Roman" w:hAnsi="Times New Roman" w:cs="Times New Roman"/>
                <w:noProof/>
                <w:color w:val="000000"/>
                <w:sz w:val="12"/>
                <w:szCs w:val="12"/>
                <w:lang w:eastAsia="en-US"/>
              </w:rPr>
            </w:pPr>
            <w:r w:rsidRPr="00D475C9">
              <w:rPr>
                <w:rFonts w:ascii="Calibri" w:eastAsia="Times New Roman" w:hAnsi="Calibri" w:cs="Calibri"/>
                <w:noProof/>
                <w:color w:val="000000"/>
                <w:sz w:val="12"/>
                <w:szCs w:val="12"/>
                <w:lang w:eastAsia="en-US"/>
              </w:rPr>
              <w:drawing>
                <wp:anchor distT="0" distB="0" distL="114300" distR="114300" simplePos="0" relativeHeight="251723776" behindDoc="0" locked="0" layoutInCell="1" allowOverlap="1">
                  <wp:simplePos x="0" y="0"/>
                  <wp:positionH relativeFrom="column">
                    <wp:posOffset>37465</wp:posOffset>
                  </wp:positionH>
                  <wp:positionV relativeFrom="paragraph">
                    <wp:posOffset>41910</wp:posOffset>
                  </wp:positionV>
                  <wp:extent cx="639233" cy="355600"/>
                  <wp:effectExtent l="0" t="0" r="8890" b="63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4"/>
                          <pic:cNvPicPr>
                            <a:picLocks noChangeAspect="1"/>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a:xfrm>
                            <a:off x="0" y="0"/>
                            <a:ext cx="639233" cy="355600"/>
                          </a:xfrm>
                          <a:prstGeom prst="rect">
                            <a:avLst/>
                          </a:prstGeom>
                        </pic:spPr>
                      </pic:pic>
                    </a:graphicData>
                  </a:graphic>
                  <wp14:sizeRelH relativeFrom="page">
                    <wp14:pctWidth>0</wp14:pctWidth>
                  </wp14:sizeRelH>
                  <wp14:sizeRelV relativeFrom="page">
                    <wp14:pctHeight>0</wp14:pctHeight>
                  </wp14:sizeRelV>
                </wp:anchor>
              </w:drawing>
            </w:r>
          </w:p>
        </w:tc>
        <w:tc>
          <w:tcPr>
            <w:tcW w:w="550" w:type="dxa"/>
          </w:tcPr>
          <w:p w:rsidR="005661F2" w:rsidRPr="00D475C9" w:rsidP="005661F2" w14:paraId="3EE0F2D2" w14:textId="7A41D3A4">
            <w:pPr>
              <w:pStyle w:val="TableParagraph"/>
              <w:spacing w:line="140" w:lineRule="exact"/>
              <w:ind w:left="0" w:right="39"/>
              <w:jc w:val="center"/>
              <w:rPr>
                <w:rFonts w:eastAsia="Times New Roman"/>
                <w:sz w:val="12"/>
                <w:szCs w:val="12"/>
              </w:rPr>
            </w:pPr>
            <w:r w:rsidRPr="00D475C9">
              <w:rPr>
                <w:rFonts w:eastAsia="Times New Roman"/>
                <w:sz w:val="12"/>
                <w:szCs w:val="12"/>
              </w:rPr>
              <w:t>Australia</w:t>
            </w:r>
          </w:p>
        </w:tc>
        <w:tc>
          <w:tcPr>
            <w:tcW w:w="3487" w:type="dxa"/>
          </w:tcPr>
          <w:p w:rsidR="005661F2" w:rsidRPr="00D475C9" w:rsidP="005661F2" w14:paraId="56D02546" w14:textId="4A613755">
            <w:pPr>
              <w:pStyle w:val="TableParagraph"/>
              <w:spacing w:line="252" w:lineRule="auto"/>
              <w:rPr>
                <w:rFonts w:eastAsia="Times New Roman"/>
                <w:sz w:val="12"/>
                <w:szCs w:val="12"/>
              </w:rPr>
            </w:pPr>
            <w:r w:rsidRPr="00D475C9">
              <w:rPr>
                <w:rFonts w:eastAsia="Times New Roman"/>
                <w:sz w:val="12"/>
                <w:szCs w:val="12"/>
              </w:rPr>
              <w:t xml:space="preserve">1. Labels communicating the number of teaspoons of sugar in a drink (either text or pictogram) were perceived as highly factual, </w:t>
            </w:r>
            <w:r w:rsidRPr="00D475C9">
              <w:rPr>
                <w:rFonts w:eastAsia="Times New Roman"/>
                <w:sz w:val="12"/>
                <w:szCs w:val="12"/>
              </w:rPr>
              <w:t>relatable</w:t>
            </w:r>
            <w:r w:rsidRPr="00D475C9">
              <w:rPr>
                <w:rFonts w:eastAsia="Times New Roman"/>
                <w:sz w:val="12"/>
                <w:szCs w:val="12"/>
              </w:rPr>
              <w:t xml:space="preserve"> and interpretable, having the greatest potential to impact consumption attitudes and intentions.</w:t>
            </w:r>
          </w:p>
        </w:tc>
      </w:tr>
      <w:tr w14:paraId="044E12E7" w14:textId="77777777" w:rsidTr="00DF60F4">
        <w:tblPrEx>
          <w:tblW w:w="0" w:type="auto"/>
          <w:tblInd w:w="100" w:type="dxa"/>
          <w:tblLayout w:type="fixed"/>
          <w:tblCellMar>
            <w:left w:w="0" w:type="dxa"/>
            <w:right w:w="0" w:type="dxa"/>
          </w:tblCellMar>
          <w:tblLook w:val="01E0"/>
        </w:tblPrEx>
        <w:trPr>
          <w:trHeight w:val="1128"/>
        </w:trPr>
        <w:tc>
          <w:tcPr>
            <w:tcW w:w="1036" w:type="dxa"/>
          </w:tcPr>
          <w:p w:rsidR="005661F2" w:rsidRPr="00D475C9" w:rsidP="005661F2" w14:paraId="1C1787CD" w14:textId="0E94A25B">
            <w:pPr>
              <w:pStyle w:val="TableParagraph"/>
              <w:spacing w:line="252" w:lineRule="auto"/>
              <w:ind w:right="133"/>
              <w:rPr>
                <w:rFonts w:eastAsia="Times New Roman"/>
                <w:color w:val="000000"/>
                <w:sz w:val="12"/>
                <w:szCs w:val="12"/>
              </w:rPr>
            </w:pPr>
            <w:r w:rsidRPr="00D475C9">
              <w:rPr>
                <w:rFonts w:eastAsia="Times New Roman"/>
                <w:color w:val="000000"/>
                <w:sz w:val="12"/>
                <w:szCs w:val="12"/>
              </w:rPr>
              <w:t>Miller, et al.</w:t>
            </w:r>
          </w:p>
        </w:tc>
        <w:tc>
          <w:tcPr>
            <w:tcW w:w="2101" w:type="dxa"/>
          </w:tcPr>
          <w:p w:rsidR="005661F2" w:rsidRPr="00D475C9" w:rsidP="005661F2" w14:paraId="4DC172E7" w14:textId="772534CD">
            <w:pPr>
              <w:pStyle w:val="TableParagraph"/>
              <w:spacing w:line="252" w:lineRule="auto"/>
              <w:ind w:right="102"/>
              <w:rPr>
                <w:rFonts w:eastAsia="Times New Roman"/>
                <w:color w:val="000000"/>
                <w:sz w:val="12"/>
                <w:szCs w:val="12"/>
              </w:rPr>
            </w:pPr>
            <w:r w:rsidRPr="00D475C9">
              <w:rPr>
                <w:rFonts w:eastAsia="Times New Roman"/>
                <w:color w:val="000000"/>
                <w:sz w:val="12"/>
                <w:szCs w:val="12"/>
              </w:rPr>
              <w:t xml:space="preserve">Warning labels and interpretive nutrition labels: Impact on substitution between sugar and artificially sweetened beverages, </w:t>
            </w:r>
            <w:r w:rsidRPr="00D475C9">
              <w:rPr>
                <w:rFonts w:eastAsia="Times New Roman"/>
                <w:color w:val="000000"/>
                <w:sz w:val="12"/>
                <w:szCs w:val="12"/>
              </w:rPr>
              <w:t>juice</w:t>
            </w:r>
            <w:r w:rsidRPr="00D475C9">
              <w:rPr>
                <w:rFonts w:eastAsia="Times New Roman"/>
                <w:color w:val="000000"/>
                <w:sz w:val="12"/>
                <w:szCs w:val="12"/>
              </w:rPr>
              <w:t xml:space="preserve"> and water in a real-world selection task</w:t>
            </w:r>
          </w:p>
        </w:tc>
        <w:tc>
          <w:tcPr>
            <w:tcW w:w="333" w:type="dxa"/>
          </w:tcPr>
          <w:p w:rsidR="005661F2" w:rsidRPr="00D475C9" w:rsidP="005661F2" w14:paraId="1161E0F0" w14:textId="6967A211">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5661F2" w:rsidRPr="00D475C9" w:rsidP="005661F2" w14:paraId="72FF0291" w14:textId="47C16148">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1. University students (n=511) accessed an on-campus laptop to select one of 10 beverages; task repeated with the addition of a warning label in round 2, and again after the addition of a HSR label in round 3.</w:t>
            </w:r>
          </w:p>
        </w:tc>
        <w:tc>
          <w:tcPr>
            <w:tcW w:w="1199" w:type="dxa"/>
          </w:tcPr>
          <w:p w:rsidR="005661F2" w:rsidRPr="00D475C9" w:rsidP="005661F2" w14:paraId="3C127B66" w14:textId="60BDF1B4">
            <w:pPr>
              <w:pStyle w:val="TableParagraph"/>
              <w:spacing w:line="252" w:lineRule="auto"/>
              <w:ind w:right="121"/>
              <w:rPr>
                <w:rFonts w:eastAsia="Times New Roman"/>
                <w:sz w:val="12"/>
                <w:szCs w:val="12"/>
              </w:rPr>
            </w:pPr>
            <w:r w:rsidRPr="00D475C9">
              <w:rPr>
                <w:rFonts w:eastAsia="Times New Roman"/>
                <w:sz w:val="12"/>
                <w:szCs w:val="12"/>
              </w:rPr>
              <w:t>Five warning labels, with and without Health Star Rating (HSR)</w:t>
            </w:r>
          </w:p>
        </w:tc>
        <w:tc>
          <w:tcPr>
            <w:tcW w:w="1204" w:type="dxa"/>
          </w:tcPr>
          <w:p w:rsidR="005661F2" w:rsidRPr="00D475C9" w:rsidP="005661F2" w14:paraId="2C14C24F" w14:textId="71EE6B77">
            <w:pPr>
              <w:spacing w:after="0" w:line="240" w:lineRule="auto"/>
              <w:rPr>
                <w:rFonts w:ascii="Times New Roman" w:eastAsia="Times New Roman" w:hAnsi="Times New Roman" w:cs="Times New Roman"/>
                <w:noProof/>
                <w:color w:val="000000"/>
                <w:sz w:val="12"/>
                <w:szCs w:val="12"/>
                <w:lang w:eastAsia="en-US"/>
              </w:rPr>
            </w:pPr>
            <w:r w:rsidRPr="00D475C9">
              <w:rPr>
                <w:rFonts w:ascii="Times New Roman" w:eastAsia="Times New Roman" w:hAnsi="Times New Roman" w:cs="Times New Roman"/>
                <w:noProof/>
                <w:color w:val="000000"/>
                <w:sz w:val="12"/>
                <w:szCs w:val="12"/>
                <w:lang w:eastAsia="en-US"/>
              </w:rPr>
              <mc:AlternateContent>
                <mc:Choice Requires="wpg">
                  <w:drawing>
                    <wp:anchor distT="0" distB="0" distL="114300" distR="114300" simplePos="0" relativeHeight="251724800" behindDoc="0" locked="0" layoutInCell="1" allowOverlap="1">
                      <wp:simplePos x="0" y="0"/>
                      <wp:positionH relativeFrom="column">
                        <wp:posOffset>76200</wp:posOffset>
                      </wp:positionH>
                      <wp:positionV relativeFrom="paragraph">
                        <wp:posOffset>71755</wp:posOffset>
                      </wp:positionV>
                      <wp:extent cx="640080" cy="425450"/>
                      <wp:effectExtent l="0" t="0" r="7620" b="0"/>
                      <wp:wrapNone/>
                      <wp:docPr id="60" name="Group 60"/>
                      <wp:cNvGraphicFramePr>
                        <a:graphicFrameLocks xmlns:a="http://schemas.openxmlformats.org/drawingml/2006/main" noChangeAspect="1"/>
                      </wp:cNvGraphicFramePr>
                      <a:graphic xmlns:a="http://schemas.openxmlformats.org/drawingml/2006/main">
                        <a:graphicData uri="http://schemas.microsoft.com/office/word/2010/wordprocessingGroup">
                          <wpg:wgp xmlns:wpg="http://schemas.microsoft.com/office/word/2010/wordprocessingGroup">
                            <wpg:cNvGrpSpPr>
                              <a:grpSpLocks noChangeAspect="1"/>
                            </wpg:cNvGrpSpPr>
                            <wpg:grpSpPr>
                              <a:xfrm>
                                <a:off x="0" y="0"/>
                                <a:ext cx="640080" cy="425450"/>
                                <a:chOff x="0" y="0"/>
                                <a:chExt cx="1507425" cy="1020662"/>
                              </a:xfrm>
                            </wpg:grpSpPr>
                            <pic:pic xmlns:pic="http://schemas.openxmlformats.org/drawingml/2006/picture">
                              <pic:nvPicPr>
                                <pic:cNvPr id="98" name="Picture 98"/>
                                <pic:cNvPicPr>
                                  <a:picLocks noChangeAspect="1"/>
                                </pic:cNvPicPr>
                              </pic:nvPicPr>
                              <pic:blipFill>
                                <a:blip xmlns:r="http://schemas.openxmlformats.org/officeDocument/2006/relationships" r:embed="rId106" cstate="print">
                                  <a:extLst>
                                    <a:ext xmlns:a="http://schemas.openxmlformats.org/drawingml/2006/main" uri="{28A0092B-C50C-407E-A947-70E740481C1C}">
                                      <a14:useLocalDpi xmlns:a14="http://schemas.microsoft.com/office/drawing/2010/main" val="0"/>
                                    </a:ext>
                                  </a:extLst>
                                </a:blip>
                                <a:stretch>
                                  <a:fillRect/>
                                </a:stretch>
                              </pic:blipFill>
                              <pic:spPr>
                                <a:xfrm>
                                  <a:off x="1050225" y="554926"/>
                                  <a:ext cx="457200" cy="434898"/>
                                </a:xfrm>
                                <a:prstGeom prst="rect">
                                  <a:avLst/>
                                </a:prstGeom>
                              </pic:spPr>
                            </pic:pic>
                            <pic:pic xmlns:pic="http://schemas.openxmlformats.org/drawingml/2006/picture">
                              <pic:nvPicPr>
                                <pic:cNvPr id="100" name="Picture 100"/>
                                <pic:cNvPicPr>
                                  <a:picLocks noChangeAspect="1"/>
                                </pic:cNvPicPr>
                              </pic:nvPicPr>
                              <pic:blipFill>
                                <a:blip xmlns:r="http://schemas.openxmlformats.org/officeDocument/2006/relationships" r:embed="rId107" cstate="print">
                                  <a:extLst>
                                    <a:ext xmlns:a="http://schemas.openxmlformats.org/drawingml/2006/main" uri="{28A0092B-C50C-407E-A947-70E740481C1C}">
                                      <a14:useLocalDpi xmlns:a14="http://schemas.microsoft.com/office/drawing/2010/main" val="0"/>
                                    </a:ext>
                                  </a:extLst>
                                </a:blip>
                                <a:stretch>
                                  <a:fillRect/>
                                </a:stretch>
                              </pic:blipFill>
                              <pic:spPr>
                                <a:xfrm>
                                  <a:off x="562050" y="571577"/>
                                  <a:ext cx="457200" cy="440268"/>
                                </a:xfrm>
                                <a:prstGeom prst="rect">
                                  <a:avLst/>
                                </a:prstGeom>
                              </pic:spPr>
                            </pic:pic>
                            <pic:pic xmlns:pic="http://schemas.openxmlformats.org/drawingml/2006/picture">
                              <pic:nvPicPr>
                                <pic:cNvPr id="101" name="Picture 101"/>
                                <pic:cNvPicPr>
                                  <a:picLocks noChangeAspect="1"/>
                                </pic:cNvPicPr>
                              </pic:nvPicPr>
                              <pic:blipFill>
                                <a:blip xmlns:r="http://schemas.openxmlformats.org/officeDocument/2006/relationships" r:embed="rId108" cstate="print">
                                  <a:extLst>
                                    <a:ext xmlns:a="http://schemas.openxmlformats.org/drawingml/2006/main" uri="{28A0092B-C50C-407E-A947-70E740481C1C}">
                                      <a14:useLocalDpi xmlns:a14="http://schemas.microsoft.com/office/drawing/2010/main" val="0"/>
                                    </a:ext>
                                  </a:extLst>
                                </a:blip>
                                <a:stretch>
                                  <a:fillRect/>
                                </a:stretch>
                              </pic:blipFill>
                              <pic:spPr>
                                <a:xfrm>
                                  <a:off x="35775" y="569177"/>
                                  <a:ext cx="457200" cy="451485"/>
                                </a:xfrm>
                                <a:prstGeom prst="rect">
                                  <a:avLst/>
                                </a:prstGeom>
                              </pic:spPr>
                            </pic:pic>
                            <pic:pic xmlns:pic="http://schemas.openxmlformats.org/drawingml/2006/picture">
                              <pic:nvPicPr>
                                <pic:cNvPr id="102" name="Picture 102"/>
                                <pic:cNvPicPr>
                                  <a:picLocks noChangeAspect="1"/>
                                </pic:cNvPicPr>
                              </pic:nvPicPr>
                              <pic:blipFill>
                                <a:blip xmlns:r="http://schemas.openxmlformats.org/officeDocument/2006/relationships" r:embed="rId109" cstate="print">
                                  <a:extLst>
                                    <a:ext xmlns:a="http://schemas.openxmlformats.org/drawingml/2006/main" uri="{28A0092B-C50C-407E-A947-70E740481C1C}">
                                      <a14:useLocalDpi xmlns:a14="http://schemas.microsoft.com/office/drawing/2010/main" val="0"/>
                                    </a:ext>
                                  </a:extLst>
                                </a:blip>
                                <a:stretch>
                                  <a:fillRect/>
                                </a:stretch>
                              </pic:blipFill>
                              <pic:spPr>
                                <a:xfrm>
                                  <a:off x="1014450" y="4801"/>
                                  <a:ext cx="457200" cy="445771"/>
                                </a:xfrm>
                                <a:prstGeom prst="rect">
                                  <a:avLst/>
                                </a:prstGeom>
                              </pic:spPr>
                            </pic:pic>
                            <pic:pic xmlns:pic="http://schemas.openxmlformats.org/drawingml/2006/picture">
                              <pic:nvPicPr>
                                <pic:cNvPr id="103" name="Picture 103"/>
                                <pic:cNvPicPr>
                                  <a:picLocks noChangeAspect="1"/>
                                </pic:cNvPicPr>
                              </pic:nvPicPr>
                              <pic:blipFill>
                                <a:blip xmlns:r="http://schemas.openxmlformats.org/officeDocument/2006/relationships" r:embed="rId110" cstate="print">
                                  <a:extLst>
                                    <a:ext xmlns:a="http://schemas.openxmlformats.org/drawingml/2006/main" uri="{28A0092B-C50C-407E-A947-70E740481C1C}">
                                      <a14:useLocalDpi xmlns:a14="http://schemas.microsoft.com/office/drawing/2010/main" val="0"/>
                                    </a:ext>
                                  </a:extLst>
                                </a:blip>
                                <a:stretch>
                                  <a:fillRect/>
                                </a:stretch>
                              </pic:blipFill>
                              <pic:spPr>
                                <a:xfrm>
                                  <a:off x="459600" y="2401"/>
                                  <a:ext cx="457200" cy="468923"/>
                                </a:xfrm>
                                <a:prstGeom prst="rect">
                                  <a:avLst/>
                                </a:prstGeom>
                              </pic:spPr>
                            </pic:pic>
                            <pic:pic xmlns:pic="http://schemas.openxmlformats.org/drawingml/2006/picture">
                              <pic:nvPicPr>
                                <pic:cNvPr id="104" name="Picture 104"/>
                                <pic:cNvPicPr>
                                  <a:picLocks noChangeAspect="1"/>
                                </pic:cNvPicPr>
                              </pic:nvPicPr>
                              <pic:blipFill>
                                <a:blip xmlns:r="http://schemas.openxmlformats.org/officeDocument/2006/relationships" r:embed="rId1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7200" cy="4572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60" o:spid="_x0000_s1070" style="width:50.4pt;height:33.5pt;margin-top:5.65pt;margin-left:6pt;position:absolute;z-index:251725824" coordsize="15074,10206">
                      <o:lock v:ext="edit" aspectratio="t"/>
                      <v:shape id="Picture 98" o:spid="_x0000_s1071" type="#_x0000_t75" style="width:4572;height:4349;left:10502;mso-wrap-style:square;position:absolute;top:5549;visibility:visible">
                        <v:imagedata r:id="rId106" o:title=""/>
                      </v:shape>
                      <v:shape id="Picture 100" o:spid="_x0000_s1072" type="#_x0000_t75" style="width:4572;height:4403;left:5620;mso-wrap-style:square;position:absolute;top:5715;visibility:visible">
                        <v:imagedata r:id="rId107" o:title=""/>
                      </v:shape>
                      <v:shape id="Picture 101" o:spid="_x0000_s1073" type="#_x0000_t75" style="width:4572;height:4515;left:357;mso-wrap-style:square;position:absolute;top:5691;visibility:visible">
                        <v:imagedata r:id="rId108" o:title=""/>
                      </v:shape>
                      <v:shape id="Picture 102" o:spid="_x0000_s1074" type="#_x0000_t75" style="width:4572;height:4457;left:10144;mso-wrap-style:square;position:absolute;top:48;visibility:visible">
                        <v:imagedata r:id="rId109" o:title=""/>
                      </v:shape>
                      <v:shape id="Picture 103" o:spid="_x0000_s1075" type="#_x0000_t75" style="width:4572;height:4689;left:4596;mso-wrap-style:square;position:absolute;top:24;visibility:visible">
                        <v:imagedata r:id="rId110" o:title=""/>
                      </v:shape>
                      <v:shape id="Picture 104" o:spid="_x0000_s1076" type="#_x0000_t75" style="width:4572;height:4572;mso-wrap-style:square;position:absolute;visibility:visible">
                        <v:imagedata r:id="rId111" o:title=""/>
                      </v:shape>
                    </v:group>
                  </w:pict>
                </mc:Fallback>
              </mc:AlternateContent>
            </w:r>
          </w:p>
        </w:tc>
        <w:tc>
          <w:tcPr>
            <w:tcW w:w="550" w:type="dxa"/>
          </w:tcPr>
          <w:p w:rsidR="005661F2" w:rsidRPr="00D475C9" w:rsidP="005661F2" w14:paraId="336F2AC4" w14:textId="4E5B332B">
            <w:pPr>
              <w:pStyle w:val="TableParagraph"/>
              <w:spacing w:line="140" w:lineRule="exact"/>
              <w:ind w:left="0" w:right="39"/>
              <w:jc w:val="center"/>
              <w:rPr>
                <w:rFonts w:eastAsia="Times New Roman"/>
                <w:sz w:val="12"/>
                <w:szCs w:val="12"/>
              </w:rPr>
            </w:pPr>
            <w:r w:rsidRPr="00D475C9">
              <w:rPr>
                <w:rFonts w:eastAsia="Times New Roman"/>
                <w:sz w:val="12"/>
                <w:szCs w:val="12"/>
              </w:rPr>
              <w:t>Australia</w:t>
            </w:r>
          </w:p>
        </w:tc>
        <w:tc>
          <w:tcPr>
            <w:tcW w:w="3487" w:type="dxa"/>
          </w:tcPr>
          <w:p w:rsidR="005661F2" w:rsidRPr="00D475C9" w:rsidP="005661F2" w14:paraId="4AC8616B" w14:textId="1BC6CD38">
            <w:pPr>
              <w:pStyle w:val="TableParagraph"/>
              <w:spacing w:line="252" w:lineRule="auto"/>
              <w:rPr>
                <w:rFonts w:eastAsia="Times New Roman"/>
                <w:sz w:val="12"/>
                <w:szCs w:val="12"/>
              </w:rPr>
            </w:pPr>
            <w:r w:rsidRPr="00D475C9">
              <w:rPr>
                <w:rFonts w:eastAsia="Times New Roman"/>
                <w:sz w:val="12"/>
                <w:szCs w:val="12"/>
              </w:rPr>
              <w:t>1. Both males and females, addition of warning labels caused significant decrease in SSB selection and significant increase in artificially sweetened beverages (ASB) compared to control (no label)</w:t>
            </w:r>
            <w:r w:rsidRPr="00D475C9">
              <w:rPr>
                <w:rFonts w:eastAsia="Times New Roman"/>
                <w:sz w:val="12"/>
                <w:szCs w:val="12"/>
              </w:rPr>
              <w:br/>
              <w:t xml:space="preserve">2. 100% fruit juice selection decreased for females with addition of warning </w:t>
            </w:r>
            <w:r w:rsidRPr="00D475C9">
              <w:rPr>
                <w:rFonts w:eastAsia="Times New Roman"/>
                <w:sz w:val="12"/>
                <w:szCs w:val="12"/>
              </w:rPr>
              <w:t>label, but</w:t>
            </w:r>
            <w:r w:rsidRPr="00D475C9">
              <w:rPr>
                <w:rFonts w:eastAsia="Times New Roman"/>
                <w:sz w:val="12"/>
                <w:szCs w:val="12"/>
              </w:rPr>
              <w:t xml:space="preserve"> increased following addition of 4-star HSR label</w:t>
            </w:r>
            <w:r w:rsidRPr="00D475C9">
              <w:rPr>
                <w:rFonts w:eastAsia="Times New Roman"/>
                <w:sz w:val="12"/>
                <w:szCs w:val="12"/>
              </w:rPr>
              <w:br/>
              <w:t>3. Important to have warning label thresholds and HSR algorithms aligned to present consistent messaging.</w:t>
            </w:r>
          </w:p>
        </w:tc>
      </w:tr>
      <w:tr w14:paraId="325720EA" w14:textId="77777777" w:rsidTr="4C9BFAA2">
        <w:tblPrEx>
          <w:tblW w:w="0" w:type="auto"/>
          <w:tblInd w:w="100" w:type="dxa"/>
          <w:tblLayout w:type="fixed"/>
          <w:tblCellMar>
            <w:left w:w="0" w:type="dxa"/>
            <w:right w:w="0" w:type="dxa"/>
          </w:tblCellMar>
          <w:tblLook w:val="01E0"/>
        </w:tblPrEx>
        <w:trPr>
          <w:trHeight w:val="1128"/>
        </w:trPr>
        <w:tc>
          <w:tcPr>
            <w:tcW w:w="1036" w:type="dxa"/>
            <w:tcBorders>
              <w:bottom w:val="single" w:sz="6" w:space="0" w:color="000000" w:themeColor="text1"/>
            </w:tcBorders>
          </w:tcPr>
          <w:p w:rsidR="005661F2" w:rsidRPr="00D475C9" w:rsidP="005661F2" w14:paraId="37E9843D" w14:textId="0D522AFC">
            <w:pPr>
              <w:pStyle w:val="TableParagraph"/>
              <w:spacing w:line="252" w:lineRule="auto"/>
              <w:ind w:right="133"/>
              <w:rPr>
                <w:rFonts w:eastAsia="Times New Roman"/>
                <w:color w:val="000000"/>
                <w:sz w:val="12"/>
                <w:szCs w:val="12"/>
              </w:rPr>
            </w:pPr>
            <w:r w:rsidRPr="00D475C9">
              <w:rPr>
                <w:rFonts w:eastAsia="Times New Roman"/>
                <w:color w:val="000000"/>
                <w:sz w:val="12"/>
                <w:szCs w:val="12"/>
              </w:rPr>
              <w:t>Mora-Plazas, et al.</w:t>
            </w:r>
          </w:p>
        </w:tc>
        <w:tc>
          <w:tcPr>
            <w:tcW w:w="2101" w:type="dxa"/>
            <w:tcBorders>
              <w:bottom w:val="single" w:sz="6" w:space="0" w:color="000000" w:themeColor="text1"/>
            </w:tcBorders>
          </w:tcPr>
          <w:p w:rsidR="005661F2" w:rsidRPr="00D475C9" w:rsidP="005661F2" w14:paraId="1482FC6B" w14:textId="2447CBD5">
            <w:pPr>
              <w:pStyle w:val="TableParagraph"/>
              <w:spacing w:line="252" w:lineRule="auto"/>
              <w:ind w:right="102"/>
              <w:rPr>
                <w:rFonts w:eastAsia="Times New Roman"/>
                <w:color w:val="000000"/>
                <w:sz w:val="12"/>
                <w:szCs w:val="12"/>
              </w:rPr>
            </w:pPr>
            <w:r w:rsidRPr="00D475C9">
              <w:rPr>
                <w:rFonts w:eastAsia="Times New Roman"/>
                <w:color w:val="000000"/>
                <w:sz w:val="12"/>
                <w:szCs w:val="12"/>
              </w:rPr>
              <w:t>Impact of nutrient warning labels on choice of ultra-processed food and drinks high in sugar, sodium, and saturated fat in Colombia: A randomized controlled trial</w:t>
            </w:r>
          </w:p>
        </w:tc>
        <w:tc>
          <w:tcPr>
            <w:tcW w:w="333" w:type="dxa"/>
            <w:tcBorders>
              <w:bottom w:val="single" w:sz="6" w:space="0" w:color="000000" w:themeColor="text1"/>
            </w:tcBorders>
          </w:tcPr>
          <w:p w:rsidR="005661F2" w:rsidRPr="00D475C9" w:rsidP="005661F2" w14:paraId="001A49B3" w14:textId="71636C63">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Borders>
              <w:bottom w:val="single" w:sz="6" w:space="0" w:color="000000" w:themeColor="text1"/>
            </w:tcBorders>
          </w:tcPr>
          <w:p w:rsidR="005661F2" w:rsidRPr="00D475C9" w:rsidP="005661F2" w14:paraId="0B8A0DAE" w14:textId="10105D11">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 xml:space="preserve">1. Participants (8,061) viewed 2 fruit drinks with different </w:t>
            </w:r>
            <w:r w:rsidR="004B6E26">
              <w:rPr>
                <w:rFonts w:eastAsia="Times New Roman"/>
                <w:sz w:val="12"/>
                <w:szCs w:val="12"/>
              </w:rPr>
              <w:t>FOP</w:t>
            </w:r>
            <w:r w:rsidRPr="00D475C9">
              <w:rPr>
                <w:rFonts w:eastAsia="Times New Roman"/>
                <w:sz w:val="12"/>
                <w:szCs w:val="12"/>
              </w:rPr>
              <w:t>s, one high in sugar and one not, and selected</w:t>
            </w:r>
            <w:r w:rsidRPr="00D475C9">
              <w:rPr>
                <w:rFonts w:eastAsia="Times New Roman"/>
                <w:sz w:val="12"/>
                <w:szCs w:val="12"/>
              </w:rPr>
              <w:br/>
              <w:t>2. Viewed 4 products high in sugar, sodium, and/or sat fat and selected the label which would most discourage them from consuming the products</w:t>
            </w:r>
          </w:p>
        </w:tc>
        <w:tc>
          <w:tcPr>
            <w:tcW w:w="1199" w:type="dxa"/>
            <w:tcBorders>
              <w:bottom w:val="single" w:sz="6" w:space="0" w:color="000000" w:themeColor="text1"/>
            </w:tcBorders>
          </w:tcPr>
          <w:p w:rsidR="005661F2" w:rsidRPr="00D475C9" w:rsidP="005661F2" w14:paraId="4A3B81C9" w14:textId="5ECEFEFC">
            <w:pPr>
              <w:pStyle w:val="TableParagraph"/>
              <w:spacing w:line="252" w:lineRule="auto"/>
              <w:ind w:right="121"/>
              <w:rPr>
                <w:rFonts w:eastAsia="Times New Roman"/>
                <w:sz w:val="12"/>
                <w:szCs w:val="12"/>
              </w:rPr>
            </w:pPr>
            <w:r w:rsidRPr="00D475C9">
              <w:rPr>
                <w:rFonts w:eastAsia="Times New Roman"/>
                <w:sz w:val="12"/>
                <w:szCs w:val="12"/>
              </w:rPr>
              <w:t>1. Warning label</w:t>
            </w:r>
            <w:r w:rsidRPr="00D475C9">
              <w:rPr>
                <w:rFonts w:eastAsia="Times New Roman"/>
                <w:sz w:val="12"/>
                <w:szCs w:val="12"/>
              </w:rPr>
              <w:br/>
              <w:t>2. Guideline daily amount (GDA)</w:t>
            </w:r>
            <w:r w:rsidRPr="00D475C9">
              <w:rPr>
                <w:rFonts w:eastAsia="Times New Roman"/>
                <w:sz w:val="12"/>
                <w:szCs w:val="12"/>
              </w:rPr>
              <w:br/>
              <w:t xml:space="preserve">3. </w:t>
            </w:r>
            <w:r w:rsidR="004B6E26">
              <w:rPr>
                <w:rFonts w:eastAsia="Times New Roman"/>
                <w:sz w:val="12"/>
                <w:szCs w:val="12"/>
              </w:rPr>
              <w:t>Nutri-Score</w:t>
            </w:r>
          </w:p>
        </w:tc>
        <w:tc>
          <w:tcPr>
            <w:tcW w:w="1204" w:type="dxa"/>
            <w:tcBorders>
              <w:bottom w:val="single" w:sz="6" w:space="0" w:color="000000" w:themeColor="text1"/>
            </w:tcBorders>
          </w:tcPr>
          <w:p w:rsidR="005661F2" w:rsidRPr="00D475C9" w:rsidP="005661F2" w14:paraId="67EEDF5D" w14:textId="4DC6F037">
            <w:pPr>
              <w:spacing w:after="0" w:line="240" w:lineRule="auto"/>
              <w:rPr>
                <w:rFonts w:ascii="Times New Roman" w:eastAsia="Times New Roman" w:hAnsi="Times New Roman" w:cs="Times New Roman"/>
                <w:noProof/>
                <w:color w:val="000000"/>
                <w:sz w:val="12"/>
                <w:szCs w:val="12"/>
                <w:lang w:eastAsia="en-US"/>
              </w:rPr>
            </w:pPr>
            <w:r w:rsidRPr="00D475C9">
              <w:rPr>
                <w:rFonts w:ascii="Times New Roman" w:eastAsia="Times New Roman" w:hAnsi="Times New Roman" w:cs="Times New Roman"/>
                <w:noProof/>
                <w:color w:val="000000"/>
                <w:sz w:val="12"/>
                <w:szCs w:val="12"/>
                <w:lang w:eastAsia="en-US"/>
              </w:rPr>
              <mc:AlternateContent>
                <mc:Choice Requires="wpg">
                  <w:drawing>
                    <wp:anchor distT="0" distB="0" distL="114300" distR="114300" simplePos="0" relativeHeight="251726848" behindDoc="0" locked="0" layoutInCell="1" allowOverlap="1">
                      <wp:simplePos x="0" y="0"/>
                      <wp:positionH relativeFrom="column">
                        <wp:posOffset>76200</wp:posOffset>
                      </wp:positionH>
                      <wp:positionV relativeFrom="paragraph">
                        <wp:posOffset>69850</wp:posOffset>
                      </wp:positionV>
                      <wp:extent cx="640080" cy="374650"/>
                      <wp:effectExtent l="0" t="0" r="7620" b="6350"/>
                      <wp:wrapNone/>
                      <wp:docPr id="58" name="Group 58"/>
                      <wp:cNvGraphicFramePr>
                        <a:graphicFrameLocks xmlns:a="http://schemas.openxmlformats.org/drawingml/2006/main" noChangeAspect="1"/>
                      </wp:cNvGraphicFramePr>
                      <a:graphic xmlns:a="http://schemas.openxmlformats.org/drawingml/2006/main">
                        <a:graphicData uri="http://schemas.microsoft.com/office/word/2010/wordprocessingGroup">
                          <wpg:wgp xmlns:wpg="http://schemas.microsoft.com/office/word/2010/wordprocessingGroup">
                            <wpg:cNvGrpSpPr>
                              <a:grpSpLocks noChangeAspect="1"/>
                            </wpg:cNvGrpSpPr>
                            <wpg:grpSpPr>
                              <a:xfrm>
                                <a:off x="0" y="0"/>
                                <a:ext cx="640080" cy="374650"/>
                                <a:chOff x="0" y="0"/>
                                <a:chExt cx="1595542" cy="832645"/>
                              </a:xfrm>
                            </wpg:grpSpPr>
                            <pic:pic xmlns:pic="http://schemas.openxmlformats.org/drawingml/2006/picture">
                              <pic:nvPicPr>
                                <pic:cNvPr id="96" name="Picture 96"/>
                                <pic:cNvPicPr>
                                  <a:picLocks noChangeAspect="1"/>
                                </pic:cNvPicPr>
                              </pic:nvPicPr>
                              <pic:blipFill>
                                <a:blip xmlns:r="http://schemas.openxmlformats.org/officeDocument/2006/relationships" r:embed="rId112" cstate="print">
                                  <a:extLst>
                                    <a:ext xmlns:a="http://schemas.openxmlformats.org/drawingml/2006/main" uri="{28A0092B-C50C-407E-A947-70E740481C1C}">
                                      <a14:useLocalDpi xmlns:a14="http://schemas.microsoft.com/office/drawing/2010/main" val="0"/>
                                    </a:ext>
                                  </a:extLst>
                                </a:blip>
                                <a:srcRect l="15515" r="19100" b="57798"/>
                                <a:stretch>
                                  <a:fillRect/>
                                </a:stretch>
                              </pic:blipFill>
                              <pic:spPr>
                                <a:xfrm>
                                  <a:off x="0" y="21168"/>
                                  <a:ext cx="624418" cy="624415"/>
                                </a:xfrm>
                                <a:prstGeom prst="rect">
                                  <a:avLst/>
                                </a:prstGeom>
                              </pic:spPr>
                            </pic:pic>
                            <pic:pic xmlns:pic="http://schemas.openxmlformats.org/drawingml/2006/picture">
                              <pic:nvPicPr>
                                <pic:cNvPr id="97" name="Picture 97"/>
                                <pic:cNvPicPr>
                                  <a:picLocks noChangeAspect="1"/>
                                </pic:cNvPicPr>
                              </pic:nvPicPr>
                              <pic:blipFill>
                                <a:blip xmlns:r="http://schemas.openxmlformats.org/officeDocument/2006/relationships" r:embed="rId113" cstate="print">
                                  <a:extLst>
                                    <a:ext xmlns:a="http://schemas.openxmlformats.org/drawingml/2006/main" uri="{28A0092B-C50C-407E-A947-70E740481C1C}">
                                      <a14:useLocalDpi xmlns:a14="http://schemas.microsoft.com/office/drawing/2010/main" val="0"/>
                                    </a:ext>
                                  </a:extLst>
                                </a:blip>
                                <a:srcRect l="1" t="39719" r="7692"/>
                                <a:stretch>
                                  <a:fillRect/>
                                </a:stretch>
                              </pic:blipFill>
                              <pic:spPr>
                                <a:xfrm>
                                  <a:off x="772582" y="0"/>
                                  <a:ext cx="822960" cy="83264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58" o:spid="_x0000_s1077" style="width:50.4pt;height:29.5pt;margin-top:5.5pt;margin-left:6pt;position:absolute;z-index:251727872" coordsize="15955,8326">
                      <o:lock v:ext="edit" aspectratio="t"/>
                      <v:shape id="Picture 96" o:spid="_x0000_s1078" type="#_x0000_t75" style="width:6244;height:6244;mso-wrap-style:square;position:absolute;top:211;visibility:visible">
                        <v:imagedata r:id="rId112" o:title="" cropbottom="37878f" cropleft="10168f" cropright="12517f"/>
                      </v:shape>
                      <v:shape id="Picture 97" o:spid="_x0000_s1079" type="#_x0000_t75" style="width:8230;height:8326;left:7725;mso-wrap-style:square;position:absolute;visibility:visible">
                        <v:imagedata r:id="rId113" o:title="" croptop="26030f" cropleft="1f" cropright="5041f"/>
                      </v:shape>
                    </v:group>
                  </w:pict>
                </mc:Fallback>
              </mc:AlternateContent>
            </w:r>
          </w:p>
        </w:tc>
        <w:tc>
          <w:tcPr>
            <w:tcW w:w="550" w:type="dxa"/>
            <w:tcBorders>
              <w:bottom w:val="single" w:sz="6" w:space="0" w:color="000000" w:themeColor="text1"/>
            </w:tcBorders>
          </w:tcPr>
          <w:p w:rsidR="005661F2" w:rsidRPr="00D475C9" w:rsidP="005661F2" w14:paraId="51FBDE28" w14:textId="46B554C8">
            <w:pPr>
              <w:pStyle w:val="TableParagraph"/>
              <w:spacing w:line="140" w:lineRule="exact"/>
              <w:ind w:left="0" w:right="39"/>
              <w:jc w:val="center"/>
              <w:rPr>
                <w:rFonts w:eastAsia="Times New Roman"/>
                <w:sz w:val="12"/>
                <w:szCs w:val="12"/>
              </w:rPr>
            </w:pPr>
            <w:r>
              <w:rPr>
                <w:rFonts w:eastAsia="Times New Roman"/>
                <w:sz w:val="12"/>
                <w:szCs w:val="12"/>
              </w:rPr>
              <w:t>Colo</w:t>
            </w:r>
            <w:r w:rsidRPr="00D475C9">
              <w:rPr>
                <w:rFonts w:eastAsia="Times New Roman"/>
                <w:sz w:val="12"/>
                <w:szCs w:val="12"/>
              </w:rPr>
              <w:t>mbia</w:t>
            </w:r>
          </w:p>
        </w:tc>
        <w:tc>
          <w:tcPr>
            <w:tcW w:w="3487" w:type="dxa"/>
            <w:tcBorders>
              <w:bottom w:val="single" w:sz="6" w:space="0" w:color="000000" w:themeColor="text1"/>
            </w:tcBorders>
          </w:tcPr>
          <w:p w:rsidR="005661F2" w:rsidRPr="00D475C9" w:rsidP="005661F2" w14:paraId="46868989" w14:textId="336E8074">
            <w:pPr>
              <w:pStyle w:val="TableParagraph"/>
              <w:spacing w:line="252" w:lineRule="auto"/>
              <w:rPr>
                <w:rFonts w:eastAsia="Times New Roman"/>
                <w:sz w:val="12"/>
                <w:szCs w:val="12"/>
              </w:rPr>
            </w:pPr>
            <w:r w:rsidRPr="00D475C9">
              <w:rPr>
                <w:rFonts w:eastAsia="Times New Roman"/>
                <w:sz w:val="12"/>
                <w:szCs w:val="12"/>
              </w:rPr>
              <w:t xml:space="preserve">1. WL performed better on most outcomes, though GDA better in helping identify high-sugar drinks. </w:t>
            </w:r>
            <w:r w:rsidRPr="00D475C9">
              <w:rPr>
                <w:rFonts w:eastAsia="Times New Roman"/>
                <w:sz w:val="12"/>
                <w:szCs w:val="12"/>
              </w:rPr>
              <w:br/>
              <w:t>2. WL best helped identify high-sodium and high-sat fat products, and most discouraged participants from wanting to consume "high in" products.</w:t>
            </w:r>
          </w:p>
        </w:tc>
      </w:tr>
      <w:tr w14:paraId="0762A8EB" w14:textId="77777777" w:rsidTr="00F159A1">
        <w:tblPrEx>
          <w:tblW w:w="0" w:type="auto"/>
          <w:tblInd w:w="100" w:type="dxa"/>
          <w:tblLayout w:type="fixed"/>
          <w:tblCellMar>
            <w:left w:w="0" w:type="dxa"/>
            <w:right w:w="0" w:type="dxa"/>
          </w:tblCellMar>
          <w:tblLook w:val="01E0"/>
        </w:tblPrEx>
        <w:trPr>
          <w:trHeight w:val="1128"/>
        </w:trPr>
        <w:tc>
          <w:tcPr>
            <w:tcW w:w="1036" w:type="dxa"/>
            <w:tcBorders>
              <w:left w:val="nil"/>
              <w:bottom w:val="nil"/>
              <w:right w:val="nil"/>
            </w:tcBorders>
          </w:tcPr>
          <w:p w:rsidR="00F159A1" w:rsidRPr="00D475C9" w:rsidP="005661F2" w14:paraId="1CFE9036" w14:textId="77777777">
            <w:pPr>
              <w:pStyle w:val="TableParagraph"/>
              <w:spacing w:line="252" w:lineRule="auto"/>
              <w:ind w:right="133"/>
              <w:rPr>
                <w:rFonts w:eastAsia="Times New Roman"/>
                <w:sz w:val="12"/>
                <w:szCs w:val="12"/>
              </w:rPr>
            </w:pPr>
          </w:p>
        </w:tc>
        <w:tc>
          <w:tcPr>
            <w:tcW w:w="2101" w:type="dxa"/>
            <w:tcBorders>
              <w:left w:val="nil"/>
              <w:bottom w:val="nil"/>
              <w:right w:val="nil"/>
            </w:tcBorders>
          </w:tcPr>
          <w:p w:rsidR="00F159A1" w:rsidRPr="00D475C9" w:rsidP="005661F2" w14:paraId="6CEF2E32" w14:textId="77777777">
            <w:pPr>
              <w:pStyle w:val="TableParagraph"/>
              <w:spacing w:line="252" w:lineRule="auto"/>
              <w:ind w:right="102"/>
              <w:rPr>
                <w:rFonts w:eastAsia="Times New Roman"/>
                <w:sz w:val="12"/>
                <w:szCs w:val="12"/>
              </w:rPr>
            </w:pPr>
          </w:p>
        </w:tc>
        <w:tc>
          <w:tcPr>
            <w:tcW w:w="333" w:type="dxa"/>
            <w:tcBorders>
              <w:left w:val="nil"/>
              <w:bottom w:val="nil"/>
              <w:right w:val="nil"/>
            </w:tcBorders>
          </w:tcPr>
          <w:p w:rsidR="00F159A1" w:rsidRPr="00D475C9" w:rsidP="005661F2" w14:paraId="2ECC386A" w14:textId="77777777">
            <w:pPr>
              <w:pStyle w:val="TableParagraph"/>
              <w:spacing w:line="140" w:lineRule="exact"/>
              <w:ind w:left="36"/>
              <w:rPr>
                <w:rFonts w:eastAsia="Times New Roman"/>
                <w:color w:val="7030A0"/>
                <w:sz w:val="12"/>
                <w:szCs w:val="12"/>
              </w:rPr>
            </w:pPr>
          </w:p>
        </w:tc>
        <w:tc>
          <w:tcPr>
            <w:tcW w:w="3555" w:type="dxa"/>
            <w:tcBorders>
              <w:left w:val="nil"/>
              <w:bottom w:val="nil"/>
              <w:right w:val="nil"/>
            </w:tcBorders>
          </w:tcPr>
          <w:p w:rsidR="00F159A1" w:rsidRPr="00D475C9" w:rsidP="005661F2" w14:paraId="6B9D04E9" w14:textId="77777777">
            <w:pPr>
              <w:pStyle w:val="TableParagraph"/>
              <w:spacing w:line="252" w:lineRule="auto"/>
              <w:ind w:left="29" w:right="173"/>
              <w:rPr>
                <w:rFonts w:eastAsia="Times New Roman"/>
                <w:sz w:val="12"/>
                <w:szCs w:val="12"/>
              </w:rPr>
            </w:pPr>
          </w:p>
        </w:tc>
        <w:tc>
          <w:tcPr>
            <w:tcW w:w="1199" w:type="dxa"/>
            <w:tcBorders>
              <w:left w:val="nil"/>
              <w:bottom w:val="nil"/>
              <w:right w:val="nil"/>
            </w:tcBorders>
          </w:tcPr>
          <w:p w:rsidR="00F159A1" w:rsidP="005661F2" w14:paraId="01D246A6" w14:textId="77777777">
            <w:pPr>
              <w:pStyle w:val="TableParagraph"/>
              <w:spacing w:line="252" w:lineRule="auto"/>
              <w:ind w:right="121"/>
              <w:rPr>
                <w:rFonts w:eastAsia="Times New Roman"/>
                <w:sz w:val="12"/>
                <w:szCs w:val="12"/>
              </w:rPr>
            </w:pPr>
          </w:p>
        </w:tc>
        <w:tc>
          <w:tcPr>
            <w:tcW w:w="1204" w:type="dxa"/>
            <w:tcBorders>
              <w:left w:val="nil"/>
              <w:bottom w:val="nil"/>
              <w:right w:val="nil"/>
            </w:tcBorders>
          </w:tcPr>
          <w:p w:rsidR="00F159A1" w:rsidRPr="00D475C9" w:rsidP="005661F2" w14:paraId="7AED0646" w14:textId="77777777">
            <w:pPr>
              <w:spacing w:after="0" w:line="240" w:lineRule="auto"/>
              <w:rPr>
                <w:rFonts w:ascii="Calibri" w:eastAsia="Times New Roman" w:hAnsi="Calibri" w:cs="Calibri"/>
                <w:noProof/>
                <w:color w:val="000000"/>
                <w:sz w:val="12"/>
                <w:szCs w:val="12"/>
                <w:lang w:eastAsia="en-US"/>
              </w:rPr>
            </w:pPr>
          </w:p>
        </w:tc>
        <w:tc>
          <w:tcPr>
            <w:tcW w:w="550" w:type="dxa"/>
            <w:tcBorders>
              <w:left w:val="nil"/>
              <w:bottom w:val="nil"/>
              <w:right w:val="nil"/>
            </w:tcBorders>
          </w:tcPr>
          <w:p w:rsidR="00F159A1" w:rsidRPr="00D475C9" w:rsidP="005661F2" w14:paraId="72169F91" w14:textId="77777777">
            <w:pPr>
              <w:pStyle w:val="TableParagraph"/>
              <w:spacing w:line="140" w:lineRule="exact"/>
              <w:ind w:left="0" w:right="39"/>
              <w:jc w:val="center"/>
              <w:rPr>
                <w:rFonts w:eastAsia="Times New Roman"/>
                <w:sz w:val="12"/>
                <w:szCs w:val="12"/>
              </w:rPr>
            </w:pPr>
          </w:p>
        </w:tc>
        <w:tc>
          <w:tcPr>
            <w:tcW w:w="3487" w:type="dxa"/>
            <w:tcBorders>
              <w:left w:val="nil"/>
              <w:bottom w:val="nil"/>
              <w:right w:val="nil"/>
            </w:tcBorders>
          </w:tcPr>
          <w:p w:rsidR="00F159A1" w:rsidRPr="00D475C9" w:rsidP="005661F2" w14:paraId="68F4836C" w14:textId="77777777">
            <w:pPr>
              <w:pStyle w:val="TableParagraph"/>
              <w:spacing w:line="252" w:lineRule="auto"/>
              <w:rPr>
                <w:rFonts w:eastAsia="Times New Roman"/>
                <w:sz w:val="12"/>
                <w:szCs w:val="12"/>
              </w:rPr>
            </w:pPr>
          </w:p>
        </w:tc>
      </w:tr>
      <w:tr w14:paraId="06D0BD09" w14:textId="77777777" w:rsidTr="00F159A1">
        <w:tblPrEx>
          <w:tblW w:w="0" w:type="auto"/>
          <w:tblInd w:w="100" w:type="dxa"/>
          <w:tblLayout w:type="fixed"/>
          <w:tblCellMar>
            <w:left w:w="0" w:type="dxa"/>
            <w:right w:w="0" w:type="dxa"/>
          </w:tblCellMar>
          <w:tblLook w:val="01E0"/>
        </w:tblPrEx>
        <w:trPr>
          <w:trHeight w:val="1128"/>
        </w:trPr>
        <w:tc>
          <w:tcPr>
            <w:tcW w:w="1036" w:type="dxa"/>
            <w:tcBorders>
              <w:top w:val="nil"/>
            </w:tcBorders>
          </w:tcPr>
          <w:p w:rsidR="005661F2" w:rsidRPr="00D475C9" w:rsidP="005661F2" w14:paraId="291D16EF" w14:textId="0380148C">
            <w:pPr>
              <w:pStyle w:val="TableParagraph"/>
              <w:spacing w:line="252" w:lineRule="auto"/>
              <w:ind w:right="133"/>
              <w:rPr>
                <w:rFonts w:eastAsia="Times New Roman"/>
                <w:color w:val="000000"/>
                <w:sz w:val="12"/>
                <w:szCs w:val="12"/>
              </w:rPr>
            </w:pPr>
            <w:r w:rsidRPr="00D475C9">
              <w:rPr>
                <w:rFonts w:eastAsia="Times New Roman"/>
                <w:sz w:val="12"/>
                <w:szCs w:val="12"/>
              </w:rPr>
              <w:t>Muzzioli, et al.</w:t>
            </w:r>
          </w:p>
        </w:tc>
        <w:tc>
          <w:tcPr>
            <w:tcW w:w="2101" w:type="dxa"/>
            <w:tcBorders>
              <w:top w:val="nil"/>
            </w:tcBorders>
          </w:tcPr>
          <w:p w:rsidR="005661F2" w:rsidRPr="00D475C9" w:rsidP="005661F2" w14:paraId="5C058BBD" w14:textId="63A0E6CB">
            <w:pPr>
              <w:pStyle w:val="TableParagraph"/>
              <w:spacing w:line="252" w:lineRule="auto"/>
              <w:ind w:right="102"/>
              <w:rPr>
                <w:rFonts w:eastAsia="Times New Roman"/>
                <w:color w:val="000000"/>
                <w:sz w:val="12"/>
                <w:szCs w:val="12"/>
              </w:rPr>
            </w:pPr>
            <w:r w:rsidRPr="00D475C9">
              <w:rPr>
                <w:rFonts w:eastAsia="Times New Roman"/>
                <w:sz w:val="12"/>
                <w:szCs w:val="12"/>
              </w:rPr>
              <w:t>Are Front-of-Pack Labels a Health Policy Tool?</w:t>
            </w:r>
          </w:p>
        </w:tc>
        <w:tc>
          <w:tcPr>
            <w:tcW w:w="333" w:type="dxa"/>
            <w:tcBorders>
              <w:top w:val="nil"/>
            </w:tcBorders>
          </w:tcPr>
          <w:p w:rsidR="005661F2" w:rsidRPr="00D475C9" w:rsidP="005661F2" w14:paraId="5BCEC559" w14:textId="2EC2F2D5">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Borders>
              <w:top w:val="nil"/>
            </w:tcBorders>
          </w:tcPr>
          <w:p w:rsidR="005661F2" w:rsidRPr="00D475C9" w:rsidP="005661F2" w14:paraId="2675D28E" w14:textId="4618F106">
            <w:pPr>
              <w:pStyle w:val="TableParagraph"/>
              <w:spacing w:line="252" w:lineRule="auto"/>
              <w:ind w:left="29" w:right="173"/>
              <w:rPr>
                <w:rFonts w:eastAsia="Times New Roman"/>
                <w:sz w:val="12"/>
                <w:szCs w:val="12"/>
              </w:rPr>
            </w:pPr>
            <w:r w:rsidRPr="00D475C9">
              <w:rPr>
                <w:rFonts w:eastAsia="Times New Roman"/>
                <w:sz w:val="12"/>
                <w:szCs w:val="12"/>
              </w:rPr>
              <w:t>Qualitative</w:t>
            </w:r>
            <w:r w:rsidRPr="00D475C9">
              <w:rPr>
                <w:rFonts w:eastAsia="Times New Roman"/>
                <w:sz w:val="12"/>
                <w:szCs w:val="12"/>
              </w:rPr>
              <w:br/>
              <w:t xml:space="preserve">1. Narrative review of literature to clarify the goals and objectives that could and could not be achieved by </w:t>
            </w:r>
            <w:r w:rsidR="004B6E26">
              <w:rPr>
                <w:rFonts w:eastAsia="Times New Roman"/>
                <w:sz w:val="12"/>
                <w:szCs w:val="12"/>
              </w:rPr>
              <w:t>FOP</w:t>
            </w:r>
            <w:r w:rsidRPr="00D475C9">
              <w:rPr>
                <w:rFonts w:eastAsia="Times New Roman"/>
                <w:sz w:val="12"/>
                <w:szCs w:val="12"/>
              </w:rPr>
              <w:t>s</w:t>
            </w:r>
            <w:r w:rsidRPr="00D475C9">
              <w:rPr>
                <w:rFonts w:eastAsia="Times New Roman"/>
                <w:sz w:val="12"/>
                <w:szCs w:val="12"/>
              </w:rPr>
              <w:br/>
              <w:t>2. Establish whether a model can be effective in (1) modifying purchase behavior, (2) guiding dietary patterns toward a healthy and sustainable diet, (3) reformulating food products by the food industry</w:t>
            </w:r>
          </w:p>
        </w:tc>
        <w:tc>
          <w:tcPr>
            <w:tcW w:w="1199" w:type="dxa"/>
            <w:tcBorders>
              <w:top w:val="nil"/>
            </w:tcBorders>
          </w:tcPr>
          <w:p w:rsidR="005661F2" w:rsidRPr="00D475C9" w:rsidP="005661F2" w14:paraId="111B68A8" w14:textId="45E34719">
            <w:pPr>
              <w:pStyle w:val="TableParagraph"/>
              <w:spacing w:line="252" w:lineRule="auto"/>
              <w:ind w:right="121"/>
              <w:rPr>
                <w:rFonts w:eastAsia="Times New Roman"/>
                <w:sz w:val="12"/>
                <w:szCs w:val="12"/>
              </w:rPr>
            </w:pPr>
            <w:r>
              <w:rPr>
                <w:rFonts w:eastAsia="Times New Roman"/>
                <w:sz w:val="12"/>
                <w:szCs w:val="12"/>
              </w:rPr>
              <w:t xml:space="preserve">1. </w:t>
            </w:r>
            <w:r>
              <w:rPr>
                <w:rFonts w:eastAsia="Times New Roman"/>
                <w:sz w:val="12"/>
                <w:szCs w:val="12"/>
              </w:rPr>
              <w:t>Non-directive</w:t>
            </w:r>
            <w:r>
              <w:rPr>
                <w:rFonts w:eastAsia="Times New Roman"/>
                <w:sz w:val="12"/>
                <w:szCs w:val="12"/>
              </w:rPr>
              <w:t xml:space="preserve"> labels</w:t>
            </w:r>
            <w:r w:rsidRPr="00D475C9">
              <w:rPr>
                <w:rFonts w:eastAsia="Times New Roman"/>
                <w:sz w:val="12"/>
                <w:szCs w:val="12"/>
              </w:rPr>
              <w:t xml:space="preserve"> (e.g., Reference Intakes [RI], NutrInform Battery). </w:t>
            </w:r>
            <w:r w:rsidRPr="00D475C9">
              <w:rPr>
                <w:rFonts w:eastAsia="Times New Roman"/>
                <w:sz w:val="12"/>
                <w:szCs w:val="12"/>
              </w:rPr>
              <w:br/>
              <w:t xml:space="preserve"> 2. Semi-directive labels (e.g., the English traffic light or Multiple Traffic Light [MTL], Warning Signs such as the octagon “stop” or the words “rich in”). </w:t>
            </w:r>
            <w:r w:rsidRPr="00D475C9">
              <w:rPr>
                <w:rFonts w:eastAsia="Times New Roman"/>
                <w:sz w:val="12"/>
                <w:szCs w:val="12"/>
              </w:rPr>
              <w:br/>
            </w:r>
            <w:r w:rsidRPr="00D475C9">
              <w:rPr>
                <w:rFonts w:eastAsia="Times New Roman"/>
                <w:sz w:val="12"/>
                <w:szCs w:val="12"/>
              </w:rPr>
              <w:t xml:space="preserve">3. Directive labels (e.g., Swedish Keyhole, </w:t>
            </w:r>
            <w:r w:rsidR="004B6E26">
              <w:rPr>
                <w:rFonts w:eastAsia="Times New Roman"/>
                <w:sz w:val="12"/>
                <w:szCs w:val="12"/>
              </w:rPr>
              <w:t>Nutri-Score</w:t>
            </w:r>
            <w:r w:rsidRPr="00D475C9">
              <w:rPr>
                <w:rFonts w:eastAsia="Times New Roman"/>
                <w:sz w:val="12"/>
                <w:szCs w:val="12"/>
              </w:rPr>
              <w:t xml:space="preserve">) </w:t>
            </w:r>
          </w:p>
        </w:tc>
        <w:tc>
          <w:tcPr>
            <w:tcW w:w="1204" w:type="dxa"/>
            <w:tcBorders>
              <w:top w:val="nil"/>
            </w:tcBorders>
          </w:tcPr>
          <w:p w:rsidR="005661F2" w:rsidRPr="00D475C9" w:rsidP="005661F2" w14:paraId="638AAB0D" w14:textId="41393215">
            <w:pPr>
              <w:spacing w:after="0" w:line="240" w:lineRule="auto"/>
              <w:rPr>
                <w:rFonts w:ascii="Times New Roman" w:eastAsia="Times New Roman" w:hAnsi="Times New Roman" w:cs="Times New Roman"/>
                <w:noProof/>
                <w:color w:val="000000"/>
                <w:sz w:val="12"/>
                <w:szCs w:val="12"/>
                <w:lang w:eastAsia="en-US"/>
              </w:rPr>
            </w:pPr>
            <w:r w:rsidRPr="00D475C9">
              <w:rPr>
                <w:rFonts w:ascii="Calibri" w:eastAsia="Times New Roman" w:hAnsi="Calibri" w:cs="Calibri"/>
                <w:noProof/>
                <w:color w:val="000000"/>
                <w:sz w:val="12"/>
                <w:szCs w:val="12"/>
                <w:lang w:eastAsia="en-US"/>
              </w:rPr>
              <mc:AlternateContent>
                <mc:Choice Requires="wpg">
                  <w:drawing>
                    <wp:anchor distT="0" distB="0" distL="114300" distR="114300" simplePos="0" relativeHeight="251728896" behindDoc="0" locked="0" layoutInCell="1" allowOverlap="1">
                      <wp:simplePos x="0" y="0"/>
                      <wp:positionH relativeFrom="column">
                        <wp:posOffset>101600</wp:posOffset>
                      </wp:positionH>
                      <wp:positionV relativeFrom="paragraph">
                        <wp:posOffset>17145</wp:posOffset>
                      </wp:positionV>
                      <wp:extent cx="640080" cy="539750"/>
                      <wp:effectExtent l="0" t="0" r="7620" b="0"/>
                      <wp:wrapNone/>
                      <wp:docPr id="56" name="Group 56"/>
                      <wp:cNvGraphicFramePr>
                        <a:graphicFrameLocks xmlns:a="http://schemas.openxmlformats.org/drawingml/2006/main" noChangeAspect="1"/>
                      </wp:cNvGraphicFramePr>
                      <a:graphic xmlns:a="http://schemas.openxmlformats.org/drawingml/2006/main">
                        <a:graphicData uri="http://schemas.microsoft.com/office/word/2010/wordprocessingGroup">
                          <wpg:wgp xmlns:wpg="http://schemas.microsoft.com/office/word/2010/wordprocessingGroup">
                            <wpg:cNvGrpSpPr>
                              <a:grpSpLocks noChangeAspect="1"/>
                            </wpg:cNvGrpSpPr>
                            <wpg:grpSpPr>
                              <a:xfrm>
                                <a:off x="0" y="0"/>
                                <a:ext cx="640080" cy="539750"/>
                                <a:chOff x="0" y="0"/>
                                <a:chExt cx="1747367" cy="1098023"/>
                              </a:xfrm>
                            </wpg:grpSpPr>
                            <pic:pic xmlns:pic="http://schemas.openxmlformats.org/drawingml/2006/picture">
                              <pic:nvPicPr>
                                <pic:cNvPr id="92" name="Picture 92"/>
                                <pic:cNvPicPr>
                                  <a:picLocks noChangeAspect="1"/>
                                </pic:cNvPicPr>
                              </pic:nvPicPr>
                              <pic:blipFill>
                                <a:blip xmlns:r="http://schemas.openxmlformats.org/officeDocument/2006/relationships" r:embed="rId114" cstate="print">
                                  <a:extLst>
                                    <a:ext xmlns:a="http://schemas.openxmlformats.org/drawingml/2006/main" uri="{28A0092B-C50C-407E-A947-70E740481C1C}">
                                      <a14:useLocalDpi xmlns:a14="http://schemas.microsoft.com/office/drawing/2010/main" val="0"/>
                                    </a:ext>
                                  </a:extLst>
                                </a:blip>
                                <a:stretch>
                                  <a:fillRect/>
                                </a:stretch>
                              </pic:blipFill>
                              <pic:spPr>
                                <a:xfrm>
                                  <a:off x="0" y="35719"/>
                                  <a:ext cx="640080" cy="1042555"/>
                                </a:xfrm>
                                <a:prstGeom prst="rect">
                                  <a:avLst/>
                                </a:prstGeom>
                              </pic:spPr>
                            </pic:pic>
                            <pic:pic xmlns:pic="http://schemas.openxmlformats.org/drawingml/2006/picture">
                              <pic:nvPicPr>
                                <pic:cNvPr id="94" name="Picture 94"/>
                                <pic:cNvPicPr>
                                  <a:picLocks noChangeAspect="1"/>
                                </pic:cNvPicPr>
                              </pic:nvPicPr>
                              <pic:blipFill>
                                <a:blip xmlns:r="http://schemas.openxmlformats.org/officeDocument/2006/relationships" r:embed="rId115" cstate="print">
                                  <a:extLst>
                                    <a:ext xmlns:a="http://schemas.openxmlformats.org/drawingml/2006/main" uri="{28A0092B-C50C-407E-A947-70E740481C1C}">
                                      <a14:useLocalDpi xmlns:a14="http://schemas.microsoft.com/office/drawing/2010/main" val="0"/>
                                    </a:ext>
                                  </a:extLst>
                                </a:blip>
                                <a:stretch>
                                  <a:fillRect/>
                                </a:stretch>
                              </pic:blipFill>
                              <pic:spPr>
                                <a:xfrm>
                                  <a:off x="1107287" y="0"/>
                                  <a:ext cx="640080" cy="1098023"/>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56" o:spid="_x0000_s1080" style="width:50.4pt;height:42.5pt;margin-top:1.35pt;margin-left:8pt;position:absolute;z-index:251729920" coordsize="17473,10980">
                      <o:lock v:ext="edit" aspectratio="t"/>
                      <v:shape id="Picture 92" o:spid="_x0000_s1081" type="#_x0000_t75" style="width:6400;height:10425;mso-wrap-style:square;position:absolute;top:357;visibility:visible">
                        <v:imagedata r:id="rId114" o:title=""/>
                      </v:shape>
                      <v:shape id="Picture 94" o:spid="_x0000_s1082" type="#_x0000_t75" style="width:6401;height:10980;left:11072;mso-wrap-style:square;position:absolute;visibility:visible">
                        <v:imagedata r:id="rId115" o:title=""/>
                      </v:shape>
                    </v:group>
                  </w:pict>
                </mc:Fallback>
              </mc:AlternateContent>
            </w:r>
          </w:p>
        </w:tc>
        <w:tc>
          <w:tcPr>
            <w:tcW w:w="550" w:type="dxa"/>
            <w:tcBorders>
              <w:top w:val="nil"/>
            </w:tcBorders>
          </w:tcPr>
          <w:p w:rsidR="005661F2" w:rsidP="005661F2" w14:paraId="59D11080" w14:textId="7A7E924D">
            <w:pPr>
              <w:pStyle w:val="TableParagraph"/>
              <w:spacing w:line="140" w:lineRule="exact"/>
              <w:ind w:left="0" w:right="39"/>
              <w:jc w:val="center"/>
              <w:rPr>
                <w:rFonts w:eastAsia="Times New Roman"/>
                <w:sz w:val="12"/>
                <w:szCs w:val="12"/>
              </w:rPr>
            </w:pPr>
            <w:r w:rsidRPr="00D475C9">
              <w:rPr>
                <w:rFonts w:eastAsia="Times New Roman"/>
                <w:sz w:val="12"/>
                <w:szCs w:val="12"/>
              </w:rPr>
              <w:t>Italy</w:t>
            </w:r>
          </w:p>
        </w:tc>
        <w:tc>
          <w:tcPr>
            <w:tcW w:w="3487" w:type="dxa"/>
            <w:tcBorders>
              <w:top w:val="nil"/>
            </w:tcBorders>
          </w:tcPr>
          <w:p w:rsidR="005661F2" w:rsidRPr="00D475C9" w:rsidP="005661F2" w14:paraId="4472E53A" w14:textId="3B2B74B5">
            <w:pPr>
              <w:pStyle w:val="TableParagraph"/>
              <w:spacing w:line="252" w:lineRule="auto"/>
              <w:rPr>
                <w:rFonts w:eastAsia="Times New Roman"/>
                <w:sz w:val="12"/>
                <w:szCs w:val="12"/>
              </w:rPr>
            </w:pPr>
            <w:r w:rsidRPr="00D475C9">
              <w:rPr>
                <w:rFonts w:eastAsia="Times New Roman"/>
                <w:sz w:val="12"/>
                <w:szCs w:val="12"/>
              </w:rPr>
              <w:t>1. Changing purchasing behavior: evidence is limited</w:t>
            </w:r>
            <w:r w:rsidRPr="00D475C9">
              <w:rPr>
                <w:rFonts w:eastAsia="Times New Roman"/>
                <w:sz w:val="12"/>
                <w:szCs w:val="12"/>
              </w:rPr>
              <w:br/>
              <w:t xml:space="preserve">2. Directing dietary patterns: non-directive </w:t>
            </w:r>
            <w:r w:rsidR="004B6E26">
              <w:rPr>
                <w:rFonts w:eastAsia="Times New Roman"/>
                <w:sz w:val="12"/>
                <w:szCs w:val="12"/>
              </w:rPr>
              <w:t>FOP</w:t>
            </w:r>
            <w:r w:rsidRPr="00D475C9">
              <w:rPr>
                <w:rFonts w:eastAsia="Times New Roman"/>
                <w:sz w:val="12"/>
                <w:szCs w:val="12"/>
              </w:rPr>
              <w:t>s strongly informative and helpful, but directive ones were weak</w:t>
            </w:r>
            <w:r w:rsidRPr="00D475C9">
              <w:rPr>
                <w:rFonts w:eastAsia="Times New Roman"/>
                <w:sz w:val="12"/>
                <w:szCs w:val="12"/>
              </w:rPr>
              <w:br/>
              <w:t>3. Reformulating foods: research inconclusive; data still pending</w:t>
            </w:r>
          </w:p>
        </w:tc>
      </w:tr>
      <w:tr w14:paraId="386BB319" w14:textId="77777777" w:rsidTr="00DF60F4">
        <w:tblPrEx>
          <w:tblW w:w="0" w:type="auto"/>
          <w:tblInd w:w="100" w:type="dxa"/>
          <w:tblLayout w:type="fixed"/>
          <w:tblCellMar>
            <w:left w:w="0" w:type="dxa"/>
            <w:right w:w="0" w:type="dxa"/>
          </w:tblCellMar>
          <w:tblLook w:val="01E0"/>
        </w:tblPrEx>
        <w:trPr>
          <w:trHeight w:val="1128"/>
        </w:trPr>
        <w:tc>
          <w:tcPr>
            <w:tcW w:w="1036" w:type="dxa"/>
          </w:tcPr>
          <w:p w:rsidR="005661F2" w:rsidRPr="00D475C9" w:rsidP="005661F2" w14:paraId="1EC0740A" w14:textId="3CFCE7DD">
            <w:pPr>
              <w:pStyle w:val="TableParagraph"/>
              <w:spacing w:line="252" w:lineRule="auto"/>
              <w:ind w:right="133"/>
              <w:rPr>
                <w:rFonts w:eastAsia="Times New Roman"/>
                <w:sz w:val="12"/>
                <w:szCs w:val="12"/>
              </w:rPr>
            </w:pPr>
            <w:r w:rsidRPr="00D475C9">
              <w:rPr>
                <w:rFonts w:eastAsia="Times New Roman"/>
                <w:color w:val="000000"/>
                <w:sz w:val="12"/>
                <w:szCs w:val="12"/>
              </w:rPr>
              <w:t>Oswald, et al.</w:t>
            </w:r>
          </w:p>
        </w:tc>
        <w:tc>
          <w:tcPr>
            <w:tcW w:w="2101" w:type="dxa"/>
          </w:tcPr>
          <w:p w:rsidR="005661F2" w:rsidRPr="00D475C9" w:rsidP="005661F2" w14:paraId="58307408" w14:textId="4D57CCA5">
            <w:pPr>
              <w:pStyle w:val="TableParagraph"/>
              <w:spacing w:line="252" w:lineRule="auto"/>
              <w:ind w:right="102"/>
              <w:rPr>
                <w:rFonts w:eastAsia="Times New Roman"/>
                <w:sz w:val="12"/>
                <w:szCs w:val="12"/>
              </w:rPr>
            </w:pPr>
            <w:r w:rsidRPr="00D475C9">
              <w:rPr>
                <w:rFonts w:eastAsia="Times New Roman"/>
                <w:color w:val="000000"/>
                <w:sz w:val="12"/>
                <w:szCs w:val="12"/>
              </w:rPr>
              <w:t>Effect of front-of-package labels on consumer product evaluation and preferences</w:t>
            </w:r>
          </w:p>
        </w:tc>
        <w:tc>
          <w:tcPr>
            <w:tcW w:w="333" w:type="dxa"/>
          </w:tcPr>
          <w:p w:rsidR="005661F2" w:rsidRPr="00D475C9" w:rsidP="005661F2" w14:paraId="55E02CEC" w14:textId="3C52BB18">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5661F2" w:rsidRPr="00D475C9" w:rsidP="005661F2" w14:paraId="142847A8" w14:textId="0D290971">
            <w:pPr>
              <w:pStyle w:val="TableParagraph"/>
              <w:spacing w:line="252" w:lineRule="auto"/>
              <w:ind w:left="29" w:right="173"/>
              <w:rPr>
                <w:rFonts w:eastAsia="Times New Roman"/>
                <w:sz w:val="12"/>
                <w:szCs w:val="12"/>
              </w:rPr>
            </w:pPr>
            <w:r w:rsidRPr="00D475C9">
              <w:rPr>
                <w:rFonts w:eastAsia="Times New Roman"/>
                <w:sz w:val="12"/>
                <w:szCs w:val="12"/>
              </w:rPr>
              <w:t>Qualitative and Quantitative</w:t>
            </w:r>
            <w:r w:rsidRPr="00D475C9">
              <w:rPr>
                <w:rFonts w:eastAsia="Times New Roman"/>
                <w:sz w:val="12"/>
                <w:szCs w:val="12"/>
              </w:rPr>
              <w:br/>
              <w:t>1. Participants chose from 3 food items in simulated shopping scenario, with goal to shop as usual (control), pick the healthiest food, or the lowest sodium food.</w:t>
            </w:r>
            <w:r w:rsidRPr="00D475C9">
              <w:rPr>
                <w:rFonts w:eastAsia="Times New Roman"/>
                <w:sz w:val="12"/>
                <w:szCs w:val="12"/>
              </w:rPr>
              <w:br/>
              <w:t>2. Participants were shown the NFP label with no other packaging, told it was for donuts, with or without a color or B&amp;W label next to the NFP.</w:t>
            </w:r>
            <w:r w:rsidRPr="00D475C9">
              <w:rPr>
                <w:rFonts w:eastAsia="Times New Roman"/>
                <w:sz w:val="12"/>
                <w:szCs w:val="12"/>
              </w:rPr>
              <w:br/>
              <w:t xml:space="preserve">3. Participants completed questionnaire indicating purchase intentions, criteria used to make selections, health literacy, preferences toward </w:t>
            </w:r>
            <w:r w:rsidR="004B6E26">
              <w:rPr>
                <w:rFonts w:eastAsia="Times New Roman"/>
                <w:sz w:val="12"/>
                <w:szCs w:val="12"/>
              </w:rPr>
              <w:t>FOP</w:t>
            </w:r>
            <w:r w:rsidRPr="00D475C9">
              <w:rPr>
                <w:rFonts w:eastAsia="Times New Roman"/>
                <w:sz w:val="12"/>
                <w:szCs w:val="12"/>
              </w:rPr>
              <w:t>, how well they understood the label and NFP</w:t>
            </w:r>
          </w:p>
        </w:tc>
        <w:tc>
          <w:tcPr>
            <w:tcW w:w="1199" w:type="dxa"/>
          </w:tcPr>
          <w:p w:rsidR="005661F2" w:rsidP="005661F2" w14:paraId="6851BD6A" w14:textId="5847AE65">
            <w:pPr>
              <w:pStyle w:val="TableParagraph"/>
              <w:spacing w:line="252" w:lineRule="auto"/>
              <w:ind w:right="121"/>
              <w:rPr>
                <w:rFonts w:eastAsia="Times New Roman"/>
                <w:sz w:val="12"/>
                <w:szCs w:val="12"/>
              </w:rPr>
            </w:pPr>
            <w:r w:rsidRPr="00D475C9">
              <w:rPr>
                <w:rFonts w:eastAsia="Times New Roman"/>
                <w:sz w:val="12"/>
                <w:szCs w:val="12"/>
              </w:rPr>
              <w:t>1. FactsUpFront (FUF)</w:t>
            </w:r>
            <w:r w:rsidRPr="00D475C9">
              <w:rPr>
                <w:rFonts w:eastAsia="Times New Roman"/>
                <w:sz w:val="12"/>
                <w:szCs w:val="12"/>
              </w:rPr>
              <w:br/>
              <w:t>- one version in B&amp;W</w:t>
            </w:r>
            <w:r w:rsidRPr="00D475C9">
              <w:rPr>
                <w:rFonts w:eastAsia="Times New Roman"/>
                <w:sz w:val="12"/>
                <w:szCs w:val="12"/>
              </w:rPr>
              <w:br/>
              <w:t xml:space="preserve">- one version color-coded where nutrients were classified as red, </w:t>
            </w:r>
            <w:r w:rsidRPr="00D475C9">
              <w:rPr>
                <w:rFonts w:eastAsia="Times New Roman"/>
                <w:sz w:val="12"/>
                <w:szCs w:val="12"/>
              </w:rPr>
              <w:t>yellow</w:t>
            </w:r>
            <w:r w:rsidRPr="00D475C9">
              <w:rPr>
                <w:rFonts w:eastAsia="Times New Roman"/>
                <w:sz w:val="12"/>
                <w:szCs w:val="12"/>
              </w:rPr>
              <w:t xml:space="preserve"> or green (based on U.K. criteria)</w:t>
            </w:r>
          </w:p>
        </w:tc>
        <w:tc>
          <w:tcPr>
            <w:tcW w:w="1204" w:type="dxa"/>
          </w:tcPr>
          <w:p w:rsidR="005661F2" w:rsidRPr="00D475C9" w:rsidP="005661F2" w14:paraId="22DC6CFE" w14:textId="50FA3920">
            <w:pPr>
              <w:spacing w:after="0" w:line="240" w:lineRule="auto"/>
              <w:rPr>
                <w:rFonts w:ascii="Calibri" w:eastAsia="Times New Roman" w:hAnsi="Calibri" w:cs="Calibri"/>
                <w:noProof/>
                <w:color w:val="000000"/>
                <w:sz w:val="12"/>
                <w:szCs w:val="12"/>
                <w:lang w:eastAsia="en-US"/>
              </w:rPr>
            </w:pPr>
            <w:r w:rsidRPr="00D475C9">
              <w:rPr>
                <w:rFonts w:ascii="Calibri" w:eastAsia="Times New Roman" w:hAnsi="Calibri" w:cs="Calibri"/>
                <w:noProof/>
                <w:color w:val="000000"/>
                <w:sz w:val="12"/>
                <w:szCs w:val="12"/>
                <w:lang w:eastAsia="en-US"/>
              </w:rPr>
              <mc:AlternateContent>
                <mc:Choice Requires="wpg">
                  <w:drawing>
                    <wp:anchor distT="0" distB="0" distL="114300" distR="114300" simplePos="0" relativeHeight="251730944" behindDoc="0" locked="0" layoutInCell="1" allowOverlap="1">
                      <wp:simplePos x="0" y="0"/>
                      <wp:positionH relativeFrom="column">
                        <wp:posOffset>76200</wp:posOffset>
                      </wp:positionH>
                      <wp:positionV relativeFrom="paragraph">
                        <wp:posOffset>138430</wp:posOffset>
                      </wp:positionV>
                      <wp:extent cx="640080" cy="381000"/>
                      <wp:effectExtent l="0" t="0" r="7620" b="0"/>
                      <wp:wrapNone/>
                      <wp:docPr id="54" name="Group 54"/>
                      <wp:cNvGraphicFramePr>
                        <a:graphicFrameLocks xmlns:a="http://schemas.openxmlformats.org/drawingml/2006/main" noChangeAspect="1"/>
                      </wp:cNvGraphicFramePr>
                      <a:graphic xmlns:a="http://schemas.openxmlformats.org/drawingml/2006/main">
                        <a:graphicData uri="http://schemas.microsoft.com/office/word/2010/wordprocessingGroup">
                          <wpg:wgp xmlns:wpg="http://schemas.microsoft.com/office/word/2010/wordprocessingGroup">
                            <wpg:cNvGrpSpPr>
                              <a:grpSpLocks noChangeAspect="1"/>
                            </wpg:cNvGrpSpPr>
                            <wpg:grpSpPr>
                              <a:xfrm>
                                <a:off x="0" y="0"/>
                                <a:ext cx="640080" cy="381000"/>
                                <a:chOff x="0" y="0"/>
                                <a:chExt cx="1148164" cy="1000961"/>
                              </a:xfrm>
                            </wpg:grpSpPr>
                            <pic:pic xmlns:pic="http://schemas.openxmlformats.org/drawingml/2006/picture">
                              <pic:nvPicPr>
                                <pic:cNvPr id="88" name="Picture 88"/>
                                <pic:cNvPicPr>
                                  <a:picLocks noChangeAspect="1"/>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val="0"/>
                                    </a:ext>
                                  </a:extLst>
                                </a:blip>
                                <a:stretch>
                                  <a:fillRect/>
                                </a:stretch>
                              </pic:blipFill>
                              <pic:spPr>
                                <a:xfrm>
                                  <a:off x="0" y="0"/>
                                  <a:ext cx="1068916" cy="488648"/>
                                </a:xfrm>
                                <a:prstGeom prst="rect">
                                  <a:avLst/>
                                </a:prstGeom>
                              </pic:spPr>
                            </pic:pic>
                            <pic:pic xmlns:pic="http://schemas.openxmlformats.org/drawingml/2006/picture">
                              <pic:nvPicPr>
                                <pic:cNvPr id="90" name="Picture 90"/>
                                <pic:cNvPicPr>
                                  <a:picLocks noChangeAspect="1"/>
                                </pic:cNvPicPr>
                              </pic:nvPicPr>
                              <pic:blipFill>
                                <a:blip xmlns:r="http://schemas.openxmlformats.org/officeDocument/2006/relationships" r:embed="rId117">
                                  <a:extLst>
                                    <a:ext xmlns:a="http://schemas.openxmlformats.org/drawingml/2006/main" uri="{28A0092B-C50C-407E-A947-70E740481C1C}">
                                      <a14:useLocalDpi xmlns:a14="http://schemas.microsoft.com/office/drawing/2010/main" val="0"/>
                                    </a:ext>
                                  </a:extLst>
                                </a:blip>
                                <a:stretch>
                                  <a:fillRect/>
                                </a:stretch>
                              </pic:blipFill>
                              <pic:spPr>
                                <a:xfrm>
                                  <a:off x="33583" y="562750"/>
                                  <a:ext cx="1114581" cy="43821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54" o:spid="_x0000_s1083" style="width:50.4pt;height:30pt;margin-top:10.9pt;margin-left:6pt;position:absolute;z-index:251731968" coordsize="11481,10009">
                      <o:lock v:ext="edit" aspectratio="t"/>
                      <v:shape id="Picture 88" o:spid="_x0000_s1084" type="#_x0000_t75" style="width:10689;height:4886;mso-wrap-style:square;position:absolute;visibility:visible">
                        <v:imagedata r:id="rId116" o:title=""/>
                      </v:shape>
                      <v:shape id="Picture 90" o:spid="_x0000_s1085" type="#_x0000_t75" style="width:11146;height:4382;left:335;mso-wrap-style:square;position:absolute;top:5627;visibility:visible">
                        <v:imagedata r:id="rId117" o:title=""/>
                      </v:shape>
                    </v:group>
                  </w:pict>
                </mc:Fallback>
              </mc:AlternateContent>
            </w:r>
          </w:p>
        </w:tc>
        <w:tc>
          <w:tcPr>
            <w:tcW w:w="550" w:type="dxa"/>
          </w:tcPr>
          <w:p w:rsidR="005661F2" w:rsidRPr="00D475C9" w:rsidP="005661F2" w14:paraId="7D4E0BCF" w14:textId="0ADE0A1A">
            <w:pPr>
              <w:pStyle w:val="TableParagraph"/>
              <w:spacing w:line="140" w:lineRule="exact"/>
              <w:ind w:left="0" w:right="39"/>
              <w:jc w:val="center"/>
              <w:rPr>
                <w:rFonts w:eastAsia="Times New Roman"/>
                <w:sz w:val="12"/>
                <w:szCs w:val="12"/>
              </w:rPr>
            </w:pPr>
            <w:r w:rsidRPr="00D475C9">
              <w:rPr>
                <w:rFonts w:eastAsia="Times New Roman"/>
                <w:sz w:val="12"/>
                <w:szCs w:val="12"/>
              </w:rPr>
              <w:t>U.S.</w:t>
            </w:r>
          </w:p>
        </w:tc>
        <w:tc>
          <w:tcPr>
            <w:tcW w:w="3487" w:type="dxa"/>
          </w:tcPr>
          <w:p w:rsidR="005661F2" w:rsidRPr="00D475C9" w:rsidP="005661F2" w14:paraId="3628059A" w14:textId="44314906">
            <w:pPr>
              <w:pStyle w:val="TableParagraph"/>
              <w:spacing w:line="252" w:lineRule="auto"/>
              <w:rPr>
                <w:rFonts w:eastAsia="Times New Roman"/>
                <w:sz w:val="12"/>
                <w:szCs w:val="12"/>
              </w:rPr>
            </w:pPr>
            <w:r w:rsidRPr="00D475C9">
              <w:rPr>
                <w:rFonts w:eastAsia="Times New Roman"/>
                <w:sz w:val="12"/>
                <w:szCs w:val="12"/>
              </w:rPr>
              <w:t xml:space="preserve">1. Color coded </w:t>
            </w:r>
            <w:r w:rsidR="004B6E26">
              <w:rPr>
                <w:rFonts w:eastAsia="Times New Roman"/>
                <w:sz w:val="12"/>
                <w:szCs w:val="12"/>
              </w:rPr>
              <w:t>FOP</w:t>
            </w:r>
            <w:r w:rsidRPr="00D475C9">
              <w:rPr>
                <w:rFonts w:eastAsia="Times New Roman"/>
                <w:sz w:val="12"/>
                <w:szCs w:val="12"/>
              </w:rPr>
              <w:t>s more effective than B&amp;W</w:t>
            </w:r>
            <w:r w:rsidRPr="00D475C9">
              <w:rPr>
                <w:rFonts w:eastAsia="Times New Roman"/>
                <w:sz w:val="12"/>
                <w:szCs w:val="12"/>
              </w:rPr>
              <w:br/>
              <w:t xml:space="preserve">2. Participants viewed the NFP label for info on calories, </w:t>
            </w:r>
            <w:r w:rsidRPr="00D475C9">
              <w:rPr>
                <w:rFonts w:eastAsia="Times New Roman"/>
                <w:sz w:val="12"/>
                <w:szCs w:val="12"/>
              </w:rPr>
              <w:t>fat</w:t>
            </w:r>
            <w:r w:rsidRPr="00D475C9">
              <w:rPr>
                <w:rFonts w:eastAsia="Times New Roman"/>
                <w:sz w:val="12"/>
                <w:szCs w:val="12"/>
              </w:rPr>
              <w:t xml:space="preserve"> and sodium more often than the </w:t>
            </w:r>
            <w:r w:rsidR="004B6E26">
              <w:rPr>
                <w:rFonts w:eastAsia="Times New Roman"/>
                <w:sz w:val="12"/>
                <w:szCs w:val="12"/>
              </w:rPr>
              <w:t>FOP</w:t>
            </w:r>
            <w:r w:rsidRPr="00D475C9">
              <w:rPr>
                <w:rFonts w:eastAsia="Times New Roman"/>
                <w:sz w:val="12"/>
                <w:szCs w:val="12"/>
              </w:rPr>
              <w:t>s</w:t>
            </w:r>
            <w:r w:rsidRPr="00D475C9">
              <w:rPr>
                <w:rFonts w:eastAsia="Times New Roman"/>
                <w:sz w:val="12"/>
                <w:szCs w:val="12"/>
              </w:rPr>
              <w:br/>
              <w:t xml:space="preserve">3. Overall, </w:t>
            </w:r>
            <w:r w:rsidR="004B6E26">
              <w:rPr>
                <w:rFonts w:eastAsia="Times New Roman"/>
                <w:sz w:val="12"/>
                <w:szCs w:val="12"/>
              </w:rPr>
              <w:t>FOP</w:t>
            </w:r>
            <w:r w:rsidRPr="00D475C9">
              <w:rPr>
                <w:rFonts w:eastAsia="Times New Roman"/>
                <w:sz w:val="12"/>
                <w:szCs w:val="12"/>
              </w:rPr>
              <w:t>s used to reference nutrients but did not affect choice, product evaluation or nutrition knowledge.</w:t>
            </w:r>
          </w:p>
        </w:tc>
      </w:tr>
      <w:tr w14:paraId="47BBD030" w14:textId="77777777" w:rsidTr="00DF60F4">
        <w:tblPrEx>
          <w:tblW w:w="0" w:type="auto"/>
          <w:tblInd w:w="100" w:type="dxa"/>
          <w:tblLayout w:type="fixed"/>
          <w:tblCellMar>
            <w:left w:w="0" w:type="dxa"/>
            <w:right w:w="0" w:type="dxa"/>
          </w:tblCellMar>
          <w:tblLook w:val="01E0"/>
        </w:tblPrEx>
        <w:trPr>
          <w:trHeight w:val="1128"/>
        </w:trPr>
        <w:tc>
          <w:tcPr>
            <w:tcW w:w="1036" w:type="dxa"/>
          </w:tcPr>
          <w:p w:rsidR="005661F2" w:rsidRPr="00D475C9" w:rsidP="005661F2" w14:paraId="7CFB3054" w14:textId="3C5AA598">
            <w:pPr>
              <w:pStyle w:val="TableParagraph"/>
              <w:spacing w:line="252" w:lineRule="auto"/>
              <w:ind w:right="133"/>
              <w:rPr>
                <w:rFonts w:eastAsia="Times New Roman"/>
                <w:color w:val="000000"/>
                <w:sz w:val="12"/>
                <w:szCs w:val="12"/>
              </w:rPr>
            </w:pPr>
            <w:r w:rsidRPr="00D475C9">
              <w:rPr>
                <w:rFonts w:eastAsia="Times New Roman"/>
                <w:color w:val="000000"/>
                <w:sz w:val="12"/>
                <w:szCs w:val="12"/>
              </w:rPr>
              <w:t>Packer, et al.</w:t>
            </w:r>
          </w:p>
        </w:tc>
        <w:tc>
          <w:tcPr>
            <w:tcW w:w="2101" w:type="dxa"/>
          </w:tcPr>
          <w:p w:rsidR="005661F2" w:rsidRPr="00D475C9" w:rsidP="005661F2" w14:paraId="4B79F795" w14:textId="7C8F98DF">
            <w:pPr>
              <w:pStyle w:val="TableParagraph"/>
              <w:spacing w:line="252" w:lineRule="auto"/>
              <w:ind w:right="102"/>
              <w:rPr>
                <w:rFonts w:eastAsia="Times New Roman"/>
                <w:color w:val="000000"/>
                <w:sz w:val="12"/>
                <w:szCs w:val="12"/>
              </w:rPr>
            </w:pPr>
            <w:r w:rsidRPr="00D475C9">
              <w:rPr>
                <w:rFonts w:eastAsia="Times New Roman"/>
                <w:color w:val="000000"/>
                <w:sz w:val="12"/>
                <w:szCs w:val="12"/>
              </w:rPr>
              <w:t>Secondary Outcomes of a Front-of-Pack-Labelling Randomized Controlled Experiment in a Representative British Sample: Understanding, Ranking Speed and Perceptions</w:t>
            </w:r>
          </w:p>
        </w:tc>
        <w:tc>
          <w:tcPr>
            <w:tcW w:w="333" w:type="dxa"/>
          </w:tcPr>
          <w:p w:rsidR="005661F2" w:rsidRPr="00D475C9" w:rsidP="005661F2" w14:paraId="211BECB7" w14:textId="2BE8AF5B">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5661F2" w:rsidRPr="00D475C9" w:rsidP="005661F2" w14:paraId="4754FD4D" w14:textId="189BF1C7">
            <w:pPr>
              <w:pStyle w:val="TableParagraph"/>
              <w:spacing w:line="252" w:lineRule="auto"/>
              <w:ind w:left="29" w:right="173"/>
              <w:rPr>
                <w:rFonts w:eastAsia="Times New Roman"/>
                <w:sz w:val="12"/>
                <w:szCs w:val="12"/>
              </w:rPr>
            </w:pPr>
            <w:r w:rsidRPr="00D475C9">
              <w:rPr>
                <w:rFonts w:eastAsia="Times New Roman"/>
                <w:sz w:val="12"/>
                <w:szCs w:val="12"/>
              </w:rPr>
              <w:t>Qualitative and Quantitative</w:t>
            </w:r>
            <w:r w:rsidRPr="00D475C9">
              <w:rPr>
                <w:rFonts w:eastAsia="Times New Roman"/>
                <w:sz w:val="12"/>
                <w:szCs w:val="12"/>
              </w:rPr>
              <w:br/>
              <w:t>1. 4530 Participants randomized to one of 5 experimental groups, viewed 3 product labels; assessed ability to rank healthiest products, time to complete the rankings, and a descriptive analysis of the perceptions.</w:t>
            </w:r>
          </w:p>
        </w:tc>
        <w:tc>
          <w:tcPr>
            <w:tcW w:w="1199" w:type="dxa"/>
          </w:tcPr>
          <w:p w:rsidR="005661F2" w:rsidRPr="00D475C9" w:rsidP="005661F2" w14:paraId="22863E21" w14:textId="31CB5188">
            <w:pPr>
              <w:pStyle w:val="TableParagraph"/>
              <w:spacing w:line="252" w:lineRule="auto"/>
              <w:ind w:right="121"/>
              <w:rPr>
                <w:rFonts w:eastAsia="Times New Roman"/>
                <w:sz w:val="12"/>
                <w:szCs w:val="12"/>
              </w:rPr>
            </w:pPr>
            <w:r w:rsidRPr="00D475C9">
              <w:rPr>
                <w:rFonts w:eastAsia="Times New Roman"/>
                <w:sz w:val="12"/>
                <w:szCs w:val="12"/>
              </w:rPr>
              <w:t xml:space="preserve">1. </w:t>
            </w:r>
            <w:r w:rsidR="004B6E26">
              <w:rPr>
                <w:rFonts w:eastAsia="Times New Roman"/>
                <w:sz w:val="12"/>
                <w:szCs w:val="12"/>
              </w:rPr>
              <w:t>Nutri-Score</w:t>
            </w:r>
            <w:r w:rsidRPr="00D475C9">
              <w:rPr>
                <w:rFonts w:eastAsia="Times New Roman"/>
                <w:sz w:val="12"/>
                <w:szCs w:val="12"/>
              </w:rPr>
              <w:t xml:space="preserve"> (NS)</w:t>
            </w:r>
            <w:r w:rsidRPr="00D475C9">
              <w:rPr>
                <w:rFonts w:eastAsia="Times New Roman"/>
                <w:sz w:val="12"/>
                <w:szCs w:val="12"/>
              </w:rPr>
              <w:br/>
              <w:t>2. Multiple Traffic Lights (MTL)</w:t>
            </w:r>
            <w:r w:rsidRPr="00D475C9">
              <w:rPr>
                <w:rFonts w:eastAsia="Times New Roman"/>
                <w:sz w:val="12"/>
                <w:szCs w:val="12"/>
              </w:rPr>
              <w:br/>
              <w:t>3. Warning Label (WL)</w:t>
            </w:r>
            <w:r w:rsidRPr="00D475C9">
              <w:rPr>
                <w:rFonts w:eastAsia="Times New Roman"/>
                <w:sz w:val="12"/>
                <w:szCs w:val="12"/>
              </w:rPr>
              <w:br/>
              <w:t>4. Positive Choice tick (PC)</w:t>
            </w:r>
          </w:p>
        </w:tc>
        <w:tc>
          <w:tcPr>
            <w:tcW w:w="1204" w:type="dxa"/>
          </w:tcPr>
          <w:p w:rsidR="005661F2" w:rsidRPr="00D475C9" w:rsidP="005661F2" w14:paraId="130A3296" w14:textId="10218E6B">
            <w:pPr>
              <w:spacing w:after="0" w:line="240" w:lineRule="auto"/>
              <w:rPr>
                <w:rFonts w:ascii="Calibri" w:eastAsia="Times New Roman" w:hAnsi="Calibri" w:cs="Calibri"/>
                <w:noProof/>
                <w:color w:val="000000"/>
                <w:sz w:val="12"/>
                <w:szCs w:val="12"/>
                <w:lang w:eastAsia="en-US"/>
              </w:rPr>
            </w:pPr>
            <w:r w:rsidRPr="00D475C9">
              <w:rPr>
                <w:rFonts w:ascii="Calibri" w:eastAsia="Times New Roman" w:hAnsi="Calibri" w:cs="Calibri"/>
                <w:color w:val="000000"/>
                <w:sz w:val="12"/>
                <w:szCs w:val="12"/>
                <w:lang w:eastAsia="en-US"/>
              </w:rPr>
              <w:t>No image available</w:t>
            </w:r>
          </w:p>
        </w:tc>
        <w:tc>
          <w:tcPr>
            <w:tcW w:w="550" w:type="dxa"/>
          </w:tcPr>
          <w:p w:rsidR="005661F2" w:rsidRPr="00D475C9" w:rsidP="005661F2" w14:paraId="0943599F" w14:textId="72614994">
            <w:pPr>
              <w:pStyle w:val="TableParagraph"/>
              <w:spacing w:line="140" w:lineRule="exact"/>
              <w:ind w:left="0" w:right="39"/>
              <w:jc w:val="center"/>
              <w:rPr>
                <w:rFonts w:eastAsia="Times New Roman"/>
                <w:sz w:val="12"/>
                <w:szCs w:val="12"/>
              </w:rPr>
            </w:pPr>
            <w:r w:rsidRPr="00D475C9">
              <w:rPr>
                <w:rFonts w:eastAsia="Times New Roman"/>
                <w:sz w:val="12"/>
                <w:szCs w:val="12"/>
              </w:rPr>
              <w:t>U.K.</w:t>
            </w:r>
          </w:p>
        </w:tc>
        <w:tc>
          <w:tcPr>
            <w:tcW w:w="3487" w:type="dxa"/>
          </w:tcPr>
          <w:p w:rsidR="005661F2" w:rsidRPr="00D475C9" w:rsidP="005661F2" w14:paraId="77D1D3EB" w14:textId="080C828B">
            <w:pPr>
              <w:pStyle w:val="TableParagraph"/>
              <w:spacing w:line="252" w:lineRule="auto"/>
              <w:rPr>
                <w:rFonts w:eastAsia="Times New Roman"/>
                <w:sz w:val="12"/>
                <w:szCs w:val="12"/>
              </w:rPr>
            </w:pPr>
            <w:r w:rsidRPr="00D475C9">
              <w:rPr>
                <w:rFonts w:eastAsia="Times New Roman"/>
                <w:sz w:val="12"/>
                <w:szCs w:val="12"/>
              </w:rPr>
              <w:t xml:space="preserve">1. Probability of correctly ranking healthiest product significantly greater for all </w:t>
            </w:r>
            <w:r w:rsidR="004B6E26">
              <w:rPr>
                <w:rFonts w:eastAsia="Times New Roman"/>
                <w:sz w:val="12"/>
                <w:szCs w:val="12"/>
              </w:rPr>
              <w:t>FOP</w:t>
            </w:r>
            <w:r w:rsidRPr="00D475C9">
              <w:rPr>
                <w:rFonts w:eastAsia="Times New Roman"/>
                <w:sz w:val="12"/>
                <w:szCs w:val="12"/>
              </w:rPr>
              <w:t>s compared to control, with NS consistently performing best</w:t>
            </w:r>
            <w:r w:rsidRPr="00D475C9">
              <w:rPr>
                <w:rFonts w:eastAsia="Times New Roman"/>
                <w:sz w:val="12"/>
                <w:szCs w:val="12"/>
              </w:rPr>
              <w:br/>
              <w:t>2. Time was fastest for NS, PC, and control.</w:t>
            </w:r>
            <w:r w:rsidRPr="00D475C9">
              <w:rPr>
                <w:rFonts w:eastAsia="Times New Roman"/>
                <w:sz w:val="12"/>
                <w:szCs w:val="12"/>
              </w:rPr>
              <w:br/>
              <w:t xml:space="preserve">3. </w:t>
            </w:r>
            <w:r w:rsidR="004B6E26">
              <w:rPr>
                <w:rFonts w:eastAsia="Times New Roman"/>
                <w:sz w:val="12"/>
                <w:szCs w:val="12"/>
              </w:rPr>
              <w:t>FOP</w:t>
            </w:r>
            <w:r w:rsidRPr="00D475C9">
              <w:rPr>
                <w:rFonts w:eastAsia="Times New Roman"/>
                <w:sz w:val="12"/>
                <w:szCs w:val="12"/>
              </w:rPr>
              <w:t>s were perceived favorably, especially NS and MTL.</w:t>
            </w:r>
          </w:p>
        </w:tc>
      </w:tr>
      <w:tr w14:paraId="71CB0515" w14:textId="77777777" w:rsidTr="00DF60F4">
        <w:tblPrEx>
          <w:tblW w:w="0" w:type="auto"/>
          <w:tblInd w:w="100" w:type="dxa"/>
          <w:tblLayout w:type="fixed"/>
          <w:tblCellMar>
            <w:left w:w="0" w:type="dxa"/>
            <w:right w:w="0" w:type="dxa"/>
          </w:tblCellMar>
          <w:tblLook w:val="01E0"/>
        </w:tblPrEx>
        <w:trPr>
          <w:trHeight w:val="1128"/>
        </w:trPr>
        <w:tc>
          <w:tcPr>
            <w:tcW w:w="1036" w:type="dxa"/>
          </w:tcPr>
          <w:p w:rsidR="005661F2" w:rsidRPr="00D475C9" w:rsidP="005661F2" w14:paraId="1E83F000" w14:textId="4542849F">
            <w:pPr>
              <w:pStyle w:val="TableParagraph"/>
              <w:spacing w:line="252" w:lineRule="auto"/>
              <w:ind w:right="133"/>
              <w:rPr>
                <w:rFonts w:eastAsia="Times New Roman"/>
                <w:color w:val="000000"/>
                <w:sz w:val="12"/>
                <w:szCs w:val="12"/>
              </w:rPr>
            </w:pPr>
            <w:r w:rsidRPr="00D475C9">
              <w:rPr>
                <w:rFonts w:eastAsia="Times New Roman"/>
                <w:color w:val="000000"/>
                <w:sz w:val="12"/>
                <w:szCs w:val="12"/>
              </w:rPr>
              <w:t>Pettigrew, et al.</w:t>
            </w:r>
          </w:p>
        </w:tc>
        <w:tc>
          <w:tcPr>
            <w:tcW w:w="2101" w:type="dxa"/>
          </w:tcPr>
          <w:p w:rsidR="005661F2" w:rsidRPr="00D475C9" w:rsidP="005661F2" w14:paraId="469AFE00" w14:textId="23E6977D">
            <w:pPr>
              <w:pStyle w:val="TableParagraph"/>
              <w:spacing w:line="252" w:lineRule="auto"/>
              <w:ind w:right="102"/>
              <w:rPr>
                <w:rFonts w:eastAsia="Times New Roman"/>
                <w:color w:val="000000"/>
                <w:sz w:val="12"/>
                <w:szCs w:val="12"/>
              </w:rPr>
            </w:pPr>
            <w:r w:rsidRPr="00D475C9">
              <w:rPr>
                <w:rFonts w:eastAsia="Times New Roman"/>
                <w:color w:val="000000"/>
                <w:sz w:val="12"/>
                <w:szCs w:val="12"/>
              </w:rPr>
              <w:t>An 18-country analysis of the effectiveness of five front-of-pack nutrition labels</w:t>
            </w:r>
          </w:p>
        </w:tc>
        <w:tc>
          <w:tcPr>
            <w:tcW w:w="333" w:type="dxa"/>
          </w:tcPr>
          <w:p w:rsidR="005661F2" w:rsidRPr="00D475C9" w:rsidP="005661F2" w14:paraId="430F2336" w14:textId="604E5413">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5661F2" w:rsidRPr="00D475C9" w:rsidP="005661F2" w14:paraId="36C6A6F5" w14:textId="7E192966">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 xml:space="preserve">1. </w:t>
            </w:r>
            <w:r w:rsidR="00580E90">
              <w:rPr>
                <w:rFonts w:eastAsia="Times New Roman"/>
                <w:sz w:val="12"/>
                <w:szCs w:val="12"/>
              </w:rPr>
              <w:t xml:space="preserve">18,393 </w:t>
            </w:r>
            <w:r w:rsidRPr="00D475C9">
              <w:rPr>
                <w:rFonts w:eastAsia="Times New Roman"/>
                <w:sz w:val="12"/>
                <w:szCs w:val="12"/>
              </w:rPr>
              <w:t xml:space="preserve">participants viewed products with and without </w:t>
            </w:r>
            <w:r w:rsidR="004B6E26">
              <w:rPr>
                <w:rFonts w:eastAsia="Times New Roman"/>
                <w:sz w:val="12"/>
                <w:szCs w:val="12"/>
              </w:rPr>
              <w:t>FOP</w:t>
            </w:r>
            <w:r w:rsidRPr="00D475C9">
              <w:rPr>
                <w:rFonts w:eastAsia="Times New Roman"/>
                <w:sz w:val="12"/>
                <w:szCs w:val="12"/>
              </w:rPr>
              <w:t>s; asked which they would buy and to rank the product's nutritional quality.</w:t>
            </w:r>
            <w:r w:rsidRPr="00D475C9">
              <w:rPr>
                <w:rFonts w:eastAsia="Times New Roman"/>
                <w:sz w:val="12"/>
                <w:szCs w:val="12"/>
              </w:rPr>
              <w:br/>
              <w:t xml:space="preserve">2. 12 choice sets presented to participants: one for understanding, one each for each of 3 product categories, both with and without </w:t>
            </w:r>
            <w:r w:rsidR="004B6E26">
              <w:rPr>
                <w:rFonts w:eastAsia="Times New Roman"/>
                <w:sz w:val="12"/>
                <w:szCs w:val="12"/>
              </w:rPr>
              <w:t>FOP</w:t>
            </w:r>
            <w:r>
              <w:rPr>
                <w:rFonts w:eastAsia="Times New Roman"/>
                <w:sz w:val="12"/>
                <w:szCs w:val="12"/>
              </w:rPr>
              <w:t>s</w:t>
            </w:r>
          </w:p>
        </w:tc>
        <w:tc>
          <w:tcPr>
            <w:tcW w:w="1199" w:type="dxa"/>
          </w:tcPr>
          <w:p w:rsidR="005661F2" w:rsidRPr="00D475C9" w:rsidP="005661F2" w14:paraId="7DFFE4C2" w14:textId="26562C03">
            <w:pPr>
              <w:pStyle w:val="TableParagraph"/>
              <w:spacing w:line="252" w:lineRule="auto"/>
              <w:ind w:right="121"/>
              <w:rPr>
                <w:rFonts w:eastAsia="Times New Roman"/>
                <w:sz w:val="12"/>
                <w:szCs w:val="12"/>
              </w:rPr>
            </w:pPr>
            <w:r w:rsidRPr="00D475C9">
              <w:rPr>
                <w:rFonts w:eastAsia="Times New Roman"/>
                <w:sz w:val="12"/>
                <w:szCs w:val="12"/>
              </w:rPr>
              <w:t>1. Health Star Rating (HSR)</w:t>
            </w:r>
            <w:r w:rsidRPr="00D475C9">
              <w:rPr>
                <w:rFonts w:eastAsia="Times New Roman"/>
                <w:sz w:val="12"/>
                <w:szCs w:val="12"/>
              </w:rPr>
              <w:br/>
              <w:t>2. Multiple Traffic Lights (MTL)</w:t>
            </w:r>
            <w:r w:rsidRPr="00D475C9">
              <w:rPr>
                <w:rFonts w:eastAsia="Times New Roman"/>
                <w:sz w:val="12"/>
                <w:szCs w:val="12"/>
              </w:rPr>
              <w:br/>
              <w:t xml:space="preserve">3. </w:t>
            </w:r>
            <w:r w:rsidR="004B6E26">
              <w:rPr>
                <w:rFonts w:eastAsia="Times New Roman"/>
                <w:sz w:val="12"/>
                <w:szCs w:val="12"/>
              </w:rPr>
              <w:t>Nutri-Score</w:t>
            </w:r>
            <w:r w:rsidRPr="00D475C9">
              <w:rPr>
                <w:rFonts w:eastAsia="Times New Roman"/>
                <w:sz w:val="12"/>
                <w:szCs w:val="12"/>
              </w:rPr>
              <w:br/>
              <w:t>4. Reference Intakes</w:t>
            </w:r>
            <w:r w:rsidRPr="00D475C9">
              <w:rPr>
                <w:rFonts w:eastAsia="Times New Roman"/>
                <w:sz w:val="12"/>
                <w:szCs w:val="12"/>
              </w:rPr>
              <w:br/>
              <w:t>5. Warning Label</w:t>
            </w:r>
          </w:p>
        </w:tc>
        <w:tc>
          <w:tcPr>
            <w:tcW w:w="1204" w:type="dxa"/>
          </w:tcPr>
          <w:p w:rsidR="005661F2" w:rsidRPr="00D475C9" w:rsidP="005661F2" w14:paraId="5CF7EBEC" w14:textId="2C11A09D">
            <w:pPr>
              <w:spacing w:after="0" w:line="240" w:lineRule="auto"/>
              <w:rPr>
                <w:rFonts w:ascii="Calibri" w:eastAsia="Times New Roman" w:hAnsi="Calibri" w:cs="Calibri"/>
                <w:noProof/>
                <w:color w:val="000000"/>
                <w:sz w:val="12"/>
                <w:szCs w:val="12"/>
                <w:lang w:eastAsia="en-US"/>
              </w:rPr>
            </w:pPr>
            <w:r w:rsidRPr="00D475C9">
              <w:rPr>
                <w:rFonts w:ascii="Calibri" w:eastAsia="Times New Roman" w:hAnsi="Calibri" w:cs="Calibri"/>
                <w:noProof/>
                <w:color w:val="000000"/>
                <w:sz w:val="12"/>
                <w:szCs w:val="12"/>
                <w:lang w:eastAsia="en-US"/>
              </w:rPr>
              <mc:AlternateContent>
                <mc:Choice Requires="wpg">
                  <w:drawing>
                    <wp:anchor distT="0" distB="0" distL="114300" distR="114300" simplePos="0" relativeHeight="251732992" behindDoc="0" locked="0" layoutInCell="1" allowOverlap="1">
                      <wp:simplePos x="0" y="0"/>
                      <wp:positionH relativeFrom="column">
                        <wp:posOffset>19050</wp:posOffset>
                      </wp:positionH>
                      <wp:positionV relativeFrom="paragraph">
                        <wp:posOffset>16510</wp:posOffset>
                      </wp:positionV>
                      <wp:extent cx="640080" cy="400050"/>
                      <wp:effectExtent l="0" t="0" r="7620" b="0"/>
                      <wp:wrapNone/>
                      <wp:docPr id="52" name="Group 52"/>
                      <wp:cNvGraphicFramePr>
                        <a:graphicFrameLocks xmlns:a="http://schemas.openxmlformats.org/drawingml/2006/main" noChangeAspect="1"/>
                      </wp:cNvGraphicFramePr>
                      <a:graphic xmlns:a="http://schemas.openxmlformats.org/drawingml/2006/main">
                        <a:graphicData uri="http://schemas.microsoft.com/office/word/2010/wordprocessingGroup">
                          <wpg:wgp xmlns:wpg="http://schemas.microsoft.com/office/word/2010/wordprocessingGroup">
                            <wpg:cNvGrpSpPr>
                              <a:grpSpLocks noChangeAspect="1"/>
                            </wpg:cNvGrpSpPr>
                            <wpg:grpSpPr>
                              <a:xfrm>
                                <a:off x="0" y="0"/>
                                <a:ext cx="640080" cy="400050"/>
                                <a:chOff x="0" y="0"/>
                                <a:chExt cx="1892582" cy="1133170"/>
                              </a:xfrm>
                            </wpg:grpSpPr>
                            <pic:pic xmlns:pic="http://schemas.openxmlformats.org/drawingml/2006/picture">
                              <pic:nvPicPr>
                                <pic:cNvPr id="84" name="Picture 84"/>
                                <pic:cNvPicPr>
                                  <a:picLocks noChangeAspect="1"/>
                                </pic:cNvPicPr>
                              </pic:nvPicPr>
                              <pic:blipFill>
                                <a:blip xmlns:r="http://schemas.openxmlformats.org/officeDocument/2006/relationships" r:embed="rId118" cstate="print">
                                  <a:extLst>
                                    <a:ext xmlns:a="http://schemas.openxmlformats.org/drawingml/2006/main" uri="{28A0092B-C50C-407E-A947-70E740481C1C}">
                                      <a14:useLocalDpi xmlns:a14="http://schemas.microsoft.com/office/drawing/2010/main" val="0"/>
                                    </a:ext>
                                  </a:extLst>
                                </a:blip>
                                <a:stretch>
                                  <a:fillRect/>
                                </a:stretch>
                              </pic:blipFill>
                              <pic:spPr>
                                <a:xfrm>
                                  <a:off x="1056499" y="103998"/>
                                  <a:ext cx="836083" cy="814781"/>
                                </a:xfrm>
                                <a:prstGeom prst="rect">
                                  <a:avLst/>
                                </a:prstGeom>
                              </pic:spPr>
                            </pic:pic>
                            <pic:pic xmlns:pic="http://schemas.openxmlformats.org/drawingml/2006/picture">
                              <pic:nvPicPr>
                                <pic:cNvPr id="86" name="Picture 86"/>
                                <pic:cNvPicPr>
                                  <a:picLocks noChangeAspect="1"/>
                                </pic:cNvPicPr>
                              </pic:nvPicPr>
                              <pic:blipFill>
                                <a:blip xmlns:r="http://schemas.openxmlformats.org/officeDocument/2006/relationships" r:embed="rId1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866000" cy="11331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52" o:spid="_x0000_s1086" style="width:50.4pt;height:31.5pt;margin-top:1.3pt;margin-left:1.5pt;position:absolute;z-index:251734016" coordsize="18925,11331">
                      <o:lock v:ext="edit" aspectratio="t"/>
                      <v:shape id="Picture 84" o:spid="_x0000_s1087" type="#_x0000_t75" style="width:8361;height:8148;left:10564;mso-wrap-style:square;position:absolute;top:1039;visibility:visible">
                        <v:imagedata r:id="rId118" o:title=""/>
                      </v:shape>
                      <v:shape id="Picture 86" o:spid="_x0000_s1088" type="#_x0000_t75" style="width:8660;height:11331;mso-wrap-style:square;position:absolute;visibility:visible">
                        <v:imagedata r:id="rId119" o:title=""/>
                      </v:shape>
                    </v:group>
                  </w:pict>
                </mc:Fallback>
              </mc:AlternateContent>
            </w:r>
          </w:p>
        </w:tc>
        <w:tc>
          <w:tcPr>
            <w:tcW w:w="550" w:type="dxa"/>
          </w:tcPr>
          <w:p w:rsidR="005661F2" w:rsidRPr="00D475C9" w:rsidP="005661F2" w14:paraId="2E22A9E8" w14:textId="5975C46B">
            <w:pPr>
              <w:pStyle w:val="TableParagraph"/>
              <w:spacing w:line="140" w:lineRule="exact"/>
              <w:ind w:left="0" w:right="39"/>
              <w:jc w:val="center"/>
              <w:rPr>
                <w:rFonts w:eastAsia="Times New Roman"/>
                <w:sz w:val="12"/>
                <w:szCs w:val="12"/>
              </w:rPr>
            </w:pPr>
            <w:r w:rsidRPr="00D475C9">
              <w:rPr>
                <w:rFonts w:eastAsia="Times New Roman"/>
                <w:sz w:val="12"/>
                <w:szCs w:val="12"/>
              </w:rPr>
              <w:t>Argentina, Australia, Belgium, Bulgaria, Canada, Denmark, France, Germany, Italy, Mexico, Netherlands, Poland, Portugal, Singapore, Spain, Switzerland, UK, USA</w:t>
            </w:r>
          </w:p>
        </w:tc>
        <w:tc>
          <w:tcPr>
            <w:tcW w:w="3487" w:type="dxa"/>
          </w:tcPr>
          <w:p w:rsidR="005661F2" w:rsidRPr="00D475C9" w:rsidP="005661F2" w14:paraId="02DCF5B6" w14:textId="52E32F9A">
            <w:pPr>
              <w:pStyle w:val="TableParagraph"/>
              <w:spacing w:line="252" w:lineRule="auto"/>
              <w:rPr>
                <w:rFonts w:eastAsia="Times New Roman"/>
                <w:sz w:val="12"/>
                <w:szCs w:val="12"/>
              </w:rPr>
            </w:pPr>
            <w:r w:rsidRPr="00D475C9">
              <w:rPr>
                <w:rFonts w:eastAsia="Times New Roman"/>
                <w:sz w:val="12"/>
                <w:szCs w:val="12"/>
              </w:rPr>
              <w:t>1. Largest improvements in ability to identify healthiest product AND unhealthiest product seen for NS, followed by MTL</w:t>
            </w:r>
            <w:r w:rsidRPr="00D475C9">
              <w:rPr>
                <w:rFonts w:eastAsia="Times New Roman"/>
                <w:sz w:val="12"/>
                <w:szCs w:val="12"/>
              </w:rPr>
              <w:br/>
              <w:t>2. NS and MTL associated with largest improvement in choice of healthiest and non-choice of the unhealthiest options</w:t>
            </w:r>
            <w:r w:rsidRPr="00D475C9">
              <w:rPr>
                <w:rFonts w:eastAsia="Times New Roman"/>
                <w:sz w:val="12"/>
                <w:szCs w:val="12"/>
              </w:rPr>
              <w:br/>
              <w:t xml:space="preserve">3. Most effective </w:t>
            </w:r>
            <w:r w:rsidR="004B6E26">
              <w:rPr>
                <w:rFonts w:eastAsia="Times New Roman"/>
                <w:sz w:val="12"/>
                <w:szCs w:val="12"/>
              </w:rPr>
              <w:t>FOP</w:t>
            </w:r>
            <w:r>
              <w:rPr>
                <w:rFonts w:eastAsia="Times New Roman"/>
                <w:sz w:val="12"/>
                <w:szCs w:val="12"/>
              </w:rPr>
              <w:t>s</w:t>
            </w:r>
            <w:r w:rsidRPr="00D475C9">
              <w:rPr>
                <w:rFonts w:eastAsia="Times New Roman"/>
                <w:sz w:val="12"/>
                <w:szCs w:val="12"/>
              </w:rPr>
              <w:t xml:space="preserve"> featured color-coded spectrum designs</w:t>
            </w:r>
          </w:p>
        </w:tc>
      </w:tr>
      <w:tr w14:paraId="373BECD4" w14:textId="77777777" w:rsidTr="00DF60F4">
        <w:tblPrEx>
          <w:tblW w:w="0" w:type="auto"/>
          <w:tblInd w:w="100" w:type="dxa"/>
          <w:tblLayout w:type="fixed"/>
          <w:tblCellMar>
            <w:left w:w="0" w:type="dxa"/>
            <w:right w:w="0" w:type="dxa"/>
          </w:tblCellMar>
          <w:tblLook w:val="01E0"/>
        </w:tblPrEx>
        <w:trPr>
          <w:trHeight w:val="1128"/>
        </w:trPr>
        <w:tc>
          <w:tcPr>
            <w:tcW w:w="1036" w:type="dxa"/>
          </w:tcPr>
          <w:p w:rsidR="005661F2" w:rsidRPr="00D475C9" w:rsidP="005661F2" w14:paraId="4673404B" w14:textId="679E2071">
            <w:pPr>
              <w:pStyle w:val="TableParagraph"/>
              <w:spacing w:line="252" w:lineRule="auto"/>
              <w:ind w:right="133"/>
              <w:rPr>
                <w:rFonts w:eastAsia="Times New Roman"/>
                <w:color w:val="000000"/>
                <w:sz w:val="12"/>
                <w:szCs w:val="12"/>
              </w:rPr>
            </w:pPr>
            <w:r w:rsidRPr="00D475C9">
              <w:rPr>
                <w:rFonts w:eastAsia="Times New Roman"/>
                <w:color w:val="000000"/>
                <w:sz w:val="12"/>
                <w:szCs w:val="12"/>
              </w:rPr>
              <w:t>Riccò, et al.</w:t>
            </w:r>
          </w:p>
        </w:tc>
        <w:tc>
          <w:tcPr>
            <w:tcW w:w="2101" w:type="dxa"/>
          </w:tcPr>
          <w:p w:rsidR="005661F2" w:rsidRPr="00D475C9" w:rsidP="005661F2" w14:paraId="4E765583" w14:textId="70A60FD8">
            <w:pPr>
              <w:pStyle w:val="TableParagraph"/>
              <w:spacing w:line="252" w:lineRule="auto"/>
              <w:ind w:right="102"/>
              <w:rPr>
                <w:rFonts w:eastAsia="Times New Roman"/>
                <w:color w:val="000000"/>
                <w:sz w:val="12"/>
                <w:szCs w:val="12"/>
              </w:rPr>
            </w:pPr>
            <w:r w:rsidRPr="00D475C9">
              <w:rPr>
                <w:rFonts w:eastAsia="Times New Roman"/>
                <w:color w:val="000000"/>
                <w:sz w:val="12"/>
                <w:szCs w:val="12"/>
              </w:rPr>
              <w:t xml:space="preserve">Understanding of the </w:t>
            </w:r>
            <w:r w:rsidR="004B6E26">
              <w:rPr>
                <w:rFonts w:eastAsia="Times New Roman"/>
                <w:color w:val="000000"/>
                <w:sz w:val="12"/>
                <w:szCs w:val="12"/>
              </w:rPr>
              <w:t>Nutri-Score</w:t>
            </w:r>
            <w:r w:rsidRPr="00D475C9">
              <w:rPr>
                <w:rFonts w:eastAsia="Times New Roman"/>
                <w:color w:val="000000"/>
                <w:sz w:val="12"/>
                <w:szCs w:val="12"/>
              </w:rPr>
              <w:t xml:space="preserve"> front-of-pack label by Italian Medical Professionals and its effect on food choices: a web-based study on knowledge, </w:t>
            </w:r>
            <w:r w:rsidRPr="00D475C9">
              <w:rPr>
                <w:rFonts w:eastAsia="Times New Roman"/>
                <w:color w:val="000000"/>
                <w:sz w:val="12"/>
                <w:szCs w:val="12"/>
              </w:rPr>
              <w:t>attitudes</w:t>
            </w:r>
            <w:r w:rsidRPr="00D475C9">
              <w:rPr>
                <w:rFonts w:eastAsia="Times New Roman"/>
                <w:color w:val="000000"/>
                <w:sz w:val="12"/>
                <w:szCs w:val="12"/>
              </w:rPr>
              <w:t xml:space="preserve"> and practices</w:t>
            </w:r>
          </w:p>
        </w:tc>
        <w:tc>
          <w:tcPr>
            <w:tcW w:w="333" w:type="dxa"/>
          </w:tcPr>
          <w:p w:rsidR="005661F2" w:rsidRPr="00D475C9" w:rsidP="005661F2" w14:paraId="2CBB5B62" w14:textId="5AFBD30A">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5661F2" w:rsidRPr="00D475C9" w:rsidP="005661F2" w14:paraId="2AAD7B72" w14:textId="6EFFB3C9">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 xml:space="preserve">1. 153 medical professionals completed a questionnaire assessing knowledge of </w:t>
            </w:r>
            <w:r w:rsidR="004B6E26">
              <w:rPr>
                <w:rFonts w:eastAsia="Times New Roman"/>
                <w:sz w:val="12"/>
                <w:szCs w:val="12"/>
              </w:rPr>
              <w:t>Nutri-Score</w:t>
            </w:r>
            <w:r w:rsidRPr="00D475C9">
              <w:rPr>
                <w:rFonts w:eastAsia="Times New Roman"/>
                <w:sz w:val="12"/>
                <w:szCs w:val="12"/>
              </w:rPr>
              <w:t xml:space="preserve">, overall understanding of its conceptual issues, usefulness of </w:t>
            </w:r>
            <w:r w:rsidR="004B6E26">
              <w:rPr>
                <w:rFonts w:eastAsia="Times New Roman"/>
                <w:sz w:val="12"/>
                <w:szCs w:val="12"/>
              </w:rPr>
              <w:t>FOP</w:t>
            </w:r>
            <w:r>
              <w:rPr>
                <w:rFonts w:eastAsia="Times New Roman"/>
                <w:sz w:val="12"/>
                <w:szCs w:val="12"/>
              </w:rPr>
              <w:t>s</w:t>
            </w:r>
            <w:r w:rsidRPr="00D475C9">
              <w:rPr>
                <w:rFonts w:eastAsia="Times New Roman"/>
                <w:sz w:val="12"/>
                <w:szCs w:val="12"/>
              </w:rPr>
              <w:t>, and acceptance as a guide for nutritional choices.</w:t>
            </w:r>
          </w:p>
        </w:tc>
        <w:tc>
          <w:tcPr>
            <w:tcW w:w="1199" w:type="dxa"/>
          </w:tcPr>
          <w:p w:rsidR="005661F2" w:rsidRPr="00D475C9" w:rsidP="005661F2" w14:paraId="5C658AC5" w14:textId="62A12027">
            <w:pPr>
              <w:pStyle w:val="TableParagraph"/>
              <w:spacing w:line="252" w:lineRule="auto"/>
              <w:ind w:right="121"/>
              <w:rPr>
                <w:rFonts w:eastAsia="Times New Roman"/>
                <w:sz w:val="12"/>
                <w:szCs w:val="12"/>
              </w:rPr>
            </w:pPr>
            <w:r w:rsidRPr="00D475C9">
              <w:rPr>
                <w:rFonts w:eastAsia="Times New Roman"/>
                <w:sz w:val="12"/>
                <w:szCs w:val="12"/>
              </w:rPr>
              <w:t xml:space="preserve">1. </w:t>
            </w:r>
            <w:r w:rsidR="004B6E26">
              <w:rPr>
                <w:rFonts w:eastAsia="Times New Roman"/>
                <w:sz w:val="12"/>
                <w:szCs w:val="12"/>
              </w:rPr>
              <w:t>Nutri-Score</w:t>
            </w:r>
            <w:r w:rsidRPr="00D475C9">
              <w:rPr>
                <w:rFonts w:eastAsia="Times New Roman"/>
                <w:sz w:val="12"/>
                <w:szCs w:val="12"/>
              </w:rPr>
              <w:t xml:space="preserve"> (NS)</w:t>
            </w:r>
          </w:p>
        </w:tc>
        <w:tc>
          <w:tcPr>
            <w:tcW w:w="1204" w:type="dxa"/>
          </w:tcPr>
          <w:p w:rsidR="005661F2" w:rsidRPr="00D475C9" w:rsidP="005661F2" w14:paraId="3E8996E9" w14:textId="79AE3FA6">
            <w:pPr>
              <w:spacing w:after="0" w:line="240" w:lineRule="auto"/>
              <w:rPr>
                <w:rFonts w:ascii="Calibri" w:eastAsia="Times New Roman" w:hAnsi="Calibri" w:cs="Calibri"/>
                <w:noProof/>
                <w:color w:val="000000"/>
                <w:sz w:val="12"/>
                <w:szCs w:val="12"/>
                <w:lang w:eastAsia="en-US"/>
              </w:rPr>
            </w:pPr>
            <w:r w:rsidRPr="00D475C9">
              <w:rPr>
                <w:rFonts w:ascii="Calibri" w:eastAsia="Times New Roman" w:hAnsi="Calibri" w:cs="Calibri"/>
                <w:noProof/>
                <w:color w:val="000000"/>
                <w:sz w:val="12"/>
                <w:szCs w:val="12"/>
                <w:lang w:eastAsia="en-US"/>
              </w:rPr>
              <w:drawing>
                <wp:anchor distT="0" distB="0" distL="114300" distR="114300" simplePos="0" relativeHeight="251735040" behindDoc="0" locked="0" layoutInCell="1" allowOverlap="1">
                  <wp:simplePos x="0" y="0"/>
                  <wp:positionH relativeFrom="column">
                    <wp:posOffset>66040</wp:posOffset>
                  </wp:positionH>
                  <wp:positionV relativeFrom="paragraph">
                    <wp:posOffset>84455</wp:posOffset>
                  </wp:positionV>
                  <wp:extent cx="640080" cy="192024"/>
                  <wp:effectExtent l="0" t="0" r="7620" b="0"/>
                  <wp:wrapNone/>
                  <wp:docPr id="50" name="Picture 50" descr="Graphical user interface&#10;&#10;Description automatically generated with medium confidence">
                    <a:extLst xmlns:a="http://schemas.openxmlformats.org/drawingml/2006/main">
                      <a:ext xmlns:a="http://schemas.openxmlformats.org/drawingml/2006/main" uri="{FF2B5EF4-FFF2-40B4-BE49-F238E27FC236}">
                        <a16:creationId xmlns:a16="http://schemas.microsoft.com/office/drawing/2014/main" id="{04833AF8-41C6-4DA5-857B-AD5E2B9E9A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 descr="Graphical user interface&#10;&#10;Description automatically generated with medium confidence">
                            <a:extLst>
                              <a:ext xmlns:a="http://schemas.openxmlformats.org/drawingml/2006/main" uri="{FF2B5EF4-FFF2-40B4-BE49-F238E27FC236}">
                                <a16:creationId xmlns:a16="http://schemas.microsoft.com/office/drawing/2014/main" id="{04833AF8-41C6-4DA5-857B-AD5E2B9E9AA4}"/>
                              </a:ext>
                            </a:extLst>
                          </pic:cNvPr>
                          <pic:cNvPicPr>
                            <a:picLocks noChangeAspect="1" noChangeArrowheads="1"/>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40080" cy="192024"/>
                          </a:xfrm>
                          <a:prstGeom prst="rect">
                            <a:avLst/>
                          </a:prstGeom>
                          <a:noFill/>
                        </pic:spPr>
                      </pic:pic>
                    </a:graphicData>
                  </a:graphic>
                  <wp14:sizeRelH relativeFrom="page">
                    <wp14:pctWidth>0</wp14:pctWidth>
                  </wp14:sizeRelH>
                  <wp14:sizeRelV relativeFrom="page">
                    <wp14:pctHeight>0</wp14:pctHeight>
                  </wp14:sizeRelV>
                </wp:anchor>
              </w:drawing>
            </w:r>
          </w:p>
        </w:tc>
        <w:tc>
          <w:tcPr>
            <w:tcW w:w="550" w:type="dxa"/>
          </w:tcPr>
          <w:p w:rsidR="005661F2" w:rsidRPr="00D475C9" w:rsidP="005661F2" w14:paraId="3F6F3F56" w14:textId="0519349A">
            <w:pPr>
              <w:pStyle w:val="TableParagraph"/>
              <w:spacing w:line="140" w:lineRule="exact"/>
              <w:ind w:left="0" w:right="39"/>
              <w:jc w:val="center"/>
              <w:rPr>
                <w:rFonts w:eastAsia="Times New Roman"/>
                <w:sz w:val="12"/>
                <w:szCs w:val="12"/>
              </w:rPr>
            </w:pPr>
            <w:r w:rsidRPr="00D475C9">
              <w:rPr>
                <w:rFonts w:eastAsia="Times New Roman"/>
                <w:sz w:val="12"/>
                <w:szCs w:val="12"/>
              </w:rPr>
              <w:t>Italy</w:t>
            </w:r>
          </w:p>
        </w:tc>
        <w:tc>
          <w:tcPr>
            <w:tcW w:w="3487" w:type="dxa"/>
          </w:tcPr>
          <w:p w:rsidR="005661F2" w:rsidRPr="00D475C9" w:rsidP="005661F2" w14:paraId="29DDA627" w14:textId="5A5B5501">
            <w:pPr>
              <w:pStyle w:val="TableParagraph"/>
              <w:spacing w:line="252" w:lineRule="auto"/>
              <w:rPr>
                <w:rFonts w:eastAsia="Times New Roman"/>
                <w:sz w:val="12"/>
                <w:szCs w:val="12"/>
              </w:rPr>
            </w:pPr>
            <w:r w:rsidRPr="00D475C9">
              <w:rPr>
                <w:rFonts w:eastAsia="Times New Roman"/>
                <w:sz w:val="12"/>
                <w:szCs w:val="12"/>
              </w:rPr>
              <w:t>1. 43% report any knowledge of NS, overall understanding of its conceptual issues was low (51%)</w:t>
            </w:r>
            <w:r w:rsidRPr="00D475C9">
              <w:rPr>
                <w:rFonts w:eastAsia="Times New Roman"/>
                <w:sz w:val="12"/>
                <w:szCs w:val="12"/>
              </w:rPr>
              <w:br/>
              <w:t xml:space="preserve">2. Only half acknowledge some usefulness of </w:t>
            </w:r>
            <w:r w:rsidR="004B6E26">
              <w:rPr>
                <w:rFonts w:eastAsia="Times New Roman"/>
                <w:sz w:val="12"/>
                <w:szCs w:val="12"/>
              </w:rPr>
              <w:t>FOP</w:t>
            </w:r>
            <w:r w:rsidRPr="00D475C9">
              <w:rPr>
                <w:rFonts w:eastAsia="Times New Roman"/>
                <w:sz w:val="12"/>
                <w:szCs w:val="12"/>
              </w:rPr>
              <w:t>s, acceptance as a guide for choice was low (37%)</w:t>
            </w:r>
            <w:r w:rsidRPr="00D475C9">
              <w:rPr>
                <w:rFonts w:eastAsia="Times New Roman"/>
                <w:sz w:val="12"/>
                <w:szCs w:val="12"/>
              </w:rPr>
              <w:br/>
              <w:t>3. Overall: NS is a useful instrument but the actual understanding of its rationale by MPs was insufficient.</w:t>
            </w:r>
          </w:p>
        </w:tc>
      </w:tr>
      <w:tr w14:paraId="268185DE" w14:textId="77777777" w:rsidTr="00DF60F4">
        <w:tblPrEx>
          <w:tblW w:w="0" w:type="auto"/>
          <w:tblInd w:w="100" w:type="dxa"/>
          <w:tblLayout w:type="fixed"/>
          <w:tblCellMar>
            <w:left w:w="0" w:type="dxa"/>
            <w:right w:w="0" w:type="dxa"/>
          </w:tblCellMar>
          <w:tblLook w:val="01E0"/>
        </w:tblPrEx>
        <w:trPr>
          <w:trHeight w:val="1128"/>
        </w:trPr>
        <w:tc>
          <w:tcPr>
            <w:tcW w:w="1036" w:type="dxa"/>
          </w:tcPr>
          <w:p w:rsidR="005661F2" w:rsidRPr="00D475C9" w:rsidP="005661F2" w14:paraId="786759A8" w14:textId="302D1063">
            <w:pPr>
              <w:pStyle w:val="TableParagraph"/>
              <w:spacing w:line="252" w:lineRule="auto"/>
              <w:ind w:right="133"/>
              <w:rPr>
                <w:rFonts w:eastAsia="Times New Roman"/>
                <w:color w:val="000000"/>
                <w:sz w:val="12"/>
                <w:szCs w:val="12"/>
              </w:rPr>
            </w:pPr>
            <w:r w:rsidRPr="00D475C9">
              <w:rPr>
                <w:rFonts w:eastAsia="Times New Roman"/>
                <w:color w:val="000000"/>
                <w:sz w:val="12"/>
                <w:szCs w:val="12"/>
              </w:rPr>
              <w:t xml:space="preserve">Richetin; V. </w:t>
            </w:r>
            <w:r w:rsidRPr="00D475C9">
              <w:rPr>
                <w:rFonts w:eastAsia="Times New Roman"/>
                <w:color w:val="000000"/>
                <w:sz w:val="12"/>
                <w:szCs w:val="12"/>
              </w:rPr>
              <w:t>Caputo;  Demartini</w:t>
            </w:r>
            <w:r w:rsidRPr="00D475C9">
              <w:rPr>
                <w:rFonts w:eastAsia="Times New Roman"/>
                <w:color w:val="000000"/>
                <w:sz w:val="12"/>
                <w:szCs w:val="12"/>
              </w:rPr>
              <w:t>; Conner; Perugini</w:t>
            </w:r>
          </w:p>
        </w:tc>
        <w:tc>
          <w:tcPr>
            <w:tcW w:w="2101" w:type="dxa"/>
          </w:tcPr>
          <w:p w:rsidR="005661F2" w:rsidRPr="00D475C9" w:rsidP="005661F2" w14:paraId="2FE77DD0" w14:textId="4BDA838D">
            <w:pPr>
              <w:pStyle w:val="TableParagraph"/>
              <w:spacing w:line="252" w:lineRule="auto"/>
              <w:ind w:right="102"/>
              <w:rPr>
                <w:rFonts w:eastAsia="Times New Roman"/>
                <w:color w:val="000000"/>
                <w:sz w:val="12"/>
                <w:szCs w:val="12"/>
              </w:rPr>
            </w:pPr>
            <w:r w:rsidRPr="00D475C9">
              <w:rPr>
                <w:rFonts w:eastAsia="Times New Roman"/>
                <w:color w:val="000000"/>
                <w:sz w:val="12"/>
                <w:szCs w:val="12"/>
              </w:rPr>
              <w:t>Organic food labels bias food healthiness perceptions: Estimating healthiness equivalence using a Discrete Choice Experiment</w:t>
            </w:r>
          </w:p>
        </w:tc>
        <w:tc>
          <w:tcPr>
            <w:tcW w:w="333" w:type="dxa"/>
          </w:tcPr>
          <w:p w:rsidR="005661F2" w:rsidRPr="00D475C9" w:rsidP="005661F2" w14:paraId="5ED27119" w14:textId="18F58D0B">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5661F2" w:rsidRPr="00D475C9" w:rsidP="005661F2" w14:paraId="4A49B26F" w14:textId="7CD8E339">
            <w:pPr>
              <w:pStyle w:val="TableParagraph"/>
              <w:spacing w:line="252" w:lineRule="auto"/>
              <w:ind w:left="29" w:right="173"/>
              <w:rPr>
                <w:rFonts w:eastAsia="Times New Roman"/>
                <w:sz w:val="12"/>
                <w:szCs w:val="12"/>
              </w:rPr>
            </w:pPr>
            <w:r w:rsidRPr="00D475C9">
              <w:rPr>
                <w:rFonts w:eastAsia="Times New Roman"/>
                <w:color w:val="000000"/>
                <w:sz w:val="12"/>
                <w:szCs w:val="12"/>
              </w:rPr>
              <w:t>Quantitative</w:t>
            </w:r>
            <w:r w:rsidRPr="00D475C9">
              <w:rPr>
                <w:rFonts w:eastAsia="Times New Roman"/>
                <w:color w:val="000000"/>
                <w:sz w:val="12"/>
                <w:szCs w:val="12"/>
              </w:rPr>
              <w:br/>
              <w:t xml:space="preserve">1. 415 participants chose the healthiest product between two products plus an opt-out alternative, either with a </w:t>
            </w:r>
            <w:r w:rsidR="004B6E26">
              <w:rPr>
                <w:rFonts w:eastAsia="Times New Roman"/>
                <w:sz w:val="12"/>
                <w:szCs w:val="12"/>
              </w:rPr>
              <w:t>FOP</w:t>
            </w:r>
            <w:r w:rsidRPr="00D475C9">
              <w:rPr>
                <w:rFonts w:eastAsia="Times New Roman"/>
                <w:sz w:val="12"/>
                <w:szCs w:val="12"/>
              </w:rPr>
              <w:t xml:space="preserve"> </w:t>
            </w:r>
            <w:r w:rsidRPr="00D475C9">
              <w:rPr>
                <w:rFonts w:eastAsia="Times New Roman"/>
                <w:color w:val="000000"/>
                <w:sz w:val="12"/>
                <w:szCs w:val="12"/>
              </w:rPr>
              <w:t>TLS or none</w:t>
            </w:r>
            <w:r w:rsidRPr="00D475C9">
              <w:rPr>
                <w:rFonts w:eastAsia="Times New Roman"/>
                <w:color w:val="000000"/>
                <w:sz w:val="12"/>
                <w:szCs w:val="12"/>
              </w:rPr>
              <w:br/>
              <w:t xml:space="preserve">2. Products were labeled with the following attributes: organic (present/absent), fat content (low/medium/high), sugar content (low/medium/high), and price (4 levels) </w:t>
            </w:r>
          </w:p>
        </w:tc>
        <w:tc>
          <w:tcPr>
            <w:tcW w:w="1199" w:type="dxa"/>
          </w:tcPr>
          <w:p w:rsidR="005661F2" w:rsidRPr="00D475C9" w:rsidP="005661F2" w14:paraId="084F2AD0" w14:textId="28FC54C3">
            <w:pPr>
              <w:pStyle w:val="TableParagraph"/>
              <w:spacing w:line="252" w:lineRule="auto"/>
              <w:ind w:right="121"/>
              <w:rPr>
                <w:rFonts w:eastAsia="Times New Roman"/>
                <w:sz w:val="12"/>
                <w:szCs w:val="12"/>
              </w:rPr>
            </w:pPr>
            <w:r w:rsidRPr="00D475C9">
              <w:rPr>
                <w:rFonts w:eastAsia="Times New Roman"/>
                <w:color w:val="000000"/>
                <w:sz w:val="12"/>
                <w:szCs w:val="12"/>
              </w:rPr>
              <w:t>1. Traffic Light system (TLS)</w:t>
            </w:r>
          </w:p>
        </w:tc>
        <w:tc>
          <w:tcPr>
            <w:tcW w:w="1204" w:type="dxa"/>
          </w:tcPr>
          <w:p w:rsidR="005661F2" w:rsidRPr="00D475C9" w:rsidP="005661F2" w14:paraId="602A22E9" w14:textId="734C9853">
            <w:pPr>
              <w:spacing w:after="0" w:line="240" w:lineRule="auto"/>
              <w:rPr>
                <w:rFonts w:ascii="Calibri" w:eastAsia="Times New Roman" w:hAnsi="Calibri" w:cs="Calibri"/>
                <w:noProof/>
                <w:color w:val="000000"/>
                <w:sz w:val="12"/>
                <w:szCs w:val="12"/>
                <w:lang w:eastAsia="en-US"/>
              </w:rPr>
            </w:pPr>
            <w:r w:rsidRPr="00D475C9">
              <w:rPr>
                <w:rFonts w:ascii="Calibri" w:eastAsia="Times New Roman" w:hAnsi="Calibri" w:cs="Calibri"/>
                <w:color w:val="000000"/>
                <w:sz w:val="12"/>
                <w:szCs w:val="12"/>
                <w:lang w:eastAsia="en-US"/>
              </w:rPr>
              <w:t>No image available</w:t>
            </w:r>
          </w:p>
        </w:tc>
        <w:tc>
          <w:tcPr>
            <w:tcW w:w="550" w:type="dxa"/>
          </w:tcPr>
          <w:p w:rsidR="005661F2" w:rsidRPr="00D475C9" w:rsidP="005661F2" w14:paraId="4B8A2B12" w14:textId="5C7CA009">
            <w:pPr>
              <w:pStyle w:val="TableParagraph"/>
              <w:spacing w:line="140" w:lineRule="exact"/>
              <w:ind w:left="0" w:right="39"/>
              <w:jc w:val="center"/>
              <w:rPr>
                <w:rFonts w:eastAsia="Times New Roman"/>
                <w:sz w:val="12"/>
                <w:szCs w:val="12"/>
              </w:rPr>
            </w:pPr>
            <w:r w:rsidRPr="00D475C9">
              <w:rPr>
                <w:rFonts w:eastAsia="Times New Roman"/>
                <w:color w:val="000000"/>
                <w:sz w:val="12"/>
                <w:szCs w:val="12"/>
              </w:rPr>
              <w:t>Italy</w:t>
            </w:r>
          </w:p>
        </w:tc>
        <w:tc>
          <w:tcPr>
            <w:tcW w:w="3487" w:type="dxa"/>
          </w:tcPr>
          <w:p w:rsidR="005661F2" w:rsidRPr="00D475C9" w:rsidP="005661F2" w14:paraId="0EA336FF" w14:textId="2791F613">
            <w:pPr>
              <w:pStyle w:val="TableParagraph"/>
              <w:spacing w:line="252" w:lineRule="auto"/>
              <w:rPr>
                <w:rFonts w:eastAsia="Times New Roman"/>
                <w:sz w:val="12"/>
                <w:szCs w:val="12"/>
              </w:rPr>
            </w:pPr>
            <w:r w:rsidRPr="00D475C9">
              <w:rPr>
                <w:rFonts w:eastAsia="Times New Roman"/>
                <w:color w:val="000000"/>
                <w:sz w:val="12"/>
                <w:szCs w:val="12"/>
              </w:rPr>
              <w:t xml:space="preserve">1. Organic label drives the healthiness perception of the food, regardless of the other </w:t>
            </w:r>
            <w:r w:rsidR="004B6E26">
              <w:rPr>
                <w:rFonts w:eastAsia="Times New Roman"/>
                <w:sz w:val="12"/>
                <w:szCs w:val="12"/>
              </w:rPr>
              <w:t>FOP</w:t>
            </w:r>
            <w:r w:rsidRPr="00D475C9">
              <w:rPr>
                <w:rFonts w:eastAsia="Times New Roman"/>
                <w:sz w:val="12"/>
                <w:szCs w:val="12"/>
              </w:rPr>
              <w:t xml:space="preserve"> </w:t>
            </w:r>
            <w:r w:rsidRPr="00D475C9">
              <w:rPr>
                <w:rFonts w:eastAsia="Times New Roman"/>
                <w:color w:val="000000"/>
                <w:sz w:val="12"/>
                <w:szCs w:val="12"/>
              </w:rPr>
              <w:t>information</w:t>
            </w:r>
            <w:r w:rsidRPr="00D475C9">
              <w:rPr>
                <w:rFonts w:eastAsia="Times New Roman"/>
                <w:color w:val="000000"/>
                <w:sz w:val="12"/>
                <w:szCs w:val="12"/>
              </w:rPr>
              <w:br/>
              <w:t>2. Including a TLS did not attenuate the organic label's impact</w:t>
            </w:r>
          </w:p>
        </w:tc>
      </w:tr>
      <w:tr w14:paraId="1A9EE5E8" w14:textId="77777777" w:rsidTr="00DF60F4">
        <w:tblPrEx>
          <w:tblW w:w="0" w:type="auto"/>
          <w:tblInd w:w="100" w:type="dxa"/>
          <w:tblLayout w:type="fixed"/>
          <w:tblCellMar>
            <w:left w:w="0" w:type="dxa"/>
            <w:right w:w="0" w:type="dxa"/>
          </w:tblCellMar>
          <w:tblLook w:val="01E0"/>
        </w:tblPrEx>
        <w:trPr>
          <w:trHeight w:val="1128"/>
        </w:trPr>
        <w:tc>
          <w:tcPr>
            <w:tcW w:w="1036" w:type="dxa"/>
          </w:tcPr>
          <w:p w:rsidR="005661F2" w:rsidRPr="00D475C9" w:rsidP="005661F2" w14:paraId="3C36F3CB" w14:textId="0D5236F9">
            <w:pPr>
              <w:pStyle w:val="TableParagraph"/>
              <w:spacing w:line="252" w:lineRule="auto"/>
              <w:ind w:right="133"/>
              <w:rPr>
                <w:rFonts w:eastAsia="Times New Roman"/>
                <w:color w:val="000000"/>
                <w:sz w:val="12"/>
                <w:szCs w:val="12"/>
              </w:rPr>
            </w:pPr>
            <w:r w:rsidRPr="00D475C9">
              <w:rPr>
                <w:rFonts w:eastAsia="Times New Roman"/>
                <w:color w:val="000000"/>
                <w:sz w:val="12"/>
                <w:szCs w:val="12"/>
              </w:rPr>
              <w:t>Sagaceta-Mejía, et al.</w:t>
            </w:r>
          </w:p>
        </w:tc>
        <w:tc>
          <w:tcPr>
            <w:tcW w:w="2101" w:type="dxa"/>
          </w:tcPr>
          <w:p w:rsidR="005661F2" w:rsidRPr="00D475C9" w:rsidP="005661F2" w14:paraId="2333828C" w14:textId="2613AE13">
            <w:pPr>
              <w:pStyle w:val="TableParagraph"/>
              <w:spacing w:line="252" w:lineRule="auto"/>
              <w:ind w:right="102"/>
              <w:rPr>
                <w:rFonts w:eastAsia="Times New Roman"/>
                <w:color w:val="000000"/>
                <w:sz w:val="12"/>
                <w:szCs w:val="12"/>
              </w:rPr>
            </w:pPr>
            <w:r w:rsidRPr="00D475C9">
              <w:rPr>
                <w:rFonts w:eastAsia="Times New Roman"/>
                <w:color w:val="000000"/>
                <w:sz w:val="12"/>
                <w:szCs w:val="12"/>
              </w:rPr>
              <w:t>Understanding of front of package nutrition labels: Guideline Daily Amount (GDA) and warning labels in Mexicans with non-communicable diseases</w:t>
            </w:r>
          </w:p>
        </w:tc>
        <w:tc>
          <w:tcPr>
            <w:tcW w:w="333" w:type="dxa"/>
          </w:tcPr>
          <w:p w:rsidR="005661F2" w:rsidRPr="00D475C9" w:rsidP="005661F2" w14:paraId="0A23F97F" w14:textId="5C09CA8B">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5661F2" w:rsidRPr="00D475C9" w:rsidP="005661F2" w14:paraId="21273F4D" w14:textId="2599EDD4">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 xml:space="preserve">1. 14,880 participants (stratified by number of known non-communicable diseases) classified products as healthy or unhealthy; products displayed either the Guideline Daily Amount or Warning Label as </w:t>
            </w:r>
            <w:r w:rsidR="004B6E26">
              <w:rPr>
                <w:rFonts w:eastAsia="Times New Roman"/>
                <w:sz w:val="12"/>
                <w:szCs w:val="12"/>
              </w:rPr>
              <w:t>FOP</w:t>
            </w:r>
            <w:r w:rsidRPr="00D475C9">
              <w:rPr>
                <w:rFonts w:eastAsia="Times New Roman"/>
                <w:sz w:val="12"/>
                <w:szCs w:val="12"/>
              </w:rPr>
              <w:t>s</w:t>
            </w:r>
          </w:p>
        </w:tc>
        <w:tc>
          <w:tcPr>
            <w:tcW w:w="1199" w:type="dxa"/>
          </w:tcPr>
          <w:p w:rsidR="005661F2" w:rsidRPr="00D475C9" w:rsidP="005661F2" w14:paraId="79B42F5B" w14:textId="2D59DE1E">
            <w:pPr>
              <w:pStyle w:val="TableParagraph"/>
              <w:spacing w:line="252" w:lineRule="auto"/>
              <w:ind w:right="121"/>
              <w:rPr>
                <w:rFonts w:eastAsia="Times New Roman"/>
                <w:sz w:val="12"/>
                <w:szCs w:val="12"/>
              </w:rPr>
            </w:pPr>
            <w:r w:rsidRPr="00D475C9">
              <w:rPr>
                <w:rFonts w:eastAsia="Times New Roman"/>
                <w:sz w:val="12"/>
                <w:szCs w:val="12"/>
              </w:rPr>
              <w:t>1. Guideline Daily Amount (GDA)</w:t>
            </w:r>
            <w:r w:rsidRPr="00D475C9">
              <w:rPr>
                <w:rFonts w:eastAsia="Times New Roman"/>
                <w:sz w:val="12"/>
                <w:szCs w:val="12"/>
              </w:rPr>
              <w:br/>
              <w:t>2. Warning Label (WL)</w:t>
            </w:r>
          </w:p>
        </w:tc>
        <w:tc>
          <w:tcPr>
            <w:tcW w:w="1204" w:type="dxa"/>
          </w:tcPr>
          <w:p w:rsidR="005661F2" w:rsidRPr="00D475C9" w:rsidP="005661F2" w14:paraId="1089B3B7" w14:textId="6BAAF5BE">
            <w:pPr>
              <w:spacing w:after="0" w:line="240" w:lineRule="auto"/>
              <w:rPr>
                <w:rFonts w:ascii="Calibri" w:eastAsia="Times New Roman" w:hAnsi="Calibri" w:cs="Calibri"/>
                <w:noProof/>
                <w:color w:val="000000"/>
                <w:sz w:val="12"/>
                <w:szCs w:val="12"/>
                <w:lang w:eastAsia="en-US"/>
              </w:rPr>
            </w:pPr>
            <w:r w:rsidRPr="00D475C9">
              <w:rPr>
                <w:rFonts w:ascii="Calibri" w:eastAsia="Times New Roman" w:hAnsi="Calibri" w:cs="Calibri"/>
                <w:noProof/>
                <w:color w:val="000000"/>
                <w:sz w:val="12"/>
                <w:szCs w:val="12"/>
                <w:lang w:eastAsia="en-US"/>
              </w:rPr>
              <w:drawing>
                <wp:anchor distT="0" distB="0" distL="114300" distR="114300" simplePos="0" relativeHeight="251736064" behindDoc="0" locked="0" layoutInCell="1" allowOverlap="1">
                  <wp:simplePos x="0" y="0"/>
                  <wp:positionH relativeFrom="column">
                    <wp:posOffset>66040</wp:posOffset>
                  </wp:positionH>
                  <wp:positionV relativeFrom="paragraph">
                    <wp:posOffset>84455</wp:posOffset>
                  </wp:positionV>
                  <wp:extent cx="640080" cy="192024"/>
                  <wp:effectExtent l="0" t="0" r="762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6"/>
                          <pic:cNvPicPr>
                            <a:picLocks noChangeAspect="1"/>
                          </pic:cNvPicPr>
                        </pic:nvPicPr>
                        <pic:blipFill>
                          <a:blip xmlns:r="http://schemas.openxmlformats.org/officeDocument/2006/relationships" r:embed="rId1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0080" cy="192024"/>
                          </a:xfrm>
                          <a:prstGeom prst="rect">
                            <a:avLst/>
                          </a:prstGeom>
                        </pic:spPr>
                      </pic:pic>
                    </a:graphicData>
                  </a:graphic>
                  <wp14:sizeRelH relativeFrom="page">
                    <wp14:pctWidth>0</wp14:pctWidth>
                  </wp14:sizeRelH>
                  <wp14:sizeRelV relativeFrom="page">
                    <wp14:pctHeight>0</wp14:pctHeight>
                  </wp14:sizeRelV>
                </wp:anchor>
              </w:drawing>
            </w:r>
          </w:p>
        </w:tc>
        <w:tc>
          <w:tcPr>
            <w:tcW w:w="550" w:type="dxa"/>
          </w:tcPr>
          <w:p w:rsidR="005661F2" w:rsidRPr="00D475C9" w:rsidP="005661F2" w14:paraId="0DC03E7D" w14:textId="4D8F04B3">
            <w:pPr>
              <w:pStyle w:val="TableParagraph"/>
              <w:spacing w:line="140" w:lineRule="exact"/>
              <w:ind w:left="0" w:right="39"/>
              <w:jc w:val="center"/>
              <w:rPr>
                <w:rFonts w:eastAsia="Times New Roman"/>
                <w:sz w:val="12"/>
                <w:szCs w:val="12"/>
              </w:rPr>
            </w:pPr>
            <w:r w:rsidRPr="00D475C9">
              <w:rPr>
                <w:rFonts w:eastAsia="Times New Roman"/>
                <w:sz w:val="12"/>
                <w:szCs w:val="12"/>
              </w:rPr>
              <w:t>Mexico</w:t>
            </w:r>
          </w:p>
        </w:tc>
        <w:tc>
          <w:tcPr>
            <w:tcW w:w="3487" w:type="dxa"/>
          </w:tcPr>
          <w:p w:rsidR="005661F2" w:rsidRPr="00D475C9" w:rsidP="005661F2" w14:paraId="2329EE12" w14:textId="02B43181">
            <w:pPr>
              <w:pStyle w:val="TableParagraph"/>
              <w:spacing w:line="252" w:lineRule="auto"/>
              <w:rPr>
                <w:rFonts w:eastAsia="Times New Roman"/>
                <w:sz w:val="12"/>
                <w:szCs w:val="12"/>
              </w:rPr>
            </w:pPr>
            <w:r w:rsidRPr="00D475C9">
              <w:rPr>
                <w:rFonts w:eastAsia="Times New Roman"/>
                <w:sz w:val="12"/>
                <w:szCs w:val="12"/>
              </w:rPr>
              <w:t>1. Odds of correct classification of products using WL were 2 times greater compared to GDA image</w:t>
            </w:r>
            <w:r w:rsidRPr="00D475C9">
              <w:rPr>
                <w:rFonts w:eastAsia="Times New Roman"/>
                <w:sz w:val="12"/>
                <w:szCs w:val="12"/>
              </w:rPr>
              <w:br/>
              <w:t>2. Proportion of people with NCDs correctly classifying products decreased according to the number of diseases the participant had</w:t>
            </w:r>
          </w:p>
        </w:tc>
      </w:tr>
      <w:tr w14:paraId="540C3CC7" w14:textId="77777777" w:rsidTr="00DF60F4">
        <w:tblPrEx>
          <w:tblW w:w="0" w:type="auto"/>
          <w:tblInd w:w="100" w:type="dxa"/>
          <w:tblLayout w:type="fixed"/>
          <w:tblCellMar>
            <w:left w:w="0" w:type="dxa"/>
            <w:right w:w="0" w:type="dxa"/>
          </w:tblCellMar>
          <w:tblLook w:val="01E0"/>
        </w:tblPrEx>
        <w:trPr>
          <w:trHeight w:val="1128"/>
        </w:trPr>
        <w:tc>
          <w:tcPr>
            <w:tcW w:w="1036" w:type="dxa"/>
          </w:tcPr>
          <w:p w:rsidR="005661F2" w:rsidRPr="00D475C9" w:rsidP="005661F2" w14:paraId="41CC0842" w14:textId="3823AF5E">
            <w:pPr>
              <w:pStyle w:val="TableParagraph"/>
              <w:spacing w:line="252" w:lineRule="auto"/>
              <w:ind w:right="133"/>
              <w:rPr>
                <w:rFonts w:eastAsia="Times New Roman"/>
                <w:color w:val="000000"/>
                <w:sz w:val="12"/>
                <w:szCs w:val="12"/>
              </w:rPr>
            </w:pPr>
            <w:r w:rsidRPr="00D475C9">
              <w:rPr>
                <w:rFonts w:eastAsia="Times New Roman"/>
                <w:color w:val="000000"/>
                <w:sz w:val="12"/>
                <w:szCs w:val="12"/>
              </w:rPr>
              <w:t>Septia Irawan, et al.</w:t>
            </w:r>
          </w:p>
        </w:tc>
        <w:tc>
          <w:tcPr>
            <w:tcW w:w="2101" w:type="dxa"/>
          </w:tcPr>
          <w:p w:rsidR="005661F2" w:rsidRPr="00D475C9" w:rsidP="005661F2" w14:paraId="4B659FD2" w14:textId="4C0B83BD">
            <w:pPr>
              <w:pStyle w:val="TableParagraph"/>
              <w:spacing w:line="252" w:lineRule="auto"/>
              <w:ind w:right="102"/>
              <w:rPr>
                <w:rFonts w:eastAsia="Times New Roman"/>
                <w:color w:val="000000"/>
                <w:sz w:val="12"/>
                <w:szCs w:val="12"/>
              </w:rPr>
            </w:pPr>
            <w:r w:rsidRPr="00D475C9">
              <w:rPr>
                <w:rFonts w:eastAsia="Times New Roman"/>
                <w:color w:val="000000"/>
                <w:sz w:val="12"/>
                <w:szCs w:val="12"/>
              </w:rPr>
              <w:t>Analysis of Content, Social Networks, and Sentiment of Front-of-Pack Nutrition Labeling in the European Union on Twitter</w:t>
            </w:r>
          </w:p>
        </w:tc>
        <w:tc>
          <w:tcPr>
            <w:tcW w:w="333" w:type="dxa"/>
          </w:tcPr>
          <w:p w:rsidR="005661F2" w:rsidRPr="00D475C9" w:rsidP="005661F2" w14:paraId="14B11EF2" w14:textId="70C9B449">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5661F2" w:rsidRPr="00D475C9" w:rsidP="005661F2" w14:paraId="69FCF3B7" w14:textId="1D4596F7">
            <w:pPr>
              <w:pStyle w:val="TableParagraph"/>
              <w:spacing w:line="252" w:lineRule="auto"/>
              <w:ind w:left="29" w:right="173"/>
              <w:rPr>
                <w:rFonts w:eastAsia="Times New Roman"/>
                <w:sz w:val="12"/>
                <w:szCs w:val="12"/>
              </w:rPr>
            </w:pPr>
            <w:r w:rsidRPr="00D475C9">
              <w:rPr>
                <w:rFonts w:eastAsia="Times New Roman"/>
                <w:sz w:val="12"/>
                <w:szCs w:val="12"/>
              </w:rPr>
              <w:t>Qualitative</w:t>
            </w:r>
            <w:r w:rsidRPr="00D475C9">
              <w:rPr>
                <w:rFonts w:eastAsia="Times New Roman"/>
                <w:sz w:val="12"/>
                <w:szCs w:val="12"/>
              </w:rPr>
              <w:br/>
              <w:t xml:space="preserve">1. Analyzed Twitter posts (tweets) concerning </w:t>
            </w:r>
            <w:r w:rsidR="004B6E26">
              <w:rPr>
                <w:rFonts w:eastAsia="Times New Roman"/>
                <w:sz w:val="12"/>
                <w:szCs w:val="12"/>
              </w:rPr>
              <w:t>FOP</w:t>
            </w:r>
            <w:r w:rsidRPr="00D475C9">
              <w:rPr>
                <w:rFonts w:eastAsia="Times New Roman"/>
                <w:sz w:val="12"/>
                <w:szCs w:val="12"/>
              </w:rPr>
              <w:t>s for content, sentiment, and mapping network characteristics.</w:t>
            </w:r>
          </w:p>
        </w:tc>
        <w:tc>
          <w:tcPr>
            <w:tcW w:w="1199" w:type="dxa"/>
          </w:tcPr>
          <w:p w:rsidR="005661F2" w:rsidRPr="00D475C9" w:rsidP="005661F2" w14:paraId="281EB076" w14:textId="443E94A5">
            <w:pPr>
              <w:pStyle w:val="TableParagraph"/>
              <w:spacing w:line="252" w:lineRule="auto"/>
              <w:ind w:right="121"/>
              <w:rPr>
                <w:rFonts w:eastAsia="Times New Roman"/>
                <w:sz w:val="12"/>
                <w:szCs w:val="12"/>
              </w:rPr>
            </w:pPr>
            <w:r w:rsidRPr="00D475C9">
              <w:rPr>
                <w:rFonts w:eastAsia="Times New Roman"/>
                <w:sz w:val="12"/>
                <w:szCs w:val="12"/>
              </w:rPr>
              <w:t>Various</w:t>
            </w:r>
          </w:p>
        </w:tc>
        <w:tc>
          <w:tcPr>
            <w:tcW w:w="1204" w:type="dxa"/>
          </w:tcPr>
          <w:p w:rsidR="005661F2" w:rsidRPr="00D475C9" w:rsidP="005661F2" w14:paraId="3C6477CF" w14:textId="2FD953CF">
            <w:pPr>
              <w:spacing w:after="0" w:line="240" w:lineRule="auto"/>
              <w:rPr>
                <w:rFonts w:ascii="Calibri" w:eastAsia="Times New Roman" w:hAnsi="Calibri" w:cs="Calibri"/>
                <w:noProof/>
                <w:color w:val="000000"/>
                <w:sz w:val="12"/>
                <w:szCs w:val="12"/>
                <w:lang w:eastAsia="en-US"/>
              </w:rPr>
            </w:pPr>
            <w:r w:rsidRPr="00D475C9">
              <w:rPr>
                <w:rFonts w:ascii="Calibri" w:eastAsia="Times New Roman" w:hAnsi="Calibri" w:cs="Calibri"/>
                <w:color w:val="000000"/>
                <w:sz w:val="12"/>
                <w:szCs w:val="12"/>
                <w:lang w:eastAsia="en-US"/>
              </w:rPr>
              <w:t>No image available</w:t>
            </w:r>
          </w:p>
        </w:tc>
        <w:tc>
          <w:tcPr>
            <w:tcW w:w="550" w:type="dxa"/>
          </w:tcPr>
          <w:p w:rsidR="005661F2" w:rsidRPr="00D475C9" w:rsidP="005661F2" w14:paraId="75550AFA" w14:textId="3F710C2F">
            <w:pPr>
              <w:pStyle w:val="TableParagraph"/>
              <w:spacing w:line="140" w:lineRule="exact"/>
              <w:ind w:left="0" w:right="39"/>
              <w:jc w:val="center"/>
              <w:rPr>
                <w:rFonts w:eastAsia="Times New Roman"/>
                <w:sz w:val="12"/>
                <w:szCs w:val="12"/>
              </w:rPr>
            </w:pPr>
            <w:r w:rsidRPr="00D475C9">
              <w:rPr>
                <w:rFonts w:eastAsia="Times New Roman"/>
                <w:sz w:val="12"/>
                <w:szCs w:val="12"/>
              </w:rPr>
              <w:t>Europe</w:t>
            </w:r>
          </w:p>
        </w:tc>
        <w:tc>
          <w:tcPr>
            <w:tcW w:w="3487" w:type="dxa"/>
          </w:tcPr>
          <w:p w:rsidR="005661F2" w:rsidRPr="00D475C9" w:rsidP="005661F2" w14:paraId="5A92FD4C" w14:textId="11BD3702">
            <w:pPr>
              <w:pStyle w:val="TableParagraph"/>
              <w:spacing w:line="252" w:lineRule="auto"/>
              <w:rPr>
                <w:rFonts w:eastAsia="Times New Roman"/>
                <w:sz w:val="12"/>
                <w:szCs w:val="12"/>
              </w:rPr>
            </w:pPr>
            <w:r w:rsidRPr="00D475C9">
              <w:rPr>
                <w:rFonts w:eastAsia="Times New Roman"/>
                <w:sz w:val="12"/>
                <w:szCs w:val="12"/>
              </w:rPr>
              <w:t>1. Discussion on Twitter limited - only a very limited group of people</w:t>
            </w:r>
            <w:r w:rsidRPr="00D475C9">
              <w:rPr>
                <w:rFonts w:eastAsia="Times New Roman"/>
                <w:sz w:val="12"/>
                <w:szCs w:val="12"/>
              </w:rPr>
              <w:br/>
              <w:t>2. Education programs needed to inform consumers</w:t>
            </w:r>
            <w:r w:rsidRPr="00D475C9">
              <w:rPr>
                <w:rFonts w:eastAsia="Times New Roman"/>
                <w:sz w:val="12"/>
                <w:szCs w:val="12"/>
              </w:rPr>
              <w:br/>
              <w:t>3. General topics perceived negatively, more positive sentiments toward food industry, negative sentiments toward political conflicts</w:t>
            </w:r>
            <w:r w:rsidRPr="00D475C9">
              <w:rPr>
                <w:rFonts w:eastAsia="Times New Roman"/>
                <w:sz w:val="12"/>
                <w:szCs w:val="12"/>
              </w:rPr>
              <w:br/>
              <w:t xml:space="preserve">4. </w:t>
            </w:r>
            <w:r w:rsidR="004B6E26">
              <w:rPr>
                <w:rFonts w:eastAsia="Times New Roman"/>
                <w:sz w:val="12"/>
                <w:szCs w:val="12"/>
              </w:rPr>
              <w:t>Nutri-Score</w:t>
            </w:r>
            <w:r w:rsidRPr="00D475C9">
              <w:rPr>
                <w:rFonts w:eastAsia="Times New Roman"/>
                <w:sz w:val="12"/>
                <w:szCs w:val="12"/>
              </w:rPr>
              <w:t xml:space="preserve"> mentioned most often, with conflicting sentiments</w:t>
            </w:r>
          </w:p>
        </w:tc>
      </w:tr>
      <w:tr w14:paraId="7431DEBA" w14:textId="77777777" w:rsidTr="00DF60F4">
        <w:tblPrEx>
          <w:tblW w:w="0" w:type="auto"/>
          <w:tblInd w:w="100" w:type="dxa"/>
          <w:tblLayout w:type="fixed"/>
          <w:tblCellMar>
            <w:left w:w="0" w:type="dxa"/>
            <w:right w:w="0" w:type="dxa"/>
          </w:tblCellMar>
          <w:tblLook w:val="01E0"/>
        </w:tblPrEx>
        <w:trPr>
          <w:trHeight w:val="1128"/>
        </w:trPr>
        <w:tc>
          <w:tcPr>
            <w:tcW w:w="1036" w:type="dxa"/>
          </w:tcPr>
          <w:p w:rsidR="005661F2" w:rsidRPr="00D475C9" w:rsidP="005661F2" w14:paraId="0E7C2E89" w14:textId="0C47EB50">
            <w:pPr>
              <w:pStyle w:val="TableParagraph"/>
              <w:spacing w:line="252" w:lineRule="auto"/>
              <w:ind w:right="133"/>
              <w:rPr>
                <w:rFonts w:eastAsia="Times New Roman"/>
                <w:color w:val="000000"/>
                <w:sz w:val="12"/>
                <w:szCs w:val="12"/>
              </w:rPr>
            </w:pPr>
            <w:r w:rsidRPr="00D475C9">
              <w:rPr>
                <w:rFonts w:eastAsia="Times New Roman"/>
                <w:color w:val="000000"/>
                <w:sz w:val="12"/>
                <w:szCs w:val="12"/>
              </w:rPr>
              <w:t>Silva</w:t>
            </w:r>
            <w:r w:rsidR="000444F6">
              <w:rPr>
                <w:rFonts w:eastAsia="Times New Roman"/>
                <w:color w:val="000000"/>
                <w:sz w:val="12"/>
                <w:szCs w:val="12"/>
              </w:rPr>
              <w:t xml:space="preserve"> et al.</w:t>
            </w:r>
          </w:p>
        </w:tc>
        <w:tc>
          <w:tcPr>
            <w:tcW w:w="2101" w:type="dxa"/>
          </w:tcPr>
          <w:p w:rsidR="005661F2" w:rsidRPr="00D475C9" w:rsidP="005661F2" w14:paraId="4D11FAD6" w14:textId="6DFD29F9">
            <w:pPr>
              <w:pStyle w:val="TableParagraph"/>
              <w:spacing w:line="252" w:lineRule="auto"/>
              <w:ind w:right="102"/>
              <w:rPr>
                <w:rFonts w:eastAsia="Times New Roman"/>
                <w:color w:val="000000"/>
                <w:sz w:val="12"/>
                <w:szCs w:val="12"/>
              </w:rPr>
            </w:pPr>
            <w:r w:rsidRPr="00D475C9">
              <w:rPr>
                <w:rFonts w:eastAsia="Times New Roman"/>
                <w:color w:val="000000"/>
                <w:sz w:val="12"/>
                <w:szCs w:val="12"/>
              </w:rPr>
              <w:t>Comparison of two front-of-pack nutrition labels for Brazilian consumers using a smartphone app in a real-world grocery store: A pilot randomized controlled study</w:t>
            </w:r>
          </w:p>
        </w:tc>
        <w:tc>
          <w:tcPr>
            <w:tcW w:w="333" w:type="dxa"/>
          </w:tcPr>
          <w:p w:rsidR="005661F2" w:rsidRPr="00D475C9" w:rsidP="005661F2" w14:paraId="45D0BF01" w14:textId="24401F2F">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5661F2" w:rsidRPr="00D475C9" w:rsidP="005661F2" w14:paraId="743C6C57" w14:textId="26473281">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 xml:space="preserve">1. 230 participants randomized to one of three study arms (Mexican </w:t>
            </w:r>
            <w:r w:rsidR="004B6E26">
              <w:rPr>
                <w:rFonts w:eastAsia="Times New Roman"/>
                <w:sz w:val="12"/>
                <w:szCs w:val="12"/>
              </w:rPr>
              <w:t>FOP</w:t>
            </w:r>
            <w:r w:rsidRPr="00D475C9">
              <w:rPr>
                <w:rFonts w:eastAsia="Times New Roman"/>
                <w:sz w:val="12"/>
                <w:szCs w:val="12"/>
              </w:rPr>
              <w:t xml:space="preserve">, Brazilian </w:t>
            </w:r>
            <w:r w:rsidR="004B6E26">
              <w:rPr>
                <w:rFonts w:eastAsia="Times New Roman"/>
                <w:sz w:val="12"/>
                <w:szCs w:val="12"/>
              </w:rPr>
              <w:t>FOP</w:t>
            </w:r>
            <w:r w:rsidRPr="00D475C9">
              <w:rPr>
                <w:rFonts w:eastAsia="Times New Roman"/>
                <w:sz w:val="12"/>
                <w:szCs w:val="12"/>
              </w:rPr>
              <w:t xml:space="preserve">, control), scanned product </w:t>
            </w:r>
            <w:r w:rsidRPr="00D475C9">
              <w:rPr>
                <w:rFonts w:eastAsia="Times New Roman"/>
                <w:sz w:val="12"/>
                <w:szCs w:val="12"/>
              </w:rPr>
              <w:t>barcode</w:t>
            </w:r>
            <w:r w:rsidRPr="00D475C9">
              <w:rPr>
                <w:rFonts w:eastAsia="Times New Roman"/>
                <w:sz w:val="12"/>
                <w:szCs w:val="12"/>
              </w:rPr>
              <w:t xml:space="preserve"> and viewed the </w:t>
            </w:r>
            <w:r w:rsidR="004B6E26">
              <w:rPr>
                <w:rFonts w:eastAsia="Times New Roman"/>
                <w:sz w:val="12"/>
                <w:szCs w:val="12"/>
              </w:rPr>
              <w:t>FOP</w:t>
            </w:r>
            <w:r w:rsidRPr="00D475C9">
              <w:rPr>
                <w:rFonts w:eastAsia="Times New Roman"/>
                <w:sz w:val="12"/>
                <w:szCs w:val="12"/>
              </w:rPr>
              <w:t xml:space="preserve"> for the product on a smartphone app</w:t>
            </w:r>
            <w:r w:rsidRPr="00D475C9">
              <w:rPr>
                <w:rFonts w:eastAsia="Times New Roman"/>
                <w:sz w:val="12"/>
                <w:szCs w:val="12"/>
              </w:rPr>
              <w:br/>
              <w:t>2. Answered questions indicating decision to buy or not buy a product, perceived healthiness of the product, facilitation of quick purchase decision, and identification of excess nutrients</w:t>
            </w:r>
          </w:p>
        </w:tc>
        <w:tc>
          <w:tcPr>
            <w:tcW w:w="1199" w:type="dxa"/>
          </w:tcPr>
          <w:p w:rsidR="005661F2" w:rsidRPr="00D475C9" w:rsidP="005661F2" w14:paraId="4D1543C9" w14:textId="253568D4">
            <w:pPr>
              <w:pStyle w:val="TableParagraph"/>
              <w:spacing w:line="252" w:lineRule="auto"/>
              <w:ind w:right="121"/>
              <w:rPr>
                <w:rFonts w:eastAsia="Times New Roman"/>
                <w:sz w:val="12"/>
                <w:szCs w:val="12"/>
              </w:rPr>
            </w:pPr>
            <w:r w:rsidRPr="00D475C9">
              <w:rPr>
                <w:rFonts w:eastAsia="Times New Roman"/>
                <w:sz w:val="12"/>
                <w:szCs w:val="12"/>
              </w:rPr>
              <w:t xml:space="preserve">1. Mexican </w:t>
            </w:r>
            <w:r w:rsidR="004B6E26">
              <w:rPr>
                <w:rFonts w:eastAsia="Times New Roman"/>
                <w:sz w:val="12"/>
                <w:szCs w:val="12"/>
              </w:rPr>
              <w:t>FOP</w:t>
            </w:r>
            <w:r w:rsidRPr="00D475C9">
              <w:rPr>
                <w:rFonts w:eastAsia="Times New Roman"/>
                <w:sz w:val="12"/>
                <w:szCs w:val="12"/>
              </w:rPr>
              <w:br/>
              <w:t xml:space="preserve">2. Brazilian </w:t>
            </w:r>
            <w:r w:rsidR="004B6E26">
              <w:rPr>
                <w:rFonts w:eastAsia="Times New Roman"/>
                <w:sz w:val="12"/>
                <w:szCs w:val="12"/>
              </w:rPr>
              <w:t>FOP</w:t>
            </w:r>
          </w:p>
        </w:tc>
        <w:tc>
          <w:tcPr>
            <w:tcW w:w="1204" w:type="dxa"/>
          </w:tcPr>
          <w:p w:rsidR="005661F2" w:rsidRPr="00D475C9" w:rsidP="005661F2" w14:paraId="43D64B5D" w14:textId="6C7DBCF6">
            <w:pPr>
              <w:spacing w:after="0" w:line="240" w:lineRule="auto"/>
              <w:rPr>
                <w:rFonts w:ascii="Calibri" w:eastAsia="Times New Roman" w:hAnsi="Calibri" w:cs="Calibri"/>
                <w:color w:val="000000"/>
                <w:sz w:val="12"/>
                <w:szCs w:val="12"/>
                <w:lang w:eastAsia="en-US"/>
              </w:rPr>
            </w:pPr>
            <w:r w:rsidRPr="00D475C9">
              <w:rPr>
                <w:rFonts w:ascii="Times New Roman" w:eastAsia="Times New Roman" w:hAnsi="Times New Roman" w:cs="Times New Roman"/>
                <w:noProof/>
                <w:color w:val="000000"/>
                <w:sz w:val="12"/>
                <w:szCs w:val="12"/>
                <w:lang w:eastAsia="en-US"/>
              </w:rPr>
              <w:drawing>
                <wp:anchor distT="0" distB="0" distL="114300" distR="114300" simplePos="0" relativeHeight="251737088" behindDoc="0" locked="0" layoutInCell="1" allowOverlap="1">
                  <wp:simplePos x="0" y="0"/>
                  <wp:positionH relativeFrom="column">
                    <wp:posOffset>104775</wp:posOffset>
                  </wp:positionH>
                  <wp:positionV relativeFrom="paragraph">
                    <wp:posOffset>285750</wp:posOffset>
                  </wp:positionV>
                  <wp:extent cx="640080" cy="192024"/>
                  <wp:effectExtent l="0" t="0" r="762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2"/>
                          <pic:cNvPicPr>
                            <a:picLocks noChangeAspect="1"/>
                          </pic:cNvPicPr>
                        </pic:nvPicPr>
                        <pic:blipFill>
                          <a:blip xmlns:r="http://schemas.openxmlformats.org/officeDocument/2006/relationships" r:embed="rId1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0080" cy="192024"/>
                          </a:xfrm>
                          <a:prstGeom prst="rect">
                            <a:avLst/>
                          </a:prstGeom>
                        </pic:spPr>
                      </pic:pic>
                    </a:graphicData>
                  </a:graphic>
                  <wp14:sizeRelH relativeFrom="page">
                    <wp14:pctWidth>0</wp14:pctWidth>
                  </wp14:sizeRelH>
                  <wp14:sizeRelV relativeFrom="page">
                    <wp14:pctHeight>0</wp14:pctHeight>
                  </wp14:sizeRelV>
                </wp:anchor>
              </w:drawing>
            </w:r>
          </w:p>
        </w:tc>
        <w:tc>
          <w:tcPr>
            <w:tcW w:w="550" w:type="dxa"/>
          </w:tcPr>
          <w:p w:rsidR="005661F2" w:rsidRPr="00D475C9" w:rsidP="005661F2" w14:paraId="0F16045B" w14:textId="7A93AA51">
            <w:pPr>
              <w:pStyle w:val="TableParagraph"/>
              <w:spacing w:line="140" w:lineRule="exact"/>
              <w:ind w:left="0" w:right="39"/>
              <w:jc w:val="center"/>
              <w:rPr>
                <w:rFonts w:eastAsia="Times New Roman"/>
                <w:sz w:val="12"/>
                <w:szCs w:val="12"/>
              </w:rPr>
            </w:pPr>
            <w:r w:rsidRPr="00D475C9">
              <w:rPr>
                <w:rFonts w:eastAsia="Times New Roman"/>
                <w:sz w:val="12"/>
                <w:szCs w:val="12"/>
              </w:rPr>
              <w:t>Brazil</w:t>
            </w:r>
          </w:p>
        </w:tc>
        <w:tc>
          <w:tcPr>
            <w:tcW w:w="3487" w:type="dxa"/>
          </w:tcPr>
          <w:p w:rsidR="005661F2" w:rsidRPr="00D475C9" w:rsidP="005661F2" w14:paraId="5AB1DB2B" w14:textId="52D91BE8">
            <w:pPr>
              <w:pStyle w:val="TableParagraph"/>
              <w:spacing w:line="252" w:lineRule="auto"/>
              <w:rPr>
                <w:rFonts w:eastAsia="Times New Roman"/>
                <w:sz w:val="12"/>
                <w:szCs w:val="12"/>
              </w:rPr>
            </w:pPr>
            <w:r w:rsidRPr="00D475C9">
              <w:rPr>
                <w:rFonts w:eastAsia="Times New Roman"/>
                <w:sz w:val="12"/>
                <w:szCs w:val="12"/>
              </w:rPr>
              <w:t xml:space="preserve">1. Mexican </w:t>
            </w:r>
            <w:r w:rsidR="004B6E26">
              <w:rPr>
                <w:rFonts w:eastAsia="Times New Roman"/>
                <w:sz w:val="12"/>
                <w:szCs w:val="12"/>
              </w:rPr>
              <w:t>FOP</w:t>
            </w:r>
            <w:r w:rsidRPr="00D475C9">
              <w:rPr>
                <w:rFonts w:eastAsia="Times New Roman"/>
                <w:sz w:val="12"/>
                <w:szCs w:val="12"/>
              </w:rPr>
              <w:t xml:space="preserve"> better at facilitating decision on when to buy or not to buy and in helping to quickly decide, and in identifying products high in added sugars.</w:t>
            </w:r>
            <w:r w:rsidRPr="00D475C9">
              <w:rPr>
                <w:rFonts w:eastAsia="Times New Roman"/>
                <w:sz w:val="12"/>
                <w:szCs w:val="12"/>
              </w:rPr>
              <w:br/>
              <w:t xml:space="preserve">2. Brazilian </w:t>
            </w:r>
            <w:r w:rsidR="004B6E26">
              <w:rPr>
                <w:rFonts w:eastAsia="Times New Roman"/>
                <w:sz w:val="12"/>
                <w:szCs w:val="12"/>
              </w:rPr>
              <w:t>FOP</w:t>
            </w:r>
            <w:r w:rsidRPr="00D475C9">
              <w:rPr>
                <w:rFonts w:eastAsia="Times New Roman"/>
                <w:sz w:val="12"/>
                <w:szCs w:val="12"/>
              </w:rPr>
              <w:t xml:space="preserve"> better at helping participants identify products high in saturated fats</w:t>
            </w:r>
            <w:r w:rsidRPr="00D475C9">
              <w:rPr>
                <w:rFonts w:eastAsia="Times New Roman"/>
                <w:sz w:val="12"/>
                <w:szCs w:val="12"/>
              </w:rPr>
              <w:br/>
              <w:t>3. Both systems helped participants identify critical nutrients in excess or not in the dairy products tested</w:t>
            </w:r>
          </w:p>
        </w:tc>
      </w:tr>
      <w:tr w14:paraId="3899BADA" w14:textId="77777777" w:rsidTr="00DF60F4">
        <w:tblPrEx>
          <w:tblW w:w="0" w:type="auto"/>
          <w:tblInd w:w="100" w:type="dxa"/>
          <w:tblLayout w:type="fixed"/>
          <w:tblCellMar>
            <w:left w:w="0" w:type="dxa"/>
            <w:right w:w="0" w:type="dxa"/>
          </w:tblCellMar>
          <w:tblLook w:val="01E0"/>
        </w:tblPrEx>
        <w:trPr>
          <w:trHeight w:val="1128"/>
        </w:trPr>
        <w:tc>
          <w:tcPr>
            <w:tcW w:w="1036" w:type="dxa"/>
          </w:tcPr>
          <w:p w:rsidR="005661F2" w:rsidRPr="00D475C9" w:rsidP="005661F2" w14:paraId="1C12CB1E" w14:textId="06ED9F85">
            <w:pPr>
              <w:pStyle w:val="TableParagraph"/>
              <w:spacing w:line="252" w:lineRule="auto"/>
              <w:ind w:right="133"/>
              <w:rPr>
                <w:rFonts w:eastAsia="Times New Roman"/>
                <w:color w:val="000000"/>
                <w:sz w:val="12"/>
                <w:szCs w:val="12"/>
              </w:rPr>
            </w:pPr>
            <w:r w:rsidRPr="00D475C9">
              <w:rPr>
                <w:rFonts w:eastAsia="Times New Roman"/>
                <w:color w:val="000000"/>
                <w:sz w:val="12"/>
                <w:szCs w:val="12"/>
              </w:rPr>
              <w:t>Silva et al.</w:t>
            </w:r>
          </w:p>
        </w:tc>
        <w:tc>
          <w:tcPr>
            <w:tcW w:w="2101" w:type="dxa"/>
          </w:tcPr>
          <w:p w:rsidR="005661F2" w:rsidRPr="00D475C9" w:rsidP="005661F2" w14:paraId="18070D07" w14:textId="650D56A1">
            <w:pPr>
              <w:pStyle w:val="TableParagraph"/>
              <w:spacing w:line="252" w:lineRule="auto"/>
              <w:ind w:right="102"/>
              <w:rPr>
                <w:rFonts w:eastAsia="Times New Roman"/>
                <w:color w:val="000000"/>
                <w:sz w:val="12"/>
                <w:szCs w:val="12"/>
              </w:rPr>
            </w:pPr>
            <w:r w:rsidRPr="00D475C9">
              <w:rPr>
                <w:rFonts w:eastAsia="Times New Roman"/>
                <w:color w:val="000000"/>
                <w:sz w:val="12"/>
                <w:szCs w:val="12"/>
              </w:rPr>
              <w:t>Perception of Portuguese Consumers Regarding Food Labeling</w:t>
            </w:r>
          </w:p>
        </w:tc>
        <w:tc>
          <w:tcPr>
            <w:tcW w:w="333" w:type="dxa"/>
          </w:tcPr>
          <w:p w:rsidR="005661F2" w:rsidRPr="00D475C9" w:rsidP="005661F2" w14:paraId="618B71D3" w14:textId="4BC149DC">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5661F2" w:rsidRPr="00D475C9" w:rsidP="005661F2" w14:paraId="3D9A92E7" w14:textId="513B61ED">
            <w:pPr>
              <w:pStyle w:val="TableParagraph"/>
              <w:spacing w:line="252" w:lineRule="auto"/>
              <w:ind w:left="29" w:right="173"/>
              <w:rPr>
                <w:rFonts w:eastAsia="Times New Roman"/>
                <w:sz w:val="12"/>
                <w:szCs w:val="12"/>
              </w:rPr>
            </w:pPr>
            <w:r w:rsidRPr="00D475C9">
              <w:rPr>
                <w:rFonts w:eastAsia="Times New Roman"/>
                <w:sz w:val="12"/>
                <w:szCs w:val="12"/>
              </w:rPr>
              <w:t>Quantitative</w:t>
            </w:r>
            <w:r w:rsidRPr="00D475C9">
              <w:rPr>
                <w:rFonts w:eastAsia="Times New Roman"/>
                <w:sz w:val="12"/>
                <w:szCs w:val="12"/>
              </w:rPr>
              <w:br/>
              <w:t>1. 467 participants completed a survey assessing perception and literacy regarding food labeling</w:t>
            </w:r>
          </w:p>
        </w:tc>
        <w:tc>
          <w:tcPr>
            <w:tcW w:w="1199" w:type="dxa"/>
          </w:tcPr>
          <w:p w:rsidR="005661F2" w:rsidRPr="00D475C9" w:rsidP="005661F2" w14:paraId="6E028D4B" w14:textId="6E28953D">
            <w:pPr>
              <w:pStyle w:val="TableParagraph"/>
              <w:spacing w:line="252" w:lineRule="auto"/>
              <w:ind w:right="121"/>
              <w:rPr>
                <w:rFonts w:eastAsia="Times New Roman"/>
                <w:sz w:val="12"/>
                <w:szCs w:val="12"/>
              </w:rPr>
            </w:pPr>
            <w:r w:rsidRPr="00D475C9">
              <w:rPr>
                <w:rFonts w:eastAsia="Times New Roman"/>
                <w:sz w:val="12"/>
                <w:szCs w:val="12"/>
              </w:rPr>
              <w:t xml:space="preserve">1. Nutrition Facts Panel (not FOP) </w:t>
            </w:r>
            <w:r w:rsidRPr="00D475C9">
              <w:rPr>
                <w:rFonts w:eastAsia="Times New Roman"/>
                <w:sz w:val="12"/>
                <w:szCs w:val="12"/>
              </w:rPr>
              <w:br/>
              <w:t>2. Guideline Daily Amount</w:t>
            </w:r>
            <w:r w:rsidRPr="00D475C9">
              <w:rPr>
                <w:rFonts w:eastAsia="Times New Roman"/>
                <w:sz w:val="12"/>
                <w:szCs w:val="12"/>
              </w:rPr>
              <w:br/>
              <w:t xml:space="preserve">3. Traffic Light </w:t>
            </w:r>
          </w:p>
        </w:tc>
        <w:tc>
          <w:tcPr>
            <w:tcW w:w="1204" w:type="dxa"/>
          </w:tcPr>
          <w:p w:rsidR="005661F2" w:rsidRPr="00D475C9" w:rsidP="005661F2" w14:paraId="72F36D3B" w14:textId="25F244B1">
            <w:pPr>
              <w:spacing w:after="0" w:line="240" w:lineRule="auto"/>
              <w:rPr>
                <w:rFonts w:ascii="Times New Roman" w:eastAsia="Times New Roman" w:hAnsi="Times New Roman" w:cs="Times New Roman"/>
                <w:noProof/>
                <w:color w:val="000000"/>
                <w:sz w:val="12"/>
                <w:szCs w:val="12"/>
                <w:lang w:eastAsia="en-US"/>
              </w:rPr>
            </w:pPr>
            <w:r w:rsidRPr="00D475C9">
              <w:rPr>
                <w:rFonts w:ascii="Times New Roman" w:eastAsia="Times New Roman" w:hAnsi="Times New Roman" w:cs="Times New Roman"/>
                <w:noProof/>
                <w:color w:val="000000"/>
                <w:sz w:val="12"/>
                <w:szCs w:val="12"/>
                <w:lang w:eastAsia="en-US"/>
              </w:rPr>
              <w:drawing>
                <wp:anchor distT="0" distB="0" distL="114300" distR="114300" simplePos="0" relativeHeight="251738112" behindDoc="0" locked="0" layoutInCell="1" allowOverlap="1">
                  <wp:simplePos x="0" y="0"/>
                  <wp:positionH relativeFrom="column">
                    <wp:posOffset>57150</wp:posOffset>
                  </wp:positionH>
                  <wp:positionV relativeFrom="paragraph">
                    <wp:posOffset>67310</wp:posOffset>
                  </wp:positionV>
                  <wp:extent cx="639233" cy="336550"/>
                  <wp:effectExtent l="0" t="0" r="8890" b="635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8"/>
                          <pic:cNvPicPr>
                            <a:picLocks noChangeAspect="1"/>
                          </pic:cNvPicPr>
                        </pic:nvPicPr>
                        <pic:blipFill>
                          <a:blip xmlns:r="http://schemas.openxmlformats.org/officeDocument/2006/relationships" r:embed="rId1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6040" cy="340134"/>
                          </a:xfrm>
                          <a:prstGeom prst="rect">
                            <a:avLst/>
                          </a:prstGeom>
                        </pic:spPr>
                      </pic:pic>
                    </a:graphicData>
                  </a:graphic>
                  <wp14:sizeRelH relativeFrom="page">
                    <wp14:pctWidth>0</wp14:pctWidth>
                  </wp14:sizeRelH>
                  <wp14:sizeRelV relativeFrom="page">
                    <wp14:pctHeight>0</wp14:pctHeight>
                  </wp14:sizeRelV>
                </wp:anchor>
              </w:drawing>
            </w:r>
          </w:p>
        </w:tc>
        <w:tc>
          <w:tcPr>
            <w:tcW w:w="550" w:type="dxa"/>
          </w:tcPr>
          <w:p w:rsidR="005661F2" w:rsidRPr="00D475C9" w:rsidP="005661F2" w14:paraId="7FB25B5A" w14:textId="209E4060">
            <w:pPr>
              <w:pStyle w:val="TableParagraph"/>
              <w:spacing w:line="140" w:lineRule="exact"/>
              <w:ind w:left="0" w:right="39"/>
              <w:jc w:val="center"/>
              <w:rPr>
                <w:rFonts w:eastAsia="Times New Roman"/>
                <w:sz w:val="12"/>
                <w:szCs w:val="12"/>
              </w:rPr>
            </w:pPr>
            <w:r w:rsidRPr="00D475C9">
              <w:rPr>
                <w:rFonts w:eastAsia="Times New Roman"/>
                <w:sz w:val="12"/>
                <w:szCs w:val="12"/>
              </w:rPr>
              <w:t>Portugal</w:t>
            </w:r>
          </w:p>
        </w:tc>
        <w:tc>
          <w:tcPr>
            <w:tcW w:w="3487" w:type="dxa"/>
          </w:tcPr>
          <w:p w:rsidR="005661F2" w:rsidRPr="00D475C9" w:rsidP="005661F2" w14:paraId="786793B0" w14:textId="6407C4DF">
            <w:pPr>
              <w:pStyle w:val="TableParagraph"/>
              <w:spacing w:line="252" w:lineRule="auto"/>
              <w:rPr>
                <w:rFonts w:eastAsia="Times New Roman"/>
                <w:sz w:val="12"/>
                <w:szCs w:val="12"/>
              </w:rPr>
            </w:pPr>
            <w:r w:rsidRPr="00D475C9">
              <w:rPr>
                <w:rFonts w:eastAsia="Times New Roman"/>
                <w:sz w:val="12"/>
                <w:szCs w:val="12"/>
              </w:rPr>
              <w:t>1. 84% of participants read the food label, but only 47% regularly read it; 20% of the participants understand all the information on the label</w:t>
            </w:r>
            <w:r w:rsidRPr="00D475C9">
              <w:rPr>
                <w:rFonts w:eastAsia="Times New Roman"/>
                <w:sz w:val="12"/>
                <w:szCs w:val="12"/>
              </w:rPr>
              <w:br/>
              <w:t xml:space="preserve">2. </w:t>
            </w:r>
            <w:r w:rsidR="004B6E26">
              <w:rPr>
                <w:rFonts w:eastAsia="Times New Roman"/>
                <w:sz w:val="12"/>
                <w:szCs w:val="12"/>
              </w:rPr>
              <w:t>FOP</w:t>
            </w:r>
            <w:r w:rsidRPr="00D475C9">
              <w:rPr>
                <w:rFonts w:eastAsia="Times New Roman"/>
                <w:sz w:val="12"/>
                <w:szCs w:val="12"/>
              </w:rPr>
              <w:t xml:space="preserve"> systems: Traffic Light was preferred format; most consumers understood the information transmitted in the </w:t>
            </w:r>
            <w:r w:rsidR="004B6E26">
              <w:rPr>
                <w:rFonts w:eastAsia="Times New Roman"/>
                <w:sz w:val="12"/>
                <w:szCs w:val="12"/>
              </w:rPr>
              <w:t>FOP</w:t>
            </w:r>
            <w:r w:rsidRPr="00D475C9">
              <w:rPr>
                <w:rFonts w:eastAsia="Times New Roman"/>
                <w:sz w:val="12"/>
                <w:szCs w:val="12"/>
              </w:rPr>
              <w:t xml:space="preserve"> system; 85% would change their eating behavior to decrease intake of products classified as nutritionally unbalanced according to the </w:t>
            </w:r>
            <w:r w:rsidR="004B6E26">
              <w:rPr>
                <w:rFonts w:eastAsia="Times New Roman"/>
                <w:sz w:val="12"/>
                <w:szCs w:val="12"/>
              </w:rPr>
              <w:t>FOP</w:t>
            </w:r>
            <w:r w:rsidRPr="00D475C9">
              <w:rPr>
                <w:rFonts w:eastAsia="Times New Roman"/>
                <w:sz w:val="12"/>
                <w:szCs w:val="12"/>
              </w:rPr>
              <w:t xml:space="preserve"> system</w:t>
            </w:r>
          </w:p>
        </w:tc>
      </w:tr>
      <w:tr w14:paraId="6A8AFDC4" w14:textId="77777777" w:rsidTr="00DF60F4">
        <w:tblPrEx>
          <w:tblW w:w="0" w:type="auto"/>
          <w:tblInd w:w="100" w:type="dxa"/>
          <w:tblLayout w:type="fixed"/>
          <w:tblCellMar>
            <w:left w:w="0" w:type="dxa"/>
            <w:right w:w="0" w:type="dxa"/>
          </w:tblCellMar>
          <w:tblLook w:val="01E0"/>
        </w:tblPrEx>
        <w:trPr>
          <w:trHeight w:val="1128"/>
        </w:trPr>
        <w:tc>
          <w:tcPr>
            <w:tcW w:w="1036" w:type="dxa"/>
          </w:tcPr>
          <w:p w:rsidR="005661F2" w:rsidRPr="00D475C9" w:rsidP="005661F2" w14:paraId="67F1DAF1" w14:textId="45810672">
            <w:pPr>
              <w:pStyle w:val="TableParagraph"/>
              <w:spacing w:line="252" w:lineRule="auto"/>
              <w:ind w:right="133"/>
              <w:rPr>
                <w:rFonts w:eastAsia="Times New Roman"/>
                <w:color w:val="000000"/>
                <w:sz w:val="12"/>
                <w:szCs w:val="12"/>
              </w:rPr>
            </w:pPr>
            <w:r w:rsidRPr="00D475C9">
              <w:rPr>
                <w:rFonts w:eastAsia="Times New Roman"/>
                <w:color w:val="000000"/>
                <w:sz w:val="12"/>
                <w:szCs w:val="12"/>
              </w:rPr>
              <w:t>Taillie; Higgins; Lazard; Miles; Blitstein; Hall</w:t>
            </w:r>
          </w:p>
        </w:tc>
        <w:tc>
          <w:tcPr>
            <w:tcW w:w="2101" w:type="dxa"/>
          </w:tcPr>
          <w:p w:rsidR="005661F2" w:rsidRPr="00D475C9" w:rsidP="005661F2" w14:paraId="4469336E" w14:textId="01E1293F">
            <w:pPr>
              <w:pStyle w:val="TableParagraph"/>
              <w:spacing w:line="252" w:lineRule="auto"/>
              <w:ind w:right="102"/>
              <w:rPr>
                <w:rFonts w:eastAsia="Times New Roman"/>
                <w:color w:val="000000"/>
                <w:sz w:val="12"/>
                <w:szCs w:val="12"/>
              </w:rPr>
            </w:pPr>
            <w:r w:rsidRPr="00D475C9">
              <w:rPr>
                <w:rFonts w:eastAsia="Times New Roman"/>
                <w:color w:val="000000"/>
                <w:sz w:val="12"/>
                <w:szCs w:val="12"/>
              </w:rPr>
              <w:t>Do sugar warning labels influence parents' selection of a labeled snack for their children? A randomized trial in a virtual convenience store</w:t>
            </w:r>
          </w:p>
        </w:tc>
        <w:tc>
          <w:tcPr>
            <w:tcW w:w="333" w:type="dxa"/>
          </w:tcPr>
          <w:p w:rsidR="005661F2" w:rsidRPr="00D475C9" w:rsidP="005661F2" w14:paraId="12E6E1AC" w14:textId="35F80398">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5661F2" w:rsidRPr="00D475C9" w:rsidP="005661F2" w14:paraId="3E6C4DBD" w14:textId="06AEB06C">
            <w:pPr>
              <w:pStyle w:val="TableParagraph"/>
              <w:spacing w:line="252" w:lineRule="auto"/>
              <w:ind w:left="29" w:right="173"/>
              <w:rPr>
                <w:rFonts w:eastAsia="Times New Roman"/>
                <w:sz w:val="12"/>
                <w:szCs w:val="12"/>
              </w:rPr>
            </w:pPr>
            <w:r w:rsidRPr="00D475C9">
              <w:rPr>
                <w:rFonts w:eastAsia="Times New Roman"/>
                <w:color w:val="000000"/>
                <w:sz w:val="12"/>
                <w:szCs w:val="12"/>
              </w:rPr>
              <w:t>Quantitative</w:t>
            </w:r>
            <w:r w:rsidRPr="00D475C9">
              <w:rPr>
                <w:rFonts w:eastAsia="Times New Roman"/>
                <w:color w:val="000000"/>
                <w:sz w:val="12"/>
                <w:szCs w:val="12"/>
              </w:rPr>
              <w:br/>
              <w:t>1. participants selected virtual products for their child, both with a text warning label, an image warning label, or no label with sugar content info</w:t>
            </w:r>
          </w:p>
        </w:tc>
        <w:tc>
          <w:tcPr>
            <w:tcW w:w="1199" w:type="dxa"/>
          </w:tcPr>
          <w:p w:rsidR="005661F2" w:rsidRPr="00D475C9" w:rsidP="005661F2" w14:paraId="5BEF25B9" w14:textId="76B2CD50">
            <w:pPr>
              <w:pStyle w:val="TableParagraph"/>
              <w:spacing w:line="252" w:lineRule="auto"/>
              <w:ind w:right="121"/>
              <w:rPr>
                <w:rFonts w:eastAsia="Times New Roman"/>
                <w:sz w:val="12"/>
                <w:szCs w:val="12"/>
              </w:rPr>
            </w:pPr>
            <w:r w:rsidRPr="00D475C9">
              <w:rPr>
                <w:rFonts w:eastAsia="Times New Roman"/>
                <w:color w:val="000000"/>
                <w:sz w:val="12"/>
                <w:szCs w:val="12"/>
              </w:rPr>
              <w:t>1. Black box with text warning</w:t>
            </w:r>
            <w:r w:rsidRPr="00D475C9">
              <w:rPr>
                <w:rFonts w:eastAsia="Times New Roman"/>
                <w:color w:val="000000"/>
                <w:sz w:val="12"/>
                <w:szCs w:val="12"/>
              </w:rPr>
              <w:br/>
              <w:t>2. Red box with image and text warning</w:t>
            </w:r>
          </w:p>
        </w:tc>
        <w:tc>
          <w:tcPr>
            <w:tcW w:w="1204" w:type="dxa"/>
          </w:tcPr>
          <w:p w:rsidR="005661F2" w:rsidRPr="00D475C9" w:rsidP="005661F2" w14:paraId="008710CA" w14:textId="447B6B1A">
            <w:pPr>
              <w:spacing w:after="0" w:line="240" w:lineRule="auto"/>
              <w:rPr>
                <w:rFonts w:ascii="Times New Roman" w:eastAsia="Times New Roman" w:hAnsi="Times New Roman" w:cs="Times New Roman"/>
                <w:noProof/>
                <w:color w:val="000000"/>
                <w:sz w:val="12"/>
                <w:szCs w:val="12"/>
                <w:lang w:eastAsia="en-US"/>
              </w:rPr>
            </w:pPr>
            <w:r w:rsidRPr="00D475C9">
              <w:rPr>
                <w:rFonts w:ascii="Calibri" w:eastAsia="Times New Roman" w:hAnsi="Calibri" w:cs="Calibri"/>
                <w:noProof/>
                <w:color w:val="000000"/>
                <w:sz w:val="12"/>
                <w:szCs w:val="12"/>
                <w:lang w:eastAsia="en-US"/>
              </w:rPr>
              <mc:AlternateContent>
                <mc:Choice Requires="wpg">
                  <w:drawing>
                    <wp:anchor distT="0" distB="0" distL="114300" distR="114300" simplePos="0" relativeHeight="251739136" behindDoc="0" locked="0" layoutInCell="1" allowOverlap="1">
                      <wp:simplePos x="0" y="0"/>
                      <wp:positionH relativeFrom="column">
                        <wp:posOffset>63500</wp:posOffset>
                      </wp:positionH>
                      <wp:positionV relativeFrom="paragraph">
                        <wp:posOffset>86360</wp:posOffset>
                      </wp:positionV>
                      <wp:extent cx="640080" cy="304800"/>
                      <wp:effectExtent l="0" t="0" r="7620" b="0"/>
                      <wp:wrapNone/>
                      <wp:docPr id="40" name="Group 40"/>
                      <wp:cNvGraphicFramePr>
                        <a:graphicFrameLocks xmlns:a="http://schemas.openxmlformats.org/drawingml/2006/main" noChangeAspect="1"/>
                      </wp:cNvGraphicFramePr>
                      <a:graphic xmlns:a="http://schemas.openxmlformats.org/drawingml/2006/main">
                        <a:graphicData uri="http://schemas.microsoft.com/office/word/2010/wordprocessingGroup">
                          <wpg:wgp xmlns:wpg="http://schemas.microsoft.com/office/word/2010/wordprocessingGroup">
                            <wpg:cNvGrpSpPr>
                              <a:grpSpLocks noChangeAspect="1"/>
                            </wpg:cNvGrpSpPr>
                            <wpg:grpSpPr>
                              <a:xfrm>
                                <a:off x="0" y="0"/>
                                <a:ext cx="640080" cy="304800"/>
                                <a:chOff x="0" y="0"/>
                                <a:chExt cx="1471082" cy="744899"/>
                              </a:xfrm>
                            </wpg:grpSpPr>
                            <pic:pic xmlns:pic="http://schemas.openxmlformats.org/drawingml/2006/picture">
                              <pic:nvPicPr>
                                <pic:cNvPr id="80" name="Picture 80"/>
                                <pic:cNvPicPr>
                                  <a:picLocks noChangeAspect="1"/>
                                </pic:cNvPicPr>
                              </pic:nvPicPr>
                              <pic:blipFill>
                                <a:blip xmlns:r="http://schemas.openxmlformats.org/officeDocument/2006/relationships" r:embed="rId1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7670" cy="740833"/>
                                </a:xfrm>
                                <a:prstGeom prst="rect">
                                  <a:avLst/>
                                </a:prstGeom>
                              </pic:spPr>
                            </pic:pic>
                            <pic:pic xmlns:pic="http://schemas.openxmlformats.org/drawingml/2006/picture">
                              <pic:nvPicPr>
                                <pic:cNvPr id="82" name="Picture 82"/>
                                <pic:cNvPicPr>
                                  <a:picLocks noChangeAspect="1"/>
                                </pic:cNvPicPr>
                              </pic:nvPicPr>
                              <pic:blipFill>
                                <a:blip xmlns:r="http://schemas.openxmlformats.org/officeDocument/2006/relationships" r:embed="rId124" cstate="print">
                                  <a:extLst>
                                    <a:ext xmlns:a="http://schemas.openxmlformats.org/drawingml/2006/main" uri="{28A0092B-C50C-407E-A947-70E740481C1C}">
                                      <a14:useLocalDpi xmlns:a14="http://schemas.microsoft.com/office/drawing/2010/main" val="0"/>
                                    </a:ext>
                                  </a:extLst>
                                </a:blip>
                                <a:stretch>
                                  <a:fillRect/>
                                </a:stretch>
                              </pic:blipFill>
                              <pic:spPr>
                                <a:xfrm>
                                  <a:off x="751415" y="21166"/>
                                  <a:ext cx="719667" cy="723733"/>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40" o:spid="_x0000_s1089" style="width:50.4pt;height:24pt;margin-top:6.8pt;margin-left:5pt;position:absolute;z-index:251740160" coordsize="14710,7448">
                      <o:lock v:ext="edit" aspectratio="t"/>
                      <v:shape id="Picture 80" o:spid="_x0000_s1090" type="#_x0000_t75" style="width:7576;height:7408;mso-wrap-style:square;position:absolute;visibility:visible">
                        <v:imagedata r:id="rId123" o:title=""/>
                      </v:shape>
                      <v:shape id="Picture 82" o:spid="_x0000_s1091" type="#_x0000_t75" style="width:7196;height:7237;left:7514;mso-wrap-style:square;position:absolute;top:211;visibility:visible">
                        <v:imagedata r:id="rId124" o:title=""/>
                      </v:shape>
                    </v:group>
                  </w:pict>
                </mc:Fallback>
              </mc:AlternateContent>
            </w:r>
          </w:p>
        </w:tc>
        <w:tc>
          <w:tcPr>
            <w:tcW w:w="550" w:type="dxa"/>
          </w:tcPr>
          <w:p w:rsidR="005661F2" w:rsidRPr="00D475C9" w:rsidP="005661F2" w14:paraId="589BBC0B" w14:textId="3C29D07F">
            <w:pPr>
              <w:pStyle w:val="TableParagraph"/>
              <w:spacing w:line="140" w:lineRule="exact"/>
              <w:ind w:left="0" w:right="39"/>
              <w:jc w:val="center"/>
              <w:rPr>
                <w:rFonts w:eastAsia="Times New Roman"/>
                <w:sz w:val="12"/>
                <w:szCs w:val="12"/>
              </w:rPr>
            </w:pPr>
            <w:r w:rsidRPr="00D475C9">
              <w:rPr>
                <w:rFonts w:eastAsia="Times New Roman"/>
                <w:color w:val="000000"/>
                <w:sz w:val="12"/>
                <w:szCs w:val="12"/>
              </w:rPr>
              <w:t>U.S.</w:t>
            </w:r>
          </w:p>
        </w:tc>
        <w:tc>
          <w:tcPr>
            <w:tcW w:w="3487" w:type="dxa"/>
          </w:tcPr>
          <w:p w:rsidR="005661F2" w:rsidRPr="00D475C9" w:rsidP="005661F2" w14:paraId="6989E7B5" w14:textId="2B307EA4">
            <w:pPr>
              <w:pStyle w:val="TableParagraph"/>
              <w:spacing w:line="252" w:lineRule="auto"/>
              <w:rPr>
                <w:rFonts w:eastAsia="Times New Roman"/>
                <w:sz w:val="12"/>
                <w:szCs w:val="12"/>
              </w:rPr>
            </w:pPr>
            <w:r w:rsidRPr="00D475C9">
              <w:rPr>
                <w:rFonts w:eastAsia="Times New Roman"/>
                <w:color w:val="000000"/>
                <w:sz w:val="12"/>
                <w:szCs w:val="12"/>
              </w:rPr>
              <w:t>1. Both warning labels decreased likelihood that participants would select the snack compared to control</w:t>
            </w:r>
            <w:r w:rsidRPr="00D475C9">
              <w:rPr>
                <w:rFonts w:eastAsia="Times New Roman"/>
                <w:color w:val="000000"/>
                <w:sz w:val="12"/>
                <w:szCs w:val="12"/>
              </w:rPr>
              <w:br/>
              <w:t>2. Both labels resulted in greater attention, anticipated social interactions, negative affect, cognitive elaboration, perceived effectiveness, and lower perceptions of healthfulness, appeal, and intentions to purchase or consume the product</w:t>
            </w:r>
            <w:r w:rsidRPr="00D475C9">
              <w:rPr>
                <w:rFonts w:eastAsia="Times New Roman"/>
                <w:color w:val="000000"/>
                <w:sz w:val="12"/>
                <w:szCs w:val="12"/>
              </w:rPr>
              <w:br/>
              <w:t>3. No differences between text and pictorial sugar warning labels</w:t>
            </w:r>
          </w:p>
        </w:tc>
      </w:tr>
      <w:tr w14:paraId="2685A735" w14:textId="77777777" w:rsidTr="00DF60F4">
        <w:tblPrEx>
          <w:tblW w:w="0" w:type="auto"/>
          <w:tblInd w:w="100" w:type="dxa"/>
          <w:tblLayout w:type="fixed"/>
          <w:tblCellMar>
            <w:left w:w="0" w:type="dxa"/>
            <w:right w:w="0" w:type="dxa"/>
          </w:tblCellMar>
          <w:tblLook w:val="01E0"/>
        </w:tblPrEx>
        <w:trPr>
          <w:trHeight w:val="1128"/>
        </w:trPr>
        <w:tc>
          <w:tcPr>
            <w:tcW w:w="1036" w:type="dxa"/>
          </w:tcPr>
          <w:p w:rsidR="005661F2" w:rsidRPr="00D475C9" w:rsidP="005661F2" w14:paraId="4A7C5F8F" w14:textId="3236B025">
            <w:pPr>
              <w:pStyle w:val="TableParagraph"/>
              <w:spacing w:line="252" w:lineRule="auto"/>
              <w:ind w:right="133"/>
              <w:rPr>
                <w:rFonts w:eastAsia="Times New Roman"/>
                <w:color w:val="000000"/>
                <w:sz w:val="12"/>
                <w:szCs w:val="12"/>
              </w:rPr>
            </w:pPr>
            <w:r w:rsidRPr="00D475C9">
              <w:rPr>
                <w:rFonts w:eastAsia="Times New Roman"/>
                <w:color w:val="000000"/>
                <w:sz w:val="12"/>
                <w:szCs w:val="12"/>
              </w:rPr>
              <w:t>Todd, et al.</w:t>
            </w:r>
          </w:p>
        </w:tc>
        <w:tc>
          <w:tcPr>
            <w:tcW w:w="2101" w:type="dxa"/>
          </w:tcPr>
          <w:p w:rsidR="005661F2" w:rsidRPr="00D475C9" w:rsidP="005661F2" w14:paraId="206AC3BF" w14:textId="77105B59">
            <w:pPr>
              <w:pStyle w:val="TableParagraph"/>
              <w:spacing w:line="252" w:lineRule="auto"/>
              <w:ind w:right="102"/>
              <w:rPr>
                <w:rFonts w:eastAsia="Times New Roman"/>
                <w:color w:val="000000"/>
                <w:sz w:val="12"/>
                <w:szCs w:val="12"/>
              </w:rPr>
            </w:pPr>
            <w:r w:rsidRPr="00D475C9">
              <w:rPr>
                <w:rFonts w:eastAsia="Times New Roman"/>
                <w:color w:val="000000"/>
                <w:sz w:val="12"/>
                <w:szCs w:val="12"/>
              </w:rPr>
              <w:t>Healthy or Not Healthy? A Mixed-Methods Approach to Evaluate Front-of-Pack Nutrition Labels as a Tool to Guide Consumers</w:t>
            </w:r>
          </w:p>
        </w:tc>
        <w:tc>
          <w:tcPr>
            <w:tcW w:w="333" w:type="dxa"/>
          </w:tcPr>
          <w:p w:rsidR="005661F2" w:rsidRPr="00D475C9" w:rsidP="005661F2" w14:paraId="3AE44536" w14:textId="498D525A">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5661F2" w:rsidRPr="00D475C9" w:rsidP="005661F2" w14:paraId="624005C0" w14:textId="1918825F">
            <w:pPr>
              <w:pStyle w:val="TableParagraph"/>
              <w:spacing w:line="252" w:lineRule="auto"/>
              <w:ind w:left="29" w:right="173"/>
              <w:rPr>
                <w:rFonts w:eastAsia="Times New Roman"/>
                <w:color w:val="000000"/>
                <w:sz w:val="12"/>
                <w:szCs w:val="12"/>
              </w:rPr>
            </w:pPr>
            <w:r w:rsidRPr="00D475C9">
              <w:rPr>
                <w:rFonts w:eastAsia="Times New Roman"/>
                <w:sz w:val="12"/>
                <w:szCs w:val="12"/>
              </w:rPr>
              <w:t>Qualitative and Quantitative</w:t>
            </w:r>
            <w:r w:rsidRPr="00D475C9">
              <w:rPr>
                <w:rFonts w:eastAsia="Times New Roman"/>
                <w:sz w:val="12"/>
                <w:szCs w:val="12"/>
              </w:rPr>
              <w:br/>
              <w:t>1. In depth interviews with 49 participants asked about challenges faced when using food labeling and ways in which labeling could be improved</w:t>
            </w:r>
            <w:r w:rsidRPr="00D475C9">
              <w:rPr>
                <w:rFonts w:eastAsia="Times New Roman"/>
                <w:sz w:val="12"/>
                <w:szCs w:val="12"/>
              </w:rPr>
              <w:br/>
              <w:t xml:space="preserve">2. 1261 participants used an online survey to assess 2 </w:t>
            </w:r>
            <w:r w:rsidR="004B6E26">
              <w:rPr>
                <w:rFonts w:eastAsia="Times New Roman"/>
                <w:sz w:val="12"/>
                <w:szCs w:val="12"/>
              </w:rPr>
              <w:t>FOP</w:t>
            </w:r>
            <w:r w:rsidRPr="00D475C9">
              <w:rPr>
                <w:rFonts w:eastAsia="Times New Roman"/>
                <w:sz w:val="12"/>
                <w:szCs w:val="12"/>
              </w:rPr>
              <w:t>s relative to no label and rate a cereal product</w:t>
            </w:r>
          </w:p>
        </w:tc>
        <w:tc>
          <w:tcPr>
            <w:tcW w:w="1199" w:type="dxa"/>
          </w:tcPr>
          <w:p w:rsidR="005661F2" w:rsidRPr="00D475C9" w:rsidP="005661F2" w14:paraId="4D298E7C" w14:textId="219F664E">
            <w:pPr>
              <w:pStyle w:val="TableParagraph"/>
              <w:spacing w:line="252" w:lineRule="auto"/>
              <w:ind w:right="121"/>
              <w:rPr>
                <w:rFonts w:eastAsia="Times New Roman"/>
                <w:color w:val="000000"/>
                <w:sz w:val="12"/>
                <w:szCs w:val="12"/>
              </w:rPr>
            </w:pPr>
            <w:r w:rsidRPr="00D475C9">
              <w:rPr>
                <w:rFonts w:eastAsia="Times New Roman"/>
                <w:color w:val="000000"/>
                <w:sz w:val="12"/>
                <w:szCs w:val="12"/>
              </w:rPr>
              <w:t>1. Health Star Rating</w:t>
            </w:r>
            <w:r w:rsidRPr="00D475C9">
              <w:rPr>
                <w:rFonts w:eastAsia="Times New Roman"/>
                <w:color w:val="000000"/>
                <w:sz w:val="12"/>
                <w:szCs w:val="12"/>
              </w:rPr>
              <w:br/>
              <w:t>2. Guideline Daily Amount</w:t>
            </w:r>
            <w:r w:rsidRPr="00D475C9">
              <w:rPr>
                <w:rFonts w:eastAsia="Times New Roman"/>
                <w:color w:val="000000"/>
                <w:sz w:val="12"/>
                <w:szCs w:val="12"/>
              </w:rPr>
              <w:br/>
              <w:t xml:space="preserve">3. Warning labels </w:t>
            </w:r>
            <w:r w:rsidRPr="00D475C9">
              <w:rPr>
                <w:rFonts w:eastAsia="Times New Roman"/>
                <w:color w:val="000000"/>
                <w:sz w:val="12"/>
                <w:szCs w:val="12"/>
              </w:rPr>
              <w:br/>
              <w:t>4. Endorsement logos</w:t>
            </w:r>
          </w:p>
        </w:tc>
        <w:tc>
          <w:tcPr>
            <w:tcW w:w="1204" w:type="dxa"/>
          </w:tcPr>
          <w:p w:rsidR="005661F2" w:rsidRPr="00D475C9" w:rsidP="005661F2" w14:paraId="4E4C0EED" w14:textId="7B247541">
            <w:pPr>
              <w:spacing w:after="0" w:line="240" w:lineRule="auto"/>
              <w:rPr>
                <w:rFonts w:ascii="Calibri" w:eastAsia="Times New Roman" w:hAnsi="Calibri" w:cs="Calibri"/>
                <w:noProof/>
                <w:color w:val="000000"/>
                <w:sz w:val="12"/>
                <w:szCs w:val="12"/>
                <w:lang w:eastAsia="en-US"/>
              </w:rPr>
            </w:pPr>
            <w:r w:rsidRPr="00D475C9">
              <w:rPr>
                <w:rFonts w:ascii="Times New Roman" w:eastAsia="Times New Roman" w:hAnsi="Times New Roman" w:cs="Times New Roman"/>
                <w:noProof/>
                <w:color w:val="000000"/>
                <w:sz w:val="12"/>
                <w:szCs w:val="12"/>
                <w:lang w:eastAsia="en-US"/>
              </w:rPr>
              <mc:AlternateContent>
                <mc:Choice Requires="wpg">
                  <w:drawing>
                    <wp:anchor distT="0" distB="0" distL="114300" distR="114300" simplePos="0" relativeHeight="251741184" behindDoc="0" locked="0" layoutInCell="1" allowOverlap="1">
                      <wp:simplePos x="0" y="0"/>
                      <wp:positionH relativeFrom="column">
                        <wp:posOffset>57150</wp:posOffset>
                      </wp:positionH>
                      <wp:positionV relativeFrom="paragraph">
                        <wp:posOffset>57150</wp:posOffset>
                      </wp:positionV>
                      <wp:extent cx="640080" cy="192024"/>
                      <wp:effectExtent l="0" t="0" r="7620" b="0"/>
                      <wp:wrapNone/>
                      <wp:docPr id="38" name="Group 38"/>
                      <wp:cNvGraphicFramePr>
                        <a:graphicFrameLocks xmlns:a="http://schemas.openxmlformats.org/drawingml/2006/main" noChangeAspect="1"/>
                      </wp:cNvGraphicFramePr>
                      <a:graphic xmlns:a="http://schemas.openxmlformats.org/drawingml/2006/main">
                        <a:graphicData uri="http://schemas.microsoft.com/office/word/2010/wordprocessingGroup">
                          <wpg:wgp xmlns:wpg="http://schemas.microsoft.com/office/word/2010/wordprocessingGroup">
                            <wpg:cNvGrpSpPr>
                              <a:grpSpLocks noChangeAspect="1"/>
                            </wpg:cNvGrpSpPr>
                            <wpg:grpSpPr>
                              <a:xfrm>
                                <a:off x="0" y="0"/>
                                <a:ext cx="640080" cy="192024"/>
                                <a:chOff x="0" y="0"/>
                                <a:chExt cx="1945500" cy="989914"/>
                              </a:xfrm>
                            </wpg:grpSpPr>
                            <pic:pic xmlns:pic="http://schemas.openxmlformats.org/drawingml/2006/picture">
                              <pic:nvPicPr>
                                <pic:cNvPr id="72" name="Picture 72"/>
                                <pic:cNvPicPr>
                                  <a:picLocks noChangeAspect="1"/>
                                </pic:cNvPicPr>
                              </pic:nvPicPr>
                              <pic:blipFill>
                                <a:blip xmlns:r="http://schemas.openxmlformats.org/officeDocument/2006/relationships" r:embed="rId125" cstate="print">
                                  <a:extLst>
                                    <a:ext xmlns:a="http://schemas.openxmlformats.org/drawingml/2006/main" uri="{28A0092B-C50C-407E-A947-70E740481C1C}">
                                      <a14:useLocalDpi xmlns:a14="http://schemas.microsoft.com/office/drawing/2010/main" val="0"/>
                                    </a:ext>
                                  </a:extLst>
                                </a:blip>
                                <a:stretch>
                                  <a:fillRect/>
                                </a:stretch>
                              </pic:blipFill>
                              <pic:spPr>
                                <a:xfrm>
                                  <a:off x="1212075" y="585578"/>
                                  <a:ext cx="714375" cy="387679"/>
                                </a:xfrm>
                                <a:prstGeom prst="rect">
                                  <a:avLst/>
                                </a:prstGeom>
                              </pic:spPr>
                            </pic:pic>
                            <pic:pic xmlns:pic="http://schemas.openxmlformats.org/drawingml/2006/picture">
                              <pic:nvPicPr>
                                <pic:cNvPr id="74" name="Picture 74"/>
                                <pic:cNvPicPr>
                                  <a:picLocks noChangeAspect="1"/>
                                </pic:cNvPicPr>
                              </pic:nvPicPr>
                              <pic:blipFill>
                                <a:blip xmlns:r="http://schemas.openxmlformats.org/officeDocument/2006/relationships" r:embed="rId126" cstate="print">
                                  <a:extLst>
                                    <a:ext xmlns:a="http://schemas.openxmlformats.org/drawingml/2006/main" uri="{28A0092B-C50C-407E-A947-70E740481C1C}">
                                      <a14:useLocalDpi xmlns:a14="http://schemas.microsoft.com/office/drawing/2010/main" val="0"/>
                                    </a:ext>
                                  </a:extLst>
                                </a:blip>
                                <a:stretch>
                                  <a:fillRect/>
                                </a:stretch>
                              </pic:blipFill>
                              <pic:spPr>
                                <a:xfrm>
                                  <a:off x="0" y="604062"/>
                                  <a:ext cx="1173975" cy="385852"/>
                                </a:xfrm>
                                <a:prstGeom prst="rect">
                                  <a:avLst/>
                                </a:prstGeom>
                              </pic:spPr>
                            </pic:pic>
                            <pic:pic xmlns:pic="http://schemas.openxmlformats.org/drawingml/2006/picture">
                              <pic:nvPicPr>
                                <pic:cNvPr id="76" name="Picture 76"/>
                                <pic:cNvPicPr>
                                  <a:picLocks noChangeAspect="1"/>
                                </pic:cNvPicPr>
                              </pic:nvPicPr>
                              <pic:blipFill>
                                <a:blip xmlns:r="http://schemas.openxmlformats.org/officeDocument/2006/relationships" r:embed="rId127" cstate="print">
                                  <a:extLst>
                                    <a:ext xmlns:a="http://schemas.openxmlformats.org/drawingml/2006/main" uri="{28A0092B-C50C-407E-A947-70E740481C1C}">
                                      <a14:useLocalDpi xmlns:a14="http://schemas.microsoft.com/office/drawing/2010/main" val="0"/>
                                    </a:ext>
                                  </a:extLst>
                                </a:blip>
                                <a:stretch>
                                  <a:fillRect/>
                                </a:stretch>
                              </pic:blipFill>
                              <pic:spPr>
                                <a:xfrm>
                                  <a:off x="578625" y="0"/>
                                  <a:ext cx="1366875" cy="444589"/>
                                </a:xfrm>
                                <a:prstGeom prst="rect">
                                  <a:avLst/>
                                </a:prstGeom>
                              </pic:spPr>
                            </pic:pic>
                            <pic:pic xmlns:pic="http://schemas.openxmlformats.org/drawingml/2006/picture">
                              <pic:nvPicPr>
                                <pic:cNvPr id="78" name="Picture 78"/>
                                <pic:cNvPicPr>
                                  <a:picLocks noChangeAspect="1"/>
                                </pic:cNvPicPr>
                              </pic:nvPicPr>
                              <pic:blipFill>
                                <a:blip xmlns:r="http://schemas.openxmlformats.org/officeDocument/2006/relationships" r:embed="rId128" cstate="print">
                                  <a:extLst>
                                    <a:ext xmlns:a="http://schemas.openxmlformats.org/drawingml/2006/main" uri="{28A0092B-C50C-407E-A947-70E740481C1C}">
                                      <a14:useLocalDpi xmlns:a14="http://schemas.microsoft.com/office/drawing/2010/main" val="0"/>
                                    </a:ext>
                                  </a:extLst>
                                </a:blip>
                                <a:stretch>
                                  <a:fillRect/>
                                </a:stretch>
                              </pic:blipFill>
                              <pic:spPr>
                                <a:xfrm>
                                  <a:off x="23775" y="1588"/>
                                  <a:ext cx="557137" cy="488213"/>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8" o:spid="_x0000_s1092" style="width:50.4pt;height:15.1pt;margin-top:4.5pt;margin-left:4.5pt;position:absolute;z-index:251742208" coordsize="19455,9899">
                      <o:lock v:ext="edit" aspectratio="t"/>
                      <v:shape id="Picture 72" o:spid="_x0000_s1093" type="#_x0000_t75" style="width:7144;height:3877;left:12120;mso-wrap-style:square;position:absolute;top:5855;visibility:visible">
                        <v:imagedata r:id="rId125" o:title=""/>
                      </v:shape>
                      <v:shape id="Picture 74" o:spid="_x0000_s1094" type="#_x0000_t75" style="width:11739;height:3859;mso-wrap-style:square;position:absolute;top:6040;visibility:visible">
                        <v:imagedata r:id="rId126" o:title=""/>
                      </v:shape>
                      <v:shape id="Picture 76" o:spid="_x0000_s1095" type="#_x0000_t75" style="width:13669;height:4445;left:5786;mso-wrap-style:square;position:absolute;visibility:visible">
                        <v:imagedata r:id="rId127" o:title=""/>
                      </v:shape>
                      <v:shape id="Picture 78" o:spid="_x0000_s1096" type="#_x0000_t75" style="width:5572;height:4883;left:237;mso-wrap-style:square;position:absolute;top:15;visibility:visible">
                        <v:imagedata r:id="rId128" o:title=""/>
                      </v:shape>
                    </v:group>
                  </w:pict>
                </mc:Fallback>
              </mc:AlternateContent>
            </w:r>
          </w:p>
        </w:tc>
        <w:tc>
          <w:tcPr>
            <w:tcW w:w="550" w:type="dxa"/>
          </w:tcPr>
          <w:p w:rsidR="005661F2" w:rsidRPr="00D475C9" w:rsidP="005661F2" w14:paraId="56E578CE" w14:textId="5CF45DFD">
            <w:pPr>
              <w:pStyle w:val="TableParagraph"/>
              <w:spacing w:line="140" w:lineRule="exact"/>
              <w:ind w:left="0" w:right="39"/>
              <w:jc w:val="center"/>
              <w:rPr>
                <w:rFonts w:eastAsia="Times New Roman"/>
                <w:color w:val="000000"/>
                <w:sz w:val="12"/>
                <w:szCs w:val="12"/>
              </w:rPr>
            </w:pPr>
            <w:r w:rsidRPr="00D475C9">
              <w:rPr>
                <w:rFonts w:eastAsia="Times New Roman"/>
                <w:sz w:val="12"/>
                <w:szCs w:val="12"/>
              </w:rPr>
              <w:t>South Africa</w:t>
            </w:r>
          </w:p>
        </w:tc>
        <w:tc>
          <w:tcPr>
            <w:tcW w:w="3487" w:type="dxa"/>
          </w:tcPr>
          <w:p w:rsidR="005661F2" w:rsidRPr="00D475C9" w:rsidP="005661F2" w14:paraId="3C586774" w14:textId="25C69C7C">
            <w:pPr>
              <w:pStyle w:val="TableParagraph"/>
              <w:spacing w:line="252" w:lineRule="auto"/>
              <w:rPr>
                <w:rFonts w:eastAsia="Times New Roman"/>
                <w:color w:val="000000"/>
                <w:sz w:val="12"/>
                <w:szCs w:val="12"/>
              </w:rPr>
            </w:pPr>
            <w:r w:rsidRPr="00D475C9">
              <w:rPr>
                <w:rFonts w:eastAsia="Times New Roman"/>
                <w:sz w:val="12"/>
                <w:szCs w:val="12"/>
              </w:rPr>
              <w:t>1. Interview results: "make it clearer", "make it simpler", "make it smarter"</w:t>
            </w:r>
            <w:r w:rsidRPr="00D475C9">
              <w:rPr>
                <w:rFonts w:eastAsia="Times New Roman"/>
                <w:sz w:val="12"/>
                <w:szCs w:val="12"/>
              </w:rPr>
              <w:br/>
              <w:t>2. Labels will not replace education about nutrient</w:t>
            </w:r>
            <w:r w:rsidRPr="00D475C9">
              <w:rPr>
                <w:rFonts w:eastAsia="Times New Roman"/>
                <w:sz w:val="12"/>
                <w:szCs w:val="12"/>
              </w:rPr>
              <w:br/>
              <w:t>3. In helping consumers identify less healthy products, Health warnings and low health star ratings were most effective.</w:t>
            </w:r>
          </w:p>
        </w:tc>
      </w:tr>
      <w:tr w14:paraId="6DA68E21" w14:textId="77777777" w:rsidTr="00DF60F4">
        <w:tblPrEx>
          <w:tblW w:w="0" w:type="auto"/>
          <w:tblInd w:w="100" w:type="dxa"/>
          <w:tblLayout w:type="fixed"/>
          <w:tblCellMar>
            <w:left w:w="0" w:type="dxa"/>
            <w:right w:w="0" w:type="dxa"/>
          </w:tblCellMar>
          <w:tblLook w:val="01E0"/>
        </w:tblPrEx>
        <w:trPr>
          <w:trHeight w:val="1128"/>
        </w:trPr>
        <w:tc>
          <w:tcPr>
            <w:tcW w:w="1036" w:type="dxa"/>
          </w:tcPr>
          <w:p w:rsidR="005661F2" w:rsidRPr="00D475C9" w:rsidP="005661F2" w14:paraId="26FA6586" w14:textId="614B66CF">
            <w:pPr>
              <w:pStyle w:val="TableParagraph"/>
              <w:spacing w:line="252" w:lineRule="auto"/>
              <w:ind w:right="133"/>
              <w:rPr>
                <w:rFonts w:eastAsia="Times New Roman"/>
                <w:color w:val="000000"/>
                <w:sz w:val="12"/>
                <w:szCs w:val="12"/>
              </w:rPr>
            </w:pPr>
            <w:r w:rsidRPr="00D475C9">
              <w:rPr>
                <w:rFonts w:eastAsia="Times New Roman"/>
                <w:color w:val="000000"/>
                <w:sz w:val="12"/>
                <w:szCs w:val="12"/>
              </w:rPr>
              <w:t xml:space="preserve">van den Akker; Bartelet; Brouwer; </w:t>
            </w:r>
            <w:r w:rsidRPr="00D475C9">
              <w:rPr>
                <w:rFonts w:eastAsia="Times New Roman"/>
                <w:color w:val="000000"/>
                <w:sz w:val="12"/>
                <w:szCs w:val="12"/>
              </w:rPr>
              <w:t>Luijpers;  Nap</w:t>
            </w:r>
            <w:r w:rsidRPr="00D475C9">
              <w:rPr>
                <w:rFonts w:eastAsia="Times New Roman"/>
                <w:color w:val="000000"/>
                <w:sz w:val="12"/>
                <w:szCs w:val="12"/>
              </w:rPr>
              <w:t>; Havermans</w:t>
            </w:r>
          </w:p>
        </w:tc>
        <w:tc>
          <w:tcPr>
            <w:tcW w:w="2101" w:type="dxa"/>
          </w:tcPr>
          <w:p w:rsidR="005661F2" w:rsidRPr="00D475C9" w:rsidP="005661F2" w14:paraId="6F157A94" w14:textId="5C4E2471">
            <w:pPr>
              <w:pStyle w:val="TableParagraph"/>
              <w:spacing w:line="252" w:lineRule="auto"/>
              <w:ind w:right="102"/>
              <w:rPr>
                <w:rFonts w:eastAsia="Times New Roman"/>
                <w:color w:val="000000"/>
                <w:sz w:val="12"/>
                <w:szCs w:val="12"/>
              </w:rPr>
            </w:pPr>
            <w:r w:rsidRPr="00D475C9">
              <w:rPr>
                <w:rFonts w:eastAsia="Times New Roman"/>
                <w:color w:val="000000"/>
                <w:sz w:val="12"/>
                <w:szCs w:val="12"/>
              </w:rPr>
              <w:t xml:space="preserve">The impact of the </w:t>
            </w:r>
            <w:r w:rsidR="004B6E26">
              <w:rPr>
                <w:rFonts w:eastAsia="Times New Roman"/>
                <w:color w:val="000000"/>
                <w:sz w:val="12"/>
                <w:szCs w:val="12"/>
              </w:rPr>
              <w:t>Nutri-Score</w:t>
            </w:r>
            <w:r w:rsidRPr="00D475C9">
              <w:rPr>
                <w:rFonts w:eastAsia="Times New Roman"/>
                <w:color w:val="000000"/>
                <w:sz w:val="12"/>
                <w:szCs w:val="12"/>
              </w:rPr>
              <w:t xml:space="preserve"> on food choice: A choice experiment in a Dutch supermarket</w:t>
            </w:r>
          </w:p>
        </w:tc>
        <w:tc>
          <w:tcPr>
            <w:tcW w:w="333" w:type="dxa"/>
          </w:tcPr>
          <w:p w:rsidR="005661F2" w:rsidRPr="00D475C9" w:rsidP="005661F2" w14:paraId="260C62BF" w14:textId="28CCA573">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5661F2" w:rsidRPr="00D475C9" w:rsidP="005661F2" w14:paraId="44351147" w14:textId="3CD8EA27">
            <w:pPr>
              <w:pStyle w:val="TableParagraph"/>
              <w:spacing w:line="252" w:lineRule="auto"/>
              <w:ind w:left="29" w:right="173"/>
              <w:rPr>
                <w:rFonts w:eastAsia="Times New Roman"/>
                <w:sz w:val="12"/>
                <w:szCs w:val="12"/>
              </w:rPr>
            </w:pPr>
            <w:r w:rsidRPr="00D475C9">
              <w:rPr>
                <w:rFonts w:eastAsia="Times New Roman"/>
                <w:color w:val="000000"/>
                <w:sz w:val="12"/>
                <w:szCs w:val="12"/>
              </w:rPr>
              <w:t>Quantitative</w:t>
            </w:r>
            <w:r w:rsidRPr="00D475C9">
              <w:rPr>
                <w:rFonts w:eastAsia="Times New Roman"/>
                <w:color w:val="000000"/>
                <w:sz w:val="12"/>
                <w:szCs w:val="12"/>
              </w:rPr>
              <w:br/>
              <w:t>1. 300 participants randomly assigned to one of three conditions (</w:t>
            </w:r>
            <w:r w:rsidR="004B6E26">
              <w:rPr>
                <w:rFonts w:eastAsia="Times New Roman"/>
                <w:color w:val="000000"/>
                <w:sz w:val="12"/>
                <w:szCs w:val="12"/>
              </w:rPr>
              <w:t>Nutri-Score</w:t>
            </w:r>
            <w:r w:rsidRPr="00D475C9">
              <w:rPr>
                <w:rFonts w:eastAsia="Times New Roman"/>
                <w:color w:val="000000"/>
                <w:sz w:val="12"/>
                <w:szCs w:val="12"/>
              </w:rPr>
              <w:t>, Multiple Traffic Light, no label), presented with 6 cereals and asked to choose.</w:t>
            </w:r>
            <w:r w:rsidRPr="00D475C9">
              <w:rPr>
                <w:rFonts w:eastAsia="Times New Roman"/>
                <w:color w:val="000000"/>
                <w:sz w:val="12"/>
                <w:szCs w:val="12"/>
              </w:rPr>
              <w:br/>
              <w:t>2. Shown a product with relatively good label score and had to select their desired serving size</w:t>
            </w:r>
          </w:p>
        </w:tc>
        <w:tc>
          <w:tcPr>
            <w:tcW w:w="1199" w:type="dxa"/>
          </w:tcPr>
          <w:p w:rsidR="005661F2" w:rsidRPr="00D475C9" w:rsidP="005661F2" w14:paraId="42E4AD1B" w14:textId="689BB19B">
            <w:pPr>
              <w:pStyle w:val="TableParagraph"/>
              <w:spacing w:line="252" w:lineRule="auto"/>
              <w:ind w:right="121"/>
              <w:rPr>
                <w:rFonts w:eastAsia="Times New Roman"/>
                <w:color w:val="000000"/>
                <w:sz w:val="12"/>
                <w:szCs w:val="12"/>
              </w:rPr>
            </w:pPr>
            <w:r w:rsidRPr="00D475C9">
              <w:rPr>
                <w:rFonts w:eastAsia="Times New Roman"/>
                <w:color w:val="000000"/>
                <w:sz w:val="12"/>
                <w:szCs w:val="12"/>
              </w:rPr>
              <w:t xml:space="preserve">1. </w:t>
            </w:r>
            <w:r w:rsidR="004B6E26">
              <w:rPr>
                <w:rFonts w:eastAsia="Times New Roman"/>
                <w:color w:val="000000"/>
                <w:sz w:val="12"/>
                <w:szCs w:val="12"/>
              </w:rPr>
              <w:t>Nutri-Score</w:t>
            </w:r>
            <w:r w:rsidRPr="00D475C9">
              <w:rPr>
                <w:rFonts w:eastAsia="Times New Roman"/>
                <w:color w:val="000000"/>
                <w:sz w:val="12"/>
                <w:szCs w:val="12"/>
              </w:rPr>
              <w:br/>
              <w:t>2. Multiple Traffic Light</w:t>
            </w:r>
            <w:r w:rsidRPr="00D475C9">
              <w:rPr>
                <w:rFonts w:eastAsia="Times New Roman"/>
                <w:color w:val="000000"/>
                <w:sz w:val="12"/>
                <w:szCs w:val="12"/>
              </w:rPr>
              <w:br/>
              <w:t>3. no label</w:t>
            </w:r>
          </w:p>
        </w:tc>
        <w:tc>
          <w:tcPr>
            <w:tcW w:w="1204" w:type="dxa"/>
          </w:tcPr>
          <w:p w:rsidR="005661F2" w:rsidRPr="00D475C9" w:rsidP="005661F2" w14:paraId="59D1B641" w14:textId="72E79E06">
            <w:pPr>
              <w:spacing w:after="0" w:line="240" w:lineRule="auto"/>
              <w:rPr>
                <w:rFonts w:ascii="Times New Roman" w:eastAsia="Times New Roman" w:hAnsi="Times New Roman" w:cs="Times New Roman"/>
                <w:noProof/>
                <w:color w:val="000000"/>
                <w:sz w:val="12"/>
                <w:szCs w:val="12"/>
                <w:lang w:eastAsia="en-US"/>
              </w:rPr>
            </w:pPr>
            <w:r w:rsidRPr="00D475C9">
              <w:rPr>
                <w:rFonts w:ascii="Calibri" w:eastAsia="Times New Roman" w:hAnsi="Calibri" w:cs="Calibri"/>
                <w:noProof/>
                <w:color w:val="000000"/>
                <w:sz w:val="12"/>
                <w:szCs w:val="12"/>
                <w:lang w:eastAsia="en-US"/>
              </w:rPr>
              <w:drawing>
                <wp:anchor distT="0" distB="0" distL="114300" distR="114300" simplePos="0" relativeHeight="251743232" behindDoc="0" locked="0" layoutInCell="1" allowOverlap="1">
                  <wp:simplePos x="0" y="0"/>
                  <wp:positionH relativeFrom="column">
                    <wp:posOffset>50800</wp:posOffset>
                  </wp:positionH>
                  <wp:positionV relativeFrom="paragraph">
                    <wp:posOffset>63500</wp:posOffset>
                  </wp:positionV>
                  <wp:extent cx="639233" cy="298450"/>
                  <wp:effectExtent l="0" t="0" r="8890" b="635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4"/>
                          <pic:cNvPicPr>
                            <a:picLocks noChangeAspect="1"/>
                          </pic:cNvPicPr>
                        </pic:nvPicPr>
                        <pic:blipFill>
                          <a:blip xmlns:r="http://schemas.openxmlformats.org/officeDocument/2006/relationships" r:embed="rId129">
                            <a:extLst>
                              <a:ext xmlns:a="http://schemas.openxmlformats.org/drawingml/2006/main" uri="{28A0092B-C50C-407E-A947-70E740481C1C}">
                                <a14:useLocalDpi xmlns:a14="http://schemas.microsoft.com/office/drawing/2010/main" val="0"/>
                              </a:ext>
                            </a:extLst>
                          </a:blip>
                          <a:stretch>
                            <a:fillRect/>
                          </a:stretch>
                        </pic:blipFill>
                        <pic:spPr>
                          <a:xfrm>
                            <a:off x="0" y="0"/>
                            <a:ext cx="644331" cy="300830"/>
                          </a:xfrm>
                          <a:prstGeom prst="rect">
                            <a:avLst/>
                          </a:prstGeom>
                        </pic:spPr>
                      </pic:pic>
                    </a:graphicData>
                  </a:graphic>
                  <wp14:sizeRelH relativeFrom="page">
                    <wp14:pctWidth>0</wp14:pctWidth>
                  </wp14:sizeRelH>
                  <wp14:sizeRelV relativeFrom="page">
                    <wp14:pctHeight>0</wp14:pctHeight>
                  </wp14:sizeRelV>
                </wp:anchor>
              </w:drawing>
            </w:r>
          </w:p>
        </w:tc>
        <w:tc>
          <w:tcPr>
            <w:tcW w:w="550" w:type="dxa"/>
          </w:tcPr>
          <w:p w:rsidR="005661F2" w:rsidRPr="00D475C9" w:rsidP="005661F2" w14:paraId="5D49C676" w14:textId="124F182F">
            <w:pPr>
              <w:pStyle w:val="TableParagraph"/>
              <w:spacing w:line="140" w:lineRule="exact"/>
              <w:ind w:left="0" w:right="39"/>
              <w:jc w:val="center"/>
              <w:rPr>
                <w:rFonts w:eastAsia="Times New Roman"/>
                <w:sz w:val="12"/>
                <w:szCs w:val="12"/>
              </w:rPr>
            </w:pPr>
            <w:r w:rsidRPr="00D475C9">
              <w:rPr>
                <w:rFonts w:eastAsia="Times New Roman"/>
                <w:color w:val="000000"/>
                <w:sz w:val="12"/>
                <w:szCs w:val="12"/>
              </w:rPr>
              <w:t>The Netherlands</w:t>
            </w:r>
          </w:p>
        </w:tc>
        <w:tc>
          <w:tcPr>
            <w:tcW w:w="3487" w:type="dxa"/>
          </w:tcPr>
          <w:p w:rsidR="005661F2" w:rsidRPr="00D475C9" w:rsidP="005661F2" w14:paraId="724F7774" w14:textId="7F5F85FB">
            <w:pPr>
              <w:pStyle w:val="TableParagraph"/>
              <w:spacing w:line="252" w:lineRule="auto"/>
              <w:rPr>
                <w:rFonts w:eastAsia="Times New Roman"/>
                <w:sz w:val="12"/>
                <w:szCs w:val="12"/>
              </w:rPr>
            </w:pPr>
            <w:r w:rsidRPr="00D475C9">
              <w:rPr>
                <w:rFonts w:eastAsia="Times New Roman"/>
                <w:color w:val="000000"/>
                <w:sz w:val="12"/>
                <w:szCs w:val="12"/>
              </w:rPr>
              <w:t>1. NS promotes the choice of the healthiest cereal; dieting and health conscious shopping did not moderate this effect</w:t>
            </w:r>
            <w:r w:rsidRPr="00D475C9">
              <w:rPr>
                <w:rFonts w:eastAsia="Times New Roman"/>
                <w:color w:val="000000"/>
                <w:sz w:val="12"/>
                <w:szCs w:val="12"/>
              </w:rPr>
              <w:br/>
              <w:t>2. Labels did not affect serving size selection</w:t>
            </w:r>
          </w:p>
        </w:tc>
      </w:tr>
      <w:tr w14:paraId="5B6E856A" w14:textId="77777777" w:rsidTr="00DF60F4">
        <w:tblPrEx>
          <w:tblW w:w="0" w:type="auto"/>
          <w:tblInd w:w="100" w:type="dxa"/>
          <w:tblLayout w:type="fixed"/>
          <w:tblCellMar>
            <w:left w:w="0" w:type="dxa"/>
            <w:right w:w="0" w:type="dxa"/>
          </w:tblCellMar>
          <w:tblLook w:val="01E0"/>
        </w:tblPrEx>
        <w:trPr>
          <w:trHeight w:val="1128"/>
        </w:trPr>
        <w:tc>
          <w:tcPr>
            <w:tcW w:w="1036" w:type="dxa"/>
          </w:tcPr>
          <w:p w:rsidR="00BE7AEF" w:rsidRPr="00D475C9" w:rsidP="00BE7AEF" w14:paraId="11889733" w14:textId="2B22532A">
            <w:pPr>
              <w:pStyle w:val="TableParagraph"/>
              <w:spacing w:line="252" w:lineRule="auto"/>
              <w:ind w:right="133"/>
              <w:rPr>
                <w:rFonts w:eastAsia="Times New Roman"/>
                <w:color w:val="000000"/>
                <w:sz w:val="12"/>
                <w:szCs w:val="12"/>
              </w:rPr>
            </w:pPr>
            <w:r w:rsidRPr="00D475C9">
              <w:rPr>
                <w:rFonts w:eastAsia="Times New Roman"/>
                <w:color w:val="000000"/>
                <w:sz w:val="12"/>
                <w:szCs w:val="12"/>
              </w:rPr>
              <w:t>Wang, et al.</w:t>
            </w:r>
          </w:p>
        </w:tc>
        <w:tc>
          <w:tcPr>
            <w:tcW w:w="2101" w:type="dxa"/>
          </w:tcPr>
          <w:p w:rsidR="00BE7AEF" w:rsidRPr="00D475C9" w:rsidP="00BE7AEF" w14:paraId="401D42BD" w14:textId="5EDD4102">
            <w:pPr>
              <w:pStyle w:val="TableParagraph"/>
              <w:spacing w:line="252" w:lineRule="auto"/>
              <w:ind w:right="102"/>
              <w:rPr>
                <w:rFonts w:eastAsia="Times New Roman"/>
                <w:color w:val="000000"/>
                <w:sz w:val="12"/>
                <w:szCs w:val="12"/>
              </w:rPr>
            </w:pPr>
            <w:r w:rsidRPr="00D475C9">
              <w:rPr>
                <w:rFonts w:eastAsia="Times New Roman"/>
                <w:color w:val="000000"/>
                <w:sz w:val="12"/>
                <w:szCs w:val="12"/>
              </w:rPr>
              <w:t>Effects of food nutrition labels on the health awareness of school-age children</w:t>
            </w:r>
          </w:p>
        </w:tc>
        <w:tc>
          <w:tcPr>
            <w:tcW w:w="333" w:type="dxa"/>
          </w:tcPr>
          <w:p w:rsidR="00BE7AEF" w:rsidRPr="00D475C9" w:rsidP="00BE7AEF" w14:paraId="3D9623E1" w14:textId="6913BFE4">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BE7AEF" w:rsidRPr="00D475C9" w:rsidP="00BE7AEF" w14:paraId="43EB32B3" w14:textId="37F9868A">
            <w:pPr>
              <w:pStyle w:val="TableParagraph"/>
              <w:spacing w:line="252" w:lineRule="auto"/>
              <w:ind w:left="29" w:right="173"/>
              <w:rPr>
                <w:rFonts w:eastAsia="Times New Roman"/>
                <w:color w:val="000000"/>
                <w:sz w:val="12"/>
                <w:szCs w:val="12"/>
              </w:rPr>
            </w:pPr>
            <w:r w:rsidRPr="00D475C9">
              <w:rPr>
                <w:rFonts w:eastAsia="Times New Roman"/>
                <w:sz w:val="12"/>
                <w:szCs w:val="12"/>
              </w:rPr>
              <w:t>Quantitative</w:t>
            </w:r>
            <w:r w:rsidRPr="00D475C9">
              <w:rPr>
                <w:rFonts w:eastAsia="Times New Roman"/>
                <w:sz w:val="12"/>
                <w:szCs w:val="12"/>
              </w:rPr>
              <w:br/>
              <w:t xml:space="preserve">1. 343 children rated products with various </w:t>
            </w:r>
            <w:r w:rsidR="004B6E26">
              <w:rPr>
                <w:rFonts w:eastAsia="Times New Roman"/>
                <w:sz w:val="12"/>
                <w:szCs w:val="12"/>
              </w:rPr>
              <w:t>FOP</w:t>
            </w:r>
            <w:r w:rsidRPr="00D475C9">
              <w:rPr>
                <w:rFonts w:eastAsia="Times New Roman"/>
                <w:sz w:val="12"/>
                <w:szCs w:val="12"/>
              </w:rPr>
              <w:t>s for healthiness and visibility of the label</w:t>
            </w:r>
          </w:p>
        </w:tc>
        <w:tc>
          <w:tcPr>
            <w:tcW w:w="1199" w:type="dxa"/>
          </w:tcPr>
          <w:p w:rsidR="00BE7AEF" w:rsidRPr="00D475C9" w:rsidP="00BE7AEF" w14:paraId="3104CD34" w14:textId="106FE215">
            <w:pPr>
              <w:pStyle w:val="TableParagraph"/>
              <w:spacing w:line="252" w:lineRule="auto"/>
              <w:ind w:right="121"/>
              <w:rPr>
                <w:rFonts w:eastAsia="Times New Roman"/>
                <w:color w:val="000000"/>
                <w:sz w:val="12"/>
                <w:szCs w:val="12"/>
              </w:rPr>
            </w:pPr>
            <w:r w:rsidRPr="00D475C9">
              <w:rPr>
                <w:rFonts w:eastAsia="Times New Roman"/>
                <w:sz w:val="12"/>
                <w:szCs w:val="12"/>
              </w:rPr>
              <w:t>1. Guideline Daily Amount (GDA)</w:t>
            </w:r>
            <w:r w:rsidRPr="00D475C9">
              <w:rPr>
                <w:rFonts w:eastAsia="Times New Roman"/>
                <w:sz w:val="12"/>
                <w:szCs w:val="12"/>
              </w:rPr>
              <w:br/>
              <w:t>2. Apple label</w:t>
            </w:r>
            <w:r w:rsidRPr="00D475C9">
              <w:rPr>
                <w:rFonts w:eastAsia="Times New Roman"/>
                <w:sz w:val="12"/>
                <w:szCs w:val="12"/>
              </w:rPr>
              <w:br/>
              <w:t>3. Traffic light system (TLS)</w:t>
            </w:r>
            <w:r w:rsidRPr="00D475C9">
              <w:rPr>
                <w:rFonts w:eastAsia="Times New Roman"/>
                <w:sz w:val="12"/>
                <w:szCs w:val="12"/>
              </w:rPr>
              <w:br/>
              <w:t>4. Warning label</w:t>
            </w:r>
          </w:p>
        </w:tc>
        <w:tc>
          <w:tcPr>
            <w:tcW w:w="1204" w:type="dxa"/>
          </w:tcPr>
          <w:p w:rsidR="00BE7AEF" w:rsidRPr="00D475C9" w:rsidP="00BE7AEF" w14:paraId="20410501" w14:textId="2F40FB7F">
            <w:pPr>
              <w:spacing w:after="0" w:line="240" w:lineRule="auto"/>
              <w:rPr>
                <w:rFonts w:ascii="Calibri" w:eastAsia="Times New Roman" w:hAnsi="Calibri" w:cs="Calibri"/>
                <w:noProof/>
                <w:color w:val="000000"/>
                <w:sz w:val="12"/>
                <w:szCs w:val="12"/>
                <w:lang w:eastAsia="en-US"/>
              </w:rPr>
            </w:pPr>
            <w:r w:rsidRPr="00D475C9">
              <w:rPr>
                <w:rFonts w:ascii="Calibri" w:eastAsia="Times New Roman" w:hAnsi="Calibri" w:cs="Calibri"/>
                <w:color w:val="000000"/>
                <w:sz w:val="12"/>
                <w:szCs w:val="12"/>
                <w:lang w:eastAsia="en-US"/>
              </w:rPr>
              <w:t> </w:t>
            </w:r>
            <w:r>
              <w:rPr>
                <w:noProof/>
                <w:lang w:eastAsia="en-US"/>
              </w:rPr>
              <w:drawing>
                <wp:inline distT="0" distB="0" distL="0" distR="0">
                  <wp:extent cx="755015" cy="258445"/>
                  <wp:effectExtent l="0" t="0" r="6985" b="82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66"/>
                          <pic:cNvPicPr>
                            <a:picLocks noChangeAspect="1"/>
                          </pic:cNvPicPr>
                        </pic:nvPicPr>
                        <pic:blipFill>
                          <a:blip xmlns:r="http://schemas.openxmlformats.org/officeDocument/2006/relationships" r:embed="rId1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5015" cy="258445"/>
                          </a:xfrm>
                          <a:prstGeom prst="rect">
                            <a:avLst/>
                          </a:prstGeom>
                        </pic:spPr>
                      </pic:pic>
                    </a:graphicData>
                  </a:graphic>
                </wp:inline>
              </w:drawing>
            </w:r>
          </w:p>
        </w:tc>
        <w:tc>
          <w:tcPr>
            <w:tcW w:w="550" w:type="dxa"/>
          </w:tcPr>
          <w:p w:rsidR="00BE7AEF" w:rsidRPr="00D475C9" w:rsidP="00BE7AEF" w14:paraId="7969CB48" w14:textId="150329EA">
            <w:pPr>
              <w:pStyle w:val="TableParagraph"/>
              <w:spacing w:line="140" w:lineRule="exact"/>
              <w:ind w:left="0" w:right="39"/>
              <w:jc w:val="center"/>
              <w:rPr>
                <w:rFonts w:eastAsia="Times New Roman"/>
                <w:color w:val="000000"/>
                <w:sz w:val="12"/>
                <w:szCs w:val="12"/>
              </w:rPr>
            </w:pPr>
            <w:r w:rsidRPr="00D475C9">
              <w:rPr>
                <w:rFonts w:eastAsia="Times New Roman"/>
                <w:sz w:val="12"/>
                <w:szCs w:val="12"/>
              </w:rPr>
              <w:t>Taiwan</w:t>
            </w:r>
          </w:p>
        </w:tc>
        <w:tc>
          <w:tcPr>
            <w:tcW w:w="3487" w:type="dxa"/>
          </w:tcPr>
          <w:p w:rsidR="00BE7AEF" w:rsidRPr="00D475C9" w:rsidP="00BE7AEF" w14:paraId="6AA873C7" w14:textId="7AAB1FF1">
            <w:pPr>
              <w:pStyle w:val="TableParagraph"/>
              <w:spacing w:line="252" w:lineRule="auto"/>
              <w:rPr>
                <w:rFonts w:eastAsia="Times New Roman"/>
                <w:color w:val="000000"/>
                <w:sz w:val="12"/>
                <w:szCs w:val="12"/>
              </w:rPr>
            </w:pPr>
            <w:r w:rsidRPr="00D475C9">
              <w:rPr>
                <w:rFonts w:eastAsia="Times New Roman"/>
                <w:sz w:val="12"/>
                <w:szCs w:val="12"/>
              </w:rPr>
              <w:t xml:space="preserve">1. 3 </w:t>
            </w:r>
            <w:r w:rsidR="004B6E26">
              <w:rPr>
                <w:rFonts w:eastAsia="Times New Roman"/>
                <w:sz w:val="12"/>
                <w:szCs w:val="12"/>
              </w:rPr>
              <w:t>FOP</w:t>
            </w:r>
            <w:r>
              <w:rPr>
                <w:rFonts w:eastAsia="Times New Roman"/>
                <w:sz w:val="12"/>
                <w:szCs w:val="12"/>
              </w:rPr>
              <w:t>s</w:t>
            </w:r>
            <w:r w:rsidRPr="00D475C9">
              <w:rPr>
                <w:rFonts w:eastAsia="Times New Roman"/>
                <w:sz w:val="12"/>
                <w:szCs w:val="12"/>
              </w:rPr>
              <w:t xml:space="preserve"> (GDA, Apple, TLS) helped children determine healthier snack choices</w:t>
            </w:r>
            <w:r w:rsidRPr="00D475C9">
              <w:rPr>
                <w:rFonts w:eastAsia="Times New Roman"/>
                <w:sz w:val="12"/>
                <w:szCs w:val="12"/>
              </w:rPr>
              <w:br/>
              <w:t>2. Black warning label does not result in healthier choices</w:t>
            </w:r>
            <w:r w:rsidRPr="00D475C9">
              <w:rPr>
                <w:rFonts w:eastAsia="Times New Roman"/>
                <w:sz w:val="12"/>
                <w:szCs w:val="12"/>
              </w:rPr>
              <w:br/>
              <w:t>3. Children who buy often buy snacks do not notice the nutrition labels</w:t>
            </w:r>
            <w:r w:rsidRPr="00D475C9">
              <w:rPr>
                <w:rFonts w:eastAsia="Times New Roman"/>
                <w:sz w:val="12"/>
                <w:szCs w:val="12"/>
              </w:rPr>
              <w:br/>
              <w:t>4. Rural children less likely to pay attention to nutrition labels on packaging</w:t>
            </w:r>
          </w:p>
        </w:tc>
      </w:tr>
      <w:tr w14:paraId="17C66B9D" w14:textId="77777777" w:rsidTr="00DF60F4">
        <w:tblPrEx>
          <w:tblW w:w="0" w:type="auto"/>
          <w:tblInd w:w="100" w:type="dxa"/>
          <w:tblLayout w:type="fixed"/>
          <w:tblCellMar>
            <w:left w:w="0" w:type="dxa"/>
            <w:right w:w="0" w:type="dxa"/>
          </w:tblCellMar>
          <w:tblLook w:val="01E0"/>
        </w:tblPrEx>
        <w:trPr>
          <w:trHeight w:val="1128"/>
        </w:trPr>
        <w:tc>
          <w:tcPr>
            <w:tcW w:w="1036" w:type="dxa"/>
          </w:tcPr>
          <w:p w:rsidR="00BE7AEF" w:rsidRPr="00D475C9" w:rsidP="00BE7AEF" w14:paraId="72003670" w14:textId="4FCC7975">
            <w:pPr>
              <w:pStyle w:val="TableParagraph"/>
              <w:spacing w:line="252" w:lineRule="auto"/>
              <w:ind w:right="133"/>
              <w:rPr>
                <w:rFonts w:eastAsia="Times New Roman"/>
                <w:color w:val="000000"/>
                <w:sz w:val="12"/>
                <w:szCs w:val="12"/>
              </w:rPr>
            </w:pPr>
            <w:r w:rsidRPr="00D475C9">
              <w:rPr>
                <w:rFonts w:eastAsia="Times New Roman"/>
                <w:color w:val="000000"/>
                <w:sz w:val="12"/>
                <w:szCs w:val="12"/>
              </w:rPr>
              <w:t>Werle; Pruski Yamim; O. Trendel; Roche; Nadaud</w:t>
            </w:r>
          </w:p>
        </w:tc>
        <w:tc>
          <w:tcPr>
            <w:tcW w:w="2101" w:type="dxa"/>
          </w:tcPr>
          <w:p w:rsidR="00BE7AEF" w:rsidRPr="00D475C9" w:rsidP="00BE7AEF" w14:paraId="0D35634C" w14:textId="725C60EE">
            <w:pPr>
              <w:pStyle w:val="TableParagraph"/>
              <w:spacing w:line="252" w:lineRule="auto"/>
              <w:ind w:right="102"/>
              <w:rPr>
                <w:rFonts w:eastAsia="Times New Roman"/>
                <w:color w:val="000000"/>
                <w:sz w:val="12"/>
                <w:szCs w:val="12"/>
              </w:rPr>
            </w:pPr>
            <w:r w:rsidRPr="00D475C9">
              <w:rPr>
                <w:rFonts w:eastAsia="Times New Roman"/>
                <w:color w:val="000000"/>
                <w:sz w:val="12"/>
                <w:szCs w:val="12"/>
              </w:rPr>
              <w:t>When Detailed Information Works Better: Comparison of Three- and Five-Color/Letter Front-of-Package Nutrition Labels</w:t>
            </w:r>
          </w:p>
        </w:tc>
        <w:tc>
          <w:tcPr>
            <w:tcW w:w="333" w:type="dxa"/>
          </w:tcPr>
          <w:p w:rsidR="00BE7AEF" w:rsidRPr="00D475C9" w:rsidP="00BE7AEF" w14:paraId="542F1F2B" w14:textId="5CFF8C16">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BE7AEF" w:rsidRPr="00D475C9" w:rsidP="00BE7AEF" w14:paraId="2ECB962E" w14:textId="11F54927">
            <w:pPr>
              <w:pStyle w:val="TableParagraph"/>
              <w:spacing w:line="252" w:lineRule="auto"/>
              <w:ind w:left="29" w:right="173"/>
              <w:rPr>
                <w:rFonts w:eastAsia="Times New Roman"/>
                <w:sz w:val="12"/>
                <w:szCs w:val="12"/>
              </w:rPr>
            </w:pPr>
            <w:r w:rsidRPr="00D475C9">
              <w:rPr>
                <w:rFonts w:eastAsia="Times New Roman"/>
                <w:color w:val="000000"/>
                <w:sz w:val="12"/>
                <w:szCs w:val="12"/>
              </w:rPr>
              <w:t>Quantitative</w:t>
            </w:r>
            <w:r w:rsidRPr="00D475C9">
              <w:rPr>
                <w:rFonts w:eastAsia="Times New Roman"/>
                <w:color w:val="000000"/>
                <w:sz w:val="12"/>
                <w:szCs w:val="12"/>
              </w:rPr>
              <w:br/>
              <w:t xml:space="preserve">1. Assess influence of 3-color vs. 5-color </w:t>
            </w:r>
            <w:r w:rsidR="004B6E26">
              <w:rPr>
                <w:rFonts w:eastAsia="Times New Roman"/>
                <w:color w:val="000000"/>
                <w:sz w:val="12"/>
                <w:szCs w:val="12"/>
              </w:rPr>
              <w:t>FOP</w:t>
            </w:r>
            <w:r w:rsidRPr="00D475C9">
              <w:rPr>
                <w:rFonts w:eastAsia="Times New Roman"/>
                <w:color w:val="000000"/>
                <w:sz w:val="12"/>
                <w:szCs w:val="12"/>
              </w:rPr>
              <w:t>s in selection of products with higher nutritional quality</w:t>
            </w:r>
            <w:r w:rsidRPr="00D475C9">
              <w:rPr>
                <w:rFonts w:eastAsia="Times New Roman"/>
                <w:color w:val="000000"/>
                <w:sz w:val="12"/>
                <w:szCs w:val="12"/>
              </w:rPr>
              <w:br/>
              <w:t>- obtained sales data from 2 vending machines over 3 weeks; week 1, no label, week 2 5-color label, week 3 3-color label; purchasers were asked to complete questionnaire about reasons for purchase</w:t>
            </w:r>
            <w:r w:rsidRPr="00D475C9">
              <w:rPr>
                <w:rFonts w:eastAsia="Times New Roman"/>
                <w:color w:val="000000"/>
                <w:sz w:val="12"/>
                <w:szCs w:val="12"/>
              </w:rPr>
              <w:br/>
              <w:t>2. Monitored eye-tracking as participants chose products in experimental supermarket</w:t>
            </w:r>
            <w:r w:rsidRPr="00D475C9">
              <w:rPr>
                <w:rFonts w:eastAsia="Times New Roman"/>
                <w:color w:val="000000"/>
                <w:sz w:val="12"/>
                <w:szCs w:val="12"/>
              </w:rPr>
              <w:br/>
              <w:t>3. Participants asked to identify as fast as possible, the healthier option among pairs of products with the 3-color or 5-color label</w:t>
            </w:r>
            <w:r w:rsidRPr="00D475C9">
              <w:rPr>
                <w:rFonts w:eastAsia="Times New Roman"/>
                <w:color w:val="000000"/>
                <w:sz w:val="12"/>
                <w:szCs w:val="12"/>
              </w:rPr>
              <w:br/>
              <w:t>4. Participants asked to evaluate one product - either the healthiest or unhealthiest - of a set of products</w:t>
            </w:r>
          </w:p>
        </w:tc>
        <w:tc>
          <w:tcPr>
            <w:tcW w:w="1199" w:type="dxa"/>
          </w:tcPr>
          <w:p w:rsidR="00BE7AEF" w:rsidRPr="00D475C9" w:rsidP="00BE7AEF" w14:paraId="534D2938" w14:textId="5C46B5D9">
            <w:pPr>
              <w:pStyle w:val="TableParagraph"/>
              <w:spacing w:line="252" w:lineRule="auto"/>
              <w:ind w:right="121"/>
              <w:rPr>
                <w:rFonts w:eastAsia="Times New Roman"/>
                <w:color w:val="000000"/>
                <w:sz w:val="12"/>
                <w:szCs w:val="12"/>
              </w:rPr>
            </w:pPr>
            <w:r w:rsidRPr="00D475C9">
              <w:rPr>
                <w:rFonts w:eastAsia="Times New Roman"/>
                <w:color w:val="000000"/>
                <w:sz w:val="12"/>
                <w:szCs w:val="12"/>
              </w:rPr>
              <w:t xml:space="preserve">1. 5-color </w:t>
            </w:r>
            <w:r w:rsidR="004B6E26">
              <w:rPr>
                <w:rFonts w:eastAsia="Times New Roman"/>
                <w:color w:val="000000"/>
                <w:sz w:val="12"/>
                <w:szCs w:val="12"/>
              </w:rPr>
              <w:t>FOP</w:t>
            </w:r>
            <w:r w:rsidRPr="00D475C9">
              <w:rPr>
                <w:rFonts w:eastAsia="Times New Roman"/>
                <w:color w:val="000000"/>
                <w:sz w:val="12"/>
                <w:szCs w:val="12"/>
              </w:rPr>
              <w:br/>
              <w:t xml:space="preserve">2. 3-color </w:t>
            </w:r>
            <w:r w:rsidR="004B6E26">
              <w:rPr>
                <w:rFonts w:eastAsia="Times New Roman"/>
                <w:color w:val="000000"/>
                <w:sz w:val="12"/>
                <w:szCs w:val="12"/>
              </w:rPr>
              <w:t>FOP</w:t>
            </w:r>
          </w:p>
        </w:tc>
        <w:tc>
          <w:tcPr>
            <w:tcW w:w="1204" w:type="dxa"/>
          </w:tcPr>
          <w:p w:rsidR="00BE7AEF" w:rsidRPr="00D475C9" w:rsidP="00BE7AEF" w14:paraId="52332043" w14:textId="28D4888E">
            <w:pPr>
              <w:spacing w:after="0" w:line="240" w:lineRule="auto"/>
              <w:rPr>
                <w:rFonts w:ascii="Times New Roman" w:eastAsia="Times New Roman" w:hAnsi="Times New Roman" w:cs="Times New Roman"/>
                <w:noProof/>
                <w:color w:val="000000"/>
                <w:sz w:val="12"/>
                <w:szCs w:val="12"/>
                <w:lang w:eastAsia="en-US"/>
              </w:rPr>
            </w:pPr>
            <w:r w:rsidRPr="00D475C9">
              <w:rPr>
                <w:rFonts w:ascii="Calibri" w:eastAsia="Times New Roman" w:hAnsi="Calibri" w:cs="Calibri"/>
                <w:noProof/>
                <w:color w:val="000000"/>
                <w:sz w:val="12"/>
                <w:szCs w:val="12"/>
                <w:lang w:eastAsia="en-US"/>
              </w:rPr>
              <w:drawing>
                <wp:anchor distT="0" distB="0" distL="114300" distR="114300" simplePos="0" relativeHeight="251746304" behindDoc="0" locked="0" layoutInCell="1" allowOverlap="1">
                  <wp:simplePos x="0" y="0"/>
                  <wp:positionH relativeFrom="column">
                    <wp:posOffset>63500</wp:posOffset>
                  </wp:positionH>
                  <wp:positionV relativeFrom="paragraph">
                    <wp:posOffset>91440</wp:posOffset>
                  </wp:positionV>
                  <wp:extent cx="639233" cy="311150"/>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1"/>
                          <pic:cNvPicPr>
                            <a:picLocks noChangeAspect="1"/>
                          </pic:cNvPicPr>
                        </pic:nvPicPr>
                        <pic:blipFill>
                          <a:blip xmlns:r="http://schemas.openxmlformats.org/officeDocument/2006/relationships" r:embed="rId1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7753" cy="315297"/>
                          </a:xfrm>
                          <a:prstGeom prst="rect">
                            <a:avLst/>
                          </a:prstGeom>
                        </pic:spPr>
                      </pic:pic>
                    </a:graphicData>
                  </a:graphic>
                  <wp14:sizeRelH relativeFrom="page">
                    <wp14:pctWidth>0</wp14:pctWidth>
                  </wp14:sizeRelH>
                  <wp14:sizeRelV relativeFrom="page">
                    <wp14:pctHeight>0</wp14:pctHeight>
                  </wp14:sizeRelV>
                </wp:anchor>
              </w:drawing>
            </w:r>
          </w:p>
        </w:tc>
        <w:tc>
          <w:tcPr>
            <w:tcW w:w="550" w:type="dxa"/>
          </w:tcPr>
          <w:p w:rsidR="00BE7AEF" w:rsidRPr="00D475C9" w:rsidP="00BE7AEF" w14:paraId="0E6978CB" w14:textId="0560E57D">
            <w:pPr>
              <w:pStyle w:val="TableParagraph"/>
              <w:spacing w:line="140" w:lineRule="exact"/>
              <w:ind w:left="0" w:right="39"/>
              <w:jc w:val="center"/>
              <w:rPr>
                <w:rFonts w:eastAsia="Times New Roman"/>
                <w:sz w:val="12"/>
                <w:szCs w:val="12"/>
              </w:rPr>
            </w:pPr>
            <w:r w:rsidRPr="00D475C9">
              <w:rPr>
                <w:rFonts w:eastAsia="Times New Roman"/>
                <w:color w:val="000000"/>
                <w:sz w:val="12"/>
                <w:szCs w:val="12"/>
              </w:rPr>
              <w:t>France</w:t>
            </w:r>
          </w:p>
        </w:tc>
        <w:tc>
          <w:tcPr>
            <w:tcW w:w="3487" w:type="dxa"/>
          </w:tcPr>
          <w:p w:rsidR="00BE7AEF" w:rsidRPr="00D475C9" w:rsidP="00BE7AEF" w14:paraId="7F4BBE09" w14:textId="7150A979">
            <w:pPr>
              <w:pStyle w:val="TableParagraph"/>
              <w:spacing w:line="252" w:lineRule="auto"/>
              <w:rPr>
                <w:rFonts w:eastAsia="Times New Roman"/>
                <w:sz w:val="12"/>
                <w:szCs w:val="12"/>
              </w:rPr>
            </w:pPr>
            <w:r w:rsidRPr="00D475C9">
              <w:rPr>
                <w:rFonts w:eastAsia="Times New Roman"/>
                <w:color w:val="000000"/>
                <w:sz w:val="12"/>
                <w:szCs w:val="12"/>
              </w:rPr>
              <w:t xml:space="preserve">1. Participants select products with better nutritional quality when 5-color label used, not 3-color; participants cite health reasons more frequently when 5-color label used </w:t>
            </w:r>
            <w:r w:rsidRPr="00D475C9">
              <w:rPr>
                <w:rFonts w:eastAsia="Times New Roman"/>
                <w:color w:val="000000"/>
                <w:sz w:val="12"/>
                <w:szCs w:val="12"/>
              </w:rPr>
              <w:br/>
              <w:t>2. Percentage of healthier products chosen higher with the 5-color label but not the 3-color; 5-color label more effective in decreasing the share of unhealthy products chosen and increasing share of healthy items, consumers selected products with lower energy density and higher nutritional quality; consumers in the 5-color condition spent more time looking at the label than those in the 3-color</w:t>
            </w:r>
            <w:r w:rsidRPr="00D475C9">
              <w:rPr>
                <w:rFonts w:eastAsia="Times New Roman"/>
                <w:color w:val="000000"/>
                <w:sz w:val="12"/>
                <w:szCs w:val="12"/>
              </w:rPr>
              <w:br/>
              <w:t>3. Both 5- and 3-color label show shorter reaction time to select healthier product, with fewer errors; 5-color seems to result in fewer errors compared to 3-color</w:t>
            </w:r>
            <w:r w:rsidRPr="00D475C9">
              <w:rPr>
                <w:rFonts w:eastAsia="Times New Roman"/>
                <w:color w:val="000000"/>
                <w:sz w:val="12"/>
                <w:szCs w:val="12"/>
              </w:rPr>
              <w:br/>
              <w:t>4. Participants reported easier to discriminate healthiness with the 5-color label compared to control or 3-color label; 5-color label also enhances purchase intentions</w:t>
            </w:r>
          </w:p>
        </w:tc>
      </w:tr>
      <w:tr w14:paraId="2A6129FD" w14:textId="77777777" w:rsidTr="00DF60F4">
        <w:tblPrEx>
          <w:tblW w:w="0" w:type="auto"/>
          <w:tblInd w:w="100" w:type="dxa"/>
          <w:tblLayout w:type="fixed"/>
          <w:tblCellMar>
            <w:left w:w="0" w:type="dxa"/>
            <w:right w:w="0" w:type="dxa"/>
          </w:tblCellMar>
          <w:tblLook w:val="01E0"/>
        </w:tblPrEx>
        <w:trPr>
          <w:trHeight w:val="1128"/>
        </w:trPr>
        <w:tc>
          <w:tcPr>
            <w:tcW w:w="1036" w:type="dxa"/>
          </w:tcPr>
          <w:p w:rsidR="00BE7AEF" w:rsidRPr="00D475C9" w:rsidP="00BE7AEF" w14:paraId="6EE13387" w14:textId="3E828895">
            <w:pPr>
              <w:pStyle w:val="TableParagraph"/>
              <w:spacing w:line="252" w:lineRule="auto"/>
              <w:ind w:right="133"/>
              <w:rPr>
                <w:rFonts w:eastAsia="Times New Roman"/>
                <w:color w:val="000000"/>
                <w:sz w:val="12"/>
                <w:szCs w:val="12"/>
              </w:rPr>
            </w:pPr>
            <w:r w:rsidRPr="00D475C9">
              <w:rPr>
                <w:rFonts w:eastAsia="Times New Roman"/>
                <w:color w:val="000000"/>
                <w:sz w:val="12"/>
                <w:szCs w:val="12"/>
              </w:rPr>
              <w:t>Xuejun, et al.</w:t>
            </w:r>
          </w:p>
        </w:tc>
        <w:tc>
          <w:tcPr>
            <w:tcW w:w="2101" w:type="dxa"/>
          </w:tcPr>
          <w:p w:rsidR="00BE7AEF" w:rsidRPr="00D475C9" w:rsidP="00BE7AEF" w14:paraId="5082A46C" w14:textId="30BE9F43">
            <w:pPr>
              <w:pStyle w:val="TableParagraph"/>
              <w:spacing w:line="252" w:lineRule="auto"/>
              <w:ind w:right="102"/>
              <w:rPr>
                <w:rFonts w:eastAsia="Times New Roman"/>
                <w:color w:val="000000"/>
                <w:sz w:val="12"/>
                <w:szCs w:val="12"/>
              </w:rPr>
            </w:pPr>
            <w:r w:rsidRPr="00D475C9">
              <w:rPr>
                <w:rFonts w:eastAsia="Times New Roman"/>
                <w:color w:val="000000"/>
                <w:sz w:val="12"/>
                <w:szCs w:val="12"/>
              </w:rPr>
              <w:t>Key Stakeholder Perspectives on Introducing a Front-of-Pack Labelling Scheme on Packaged Foods in China: A Qualitative Study</w:t>
            </w:r>
          </w:p>
        </w:tc>
        <w:tc>
          <w:tcPr>
            <w:tcW w:w="333" w:type="dxa"/>
          </w:tcPr>
          <w:p w:rsidR="00BE7AEF" w:rsidRPr="00D475C9" w:rsidP="00BE7AEF" w14:paraId="3EEAB01B" w14:textId="1BF08CBB">
            <w:pPr>
              <w:pStyle w:val="TableParagraph"/>
              <w:spacing w:line="140" w:lineRule="exact"/>
              <w:ind w:left="36"/>
              <w:rPr>
                <w:rFonts w:eastAsia="Times New Roman"/>
                <w:color w:val="7030A0"/>
                <w:sz w:val="12"/>
                <w:szCs w:val="12"/>
              </w:rPr>
            </w:pPr>
            <w:r w:rsidRPr="00D475C9">
              <w:rPr>
                <w:rFonts w:eastAsia="Times New Roman"/>
                <w:color w:val="7030A0"/>
                <w:sz w:val="12"/>
                <w:szCs w:val="12"/>
              </w:rPr>
              <w:t>2022</w:t>
            </w:r>
          </w:p>
        </w:tc>
        <w:tc>
          <w:tcPr>
            <w:tcW w:w="3555" w:type="dxa"/>
          </w:tcPr>
          <w:p w:rsidR="00BE7AEF" w:rsidRPr="00D475C9" w:rsidP="00BE7AEF" w14:paraId="4C72D2BA" w14:textId="1FBB3780">
            <w:pPr>
              <w:pStyle w:val="TableParagraph"/>
              <w:spacing w:line="252" w:lineRule="auto"/>
              <w:ind w:left="29" w:right="173"/>
              <w:rPr>
                <w:rFonts w:eastAsia="Times New Roman"/>
                <w:sz w:val="12"/>
                <w:szCs w:val="12"/>
              </w:rPr>
            </w:pPr>
            <w:r w:rsidRPr="00D475C9">
              <w:rPr>
                <w:rFonts w:eastAsia="Times New Roman"/>
                <w:sz w:val="12"/>
                <w:szCs w:val="12"/>
              </w:rPr>
              <w:t>Qualitative</w:t>
            </w:r>
            <w:r w:rsidRPr="00D475C9">
              <w:rPr>
                <w:rFonts w:eastAsia="Times New Roman"/>
                <w:sz w:val="12"/>
                <w:szCs w:val="12"/>
              </w:rPr>
              <w:br/>
              <w:t xml:space="preserve">1. In depth interviews with 30 participants (stakeholders and consumers) using tailored guides to obtain views on barriers and facilitators to developing </w:t>
            </w:r>
            <w:r w:rsidR="004B6E26">
              <w:rPr>
                <w:rFonts w:eastAsia="Times New Roman"/>
                <w:sz w:val="12"/>
                <w:szCs w:val="12"/>
              </w:rPr>
              <w:t>FOP</w:t>
            </w:r>
            <w:r w:rsidRPr="00D475C9">
              <w:rPr>
                <w:rFonts w:eastAsia="Times New Roman"/>
                <w:sz w:val="12"/>
                <w:szCs w:val="12"/>
              </w:rPr>
              <w:t xml:space="preserve"> policy</w:t>
            </w:r>
          </w:p>
        </w:tc>
        <w:tc>
          <w:tcPr>
            <w:tcW w:w="1199" w:type="dxa"/>
          </w:tcPr>
          <w:p w:rsidR="00BE7AEF" w:rsidRPr="00D475C9" w:rsidP="00BE7AEF" w14:paraId="6C0AF805" w14:textId="036EC297">
            <w:pPr>
              <w:pStyle w:val="TableParagraph"/>
              <w:spacing w:line="252" w:lineRule="auto"/>
              <w:ind w:right="121"/>
              <w:rPr>
                <w:rFonts w:eastAsia="Times New Roman"/>
                <w:color w:val="000000"/>
                <w:sz w:val="12"/>
                <w:szCs w:val="12"/>
              </w:rPr>
            </w:pPr>
            <w:r w:rsidRPr="00D475C9">
              <w:rPr>
                <w:rFonts w:eastAsia="Times New Roman"/>
                <w:color w:val="000000"/>
                <w:sz w:val="12"/>
                <w:szCs w:val="12"/>
              </w:rPr>
              <w:t>Various</w:t>
            </w:r>
          </w:p>
        </w:tc>
        <w:tc>
          <w:tcPr>
            <w:tcW w:w="1204" w:type="dxa"/>
          </w:tcPr>
          <w:p w:rsidR="00BE7AEF" w:rsidRPr="00D475C9" w:rsidP="00BE7AEF" w14:paraId="7BD9B878" w14:textId="4B2BD7EC">
            <w:pPr>
              <w:spacing w:after="0" w:line="240" w:lineRule="auto"/>
              <w:rPr>
                <w:rFonts w:ascii="Times New Roman" w:eastAsia="Times New Roman" w:hAnsi="Times New Roman" w:cs="Times New Roman"/>
                <w:noProof/>
                <w:color w:val="000000"/>
                <w:sz w:val="12"/>
                <w:szCs w:val="12"/>
                <w:lang w:eastAsia="en-US"/>
              </w:rPr>
            </w:pPr>
            <w:r w:rsidRPr="00D475C9">
              <w:rPr>
                <w:rFonts w:ascii="Calibri" w:eastAsia="Times New Roman" w:hAnsi="Calibri" w:cs="Calibri"/>
                <w:color w:val="000000"/>
                <w:sz w:val="12"/>
                <w:szCs w:val="12"/>
                <w:lang w:eastAsia="en-US"/>
              </w:rPr>
              <w:t>No image available</w:t>
            </w:r>
          </w:p>
        </w:tc>
        <w:tc>
          <w:tcPr>
            <w:tcW w:w="550" w:type="dxa"/>
          </w:tcPr>
          <w:p w:rsidR="00BE7AEF" w:rsidRPr="00D475C9" w:rsidP="00BE7AEF" w14:paraId="6A86E015" w14:textId="6C0753FF">
            <w:pPr>
              <w:pStyle w:val="TableParagraph"/>
              <w:spacing w:line="140" w:lineRule="exact"/>
              <w:ind w:left="0" w:right="39"/>
              <w:jc w:val="center"/>
              <w:rPr>
                <w:rFonts w:eastAsia="Times New Roman"/>
                <w:sz w:val="12"/>
                <w:szCs w:val="12"/>
              </w:rPr>
            </w:pPr>
            <w:r w:rsidRPr="00D475C9">
              <w:rPr>
                <w:rFonts w:eastAsia="Times New Roman"/>
                <w:sz w:val="12"/>
                <w:szCs w:val="12"/>
              </w:rPr>
              <w:t>China</w:t>
            </w:r>
          </w:p>
        </w:tc>
        <w:tc>
          <w:tcPr>
            <w:tcW w:w="3487" w:type="dxa"/>
          </w:tcPr>
          <w:p w:rsidR="00BE7AEF" w:rsidRPr="00D475C9" w:rsidP="00BE7AEF" w14:paraId="534F75A5" w14:textId="5EEDF026">
            <w:pPr>
              <w:pStyle w:val="TableParagraph"/>
              <w:spacing w:line="252" w:lineRule="auto"/>
              <w:rPr>
                <w:rFonts w:eastAsia="Times New Roman"/>
                <w:sz w:val="12"/>
                <w:szCs w:val="12"/>
              </w:rPr>
            </w:pPr>
            <w:r w:rsidRPr="00D475C9">
              <w:rPr>
                <w:rFonts w:eastAsia="Times New Roman"/>
                <w:sz w:val="12"/>
                <w:szCs w:val="12"/>
              </w:rPr>
              <w:t xml:space="preserve">1.  The major barriers were the absence of national contextual analysis, perceived complexity of the process of policy development, disagreement on a preferred </w:t>
            </w:r>
            <w:r w:rsidR="004B6E26">
              <w:rPr>
                <w:rFonts w:eastAsia="Times New Roman"/>
                <w:sz w:val="12"/>
                <w:szCs w:val="12"/>
              </w:rPr>
              <w:t>FOP</w:t>
            </w:r>
            <w:r w:rsidRPr="00D475C9">
              <w:rPr>
                <w:rFonts w:eastAsia="Times New Roman"/>
                <w:sz w:val="12"/>
                <w:szCs w:val="12"/>
              </w:rPr>
              <w:t xml:space="preserve"> format, cost for the food industry, low priority compared to food safety policies, lack of existing regulatory framework or authorized nutrient profiling system, limited knowledge of </w:t>
            </w:r>
            <w:r w:rsidR="004B6E26">
              <w:rPr>
                <w:rFonts w:eastAsia="Times New Roman"/>
                <w:sz w:val="12"/>
                <w:szCs w:val="12"/>
              </w:rPr>
              <w:t>FOP</w:t>
            </w:r>
            <w:r w:rsidRPr="00D475C9">
              <w:rPr>
                <w:rFonts w:eastAsia="Times New Roman"/>
                <w:sz w:val="12"/>
                <w:szCs w:val="12"/>
              </w:rPr>
              <w:t xml:space="preserve">, and the lack of planning and engagement with stakeholders. </w:t>
            </w:r>
            <w:r w:rsidRPr="00D475C9">
              <w:rPr>
                <w:rFonts w:eastAsia="Times New Roman"/>
                <w:sz w:val="12"/>
                <w:szCs w:val="12"/>
              </w:rPr>
              <w:br/>
              <w:t xml:space="preserve">2. Facilitators included existing prerequisites, experiences and lessons from the pilot, policy coherence with Healthy China 2030, and support from external agents (e.g., WHO). </w:t>
            </w:r>
          </w:p>
        </w:tc>
      </w:tr>
    </w:tbl>
    <w:p w:rsidR="4C9BFAA2" w14:paraId="3301D196" w14:textId="1D6E83FA"/>
    <w:p w:rsidR="0079161F" w14:paraId="3B5D7C70" w14:textId="6FC0A18C"/>
    <w:p w:rsidR="00687A27" w:rsidP="00A1092A" w14:paraId="3A3959C7" w14:textId="77777777">
      <w:pPr>
        <w:spacing w:after="0"/>
        <w:rPr>
          <w:rFonts w:cstheme="minorHAnsi"/>
          <w:b/>
          <w:sz w:val="32"/>
          <w:szCs w:val="32"/>
        </w:rPr>
        <w:sectPr w:rsidSect="00653446">
          <w:pgSz w:w="15840" w:h="12240" w:orient="landscape"/>
          <w:pgMar w:top="720" w:right="720" w:bottom="720" w:left="720" w:header="720" w:footer="720" w:gutter="0"/>
          <w:cols w:space="720"/>
          <w:docGrid w:linePitch="299"/>
        </w:sectPr>
      </w:pPr>
    </w:p>
    <w:p w:rsidR="000E35A2" w:rsidP="1D57B863" w14:paraId="400AB2BC" w14:textId="5C568A8B">
      <w:pPr>
        <w:pStyle w:val="Heading1"/>
      </w:pPr>
      <w:bookmarkStart w:id="23" w:name="_Toc115261535"/>
      <w:r>
        <w:t>A</w:t>
      </w:r>
      <w:r w:rsidR="1B7FB23C">
        <w:t>ppendix D:</w:t>
      </w:r>
      <w:r w:rsidR="6A7D2AE2">
        <w:t xml:space="preserve"> </w:t>
      </w:r>
      <w:r w:rsidR="1B7FB23C">
        <w:t xml:space="preserve">Citations </w:t>
      </w:r>
      <w:r w:rsidR="68BAE128">
        <w:t>for all References</w:t>
      </w:r>
      <w:bookmarkEnd w:id="23"/>
    </w:p>
    <w:p w:rsidR="00DA6062" w:rsidRPr="00634704" w:rsidP="00DA6062" w14:paraId="0D61ECBC" w14:textId="6E2E7699">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Acton, R. B., &amp; Hammond, D. (2018). The impact of price and nutrition labelling on sugary drink purchases: Results from an experimental marketplace study. </w:t>
      </w:r>
      <w:r w:rsidRPr="00634704">
        <w:rPr>
          <w:rFonts w:asciiTheme="minorHAnsi" w:hAnsiTheme="minorHAnsi" w:cstheme="minorHAnsi"/>
          <w:i/>
        </w:rPr>
        <w:t>Appetite,</w:t>
      </w:r>
      <w:r w:rsidRPr="00634704">
        <w:rPr>
          <w:rFonts w:asciiTheme="minorHAnsi" w:hAnsiTheme="minorHAnsi" w:cstheme="minorHAnsi"/>
        </w:rPr>
        <w:t xml:space="preserve"> </w:t>
      </w:r>
      <w:r w:rsidRPr="00634704">
        <w:rPr>
          <w:rFonts w:asciiTheme="minorHAnsi" w:hAnsiTheme="minorHAnsi" w:cstheme="minorHAnsi"/>
          <w:i/>
        </w:rPr>
        <w:t>121</w:t>
      </w:r>
      <w:r w:rsidRPr="00634704">
        <w:rPr>
          <w:rFonts w:asciiTheme="minorHAnsi" w:hAnsiTheme="minorHAnsi" w:cstheme="minorHAnsi"/>
        </w:rPr>
        <w:t xml:space="preserve">, 129-137. </w:t>
      </w:r>
      <w:r w:rsidRPr="00634704" w:rsidR="00D5504D">
        <w:rPr>
          <w:rFonts w:asciiTheme="minorHAnsi" w:hAnsiTheme="minorHAnsi" w:cstheme="minorHAnsi"/>
        </w:rPr>
        <w:t>https://</w:t>
      </w:r>
      <w:r w:rsidRPr="00634704">
        <w:rPr>
          <w:rFonts w:asciiTheme="minorHAnsi" w:hAnsiTheme="minorHAnsi" w:cstheme="minorHAnsi"/>
        </w:rPr>
        <w:t xml:space="preserve">doi:10.1016/j.appet.2017.11.089 </w:t>
      </w:r>
    </w:p>
    <w:p w:rsidR="00D90DE9" w:rsidRPr="00634704" w:rsidP="00DA6062" w14:paraId="4EC4E861" w14:textId="77777777">
      <w:pPr>
        <w:pStyle w:val="EndNoteBibliography"/>
        <w:spacing w:after="0"/>
        <w:ind w:left="720" w:hanging="720"/>
        <w:rPr>
          <w:rFonts w:asciiTheme="minorHAnsi" w:hAnsiTheme="minorHAnsi" w:cstheme="minorHAnsi"/>
        </w:rPr>
      </w:pPr>
    </w:p>
    <w:p w:rsidR="000B59DA" w:rsidRPr="00634704" w:rsidP="000B59DA" w14:paraId="134B4913" w14:textId="2C65BBCC">
      <w:pPr>
        <w:pStyle w:val="EndNoteBibliography"/>
        <w:spacing w:after="0"/>
        <w:ind w:left="720" w:hanging="720"/>
        <w:rPr>
          <w:rFonts w:asciiTheme="minorHAnsi" w:hAnsiTheme="minorHAnsi" w:cstheme="minorHAnsi"/>
        </w:rPr>
      </w:pPr>
      <w:r w:rsidRPr="00634704">
        <w:rPr>
          <w:rFonts w:asciiTheme="minorHAnsi" w:hAnsiTheme="minorHAnsi" w:cstheme="minorHAnsi"/>
        </w:rPr>
        <w:t>Acton, R.B., &amp; Hammond, D. (201</w:t>
      </w:r>
      <w:r w:rsidRPr="00634704" w:rsidR="00882847">
        <w:rPr>
          <w:rFonts w:asciiTheme="minorHAnsi" w:hAnsiTheme="minorHAnsi" w:cstheme="minorHAnsi"/>
        </w:rPr>
        <w:t>8</w:t>
      </w:r>
      <w:r w:rsidRPr="00634704">
        <w:rPr>
          <w:rFonts w:asciiTheme="minorHAnsi" w:hAnsiTheme="minorHAnsi" w:cstheme="minorHAnsi"/>
        </w:rPr>
        <w:t xml:space="preserve">).  </w:t>
      </w:r>
      <w:r w:rsidRPr="00634704" w:rsidR="00392EE7">
        <w:rPr>
          <w:rFonts w:asciiTheme="minorHAnsi" w:hAnsiTheme="minorHAnsi" w:cstheme="minorHAnsi"/>
        </w:rPr>
        <w:t xml:space="preserve">Do Consumers Think Front-of-Package “High in” Warnings are Harsh or Reduce their Control? A Test of Food Industry Concerns. </w:t>
      </w:r>
      <w:r w:rsidRPr="00634704" w:rsidR="00392EE7">
        <w:rPr>
          <w:rFonts w:asciiTheme="minorHAnsi" w:hAnsiTheme="minorHAnsi" w:cstheme="minorHAnsi"/>
          <w:i/>
        </w:rPr>
        <w:t>Obesity</w:t>
      </w:r>
      <w:r w:rsidRPr="00634704" w:rsidR="00BB2579">
        <w:rPr>
          <w:rFonts w:asciiTheme="minorHAnsi" w:hAnsiTheme="minorHAnsi" w:cstheme="minorHAnsi"/>
        </w:rPr>
        <w:t xml:space="preserve">, </w:t>
      </w:r>
      <w:r w:rsidRPr="00634704" w:rsidR="00392EE7">
        <w:rPr>
          <w:rFonts w:asciiTheme="minorHAnsi" w:hAnsiTheme="minorHAnsi" w:cstheme="minorHAnsi"/>
        </w:rPr>
        <w:t xml:space="preserve">26, 1687-1691. </w:t>
      </w:r>
      <w:r w:rsidRPr="00634704" w:rsidR="00D5504D">
        <w:rPr>
          <w:rFonts w:asciiTheme="minorHAnsi" w:hAnsiTheme="minorHAnsi" w:cstheme="minorHAnsi"/>
        </w:rPr>
        <w:t>https://</w:t>
      </w:r>
      <w:r w:rsidRPr="00634704" w:rsidR="00392EE7">
        <w:rPr>
          <w:rFonts w:asciiTheme="minorHAnsi" w:hAnsiTheme="minorHAnsi" w:cstheme="minorHAnsi"/>
        </w:rPr>
        <w:t>doi:10.1002/oby.22311</w:t>
      </w:r>
    </w:p>
    <w:p w:rsidR="00AC2BEE" w:rsidRPr="00634704" w:rsidP="00DA6062" w14:paraId="6DA8743E" w14:textId="77777777">
      <w:pPr>
        <w:pStyle w:val="EndNoteBibliography"/>
        <w:spacing w:after="0"/>
        <w:ind w:left="720" w:hanging="720"/>
        <w:rPr>
          <w:rFonts w:asciiTheme="minorHAnsi" w:hAnsiTheme="minorHAnsi" w:cstheme="minorHAnsi"/>
        </w:rPr>
      </w:pPr>
    </w:p>
    <w:p w:rsidR="00AC2BEE" w:rsidRPr="00634704" w:rsidP="00DA6062" w14:paraId="425E7BC0" w14:textId="6CBB7966">
      <w:pPr>
        <w:pStyle w:val="EndNoteBibliography"/>
        <w:spacing w:after="0"/>
        <w:ind w:left="720" w:hanging="720"/>
        <w:rPr>
          <w:rFonts w:asciiTheme="minorHAnsi" w:hAnsiTheme="minorHAnsi" w:cstheme="minorHAnsi"/>
        </w:rPr>
      </w:pPr>
      <w:r w:rsidRPr="00634704">
        <w:rPr>
          <w:rFonts w:asciiTheme="minorHAnsi" w:hAnsiTheme="minorHAnsi" w:cstheme="minorHAnsi"/>
        </w:rPr>
        <w:t>Acton, R.B., &amp; Hammond, D. (201</w:t>
      </w:r>
      <w:r w:rsidRPr="00634704" w:rsidR="00882847">
        <w:rPr>
          <w:rFonts w:asciiTheme="minorHAnsi" w:hAnsiTheme="minorHAnsi" w:cstheme="minorHAnsi"/>
        </w:rPr>
        <w:t>8</w:t>
      </w:r>
      <w:r w:rsidRPr="00634704">
        <w:rPr>
          <w:rFonts w:asciiTheme="minorHAnsi" w:hAnsiTheme="minorHAnsi" w:cstheme="minorHAnsi"/>
        </w:rPr>
        <w:t xml:space="preserve">). </w:t>
      </w:r>
      <w:r w:rsidRPr="00634704" w:rsidR="006A54E4">
        <w:rPr>
          <w:rFonts w:asciiTheme="minorHAnsi" w:hAnsiTheme="minorHAnsi" w:cstheme="minorHAnsi"/>
        </w:rPr>
        <w:t xml:space="preserve">Do manufacturer ‘nutrient claims’ influence the efficacy of mandated front-of-package labels? </w:t>
      </w:r>
      <w:r w:rsidRPr="00634704" w:rsidR="006A54E4">
        <w:rPr>
          <w:rFonts w:asciiTheme="minorHAnsi" w:hAnsiTheme="minorHAnsi" w:cstheme="minorHAnsi"/>
          <w:i/>
        </w:rPr>
        <w:t>Public Health Nutrition</w:t>
      </w:r>
      <w:r w:rsidRPr="00634704" w:rsidR="007762BD">
        <w:rPr>
          <w:rFonts w:asciiTheme="minorHAnsi" w:hAnsiTheme="minorHAnsi" w:cstheme="minorHAnsi"/>
        </w:rPr>
        <w:t>,</w:t>
      </w:r>
      <w:r w:rsidRPr="00634704" w:rsidR="006A54E4">
        <w:rPr>
          <w:rFonts w:asciiTheme="minorHAnsi" w:hAnsiTheme="minorHAnsi" w:cstheme="minorHAnsi"/>
        </w:rPr>
        <w:t xml:space="preserve"> 21(18), 3354–3359</w:t>
      </w:r>
      <w:r w:rsidRPr="00634704" w:rsidR="007762BD">
        <w:rPr>
          <w:rFonts w:asciiTheme="minorHAnsi" w:hAnsiTheme="minorHAnsi" w:cstheme="minorHAnsi"/>
        </w:rPr>
        <w:t>.</w:t>
      </w:r>
      <w:r w:rsidRPr="00634704" w:rsidR="006A54E4">
        <w:rPr>
          <w:rFonts w:asciiTheme="minorHAnsi" w:hAnsiTheme="minorHAnsi" w:cstheme="minorHAnsi"/>
        </w:rPr>
        <w:t xml:space="preserve"> </w:t>
      </w:r>
      <w:r w:rsidRPr="00634704" w:rsidR="00D5504D">
        <w:rPr>
          <w:rFonts w:asciiTheme="minorHAnsi" w:hAnsiTheme="minorHAnsi" w:cstheme="minorHAnsi"/>
        </w:rPr>
        <w:t>https://</w:t>
      </w:r>
      <w:r w:rsidRPr="00634704" w:rsidR="006A54E4">
        <w:rPr>
          <w:rFonts w:asciiTheme="minorHAnsi" w:hAnsiTheme="minorHAnsi" w:cstheme="minorHAnsi"/>
        </w:rPr>
        <w:t>doi:10.1017/S1368980018002550</w:t>
      </w:r>
    </w:p>
    <w:p w:rsidR="000B59DA" w:rsidRPr="00634704" w:rsidP="000B59DA" w14:paraId="649388E2" w14:textId="77777777">
      <w:pPr>
        <w:pStyle w:val="EndNoteBibliography"/>
        <w:spacing w:after="0"/>
        <w:rPr>
          <w:rFonts w:asciiTheme="minorHAnsi" w:hAnsiTheme="minorHAnsi" w:cstheme="minorHAnsi"/>
        </w:rPr>
      </w:pPr>
    </w:p>
    <w:p w:rsidR="006A54E4" w:rsidRPr="00255E81" w:rsidP="0084004A" w14:paraId="79F63406" w14:textId="3D21BE18">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Acton, R.B., &amp; </w:t>
      </w:r>
      <w:r w:rsidRPr="00255E81">
        <w:rPr>
          <w:rFonts w:asciiTheme="minorHAnsi" w:hAnsiTheme="minorHAnsi" w:cstheme="minorHAnsi"/>
        </w:rPr>
        <w:t>Hammond, D. (20</w:t>
      </w:r>
      <w:r w:rsidRPr="00255E81" w:rsidR="007B47FD">
        <w:rPr>
          <w:rFonts w:asciiTheme="minorHAnsi" w:hAnsiTheme="minorHAnsi" w:cstheme="minorHAnsi"/>
        </w:rPr>
        <w:t>20</w:t>
      </w:r>
      <w:r w:rsidRPr="00255E81">
        <w:rPr>
          <w:rFonts w:asciiTheme="minorHAnsi" w:hAnsiTheme="minorHAnsi" w:cstheme="minorHAnsi"/>
        </w:rPr>
        <w:t>).</w:t>
      </w:r>
      <w:r w:rsidRPr="00255E81" w:rsidR="007B47FD">
        <w:rPr>
          <w:rFonts w:asciiTheme="minorHAnsi" w:hAnsiTheme="minorHAnsi" w:cstheme="minorHAnsi"/>
        </w:rPr>
        <w:t xml:space="preserve"> Impact of sugar taxes and front-of-package nutrition labels on purchases of protein, calcium and fibre. </w:t>
      </w:r>
      <w:r w:rsidRPr="00255E81" w:rsidR="00802E88">
        <w:rPr>
          <w:rFonts w:asciiTheme="minorHAnsi" w:hAnsiTheme="minorHAnsi" w:cstheme="minorHAnsi"/>
          <w:i/>
        </w:rPr>
        <w:t>Preventative Medicine</w:t>
      </w:r>
      <w:r w:rsidRPr="00255E81" w:rsidR="00B474E5">
        <w:rPr>
          <w:rFonts w:asciiTheme="minorHAnsi" w:hAnsiTheme="minorHAnsi" w:cstheme="minorHAnsi"/>
        </w:rPr>
        <w:t xml:space="preserve">, 136, </w:t>
      </w:r>
      <w:r w:rsidRPr="00255E81" w:rsidR="0084004A">
        <w:rPr>
          <w:rFonts w:asciiTheme="minorHAnsi" w:hAnsiTheme="minorHAnsi" w:cstheme="minorHAnsi"/>
        </w:rPr>
        <w:t>106091.</w:t>
      </w:r>
    </w:p>
    <w:p w:rsidR="00400753" w:rsidRPr="00255E81" w:rsidP="0084004A" w14:paraId="460BC645" w14:textId="435B5467">
      <w:pPr>
        <w:pStyle w:val="EndNoteBibliography"/>
        <w:spacing w:after="0"/>
        <w:ind w:left="720" w:hanging="720"/>
        <w:rPr>
          <w:rFonts w:asciiTheme="minorHAnsi" w:hAnsiTheme="minorHAnsi" w:cstheme="minorHAnsi"/>
        </w:rPr>
      </w:pPr>
      <w:r w:rsidRPr="00255E81">
        <w:rPr>
          <w:rFonts w:asciiTheme="minorHAnsi" w:hAnsiTheme="minorHAnsi" w:cstheme="minorHAnsi"/>
        </w:rPr>
        <w:tab/>
      </w:r>
      <w:r w:rsidRPr="00255E81" w:rsidR="00D5504D">
        <w:rPr>
          <w:rFonts w:asciiTheme="minorHAnsi" w:hAnsiTheme="minorHAnsi" w:cstheme="minorHAnsi"/>
        </w:rPr>
        <w:t>https://</w:t>
      </w:r>
      <w:r w:rsidRPr="00255E81" w:rsidR="00D407FA">
        <w:rPr>
          <w:rFonts w:asciiTheme="minorHAnsi" w:hAnsiTheme="minorHAnsi" w:cstheme="minorHAnsi"/>
          <w:color w:val="212121"/>
          <w:shd w:val="clear" w:color="auto" w:fill="FFFFFF"/>
        </w:rPr>
        <w:t>doi:10.1016/j.ypmed.2020.106091</w:t>
      </w:r>
    </w:p>
    <w:p w:rsidR="000B59DA" w:rsidRPr="00634704" w:rsidP="00DA6062" w14:paraId="548EFB7D" w14:textId="77777777">
      <w:pPr>
        <w:pStyle w:val="EndNoteBibliography"/>
        <w:spacing w:after="0"/>
        <w:ind w:left="720" w:hanging="720"/>
        <w:rPr>
          <w:rFonts w:asciiTheme="minorHAnsi" w:hAnsiTheme="minorHAnsi" w:cstheme="minorHAnsi"/>
        </w:rPr>
      </w:pPr>
    </w:p>
    <w:p w:rsidR="00421E99" w:rsidRPr="00634704" w:rsidP="00DA6062" w14:paraId="2170C824" w14:textId="31E8E7B2">
      <w:pPr>
        <w:pStyle w:val="EndNoteBibliography"/>
        <w:spacing w:after="0"/>
        <w:ind w:left="720" w:hanging="720"/>
        <w:rPr>
          <w:rFonts w:asciiTheme="minorHAnsi" w:hAnsiTheme="minorHAnsi" w:cstheme="minorHAnsi"/>
        </w:rPr>
      </w:pPr>
      <w:r w:rsidRPr="00634704">
        <w:rPr>
          <w:rFonts w:asciiTheme="minorHAnsi" w:hAnsiTheme="minorHAnsi" w:cstheme="minorHAnsi"/>
        </w:rPr>
        <w:t>Acton, R.B., Jones, C., Kirkpatrick, S., Roberto, C., &amp; Hammond, D. (2019)</w:t>
      </w:r>
      <w:r w:rsidRPr="00634704" w:rsidR="007F381F">
        <w:rPr>
          <w:rFonts w:asciiTheme="minorHAnsi" w:hAnsiTheme="minorHAnsi" w:cstheme="minorHAnsi"/>
        </w:rPr>
        <w:t xml:space="preserve">. Taxes and front-of-package labels improve the healthiness of beverage and snack purchases: a randomized experimental marketplace. </w:t>
      </w:r>
      <w:r w:rsidRPr="00634704" w:rsidR="007F381F">
        <w:rPr>
          <w:rFonts w:asciiTheme="minorHAnsi" w:hAnsiTheme="minorHAnsi" w:cstheme="minorHAnsi"/>
          <w:i/>
        </w:rPr>
        <w:t>International Journal of Behavioral Nutrition and Physical Activity</w:t>
      </w:r>
      <w:r w:rsidRPr="00634704" w:rsidR="00FB2105">
        <w:rPr>
          <w:rFonts w:asciiTheme="minorHAnsi" w:hAnsiTheme="minorHAnsi" w:cstheme="minorHAnsi"/>
        </w:rPr>
        <w:t>,</w:t>
      </w:r>
      <w:r w:rsidRPr="00634704" w:rsidR="007F381F">
        <w:rPr>
          <w:rFonts w:asciiTheme="minorHAnsi" w:hAnsiTheme="minorHAnsi" w:cstheme="minorHAnsi"/>
        </w:rPr>
        <w:t xml:space="preserve"> 16</w:t>
      </w:r>
      <w:r w:rsidRPr="00634704" w:rsidR="00B87C34">
        <w:rPr>
          <w:rFonts w:asciiTheme="minorHAnsi" w:hAnsiTheme="minorHAnsi" w:cstheme="minorHAnsi"/>
        </w:rPr>
        <w:t xml:space="preserve">(1), </w:t>
      </w:r>
      <w:r w:rsidRPr="00634704" w:rsidR="007F381F">
        <w:rPr>
          <w:rFonts w:asciiTheme="minorHAnsi" w:hAnsiTheme="minorHAnsi" w:cstheme="minorHAnsi"/>
        </w:rPr>
        <w:t>46</w:t>
      </w:r>
      <w:r w:rsidRPr="00634704" w:rsidR="00B9216F">
        <w:rPr>
          <w:rFonts w:asciiTheme="minorHAnsi" w:hAnsiTheme="minorHAnsi" w:cstheme="minorHAnsi"/>
        </w:rPr>
        <w:t>.</w:t>
      </w:r>
      <w:r w:rsidRPr="00634704" w:rsidR="007F381F">
        <w:rPr>
          <w:rFonts w:asciiTheme="minorHAnsi" w:hAnsiTheme="minorHAnsi" w:cstheme="minorHAnsi"/>
        </w:rPr>
        <w:t xml:space="preserve"> </w:t>
      </w:r>
    </w:p>
    <w:p w:rsidR="0053014A" w:rsidRPr="00634704" w:rsidP="00255E81" w14:paraId="650C425F" w14:textId="14E829B5">
      <w:pPr>
        <w:pStyle w:val="EndNoteBibliography"/>
        <w:spacing w:after="0"/>
        <w:ind w:left="720"/>
        <w:rPr>
          <w:rFonts w:asciiTheme="minorHAnsi" w:hAnsiTheme="minorHAnsi" w:cstheme="minorHAnsi"/>
        </w:rPr>
      </w:pPr>
      <w:r w:rsidRPr="00634704">
        <w:rPr>
          <w:rFonts w:asciiTheme="minorHAnsi" w:hAnsiTheme="minorHAnsi" w:cstheme="minorHAnsi"/>
        </w:rPr>
        <w:t>https://doi.org/10.1186/s12966-019-0799-0</w:t>
      </w:r>
    </w:p>
    <w:p w:rsidR="00DA6062" w:rsidRPr="00634704" w:rsidP="00DA6062" w14:paraId="00C38EE4" w14:textId="77777777">
      <w:pPr>
        <w:pStyle w:val="EndNoteBibliography"/>
        <w:spacing w:after="0"/>
        <w:ind w:left="720" w:hanging="720"/>
        <w:rPr>
          <w:rFonts w:asciiTheme="minorHAnsi" w:hAnsiTheme="minorHAnsi" w:cstheme="minorHAnsi"/>
        </w:rPr>
      </w:pPr>
    </w:p>
    <w:p w:rsidR="003C644A" w:rsidRPr="00634704" w:rsidP="00BE7AEF" w14:paraId="6AE55509" w14:textId="4F0D65D0">
      <w:pPr>
        <w:autoSpaceDE w:val="0"/>
        <w:autoSpaceDN w:val="0"/>
        <w:adjustRightInd w:val="0"/>
        <w:spacing w:after="0" w:line="240" w:lineRule="auto"/>
        <w:ind w:left="720" w:hanging="720"/>
        <w:rPr>
          <w:rFonts w:cstheme="minorHAnsi"/>
        </w:rPr>
      </w:pPr>
      <w:r w:rsidRPr="00634704">
        <w:rPr>
          <w:rFonts w:cstheme="minorHAnsi"/>
        </w:rPr>
        <w:t xml:space="preserve">Acton, R. B., Kirkpatrick, S. I., &amp; Hammond, D. (2021). Exploring the main and moderating effects of individual-level characteristics on consumer responses to sugar taxes and front-of-pack nutrition labels in an experimental marketplace. </w:t>
      </w:r>
      <w:r w:rsidRPr="00634704">
        <w:rPr>
          <w:rFonts w:cstheme="minorHAnsi"/>
          <w:i/>
          <w:iCs/>
          <w:color w:val="212121"/>
          <w:shd w:val="clear" w:color="auto" w:fill="FFFFFF"/>
        </w:rPr>
        <w:t>Canadian journal of public health</w:t>
      </w:r>
      <w:r w:rsidRPr="00634704">
        <w:rPr>
          <w:rFonts w:cstheme="minorHAnsi"/>
        </w:rPr>
        <w:t>,</w:t>
      </w:r>
      <w:r w:rsidRPr="00634704">
        <w:rPr>
          <w:rFonts w:cstheme="minorHAnsi"/>
          <w:i/>
          <w:iCs/>
        </w:rPr>
        <w:t xml:space="preserve"> 112</w:t>
      </w:r>
      <w:r w:rsidRPr="00634704">
        <w:rPr>
          <w:rFonts w:cstheme="minorHAnsi"/>
        </w:rPr>
        <w:t xml:space="preserve">(4), 647-662. </w:t>
      </w:r>
    </w:p>
    <w:p w:rsidR="00BE7AEF" w:rsidRPr="00634704" w:rsidP="00255E81" w14:paraId="6045F430" w14:textId="7E9A1E45">
      <w:pPr>
        <w:autoSpaceDE w:val="0"/>
        <w:autoSpaceDN w:val="0"/>
        <w:adjustRightInd w:val="0"/>
        <w:spacing w:after="0" w:line="240" w:lineRule="auto"/>
        <w:ind w:left="720"/>
        <w:rPr>
          <w:rFonts w:cstheme="minorHAnsi"/>
        </w:rPr>
      </w:pPr>
      <w:r w:rsidRPr="00634704">
        <w:rPr>
          <w:rFonts w:cstheme="minorHAnsi"/>
        </w:rPr>
        <w:t xml:space="preserve">https://doi.org/10.17269/s41997-021-00475-x </w:t>
      </w:r>
    </w:p>
    <w:p w:rsidR="00BE7AEF" w:rsidRPr="00634704" w:rsidP="00BE7AEF" w14:paraId="76B5C84D" w14:textId="77777777">
      <w:pPr>
        <w:autoSpaceDE w:val="0"/>
        <w:autoSpaceDN w:val="0"/>
        <w:adjustRightInd w:val="0"/>
        <w:spacing w:after="0" w:line="240" w:lineRule="auto"/>
        <w:ind w:left="720" w:hanging="720"/>
        <w:rPr>
          <w:rFonts w:cstheme="minorHAnsi"/>
        </w:rPr>
      </w:pPr>
    </w:p>
    <w:p w:rsidR="00D52577" w:rsidRPr="00D52577" w:rsidP="007347C0" w14:paraId="060D4B60" w14:textId="77777777">
      <w:pPr>
        <w:autoSpaceDE w:val="0"/>
        <w:autoSpaceDN w:val="0"/>
        <w:adjustRightInd w:val="0"/>
        <w:spacing w:after="0" w:line="240" w:lineRule="auto"/>
        <w:ind w:left="720" w:hanging="720"/>
        <w:rPr>
          <w:rFonts w:cstheme="minorHAnsi"/>
        </w:rPr>
      </w:pPr>
      <w:r w:rsidRPr="00634704">
        <w:rPr>
          <w:rFonts w:cstheme="minorHAnsi"/>
        </w:rPr>
        <w:t xml:space="preserve">Acton, R. B., Kirkpatrick, S. I., &amp; Hammond, D. (2022). Comparing the Effects of Four Front-of-Package Nutrition Labels on </w:t>
      </w:r>
      <w:r w:rsidRPr="00D52577">
        <w:rPr>
          <w:rFonts w:cstheme="minorHAnsi"/>
        </w:rPr>
        <w:t xml:space="preserve">Consumer Purchases of Five Common Beverages and Snack Foods: Results from a Randomized Trial. </w:t>
      </w:r>
      <w:r w:rsidRPr="00D52577">
        <w:rPr>
          <w:rFonts w:cstheme="minorHAnsi"/>
          <w:i/>
          <w:iCs/>
          <w:color w:val="212121"/>
          <w:shd w:val="clear" w:color="auto" w:fill="FFFFFF"/>
        </w:rPr>
        <w:t>Journal of the Academy of Nutrition and Dietetics</w:t>
      </w:r>
      <w:r w:rsidRPr="00D52577">
        <w:rPr>
          <w:rFonts w:cstheme="minorHAnsi"/>
        </w:rPr>
        <w:t>,</w:t>
      </w:r>
      <w:r w:rsidRPr="00D52577">
        <w:rPr>
          <w:rFonts w:cstheme="minorHAnsi"/>
          <w:i/>
          <w:iCs/>
        </w:rPr>
        <w:t xml:space="preserve"> 122</w:t>
      </w:r>
      <w:r w:rsidRPr="00D52577">
        <w:rPr>
          <w:rFonts w:cstheme="minorHAnsi"/>
        </w:rPr>
        <w:t>(1), 38-</w:t>
      </w:r>
      <w:r w:rsidRPr="00D52577">
        <w:rPr>
          <w:rFonts w:cstheme="minorHAnsi"/>
        </w:rPr>
        <w:t>48.e</w:t>
      </w:r>
      <w:r w:rsidRPr="00D52577">
        <w:rPr>
          <w:rFonts w:cstheme="minorHAnsi"/>
        </w:rPr>
        <w:t xml:space="preserve">39. </w:t>
      </w:r>
    </w:p>
    <w:p w:rsidR="007347C0" w:rsidRPr="00634704" w:rsidP="00D52577" w14:paraId="5F430DBA" w14:textId="1BAE3AAA">
      <w:pPr>
        <w:autoSpaceDE w:val="0"/>
        <w:autoSpaceDN w:val="0"/>
        <w:adjustRightInd w:val="0"/>
        <w:spacing w:after="0" w:line="240" w:lineRule="auto"/>
        <w:ind w:left="720"/>
        <w:rPr>
          <w:rFonts w:cstheme="minorHAnsi"/>
        </w:rPr>
      </w:pPr>
      <w:r w:rsidRPr="00D52577">
        <w:rPr>
          <w:rFonts w:cstheme="minorHAnsi"/>
        </w:rPr>
        <w:t>https://doi.org/10.1016/j.jand</w:t>
      </w:r>
      <w:r w:rsidRPr="00634704">
        <w:rPr>
          <w:rFonts w:cstheme="minorHAnsi"/>
        </w:rPr>
        <w:t>.2021.07.014</w:t>
      </w:r>
    </w:p>
    <w:p w:rsidR="007347C0" w:rsidRPr="00634704" w:rsidP="00DA6062" w14:paraId="690E3A3E" w14:textId="77777777">
      <w:pPr>
        <w:pStyle w:val="EndNoteBibliography"/>
        <w:spacing w:after="0"/>
        <w:ind w:left="720" w:hanging="720"/>
        <w:rPr>
          <w:rFonts w:asciiTheme="minorHAnsi" w:hAnsiTheme="minorHAnsi" w:cstheme="minorHAnsi"/>
        </w:rPr>
      </w:pPr>
    </w:p>
    <w:p w:rsidR="003A148D" w:rsidRPr="00634704" w:rsidP="00DA6062" w14:paraId="1581BE24"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Acton, R. B., Vanderlee, L., &amp; Hammond, D. (2018). Influence of front-of-package nutrition labels on beverage healthiness perceptions: Results from a randomized experiment. </w:t>
      </w:r>
      <w:r w:rsidRPr="00634704">
        <w:rPr>
          <w:rFonts w:asciiTheme="minorHAnsi" w:hAnsiTheme="minorHAnsi" w:cstheme="minorHAnsi"/>
          <w:i/>
        </w:rPr>
        <w:t>Preventive Medicine,</w:t>
      </w:r>
      <w:r w:rsidRPr="00634704">
        <w:rPr>
          <w:rFonts w:asciiTheme="minorHAnsi" w:hAnsiTheme="minorHAnsi" w:cstheme="minorHAnsi"/>
        </w:rPr>
        <w:t xml:space="preserve"> </w:t>
      </w:r>
      <w:r w:rsidRPr="00634704">
        <w:rPr>
          <w:rFonts w:asciiTheme="minorHAnsi" w:hAnsiTheme="minorHAnsi" w:cstheme="minorHAnsi"/>
          <w:i/>
        </w:rPr>
        <w:t>115</w:t>
      </w:r>
      <w:r w:rsidRPr="00634704">
        <w:rPr>
          <w:rFonts w:asciiTheme="minorHAnsi" w:hAnsiTheme="minorHAnsi" w:cstheme="minorHAnsi"/>
        </w:rPr>
        <w:t xml:space="preserve">, 83-89. </w:t>
      </w:r>
    </w:p>
    <w:p w:rsidR="00A1092A" w:rsidRPr="00634704" w:rsidP="00255E81" w14:paraId="694D62D8" w14:textId="1CD6026A">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doi:10.1016/j.ypmed.2018.08.022</w:t>
      </w:r>
    </w:p>
    <w:p w:rsidR="00DA6062" w:rsidRPr="00634704" w:rsidP="00A1092A" w14:paraId="58D5E424" w14:textId="77777777">
      <w:pPr>
        <w:pStyle w:val="EndNoteBibliography"/>
        <w:spacing w:after="0"/>
        <w:ind w:left="720" w:hanging="720"/>
        <w:rPr>
          <w:rFonts w:asciiTheme="minorHAnsi" w:hAnsiTheme="minorHAnsi" w:cstheme="minorHAnsi"/>
        </w:rPr>
      </w:pPr>
    </w:p>
    <w:p w:rsidR="003C644A" w:rsidRPr="00634704" w:rsidP="00A1092A" w14:paraId="29F07133" w14:textId="6ACF9114">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Acton, R. B., Vanderlee, L., Roberto, C. A., &amp; Hammond, D. (2018). Consumer perceptions of specific design characteristics for front-of-package nutrition labels. </w:t>
      </w:r>
      <w:r w:rsidRPr="00634704">
        <w:rPr>
          <w:rFonts w:asciiTheme="minorHAnsi" w:hAnsiTheme="minorHAnsi" w:cstheme="minorHAnsi"/>
          <w:i/>
        </w:rPr>
        <w:t>Health Edu</w:t>
      </w:r>
      <w:r w:rsidRPr="00634704">
        <w:rPr>
          <w:rFonts w:asciiTheme="minorHAnsi" w:hAnsiTheme="minorHAnsi" w:cstheme="minorHAnsi"/>
          <w:i/>
        </w:rPr>
        <w:t>cation</w:t>
      </w:r>
      <w:r w:rsidRPr="00634704">
        <w:rPr>
          <w:rFonts w:asciiTheme="minorHAnsi" w:hAnsiTheme="minorHAnsi" w:cstheme="minorHAnsi"/>
          <w:i/>
        </w:rPr>
        <w:t xml:space="preserve"> Res</w:t>
      </w:r>
      <w:r w:rsidRPr="00634704">
        <w:rPr>
          <w:rFonts w:asciiTheme="minorHAnsi" w:hAnsiTheme="minorHAnsi" w:cstheme="minorHAnsi"/>
          <w:i/>
        </w:rPr>
        <w:t>earch</w:t>
      </w:r>
      <w:r w:rsidRPr="00634704">
        <w:rPr>
          <w:rFonts w:asciiTheme="minorHAnsi" w:hAnsiTheme="minorHAnsi" w:cstheme="minorHAnsi"/>
          <w:i/>
        </w:rPr>
        <w:t>, 33</w:t>
      </w:r>
      <w:r w:rsidRPr="00634704">
        <w:rPr>
          <w:rFonts w:asciiTheme="minorHAnsi" w:hAnsiTheme="minorHAnsi" w:cstheme="minorHAnsi"/>
        </w:rPr>
        <w:t xml:space="preserve">(2), 167-174. </w:t>
      </w:r>
    </w:p>
    <w:p w:rsidR="00A1092A" w:rsidRPr="00634704" w:rsidP="00F1053D" w14:paraId="209E1F0F" w14:textId="06273A33">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doi:10.1093/her/cyy006</w:t>
      </w:r>
    </w:p>
    <w:p w:rsidR="00911789" w:rsidRPr="00634704" w:rsidP="00A1092A" w14:paraId="2A8BBF81" w14:textId="77777777">
      <w:pPr>
        <w:pStyle w:val="EndNoteBibliography"/>
        <w:spacing w:after="0"/>
        <w:ind w:left="720" w:hanging="720"/>
        <w:rPr>
          <w:rFonts w:asciiTheme="minorHAnsi" w:hAnsiTheme="minorHAnsi" w:cstheme="minorHAnsi"/>
        </w:rPr>
      </w:pPr>
    </w:p>
    <w:p w:rsidR="00144779" w:rsidRPr="00634704" w:rsidP="00BE7AEF" w14:paraId="07EF10BC" w14:textId="1BB750A7">
      <w:pPr>
        <w:autoSpaceDE w:val="0"/>
        <w:autoSpaceDN w:val="0"/>
        <w:adjustRightInd w:val="0"/>
        <w:spacing w:after="0" w:line="240" w:lineRule="auto"/>
        <w:ind w:left="720" w:hanging="720"/>
        <w:rPr>
          <w:rFonts w:cstheme="minorHAnsi"/>
        </w:rPr>
      </w:pPr>
      <w:r w:rsidRPr="00634704">
        <w:rPr>
          <w:rFonts w:cstheme="minorHAnsi"/>
        </w:rPr>
        <w:t>Adasme-Berríos, C., Aliaga-</w:t>
      </w:r>
      <w:r w:rsidRPr="00F1053D">
        <w:rPr>
          <w:rFonts w:cstheme="minorHAnsi"/>
        </w:rPr>
        <w:t xml:space="preserve">Ortega, L., Schnettler, B., Parada, M., Andaur, Y., Carreño, C., Lobos, G., Jara-Rojas, R., &amp; Valdes, R. (2022). Effect of Warning Labels on Consumer Motivation and Intention to Avoid Consuming Processed Foods. </w:t>
      </w:r>
      <w:r w:rsidRPr="00F1053D">
        <w:rPr>
          <w:rFonts w:cstheme="minorHAnsi"/>
          <w:i/>
        </w:rPr>
        <w:t>Nutrients</w:t>
      </w:r>
      <w:r w:rsidRPr="00F1053D">
        <w:rPr>
          <w:rFonts w:cstheme="minorHAnsi"/>
        </w:rPr>
        <w:t>,</w:t>
      </w:r>
      <w:r w:rsidRPr="00F1053D">
        <w:rPr>
          <w:rFonts w:cstheme="minorHAnsi"/>
          <w:i/>
        </w:rPr>
        <w:t xml:space="preserve"> 14</w:t>
      </w:r>
      <w:r w:rsidRPr="00F1053D">
        <w:rPr>
          <w:rFonts w:cstheme="minorHAnsi"/>
        </w:rPr>
        <w:t>(8)</w:t>
      </w:r>
      <w:r w:rsidRPr="00F1053D" w:rsidR="00360251">
        <w:rPr>
          <w:rFonts w:cstheme="minorHAnsi"/>
        </w:rPr>
        <w:t xml:space="preserve">, </w:t>
      </w:r>
      <w:r w:rsidRPr="00F1053D" w:rsidR="00360251">
        <w:rPr>
          <w:rFonts w:cstheme="minorHAnsi"/>
          <w:color w:val="212121"/>
          <w:shd w:val="clear" w:color="auto" w:fill="FFFFFF"/>
        </w:rPr>
        <w:t>1547</w:t>
      </w:r>
      <w:r w:rsidRPr="00F1053D">
        <w:rPr>
          <w:rFonts w:cstheme="minorHAnsi"/>
        </w:rPr>
        <w:t>.</w:t>
      </w:r>
      <w:r w:rsidRPr="00634704">
        <w:rPr>
          <w:rFonts w:cstheme="minorHAnsi"/>
        </w:rPr>
        <w:t xml:space="preserve"> </w:t>
      </w:r>
    </w:p>
    <w:p w:rsidR="00BE7AEF" w:rsidRPr="00634704" w:rsidP="00F1053D" w14:paraId="450E01E4" w14:textId="1D5234C1">
      <w:pPr>
        <w:autoSpaceDE w:val="0"/>
        <w:autoSpaceDN w:val="0"/>
        <w:adjustRightInd w:val="0"/>
        <w:spacing w:after="0" w:line="240" w:lineRule="auto"/>
        <w:ind w:left="720"/>
        <w:rPr>
          <w:rFonts w:cstheme="minorHAnsi"/>
        </w:rPr>
      </w:pPr>
      <w:r w:rsidRPr="00634704">
        <w:rPr>
          <w:rFonts w:cstheme="minorHAnsi"/>
        </w:rPr>
        <w:t xml:space="preserve">https://doi.org/10.3390/nu14081547 </w:t>
      </w:r>
    </w:p>
    <w:p w:rsidR="007347C0" w:rsidRPr="00634704" w:rsidP="00A1092A" w14:paraId="05291768" w14:textId="77777777">
      <w:pPr>
        <w:pStyle w:val="EndNoteBibliography"/>
        <w:spacing w:after="0"/>
        <w:ind w:left="720" w:hanging="720"/>
        <w:rPr>
          <w:rFonts w:asciiTheme="minorHAnsi" w:hAnsiTheme="minorHAnsi" w:cstheme="minorHAnsi"/>
        </w:rPr>
      </w:pPr>
    </w:p>
    <w:p w:rsidR="00E57E34" w:rsidRPr="00634704" w:rsidP="00A1092A" w14:paraId="23FD0BB3"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Adasme-Berríos, C., Aliaga-Ortega, L., Schnettler, B., Sánchez M. , Pinochet, C., </w:t>
      </w:r>
      <w:r w:rsidRPr="00634704" w:rsidR="00B03189">
        <w:rPr>
          <w:rFonts w:asciiTheme="minorHAnsi" w:hAnsiTheme="minorHAnsi" w:cstheme="minorHAnsi"/>
        </w:rPr>
        <w:t>&amp;</w:t>
      </w:r>
      <w:r w:rsidRPr="00634704">
        <w:rPr>
          <w:rFonts w:asciiTheme="minorHAnsi" w:hAnsiTheme="minorHAnsi" w:cstheme="minorHAnsi"/>
        </w:rPr>
        <w:t xml:space="preserve"> Lobos, G. </w:t>
      </w:r>
      <w:r w:rsidRPr="00634704" w:rsidR="00A238EB">
        <w:rPr>
          <w:rFonts w:asciiTheme="minorHAnsi" w:hAnsiTheme="minorHAnsi" w:cstheme="minorHAnsi"/>
        </w:rPr>
        <w:t>(2020). What Dimensions of Risk Perception are Associated with Avoidance of Buying Processed Foods with Warning Labels?</w:t>
      </w:r>
      <w:r w:rsidRPr="00634704" w:rsidR="00BE7248">
        <w:rPr>
          <w:rFonts w:asciiTheme="minorHAnsi" w:hAnsiTheme="minorHAnsi" w:cstheme="minorHAnsi"/>
        </w:rPr>
        <w:t xml:space="preserve"> </w:t>
      </w:r>
      <w:r w:rsidRPr="00634704" w:rsidR="00BE7248">
        <w:rPr>
          <w:rFonts w:asciiTheme="minorHAnsi" w:hAnsiTheme="minorHAnsi" w:cstheme="minorHAnsi"/>
          <w:i/>
        </w:rPr>
        <w:t>Nutrients,</w:t>
      </w:r>
      <w:r w:rsidRPr="00634704" w:rsidR="00BE7248">
        <w:rPr>
          <w:rFonts w:asciiTheme="minorHAnsi" w:hAnsiTheme="minorHAnsi" w:cstheme="minorHAnsi"/>
        </w:rPr>
        <w:t xml:space="preserve"> 12, 2987. </w:t>
      </w:r>
    </w:p>
    <w:p w:rsidR="00A1092A" w:rsidRPr="00634704" w:rsidP="0086739A" w14:paraId="6D1A3E17" w14:textId="405F6A50">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BE7248">
        <w:rPr>
          <w:rFonts w:asciiTheme="minorHAnsi" w:hAnsiTheme="minorHAnsi" w:cstheme="minorHAnsi"/>
        </w:rPr>
        <w:t>doi:10.3390/nu12102987</w:t>
      </w:r>
    </w:p>
    <w:p w:rsidR="00A746AF" w:rsidRPr="00634704" w:rsidP="00A1092A" w14:paraId="6D2C3B03" w14:textId="77777777">
      <w:pPr>
        <w:pStyle w:val="EndNoteBibliography"/>
        <w:spacing w:after="0"/>
        <w:ind w:left="720" w:hanging="720"/>
        <w:rPr>
          <w:rFonts w:asciiTheme="minorHAnsi" w:hAnsiTheme="minorHAnsi" w:cstheme="minorHAnsi"/>
        </w:rPr>
      </w:pPr>
    </w:p>
    <w:p w:rsidR="00836303" w:rsidRPr="00634704" w:rsidP="00BE7AEF" w14:paraId="32993DAA" w14:textId="37E7FCA2">
      <w:pPr>
        <w:autoSpaceDE w:val="0"/>
        <w:autoSpaceDN w:val="0"/>
        <w:adjustRightInd w:val="0"/>
        <w:spacing w:after="0" w:line="240" w:lineRule="auto"/>
        <w:ind w:left="720" w:hanging="720"/>
        <w:rPr>
          <w:rFonts w:cstheme="minorHAnsi"/>
        </w:rPr>
      </w:pPr>
      <w:r w:rsidRPr="00634704">
        <w:rPr>
          <w:rFonts w:cstheme="minorHAnsi"/>
        </w:rPr>
        <w:t xml:space="preserve">Agarwal, D., Ravi, P., Purohit, B., &amp; Priya, H. (2022). The effect of energy and fat content labeling on food consumption pattern: a systematic review and meta-analysis. </w:t>
      </w:r>
      <w:r w:rsidRPr="00634704">
        <w:rPr>
          <w:rFonts w:cstheme="minorHAnsi"/>
          <w:i/>
          <w:iCs/>
          <w:color w:val="212121"/>
          <w:shd w:val="clear" w:color="auto" w:fill="FFFFFF"/>
        </w:rPr>
        <w:t>Nutrition reviews</w:t>
      </w:r>
      <w:r w:rsidRPr="00634704">
        <w:rPr>
          <w:rFonts w:cstheme="minorHAnsi"/>
        </w:rPr>
        <w:t>,</w:t>
      </w:r>
      <w:r w:rsidRPr="00634704">
        <w:rPr>
          <w:rFonts w:cstheme="minorHAnsi"/>
          <w:i/>
        </w:rPr>
        <w:t xml:space="preserve"> 80</w:t>
      </w:r>
      <w:r w:rsidRPr="00634704">
        <w:rPr>
          <w:rFonts w:cstheme="minorHAnsi"/>
        </w:rPr>
        <w:t xml:space="preserve">(3), 453-466. </w:t>
      </w:r>
    </w:p>
    <w:p w:rsidR="00BE7AEF" w:rsidRPr="00634704" w:rsidP="0086739A" w14:paraId="09996AFC" w14:textId="337611DA">
      <w:pPr>
        <w:autoSpaceDE w:val="0"/>
        <w:autoSpaceDN w:val="0"/>
        <w:adjustRightInd w:val="0"/>
        <w:spacing w:after="0" w:line="240" w:lineRule="auto"/>
        <w:ind w:left="720"/>
        <w:rPr>
          <w:rFonts w:cstheme="minorHAnsi"/>
        </w:rPr>
      </w:pPr>
      <w:r w:rsidRPr="00634704">
        <w:rPr>
          <w:rFonts w:cstheme="minorHAnsi"/>
        </w:rPr>
        <w:t xml:space="preserve">https://doi.org/10.1093/nutrit/nuab035 </w:t>
      </w:r>
    </w:p>
    <w:p w:rsidR="007347C0" w:rsidRPr="00634704" w:rsidP="00A1092A" w14:paraId="0034DEE1" w14:textId="77777777">
      <w:pPr>
        <w:pStyle w:val="EndNoteBibliography"/>
        <w:spacing w:after="0"/>
        <w:ind w:left="720" w:hanging="720"/>
        <w:rPr>
          <w:rFonts w:asciiTheme="minorHAnsi" w:hAnsiTheme="minorHAnsi" w:cstheme="minorHAnsi"/>
        </w:rPr>
      </w:pPr>
    </w:p>
    <w:p w:rsidR="000B3C3E" w:rsidRPr="00634704" w:rsidP="00A1092A" w14:paraId="183C82E0" w14:textId="59D3AABE">
      <w:pPr>
        <w:pStyle w:val="EndNoteBibliography"/>
        <w:spacing w:after="0"/>
        <w:ind w:left="720" w:hanging="720"/>
        <w:rPr>
          <w:rFonts w:asciiTheme="minorHAnsi" w:hAnsiTheme="minorHAnsi" w:cstheme="minorHAnsi"/>
        </w:rPr>
      </w:pPr>
      <w:r w:rsidRPr="00634704">
        <w:rPr>
          <w:rFonts w:asciiTheme="minorHAnsi" w:hAnsiTheme="minorHAnsi" w:cstheme="minorHAnsi"/>
        </w:rPr>
        <w:t>Aguenaou, H., El Ammari, L., Bigdeli, M., El Hajjab</w:t>
      </w:r>
      <w:r w:rsidRPr="00634704" w:rsidR="008D16DC">
        <w:rPr>
          <w:rFonts w:asciiTheme="minorHAnsi" w:hAnsiTheme="minorHAnsi" w:cstheme="minorHAnsi"/>
        </w:rPr>
        <w:t>, A.</w:t>
      </w:r>
      <w:r w:rsidRPr="00634704">
        <w:rPr>
          <w:rFonts w:asciiTheme="minorHAnsi" w:hAnsiTheme="minorHAnsi" w:cstheme="minorHAnsi"/>
        </w:rPr>
        <w:t>, Lahmam</w:t>
      </w:r>
      <w:r w:rsidRPr="00634704" w:rsidR="008D16DC">
        <w:rPr>
          <w:rFonts w:asciiTheme="minorHAnsi" w:hAnsiTheme="minorHAnsi" w:cstheme="minorHAnsi"/>
        </w:rPr>
        <w:t>, H.,</w:t>
      </w:r>
      <w:r w:rsidRPr="00634704">
        <w:rPr>
          <w:rFonts w:asciiTheme="minorHAnsi" w:hAnsiTheme="minorHAnsi" w:cstheme="minorHAnsi"/>
        </w:rPr>
        <w:t xml:space="preserve"> Labzizi</w:t>
      </w:r>
      <w:r w:rsidRPr="00634704" w:rsidR="008D16DC">
        <w:rPr>
          <w:rFonts w:asciiTheme="minorHAnsi" w:hAnsiTheme="minorHAnsi" w:cstheme="minorHAnsi"/>
        </w:rPr>
        <w:t>, S.</w:t>
      </w:r>
      <w:r w:rsidRPr="00634704">
        <w:rPr>
          <w:rFonts w:asciiTheme="minorHAnsi" w:hAnsiTheme="minorHAnsi" w:cstheme="minorHAnsi"/>
        </w:rPr>
        <w:t>, Gamih</w:t>
      </w:r>
      <w:r w:rsidRPr="00634704" w:rsidR="008D16DC">
        <w:rPr>
          <w:rFonts w:asciiTheme="minorHAnsi" w:hAnsiTheme="minorHAnsi" w:cstheme="minorHAnsi"/>
        </w:rPr>
        <w:t>, H.</w:t>
      </w:r>
      <w:r w:rsidRPr="00634704">
        <w:rPr>
          <w:rFonts w:asciiTheme="minorHAnsi" w:hAnsiTheme="minorHAnsi" w:cstheme="minorHAnsi"/>
        </w:rPr>
        <w:t>, Talouizte</w:t>
      </w:r>
      <w:r w:rsidRPr="00634704" w:rsidR="00660078">
        <w:rPr>
          <w:rFonts w:asciiTheme="minorHAnsi" w:hAnsiTheme="minorHAnsi" w:cstheme="minorHAnsi"/>
        </w:rPr>
        <w:t>, A.</w:t>
      </w:r>
      <w:r w:rsidRPr="00634704">
        <w:rPr>
          <w:rFonts w:asciiTheme="minorHAnsi" w:hAnsiTheme="minorHAnsi" w:cstheme="minorHAnsi"/>
        </w:rPr>
        <w:t>, Serbouti</w:t>
      </w:r>
      <w:r w:rsidRPr="00634704" w:rsidR="00660078">
        <w:rPr>
          <w:rFonts w:asciiTheme="minorHAnsi" w:hAnsiTheme="minorHAnsi" w:cstheme="minorHAnsi"/>
        </w:rPr>
        <w:t>, C.</w:t>
      </w:r>
      <w:r w:rsidRPr="00634704">
        <w:rPr>
          <w:rFonts w:asciiTheme="minorHAnsi" w:hAnsiTheme="minorHAnsi" w:cstheme="minorHAnsi"/>
        </w:rPr>
        <w:t>, El Kari</w:t>
      </w:r>
      <w:r w:rsidRPr="00634704" w:rsidR="00660078">
        <w:rPr>
          <w:rFonts w:asciiTheme="minorHAnsi" w:hAnsiTheme="minorHAnsi" w:cstheme="minorHAnsi"/>
        </w:rPr>
        <w:t>, K.</w:t>
      </w:r>
      <w:r w:rsidRPr="00634704">
        <w:rPr>
          <w:rFonts w:asciiTheme="minorHAnsi" w:hAnsiTheme="minorHAnsi" w:cstheme="minorHAnsi"/>
        </w:rPr>
        <w:t>, Benkirane</w:t>
      </w:r>
      <w:r w:rsidRPr="00634704" w:rsidR="00660078">
        <w:rPr>
          <w:rFonts w:asciiTheme="minorHAnsi" w:hAnsiTheme="minorHAnsi" w:cstheme="minorHAnsi"/>
        </w:rPr>
        <w:t>, H.</w:t>
      </w:r>
      <w:r w:rsidRPr="00634704">
        <w:rPr>
          <w:rFonts w:asciiTheme="minorHAnsi" w:hAnsiTheme="minorHAnsi" w:cstheme="minorHAnsi"/>
        </w:rPr>
        <w:t>, El Berri</w:t>
      </w:r>
      <w:r w:rsidRPr="00634704" w:rsidR="00660078">
        <w:rPr>
          <w:rFonts w:asciiTheme="minorHAnsi" w:hAnsiTheme="minorHAnsi" w:cstheme="minorHAnsi"/>
        </w:rPr>
        <w:t>, H.</w:t>
      </w:r>
      <w:r w:rsidRPr="00634704">
        <w:rPr>
          <w:rFonts w:asciiTheme="minorHAnsi" w:hAnsiTheme="minorHAnsi" w:cstheme="minorHAnsi"/>
        </w:rPr>
        <w:t>, A</w:t>
      </w:r>
      <w:r w:rsidRPr="00634704" w:rsidR="00660078">
        <w:rPr>
          <w:rFonts w:asciiTheme="minorHAnsi" w:hAnsiTheme="minorHAnsi" w:cstheme="minorHAnsi"/>
        </w:rPr>
        <w:t>l</w:t>
      </w:r>
      <w:r w:rsidRPr="00634704">
        <w:rPr>
          <w:rFonts w:asciiTheme="minorHAnsi" w:hAnsiTheme="minorHAnsi" w:cstheme="minorHAnsi"/>
        </w:rPr>
        <w:t>-Jawaldeh</w:t>
      </w:r>
      <w:r w:rsidRPr="00634704" w:rsidR="00B03189">
        <w:rPr>
          <w:rFonts w:asciiTheme="minorHAnsi" w:hAnsiTheme="minorHAnsi" w:cstheme="minorHAnsi"/>
        </w:rPr>
        <w:t>, A.,</w:t>
      </w:r>
      <w:r w:rsidRPr="00634704">
        <w:rPr>
          <w:rFonts w:asciiTheme="minorHAnsi" w:hAnsiTheme="minorHAnsi" w:cstheme="minorHAnsi"/>
        </w:rPr>
        <w:t xml:space="preserve"> </w:t>
      </w:r>
      <w:r w:rsidRPr="00634704" w:rsidR="00B03189">
        <w:rPr>
          <w:rFonts w:asciiTheme="minorHAnsi" w:hAnsiTheme="minorHAnsi" w:cstheme="minorHAnsi"/>
        </w:rPr>
        <w:t xml:space="preserve">&amp; </w:t>
      </w:r>
      <w:r w:rsidRPr="00634704">
        <w:rPr>
          <w:rFonts w:asciiTheme="minorHAnsi" w:hAnsiTheme="minorHAnsi" w:cstheme="minorHAnsi"/>
        </w:rPr>
        <w:t>Yahyane</w:t>
      </w:r>
      <w:r w:rsidRPr="00634704" w:rsidR="00B03189">
        <w:rPr>
          <w:rFonts w:asciiTheme="minorHAnsi" w:hAnsiTheme="minorHAnsi" w:cstheme="minorHAnsi"/>
        </w:rPr>
        <w:t>, A.</w:t>
      </w:r>
      <w:r w:rsidRPr="00634704" w:rsidR="00EB4A2E">
        <w:rPr>
          <w:rFonts w:asciiTheme="minorHAnsi" w:hAnsiTheme="minorHAnsi" w:cstheme="minorHAnsi"/>
        </w:rPr>
        <w:t xml:space="preserve"> (2020). Comparison of appropriateness of </w:t>
      </w:r>
      <w:r w:rsidRPr="00634704" w:rsidR="004B6E26">
        <w:rPr>
          <w:rFonts w:asciiTheme="minorHAnsi" w:hAnsiTheme="minorHAnsi" w:cstheme="minorHAnsi"/>
        </w:rPr>
        <w:t>Nutri-Score</w:t>
      </w:r>
      <w:r w:rsidRPr="00634704" w:rsidR="00EB4A2E">
        <w:rPr>
          <w:rFonts w:asciiTheme="minorHAnsi" w:hAnsiTheme="minorHAnsi" w:cstheme="minorHAnsi"/>
        </w:rPr>
        <w:t xml:space="preserve"> and other front-of-pack nutrition labels across a group of Moroccan consumers: awareness, understanding and food choices. </w:t>
      </w:r>
      <w:r w:rsidRPr="00634704" w:rsidR="00C76D9F">
        <w:rPr>
          <w:rFonts w:asciiTheme="minorHAnsi" w:hAnsiTheme="minorHAnsi" w:cstheme="minorHAnsi"/>
          <w:i/>
        </w:rPr>
        <w:t>Archives of Public Health</w:t>
      </w:r>
      <w:r w:rsidRPr="00634704" w:rsidR="00C76D9F">
        <w:rPr>
          <w:rFonts w:asciiTheme="minorHAnsi" w:hAnsiTheme="minorHAnsi" w:cstheme="minorHAnsi"/>
        </w:rPr>
        <w:t>, 79</w:t>
      </w:r>
      <w:r w:rsidRPr="00634704" w:rsidR="009312B5">
        <w:rPr>
          <w:rFonts w:asciiTheme="minorHAnsi" w:hAnsiTheme="minorHAnsi" w:cstheme="minorHAnsi"/>
        </w:rPr>
        <w:t>(1)</w:t>
      </w:r>
      <w:r w:rsidRPr="00634704">
        <w:rPr>
          <w:rFonts w:asciiTheme="minorHAnsi" w:hAnsiTheme="minorHAnsi" w:cstheme="minorHAnsi"/>
        </w:rPr>
        <w:t xml:space="preserve">, </w:t>
      </w:r>
      <w:r w:rsidRPr="00634704" w:rsidR="00C76D9F">
        <w:rPr>
          <w:rFonts w:asciiTheme="minorHAnsi" w:hAnsiTheme="minorHAnsi" w:cstheme="minorHAnsi"/>
        </w:rPr>
        <w:t>71</w:t>
      </w:r>
      <w:r w:rsidRPr="00634704" w:rsidR="009F4CB9">
        <w:rPr>
          <w:rFonts w:asciiTheme="minorHAnsi" w:hAnsiTheme="minorHAnsi" w:cstheme="minorHAnsi"/>
        </w:rPr>
        <w:t xml:space="preserve">. </w:t>
      </w:r>
    </w:p>
    <w:p w:rsidR="00A746AF" w:rsidRPr="00634704" w:rsidP="0086739A" w14:paraId="52282B10" w14:textId="5BEDDE9E">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C76D9F">
        <w:rPr>
          <w:rFonts w:asciiTheme="minorHAnsi" w:hAnsiTheme="minorHAnsi" w:cstheme="minorHAnsi"/>
        </w:rPr>
        <w:t>doi</w:t>
      </w:r>
      <w:r w:rsidRPr="00634704" w:rsidR="009F4CB9">
        <w:rPr>
          <w:rFonts w:asciiTheme="minorHAnsi" w:hAnsiTheme="minorHAnsi" w:cstheme="minorHAnsi"/>
        </w:rPr>
        <w:t>:</w:t>
      </w:r>
      <w:r w:rsidRPr="00634704" w:rsidR="00C76D9F">
        <w:rPr>
          <w:rFonts w:asciiTheme="minorHAnsi" w:hAnsiTheme="minorHAnsi" w:cstheme="minorHAnsi"/>
        </w:rPr>
        <w:t>10.1186/s13690-021-00595-3</w:t>
      </w:r>
    </w:p>
    <w:p w:rsidR="007347C0" w:rsidRPr="00634704" w:rsidP="00C96F64" w14:paraId="56DA5058" w14:textId="77777777">
      <w:pPr>
        <w:autoSpaceDE w:val="0"/>
        <w:autoSpaceDN w:val="0"/>
        <w:adjustRightInd w:val="0"/>
        <w:spacing w:after="0" w:line="240" w:lineRule="auto"/>
        <w:ind w:left="720" w:hanging="720"/>
        <w:rPr>
          <w:rFonts w:cstheme="minorHAnsi"/>
        </w:rPr>
      </w:pPr>
    </w:p>
    <w:p w:rsidR="00BE7AEF" w:rsidRPr="00634704" w:rsidP="00BE7AEF" w14:paraId="5F8B7E7F" w14:textId="3008FB07">
      <w:pPr>
        <w:autoSpaceDE w:val="0"/>
        <w:autoSpaceDN w:val="0"/>
        <w:adjustRightInd w:val="0"/>
        <w:spacing w:after="0" w:line="240" w:lineRule="auto"/>
        <w:ind w:left="720" w:hanging="720"/>
        <w:rPr>
          <w:rFonts w:cstheme="minorHAnsi"/>
        </w:rPr>
      </w:pPr>
      <w:r w:rsidRPr="00634704">
        <w:rPr>
          <w:rFonts w:cstheme="minorHAnsi"/>
        </w:rPr>
        <w:t xml:space="preserve">Ahn, C., &amp; Lee, C. G. (2022). Effect of </w:t>
      </w:r>
      <w:r w:rsidRPr="00634704" w:rsidR="004B6E26">
        <w:rPr>
          <w:rFonts w:cstheme="minorHAnsi"/>
        </w:rPr>
        <w:t>NUTRI-SCORE</w:t>
      </w:r>
      <w:r w:rsidRPr="00634704">
        <w:rPr>
          <w:rFonts w:cstheme="minorHAnsi"/>
        </w:rPr>
        <w:t xml:space="preserve"> labeling on sales of food items in stores at sports and no</w:t>
      </w:r>
      <w:r w:rsidR="004A43CC">
        <w:rPr>
          <w:rFonts w:cstheme="minorHAnsi"/>
        </w:rPr>
        <w:t xml:space="preserve"> </w:t>
      </w:r>
      <w:r w:rsidRPr="00634704" w:rsidR="004B6E26">
        <w:rPr>
          <w:rFonts w:cstheme="minorHAnsi"/>
        </w:rPr>
        <w:t>Nutri-Score</w:t>
      </w:r>
      <w:r w:rsidRPr="00634704">
        <w:rPr>
          <w:rFonts w:cstheme="minorHAnsi"/>
        </w:rPr>
        <w:t xml:space="preserve">ports facilities. </w:t>
      </w:r>
      <w:r w:rsidRPr="00634704" w:rsidR="003527C0">
        <w:rPr>
          <w:rFonts w:cstheme="minorHAnsi"/>
          <w:i/>
          <w:iCs/>
          <w:color w:val="212121"/>
          <w:shd w:val="clear" w:color="auto" w:fill="FFFFFF"/>
        </w:rPr>
        <w:t>Preventive medicine reports</w:t>
      </w:r>
      <w:r w:rsidRPr="00634704">
        <w:rPr>
          <w:rFonts w:cstheme="minorHAnsi"/>
        </w:rPr>
        <w:t>,</w:t>
      </w:r>
      <w:r w:rsidRPr="00634704">
        <w:rPr>
          <w:rFonts w:cstheme="minorHAnsi"/>
          <w:i/>
          <w:iCs/>
        </w:rPr>
        <w:t xml:space="preserve"> 29</w:t>
      </w:r>
      <w:r w:rsidRPr="00634704">
        <w:rPr>
          <w:rFonts w:cstheme="minorHAnsi"/>
        </w:rPr>
        <w:t xml:space="preserve">, 101919. https://doi.org/10.1016/j.pmedr.2022.101919 </w:t>
      </w:r>
    </w:p>
    <w:p w:rsidR="00911789" w:rsidRPr="00634704" w:rsidP="00A1092A" w14:paraId="6174BE3C" w14:textId="77777777">
      <w:pPr>
        <w:pStyle w:val="EndNoteBibliography"/>
        <w:spacing w:after="0"/>
        <w:ind w:left="720" w:hanging="720"/>
        <w:rPr>
          <w:rFonts w:asciiTheme="minorHAnsi" w:hAnsiTheme="minorHAnsi" w:cstheme="minorHAnsi"/>
        </w:rPr>
      </w:pPr>
    </w:p>
    <w:p w:rsidR="00A1092A" w:rsidRPr="00634704" w:rsidP="00A1092A" w14:paraId="22CCE8AD" w14:textId="7AE9A29B">
      <w:pPr>
        <w:pStyle w:val="EndNoteBibliography"/>
        <w:spacing w:after="0"/>
        <w:ind w:left="720" w:hanging="720"/>
        <w:rPr>
          <w:rFonts w:asciiTheme="minorHAnsi" w:hAnsiTheme="minorHAnsi" w:cstheme="minorHAnsi"/>
        </w:rPr>
      </w:pPr>
      <w:r w:rsidRPr="00634704">
        <w:rPr>
          <w:rFonts w:asciiTheme="minorHAnsi" w:hAnsiTheme="minorHAnsi" w:cstheme="minorHAnsi"/>
        </w:rPr>
        <w:t>Akgüngör, S., Gröppel-Klein, A., Koenigstorfer, J., Gülcan, Y., &amp; Kustepeli, Y. (2016). The impact of nutrition labels on food sales: an i</w:t>
      </w:r>
      <w:r w:rsidRPr="00634704" w:rsidR="00122AD7">
        <w:rPr>
          <w:rFonts w:asciiTheme="minorHAnsi" w:hAnsiTheme="minorHAnsi" w:cstheme="minorHAnsi"/>
        </w:rPr>
        <w:t>n-Store</w:t>
      </w:r>
      <w:r w:rsidRPr="00634704">
        <w:rPr>
          <w:rFonts w:asciiTheme="minorHAnsi" w:hAnsiTheme="minorHAnsi" w:cstheme="minorHAnsi"/>
        </w:rPr>
        <w:t xml:space="preserve"> experiment in a Turkish supermarket. </w:t>
      </w:r>
      <w:r w:rsidRPr="00634704">
        <w:rPr>
          <w:rFonts w:asciiTheme="minorHAnsi" w:hAnsiTheme="minorHAnsi" w:cstheme="minorHAnsi"/>
          <w:i/>
        </w:rPr>
        <w:t>Economia Agro-Alimentare/Food Economy, 18</w:t>
      </w:r>
      <w:r w:rsidRPr="00634704">
        <w:rPr>
          <w:rFonts w:asciiTheme="minorHAnsi" w:hAnsiTheme="minorHAnsi" w:cstheme="minorHAnsi"/>
        </w:rPr>
        <w:t xml:space="preserve">(2), 207-228. </w:t>
      </w:r>
    </w:p>
    <w:p w:rsidR="00B365C1" w:rsidRPr="00634704" w:rsidP="00A1092A" w14:paraId="0A15D5A9" w14:textId="2DF2C384">
      <w:pPr>
        <w:pStyle w:val="EndNoteBibliography"/>
        <w:spacing w:after="0"/>
        <w:ind w:left="720" w:hanging="720"/>
        <w:rPr>
          <w:rFonts w:asciiTheme="minorHAnsi" w:hAnsiTheme="minorHAnsi" w:cstheme="minorHAnsi"/>
        </w:rPr>
      </w:pPr>
      <w:r w:rsidRPr="00634704">
        <w:rPr>
          <w:rFonts w:asciiTheme="minorHAnsi" w:hAnsiTheme="minorHAnsi" w:cstheme="minorHAnsi"/>
        </w:rPr>
        <w:tab/>
        <w:t>https://</w:t>
      </w:r>
      <w:r w:rsidRPr="00634704" w:rsidR="005C79E3">
        <w:rPr>
          <w:rFonts w:asciiTheme="minorHAnsi" w:hAnsiTheme="minorHAnsi" w:cstheme="minorHAnsi"/>
        </w:rPr>
        <w:t>doi:10.3280/ECAG2016-002002</w:t>
      </w:r>
    </w:p>
    <w:p w:rsidR="00A1092A" w:rsidRPr="00634704" w:rsidP="00A1092A" w14:paraId="2A06F31D" w14:textId="77777777">
      <w:pPr>
        <w:pStyle w:val="EndNoteBibliography"/>
        <w:spacing w:after="0"/>
        <w:ind w:left="720" w:hanging="720"/>
        <w:rPr>
          <w:rFonts w:asciiTheme="minorHAnsi" w:hAnsiTheme="minorHAnsi" w:cstheme="minorHAnsi"/>
        </w:rPr>
      </w:pPr>
    </w:p>
    <w:p w:rsidR="00B83865" w:rsidRPr="00634704" w:rsidP="00A1092A" w14:paraId="36497F33"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Al-Jawaldeh, A., Rayner, M., Julia, C., Elmadfa, I., Hammerich, A., &amp; McColl, K. (</w:t>
      </w:r>
      <w:r w:rsidRPr="00634704" w:rsidR="003D28FE">
        <w:rPr>
          <w:rFonts w:asciiTheme="minorHAnsi" w:hAnsiTheme="minorHAnsi" w:cstheme="minorHAnsi"/>
        </w:rPr>
        <w:t xml:space="preserve">2020). </w:t>
      </w:r>
      <w:r w:rsidRPr="00634704" w:rsidR="00CA1EAE">
        <w:rPr>
          <w:rFonts w:asciiTheme="minorHAnsi" w:hAnsiTheme="minorHAnsi" w:cstheme="minorHAnsi"/>
        </w:rPr>
        <w:t xml:space="preserve">Improving Nutrition Information in the Eastern Mediterranean Region: Implementation of Front-of-Pack Nutrition Labelling. </w:t>
      </w:r>
      <w:r w:rsidRPr="00634704" w:rsidR="00CA1EAE">
        <w:rPr>
          <w:rFonts w:asciiTheme="minorHAnsi" w:hAnsiTheme="minorHAnsi" w:cstheme="minorHAnsi"/>
          <w:i/>
        </w:rPr>
        <w:t>Nutrients</w:t>
      </w:r>
      <w:r w:rsidRPr="00634704" w:rsidR="00CA1EAE">
        <w:rPr>
          <w:rFonts w:asciiTheme="minorHAnsi" w:hAnsiTheme="minorHAnsi" w:cstheme="minorHAnsi"/>
        </w:rPr>
        <w:t xml:space="preserve">, 12, 330. </w:t>
      </w:r>
    </w:p>
    <w:p w:rsidR="004E22E5" w:rsidRPr="00634704" w:rsidP="0086739A" w14:paraId="2A2A1322" w14:textId="59676FE3">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CA1EAE">
        <w:rPr>
          <w:rFonts w:asciiTheme="minorHAnsi" w:hAnsiTheme="minorHAnsi" w:cstheme="minorHAnsi"/>
        </w:rPr>
        <w:t>doi:10.3390/nu12020330</w:t>
      </w:r>
    </w:p>
    <w:p w:rsidR="00611BD2" w:rsidRPr="00634704" w:rsidP="00A1092A" w14:paraId="3B66C2A9" w14:textId="77777777">
      <w:pPr>
        <w:pStyle w:val="EndNoteBibliography"/>
        <w:spacing w:after="0"/>
        <w:ind w:left="720" w:hanging="720"/>
        <w:rPr>
          <w:rFonts w:asciiTheme="minorHAnsi" w:hAnsiTheme="minorHAnsi" w:cstheme="minorHAnsi"/>
        </w:rPr>
      </w:pPr>
    </w:p>
    <w:p w:rsidR="00AF1DA9" w:rsidRPr="00634704" w:rsidP="00A1092A" w14:paraId="4E5A71F2"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An, R., Shi, Y., Shen, J., Bullard, T., Liu, G., Yang, Q., Chen, N., </w:t>
      </w:r>
      <w:r w:rsidRPr="00634704" w:rsidR="00D640BE">
        <w:rPr>
          <w:rFonts w:asciiTheme="minorHAnsi" w:hAnsiTheme="minorHAnsi" w:cstheme="minorHAnsi"/>
        </w:rPr>
        <w:t xml:space="preserve">&amp; </w:t>
      </w:r>
      <w:r w:rsidRPr="00634704">
        <w:rPr>
          <w:rFonts w:asciiTheme="minorHAnsi" w:hAnsiTheme="minorHAnsi" w:cstheme="minorHAnsi"/>
        </w:rPr>
        <w:t xml:space="preserve">Cao, L. </w:t>
      </w:r>
      <w:r w:rsidRPr="00634704" w:rsidR="00B3089C">
        <w:rPr>
          <w:rFonts w:asciiTheme="minorHAnsi" w:hAnsiTheme="minorHAnsi" w:cstheme="minorHAnsi"/>
        </w:rPr>
        <w:t>(2020)</w:t>
      </w:r>
      <w:r w:rsidRPr="00634704" w:rsidR="00E0154A">
        <w:rPr>
          <w:rFonts w:asciiTheme="minorHAnsi" w:hAnsiTheme="minorHAnsi" w:cstheme="minorHAnsi"/>
        </w:rPr>
        <w:t xml:space="preserve">. Effect of front-of-package nutrition labeling on food purchases: a systematic review. </w:t>
      </w:r>
      <w:r w:rsidRPr="0086739A" w:rsidR="00412E99">
        <w:rPr>
          <w:rFonts w:asciiTheme="minorHAnsi" w:hAnsiTheme="minorHAnsi" w:cstheme="minorHAnsi"/>
          <w:i/>
        </w:rPr>
        <w:t>Public Health</w:t>
      </w:r>
      <w:r w:rsidRPr="00634704" w:rsidR="008A6F18">
        <w:rPr>
          <w:rFonts w:asciiTheme="minorHAnsi" w:hAnsiTheme="minorHAnsi" w:cstheme="minorHAnsi"/>
        </w:rPr>
        <w:t>, 191, 59-67</w:t>
      </w:r>
      <w:r w:rsidRPr="00634704" w:rsidR="00741E73">
        <w:rPr>
          <w:rFonts w:asciiTheme="minorHAnsi" w:hAnsiTheme="minorHAnsi" w:cstheme="minorHAnsi"/>
        </w:rPr>
        <w:t xml:space="preserve">. </w:t>
      </w:r>
    </w:p>
    <w:p w:rsidR="00611BD2" w:rsidRPr="00634704" w:rsidP="0086739A" w14:paraId="631CE85C" w14:textId="48E472E1">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741E73">
        <w:rPr>
          <w:rFonts w:asciiTheme="minorHAnsi" w:hAnsiTheme="minorHAnsi" w:cstheme="minorHAnsi"/>
        </w:rPr>
        <w:t>doi: 10.1016/j.puhe.2020.06.035 0033-3506</w:t>
      </w:r>
    </w:p>
    <w:p w:rsidR="00615332" w:rsidRPr="00634704" w:rsidP="00A1092A" w14:paraId="5E86C613" w14:textId="77777777">
      <w:pPr>
        <w:pStyle w:val="EndNoteBibliography"/>
        <w:spacing w:after="0"/>
        <w:ind w:left="720" w:hanging="720"/>
        <w:rPr>
          <w:rFonts w:asciiTheme="minorHAnsi" w:hAnsiTheme="minorHAnsi" w:cstheme="minorHAnsi"/>
        </w:rPr>
      </w:pPr>
    </w:p>
    <w:p w:rsidR="00FF4DA8" w:rsidRPr="00634704" w:rsidP="00A1092A" w14:paraId="4C4F712B" w14:textId="09402F5E">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Anabtawi, O., Swift, J. A., Hemmings, </w:t>
      </w:r>
      <w:r w:rsidRPr="00634704" w:rsidR="00F15190">
        <w:rPr>
          <w:rFonts w:asciiTheme="minorHAnsi" w:hAnsiTheme="minorHAnsi" w:cstheme="minorHAnsi"/>
        </w:rPr>
        <w:t xml:space="preserve">S., Gertson, L., </w:t>
      </w:r>
      <w:r w:rsidRPr="00634704">
        <w:rPr>
          <w:rFonts w:asciiTheme="minorHAnsi" w:hAnsiTheme="minorHAnsi" w:cstheme="minorHAnsi"/>
        </w:rPr>
        <w:t xml:space="preserve">&amp; </w:t>
      </w:r>
      <w:r w:rsidRPr="00634704" w:rsidR="00F15190">
        <w:rPr>
          <w:rFonts w:asciiTheme="minorHAnsi" w:hAnsiTheme="minorHAnsi" w:cstheme="minorHAnsi"/>
        </w:rPr>
        <w:t>Raaff, C. (</w:t>
      </w:r>
      <w:r w:rsidRPr="00634704" w:rsidR="00E62304">
        <w:rPr>
          <w:rFonts w:asciiTheme="minorHAnsi" w:hAnsiTheme="minorHAnsi" w:cstheme="minorHAnsi"/>
        </w:rPr>
        <w:t xml:space="preserve">2020). </w:t>
      </w:r>
      <w:r w:rsidRPr="00634704">
        <w:rPr>
          <w:rFonts w:asciiTheme="minorHAnsi" w:hAnsiTheme="minorHAnsi" w:cstheme="minorHAnsi"/>
        </w:rPr>
        <w:t xml:space="preserve">Perceived healthiness of food items and the traffic light front of pack nutrition labelling: choice-based conjoint analysis and cross-sectional </w:t>
      </w:r>
      <w:r w:rsidRPr="00634704" w:rsidR="00E62304">
        <w:rPr>
          <w:rFonts w:asciiTheme="minorHAnsi" w:hAnsiTheme="minorHAnsi" w:cstheme="minorHAnsi"/>
        </w:rPr>
        <w:t xml:space="preserve">survey. </w:t>
      </w:r>
      <w:r w:rsidRPr="00634704" w:rsidR="00A24FE5">
        <w:rPr>
          <w:rFonts w:asciiTheme="minorHAnsi" w:hAnsiTheme="minorHAnsi" w:cstheme="minorHAnsi"/>
          <w:i/>
        </w:rPr>
        <w:t>Journal of Human Nutrition and Dietetics</w:t>
      </w:r>
      <w:r w:rsidRPr="00634704" w:rsidR="008334FD">
        <w:rPr>
          <w:rFonts w:asciiTheme="minorHAnsi" w:hAnsiTheme="minorHAnsi" w:cstheme="minorHAnsi"/>
        </w:rPr>
        <w:t xml:space="preserve">, </w:t>
      </w:r>
      <w:r w:rsidRPr="00634704" w:rsidR="00D52CA0">
        <w:rPr>
          <w:rFonts w:asciiTheme="minorHAnsi" w:hAnsiTheme="minorHAnsi" w:cstheme="minorHAnsi"/>
          <w:color w:val="3A3A3A"/>
          <w:shd w:val="clear" w:color="auto" w:fill="FFFFFF"/>
        </w:rPr>
        <w:t>33(4), 487-495.</w:t>
      </w:r>
    </w:p>
    <w:p w:rsidR="00615332" w:rsidRPr="00634704" w:rsidP="0086739A" w14:paraId="37B85A24" w14:textId="5567BFEA">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B97D72">
        <w:rPr>
          <w:rFonts w:asciiTheme="minorHAnsi" w:hAnsiTheme="minorHAnsi" w:cstheme="minorHAnsi"/>
        </w:rPr>
        <w:t>doi: 10.1111/jhn.12741</w:t>
      </w:r>
    </w:p>
    <w:p w:rsidR="006607E5" w:rsidRPr="00634704" w:rsidP="00A1092A" w14:paraId="3711EB44" w14:textId="77777777">
      <w:pPr>
        <w:pStyle w:val="EndNoteBibliography"/>
        <w:spacing w:after="0"/>
        <w:ind w:left="720" w:hanging="720"/>
        <w:rPr>
          <w:rFonts w:asciiTheme="minorHAnsi" w:hAnsiTheme="minorHAnsi" w:cstheme="minorHAnsi"/>
        </w:rPr>
      </w:pPr>
    </w:p>
    <w:p w:rsidR="007F3BDE" w:rsidRPr="00634704" w:rsidP="00A1092A" w14:paraId="4AE71195" w14:textId="7010054C">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Andreeva, V., Egnell, M., Handjieva-Darlensk, T., </w:t>
      </w:r>
      <w:r w:rsidRPr="00634704" w:rsidR="00510E00">
        <w:rPr>
          <w:rFonts w:asciiTheme="minorHAnsi" w:hAnsiTheme="minorHAnsi" w:cstheme="minorHAnsi"/>
        </w:rPr>
        <w:t xml:space="preserve">Talati, Z., Touvier, M., Galan, P., Hercberg, S., Pettigrew, S., </w:t>
      </w:r>
      <w:r w:rsidRPr="00634704">
        <w:rPr>
          <w:rFonts w:asciiTheme="minorHAnsi" w:hAnsiTheme="minorHAnsi" w:cstheme="minorHAnsi"/>
        </w:rPr>
        <w:t xml:space="preserve">&amp; </w:t>
      </w:r>
      <w:r w:rsidRPr="00634704" w:rsidR="00510E00">
        <w:rPr>
          <w:rFonts w:asciiTheme="minorHAnsi" w:hAnsiTheme="minorHAnsi" w:cstheme="minorHAnsi"/>
        </w:rPr>
        <w:t xml:space="preserve">Julia, C. (2021). </w:t>
      </w:r>
      <w:r w:rsidRPr="00634704" w:rsidR="00E96516">
        <w:rPr>
          <w:rFonts w:asciiTheme="minorHAnsi" w:hAnsiTheme="minorHAnsi" w:cstheme="minorHAnsi"/>
        </w:rPr>
        <w:t>Bulgarian consumers’ objective understanding of front-of-package nutrition labels: a comparative, randomized study</w:t>
      </w:r>
      <w:r w:rsidRPr="00634704" w:rsidR="00E96516">
        <w:rPr>
          <w:rFonts w:asciiTheme="minorHAnsi" w:hAnsiTheme="minorHAnsi" w:cstheme="minorHAnsi"/>
          <w:i/>
        </w:rPr>
        <w:t xml:space="preserve">. </w:t>
      </w:r>
      <w:r w:rsidRPr="00634704" w:rsidR="00661D93">
        <w:rPr>
          <w:rFonts w:asciiTheme="minorHAnsi" w:hAnsiTheme="minorHAnsi" w:cstheme="minorHAnsi"/>
          <w:i/>
        </w:rPr>
        <w:t>Archives of Public Health</w:t>
      </w:r>
      <w:r w:rsidRPr="00634704" w:rsidR="00661D93">
        <w:rPr>
          <w:rFonts w:asciiTheme="minorHAnsi" w:hAnsiTheme="minorHAnsi" w:cstheme="minorHAnsi"/>
        </w:rPr>
        <w:t>, 78</w:t>
      </w:r>
      <w:r w:rsidRPr="00634704" w:rsidR="00BE0378">
        <w:rPr>
          <w:rFonts w:asciiTheme="minorHAnsi" w:hAnsiTheme="minorHAnsi" w:cstheme="minorHAnsi"/>
        </w:rPr>
        <w:t xml:space="preserve">, </w:t>
      </w:r>
      <w:r w:rsidRPr="00634704" w:rsidR="00661D93">
        <w:rPr>
          <w:rFonts w:asciiTheme="minorHAnsi" w:hAnsiTheme="minorHAnsi" w:cstheme="minorHAnsi"/>
        </w:rPr>
        <w:t xml:space="preserve">35. </w:t>
      </w:r>
    </w:p>
    <w:p w:rsidR="006607E5" w:rsidRPr="00634704" w:rsidP="0086739A" w14:paraId="2BB7BDB8" w14:textId="31A83184">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661D93">
        <w:rPr>
          <w:rFonts w:asciiTheme="minorHAnsi" w:hAnsiTheme="minorHAnsi" w:cstheme="minorHAnsi"/>
        </w:rPr>
        <w:t>doi:10.1186/s13690-020-00416-z</w:t>
      </w:r>
    </w:p>
    <w:p w:rsidR="00661D93" w:rsidRPr="00634704" w:rsidP="00A1092A" w14:paraId="21CB187E" w14:textId="77777777">
      <w:pPr>
        <w:pStyle w:val="EndNoteBibliography"/>
        <w:spacing w:after="0"/>
        <w:ind w:left="720" w:hanging="720"/>
        <w:rPr>
          <w:rFonts w:asciiTheme="minorHAnsi" w:hAnsiTheme="minorHAnsi" w:cstheme="minorHAnsi"/>
        </w:rPr>
      </w:pPr>
    </w:p>
    <w:p w:rsidR="00BE7AEF" w:rsidRPr="00634704" w:rsidP="00BE7AEF" w14:paraId="2C65CE2E" w14:textId="218B974C">
      <w:pPr>
        <w:autoSpaceDE w:val="0"/>
        <w:autoSpaceDN w:val="0"/>
        <w:adjustRightInd w:val="0"/>
        <w:spacing w:after="0" w:line="240" w:lineRule="auto"/>
        <w:ind w:left="720" w:hanging="720"/>
        <w:rPr>
          <w:rFonts w:cstheme="minorHAnsi"/>
        </w:rPr>
      </w:pPr>
      <w:r w:rsidRPr="00634704">
        <w:rPr>
          <w:rFonts w:cstheme="minorHAnsi"/>
        </w:rPr>
        <w:t xml:space="preserve">Andreeva, V. A., Egnell, M., Stoś, K., Przygoda, B., Talati, Z., Touvier, M., Galan, P., Hercberg, S., Pettigrew, S., &amp; Julia, C. (2022). Polish Consumers' Understanding of Different Front-of-Package Food Labels: A Randomized Experiment. </w:t>
      </w:r>
      <w:r w:rsidRPr="00634704">
        <w:rPr>
          <w:rFonts w:cstheme="minorHAnsi"/>
          <w:i/>
        </w:rPr>
        <w:t>Foods</w:t>
      </w:r>
      <w:r w:rsidRPr="00634704">
        <w:rPr>
          <w:rFonts w:cstheme="minorHAnsi"/>
        </w:rPr>
        <w:t>,</w:t>
      </w:r>
      <w:r w:rsidRPr="00634704">
        <w:rPr>
          <w:rFonts w:cstheme="minorHAnsi"/>
          <w:i/>
        </w:rPr>
        <w:t xml:space="preserve"> 11</w:t>
      </w:r>
      <w:r w:rsidRPr="00634704">
        <w:rPr>
          <w:rFonts w:cstheme="minorHAnsi"/>
        </w:rPr>
        <w:t>(1)</w:t>
      </w:r>
      <w:r w:rsidRPr="00634704" w:rsidR="00100DB2">
        <w:rPr>
          <w:rFonts w:cstheme="minorHAnsi"/>
        </w:rPr>
        <w:t>, 134</w:t>
      </w:r>
      <w:r w:rsidRPr="00634704">
        <w:rPr>
          <w:rFonts w:cstheme="minorHAnsi"/>
        </w:rPr>
        <w:t xml:space="preserve">. https://doi.org/10.3390/foods11010134 </w:t>
      </w:r>
    </w:p>
    <w:p w:rsidR="007347C0" w:rsidRPr="00634704" w:rsidP="00A1092A" w14:paraId="1D45EDBD" w14:textId="77777777">
      <w:pPr>
        <w:pStyle w:val="EndNoteBibliography"/>
        <w:spacing w:after="0"/>
        <w:ind w:left="720" w:hanging="720"/>
        <w:rPr>
          <w:rFonts w:asciiTheme="minorHAnsi" w:hAnsiTheme="minorHAnsi" w:cstheme="minorHAnsi"/>
        </w:rPr>
      </w:pPr>
    </w:p>
    <w:p w:rsidR="0086739A" w:rsidP="00100DB2" w14:paraId="010E6CAC"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Andreeva, V., Egnell, M., Touvier, M., Galan, P., Julia, C., </w:t>
      </w:r>
      <w:r w:rsidRPr="00634704" w:rsidR="00100DB2">
        <w:rPr>
          <w:rFonts w:asciiTheme="minorHAnsi" w:hAnsiTheme="minorHAnsi" w:cstheme="minorHAnsi"/>
        </w:rPr>
        <w:t xml:space="preserve">&amp; </w:t>
      </w:r>
      <w:r w:rsidRPr="00634704">
        <w:rPr>
          <w:rFonts w:asciiTheme="minorHAnsi" w:hAnsiTheme="minorHAnsi" w:cstheme="minorHAnsi"/>
        </w:rPr>
        <w:t xml:space="preserve">Hercberg, S. </w:t>
      </w:r>
      <w:r w:rsidRPr="00634704" w:rsidR="7E925B36">
        <w:rPr>
          <w:rFonts w:asciiTheme="minorHAnsi" w:hAnsiTheme="minorHAnsi" w:cstheme="minorHAnsi"/>
        </w:rPr>
        <w:t>(2021). International evidence for the effec</w:t>
      </w:r>
      <w:r w:rsidRPr="00634704" w:rsidR="6BC9099C">
        <w:rPr>
          <w:rFonts w:asciiTheme="minorHAnsi" w:hAnsiTheme="minorHAnsi" w:cstheme="minorHAnsi"/>
        </w:rPr>
        <w:t>t</w:t>
      </w:r>
      <w:r w:rsidRPr="00634704" w:rsidR="7E925B36">
        <w:rPr>
          <w:rFonts w:asciiTheme="minorHAnsi" w:hAnsiTheme="minorHAnsi" w:cstheme="minorHAnsi"/>
        </w:rPr>
        <w:t xml:space="preserve">iveness of the front-of-package nutrition label called </w:t>
      </w:r>
      <w:r w:rsidRPr="00634704" w:rsidR="3CB3952B">
        <w:rPr>
          <w:rFonts w:asciiTheme="minorHAnsi" w:hAnsiTheme="minorHAnsi" w:cstheme="minorHAnsi"/>
        </w:rPr>
        <w:t>Nutri-Score</w:t>
      </w:r>
      <w:r w:rsidRPr="00634704" w:rsidR="7E925B36">
        <w:rPr>
          <w:rFonts w:asciiTheme="minorHAnsi" w:hAnsiTheme="minorHAnsi" w:cstheme="minorHAnsi"/>
        </w:rPr>
        <w:t xml:space="preserve">. </w:t>
      </w:r>
      <w:r w:rsidRPr="00634704" w:rsidR="4AD5DF66">
        <w:rPr>
          <w:rFonts w:asciiTheme="minorHAnsi" w:hAnsiTheme="minorHAnsi" w:cstheme="minorHAnsi"/>
          <w:i/>
          <w:iCs/>
        </w:rPr>
        <w:t>Central European Journal of Public Health</w:t>
      </w:r>
      <w:r w:rsidRPr="00634704" w:rsidR="27D49B02">
        <w:rPr>
          <w:rFonts w:asciiTheme="minorHAnsi" w:hAnsiTheme="minorHAnsi" w:cstheme="minorHAnsi"/>
        </w:rPr>
        <w:t>,</w:t>
      </w:r>
      <w:r w:rsidRPr="00634704" w:rsidR="4AD5DF66">
        <w:rPr>
          <w:rFonts w:asciiTheme="minorHAnsi" w:hAnsiTheme="minorHAnsi" w:cstheme="minorHAnsi"/>
        </w:rPr>
        <w:t xml:space="preserve"> 29(1): 76–79</w:t>
      </w:r>
      <w:r w:rsidRPr="00634704" w:rsidR="27D49B02">
        <w:rPr>
          <w:rFonts w:asciiTheme="minorHAnsi" w:hAnsiTheme="minorHAnsi" w:cstheme="minorHAnsi"/>
        </w:rPr>
        <w:t>.</w:t>
      </w:r>
      <w:r w:rsidRPr="00634704" w:rsidR="00CD5EA3">
        <w:rPr>
          <w:rFonts w:asciiTheme="minorHAnsi" w:hAnsiTheme="minorHAnsi" w:cstheme="minorHAnsi"/>
        </w:rPr>
        <w:tab/>
      </w:r>
    </w:p>
    <w:p w:rsidR="00566DA7" w:rsidRPr="00634704" w:rsidP="0086739A" w14:paraId="0F48F925" w14:textId="274AF10E">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color w:val="212121"/>
          <w:shd w:val="clear" w:color="auto" w:fill="FFFFFF"/>
        </w:rPr>
        <w:t xml:space="preserve"> doi: 10.21101/cejph.a6239</w:t>
      </w:r>
    </w:p>
    <w:p w:rsidR="00566DA7" w:rsidRPr="00634704" w:rsidP="00A1092A" w14:paraId="043540ED" w14:textId="011FB9CA">
      <w:pPr>
        <w:pStyle w:val="EndNoteBibliography"/>
        <w:spacing w:after="0"/>
        <w:ind w:left="720" w:hanging="720"/>
        <w:rPr>
          <w:rFonts w:asciiTheme="minorHAnsi" w:hAnsiTheme="minorHAnsi" w:cstheme="minorHAnsi"/>
        </w:rPr>
      </w:pPr>
    </w:p>
    <w:p w:rsidR="00566DA7" w:rsidRPr="00634704" w:rsidP="0086739A" w14:paraId="61991E82" w14:textId="3CCBA90F">
      <w:pPr>
        <w:spacing w:after="0"/>
        <w:ind w:left="720" w:hanging="720"/>
        <w:rPr>
          <w:rFonts w:cstheme="minorHAnsi"/>
        </w:rPr>
      </w:pPr>
      <w:r w:rsidRPr="0086739A">
        <w:rPr>
          <w:rFonts w:eastAsia="Calibri" w:cstheme="minorHAnsi"/>
        </w:rPr>
        <w:t>Andrews, C.,</w:t>
      </w:r>
      <w:r w:rsidRPr="00634704">
        <w:rPr>
          <w:rFonts w:cstheme="minorHAnsi"/>
        </w:rPr>
        <w:t xml:space="preserve"> C Lin, A Levy, </w:t>
      </w:r>
      <w:r w:rsidRPr="00634704" w:rsidR="00CD5EA3">
        <w:rPr>
          <w:rFonts w:cstheme="minorHAnsi"/>
          <w:noProof/>
        </w:rPr>
        <w:t>&amp;</w:t>
      </w:r>
      <w:r w:rsidRPr="00634704">
        <w:rPr>
          <w:rFonts w:cstheme="minorHAnsi"/>
        </w:rPr>
        <w:t xml:space="preserve"> S Lo. </w:t>
      </w:r>
      <w:r w:rsidRPr="00634704" w:rsidR="00CD5EA3">
        <w:rPr>
          <w:rFonts w:cstheme="minorHAnsi"/>
          <w:noProof/>
        </w:rPr>
        <w:t>(</w:t>
      </w:r>
      <w:r w:rsidRPr="00634704">
        <w:rPr>
          <w:rFonts w:cstheme="minorHAnsi"/>
        </w:rPr>
        <w:t>2014</w:t>
      </w:r>
      <w:r w:rsidRPr="00634704" w:rsidR="00CD5EA3">
        <w:rPr>
          <w:rFonts w:cstheme="minorHAnsi"/>
          <w:noProof/>
        </w:rPr>
        <w:t>)</w:t>
      </w:r>
      <w:r w:rsidRPr="00634704">
        <w:rPr>
          <w:rFonts w:cstheme="minorHAnsi"/>
          <w:noProof/>
        </w:rPr>
        <w:t>.</w:t>
      </w:r>
      <w:r w:rsidRPr="00634704">
        <w:rPr>
          <w:rFonts w:cstheme="minorHAnsi"/>
        </w:rPr>
        <w:t xml:space="preserve"> Consumer Research Needs from the Food and Drug Administration on Front-of-Package Nutritional Labeling. </w:t>
      </w:r>
      <w:r w:rsidRPr="0086739A">
        <w:rPr>
          <w:rFonts w:cstheme="minorHAnsi"/>
          <w:i/>
        </w:rPr>
        <w:t xml:space="preserve">Journal of Public Policy and Marketing </w:t>
      </w:r>
      <w:r w:rsidRPr="00634704">
        <w:rPr>
          <w:rFonts w:cstheme="minorHAnsi"/>
        </w:rPr>
        <w:t>33(1</w:t>
      </w:r>
      <w:r w:rsidRPr="00634704">
        <w:rPr>
          <w:rFonts w:cstheme="minorHAnsi"/>
          <w:noProof/>
        </w:rPr>
        <w:t>)</w:t>
      </w:r>
      <w:r w:rsidRPr="00634704" w:rsidR="00680362">
        <w:rPr>
          <w:rFonts w:cstheme="minorHAnsi"/>
          <w:noProof/>
        </w:rPr>
        <w:t xml:space="preserve">, </w:t>
      </w:r>
      <w:r w:rsidRPr="00634704">
        <w:rPr>
          <w:rFonts w:cstheme="minorHAnsi"/>
        </w:rPr>
        <w:t>10-16.</w:t>
      </w:r>
    </w:p>
    <w:p w:rsidR="00680362" w:rsidRPr="00634704" w:rsidP="0086739A" w14:paraId="307FE5AA" w14:textId="3F688470">
      <w:pPr>
        <w:spacing w:after="0"/>
        <w:ind w:left="720" w:hanging="720"/>
        <w:rPr>
          <w:rFonts w:cstheme="minorHAnsi"/>
          <w:noProof/>
        </w:rPr>
      </w:pPr>
      <w:r w:rsidRPr="00634704">
        <w:rPr>
          <w:rFonts w:cstheme="minorHAnsi"/>
          <w:noProof/>
        </w:rPr>
        <w:tab/>
      </w:r>
      <w:r w:rsidRPr="00715980" w:rsidR="00054C7C">
        <w:rPr>
          <w:rFonts w:cstheme="minorHAnsi"/>
          <w:shd w:val="clear" w:color="auto" w:fill="FFFFFF"/>
        </w:rPr>
        <w:t>https://doi:10.1509/jppm.33.1.10</w:t>
      </w:r>
    </w:p>
    <w:p w:rsidR="00566DA7" w:rsidRPr="00634704" w:rsidP="00A1092A" w14:paraId="7C2A2405" w14:textId="1CFEFF8A">
      <w:pPr>
        <w:pStyle w:val="EndNoteBibliography"/>
        <w:spacing w:after="0"/>
        <w:ind w:left="720" w:hanging="720"/>
        <w:rPr>
          <w:rFonts w:asciiTheme="minorHAnsi" w:hAnsiTheme="minorHAnsi" w:cstheme="minorHAnsi"/>
        </w:rPr>
      </w:pPr>
    </w:p>
    <w:p w:rsidR="008434E9" w:rsidRPr="00634704" w:rsidP="00A1092A" w14:paraId="2C1B1B2C"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Andrews, J.C., Netemeyer, R., Burton, S., </w:t>
      </w:r>
      <w:r w:rsidRPr="00634704" w:rsidR="00286E5A">
        <w:rPr>
          <w:rFonts w:asciiTheme="minorHAnsi" w:hAnsiTheme="minorHAnsi" w:cstheme="minorHAnsi"/>
        </w:rPr>
        <w:t xml:space="preserve">&amp; </w:t>
      </w:r>
      <w:r w:rsidRPr="00634704">
        <w:rPr>
          <w:rFonts w:asciiTheme="minorHAnsi" w:hAnsiTheme="minorHAnsi" w:cstheme="minorHAnsi"/>
        </w:rPr>
        <w:t>Kees, J.</w:t>
      </w:r>
      <w:r w:rsidRPr="00634704" w:rsidR="00431066">
        <w:rPr>
          <w:rFonts w:asciiTheme="minorHAnsi" w:hAnsiTheme="minorHAnsi" w:cstheme="minorHAnsi"/>
        </w:rPr>
        <w:t xml:space="preserve"> (2021).</w:t>
      </w:r>
      <w:r w:rsidRPr="00634704">
        <w:rPr>
          <w:rFonts w:asciiTheme="minorHAnsi" w:hAnsiTheme="minorHAnsi" w:cstheme="minorHAnsi"/>
        </w:rPr>
        <w:t xml:space="preserve"> </w:t>
      </w:r>
      <w:r w:rsidRPr="00634704" w:rsidR="00431066">
        <w:rPr>
          <w:rFonts w:asciiTheme="minorHAnsi" w:hAnsiTheme="minorHAnsi" w:cstheme="minorHAnsi"/>
        </w:rPr>
        <w:t>What consumers actually know: The role of objective nutrition knowledge in processing stop sign and traffic light front-of-pack nutrition labels.</w:t>
      </w:r>
      <w:r w:rsidRPr="00634704" w:rsidR="00587968">
        <w:rPr>
          <w:rFonts w:asciiTheme="minorHAnsi" w:hAnsiTheme="minorHAnsi" w:cstheme="minorHAnsi"/>
        </w:rPr>
        <w:t xml:space="preserve"> </w:t>
      </w:r>
      <w:r w:rsidRPr="00634704" w:rsidR="00587968">
        <w:rPr>
          <w:rFonts w:asciiTheme="minorHAnsi" w:hAnsiTheme="minorHAnsi" w:cstheme="minorHAnsi"/>
          <w:i/>
        </w:rPr>
        <w:t>Journal of Business Research</w:t>
      </w:r>
      <w:r w:rsidRPr="00634704" w:rsidR="00587968">
        <w:rPr>
          <w:rFonts w:asciiTheme="minorHAnsi" w:hAnsiTheme="minorHAnsi" w:cstheme="minorHAnsi"/>
        </w:rPr>
        <w:t>, 128, 140–155</w:t>
      </w:r>
      <w:r w:rsidRPr="00634704" w:rsidR="00DF5D98">
        <w:rPr>
          <w:rFonts w:asciiTheme="minorHAnsi" w:hAnsiTheme="minorHAnsi" w:cstheme="minorHAnsi"/>
        </w:rPr>
        <w:t>.</w:t>
      </w:r>
      <w:r w:rsidRPr="00634704" w:rsidR="00B512E3">
        <w:rPr>
          <w:rFonts w:asciiTheme="minorHAnsi" w:hAnsiTheme="minorHAnsi" w:cstheme="minorHAnsi"/>
        </w:rPr>
        <w:t xml:space="preserve"> </w:t>
      </w:r>
    </w:p>
    <w:p w:rsidR="00566DA7" w:rsidRPr="00634704" w:rsidP="0086739A" w14:paraId="6F2B1614" w14:textId="6C216A9E">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B512E3">
        <w:rPr>
          <w:rFonts w:asciiTheme="minorHAnsi" w:hAnsiTheme="minorHAnsi" w:cstheme="minorHAnsi"/>
        </w:rPr>
        <w:t>d</w:t>
      </w:r>
      <w:r w:rsidRPr="00634704" w:rsidR="00DF5D98">
        <w:rPr>
          <w:rFonts w:asciiTheme="minorHAnsi" w:hAnsiTheme="minorHAnsi" w:cstheme="minorHAnsi"/>
        </w:rPr>
        <w:t>oi</w:t>
      </w:r>
      <w:r w:rsidRPr="00634704" w:rsidR="00B512E3">
        <w:rPr>
          <w:rFonts w:asciiTheme="minorHAnsi" w:hAnsiTheme="minorHAnsi" w:cstheme="minorHAnsi"/>
        </w:rPr>
        <w:t>:</w:t>
      </w:r>
      <w:r w:rsidRPr="00634704" w:rsidR="00DF5D98">
        <w:rPr>
          <w:rFonts w:asciiTheme="minorHAnsi" w:hAnsiTheme="minorHAnsi" w:cstheme="minorHAnsi"/>
        </w:rPr>
        <w:t>10.1016/j.jbusres.2021.01.036 R</w:t>
      </w:r>
    </w:p>
    <w:p w:rsidR="00D16519" w:rsidRPr="00634704" w:rsidP="00A1092A" w14:paraId="7AD5E20D" w14:textId="77777777">
      <w:pPr>
        <w:pStyle w:val="EndNoteBibliography"/>
        <w:spacing w:after="0"/>
        <w:ind w:left="720" w:hanging="720"/>
        <w:rPr>
          <w:rFonts w:asciiTheme="minorHAnsi" w:hAnsiTheme="minorHAnsi" w:cstheme="minorHAnsi"/>
        </w:rPr>
      </w:pPr>
    </w:p>
    <w:p w:rsidR="008434E9" w:rsidRPr="00634704" w:rsidP="00A1092A" w14:paraId="13A5AB54" w14:textId="5904208A">
      <w:pPr>
        <w:pStyle w:val="EndNoteBibliography"/>
        <w:spacing w:after="0"/>
        <w:ind w:left="720" w:hanging="720"/>
        <w:rPr>
          <w:rFonts w:asciiTheme="minorHAnsi" w:hAnsiTheme="minorHAnsi" w:cstheme="minorHAnsi"/>
        </w:rPr>
      </w:pPr>
      <w:r w:rsidRPr="00634704">
        <w:rPr>
          <w:rFonts w:asciiTheme="minorHAnsi" w:hAnsiTheme="minorHAnsi" w:cstheme="minorHAnsi"/>
        </w:rPr>
        <w:t>Ang,</w:t>
      </w:r>
      <w:r w:rsidRPr="00634704" w:rsidR="00BC5737">
        <w:rPr>
          <w:rFonts w:asciiTheme="minorHAnsi" w:hAnsiTheme="minorHAnsi" w:cstheme="minorHAnsi"/>
        </w:rPr>
        <w:t xml:space="preserve"> F., Agrawal, S., </w:t>
      </w:r>
      <w:r w:rsidRPr="00634704" w:rsidR="00286E5A">
        <w:rPr>
          <w:rFonts w:asciiTheme="minorHAnsi" w:hAnsiTheme="minorHAnsi" w:cstheme="minorHAnsi"/>
        </w:rPr>
        <w:t xml:space="preserve">&amp; </w:t>
      </w:r>
      <w:r w:rsidRPr="00634704" w:rsidR="00BC5737">
        <w:rPr>
          <w:rFonts w:asciiTheme="minorHAnsi" w:hAnsiTheme="minorHAnsi" w:cstheme="minorHAnsi"/>
        </w:rPr>
        <w:t xml:space="preserve">Finkelstein, E. (2019). </w:t>
      </w:r>
      <w:r w:rsidRPr="00634704" w:rsidR="008E057E">
        <w:rPr>
          <w:rFonts w:asciiTheme="minorHAnsi" w:hAnsiTheme="minorHAnsi" w:cstheme="minorHAnsi"/>
        </w:rPr>
        <w:t xml:space="preserve">Pilot randomized controlled trial testing the influence of front-of-pack sugar warning labels on food demand. </w:t>
      </w:r>
      <w:r w:rsidRPr="0086739A" w:rsidR="00255ADE">
        <w:rPr>
          <w:rFonts w:asciiTheme="minorHAnsi" w:hAnsiTheme="minorHAnsi" w:cstheme="minorHAnsi"/>
          <w:i/>
        </w:rPr>
        <w:t>BMC Public Health</w:t>
      </w:r>
      <w:r w:rsidRPr="00634704" w:rsidR="00255ADE">
        <w:rPr>
          <w:rFonts w:asciiTheme="minorHAnsi" w:hAnsiTheme="minorHAnsi" w:cstheme="minorHAnsi"/>
        </w:rPr>
        <w:t>, 19</w:t>
      </w:r>
      <w:r w:rsidRPr="00634704">
        <w:rPr>
          <w:rFonts w:asciiTheme="minorHAnsi" w:hAnsiTheme="minorHAnsi" w:cstheme="minorHAnsi"/>
        </w:rPr>
        <w:t xml:space="preserve">, </w:t>
      </w:r>
      <w:r w:rsidRPr="00634704" w:rsidR="00255ADE">
        <w:rPr>
          <w:rFonts w:asciiTheme="minorHAnsi" w:hAnsiTheme="minorHAnsi" w:cstheme="minorHAnsi"/>
        </w:rPr>
        <w:t xml:space="preserve">164. </w:t>
      </w:r>
    </w:p>
    <w:p w:rsidR="00D16519" w:rsidRPr="00634704" w:rsidP="0086739A" w14:paraId="1F52B1D9" w14:textId="0E6132C4">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266367">
        <w:rPr>
          <w:rFonts w:asciiTheme="minorHAnsi" w:hAnsiTheme="minorHAnsi" w:cstheme="minorHAnsi"/>
        </w:rPr>
        <w:t>d</w:t>
      </w:r>
      <w:r w:rsidRPr="00634704" w:rsidR="00255ADE">
        <w:rPr>
          <w:rFonts w:asciiTheme="minorHAnsi" w:hAnsiTheme="minorHAnsi" w:cstheme="minorHAnsi"/>
        </w:rPr>
        <w:t>oi</w:t>
      </w:r>
      <w:r w:rsidRPr="00634704" w:rsidR="00266367">
        <w:rPr>
          <w:rFonts w:asciiTheme="minorHAnsi" w:hAnsiTheme="minorHAnsi" w:cstheme="minorHAnsi"/>
        </w:rPr>
        <w:t>:</w:t>
      </w:r>
      <w:r w:rsidRPr="00634704" w:rsidR="00255ADE">
        <w:rPr>
          <w:rFonts w:asciiTheme="minorHAnsi" w:hAnsiTheme="minorHAnsi" w:cstheme="minorHAnsi"/>
        </w:rPr>
        <w:t>10.1186/s12889-019-6496-8</w:t>
      </w:r>
    </w:p>
    <w:p w:rsidR="00A3544D" w:rsidRPr="00634704" w:rsidP="00A1092A" w14:paraId="493FFC9F" w14:textId="77777777">
      <w:pPr>
        <w:pStyle w:val="EndNoteBibliography"/>
        <w:spacing w:after="0"/>
        <w:ind w:left="720" w:hanging="720"/>
        <w:rPr>
          <w:rFonts w:asciiTheme="minorHAnsi" w:hAnsiTheme="minorHAnsi" w:cstheme="minorHAnsi"/>
        </w:rPr>
      </w:pPr>
    </w:p>
    <w:p w:rsidR="00A3544D" w:rsidRPr="00634704" w:rsidP="00A1092A" w14:paraId="2DCC765A" w14:textId="27AD9CF9">
      <w:pPr>
        <w:pStyle w:val="EndNoteBibliography"/>
        <w:spacing w:after="0"/>
        <w:ind w:left="720" w:hanging="720"/>
        <w:rPr>
          <w:rFonts w:asciiTheme="minorHAnsi" w:hAnsiTheme="minorHAnsi" w:cstheme="minorHAnsi"/>
        </w:rPr>
      </w:pPr>
      <w:r w:rsidRPr="00634704">
        <w:rPr>
          <w:rFonts w:asciiTheme="minorHAnsi" w:hAnsiTheme="minorHAnsi" w:cstheme="minorHAnsi"/>
        </w:rPr>
        <w:t>Ares, G., Aschemann-Witzel, J., Curutchet, M.R., Antúnez</w:t>
      </w:r>
      <w:r w:rsidRPr="00634704" w:rsidR="00286E5A">
        <w:rPr>
          <w:rFonts w:asciiTheme="minorHAnsi" w:hAnsiTheme="minorHAnsi" w:cstheme="minorHAnsi"/>
        </w:rPr>
        <w:t>, L.</w:t>
      </w:r>
      <w:r w:rsidRPr="00634704">
        <w:rPr>
          <w:rFonts w:asciiTheme="minorHAnsi" w:hAnsiTheme="minorHAnsi" w:cstheme="minorHAnsi"/>
        </w:rPr>
        <w:t>, Moratorio</w:t>
      </w:r>
      <w:r w:rsidRPr="00634704" w:rsidR="00175C0D">
        <w:rPr>
          <w:rFonts w:asciiTheme="minorHAnsi" w:hAnsiTheme="minorHAnsi" w:cstheme="minorHAnsi"/>
        </w:rPr>
        <w:t>, X.,</w:t>
      </w:r>
      <w:r w:rsidRPr="00634704">
        <w:rPr>
          <w:rFonts w:asciiTheme="minorHAnsi" w:hAnsiTheme="minorHAnsi" w:cstheme="minorHAnsi"/>
        </w:rPr>
        <w:t xml:space="preserve"> </w:t>
      </w:r>
      <w:r w:rsidRPr="00634704" w:rsidR="00175C0D">
        <w:rPr>
          <w:rFonts w:asciiTheme="minorHAnsi" w:hAnsiTheme="minorHAnsi" w:cstheme="minorHAnsi"/>
        </w:rPr>
        <w:t xml:space="preserve">&amp; </w:t>
      </w:r>
      <w:r w:rsidRPr="00634704">
        <w:rPr>
          <w:rFonts w:asciiTheme="minorHAnsi" w:hAnsiTheme="minorHAnsi" w:cstheme="minorHAnsi"/>
        </w:rPr>
        <w:t>Bove</w:t>
      </w:r>
      <w:r w:rsidRPr="00634704" w:rsidR="00175C0D">
        <w:rPr>
          <w:rFonts w:asciiTheme="minorHAnsi" w:hAnsiTheme="minorHAnsi" w:cstheme="minorHAnsi"/>
        </w:rPr>
        <w:t xml:space="preserve">, I. </w:t>
      </w:r>
      <w:r w:rsidRPr="00634704" w:rsidR="00EA765D">
        <w:rPr>
          <w:rFonts w:asciiTheme="minorHAnsi" w:hAnsiTheme="minorHAnsi" w:cstheme="minorHAnsi"/>
        </w:rPr>
        <w:t xml:space="preserve">(2018). </w:t>
      </w:r>
      <w:r w:rsidRPr="00634704" w:rsidR="002960FD">
        <w:rPr>
          <w:rFonts w:asciiTheme="minorHAnsi" w:hAnsiTheme="minorHAnsi" w:cstheme="minorHAnsi"/>
        </w:rPr>
        <w:t xml:space="preserve">A citizen perspective on nutritional warnings as front-of-pack labels: insights for the design of accompanying policy measures. </w:t>
      </w:r>
      <w:r w:rsidRPr="00634704" w:rsidR="00EA765D">
        <w:rPr>
          <w:rFonts w:asciiTheme="minorHAnsi" w:hAnsiTheme="minorHAnsi" w:cstheme="minorHAnsi"/>
          <w:i/>
        </w:rPr>
        <w:t>Public Health Nutrition</w:t>
      </w:r>
      <w:r w:rsidRPr="00634704" w:rsidR="00763758">
        <w:rPr>
          <w:rFonts w:asciiTheme="minorHAnsi" w:hAnsiTheme="minorHAnsi" w:cstheme="minorHAnsi"/>
          <w:i/>
          <w:iCs/>
        </w:rPr>
        <w:t>,</w:t>
      </w:r>
      <w:r w:rsidRPr="00634704" w:rsidR="00EA765D">
        <w:rPr>
          <w:rFonts w:asciiTheme="minorHAnsi" w:hAnsiTheme="minorHAnsi" w:cstheme="minorHAnsi"/>
        </w:rPr>
        <w:t xml:space="preserve"> 21(18), 3450–3461. </w:t>
      </w:r>
      <w:r w:rsidRPr="00634704" w:rsidR="00135714">
        <w:rPr>
          <w:rFonts w:asciiTheme="minorHAnsi" w:hAnsiTheme="minorHAnsi" w:cstheme="minorHAnsi"/>
        </w:rPr>
        <w:t>https://</w:t>
      </w:r>
      <w:r w:rsidRPr="00634704" w:rsidR="00EA765D">
        <w:rPr>
          <w:rFonts w:asciiTheme="minorHAnsi" w:hAnsiTheme="minorHAnsi" w:cstheme="minorHAnsi"/>
        </w:rPr>
        <w:t>doi:10.1017/S1368980018002045</w:t>
      </w:r>
    </w:p>
    <w:p w:rsidR="00F52C9B" w:rsidRPr="00634704" w:rsidP="00A1092A" w14:paraId="604E8D7E" w14:textId="77777777">
      <w:pPr>
        <w:pStyle w:val="EndNoteBibliography"/>
        <w:spacing w:after="0"/>
        <w:ind w:left="720" w:hanging="720"/>
        <w:rPr>
          <w:rFonts w:asciiTheme="minorHAnsi" w:hAnsiTheme="minorHAnsi" w:cstheme="minorHAnsi"/>
        </w:rPr>
      </w:pPr>
    </w:p>
    <w:p w:rsidR="00763758" w:rsidRPr="00715980" w:rsidP="00A1092A" w14:paraId="5E0519F3" w14:textId="22A1FA78">
      <w:pPr>
        <w:pStyle w:val="EndNoteBibliography"/>
        <w:spacing w:after="0"/>
        <w:ind w:left="720" w:hanging="720"/>
        <w:rPr>
          <w:rFonts w:asciiTheme="minorHAnsi" w:hAnsiTheme="minorHAnsi" w:cstheme="minorHAnsi"/>
          <w:color w:val="212121"/>
          <w:shd w:val="clear" w:color="auto" w:fill="FFFFFF"/>
        </w:rPr>
      </w:pPr>
      <w:r w:rsidRPr="00634704">
        <w:rPr>
          <w:rFonts w:asciiTheme="minorHAnsi" w:hAnsiTheme="minorHAnsi" w:cstheme="minorHAnsi"/>
        </w:rPr>
        <w:t xml:space="preserve">Ares, G., Machín, L., Vidal, L., Aschemann-Witzel, J., Otterbring, T., Curutchet, M.R., Giménez, A., &amp; Bove, I. </w:t>
      </w:r>
      <w:r w:rsidRPr="00634704" w:rsidR="00550082">
        <w:rPr>
          <w:rFonts w:asciiTheme="minorHAnsi" w:hAnsiTheme="minorHAnsi" w:cstheme="minorHAnsi"/>
        </w:rPr>
        <w:t xml:space="preserve">(2019). </w:t>
      </w:r>
      <w:r w:rsidRPr="00634704" w:rsidR="0014720E">
        <w:rPr>
          <w:rFonts w:asciiTheme="minorHAnsi" w:hAnsiTheme="minorHAnsi" w:cstheme="minorHAnsi"/>
        </w:rPr>
        <w:t>How Can We Motivate People to Use Nutritional Warnings in Decision Making? Citizen Co</w:t>
      </w:r>
      <w:r w:rsidRPr="00715980" w:rsidR="0014720E">
        <w:rPr>
          <w:rFonts w:asciiTheme="minorHAnsi" w:hAnsiTheme="minorHAnsi" w:cstheme="minorHAnsi"/>
        </w:rPr>
        <w:t xml:space="preserve">-Created Insights for the Development of Communication Campaigns. </w:t>
      </w:r>
      <w:r w:rsidRPr="00715980" w:rsidR="00F94C2B">
        <w:rPr>
          <w:rFonts w:asciiTheme="minorHAnsi" w:hAnsiTheme="minorHAnsi" w:cstheme="minorHAnsi"/>
          <w:i/>
        </w:rPr>
        <w:t>Health Education &amp; Behavior</w:t>
      </w:r>
      <w:r w:rsidRPr="00715980">
        <w:rPr>
          <w:rFonts w:asciiTheme="minorHAnsi" w:hAnsiTheme="minorHAnsi" w:cstheme="minorHAnsi"/>
        </w:rPr>
        <w:t xml:space="preserve">, </w:t>
      </w:r>
      <w:r w:rsidRPr="00715980">
        <w:rPr>
          <w:rFonts w:asciiTheme="minorHAnsi" w:hAnsiTheme="minorHAnsi" w:cstheme="minorHAnsi"/>
          <w:color w:val="212121"/>
          <w:shd w:val="clear" w:color="auto" w:fill="FFFFFF"/>
        </w:rPr>
        <w:t>47(2), 321-331.</w:t>
      </w:r>
    </w:p>
    <w:p w:rsidR="00F52C9B" w:rsidRPr="00715980" w:rsidP="00715980" w14:paraId="7C946149" w14:textId="71271B08">
      <w:pPr>
        <w:pStyle w:val="EndNoteBibliography"/>
        <w:spacing w:after="0"/>
        <w:ind w:left="720"/>
        <w:rPr>
          <w:rFonts w:asciiTheme="minorHAnsi" w:hAnsiTheme="minorHAnsi" w:cstheme="minorHAnsi"/>
        </w:rPr>
      </w:pPr>
      <w:r w:rsidRPr="00715980">
        <w:rPr>
          <w:rFonts w:asciiTheme="minorHAnsi" w:hAnsiTheme="minorHAnsi" w:cstheme="minorHAnsi"/>
          <w:color w:val="212121"/>
          <w:shd w:val="clear" w:color="auto" w:fill="FFFFFF"/>
        </w:rPr>
        <w:t>https://doi:10.1177/1090198119889086</w:t>
      </w:r>
    </w:p>
    <w:p w:rsidR="00104CBE" w:rsidRPr="00634704" w:rsidP="00A1092A" w14:paraId="0B15C5C6" w14:textId="77777777">
      <w:pPr>
        <w:pStyle w:val="EndNoteBibliography"/>
        <w:spacing w:after="0"/>
        <w:ind w:left="720" w:hanging="720"/>
        <w:rPr>
          <w:rFonts w:asciiTheme="minorHAnsi" w:hAnsiTheme="minorHAnsi" w:cstheme="minorHAnsi"/>
        </w:rPr>
      </w:pPr>
    </w:p>
    <w:p w:rsidR="00015E8B" w:rsidRPr="00634704" w:rsidP="00A1092A" w14:paraId="0F5B80EC" w14:textId="0C440702">
      <w:pPr>
        <w:pStyle w:val="EndNoteBibliography"/>
        <w:spacing w:after="0"/>
        <w:ind w:left="720" w:hanging="720"/>
        <w:rPr>
          <w:rFonts w:asciiTheme="minorHAnsi" w:hAnsiTheme="minorHAnsi" w:cstheme="minorHAnsi"/>
        </w:rPr>
      </w:pPr>
      <w:r w:rsidRPr="00634704">
        <w:rPr>
          <w:rFonts w:asciiTheme="minorHAnsi" w:hAnsiTheme="minorHAnsi" w:cstheme="minorHAnsi"/>
        </w:rPr>
        <w:t>Ares, G.,  Antúnez,</w:t>
      </w:r>
      <w:r w:rsidRPr="00634704" w:rsidR="00D623B1">
        <w:rPr>
          <w:rFonts w:asciiTheme="minorHAnsi" w:hAnsiTheme="minorHAnsi" w:cstheme="minorHAnsi"/>
        </w:rPr>
        <w:t xml:space="preserve"> L., </w:t>
      </w:r>
      <w:r w:rsidRPr="00634704">
        <w:rPr>
          <w:rFonts w:asciiTheme="minorHAnsi" w:hAnsiTheme="minorHAnsi" w:cstheme="minorHAnsi"/>
        </w:rPr>
        <w:t>Curutchet</w:t>
      </w:r>
      <w:r w:rsidRPr="00634704" w:rsidR="00D623B1">
        <w:rPr>
          <w:rFonts w:asciiTheme="minorHAnsi" w:hAnsiTheme="minorHAnsi" w:cstheme="minorHAnsi"/>
        </w:rPr>
        <w:t>, M.R.</w:t>
      </w:r>
      <w:r w:rsidRPr="00634704">
        <w:rPr>
          <w:rFonts w:asciiTheme="minorHAnsi" w:hAnsiTheme="minorHAnsi" w:cstheme="minorHAnsi"/>
        </w:rPr>
        <w:t>, Galicia,</w:t>
      </w:r>
      <w:r w:rsidRPr="00634704" w:rsidR="00D623B1">
        <w:rPr>
          <w:rFonts w:asciiTheme="minorHAnsi" w:hAnsiTheme="minorHAnsi" w:cstheme="minorHAnsi"/>
        </w:rPr>
        <w:t xml:space="preserve"> L., </w:t>
      </w:r>
      <w:r w:rsidRPr="00634704">
        <w:rPr>
          <w:rFonts w:asciiTheme="minorHAnsi" w:hAnsiTheme="minorHAnsi" w:cstheme="minorHAnsi"/>
        </w:rPr>
        <w:t>Moratorio</w:t>
      </w:r>
      <w:r w:rsidRPr="00634704" w:rsidR="00D623B1">
        <w:rPr>
          <w:rFonts w:asciiTheme="minorHAnsi" w:hAnsiTheme="minorHAnsi" w:cstheme="minorHAnsi"/>
        </w:rPr>
        <w:t>, X</w:t>
      </w:r>
      <w:r w:rsidRPr="00634704" w:rsidR="00104CBE">
        <w:rPr>
          <w:rFonts w:asciiTheme="minorHAnsi" w:hAnsiTheme="minorHAnsi" w:cstheme="minorHAnsi"/>
        </w:rPr>
        <w:t>.</w:t>
      </w:r>
      <w:r w:rsidRPr="00634704">
        <w:rPr>
          <w:rFonts w:asciiTheme="minorHAnsi" w:hAnsiTheme="minorHAnsi" w:cstheme="minorHAnsi"/>
        </w:rPr>
        <w:t>, Giménez</w:t>
      </w:r>
      <w:r w:rsidRPr="00634704" w:rsidR="00104CBE">
        <w:rPr>
          <w:rFonts w:asciiTheme="minorHAnsi" w:hAnsiTheme="minorHAnsi" w:cstheme="minorHAnsi"/>
        </w:rPr>
        <w:t xml:space="preserve">, A., &amp; </w:t>
      </w:r>
      <w:r w:rsidRPr="00634704">
        <w:rPr>
          <w:rFonts w:asciiTheme="minorHAnsi" w:hAnsiTheme="minorHAnsi" w:cstheme="minorHAnsi"/>
        </w:rPr>
        <w:t>Bove</w:t>
      </w:r>
      <w:r w:rsidRPr="00634704" w:rsidR="00104CBE">
        <w:rPr>
          <w:rFonts w:asciiTheme="minorHAnsi" w:hAnsiTheme="minorHAnsi" w:cstheme="minorHAnsi"/>
        </w:rPr>
        <w:t>, I. (2020).</w:t>
      </w:r>
      <w:r w:rsidRPr="00634704" w:rsidR="008A02E5">
        <w:rPr>
          <w:rFonts w:asciiTheme="minorHAnsi" w:hAnsiTheme="minorHAnsi" w:cstheme="minorHAnsi"/>
        </w:rPr>
        <w:t xml:space="preserve"> Immediate effects of the implementation of nutritional warnings in Uruguay: awareness, self-reported use and increased understanding. </w:t>
      </w:r>
      <w:r w:rsidRPr="00634704" w:rsidR="008A02E5">
        <w:rPr>
          <w:rFonts w:asciiTheme="minorHAnsi" w:hAnsiTheme="minorHAnsi" w:cstheme="minorHAnsi"/>
          <w:i/>
        </w:rPr>
        <w:t>Public Health Nutrition</w:t>
      </w:r>
      <w:r w:rsidRPr="00634704" w:rsidR="008A02E5">
        <w:rPr>
          <w:rFonts w:asciiTheme="minorHAnsi" w:hAnsiTheme="minorHAnsi" w:cstheme="minorHAnsi"/>
        </w:rPr>
        <w:t xml:space="preserve">: 24(2), 364–375. </w:t>
      </w:r>
      <w:r w:rsidRPr="00634704" w:rsidR="00763758">
        <w:rPr>
          <w:rFonts w:asciiTheme="minorHAnsi" w:hAnsiTheme="minorHAnsi" w:cstheme="minorHAnsi"/>
        </w:rPr>
        <w:t>https://</w:t>
      </w:r>
      <w:r w:rsidRPr="00634704" w:rsidR="008A02E5">
        <w:rPr>
          <w:rFonts w:asciiTheme="minorHAnsi" w:hAnsiTheme="minorHAnsi" w:cstheme="minorHAnsi"/>
        </w:rPr>
        <w:t>doi:10.1017/S1368980020002517</w:t>
      </w:r>
    </w:p>
    <w:p w:rsidR="004E22E5" w:rsidRPr="00634704" w:rsidP="00A1092A" w14:paraId="6E05F2FA" w14:textId="77777777">
      <w:pPr>
        <w:pStyle w:val="EndNoteBibliography"/>
        <w:spacing w:after="0"/>
        <w:ind w:left="720" w:hanging="720"/>
        <w:rPr>
          <w:rFonts w:asciiTheme="minorHAnsi" w:hAnsiTheme="minorHAnsi" w:cstheme="minorHAnsi"/>
        </w:rPr>
      </w:pPr>
    </w:p>
    <w:p w:rsidR="00A1092A" w:rsidRPr="00634704" w:rsidP="00A1092A" w14:paraId="67A97733" w14:textId="07D819FE">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Ares, G., Varela, F., Machin, L., Antúnez, L., Giménez, A., Curutchet, M. R., &amp; Aschemann-Witzel, J. (2018). Comparative performance of three interpretative front-of-pack nutrition labelling schemes: Insights for policy making. </w:t>
      </w:r>
      <w:r w:rsidRPr="00634704">
        <w:rPr>
          <w:rFonts w:asciiTheme="minorHAnsi" w:hAnsiTheme="minorHAnsi" w:cstheme="minorHAnsi"/>
          <w:i/>
        </w:rPr>
        <w:t>Food Quality and Preference,</w:t>
      </w:r>
      <w:r w:rsidRPr="00634704">
        <w:rPr>
          <w:rFonts w:asciiTheme="minorHAnsi" w:hAnsiTheme="minorHAnsi" w:cstheme="minorHAnsi"/>
        </w:rPr>
        <w:t xml:space="preserve"> </w:t>
      </w:r>
      <w:r w:rsidRPr="00634704">
        <w:rPr>
          <w:rFonts w:asciiTheme="minorHAnsi" w:hAnsiTheme="minorHAnsi" w:cstheme="minorHAnsi"/>
          <w:i/>
        </w:rPr>
        <w:t>68</w:t>
      </w:r>
      <w:r w:rsidRPr="00634704">
        <w:rPr>
          <w:rFonts w:asciiTheme="minorHAnsi" w:hAnsiTheme="minorHAnsi" w:cstheme="minorHAnsi"/>
        </w:rPr>
        <w:t xml:space="preserve">, 215-225. </w:t>
      </w:r>
      <w:r w:rsidRPr="00634704" w:rsidR="00674150">
        <w:rPr>
          <w:rFonts w:asciiTheme="minorHAnsi" w:hAnsiTheme="minorHAnsi" w:cstheme="minorHAnsi"/>
        </w:rPr>
        <w:t>https://</w:t>
      </w:r>
      <w:r w:rsidRPr="00634704">
        <w:rPr>
          <w:rFonts w:asciiTheme="minorHAnsi" w:hAnsiTheme="minorHAnsi" w:cstheme="minorHAnsi"/>
        </w:rPr>
        <w:t xml:space="preserve">doi:10.1016/j.foodqual.2018.03.007 </w:t>
      </w:r>
    </w:p>
    <w:p w:rsidR="00A1092A" w:rsidRPr="00634704" w:rsidP="00A1092A" w14:paraId="6B4ECD4C" w14:textId="77777777">
      <w:pPr>
        <w:pStyle w:val="EndNoteBibliography"/>
        <w:spacing w:after="0"/>
        <w:ind w:left="720" w:hanging="720"/>
        <w:rPr>
          <w:rFonts w:asciiTheme="minorHAnsi" w:hAnsiTheme="minorHAnsi" w:cstheme="minorHAnsi"/>
        </w:rPr>
      </w:pPr>
    </w:p>
    <w:p w:rsidR="007E34D3" w:rsidRPr="00634704" w:rsidP="00A1092A" w14:paraId="2AEF7657" w14:textId="3B1295AD">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Arrua, A., Curutchet, M. R., Rey, N., Barreto, P., Golovchenko, N., Sellanes, A., </w:t>
      </w:r>
      <w:r w:rsidRPr="00634704" w:rsidR="00D868A0">
        <w:rPr>
          <w:rFonts w:asciiTheme="minorHAnsi" w:hAnsiTheme="minorHAnsi" w:cstheme="minorHAnsi"/>
        </w:rPr>
        <w:t>Velazco</w:t>
      </w:r>
      <w:r w:rsidRPr="00634704" w:rsidR="00CB0DD4">
        <w:rPr>
          <w:rFonts w:asciiTheme="minorHAnsi" w:hAnsiTheme="minorHAnsi" w:cstheme="minorHAnsi"/>
        </w:rPr>
        <w:t>, G, Winokur, M., Gimen</w:t>
      </w:r>
      <w:r w:rsidRPr="00634704" w:rsidR="00497658">
        <w:rPr>
          <w:rFonts w:asciiTheme="minorHAnsi" w:hAnsiTheme="minorHAnsi" w:cstheme="minorHAnsi"/>
        </w:rPr>
        <w:t>ez, A. &amp;</w:t>
      </w:r>
      <w:r w:rsidRPr="00634704">
        <w:rPr>
          <w:rFonts w:asciiTheme="minorHAnsi" w:hAnsiTheme="minorHAnsi" w:cstheme="minorHAnsi"/>
        </w:rPr>
        <w:t xml:space="preserve"> Ares, G. (2017). Impact of front-of-pack nutrition information and label design on children's choice of two snack foods: Comparison of warnings and the traffic-light system. </w:t>
      </w:r>
      <w:r w:rsidRPr="00634704">
        <w:rPr>
          <w:rFonts w:asciiTheme="minorHAnsi" w:hAnsiTheme="minorHAnsi" w:cstheme="minorHAnsi"/>
          <w:i/>
        </w:rPr>
        <w:t>Appetite, 116</w:t>
      </w:r>
      <w:r w:rsidRPr="00634704">
        <w:rPr>
          <w:rFonts w:asciiTheme="minorHAnsi" w:hAnsiTheme="minorHAnsi" w:cstheme="minorHAnsi"/>
        </w:rPr>
        <w:t xml:space="preserve">, 139-146. </w:t>
      </w:r>
    </w:p>
    <w:p w:rsidR="00A1092A" w:rsidRPr="00634704" w:rsidP="00715980" w14:paraId="4926BA6B" w14:textId="78D6DCD1">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doi:10.1016/j.appet.2017.04.012</w:t>
      </w:r>
    </w:p>
    <w:p w:rsidR="00A1092A" w:rsidRPr="00634704" w:rsidP="00A1092A" w14:paraId="6DCA8498" w14:textId="77777777">
      <w:pPr>
        <w:pStyle w:val="EndNoteBibliography"/>
        <w:spacing w:after="0"/>
        <w:ind w:left="720" w:hanging="720"/>
        <w:rPr>
          <w:rFonts w:asciiTheme="minorHAnsi" w:hAnsiTheme="minorHAnsi" w:cstheme="minorHAnsi"/>
        </w:rPr>
      </w:pPr>
    </w:p>
    <w:p w:rsidR="00A1092A" w:rsidRPr="00634704" w:rsidP="00A1092A" w14:paraId="0D4DA060" w14:textId="5304DDA5">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Arrua, A., Machin, L., Curutchet, M. R., Martinez, J., Antunez, L., Alcaire, F., </w:t>
      </w:r>
      <w:r w:rsidRPr="00634704" w:rsidR="00123A35">
        <w:rPr>
          <w:rFonts w:asciiTheme="minorHAnsi" w:hAnsiTheme="minorHAnsi" w:cstheme="minorHAnsi"/>
        </w:rPr>
        <w:t>Gimenez, A. &amp;</w:t>
      </w:r>
      <w:r w:rsidRPr="00634704">
        <w:rPr>
          <w:rFonts w:asciiTheme="minorHAnsi" w:hAnsiTheme="minorHAnsi" w:cstheme="minorHAnsi"/>
        </w:rPr>
        <w:t xml:space="preserve"> Ares, G. (2017). Warnings as a directive front-of-pack nutrition labelling scheme: comparison with the Guideline Daily Amount and traffic-light systems. </w:t>
      </w:r>
      <w:r w:rsidRPr="00634704">
        <w:rPr>
          <w:rFonts w:asciiTheme="minorHAnsi" w:hAnsiTheme="minorHAnsi" w:cstheme="minorHAnsi"/>
          <w:i/>
        </w:rPr>
        <w:t>Public Health Nutr</w:t>
      </w:r>
      <w:r w:rsidRPr="00634704" w:rsidR="00DC1584">
        <w:rPr>
          <w:rFonts w:asciiTheme="minorHAnsi" w:hAnsiTheme="minorHAnsi" w:cstheme="minorHAnsi"/>
          <w:i/>
        </w:rPr>
        <w:t>ition</w:t>
      </w:r>
      <w:r w:rsidRPr="00634704">
        <w:rPr>
          <w:rFonts w:asciiTheme="minorHAnsi" w:hAnsiTheme="minorHAnsi" w:cstheme="minorHAnsi"/>
          <w:i/>
        </w:rPr>
        <w:t>, 20</w:t>
      </w:r>
      <w:r w:rsidRPr="00634704">
        <w:rPr>
          <w:rFonts w:asciiTheme="minorHAnsi" w:hAnsiTheme="minorHAnsi" w:cstheme="minorHAnsi"/>
        </w:rPr>
        <w:t xml:space="preserve">(13), 2308-2317. </w:t>
      </w:r>
      <w:r w:rsidRPr="00634704" w:rsidR="00123A35">
        <w:rPr>
          <w:rFonts w:asciiTheme="minorHAnsi" w:hAnsiTheme="minorHAnsi" w:cstheme="minorHAnsi"/>
        </w:rPr>
        <w:t>https://</w:t>
      </w:r>
      <w:r w:rsidRPr="00634704">
        <w:rPr>
          <w:rFonts w:asciiTheme="minorHAnsi" w:hAnsiTheme="minorHAnsi" w:cstheme="minorHAnsi"/>
        </w:rPr>
        <w:t>doi:10.1017/s1368980017000866</w:t>
      </w:r>
    </w:p>
    <w:p w:rsidR="00A1092A" w:rsidRPr="00634704" w:rsidP="00A1092A" w14:paraId="760E3EBD" w14:textId="77777777">
      <w:pPr>
        <w:pStyle w:val="EndNoteBibliography"/>
        <w:spacing w:after="0"/>
        <w:ind w:left="720" w:hanging="720"/>
        <w:rPr>
          <w:rFonts w:asciiTheme="minorHAnsi" w:hAnsiTheme="minorHAnsi" w:cstheme="minorHAnsi"/>
        </w:rPr>
      </w:pPr>
    </w:p>
    <w:p w:rsidR="00E242D9" w:rsidRPr="00634704" w:rsidP="00A1092A" w14:paraId="14B599EE" w14:textId="372FF8B7">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Arrua, A., Vidal, L., Antunez, L., Machin, L., Martinez, J., Curutchet, M. R., </w:t>
      </w:r>
      <w:r w:rsidRPr="00634704">
        <w:rPr>
          <w:rFonts w:asciiTheme="minorHAnsi" w:hAnsiTheme="minorHAnsi" w:cstheme="minorHAnsi"/>
        </w:rPr>
        <w:t>Gimenez, A. &amp;</w:t>
      </w:r>
      <w:r w:rsidRPr="00634704">
        <w:rPr>
          <w:rFonts w:asciiTheme="minorHAnsi" w:hAnsiTheme="minorHAnsi" w:cstheme="minorHAnsi"/>
        </w:rPr>
        <w:t xml:space="preserve"> Ares, G. (2017). Influence of Label Design on Children's Perception of 2 Snack Foods. </w:t>
      </w:r>
      <w:r w:rsidRPr="00634704" w:rsidR="00BE2C82">
        <w:rPr>
          <w:rFonts w:asciiTheme="minorHAnsi" w:hAnsiTheme="minorHAnsi" w:cstheme="minorHAnsi"/>
          <w:i/>
          <w:iCs/>
          <w:color w:val="212121"/>
          <w:shd w:val="clear" w:color="auto" w:fill="FFFFFF"/>
        </w:rPr>
        <w:t>Journal of nutrition education and behavior</w:t>
      </w:r>
      <w:r w:rsidRPr="00634704">
        <w:rPr>
          <w:rFonts w:asciiTheme="minorHAnsi" w:hAnsiTheme="minorHAnsi" w:cstheme="minorHAnsi"/>
          <w:i/>
        </w:rPr>
        <w:t>, 49</w:t>
      </w:r>
      <w:r w:rsidRPr="00634704">
        <w:rPr>
          <w:rFonts w:asciiTheme="minorHAnsi" w:hAnsiTheme="minorHAnsi" w:cstheme="minorHAnsi"/>
        </w:rPr>
        <w:t xml:space="preserve">(3), 211-217.e211. </w:t>
      </w:r>
    </w:p>
    <w:p w:rsidR="00A1092A" w:rsidRPr="00634704" w:rsidP="00715980" w14:paraId="1B89DDE3" w14:textId="0B534ED2">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doi:10.1016/j.jneb.2016.10.021</w:t>
      </w:r>
    </w:p>
    <w:p w:rsidR="00A1092A" w:rsidRPr="00634704" w:rsidP="00A1092A" w14:paraId="1311FF72" w14:textId="77777777">
      <w:pPr>
        <w:pStyle w:val="EndNoteBibliography"/>
        <w:spacing w:after="0"/>
        <w:ind w:left="720" w:hanging="720"/>
        <w:rPr>
          <w:rFonts w:asciiTheme="minorHAnsi" w:hAnsiTheme="minorHAnsi" w:cstheme="minorHAnsi"/>
        </w:rPr>
      </w:pPr>
    </w:p>
    <w:p w:rsidR="00E242D9" w:rsidRPr="00634704" w:rsidP="00BE7AEF" w14:paraId="2654B08E" w14:textId="33DD1C39">
      <w:pPr>
        <w:autoSpaceDE w:val="0"/>
        <w:autoSpaceDN w:val="0"/>
        <w:adjustRightInd w:val="0"/>
        <w:spacing w:after="0" w:line="240" w:lineRule="auto"/>
        <w:ind w:left="720" w:hanging="720"/>
        <w:rPr>
          <w:rFonts w:cstheme="minorHAnsi"/>
        </w:rPr>
      </w:pPr>
      <w:r w:rsidRPr="00634704">
        <w:rPr>
          <w:rFonts w:cstheme="minorHAnsi"/>
        </w:rPr>
        <w:t xml:space="preserve">Baccelloni, A., Giambarresi, A., &amp; Mazzù, M. F. (2021). Effects on Consumers' Subjective Understanding and </w:t>
      </w:r>
      <w:r w:rsidRPr="00715980">
        <w:rPr>
          <w:rFonts w:cstheme="minorHAnsi"/>
        </w:rPr>
        <w:t xml:space="preserve">Liking of Front-of-Pack Nutrition Labels: A Study on Slovenian and Dutch Consumers. </w:t>
      </w:r>
      <w:r w:rsidRPr="00715980">
        <w:rPr>
          <w:rFonts w:cstheme="minorHAnsi"/>
          <w:i/>
        </w:rPr>
        <w:t>Foods</w:t>
      </w:r>
      <w:r w:rsidRPr="00715980">
        <w:rPr>
          <w:rFonts w:cstheme="minorHAnsi"/>
        </w:rPr>
        <w:t>,</w:t>
      </w:r>
      <w:r w:rsidRPr="00715980">
        <w:rPr>
          <w:rFonts w:cstheme="minorHAnsi"/>
          <w:i/>
        </w:rPr>
        <w:t xml:space="preserve"> 10</w:t>
      </w:r>
      <w:r w:rsidRPr="00715980">
        <w:rPr>
          <w:rFonts w:cstheme="minorHAnsi"/>
        </w:rPr>
        <w:t>(12)</w:t>
      </w:r>
      <w:r w:rsidRPr="00715980" w:rsidR="003837D5">
        <w:rPr>
          <w:rFonts w:cstheme="minorHAnsi"/>
        </w:rPr>
        <w:t xml:space="preserve">, </w:t>
      </w:r>
      <w:r w:rsidRPr="00715980" w:rsidR="003837D5">
        <w:rPr>
          <w:rFonts w:cstheme="minorHAnsi"/>
          <w:color w:val="212121"/>
          <w:shd w:val="clear" w:color="auto" w:fill="FFFFFF"/>
        </w:rPr>
        <w:t>2958</w:t>
      </w:r>
      <w:r w:rsidRPr="00715980">
        <w:rPr>
          <w:rFonts w:cstheme="minorHAnsi"/>
        </w:rPr>
        <w:t>.</w:t>
      </w:r>
      <w:r w:rsidRPr="00634704">
        <w:rPr>
          <w:rFonts w:cstheme="minorHAnsi"/>
        </w:rPr>
        <w:t xml:space="preserve"> </w:t>
      </w:r>
    </w:p>
    <w:p w:rsidR="00BE7AEF" w:rsidRPr="00634704" w:rsidP="00715980" w14:paraId="2DB38E9B" w14:textId="70A11292">
      <w:pPr>
        <w:autoSpaceDE w:val="0"/>
        <w:autoSpaceDN w:val="0"/>
        <w:adjustRightInd w:val="0"/>
        <w:spacing w:after="0" w:line="240" w:lineRule="auto"/>
        <w:ind w:left="720"/>
        <w:rPr>
          <w:rFonts w:cstheme="minorHAnsi"/>
        </w:rPr>
      </w:pPr>
      <w:r w:rsidRPr="00634704">
        <w:rPr>
          <w:rFonts w:cstheme="minorHAnsi"/>
        </w:rPr>
        <w:t xml:space="preserve">https://doi.org/10.3390/foods10122958 </w:t>
      </w:r>
    </w:p>
    <w:p w:rsidR="00BE7AEF" w:rsidRPr="00634704" w:rsidP="00BE7AEF" w14:paraId="5C729EFB" w14:textId="77777777">
      <w:pPr>
        <w:autoSpaceDE w:val="0"/>
        <w:autoSpaceDN w:val="0"/>
        <w:adjustRightInd w:val="0"/>
        <w:spacing w:after="0" w:line="240" w:lineRule="auto"/>
        <w:ind w:left="720" w:hanging="720"/>
        <w:rPr>
          <w:rFonts w:cstheme="minorHAnsi"/>
        </w:rPr>
      </w:pPr>
    </w:p>
    <w:p w:rsidR="00BE7AEF" w:rsidRPr="00634704" w:rsidP="00BE7AEF" w14:paraId="3449F8BF" w14:textId="466546F1">
      <w:pPr>
        <w:autoSpaceDE w:val="0"/>
        <w:autoSpaceDN w:val="0"/>
        <w:adjustRightInd w:val="0"/>
        <w:spacing w:after="0" w:line="240" w:lineRule="auto"/>
        <w:ind w:left="720" w:hanging="720"/>
        <w:rPr>
          <w:rFonts w:cstheme="minorHAnsi"/>
        </w:rPr>
      </w:pPr>
      <w:r w:rsidRPr="00634704">
        <w:rPr>
          <w:rFonts w:cstheme="minorHAnsi"/>
        </w:rPr>
        <w:t xml:space="preserve">Bandeira, L. M., Pedroso, J., Toral, N., &amp; Gubert, M. B. (2021). Performance and perception on front-of-package nutritional labeling models in Brazil. </w:t>
      </w:r>
      <w:r w:rsidRPr="00634704" w:rsidR="0049095E">
        <w:rPr>
          <w:rFonts w:cstheme="minorHAnsi"/>
          <w:i/>
          <w:iCs/>
          <w:color w:val="212121"/>
          <w:shd w:val="clear" w:color="auto" w:fill="FFFFFF"/>
        </w:rPr>
        <w:t>Revista de saude publica</w:t>
      </w:r>
      <w:r w:rsidRPr="00634704">
        <w:rPr>
          <w:rFonts w:cstheme="minorHAnsi"/>
        </w:rPr>
        <w:t>,</w:t>
      </w:r>
      <w:r w:rsidRPr="00634704">
        <w:rPr>
          <w:rFonts w:cstheme="minorHAnsi"/>
          <w:i/>
          <w:iCs/>
        </w:rPr>
        <w:t xml:space="preserve"> 55</w:t>
      </w:r>
      <w:r w:rsidRPr="00634704">
        <w:rPr>
          <w:rFonts w:cstheme="minorHAnsi"/>
        </w:rPr>
        <w:t xml:space="preserve">, 19. https://doi.org/10.11606/s1518-8787.2021055002395 </w:t>
      </w:r>
    </w:p>
    <w:p w:rsidR="00BE7AEF" w:rsidRPr="00634704" w:rsidP="00BE7AEF" w14:paraId="14D89101" w14:textId="77777777">
      <w:pPr>
        <w:autoSpaceDE w:val="0"/>
        <w:autoSpaceDN w:val="0"/>
        <w:adjustRightInd w:val="0"/>
        <w:spacing w:after="0" w:line="240" w:lineRule="auto"/>
        <w:ind w:left="720" w:hanging="720"/>
        <w:rPr>
          <w:rFonts w:cstheme="minorHAnsi"/>
          <w:highlight w:val="yellow"/>
        </w:rPr>
      </w:pPr>
    </w:p>
    <w:p w:rsidR="00BE7AEF" w:rsidRPr="00634704" w:rsidP="00BE7AEF" w14:paraId="533F9021" w14:textId="365F69D0">
      <w:pPr>
        <w:autoSpaceDE w:val="0"/>
        <w:autoSpaceDN w:val="0"/>
        <w:adjustRightInd w:val="0"/>
        <w:spacing w:after="0" w:line="240" w:lineRule="auto"/>
        <w:ind w:left="720" w:hanging="720"/>
        <w:rPr>
          <w:rFonts w:cstheme="minorHAnsi"/>
        </w:rPr>
      </w:pPr>
      <w:r w:rsidRPr="00634704">
        <w:rPr>
          <w:rFonts w:cstheme="minorHAnsi"/>
        </w:rPr>
        <w:t>Bhattacharya, S., Bera, O. P., &amp; Shah, V. (2022). Consumers' Perception About Front of Package Food Labels (</w:t>
      </w:r>
      <w:r w:rsidRPr="00634704" w:rsidR="004B6E26">
        <w:rPr>
          <w:rFonts w:cstheme="minorHAnsi"/>
        </w:rPr>
        <w:t>FOP</w:t>
      </w:r>
      <w:r w:rsidRPr="00634704">
        <w:rPr>
          <w:rFonts w:cstheme="minorHAnsi"/>
        </w:rPr>
        <w:t xml:space="preserve">) in India: A Survey of 14 States. </w:t>
      </w:r>
      <w:r w:rsidRPr="00634704" w:rsidR="00721C50">
        <w:rPr>
          <w:rFonts w:cstheme="minorHAnsi"/>
          <w:i/>
          <w:iCs/>
          <w:color w:val="212121"/>
          <w:shd w:val="clear" w:color="auto" w:fill="FFFFFF"/>
        </w:rPr>
        <w:t>Frontiers in</w:t>
      </w:r>
      <w:r w:rsidRPr="00634704">
        <w:rPr>
          <w:rFonts w:cstheme="minorHAnsi"/>
          <w:i/>
          <w:color w:val="212121"/>
          <w:shd w:val="clear" w:color="auto" w:fill="FFFFFF"/>
        </w:rPr>
        <w:t xml:space="preserve"> </w:t>
      </w:r>
      <w:r w:rsidRPr="00634704">
        <w:rPr>
          <w:rFonts w:cstheme="minorHAnsi"/>
          <w:i/>
        </w:rPr>
        <w:t>Public Health</w:t>
      </w:r>
      <w:r w:rsidRPr="00634704">
        <w:rPr>
          <w:rFonts w:cstheme="minorHAnsi"/>
        </w:rPr>
        <w:t>,</w:t>
      </w:r>
      <w:r w:rsidRPr="00634704">
        <w:rPr>
          <w:rFonts w:cstheme="minorHAnsi"/>
          <w:i/>
        </w:rPr>
        <w:t xml:space="preserve"> 10</w:t>
      </w:r>
      <w:r w:rsidRPr="00634704">
        <w:rPr>
          <w:rFonts w:cstheme="minorHAnsi"/>
        </w:rPr>
        <w:t xml:space="preserve">, 936802. https://doi.org/10.3389/fpubh.2022.936802 </w:t>
      </w:r>
    </w:p>
    <w:p w:rsidR="00BE7AEF" w:rsidRPr="00634704" w:rsidP="00BE7AEF" w14:paraId="488927BE" w14:textId="77777777">
      <w:pPr>
        <w:autoSpaceDE w:val="0"/>
        <w:autoSpaceDN w:val="0"/>
        <w:adjustRightInd w:val="0"/>
        <w:spacing w:after="0" w:line="240" w:lineRule="auto"/>
        <w:ind w:left="720" w:hanging="720"/>
        <w:rPr>
          <w:rFonts w:cstheme="minorHAnsi"/>
        </w:rPr>
      </w:pPr>
    </w:p>
    <w:p w:rsidR="00C96F64" w:rsidRPr="00634704" w:rsidP="00C96F64" w14:paraId="356F260C" w14:textId="056B1760">
      <w:pPr>
        <w:autoSpaceDE w:val="0"/>
        <w:autoSpaceDN w:val="0"/>
        <w:adjustRightInd w:val="0"/>
        <w:spacing w:after="0" w:line="240" w:lineRule="auto"/>
        <w:ind w:left="720" w:hanging="720"/>
        <w:rPr>
          <w:rFonts w:cstheme="minorHAnsi"/>
        </w:rPr>
      </w:pPr>
      <w:r w:rsidRPr="00634704">
        <w:rPr>
          <w:rFonts w:cstheme="minorHAnsi"/>
        </w:rPr>
        <w:t xml:space="preserve">Bhawra, J., Kirkpatrick, S. I., Hall, M. G., Vanderlee, L., Thrasher, J. F., &amp; Hammond, D. (2022). Correlates of Self-Reported and Functional Understanding of Nutrition Labels across 5 Countries in the 2018 International Food Policy Study. </w:t>
      </w:r>
      <w:r w:rsidRPr="00634704" w:rsidR="000C083A">
        <w:rPr>
          <w:rFonts w:cstheme="minorHAnsi"/>
          <w:i/>
          <w:iCs/>
          <w:color w:val="212121"/>
          <w:shd w:val="clear" w:color="auto" w:fill="FFFFFF"/>
        </w:rPr>
        <w:t>The Journal of nutrition</w:t>
      </w:r>
      <w:r w:rsidRPr="00634704">
        <w:rPr>
          <w:rFonts w:cstheme="minorHAnsi"/>
        </w:rPr>
        <w:t>,</w:t>
      </w:r>
      <w:r w:rsidRPr="00634704">
        <w:rPr>
          <w:rFonts w:cstheme="minorHAnsi"/>
          <w:i/>
        </w:rPr>
        <w:t xml:space="preserve"> 152</w:t>
      </w:r>
      <w:r w:rsidRPr="00634704">
        <w:rPr>
          <w:rFonts w:cstheme="minorHAnsi"/>
        </w:rPr>
        <w:t>(Suppl 1), 13s-24s. https://doi.org/10.1093/jn/nxac018</w:t>
      </w:r>
    </w:p>
    <w:p w:rsidR="007347C0" w:rsidRPr="00634704" w:rsidP="008704EC" w14:paraId="0EE9052A" w14:textId="77777777">
      <w:pPr>
        <w:autoSpaceDE w:val="0"/>
        <w:autoSpaceDN w:val="0"/>
        <w:adjustRightInd w:val="0"/>
        <w:spacing w:after="0"/>
        <w:ind w:left="720" w:hanging="720"/>
        <w:rPr>
          <w:rFonts w:cstheme="minorHAnsi"/>
        </w:rPr>
      </w:pPr>
    </w:p>
    <w:p w:rsidR="00A1092A" w:rsidRPr="00634704" w:rsidP="008704EC" w14:paraId="348171CF" w14:textId="786C63EF">
      <w:pPr>
        <w:autoSpaceDE w:val="0"/>
        <w:autoSpaceDN w:val="0"/>
        <w:adjustRightInd w:val="0"/>
        <w:spacing w:after="0"/>
        <w:ind w:left="720" w:hanging="720"/>
        <w:rPr>
          <w:rFonts w:cstheme="minorHAnsi"/>
        </w:rPr>
      </w:pPr>
      <w:r w:rsidRPr="00634704">
        <w:rPr>
          <w:rFonts w:cstheme="minorHAnsi"/>
        </w:rPr>
        <w:t xml:space="preserve">Billich, N., </w:t>
      </w:r>
      <w:r w:rsidRPr="00634704" w:rsidR="009B6664">
        <w:rPr>
          <w:rFonts w:cstheme="minorHAnsi"/>
        </w:rPr>
        <w:t>Blake, M.</w:t>
      </w:r>
      <w:r w:rsidRPr="00634704" w:rsidR="001E01CB">
        <w:rPr>
          <w:rFonts w:cstheme="minorHAnsi"/>
        </w:rPr>
        <w:t xml:space="preserve">, </w:t>
      </w:r>
      <w:r w:rsidRPr="00634704" w:rsidR="00B27EB5">
        <w:rPr>
          <w:rFonts w:cstheme="minorHAnsi"/>
        </w:rPr>
        <w:t xml:space="preserve">Backholder, </w:t>
      </w:r>
      <w:r w:rsidRPr="00634704" w:rsidR="00D502B7">
        <w:rPr>
          <w:rFonts w:cstheme="minorHAnsi"/>
        </w:rPr>
        <w:t xml:space="preserve">K., </w:t>
      </w:r>
      <w:r w:rsidRPr="00634704" w:rsidR="001777B8">
        <w:rPr>
          <w:rFonts w:cstheme="minorHAnsi"/>
        </w:rPr>
        <w:t>Cobcroft, M., Li, V., &amp; Peeters, A.</w:t>
      </w:r>
      <w:r w:rsidRPr="00634704">
        <w:rPr>
          <w:rFonts w:cstheme="minorHAnsi"/>
        </w:rPr>
        <w:t xml:space="preserve"> (2018)</w:t>
      </w:r>
      <w:r w:rsidRPr="00634704" w:rsidR="001777B8">
        <w:rPr>
          <w:rFonts w:cstheme="minorHAnsi"/>
        </w:rPr>
        <w:t>.</w:t>
      </w:r>
      <w:r w:rsidRPr="00634704">
        <w:rPr>
          <w:rFonts w:cstheme="minorHAnsi"/>
        </w:rPr>
        <w:t xml:space="preserve"> The effect of sugar-sweetened beverage front-of-pack labels on drink selection, health knowledge and awareness: An online randomi</w:t>
      </w:r>
      <w:r w:rsidRPr="00634704" w:rsidR="00C36A60">
        <w:rPr>
          <w:rFonts w:cstheme="minorHAnsi"/>
        </w:rPr>
        <w:t>z</w:t>
      </w:r>
      <w:r w:rsidRPr="00634704">
        <w:rPr>
          <w:rFonts w:cstheme="minorHAnsi"/>
        </w:rPr>
        <w:t>ed controlled trial</w:t>
      </w:r>
      <w:r w:rsidRPr="00634704">
        <w:rPr>
          <w:rFonts w:cstheme="minorHAnsi"/>
          <w:i/>
        </w:rPr>
        <w:t>.</w:t>
      </w:r>
      <w:r w:rsidRPr="00634704">
        <w:rPr>
          <w:rFonts w:cstheme="minorHAnsi"/>
        </w:rPr>
        <w:t xml:space="preserve"> </w:t>
      </w:r>
      <w:r w:rsidRPr="00634704">
        <w:rPr>
          <w:rFonts w:cstheme="minorHAnsi"/>
          <w:i/>
        </w:rPr>
        <w:t>Appetite</w:t>
      </w:r>
      <w:r w:rsidRPr="00634704">
        <w:rPr>
          <w:rFonts w:cstheme="minorHAnsi"/>
        </w:rPr>
        <w:t>, 128: p. 233-241.</w:t>
      </w:r>
    </w:p>
    <w:p w:rsidR="0005585E" w:rsidRPr="00634704" w:rsidP="008704EC" w14:paraId="0AA4072B" w14:textId="27A69F83">
      <w:pPr>
        <w:autoSpaceDE w:val="0"/>
        <w:autoSpaceDN w:val="0"/>
        <w:adjustRightInd w:val="0"/>
        <w:spacing w:after="0"/>
        <w:ind w:left="720" w:hanging="720"/>
        <w:rPr>
          <w:rFonts w:cstheme="minorHAnsi"/>
        </w:rPr>
      </w:pPr>
      <w:r w:rsidRPr="00634704">
        <w:rPr>
          <w:rFonts w:cstheme="minorHAnsi"/>
        </w:rPr>
        <w:tab/>
        <w:t>https://</w:t>
      </w:r>
      <w:r w:rsidRPr="00715980">
        <w:rPr>
          <w:rFonts w:cstheme="minorHAnsi"/>
          <w:color w:val="212121"/>
          <w:shd w:val="clear" w:color="auto" w:fill="FFFFFF"/>
        </w:rPr>
        <w:t>doi: 10.1016/j.appet.2018.05.149</w:t>
      </w:r>
    </w:p>
    <w:p w:rsidR="008D25D5" w:rsidRPr="00634704" w:rsidP="008704EC" w14:paraId="7DC6B93F" w14:textId="77777777">
      <w:pPr>
        <w:autoSpaceDE w:val="0"/>
        <w:autoSpaceDN w:val="0"/>
        <w:adjustRightInd w:val="0"/>
        <w:spacing w:after="0"/>
        <w:ind w:left="720" w:hanging="720"/>
        <w:rPr>
          <w:rFonts w:cstheme="minorHAnsi"/>
        </w:rPr>
      </w:pPr>
    </w:p>
    <w:p w:rsidR="005A3AAB" w:rsidRPr="00634704" w:rsidP="008704EC" w14:paraId="3B8D8F25" w14:textId="7142D284">
      <w:pPr>
        <w:autoSpaceDE w:val="0"/>
        <w:autoSpaceDN w:val="0"/>
        <w:adjustRightInd w:val="0"/>
        <w:spacing w:after="0"/>
        <w:ind w:left="720" w:hanging="720"/>
        <w:rPr>
          <w:rFonts w:cstheme="minorHAnsi"/>
        </w:rPr>
      </w:pPr>
      <w:r w:rsidRPr="00634704">
        <w:rPr>
          <w:rFonts w:cstheme="minorHAnsi"/>
        </w:rPr>
        <w:t xml:space="preserve">Blitstein, J. L., Guthrie, J., </w:t>
      </w:r>
      <w:r w:rsidRPr="00634704" w:rsidR="0005585E">
        <w:rPr>
          <w:rFonts w:cstheme="minorHAnsi"/>
        </w:rPr>
        <w:t xml:space="preserve">&amp; </w:t>
      </w:r>
      <w:r w:rsidRPr="00634704">
        <w:rPr>
          <w:rFonts w:cstheme="minorHAnsi"/>
        </w:rPr>
        <w:t xml:space="preserve">Rains, C. </w:t>
      </w:r>
      <w:r w:rsidRPr="00634704" w:rsidR="00A322F6">
        <w:rPr>
          <w:rFonts w:cstheme="minorHAnsi"/>
        </w:rPr>
        <w:t>(2020). Low-Income Parents’ Use of Front-of-Package Nutrition</w:t>
      </w:r>
      <w:r w:rsidRPr="00634704" w:rsidR="00C36A60">
        <w:rPr>
          <w:rFonts w:cstheme="minorHAnsi"/>
        </w:rPr>
        <w:t xml:space="preserve"> Labels in a Virtual Supermarket. </w:t>
      </w:r>
      <w:r w:rsidRPr="00634704" w:rsidR="003C5C9C">
        <w:rPr>
          <w:rFonts w:cstheme="minorHAnsi"/>
          <w:i/>
        </w:rPr>
        <w:t>Journal of Nutrition Education and Behavior</w:t>
      </w:r>
      <w:r w:rsidRPr="00634704">
        <w:rPr>
          <w:rFonts w:cstheme="minorHAnsi"/>
        </w:rPr>
        <w:t xml:space="preserve">, </w:t>
      </w:r>
      <w:r w:rsidRPr="00715980">
        <w:rPr>
          <w:rFonts w:cstheme="minorHAnsi"/>
          <w:color w:val="212121"/>
          <w:shd w:val="clear" w:color="auto" w:fill="FFFFFF"/>
        </w:rPr>
        <w:t>52(9), 850-858</w:t>
      </w:r>
      <w:r w:rsidRPr="00634704" w:rsidR="00041A0D">
        <w:rPr>
          <w:rFonts w:cstheme="minorHAnsi"/>
        </w:rPr>
        <w:t>.</w:t>
      </w:r>
      <w:r w:rsidRPr="00634704" w:rsidR="000A5BE3">
        <w:rPr>
          <w:rFonts w:cstheme="minorHAnsi"/>
        </w:rPr>
        <w:t xml:space="preserve"> </w:t>
      </w:r>
    </w:p>
    <w:p w:rsidR="008D25D5" w:rsidRPr="00634704" w:rsidP="00715980" w14:paraId="311ABD43" w14:textId="4AD049BD">
      <w:pPr>
        <w:autoSpaceDE w:val="0"/>
        <w:autoSpaceDN w:val="0"/>
        <w:adjustRightInd w:val="0"/>
        <w:spacing w:after="0"/>
        <w:ind w:left="720"/>
        <w:rPr>
          <w:rFonts w:cstheme="minorHAnsi"/>
        </w:rPr>
      </w:pPr>
      <w:r w:rsidRPr="00634704">
        <w:rPr>
          <w:rFonts w:cstheme="minorHAnsi"/>
        </w:rPr>
        <w:t>https://</w:t>
      </w:r>
      <w:r w:rsidRPr="00634704" w:rsidR="000A5BE3">
        <w:rPr>
          <w:rFonts w:cstheme="minorHAnsi"/>
        </w:rPr>
        <w:t>doi:10.1016/j.jneb.2020.04.003</w:t>
      </w:r>
    </w:p>
    <w:p w:rsidR="000C793C" w:rsidRPr="00634704" w:rsidP="008704EC" w14:paraId="5E4487A2" w14:textId="77777777">
      <w:pPr>
        <w:autoSpaceDE w:val="0"/>
        <w:autoSpaceDN w:val="0"/>
        <w:adjustRightInd w:val="0"/>
        <w:spacing w:after="0"/>
        <w:ind w:left="720" w:hanging="720"/>
        <w:rPr>
          <w:rFonts w:cstheme="minorHAnsi"/>
        </w:rPr>
      </w:pPr>
    </w:p>
    <w:p w:rsidR="00793206" w:rsidP="00BE7AEF" w14:paraId="48EEE662" w14:textId="77777777">
      <w:pPr>
        <w:autoSpaceDE w:val="0"/>
        <w:autoSpaceDN w:val="0"/>
        <w:adjustRightInd w:val="0"/>
        <w:spacing w:after="0" w:line="240" w:lineRule="auto"/>
        <w:ind w:left="720" w:hanging="720"/>
        <w:rPr>
          <w:rFonts w:cstheme="minorHAnsi"/>
        </w:rPr>
      </w:pPr>
      <w:r w:rsidRPr="00634704">
        <w:rPr>
          <w:rFonts w:cstheme="minorHAnsi"/>
        </w:rPr>
        <w:t xml:space="preserve">Bossuyt, S., Custers, K., Tummers, J., Verbeyst, L., &amp; Oben, B. (2021). </w:t>
      </w:r>
      <w:r w:rsidRPr="00634704" w:rsidR="004B6E26">
        <w:rPr>
          <w:rFonts w:cstheme="minorHAnsi"/>
        </w:rPr>
        <w:t>Nutri-Score</w:t>
      </w:r>
      <w:r w:rsidRPr="00634704">
        <w:rPr>
          <w:rFonts w:cstheme="minorHAnsi"/>
        </w:rPr>
        <w:t xml:space="preserve"> and Nutrition Facts Panel through the Eyes of the Consumer: Correct Healthfulness Estimations Depend on Transparent Labels, Fixation Duration, and Product Equivocality. </w:t>
      </w:r>
      <w:r w:rsidRPr="00634704">
        <w:rPr>
          <w:rFonts w:cstheme="minorHAnsi"/>
          <w:i/>
        </w:rPr>
        <w:t>Nutrients</w:t>
      </w:r>
      <w:r w:rsidRPr="00634704">
        <w:rPr>
          <w:rFonts w:cstheme="minorHAnsi"/>
        </w:rPr>
        <w:t>,</w:t>
      </w:r>
      <w:r w:rsidRPr="00634704">
        <w:rPr>
          <w:rFonts w:cstheme="minorHAnsi"/>
          <w:i/>
        </w:rPr>
        <w:t xml:space="preserve"> 13</w:t>
      </w:r>
      <w:r w:rsidRPr="00634704">
        <w:rPr>
          <w:rFonts w:cstheme="minorHAnsi"/>
        </w:rPr>
        <w:t>(9)</w:t>
      </w:r>
      <w:r w:rsidRPr="00634704" w:rsidR="003135CB">
        <w:rPr>
          <w:rFonts w:cstheme="minorHAnsi"/>
        </w:rPr>
        <w:t xml:space="preserve">, </w:t>
      </w:r>
      <w:r w:rsidRPr="00634704" w:rsidR="003135CB">
        <w:rPr>
          <w:rFonts w:cstheme="minorHAnsi"/>
          <w:color w:val="212121"/>
          <w:shd w:val="clear" w:color="auto" w:fill="FFFFFF"/>
        </w:rPr>
        <w:t>2915</w:t>
      </w:r>
      <w:r w:rsidRPr="00634704">
        <w:rPr>
          <w:rFonts w:cstheme="minorHAnsi"/>
        </w:rPr>
        <w:t>.</w:t>
      </w:r>
    </w:p>
    <w:p w:rsidR="00BE7AEF" w:rsidRPr="00634704" w:rsidP="00793206" w14:paraId="1C616CAD" w14:textId="6D03E180">
      <w:pPr>
        <w:autoSpaceDE w:val="0"/>
        <w:autoSpaceDN w:val="0"/>
        <w:adjustRightInd w:val="0"/>
        <w:spacing w:after="0" w:line="240" w:lineRule="auto"/>
        <w:ind w:left="720"/>
        <w:rPr>
          <w:rFonts w:cstheme="minorHAnsi"/>
        </w:rPr>
      </w:pPr>
      <w:r>
        <w:rPr>
          <w:rFonts w:cstheme="minorHAnsi"/>
        </w:rPr>
        <w:t>https://doi</w:t>
      </w:r>
      <w:r w:rsidRPr="00634704">
        <w:rPr>
          <w:rFonts w:cstheme="minorHAnsi"/>
        </w:rPr>
        <w:t xml:space="preserve">.org/10.3390/nu13092915 </w:t>
      </w:r>
    </w:p>
    <w:p w:rsidR="007347C0" w:rsidRPr="00634704" w:rsidP="00C96F64" w14:paraId="225C91C1" w14:textId="77777777">
      <w:pPr>
        <w:autoSpaceDE w:val="0"/>
        <w:autoSpaceDN w:val="0"/>
        <w:adjustRightInd w:val="0"/>
        <w:spacing w:after="0" w:line="240" w:lineRule="auto"/>
        <w:ind w:left="720" w:hanging="720"/>
        <w:rPr>
          <w:rFonts w:cstheme="minorHAnsi"/>
        </w:rPr>
      </w:pPr>
    </w:p>
    <w:p w:rsidR="00BB7F22" w:rsidRPr="00634704" w:rsidP="00C96F64" w14:paraId="7C2988F3" w14:textId="2C6D01DC">
      <w:pPr>
        <w:autoSpaceDE w:val="0"/>
        <w:autoSpaceDN w:val="0"/>
        <w:adjustRightInd w:val="0"/>
        <w:spacing w:after="0" w:line="240" w:lineRule="auto"/>
        <w:ind w:left="720" w:hanging="720"/>
        <w:rPr>
          <w:rFonts w:cstheme="minorHAnsi"/>
        </w:rPr>
      </w:pPr>
      <w:r w:rsidRPr="00634704">
        <w:rPr>
          <w:rFonts w:cstheme="minorHAnsi"/>
        </w:rPr>
        <w:t xml:space="preserve">Bromberg, </w:t>
      </w:r>
      <w:r w:rsidRPr="00634704" w:rsidR="002D4DAC">
        <w:rPr>
          <w:rFonts w:cstheme="minorHAnsi"/>
        </w:rPr>
        <w:t xml:space="preserve">M., Sinai, T., Keinan-Boker, L., Endevelt, R., </w:t>
      </w:r>
      <w:r w:rsidRPr="00634704" w:rsidR="003135CB">
        <w:rPr>
          <w:rFonts w:cstheme="minorHAnsi"/>
        </w:rPr>
        <w:t>&amp;</w:t>
      </w:r>
      <w:r w:rsidRPr="00634704" w:rsidR="002D4DAC">
        <w:rPr>
          <w:rFonts w:cstheme="minorHAnsi"/>
        </w:rPr>
        <w:t xml:space="preserve"> Frankenthal, D. </w:t>
      </w:r>
      <w:r w:rsidRPr="00634704">
        <w:rPr>
          <w:rFonts w:cstheme="minorHAnsi"/>
        </w:rPr>
        <w:t xml:space="preserve">(2022). Current use of nutrition facts tables and attitudes towards new red and green front-of-package labels among Israeli consumers. </w:t>
      </w:r>
      <w:r w:rsidRPr="00634704">
        <w:rPr>
          <w:rFonts w:cstheme="minorHAnsi"/>
          <w:i/>
        </w:rPr>
        <w:t>International journal of food sciences and nutrition</w:t>
      </w:r>
      <w:r w:rsidRPr="00634704" w:rsidR="009663C3">
        <w:rPr>
          <w:rFonts w:cstheme="minorHAnsi"/>
          <w:i/>
          <w:iCs/>
        </w:rPr>
        <w:t>.</w:t>
      </w:r>
      <w:r w:rsidRPr="00634704">
        <w:rPr>
          <w:rFonts w:cstheme="minorHAnsi"/>
        </w:rPr>
        <w:t>,</w:t>
      </w:r>
      <w:r w:rsidRPr="00634704">
        <w:rPr>
          <w:rFonts w:cstheme="minorHAnsi"/>
          <w:i/>
        </w:rPr>
        <w:t xml:space="preserve"> 73</w:t>
      </w:r>
      <w:r w:rsidRPr="00634704">
        <w:rPr>
          <w:rFonts w:cstheme="minorHAnsi"/>
        </w:rPr>
        <w:t>(2), 230-237.</w:t>
      </w:r>
    </w:p>
    <w:p w:rsidR="00C96F64" w:rsidRPr="00634704" w:rsidP="00793206" w14:paraId="671813AE" w14:textId="37B6DF46">
      <w:pPr>
        <w:autoSpaceDE w:val="0"/>
        <w:autoSpaceDN w:val="0"/>
        <w:adjustRightInd w:val="0"/>
        <w:spacing w:after="0" w:line="240" w:lineRule="auto"/>
        <w:ind w:left="720"/>
        <w:rPr>
          <w:rFonts w:cstheme="minorHAnsi"/>
        </w:rPr>
      </w:pPr>
      <w:r w:rsidRPr="00634704">
        <w:rPr>
          <w:rFonts w:cstheme="minorHAnsi"/>
        </w:rPr>
        <w:t xml:space="preserve">https://doi.org/10.1080/09637486.2021.1955841 </w:t>
      </w:r>
    </w:p>
    <w:p w:rsidR="007347C0" w:rsidRPr="00634704" w:rsidP="008704EC" w14:paraId="2BC140B4" w14:textId="77777777">
      <w:pPr>
        <w:autoSpaceDE w:val="0"/>
        <w:autoSpaceDN w:val="0"/>
        <w:adjustRightInd w:val="0"/>
        <w:spacing w:after="0"/>
        <w:ind w:left="720" w:hanging="720"/>
        <w:rPr>
          <w:rFonts w:cstheme="minorHAnsi"/>
        </w:rPr>
      </w:pPr>
    </w:p>
    <w:p w:rsidR="00222279" w:rsidRPr="00634704" w:rsidP="008704EC" w14:paraId="5B6FCA4D" w14:textId="5000243A">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Brown, H. M., de Vlieger, N., Collins, C., &amp; Bucher, T. (2017). The influence of front-of-pack nutrition information on consumers' portion size perceptions. </w:t>
      </w:r>
      <w:r w:rsidRPr="00634704">
        <w:rPr>
          <w:rFonts w:asciiTheme="minorHAnsi" w:hAnsiTheme="minorHAnsi" w:cstheme="minorHAnsi"/>
          <w:i/>
        </w:rPr>
        <w:t>Health Promot J</w:t>
      </w:r>
      <w:r w:rsidRPr="00634704">
        <w:rPr>
          <w:rFonts w:asciiTheme="minorHAnsi" w:hAnsiTheme="minorHAnsi" w:cstheme="minorHAnsi"/>
          <w:i/>
        </w:rPr>
        <w:t>ournal of</w:t>
      </w:r>
      <w:r w:rsidRPr="00634704">
        <w:rPr>
          <w:rFonts w:asciiTheme="minorHAnsi" w:hAnsiTheme="minorHAnsi" w:cstheme="minorHAnsi"/>
          <w:i/>
        </w:rPr>
        <w:t xml:space="preserve"> Aus</w:t>
      </w:r>
      <w:r w:rsidR="00793206">
        <w:rPr>
          <w:rFonts w:asciiTheme="minorHAnsi" w:hAnsiTheme="minorHAnsi" w:cstheme="minorHAnsi"/>
          <w:i/>
        </w:rPr>
        <w:t>t</w:t>
      </w:r>
      <w:r w:rsidRPr="00634704">
        <w:rPr>
          <w:rFonts w:asciiTheme="minorHAnsi" w:hAnsiTheme="minorHAnsi" w:cstheme="minorHAnsi"/>
          <w:i/>
        </w:rPr>
        <w:t>ralia</w:t>
      </w:r>
      <w:r w:rsidRPr="00634704">
        <w:rPr>
          <w:rFonts w:asciiTheme="minorHAnsi" w:hAnsiTheme="minorHAnsi" w:cstheme="minorHAnsi"/>
          <w:i/>
        </w:rPr>
        <w:t>, 28</w:t>
      </w:r>
      <w:r w:rsidRPr="00634704">
        <w:rPr>
          <w:rFonts w:asciiTheme="minorHAnsi" w:hAnsiTheme="minorHAnsi" w:cstheme="minorHAnsi"/>
        </w:rPr>
        <w:t xml:space="preserve">(2), 144-147. </w:t>
      </w:r>
    </w:p>
    <w:p w:rsidR="00A1092A" w:rsidRPr="00634704" w:rsidP="00DE68AB" w14:paraId="64F7F148" w14:textId="0B1C6588">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doi:10.1071/he16011</w:t>
      </w:r>
    </w:p>
    <w:p w:rsidR="00A1092A" w:rsidRPr="00634704" w:rsidP="00A1092A" w14:paraId="16F04441" w14:textId="77777777">
      <w:pPr>
        <w:pStyle w:val="EndNoteBibliography"/>
        <w:spacing w:after="0"/>
        <w:ind w:left="720" w:hanging="720"/>
        <w:rPr>
          <w:rFonts w:asciiTheme="minorHAnsi" w:hAnsiTheme="minorHAnsi" w:cstheme="minorHAnsi"/>
        </w:rPr>
      </w:pPr>
    </w:p>
    <w:p w:rsidR="00BE7AEF" w:rsidRPr="00634704" w:rsidP="00BE7AEF" w14:paraId="1FF8C8B6" w14:textId="6A88C4A6">
      <w:pPr>
        <w:autoSpaceDE w:val="0"/>
        <w:autoSpaceDN w:val="0"/>
        <w:adjustRightInd w:val="0"/>
        <w:spacing w:after="0" w:line="240" w:lineRule="auto"/>
        <w:ind w:left="720" w:hanging="720"/>
        <w:rPr>
          <w:rFonts w:cstheme="minorHAnsi"/>
        </w:rPr>
      </w:pPr>
      <w:r w:rsidRPr="00634704">
        <w:rPr>
          <w:rFonts w:cstheme="minorHAnsi"/>
        </w:rPr>
        <w:t xml:space="preserve">Cabrera, T., Sarasty, O., Watson, S. E., Gonzalez, M.S., &amp; Carpio, C. E. (2022, </w:t>
      </w:r>
      <w:r w:rsidRPr="00634704" w:rsidR="00634A59">
        <w:rPr>
          <w:rFonts w:cstheme="minorHAnsi"/>
        </w:rPr>
        <w:t xml:space="preserve">July 31 – Aug 2, </w:t>
      </w:r>
      <w:r w:rsidRPr="00634704">
        <w:rPr>
          <w:rFonts w:cstheme="minorHAnsi"/>
        </w:rPr>
        <w:t xml:space="preserve">2022). </w:t>
      </w:r>
      <w:r w:rsidRPr="00634704">
        <w:rPr>
          <w:rFonts w:cstheme="minorHAnsi"/>
          <w:i/>
        </w:rPr>
        <w:t>Traffic-light nutrition labeling use and demand among Ecuadorean children</w:t>
      </w:r>
      <w:r w:rsidRPr="00634704">
        <w:rPr>
          <w:rFonts w:cstheme="minorHAnsi"/>
        </w:rPr>
        <w:t xml:space="preserve"> </w:t>
      </w:r>
      <w:r w:rsidRPr="00634704" w:rsidR="00634A59">
        <w:rPr>
          <w:rFonts w:cstheme="minorHAnsi"/>
        </w:rPr>
        <w:t>[Paper presentation</w:t>
      </w:r>
      <w:r w:rsidRPr="00634704" w:rsidR="00E1687F">
        <w:rPr>
          <w:rFonts w:cstheme="minorHAnsi"/>
        </w:rPr>
        <w:t>]</w:t>
      </w:r>
      <w:r w:rsidRPr="00634704" w:rsidR="002B1AA4">
        <w:rPr>
          <w:rFonts w:cstheme="minorHAnsi"/>
        </w:rPr>
        <w:t>.</w:t>
      </w:r>
      <w:r w:rsidRPr="00634704" w:rsidR="00D84411">
        <w:rPr>
          <w:rFonts w:cstheme="minorHAnsi"/>
        </w:rPr>
        <w:t xml:space="preserve">  </w:t>
      </w:r>
      <w:r w:rsidRPr="00634704" w:rsidR="00D227CA">
        <w:rPr>
          <w:rFonts w:cstheme="minorHAnsi"/>
        </w:rPr>
        <w:t>Agricultural &amp; Applied Economics Association Annual Meeting, Anaheim, CA, United States.</w:t>
      </w:r>
      <w:r w:rsidRPr="00634704" w:rsidR="002B1AA4">
        <w:rPr>
          <w:rFonts w:cstheme="minorHAnsi"/>
        </w:rPr>
        <w:t xml:space="preserve"> </w:t>
      </w:r>
      <w:r w:rsidRPr="00634704">
        <w:rPr>
          <w:rFonts w:cstheme="minorHAnsi"/>
        </w:rPr>
        <w:t xml:space="preserve">  </w:t>
      </w:r>
      <w:r w:rsidRPr="00634704" w:rsidR="006E7076">
        <w:rPr>
          <w:rFonts w:cstheme="minorHAnsi"/>
        </w:rPr>
        <w:t xml:space="preserve"> https://ageconsearch.umn.edu/record/322586/</w:t>
      </w:r>
    </w:p>
    <w:p w:rsidR="00BE7AEF" w:rsidRPr="00634704" w:rsidP="00BE7AEF" w14:paraId="2638B168" w14:textId="77777777">
      <w:pPr>
        <w:autoSpaceDE w:val="0"/>
        <w:autoSpaceDN w:val="0"/>
        <w:adjustRightInd w:val="0"/>
        <w:spacing w:after="0" w:line="240" w:lineRule="auto"/>
        <w:ind w:left="720" w:hanging="720"/>
        <w:rPr>
          <w:rFonts w:cstheme="minorHAnsi"/>
          <w:highlight w:val="yellow"/>
        </w:rPr>
      </w:pPr>
    </w:p>
    <w:p w:rsidR="00BE7AEF" w:rsidRPr="00634704" w:rsidP="00BE7AEF" w14:paraId="67FA9A9A" w14:textId="43A08A26">
      <w:pPr>
        <w:autoSpaceDE w:val="0"/>
        <w:autoSpaceDN w:val="0"/>
        <w:adjustRightInd w:val="0"/>
        <w:spacing w:after="0" w:line="240" w:lineRule="auto"/>
        <w:ind w:left="720" w:hanging="720"/>
        <w:rPr>
          <w:rFonts w:cstheme="minorHAnsi"/>
        </w:rPr>
      </w:pPr>
      <w:r w:rsidRPr="00634704">
        <w:rPr>
          <w:rFonts w:cstheme="minorHAnsi"/>
        </w:rPr>
        <w:t xml:space="preserve">Carruba, M. O., Caretto, A., De Lorenzo, A., Fatati, G., Ghiselli, A., Lucchin, L., Maffeis, C., Malavazos, A., Malfi, G., Riva, E., Ruocco, C., Santini, F., Silano, M., Valerio, A., Vania, A., &amp; Nisoli, E. (2022). Front-of-pack (FOP) labelling systems to improve the quality of nutrition information to prevent obesity: NutrInform Battery vs </w:t>
      </w:r>
      <w:r w:rsidRPr="00634704" w:rsidR="004B6E26">
        <w:rPr>
          <w:rFonts w:cstheme="minorHAnsi"/>
        </w:rPr>
        <w:t>Nutri-Score</w:t>
      </w:r>
      <w:r w:rsidRPr="00634704">
        <w:rPr>
          <w:rFonts w:cstheme="minorHAnsi"/>
        </w:rPr>
        <w:t xml:space="preserve">. </w:t>
      </w:r>
      <w:r w:rsidRPr="00634704">
        <w:rPr>
          <w:rFonts w:cstheme="minorHAnsi"/>
          <w:i/>
          <w:iCs/>
        </w:rPr>
        <w:t>Eat</w:t>
      </w:r>
      <w:r w:rsidRPr="00634704" w:rsidR="00222279">
        <w:rPr>
          <w:rFonts w:cstheme="minorHAnsi"/>
          <w:i/>
          <w:iCs/>
        </w:rPr>
        <w:t>ing and</w:t>
      </w:r>
      <w:r w:rsidRPr="00634704">
        <w:rPr>
          <w:rFonts w:cstheme="minorHAnsi"/>
          <w:i/>
        </w:rPr>
        <w:t xml:space="preserve"> Weight </w:t>
      </w:r>
      <w:r w:rsidRPr="00634704">
        <w:rPr>
          <w:rFonts w:cstheme="minorHAnsi"/>
          <w:i/>
          <w:iCs/>
        </w:rPr>
        <w:t>Disord</w:t>
      </w:r>
      <w:r w:rsidRPr="00634704" w:rsidR="00222279">
        <w:rPr>
          <w:rFonts w:cstheme="minorHAnsi"/>
          <w:i/>
          <w:iCs/>
        </w:rPr>
        <w:t>ers</w:t>
      </w:r>
      <w:r w:rsidRPr="00634704">
        <w:rPr>
          <w:rFonts w:cstheme="minorHAnsi"/>
        </w:rPr>
        <w:t>,</w:t>
      </w:r>
      <w:r w:rsidRPr="00634704">
        <w:rPr>
          <w:rFonts w:cstheme="minorHAnsi"/>
          <w:i/>
        </w:rPr>
        <w:t xml:space="preserve"> 27</w:t>
      </w:r>
      <w:r w:rsidRPr="00634704">
        <w:rPr>
          <w:rFonts w:cstheme="minorHAnsi"/>
        </w:rPr>
        <w:t xml:space="preserve">(5), 1575-1584. https://doi.org/10.1007/s40519-021-01316-z </w:t>
      </w:r>
    </w:p>
    <w:p w:rsidR="002D4DAC" w:rsidRPr="00634704" w:rsidP="00A1092A" w14:paraId="1E197D23" w14:textId="77777777">
      <w:pPr>
        <w:pStyle w:val="EndNoteBibliography"/>
        <w:spacing w:after="0"/>
        <w:ind w:left="720" w:hanging="720"/>
        <w:rPr>
          <w:rFonts w:asciiTheme="minorHAnsi" w:hAnsiTheme="minorHAnsi" w:cstheme="minorHAnsi"/>
        </w:rPr>
      </w:pPr>
    </w:p>
    <w:p w:rsidR="00A1092A" w:rsidRPr="00634704" w:rsidP="00A1092A" w14:paraId="1A773713" w14:textId="4B0610BE">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Carter, K. A., &amp; Gonzalez-Vallejo, C. (2018). Nutrient-specific system versus full fact panel: Testing the benefits of nutrient-specific front-of-package labels in a student sample. </w:t>
      </w:r>
      <w:r w:rsidRPr="00634704">
        <w:rPr>
          <w:rFonts w:asciiTheme="minorHAnsi" w:hAnsiTheme="minorHAnsi" w:cstheme="minorHAnsi"/>
          <w:i/>
        </w:rPr>
        <w:t>Appetite, 125</w:t>
      </w:r>
      <w:r w:rsidRPr="00634704">
        <w:rPr>
          <w:rFonts w:asciiTheme="minorHAnsi" w:hAnsiTheme="minorHAnsi" w:cstheme="minorHAnsi"/>
        </w:rPr>
        <w:t xml:space="preserve">, 512-526. </w:t>
      </w:r>
      <w:r w:rsidRPr="00634704" w:rsidR="00A56883">
        <w:rPr>
          <w:rFonts w:asciiTheme="minorHAnsi" w:hAnsiTheme="minorHAnsi" w:cstheme="minorHAnsi"/>
        </w:rPr>
        <w:t>https://</w:t>
      </w:r>
      <w:r w:rsidRPr="00634704">
        <w:rPr>
          <w:rFonts w:asciiTheme="minorHAnsi" w:hAnsiTheme="minorHAnsi" w:cstheme="minorHAnsi"/>
        </w:rPr>
        <w:t>doi:10.1016/j.appet.2018.03.001</w:t>
      </w:r>
    </w:p>
    <w:p w:rsidR="007274AB" w:rsidRPr="00634704" w:rsidP="00A1092A" w14:paraId="3647FE5B" w14:textId="77777777">
      <w:pPr>
        <w:pStyle w:val="EndNoteBibliography"/>
        <w:spacing w:after="0"/>
        <w:ind w:left="720" w:hanging="720"/>
        <w:rPr>
          <w:rFonts w:asciiTheme="minorHAnsi" w:hAnsiTheme="minorHAnsi" w:cstheme="minorHAnsi"/>
        </w:rPr>
      </w:pPr>
    </w:p>
    <w:p w:rsidR="00A56883" w:rsidRPr="00634704" w:rsidP="00A1092A" w14:paraId="25E5655A"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Cole, M., Peek, H., &amp; Cowen, D</w:t>
      </w:r>
      <w:r w:rsidRPr="00634704" w:rsidR="00D928D5">
        <w:rPr>
          <w:rFonts w:asciiTheme="minorHAnsi" w:hAnsiTheme="minorHAnsi" w:cstheme="minorHAnsi"/>
        </w:rPr>
        <w:t xml:space="preserve">. </w:t>
      </w:r>
      <w:r w:rsidRPr="00634704">
        <w:rPr>
          <w:rFonts w:asciiTheme="minorHAnsi" w:hAnsiTheme="minorHAnsi" w:cstheme="minorHAnsi"/>
        </w:rPr>
        <w:t xml:space="preserve">(2018) UK consumer perceptions of a novel till-receipt ‘traffic-light’ nutrition system. </w:t>
      </w:r>
      <w:r w:rsidRPr="00634704">
        <w:rPr>
          <w:rFonts w:asciiTheme="minorHAnsi" w:hAnsiTheme="minorHAnsi" w:cstheme="minorHAnsi"/>
          <w:i/>
        </w:rPr>
        <w:t>Health Promotion International</w:t>
      </w:r>
      <w:r w:rsidRPr="00634704">
        <w:rPr>
          <w:rFonts w:asciiTheme="minorHAnsi" w:hAnsiTheme="minorHAnsi" w:cstheme="minorHAnsi"/>
        </w:rPr>
        <w:t>, 34 (4)</w:t>
      </w:r>
      <w:r w:rsidRPr="00634704" w:rsidR="00D928D5">
        <w:rPr>
          <w:rFonts w:asciiTheme="minorHAnsi" w:hAnsiTheme="minorHAnsi" w:cstheme="minorHAnsi"/>
        </w:rPr>
        <w:t xml:space="preserve">, </w:t>
      </w:r>
      <w:r w:rsidRPr="00634704">
        <w:rPr>
          <w:rFonts w:asciiTheme="minorHAnsi" w:hAnsiTheme="minorHAnsi" w:cstheme="minorHAnsi"/>
        </w:rPr>
        <w:t xml:space="preserve">640-647. </w:t>
      </w:r>
    </w:p>
    <w:p w:rsidR="007274AB" w:rsidRPr="00634704" w:rsidP="00F273DB" w14:paraId="2A6AD5E8" w14:textId="141BCBC0">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doi:10.1093/heapro/day007</w:t>
      </w:r>
    </w:p>
    <w:p w:rsidR="00A1092A" w:rsidRPr="00634704" w:rsidP="00A1092A" w14:paraId="6A8895FD" w14:textId="77777777">
      <w:pPr>
        <w:pStyle w:val="EndNoteBibliography"/>
        <w:spacing w:after="0"/>
        <w:ind w:left="720" w:hanging="720"/>
        <w:rPr>
          <w:rFonts w:asciiTheme="minorHAnsi" w:hAnsiTheme="minorHAnsi" w:cstheme="minorHAnsi"/>
        </w:rPr>
      </w:pPr>
    </w:p>
    <w:p w:rsidR="00BE7AEF" w:rsidRPr="00634704" w:rsidP="00BE7AEF" w14:paraId="3E8816CC" w14:textId="5CE3BBD5">
      <w:pPr>
        <w:autoSpaceDE w:val="0"/>
        <w:autoSpaceDN w:val="0"/>
        <w:adjustRightInd w:val="0"/>
        <w:spacing w:after="0" w:line="240" w:lineRule="auto"/>
        <w:ind w:left="720" w:hanging="720"/>
        <w:rPr>
          <w:rFonts w:cstheme="minorHAnsi"/>
        </w:rPr>
      </w:pPr>
      <w:r w:rsidRPr="00634704">
        <w:rPr>
          <w:rFonts w:cstheme="minorHAnsi"/>
        </w:rPr>
        <w:t xml:space="preserve">Constantin, A., Cabrera, O. A., Ríos, B., Barbosa, I., Ramírez, A. T., Cinà, M. M., &amp; Serrano Guzmán, S. (2021). A human rights-based approach to non-communicable diseases: mandating front-of-package warning labels. </w:t>
      </w:r>
      <w:r w:rsidRPr="00634704" w:rsidR="00EE2F87">
        <w:rPr>
          <w:rFonts w:cstheme="minorHAnsi"/>
          <w:i/>
          <w:iCs/>
        </w:rPr>
        <w:t>Global Health</w:t>
      </w:r>
      <w:r w:rsidRPr="00634704" w:rsidR="00EE2F87">
        <w:rPr>
          <w:rFonts w:cstheme="minorHAnsi"/>
        </w:rPr>
        <w:t>, 17(1), 85</w:t>
      </w:r>
      <w:r w:rsidRPr="00634704">
        <w:rPr>
          <w:rFonts w:cstheme="minorHAnsi"/>
        </w:rPr>
        <w:t>.</w:t>
      </w:r>
    </w:p>
    <w:p w:rsidR="00EE2F87" w:rsidRPr="00634704" w:rsidP="00BE7AEF" w14:paraId="1F525863" w14:textId="6EB82976">
      <w:pPr>
        <w:autoSpaceDE w:val="0"/>
        <w:autoSpaceDN w:val="0"/>
        <w:adjustRightInd w:val="0"/>
        <w:spacing w:after="0" w:line="240" w:lineRule="auto"/>
        <w:ind w:left="720" w:hanging="720"/>
        <w:rPr>
          <w:rFonts w:cstheme="minorHAnsi"/>
        </w:rPr>
      </w:pPr>
      <w:r w:rsidRPr="00634704">
        <w:rPr>
          <w:rFonts w:cstheme="minorHAnsi"/>
        </w:rPr>
        <w:tab/>
        <w:t>https://</w:t>
      </w:r>
      <w:r w:rsidRPr="00634704" w:rsidR="00F273DB">
        <w:rPr>
          <w:rFonts w:cstheme="minorHAnsi"/>
          <w:color w:val="212121"/>
          <w:shd w:val="clear" w:color="auto" w:fill="FFFFFF"/>
        </w:rPr>
        <w:t>doi:10.1186/s12992-021-00734-z</w:t>
      </w:r>
    </w:p>
    <w:p w:rsidR="00BE7AEF" w:rsidRPr="00634704" w:rsidP="00BE7AEF" w14:paraId="05DF69A7" w14:textId="77777777">
      <w:pPr>
        <w:autoSpaceDE w:val="0"/>
        <w:autoSpaceDN w:val="0"/>
        <w:adjustRightInd w:val="0"/>
        <w:spacing w:after="0" w:line="240" w:lineRule="auto"/>
        <w:ind w:left="720" w:hanging="720"/>
        <w:rPr>
          <w:rFonts w:cstheme="minorHAnsi"/>
        </w:rPr>
      </w:pPr>
    </w:p>
    <w:p w:rsidR="00555448" w:rsidRPr="00634704" w:rsidP="00555448" w14:paraId="115BEC38" w14:textId="34D5559F">
      <w:pPr>
        <w:autoSpaceDE w:val="0"/>
        <w:autoSpaceDN w:val="0"/>
        <w:adjustRightInd w:val="0"/>
        <w:spacing w:after="0" w:line="240" w:lineRule="auto"/>
        <w:ind w:left="810" w:hanging="810"/>
        <w:rPr>
          <w:rFonts w:cstheme="minorHAnsi"/>
          <w:color w:val="212121"/>
        </w:rPr>
      </w:pPr>
      <w:r w:rsidRPr="00634704">
        <w:rPr>
          <w:rFonts w:cstheme="minorHAnsi"/>
        </w:rPr>
        <w:t xml:space="preserve">Contreras-Manzano, A., Jáuregui, A., Vargas-Meza, J., Nieto, C., Granich-Armenta, A., de Lourdes Alemán Escobar, M., G-Olvera, A., Cruz-Casarrubias, C., Munguía, A., &amp; Barquera, S. (2022). Objective understanding of front of pack warning labels among Mexican children of public elementary schools. A randomized experiment. </w:t>
      </w:r>
      <w:r w:rsidRPr="00634704">
        <w:rPr>
          <w:rFonts w:cstheme="minorHAnsi"/>
          <w:i/>
          <w:iCs/>
        </w:rPr>
        <w:t>Nutrition journal</w:t>
      </w:r>
      <w:r w:rsidRPr="00634704">
        <w:rPr>
          <w:rFonts w:cstheme="minorHAnsi"/>
        </w:rPr>
        <w:t>,</w:t>
      </w:r>
      <w:r w:rsidRPr="00634704">
        <w:rPr>
          <w:rFonts w:cstheme="minorHAnsi"/>
          <w:i/>
          <w:iCs/>
        </w:rPr>
        <w:t xml:space="preserve"> 21</w:t>
      </w:r>
      <w:r w:rsidRPr="00634704">
        <w:rPr>
          <w:rFonts w:cstheme="minorHAnsi"/>
        </w:rPr>
        <w:t xml:space="preserve">(1), 1-14. </w:t>
      </w:r>
      <w:r w:rsidRPr="00634704">
        <w:rPr>
          <w:rFonts w:cstheme="minorHAnsi"/>
        </w:rPr>
        <w:t xml:space="preserve"> https://doi:</w:t>
      </w:r>
      <w:r w:rsidRPr="00DE68AB">
        <w:rPr>
          <w:rStyle w:val="identifier"/>
          <w:rFonts w:cstheme="minorHAnsi"/>
          <w:color w:val="212121"/>
        </w:rPr>
        <w:t>10.1186/s12937-022-00791-z</w:t>
      </w:r>
    </w:p>
    <w:p w:rsidR="002D4DAC" w:rsidRPr="00634704" w:rsidP="00A1092A" w14:paraId="358D15BE" w14:textId="77777777">
      <w:pPr>
        <w:pStyle w:val="EndNoteBibliography"/>
        <w:spacing w:after="0"/>
        <w:ind w:left="720" w:hanging="720"/>
        <w:rPr>
          <w:rFonts w:asciiTheme="minorHAnsi" w:hAnsiTheme="minorHAnsi" w:cstheme="minorHAnsi"/>
        </w:rPr>
      </w:pPr>
    </w:p>
    <w:p w:rsidR="00A1092A" w:rsidRPr="00634704" w:rsidP="00A1092A" w14:paraId="14EEECB2" w14:textId="0C18FC20">
      <w:pPr>
        <w:pStyle w:val="EndNoteBibliography"/>
        <w:spacing w:after="0"/>
        <w:ind w:left="720" w:hanging="720"/>
        <w:rPr>
          <w:rFonts w:asciiTheme="minorHAnsi" w:hAnsiTheme="minorHAnsi"/>
          <w:lang w:val="es-ES"/>
        </w:rPr>
      </w:pPr>
      <w:r w:rsidRPr="36C9B10F">
        <w:rPr>
          <w:rFonts w:asciiTheme="minorHAnsi" w:hAnsiTheme="minorHAnsi"/>
        </w:rPr>
        <w:t xml:space="preserve">Cook, L. A., &amp; Kizilova, E. (2017). Direct and Indirect Processing Effects of Front-of-Package Labels. </w:t>
      </w:r>
      <w:r w:rsidRPr="36C9B10F">
        <w:rPr>
          <w:rFonts w:asciiTheme="minorHAnsi" w:hAnsiTheme="minorHAnsi"/>
          <w:i/>
          <w:lang w:val="es-ES"/>
        </w:rPr>
        <w:t>AMA Marketing &amp; Public Policy Academic Conference Proceedings, 27</w:t>
      </w:r>
      <w:r w:rsidRPr="36C9B10F">
        <w:rPr>
          <w:rFonts w:asciiTheme="minorHAnsi" w:hAnsiTheme="minorHAnsi"/>
          <w:lang w:val="es-ES"/>
        </w:rPr>
        <w:t xml:space="preserve">, 45-46. </w:t>
      </w:r>
    </w:p>
    <w:p w:rsidR="00A1092A" w:rsidRPr="00634704" w:rsidP="00A1092A" w14:paraId="2CFB1DB7" w14:textId="77777777">
      <w:pPr>
        <w:pStyle w:val="EndNoteBibliography"/>
        <w:spacing w:after="0"/>
        <w:ind w:left="720" w:hanging="720"/>
        <w:rPr>
          <w:rFonts w:asciiTheme="minorHAnsi" w:hAnsiTheme="minorHAnsi" w:cstheme="minorHAnsi"/>
          <w:lang w:val="es-ES"/>
        </w:rPr>
      </w:pPr>
    </w:p>
    <w:p w:rsidR="00E666A4" w:rsidRPr="00634704" w:rsidP="00A1092A" w14:paraId="010A5BBC" w14:textId="7742751F">
      <w:pPr>
        <w:pStyle w:val="EndNoteBibliography"/>
        <w:spacing w:after="0"/>
        <w:ind w:left="720" w:hanging="720"/>
        <w:rPr>
          <w:rFonts w:asciiTheme="minorHAnsi" w:hAnsiTheme="minorHAnsi" w:cstheme="minorHAnsi"/>
          <w:lang w:val="es-ES"/>
        </w:rPr>
      </w:pPr>
      <w:r w:rsidRPr="00634704">
        <w:rPr>
          <w:rFonts w:asciiTheme="minorHAnsi" w:hAnsiTheme="minorHAnsi" w:cstheme="minorHAnsi"/>
        </w:rPr>
        <w:t>Cooper, S., Butcher</w:t>
      </w:r>
      <w:r w:rsidRPr="00634704" w:rsidR="007E16D1">
        <w:rPr>
          <w:rFonts w:asciiTheme="minorHAnsi" w:hAnsiTheme="minorHAnsi" w:cstheme="minorHAnsi"/>
        </w:rPr>
        <w:t>, l.</w:t>
      </w:r>
      <w:r w:rsidRPr="00634704">
        <w:rPr>
          <w:rFonts w:asciiTheme="minorHAnsi" w:hAnsiTheme="minorHAnsi" w:cstheme="minorHAnsi"/>
        </w:rPr>
        <w:t>, Scagnelli</w:t>
      </w:r>
      <w:r w:rsidRPr="00634704" w:rsidR="007E16D1">
        <w:rPr>
          <w:rFonts w:asciiTheme="minorHAnsi" w:hAnsiTheme="minorHAnsi" w:cstheme="minorHAnsi"/>
        </w:rPr>
        <w:t>, S.</w:t>
      </w:r>
      <w:r w:rsidRPr="00634704">
        <w:rPr>
          <w:rFonts w:asciiTheme="minorHAnsi" w:hAnsiTheme="minorHAnsi" w:cstheme="minorHAnsi"/>
        </w:rPr>
        <w:t>, Lo</w:t>
      </w:r>
      <w:r w:rsidRPr="00634704" w:rsidR="007E16D1">
        <w:rPr>
          <w:rFonts w:asciiTheme="minorHAnsi" w:hAnsiTheme="minorHAnsi" w:cstheme="minorHAnsi"/>
        </w:rPr>
        <w:t>, J.</w:t>
      </w:r>
      <w:r w:rsidRPr="00634704">
        <w:rPr>
          <w:rFonts w:asciiTheme="minorHAnsi" w:hAnsiTheme="minorHAnsi" w:cstheme="minorHAnsi"/>
        </w:rPr>
        <w:t xml:space="preserve">, </w:t>
      </w:r>
      <w:r w:rsidRPr="00634704" w:rsidR="007E16D1">
        <w:rPr>
          <w:rFonts w:asciiTheme="minorHAnsi" w:hAnsiTheme="minorHAnsi" w:cstheme="minorHAnsi"/>
        </w:rPr>
        <w:t>Ryan, M. M.</w:t>
      </w:r>
      <w:r w:rsidRPr="00634704">
        <w:rPr>
          <w:rFonts w:asciiTheme="minorHAnsi" w:hAnsiTheme="minorHAnsi" w:cstheme="minorHAnsi"/>
        </w:rPr>
        <w:t>, Devine</w:t>
      </w:r>
      <w:r w:rsidRPr="00634704" w:rsidR="007E16D1">
        <w:rPr>
          <w:rFonts w:asciiTheme="minorHAnsi" w:hAnsiTheme="minorHAnsi" w:cstheme="minorHAnsi"/>
        </w:rPr>
        <w:t xml:space="preserve">, A., &amp; </w:t>
      </w:r>
      <w:r w:rsidRPr="00634704">
        <w:rPr>
          <w:rFonts w:asciiTheme="minorHAnsi" w:hAnsiTheme="minorHAnsi" w:cstheme="minorHAnsi"/>
        </w:rPr>
        <w:t>O’Sullivan</w:t>
      </w:r>
      <w:r w:rsidRPr="00634704" w:rsidR="007E16D1">
        <w:rPr>
          <w:rFonts w:asciiTheme="minorHAnsi" w:hAnsiTheme="minorHAnsi" w:cstheme="minorHAnsi"/>
        </w:rPr>
        <w:t>, T.</w:t>
      </w:r>
      <w:r w:rsidRPr="00634704" w:rsidR="008F51C7">
        <w:rPr>
          <w:rFonts w:asciiTheme="minorHAnsi" w:hAnsiTheme="minorHAnsi" w:cstheme="minorHAnsi"/>
        </w:rPr>
        <w:t xml:space="preserve"> Australian Consumers Are Willing to Pay for the Health Star Rating Front-of-Pack Nutrition Label. </w:t>
      </w:r>
      <w:r w:rsidRPr="00634704" w:rsidR="00C334F3">
        <w:rPr>
          <w:rFonts w:asciiTheme="minorHAnsi" w:hAnsiTheme="minorHAnsi" w:cstheme="minorHAnsi"/>
          <w:i/>
        </w:rPr>
        <w:t>Nutrients</w:t>
      </w:r>
      <w:r w:rsidRPr="00634704" w:rsidR="00C334F3">
        <w:rPr>
          <w:rFonts w:asciiTheme="minorHAnsi" w:hAnsiTheme="minorHAnsi" w:cstheme="minorHAnsi"/>
        </w:rPr>
        <w:t>, 12, 3876</w:t>
      </w:r>
      <w:r w:rsidRPr="00634704" w:rsidR="00B97B95">
        <w:rPr>
          <w:rFonts w:asciiTheme="minorHAnsi" w:hAnsiTheme="minorHAnsi" w:cstheme="minorHAnsi"/>
        </w:rPr>
        <w:t>.</w:t>
      </w:r>
      <w:r w:rsidRPr="00634704" w:rsidR="00C334F3">
        <w:rPr>
          <w:rFonts w:asciiTheme="minorHAnsi" w:hAnsiTheme="minorHAnsi" w:cstheme="minorHAnsi"/>
        </w:rPr>
        <w:t xml:space="preserve"> </w:t>
      </w:r>
      <w:r w:rsidRPr="00634704" w:rsidR="00B97B95">
        <w:rPr>
          <w:rFonts w:asciiTheme="minorHAnsi" w:hAnsiTheme="minorHAnsi" w:cstheme="minorHAnsi"/>
        </w:rPr>
        <w:t>https://</w:t>
      </w:r>
      <w:r w:rsidRPr="00634704" w:rsidR="00C334F3">
        <w:rPr>
          <w:rFonts w:asciiTheme="minorHAnsi" w:hAnsiTheme="minorHAnsi" w:cstheme="minorHAnsi"/>
        </w:rPr>
        <w:t>doi:10.3390/nu12123876</w:t>
      </w:r>
    </w:p>
    <w:p w:rsidR="00132528" w:rsidRPr="00634704" w:rsidP="000F4050" w14:paraId="4F870674" w14:textId="77777777">
      <w:pPr>
        <w:pStyle w:val="EndNoteBibliography"/>
        <w:spacing w:after="0"/>
        <w:rPr>
          <w:rFonts w:asciiTheme="minorHAnsi" w:hAnsiTheme="minorHAnsi" w:cstheme="minorHAnsi"/>
        </w:rPr>
      </w:pPr>
    </w:p>
    <w:p w:rsidR="00BE7AEF" w:rsidRPr="00634704" w:rsidP="00BE7AEF" w14:paraId="7BD573D5" w14:textId="77777777">
      <w:pPr>
        <w:autoSpaceDE w:val="0"/>
        <w:autoSpaceDN w:val="0"/>
        <w:adjustRightInd w:val="0"/>
        <w:spacing w:after="0" w:line="240" w:lineRule="auto"/>
        <w:ind w:left="720" w:hanging="720"/>
        <w:rPr>
          <w:rFonts w:cstheme="minorHAnsi"/>
        </w:rPr>
      </w:pPr>
      <w:r w:rsidRPr="00634704">
        <w:rPr>
          <w:rFonts w:cstheme="minorHAnsi"/>
        </w:rPr>
        <w:t xml:space="preserve">Cordero-Ahiman, O. V., Vanegas, J. L., Fernández-Lucero, C. A., Torres-Torres, D. F., Ayaviri-Nina, V. D., &amp; Quispe-Fernández, G. M. (2022). Responsible Marketing in the Traffic Light Labeling of Food Products in Ecuador: Perceptions of Cuenca Consumers. </w:t>
      </w:r>
      <w:r w:rsidRPr="00634704">
        <w:rPr>
          <w:rFonts w:cstheme="minorHAnsi"/>
          <w:i/>
        </w:rPr>
        <w:t>Sustainability</w:t>
      </w:r>
      <w:r w:rsidRPr="00634704">
        <w:rPr>
          <w:rFonts w:cstheme="minorHAnsi"/>
        </w:rPr>
        <w:t>,</w:t>
      </w:r>
      <w:r w:rsidRPr="00634704">
        <w:rPr>
          <w:rFonts w:cstheme="minorHAnsi"/>
          <w:i/>
        </w:rPr>
        <w:t xml:space="preserve"> 14</w:t>
      </w:r>
      <w:r w:rsidRPr="00634704">
        <w:rPr>
          <w:rFonts w:cstheme="minorHAnsi"/>
        </w:rPr>
        <w:t xml:space="preserve">(6), 3247. </w:t>
      </w:r>
    </w:p>
    <w:p w:rsidR="00CD63B9" w:rsidRPr="00DE68AB" w:rsidP="00BE7AEF" w14:paraId="47E8C669" w14:textId="0DBF931E">
      <w:pPr>
        <w:autoSpaceDE w:val="0"/>
        <w:autoSpaceDN w:val="0"/>
        <w:adjustRightInd w:val="0"/>
        <w:spacing w:after="0" w:line="240" w:lineRule="auto"/>
        <w:ind w:left="720" w:hanging="720"/>
        <w:rPr>
          <w:rFonts w:cstheme="minorHAnsi"/>
        </w:rPr>
      </w:pPr>
      <w:r w:rsidRPr="00634704">
        <w:rPr>
          <w:rFonts w:cstheme="minorHAnsi"/>
        </w:rPr>
        <w:tab/>
      </w:r>
      <w:r w:rsidRPr="00DE68AB">
        <w:rPr>
          <w:rFonts w:cstheme="minorHAnsi"/>
        </w:rPr>
        <w:t>https://doi:</w:t>
      </w:r>
      <w:r w:rsidRPr="00DE68AB">
        <w:rPr>
          <w:rFonts w:cstheme="minorHAnsi"/>
          <w:bdr w:val="none" w:sz="0" w:space="0" w:color="auto" w:frame="1"/>
          <w:shd w:val="clear" w:color="auto" w:fill="FFFFFF"/>
        </w:rPr>
        <w:t>10.3390/su14063247</w:t>
      </w:r>
    </w:p>
    <w:p w:rsidR="002D4DAC" w:rsidRPr="00634704" w:rsidP="00B1391F" w14:paraId="3B41B195" w14:textId="77777777">
      <w:pPr>
        <w:pStyle w:val="EndNoteBibliography"/>
        <w:spacing w:after="0"/>
        <w:ind w:left="720" w:hanging="720"/>
        <w:rPr>
          <w:rFonts w:asciiTheme="minorHAnsi" w:hAnsiTheme="minorHAnsi" w:cstheme="minorHAnsi"/>
        </w:rPr>
      </w:pPr>
    </w:p>
    <w:p w:rsidR="00CD63B9" w:rsidRPr="00634704" w:rsidP="00B1391F" w14:paraId="729D6EC7" w14:textId="097B8F6A">
      <w:pPr>
        <w:pStyle w:val="EndNoteBibliography"/>
        <w:spacing w:after="0"/>
        <w:ind w:left="720" w:hanging="720"/>
        <w:rPr>
          <w:rFonts w:asciiTheme="minorHAnsi" w:hAnsiTheme="minorHAnsi" w:cstheme="minorHAnsi"/>
        </w:rPr>
      </w:pPr>
      <w:r w:rsidRPr="00634704">
        <w:rPr>
          <w:rFonts w:asciiTheme="minorHAnsi" w:hAnsiTheme="minorHAnsi" w:cstheme="minorHAnsi"/>
        </w:rPr>
        <w:t>Correa, T., Fierro, C., Reyes</w:t>
      </w:r>
      <w:r w:rsidRPr="00634704" w:rsidR="006D2C18">
        <w:rPr>
          <w:rFonts w:asciiTheme="minorHAnsi" w:hAnsiTheme="minorHAnsi" w:cstheme="minorHAnsi"/>
        </w:rPr>
        <w:t xml:space="preserve">, M., </w:t>
      </w:r>
      <w:r w:rsidRPr="00634704">
        <w:rPr>
          <w:rFonts w:asciiTheme="minorHAnsi" w:hAnsiTheme="minorHAnsi" w:cstheme="minorHAnsi"/>
        </w:rPr>
        <w:t>Carpentie</w:t>
      </w:r>
      <w:r w:rsidRPr="00634704" w:rsidR="006D2C18">
        <w:rPr>
          <w:rFonts w:asciiTheme="minorHAnsi" w:hAnsiTheme="minorHAnsi" w:cstheme="minorHAnsi"/>
        </w:rPr>
        <w:t>r, F.</w:t>
      </w:r>
      <w:r w:rsidRPr="00634704">
        <w:rPr>
          <w:rFonts w:asciiTheme="minorHAnsi" w:hAnsiTheme="minorHAnsi" w:cstheme="minorHAnsi"/>
        </w:rPr>
        <w:t>, Taillie</w:t>
      </w:r>
      <w:r w:rsidRPr="00634704" w:rsidR="006D2C18">
        <w:rPr>
          <w:rFonts w:asciiTheme="minorHAnsi" w:hAnsiTheme="minorHAnsi" w:cstheme="minorHAnsi"/>
        </w:rPr>
        <w:t xml:space="preserve">, L., &amp; Corvalan, C. </w:t>
      </w:r>
      <w:r w:rsidRPr="00634704" w:rsidR="00A3424F">
        <w:rPr>
          <w:rFonts w:asciiTheme="minorHAnsi" w:hAnsiTheme="minorHAnsi" w:cstheme="minorHAnsi"/>
        </w:rPr>
        <w:t>(2019). Responses to the Chilean law of food labeling and advertising: exploring knowledge, perceptions and behaviors of mothers of young children.</w:t>
      </w:r>
      <w:r w:rsidRPr="00634704" w:rsidR="00B1391F">
        <w:rPr>
          <w:rFonts w:asciiTheme="minorHAnsi" w:hAnsiTheme="minorHAnsi" w:cstheme="minorHAnsi"/>
        </w:rPr>
        <w:t xml:space="preserve"> </w:t>
      </w:r>
      <w:r w:rsidRPr="00634704" w:rsidR="00B1391F">
        <w:rPr>
          <w:rFonts w:asciiTheme="minorHAnsi" w:hAnsiTheme="minorHAnsi" w:cstheme="minorHAnsi"/>
          <w:i/>
        </w:rPr>
        <w:t>International Journal of Behavioral Nutrition and Physical Activity</w:t>
      </w:r>
      <w:r w:rsidRPr="00634704" w:rsidR="00B1391F">
        <w:rPr>
          <w:rFonts w:asciiTheme="minorHAnsi" w:hAnsiTheme="minorHAnsi" w:cstheme="minorHAnsi"/>
        </w:rPr>
        <w:t>, 16</w:t>
      </w:r>
      <w:r w:rsidRPr="00634704">
        <w:rPr>
          <w:rFonts w:asciiTheme="minorHAnsi" w:hAnsiTheme="minorHAnsi" w:cstheme="minorHAnsi"/>
        </w:rPr>
        <w:t xml:space="preserve">(1), </w:t>
      </w:r>
      <w:r w:rsidRPr="00634704" w:rsidR="00B1391F">
        <w:rPr>
          <w:rFonts w:asciiTheme="minorHAnsi" w:hAnsiTheme="minorHAnsi" w:cstheme="minorHAnsi"/>
        </w:rPr>
        <w:t xml:space="preserve">21. </w:t>
      </w:r>
    </w:p>
    <w:p w:rsidR="00E666A4" w:rsidRPr="00634704" w:rsidP="00DE68AB" w14:paraId="663CEA4A" w14:textId="59C8C101">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B1391F">
        <w:rPr>
          <w:rFonts w:asciiTheme="minorHAnsi" w:hAnsiTheme="minorHAnsi" w:cstheme="minorHAnsi"/>
        </w:rPr>
        <w:t>doi.org/10.1186/s12966-019-0781-x</w:t>
      </w:r>
    </w:p>
    <w:p w:rsidR="00ED7EFC" w:rsidRPr="00634704" w:rsidP="00B1391F" w14:paraId="4FB7174E" w14:textId="77777777">
      <w:pPr>
        <w:pStyle w:val="EndNoteBibliography"/>
        <w:spacing w:after="0"/>
        <w:ind w:left="720" w:hanging="720"/>
        <w:rPr>
          <w:rFonts w:asciiTheme="minorHAnsi" w:hAnsiTheme="minorHAnsi" w:cstheme="minorHAnsi"/>
        </w:rPr>
      </w:pPr>
    </w:p>
    <w:p w:rsidR="00912664" w:rsidRPr="00634704" w:rsidP="00BE7AEF" w14:paraId="0765AAFB" w14:textId="64397ABF">
      <w:pPr>
        <w:autoSpaceDE w:val="0"/>
        <w:autoSpaceDN w:val="0"/>
        <w:adjustRightInd w:val="0"/>
        <w:spacing w:after="0" w:line="240" w:lineRule="auto"/>
        <w:ind w:left="720" w:hanging="720"/>
        <w:rPr>
          <w:rFonts w:cstheme="minorHAnsi"/>
        </w:rPr>
      </w:pPr>
      <w:r w:rsidRPr="00634704">
        <w:rPr>
          <w:rFonts w:cstheme="minorHAnsi"/>
        </w:rPr>
        <w:t xml:space="preserve">Correa, T., Fierro, C., Reyes, M., Taillie, L. S., Carpentier, F. R. D., &amp; Corvalán, C. (2022). Why Don't You [Government] Help Us Make Healthier Foods More Affordable Instead of Bombarding Us with Labels? Maternal Knowledge, Perceptions, and Practices after Full Implementation of the Chilean Food Labelling Law. </w:t>
      </w:r>
      <w:r w:rsidRPr="00634704">
        <w:rPr>
          <w:rFonts w:cstheme="minorHAnsi"/>
          <w:i/>
          <w:iCs/>
          <w:color w:val="212121"/>
          <w:shd w:val="clear" w:color="auto" w:fill="FFFFFF"/>
        </w:rPr>
        <w:t>International journal of environmental research and public health</w:t>
      </w:r>
      <w:r w:rsidRPr="00634704">
        <w:rPr>
          <w:rFonts w:cstheme="minorHAnsi"/>
        </w:rPr>
        <w:t>,</w:t>
      </w:r>
      <w:r w:rsidRPr="00634704">
        <w:rPr>
          <w:rFonts w:cstheme="minorHAnsi"/>
          <w:i/>
          <w:iCs/>
        </w:rPr>
        <w:t xml:space="preserve"> 19</w:t>
      </w:r>
      <w:r w:rsidRPr="00634704">
        <w:rPr>
          <w:rFonts w:cstheme="minorHAnsi"/>
        </w:rPr>
        <w:t>(8)</w:t>
      </w:r>
      <w:r w:rsidRPr="00634704" w:rsidR="00BB3977">
        <w:rPr>
          <w:rFonts w:cstheme="minorHAnsi"/>
        </w:rPr>
        <w:t xml:space="preserve">, </w:t>
      </w:r>
      <w:r w:rsidRPr="00634704" w:rsidR="00EB18A1">
        <w:rPr>
          <w:rFonts w:cstheme="minorHAnsi"/>
        </w:rPr>
        <w:t>4547</w:t>
      </w:r>
      <w:r w:rsidRPr="00634704">
        <w:rPr>
          <w:rFonts w:cstheme="minorHAnsi"/>
        </w:rPr>
        <w:t xml:space="preserve">. </w:t>
      </w:r>
    </w:p>
    <w:p w:rsidR="00BE7AEF" w:rsidRPr="00634704" w:rsidP="00DE68AB" w14:paraId="63F9F610" w14:textId="56B74F19">
      <w:pPr>
        <w:autoSpaceDE w:val="0"/>
        <w:autoSpaceDN w:val="0"/>
        <w:adjustRightInd w:val="0"/>
        <w:spacing w:after="0" w:line="240" w:lineRule="auto"/>
        <w:ind w:left="720"/>
        <w:rPr>
          <w:rFonts w:cstheme="minorHAnsi"/>
        </w:rPr>
      </w:pPr>
      <w:r w:rsidRPr="00634704">
        <w:rPr>
          <w:rFonts w:cstheme="minorHAnsi"/>
        </w:rPr>
        <w:t xml:space="preserve">https://doi.org/10.3390/ijerph19084547 </w:t>
      </w:r>
    </w:p>
    <w:p w:rsidR="002D4DAC" w:rsidRPr="00634704" w:rsidP="009B41B5" w14:paraId="06BF6796" w14:textId="77777777">
      <w:pPr>
        <w:pStyle w:val="EndNoteBibliography"/>
        <w:spacing w:after="0"/>
        <w:ind w:left="720" w:hanging="720"/>
        <w:rPr>
          <w:rFonts w:asciiTheme="minorHAnsi" w:hAnsiTheme="minorHAnsi" w:cstheme="minorHAnsi"/>
        </w:rPr>
      </w:pPr>
    </w:p>
    <w:p w:rsidR="00D52C98" w:rsidRPr="00634704" w:rsidP="00DE68AB" w14:paraId="58DC3DDA" w14:textId="03624200">
      <w:pPr>
        <w:spacing w:after="0" w:line="240" w:lineRule="auto"/>
        <w:ind w:left="720" w:hanging="720"/>
        <w:rPr>
          <w:rFonts w:cstheme="minorHAnsi"/>
          <w:noProof/>
        </w:rPr>
      </w:pPr>
      <w:r w:rsidRPr="00DE68AB">
        <w:rPr>
          <w:rFonts w:eastAsia="Calibri" w:cstheme="minorHAnsi"/>
        </w:rPr>
        <w:t>Cowburn</w:t>
      </w:r>
      <w:r w:rsidRPr="00DE68AB" w:rsidR="009C7D41">
        <w:rPr>
          <w:rFonts w:eastAsia="Calibri" w:cstheme="minorHAnsi"/>
          <w:noProof/>
        </w:rPr>
        <w:t>, G., &amp;</w:t>
      </w:r>
      <w:r w:rsidRPr="00DE68AB">
        <w:rPr>
          <w:rFonts w:eastAsia="Times New Roman" w:cstheme="minorHAnsi"/>
        </w:rPr>
        <w:t xml:space="preserve"> Stockley</w:t>
      </w:r>
      <w:r w:rsidRPr="00DE68AB" w:rsidR="009C7D41">
        <w:rPr>
          <w:rFonts w:eastAsia="Times New Roman" w:cstheme="minorHAnsi"/>
          <w:noProof/>
        </w:rPr>
        <w:t>, L</w:t>
      </w:r>
      <w:r w:rsidRPr="00DE68AB">
        <w:rPr>
          <w:rFonts w:eastAsia="Times New Roman" w:cstheme="minorHAnsi"/>
          <w:noProof/>
        </w:rPr>
        <w:t xml:space="preserve">. </w:t>
      </w:r>
      <w:r w:rsidRPr="00DE68AB" w:rsidR="009C7D41">
        <w:rPr>
          <w:rFonts w:eastAsia="Times New Roman" w:cstheme="minorHAnsi"/>
          <w:noProof/>
        </w:rPr>
        <w:t>(</w:t>
      </w:r>
      <w:r w:rsidRPr="00634704">
        <w:rPr>
          <w:rFonts w:cstheme="minorHAnsi"/>
        </w:rPr>
        <w:t>2005</w:t>
      </w:r>
      <w:r w:rsidRPr="00634704" w:rsidR="009C7D41">
        <w:rPr>
          <w:rFonts w:cstheme="minorHAnsi"/>
          <w:noProof/>
        </w:rPr>
        <w:t>).</w:t>
      </w:r>
      <w:r w:rsidRPr="00634704">
        <w:rPr>
          <w:rFonts w:cstheme="minorHAnsi"/>
        </w:rPr>
        <w:t xml:space="preserve"> Consumer Understanding and Use of nutrition labeling: a systematic review. Public health Nutrition</w:t>
      </w:r>
      <w:r w:rsidRPr="00634704" w:rsidR="009C7D41">
        <w:rPr>
          <w:rFonts w:cstheme="minorHAnsi"/>
          <w:i/>
          <w:iCs/>
          <w:noProof/>
        </w:rPr>
        <w:t>,</w:t>
      </w:r>
      <w:r w:rsidRPr="00634704">
        <w:rPr>
          <w:rFonts w:cstheme="minorHAnsi"/>
        </w:rPr>
        <w:t xml:space="preserve"> 8(1</w:t>
      </w:r>
      <w:r w:rsidRPr="00634704">
        <w:rPr>
          <w:rFonts w:cstheme="minorHAnsi"/>
          <w:noProof/>
        </w:rPr>
        <w:t>)</w:t>
      </w:r>
      <w:r w:rsidRPr="00634704" w:rsidR="009C7D41">
        <w:rPr>
          <w:rFonts w:cstheme="minorHAnsi"/>
          <w:noProof/>
        </w:rPr>
        <w:t xml:space="preserve">, </w:t>
      </w:r>
      <w:r w:rsidRPr="00634704">
        <w:rPr>
          <w:rFonts w:cstheme="minorHAnsi"/>
        </w:rPr>
        <w:t>21-28.</w:t>
      </w:r>
    </w:p>
    <w:p w:rsidR="5CE7DF8A" w:rsidRPr="00634704" w:rsidP="00DE68AB" w14:paraId="27FB6DDF" w14:textId="6B8AB052">
      <w:pPr>
        <w:spacing w:after="0" w:line="240" w:lineRule="auto"/>
        <w:ind w:left="720" w:hanging="720"/>
        <w:rPr>
          <w:rFonts w:cstheme="minorHAnsi"/>
        </w:rPr>
      </w:pPr>
      <w:r w:rsidRPr="00634704">
        <w:rPr>
          <w:rFonts w:cstheme="minorHAnsi"/>
          <w:noProof/>
        </w:rPr>
        <w:tab/>
        <w:t>https://</w:t>
      </w:r>
      <w:r w:rsidRPr="00DE68AB">
        <w:rPr>
          <w:rFonts w:cstheme="minorHAnsi"/>
          <w:color w:val="212121"/>
          <w:shd w:val="clear" w:color="auto" w:fill="FFFFFF"/>
        </w:rPr>
        <w:t>doi:10.1079/phn2005666</w:t>
      </w:r>
    </w:p>
    <w:p w:rsidR="00D52C98" w:rsidRPr="00634704" w:rsidP="00D52C98" w14:paraId="2E8599BB" w14:textId="77777777">
      <w:pPr>
        <w:pStyle w:val="EndNoteBibliography"/>
        <w:spacing w:after="0"/>
        <w:ind w:left="720" w:hanging="720"/>
        <w:rPr>
          <w:rFonts w:asciiTheme="minorHAnsi" w:hAnsiTheme="minorHAnsi" w:cstheme="minorHAnsi"/>
        </w:rPr>
      </w:pPr>
    </w:p>
    <w:p w:rsidR="006D614B" w:rsidRPr="00634704" w:rsidP="00D52C98" w14:paraId="6E016245" w14:textId="77777777">
      <w:pPr>
        <w:pStyle w:val="EndNoteBibliography"/>
        <w:spacing w:after="0"/>
        <w:ind w:left="720" w:hanging="720"/>
        <w:rPr>
          <w:rFonts w:asciiTheme="minorHAnsi" w:hAnsiTheme="minorHAnsi" w:cstheme="minorHAnsi"/>
        </w:rPr>
      </w:pPr>
      <w:r w:rsidRPr="00DE68AB">
        <w:rPr>
          <w:rFonts w:asciiTheme="minorHAnsi" w:hAnsiTheme="minorHAnsi" w:cstheme="minorHAnsi"/>
        </w:rPr>
        <w:t>Croker, H., Packer, J., Russell,</w:t>
      </w:r>
      <w:r w:rsidRPr="00DE68AB" w:rsidR="001830A0">
        <w:rPr>
          <w:rFonts w:asciiTheme="minorHAnsi" w:hAnsiTheme="minorHAnsi" w:cstheme="minorHAnsi"/>
        </w:rPr>
        <w:t xml:space="preserve"> </w:t>
      </w:r>
      <w:r w:rsidRPr="00DE68AB" w:rsidR="00E91315">
        <w:rPr>
          <w:rFonts w:asciiTheme="minorHAnsi" w:hAnsiTheme="minorHAnsi" w:cstheme="minorHAnsi"/>
        </w:rPr>
        <w:t>S</w:t>
      </w:r>
      <w:r w:rsidRPr="00DE68AB" w:rsidR="001830A0">
        <w:rPr>
          <w:rFonts w:asciiTheme="minorHAnsi" w:hAnsiTheme="minorHAnsi" w:cstheme="minorHAnsi"/>
        </w:rPr>
        <w:t>.,</w:t>
      </w:r>
      <w:r w:rsidRPr="00DE68AB">
        <w:rPr>
          <w:rFonts w:asciiTheme="minorHAnsi" w:hAnsiTheme="minorHAnsi" w:cstheme="minorHAnsi"/>
        </w:rPr>
        <w:t xml:space="preserve"> Stansfield</w:t>
      </w:r>
      <w:r w:rsidRPr="00DE68AB" w:rsidR="001830A0">
        <w:rPr>
          <w:rFonts w:asciiTheme="minorHAnsi" w:hAnsiTheme="minorHAnsi" w:cstheme="minorHAnsi"/>
        </w:rPr>
        <w:t xml:space="preserve">, </w:t>
      </w:r>
      <w:r w:rsidRPr="00DE68AB" w:rsidR="00E91315">
        <w:rPr>
          <w:rFonts w:asciiTheme="minorHAnsi" w:hAnsiTheme="minorHAnsi" w:cstheme="minorHAnsi"/>
        </w:rPr>
        <w:t xml:space="preserve">C., </w:t>
      </w:r>
      <w:r w:rsidRPr="00634704" w:rsidR="00D52C98">
        <w:rPr>
          <w:rFonts w:asciiTheme="minorHAnsi" w:hAnsiTheme="minorHAnsi" w:cstheme="minorHAnsi"/>
        </w:rPr>
        <w:t xml:space="preserve">&amp; </w:t>
      </w:r>
      <w:r w:rsidRPr="00DE68AB" w:rsidR="001830A0">
        <w:rPr>
          <w:rFonts w:asciiTheme="minorHAnsi" w:hAnsiTheme="minorHAnsi" w:cstheme="minorHAnsi"/>
        </w:rPr>
        <w:t xml:space="preserve">Viner, </w:t>
      </w:r>
      <w:r w:rsidRPr="00DE68AB">
        <w:rPr>
          <w:rFonts w:asciiTheme="minorHAnsi" w:hAnsiTheme="minorHAnsi" w:cstheme="minorHAnsi"/>
        </w:rPr>
        <w:t xml:space="preserve">R. M. </w:t>
      </w:r>
      <w:r w:rsidRPr="00DE68AB" w:rsidR="00AD7CAE">
        <w:rPr>
          <w:rFonts w:asciiTheme="minorHAnsi" w:hAnsiTheme="minorHAnsi" w:cstheme="minorHAnsi"/>
        </w:rPr>
        <w:t>(2020). Front of pack nutritional labelling schemes: a systematic review and</w:t>
      </w:r>
      <w:r w:rsidRPr="00634704" w:rsidR="00AD7CAE">
        <w:rPr>
          <w:rFonts w:asciiTheme="minorHAnsi" w:hAnsiTheme="minorHAnsi" w:cstheme="minorHAnsi"/>
        </w:rPr>
        <w:t xml:space="preserve"> meta-analysis of recent evidence relating to objectively measured consumption and purchasing.</w:t>
      </w:r>
      <w:r w:rsidRPr="00634704" w:rsidR="00ED7B61">
        <w:rPr>
          <w:rFonts w:asciiTheme="minorHAnsi" w:hAnsiTheme="minorHAnsi" w:cstheme="minorHAnsi"/>
        </w:rPr>
        <w:t xml:space="preserve"> </w:t>
      </w:r>
      <w:r w:rsidRPr="00634704" w:rsidR="00ED7B61">
        <w:rPr>
          <w:rFonts w:asciiTheme="minorHAnsi" w:hAnsiTheme="minorHAnsi" w:cstheme="minorHAnsi"/>
          <w:i/>
        </w:rPr>
        <w:t>Journal of Human Nutrition and Diet</w:t>
      </w:r>
      <w:r w:rsidRPr="00634704" w:rsidR="009B41B5">
        <w:rPr>
          <w:rFonts w:asciiTheme="minorHAnsi" w:hAnsiTheme="minorHAnsi" w:cstheme="minorHAnsi"/>
          <w:i/>
        </w:rPr>
        <w:t>etics</w:t>
      </w:r>
      <w:r w:rsidRPr="00634704" w:rsidR="009B41B5">
        <w:rPr>
          <w:rFonts w:asciiTheme="minorHAnsi" w:hAnsiTheme="minorHAnsi" w:cstheme="minorHAnsi"/>
        </w:rPr>
        <w:t>,</w:t>
      </w:r>
      <w:r w:rsidRPr="00634704" w:rsidR="00ED7B61">
        <w:rPr>
          <w:rFonts w:asciiTheme="minorHAnsi" w:hAnsiTheme="minorHAnsi" w:cstheme="minorHAnsi"/>
        </w:rPr>
        <w:t xml:space="preserve"> 33</w:t>
      </w:r>
      <w:r w:rsidRPr="00634704" w:rsidR="006C50E1">
        <w:rPr>
          <w:rFonts w:asciiTheme="minorHAnsi" w:hAnsiTheme="minorHAnsi" w:cstheme="minorHAnsi"/>
        </w:rPr>
        <w:t>(4)</w:t>
      </w:r>
      <w:r w:rsidRPr="00634704" w:rsidR="00ED7B61">
        <w:rPr>
          <w:rFonts w:asciiTheme="minorHAnsi" w:hAnsiTheme="minorHAnsi" w:cstheme="minorHAnsi"/>
        </w:rPr>
        <w:t>, 518–537</w:t>
      </w:r>
      <w:r w:rsidRPr="00634704" w:rsidR="009B41B5">
        <w:rPr>
          <w:rFonts w:asciiTheme="minorHAnsi" w:hAnsiTheme="minorHAnsi" w:cstheme="minorHAnsi"/>
        </w:rPr>
        <w:t xml:space="preserve">. </w:t>
      </w:r>
    </w:p>
    <w:p w:rsidR="00132528" w:rsidRPr="00634704" w:rsidP="00DE68AB" w14:paraId="56DA62AF" w14:textId="4C4F2CC0">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ED7B61">
        <w:rPr>
          <w:rFonts w:asciiTheme="minorHAnsi" w:hAnsiTheme="minorHAnsi" w:cstheme="minorHAnsi"/>
        </w:rPr>
        <w:t>doi.org/10.1111/jhn.1275</w:t>
      </w:r>
      <w:r w:rsidRPr="00634704">
        <w:rPr>
          <w:rFonts w:asciiTheme="minorHAnsi" w:hAnsiTheme="minorHAnsi" w:cstheme="minorHAnsi"/>
        </w:rPr>
        <w:t>8</w:t>
      </w:r>
    </w:p>
    <w:p w:rsidR="00EE0956" w:rsidRPr="00634704" w:rsidP="000F4050" w14:paraId="33C79FF8" w14:textId="77777777">
      <w:pPr>
        <w:pStyle w:val="EndNoteBibliography"/>
        <w:spacing w:after="0"/>
        <w:rPr>
          <w:rFonts w:asciiTheme="minorHAnsi" w:hAnsiTheme="minorHAnsi" w:cstheme="minorHAnsi"/>
        </w:rPr>
      </w:pPr>
    </w:p>
    <w:p w:rsidR="00BE7AEF" w:rsidRPr="00634704" w:rsidP="00BE7AEF" w14:paraId="7FD74847" w14:textId="5D82FE6C">
      <w:pPr>
        <w:autoSpaceDE w:val="0"/>
        <w:autoSpaceDN w:val="0"/>
        <w:adjustRightInd w:val="0"/>
        <w:spacing w:after="0" w:line="240" w:lineRule="auto"/>
        <w:ind w:left="720" w:hanging="720"/>
        <w:rPr>
          <w:rFonts w:cstheme="minorHAnsi"/>
        </w:rPr>
      </w:pPr>
      <w:r w:rsidRPr="00634704">
        <w:rPr>
          <w:rFonts w:cstheme="minorHAnsi"/>
        </w:rPr>
        <w:t xml:space="preserve">Cui, J., Yan, R., Astell-Burt, T., Gong, E., Zheng, L., Li, X., Zhang, J., Xiang, L., Ye, L., Hu, Y., Tang, Y., Gao, C., Xiao, L., Jiang, Y., Shao, R., Feng, X., Zhang, J., &amp; Yang, Y. (2022). Types and Aspects of Front-of-Package Labeling Preferred by Parents: Insights for Policy Making in China. </w:t>
      </w:r>
      <w:r w:rsidRPr="00634704">
        <w:rPr>
          <w:rFonts w:cstheme="minorHAnsi"/>
          <w:i/>
        </w:rPr>
        <w:t>Nutrients</w:t>
      </w:r>
      <w:r w:rsidRPr="00634704">
        <w:rPr>
          <w:rFonts w:cstheme="minorHAnsi"/>
        </w:rPr>
        <w:t>,</w:t>
      </w:r>
      <w:r w:rsidRPr="00634704">
        <w:rPr>
          <w:rFonts w:cstheme="minorHAnsi"/>
          <w:i/>
        </w:rPr>
        <w:t xml:space="preserve"> 14</w:t>
      </w:r>
      <w:r w:rsidRPr="00634704">
        <w:rPr>
          <w:rFonts w:cstheme="minorHAnsi"/>
        </w:rPr>
        <w:t>(4)</w:t>
      </w:r>
      <w:r w:rsidRPr="00634704" w:rsidR="00CE4E47">
        <w:rPr>
          <w:rFonts w:cstheme="minorHAnsi"/>
        </w:rPr>
        <w:t xml:space="preserve">, </w:t>
      </w:r>
      <w:r w:rsidRPr="00634704" w:rsidR="00313462">
        <w:rPr>
          <w:rFonts w:cstheme="minorHAnsi"/>
        </w:rPr>
        <w:t>800</w:t>
      </w:r>
      <w:r w:rsidRPr="00634704">
        <w:rPr>
          <w:rFonts w:cstheme="minorHAnsi"/>
        </w:rPr>
        <w:t xml:space="preserve">. https://doi.org/10.3390/nu14040800 </w:t>
      </w:r>
    </w:p>
    <w:p w:rsidR="1D57B863" w:rsidRPr="00634704" w:rsidP="1D57B863" w14:paraId="40A3E0A6" w14:textId="30D28799">
      <w:pPr>
        <w:spacing w:after="0" w:line="240" w:lineRule="auto"/>
        <w:ind w:left="720" w:hanging="720"/>
        <w:rPr>
          <w:rFonts w:cstheme="minorHAnsi"/>
        </w:rPr>
      </w:pPr>
    </w:p>
    <w:p w:rsidR="008241F9" w:rsidRPr="00634704" w:rsidP="00615FA3" w14:paraId="561615BD"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Dana, L., Chapman</w:t>
      </w:r>
      <w:r w:rsidRPr="00634704" w:rsidR="00C30819">
        <w:rPr>
          <w:rFonts w:asciiTheme="minorHAnsi" w:hAnsiTheme="minorHAnsi" w:cstheme="minorHAnsi"/>
        </w:rPr>
        <w:t>, K.</w:t>
      </w:r>
      <w:r w:rsidRPr="00634704">
        <w:rPr>
          <w:rFonts w:asciiTheme="minorHAnsi" w:hAnsiTheme="minorHAnsi" w:cstheme="minorHAnsi"/>
        </w:rPr>
        <w:t>, Talati,</w:t>
      </w:r>
      <w:r w:rsidRPr="00634704" w:rsidR="00C30819">
        <w:rPr>
          <w:rFonts w:asciiTheme="minorHAnsi" w:hAnsiTheme="minorHAnsi" w:cstheme="minorHAnsi"/>
        </w:rPr>
        <w:t xml:space="preserve"> Z.,</w:t>
      </w:r>
      <w:r w:rsidRPr="00634704">
        <w:rPr>
          <w:rFonts w:asciiTheme="minorHAnsi" w:hAnsiTheme="minorHAnsi" w:cstheme="minorHAnsi"/>
        </w:rPr>
        <w:t xml:space="preserve"> Kelly</w:t>
      </w:r>
      <w:r w:rsidRPr="00634704" w:rsidR="00C30819">
        <w:rPr>
          <w:rFonts w:asciiTheme="minorHAnsi" w:hAnsiTheme="minorHAnsi" w:cstheme="minorHAnsi"/>
        </w:rPr>
        <w:t>, B.</w:t>
      </w:r>
      <w:r w:rsidRPr="00634704">
        <w:rPr>
          <w:rFonts w:asciiTheme="minorHAnsi" w:hAnsiTheme="minorHAnsi" w:cstheme="minorHAnsi"/>
        </w:rPr>
        <w:t>, Dixon</w:t>
      </w:r>
      <w:r w:rsidRPr="00634704" w:rsidR="00C30819">
        <w:rPr>
          <w:rFonts w:asciiTheme="minorHAnsi" w:hAnsiTheme="minorHAnsi" w:cstheme="minorHAnsi"/>
        </w:rPr>
        <w:t>, H.,</w:t>
      </w:r>
      <w:r w:rsidRPr="00634704">
        <w:rPr>
          <w:rFonts w:asciiTheme="minorHAnsi" w:hAnsiTheme="minorHAnsi" w:cstheme="minorHAnsi"/>
        </w:rPr>
        <w:t xml:space="preserve"> Miller</w:t>
      </w:r>
      <w:r w:rsidRPr="00634704" w:rsidR="00C30819">
        <w:rPr>
          <w:rFonts w:asciiTheme="minorHAnsi" w:hAnsiTheme="minorHAnsi" w:cstheme="minorHAnsi"/>
        </w:rPr>
        <w:t>, C., &amp; Pettigrew, S.</w:t>
      </w:r>
      <w:r w:rsidRPr="00634704">
        <w:rPr>
          <w:rFonts w:asciiTheme="minorHAnsi" w:hAnsiTheme="minorHAnsi" w:cstheme="minorHAnsi"/>
        </w:rPr>
        <w:t xml:space="preserve"> </w:t>
      </w:r>
      <w:r w:rsidRPr="00634704" w:rsidR="00843081">
        <w:rPr>
          <w:rFonts w:asciiTheme="minorHAnsi" w:hAnsiTheme="minorHAnsi" w:cstheme="minorHAnsi"/>
        </w:rPr>
        <w:t xml:space="preserve">(2019). Consumers’ Views on the Importance of Specific Front-of-Pack Nutrition Information: A Latent Profile Analysis. </w:t>
      </w:r>
      <w:r w:rsidRPr="00634704" w:rsidR="00843081">
        <w:rPr>
          <w:rFonts w:asciiTheme="minorHAnsi" w:hAnsiTheme="minorHAnsi" w:cstheme="minorHAnsi"/>
          <w:i/>
        </w:rPr>
        <w:t>Nutrients</w:t>
      </w:r>
      <w:r w:rsidRPr="00634704" w:rsidR="00843081">
        <w:rPr>
          <w:rFonts w:asciiTheme="minorHAnsi" w:hAnsiTheme="minorHAnsi" w:cstheme="minorHAnsi"/>
        </w:rPr>
        <w:t>, 11</w:t>
      </w:r>
      <w:r w:rsidRPr="00634704" w:rsidR="00A73E87">
        <w:rPr>
          <w:rFonts w:asciiTheme="minorHAnsi" w:hAnsiTheme="minorHAnsi" w:cstheme="minorHAnsi"/>
        </w:rPr>
        <w:t>(5)</w:t>
      </w:r>
      <w:r w:rsidRPr="00634704" w:rsidR="00843081">
        <w:rPr>
          <w:rFonts w:asciiTheme="minorHAnsi" w:hAnsiTheme="minorHAnsi" w:cstheme="minorHAnsi"/>
        </w:rPr>
        <w:t xml:space="preserve">, 1158. </w:t>
      </w:r>
    </w:p>
    <w:p w:rsidR="00ED7EFC" w:rsidRPr="00634704" w:rsidP="00DE68AB" w14:paraId="323F5F69" w14:textId="2174B59F">
      <w:pPr>
        <w:pStyle w:val="EndNoteBibliography"/>
        <w:spacing w:after="0"/>
        <w:ind w:left="720"/>
        <w:rPr>
          <w:rFonts w:asciiTheme="minorHAnsi" w:hAnsiTheme="minorHAnsi" w:cstheme="minorHAnsi"/>
          <w:lang w:val="es-ES"/>
        </w:rPr>
      </w:pPr>
      <w:r w:rsidRPr="00634704">
        <w:rPr>
          <w:rFonts w:asciiTheme="minorHAnsi" w:hAnsiTheme="minorHAnsi" w:cstheme="minorHAnsi"/>
        </w:rPr>
        <w:t>https://</w:t>
      </w:r>
      <w:r w:rsidRPr="00634704" w:rsidR="00843081">
        <w:rPr>
          <w:rFonts w:asciiTheme="minorHAnsi" w:hAnsiTheme="minorHAnsi" w:cstheme="minorHAnsi"/>
        </w:rPr>
        <w:t>doi:10.3390/nu11051158</w:t>
      </w:r>
    </w:p>
    <w:p w:rsidR="002D4DAC" w:rsidRPr="00634704" w:rsidP="00C96F64" w14:paraId="75ABB402" w14:textId="77777777">
      <w:pPr>
        <w:autoSpaceDE w:val="0"/>
        <w:autoSpaceDN w:val="0"/>
        <w:adjustRightInd w:val="0"/>
        <w:spacing w:after="0" w:line="240" w:lineRule="auto"/>
        <w:ind w:left="720" w:hanging="720"/>
        <w:rPr>
          <w:rFonts w:cstheme="minorHAnsi"/>
        </w:rPr>
      </w:pPr>
    </w:p>
    <w:p w:rsidR="00BE7AEF" w:rsidRPr="00634704" w:rsidP="00BE7AEF" w14:paraId="05539F65" w14:textId="56438B82">
      <w:pPr>
        <w:autoSpaceDE w:val="0"/>
        <w:autoSpaceDN w:val="0"/>
        <w:adjustRightInd w:val="0"/>
        <w:spacing w:after="0" w:line="240" w:lineRule="auto"/>
        <w:ind w:left="720" w:hanging="720"/>
        <w:rPr>
          <w:rFonts w:cstheme="minorHAnsi"/>
        </w:rPr>
      </w:pPr>
      <w:r w:rsidRPr="00634704">
        <w:rPr>
          <w:rFonts w:cstheme="minorHAnsi"/>
        </w:rPr>
        <w:t xml:space="preserve">Dang, A., &amp; Nichols, B. S. (2022). Consumer response to positive nutrients on the facts up front (FUF) label: A comparison between healthy and unhealthy foods and the role of nutrition </w:t>
      </w:r>
      <w:r w:rsidRPr="00634704">
        <w:rPr>
          <w:rFonts w:cstheme="minorHAnsi"/>
        </w:rPr>
        <w:t>motivation .</w:t>
      </w:r>
      <w:r w:rsidRPr="00634704">
        <w:rPr>
          <w:rFonts w:cstheme="minorHAnsi"/>
        </w:rPr>
        <w:t xml:space="preserve"> </w:t>
      </w:r>
      <w:r w:rsidRPr="00634704">
        <w:rPr>
          <w:rFonts w:cstheme="minorHAnsi"/>
          <w:i/>
        </w:rPr>
        <w:t>Journal of Marketing Theory &amp; Practice</w:t>
      </w:r>
      <w:r w:rsidRPr="00634704">
        <w:rPr>
          <w:rFonts w:cstheme="minorHAnsi"/>
        </w:rPr>
        <w:t xml:space="preserve">, </w:t>
      </w:r>
      <w:r w:rsidRPr="00634704" w:rsidR="00D73E6B">
        <w:rPr>
          <w:rFonts w:cstheme="minorHAnsi"/>
        </w:rPr>
        <w:t xml:space="preserve">31, </w:t>
      </w:r>
      <w:r w:rsidRPr="00634704" w:rsidR="00091FC6">
        <w:rPr>
          <w:rFonts w:cstheme="minorHAnsi"/>
        </w:rPr>
        <w:t>223-242</w:t>
      </w:r>
      <w:r w:rsidRPr="00634704">
        <w:rPr>
          <w:rFonts w:cstheme="minorHAnsi"/>
        </w:rPr>
        <w:t xml:space="preserve">. https://doi.org/10.1080/10696679.2021.2020662 </w:t>
      </w:r>
    </w:p>
    <w:p w:rsidR="00EE0956" w:rsidRPr="00634704" w:rsidP="00A1092A" w14:paraId="11B5F2F5" w14:textId="77777777">
      <w:pPr>
        <w:pStyle w:val="EndNoteBibliography"/>
        <w:spacing w:after="0"/>
        <w:ind w:left="720" w:hanging="720"/>
        <w:rPr>
          <w:rFonts w:asciiTheme="minorHAnsi" w:hAnsiTheme="minorHAnsi" w:cstheme="minorHAnsi"/>
          <w:lang w:val="es-ES"/>
        </w:rPr>
      </w:pPr>
    </w:p>
    <w:p w:rsidR="003E312B" w:rsidRPr="00634704" w:rsidP="00615FA3" w14:paraId="40687D92" w14:textId="5E2FCB63">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de Alcantara, M., Aresb, G., Leme de Castrod, I.P., &amp; Deliza, R. (2020). Gain vs. loss-framing for reducing sugar consumption: Insights from a choice experiment with six product categories. </w:t>
      </w:r>
      <w:r w:rsidRPr="00634704">
        <w:rPr>
          <w:rFonts w:asciiTheme="minorHAnsi" w:hAnsiTheme="minorHAnsi" w:cstheme="minorHAnsi"/>
          <w:i/>
        </w:rPr>
        <w:t>Food Research International</w:t>
      </w:r>
      <w:r w:rsidRPr="00634704">
        <w:rPr>
          <w:rFonts w:asciiTheme="minorHAnsi" w:hAnsiTheme="minorHAnsi" w:cstheme="minorHAnsi"/>
        </w:rPr>
        <w:t xml:space="preserve">, 136, </w:t>
      </w:r>
      <w:r w:rsidRPr="00634704" w:rsidR="003F7753">
        <w:rPr>
          <w:rFonts w:asciiTheme="minorHAnsi" w:hAnsiTheme="minorHAnsi" w:cstheme="minorHAnsi"/>
        </w:rPr>
        <w:t>109458.</w:t>
      </w:r>
      <w:r w:rsidRPr="00634704">
        <w:rPr>
          <w:rFonts w:asciiTheme="minorHAnsi" w:hAnsiTheme="minorHAnsi" w:cstheme="minorHAnsi"/>
        </w:rPr>
        <w:t xml:space="preserve"> </w:t>
      </w:r>
    </w:p>
    <w:p w:rsidR="00615FA3" w:rsidRPr="00634704" w:rsidP="00DE68AB" w14:paraId="20E52EF7" w14:textId="11877F68">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 xml:space="preserve">doi:10.1016/j.foodres.2020.109458 </w:t>
      </w:r>
    </w:p>
    <w:p w:rsidR="00615FA3" w:rsidRPr="00634704" w:rsidP="00A1092A" w14:paraId="526C5427" w14:textId="77777777">
      <w:pPr>
        <w:pStyle w:val="EndNoteBibliography"/>
        <w:spacing w:after="0"/>
        <w:ind w:left="720" w:hanging="720"/>
        <w:rPr>
          <w:rFonts w:asciiTheme="minorHAnsi" w:hAnsiTheme="minorHAnsi" w:cstheme="minorHAnsi"/>
          <w:lang w:val="es-ES"/>
        </w:rPr>
      </w:pPr>
    </w:p>
    <w:p w:rsidR="00BE7AEF" w:rsidRPr="00634704" w:rsidP="00BE7AEF" w14:paraId="14FD54CF" w14:textId="212F2AC0">
      <w:pPr>
        <w:autoSpaceDE w:val="0"/>
        <w:autoSpaceDN w:val="0"/>
        <w:adjustRightInd w:val="0"/>
        <w:spacing w:after="0" w:line="240" w:lineRule="auto"/>
        <w:ind w:left="720" w:hanging="720"/>
        <w:rPr>
          <w:rFonts w:cstheme="minorHAnsi"/>
        </w:rPr>
      </w:pPr>
      <w:r w:rsidRPr="00634704">
        <w:rPr>
          <w:rFonts w:cstheme="minorHAnsi"/>
        </w:rPr>
        <w:t xml:space="preserve">de Alcantara, M., Ares, G., &amp; Deliza, R. (2022). How Do Nutritional Warnings Work on Commercial Products? Results from a Hypothetical Choice Experiment. </w:t>
      </w:r>
      <w:r w:rsidRPr="00634704">
        <w:rPr>
          <w:rFonts w:cstheme="minorHAnsi"/>
          <w:i/>
          <w:iCs/>
        </w:rPr>
        <w:t>Front</w:t>
      </w:r>
      <w:r w:rsidRPr="00634704" w:rsidR="00912664">
        <w:rPr>
          <w:rFonts w:cstheme="minorHAnsi"/>
          <w:i/>
          <w:iCs/>
        </w:rPr>
        <w:t>iers in</w:t>
      </w:r>
      <w:r w:rsidRPr="00634704">
        <w:rPr>
          <w:rFonts w:cstheme="minorHAnsi"/>
          <w:i/>
          <w:iCs/>
        </w:rPr>
        <w:t xml:space="preserve"> Nutr</w:t>
      </w:r>
      <w:r w:rsidRPr="00634704" w:rsidR="00912664">
        <w:rPr>
          <w:rFonts w:cstheme="minorHAnsi"/>
          <w:i/>
          <w:iCs/>
        </w:rPr>
        <w:t>ition</w:t>
      </w:r>
      <w:r w:rsidRPr="00634704">
        <w:rPr>
          <w:rFonts w:cstheme="minorHAnsi"/>
        </w:rPr>
        <w:t>,</w:t>
      </w:r>
      <w:r w:rsidRPr="00634704">
        <w:rPr>
          <w:rFonts w:cstheme="minorHAnsi"/>
          <w:i/>
          <w:iCs/>
        </w:rPr>
        <w:t xml:space="preserve"> 9</w:t>
      </w:r>
      <w:r w:rsidRPr="00634704">
        <w:rPr>
          <w:rFonts w:cstheme="minorHAnsi"/>
        </w:rPr>
        <w:t xml:space="preserve">, 921515. https://doi.org/10.3389/fnut.2022.921515 </w:t>
      </w:r>
    </w:p>
    <w:p w:rsidR="002D4DAC" w:rsidRPr="00634704" w:rsidP="00A1092A" w14:paraId="1F446F00" w14:textId="77777777">
      <w:pPr>
        <w:pStyle w:val="EndNoteBibliography"/>
        <w:spacing w:after="0"/>
        <w:ind w:left="720" w:hanging="720"/>
        <w:rPr>
          <w:rFonts w:asciiTheme="minorHAnsi" w:hAnsiTheme="minorHAnsi" w:cstheme="minorHAnsi"/>
          <w:lang w:val="es-ES"/>
        </w:rPr>
      </w:pPr>
    </w:p>
    <w:p w:rsidR="00E55C7F" w:rsidRPr="00634704" w:rsidP="00A1092A" w14:paraId="03B780A1" w14:textId="663E1578">
      <w:pPr>
        <w:pStyle w:val="EndNoteBibliography"/>
        <w:spacing w:after="0"/>
        <w:ind w:left="720" w:hanging="720"/>
        <w:rPr>
          <w:rFonts w:asciiTheme="minorHAnsi" w:hAnsiTheme="minorHAnsi" w:cstheme="minorHAnsi"/>
        </w:rPr>
      </w:pPr>
      <w:r w:rsidRPr="00634704">
        <w:rPr>
          <w:rFonts w:asciiTheme="minorHAnsi" w:hAnsiTheme="minorHAnsi" w:cstheme="minorHAnsi"/>
          <w:lang w:val="es-ES"/>
        </w:rPr>
        <w:t>d</w:t>
      </w:r>
      <w:r w:rsidRPr="00634704" w:rsidR="00A1092A">
        <w:rPr>
          <w:rFonts w:asciiTheme="minorHAnsi" w:hAnsiTheme="minorHAnsi" w:cstheme="minorHAnsi"/>
          <w:lang w:val="es-ES"/>
        </w:rPr>
        <w:t xml:space="preserve">e la Cruz-Gongora, V., Torres, P., Contreras-Manzano, A., Jauregui de la Mota, A., Mundo-Rosas, V., Villalpando, S., &amp; Rodriguez-Oliveros, G. (2017). </w:t>
      </w:r>
      <w:r w:rsidRPr="00634704" w:rsidR="00A1092A">
        <w:rPr>
          <w:rFonts w:asciiTheme="minorHAnsi" w:hAnsiTheme="minorHAnsi" w:cstheme="minorHAnsi"/>
        </w:rPr>
        <w:t xml:space="preserve">Understanding and acceptability by Hispanic consumers of four front-of-pack food labels. </w:t>
      </w:r>
      <w:r w:rsidRPr="00634704" w:rsidR="008F461E">
        <w:rPr>
          <w:rFonts w:asciiTheme="minorHAnsi" w:hAnsiTheme="minorHAnsi" w:cstheme="minorHAnsi"/>
          <w:i/>
          <w:iCs/>
          <w:color w:val="212121"/>
          <w:shd w:val="clear" w:color="auto" w:fill="FFFFFF"/>
        </w:rPr>
        <w:t>I</w:t>
      </w:r>
      <w:r w:rsidRPr="00634704">
        <w:rPr>
          <w:rFonts w:asciiTheme="minorHAnsi" w:hAnsiTheme="minorHAnsi" w:cstheme="minorHAnsi"/>
          <w:i/>
          <w:iCs/>
          <w:color w:val="212121"/>
          <w:shd w:val="clear" w:color="auto" w:fill="FFFFFF"/>
        </w:rPr>
        <w:t>nternational journal of behavioral nutrition and physical activity</w:t>
      </w:r>
      <w:r w:rsidRPr="00634704" w:rsidR="00A1092A">
        <w:rPr>
          <w:rFonts w:asciiTheme="minorHAnsi" w:hAnsiTheme="minorHAnsi" w:cstheme="minorHAnsi"/>
          <w:i/>
        </w:rPr>
        <w:t>, 14</w:t>
      </w:r>
      <w:r w:rsidRPr="00634704" w:rsidR="00A1092A">
        <w:rPr>
          <w:rFonts w:asciiTheme="minorHAnsi" w:hAnsiTheme="minorHAnsi" w:cstheme="minorHAnsi"/>
        </w:rPr>
        <w:t xml:space="preserve">(1), 28. </w:t>
      </w:r>
    </w:p>
    <w:p w:rsidR="00A1092A" w:rsidRPr="00634704" w:rsidP="00DE68AB" w14:paraId="38AFC009" w14:textId="51732362">
      <w:pPr>
        <w:pStyle w:val="EndNoteBibliography"/>
        <w:spacing w:after="0"/>
        <w:ind w:left="720"/>
        <w:rPr>
          <w:rFonts w:asciiTheme="minorHAnsi" w:hAnsiTheme="minorHAnsi" w:cstheme="minorHAnsi"/>
        </w:rPr>
      </w:pPr>
      <w:r w:rsidRPr="00DE68AB">
        <w:rPr>
          <w:rFonts w:asciiTheme="minorHAnsi" w:hAnsiTheme="minorHAnsi" w:cstheme="minorHAnsi"/>
        </w:rPr>
        <w:t>https://</w:t>
      </w:r>
      <w:r w:rsidRPr="00DE68AB">
        <w:rPr>
          <w:rFonts w:asciiTheme="minorHAnsi" w:hAnsiTheme="minorHAnsi" w:cstheme="minorHAnsi"/>
        </w:rPr>
        <w:t>doi:10.1186/s12966-017-0482-2</w:t>
      </w:r>
    </w:p>
    <w:p w:rsidR="001F7B01" w:rsidRPr="00634704" w:rsidP="00A1092A" w14:paraId="7AD195D4" w14:textId="77777777">
      <w:pPr>
        <w:pStyle w:val="EndNoteBibliography"/>
        <w:spacing w:after="0"/>
        <w:ind w:left="720" w:hanging="720"/>
        <w:rPr>
          <w:rFonts w:asciiTheme="minorHAnsi" w:hAnsiTheme="minorHAnsi" w:cstheme="minorHAnsi"/>
        </w:rPr>
      </w:pPr>
    </w:p>
    <w:p w:rsidR="00DB3F55" w:rsidRPr="00634704" w:rsidP="00A1092A" w14:paraId="71778EFB" w14:textId="49213ABF">
      <w:pPr>
        <w:pStyle w:val="EndNoteBibliography"/>
        <w:spacing w:after="0"/>
        <w:ind w:left="720" w:hanging="720"/>
        <w:rPr>
          <w:rFonts w:asciiTheme="minorHAnsi" w:hAnsiTheme="minorHAnsi" w:cstheme="minorHAnsi"/>
        </w:rPr>
      </w:pPr>
      <w:r w:rsidRPr="00634704">
        <w:rPr>
          <w:rFonts w:asciiTheme="minorHAnsi" w:hAnsiTheme="minorHAnsi" w:cstheme="minorHAnsi"/>
        </w:rPr>
        <w:t>de Morais SatoI, P.,  Amaral Mais, L., Khandpur, N., Ulian</w:t>
      </w:r>
      <w:r w:rsidRPr="00634704" w:rsidR="005B5F17">
        <w:rPr>
          <w:rFonts w:asciiTheme="minorHAnsi" w:hAnsiTheme="minorHAnsi" w:cstheme="minorHAnsi"/>
        </w:rPr>
        <w:t>, M.D.</w:t>
      </w:r>
      <w:r w:rsidRPr="00634704">
        <w:rPr>
          <w:rFonts w:asciiTheme="minorHAnsi" w:hAnsiTheme="minorHAnsi" w:cstheme="minorHAnsi"/>
        </w:rPr>
        <w:t>, Bortoletto Martins</w:t>
      </w:r>
      <w:r w:rsidRPr="00634704" w:rsidR="005B5F17">
        <w:rPr>
          <w:rFonts w:asciiTheme="minorHAnsi" w:hAnsiTheme="minorHAnsi" w:cstheme="minorHAnsi"/>
        </w:rPr>
        <w:t>, A.P.</w:t>
      </w:r>
      <w:r w:rsidRPr="00634704">
        <w:rPr>
          <w:rFonts w:asciiTheme="minorHAnsi" w:hAnsiTheme="minorHAnsi" w:cstheme="minorHAnsi"/>
        </w:rPr>
        <w:t>, Garcia</w:t>
      </w:r>
      <w:r w:rsidRPr="00634704" w:rsidR="005B5F17">
        <w:rPr>
          <w:rFonts w:asciiTheme="minorHAnsi" w:hAnsiTheme="minorHAnsi" w:cstheme="minorHAnsi"/>
        </w:rPr>
        <w:t>, M.</w:t>
      </w:r>
      <w:r w:rsidRPr="00634704">
        <w:rPr>
          <w:rFonts w:asciiTheme="minorHAnsi" w:hAnsiTheme="minorHAnsi" w:cstheme="minorHAnsi"/>
        </w:rPr>
        <w:t>, Spinillo</w:t>
      </w:r>
      <w:r w:rsidRPr="00634704" w:rsidR="005B5F17">
        <w:rPr>
          <w:rFonts w:asciiTheme="minorHAnsi" w:hAnsiTheme="minorHAnsi" w:cstheme="minorHAnsi"/>
        </w:rPr>
        <w:t>, C.</w:t>
      </w:r>
      <w:r w:rsidRPr="00634704">
        <w:rPr>
          <w:rFonts w:asciiTheme="minorHAnsi" w:hAnsiTheme="minorHAnsi" w:cstheme="minorHAnsi"/>
        </w:rPr>
        <w:t>, Rojas,</w:t>
      </w:r>
      <w:r w:rsidRPr="00634704" w:rsidR="000F3687">
        <w:rPr>
          <w:rFonts w:asciiTheme="minorHAnsi" w:hAnsiTheme="minorHAnsi" w:cstheme="minorHAnsi"/>
        </w:rPr>
        <w:t xml:space="preserve"> C.,</w:t>
      </w:r>
      <w:r w:rsidRPr="00634704">
        <w:rPr>
          <w:rFonts w:asciiTheme="minorHAnsi" w:hAnsiTheme="minorHAnsi" w:cstheme="minorHAnsi"/>
        </w:rPr>
        <w:t xml:space="preserve"> Jaime</w:t>
      </w:r>
      <w:r w:rsidRPr="00634704" w:rsidR="000F3687">
        <w:rPr>
          <w:rFonts w:asciiTheme="minorHAnsi" w:hAnsiTheme="minorHAnsi" w:cstheme="minorHAnsi"/>
        </w:rPr>
        <w:t>, P.</w:t>
      </w:r>
      <w:r w:rsidRPr="00634704">
        <w:rPr>
          <w:rFonts w:asciiTheme="minorHAnsi" w:hAnsiTheme="minorHAnsi" w:cstheme="minorHAnsi"/>
        </w:rPr>
        <w:t xml:space="preserve">, </w:t>
      </w:r>
      <w:r w:rsidRPr="00634704" w:rsidR="00697211">
        <w:rPr>
          <w:rFonts w:asciiTheme="minorHAnsi" w:hAnsiTheme="minorHAnsi" w:cstheme="minorHAnsi"/>
        </w:rPr>
        <w:t xml:space="preserve">&amp; </w:t>
      </w:r>
      <w:r w:rsidRPr="00634704">
        <w:rPr>
          <w:rFonts w:asciiTheme="minorHAnsi" w:hAnsiTheme="minorHAnsi" w:cstheme="minorHAnsi"/>
        </w:rPr>
        <w:t>Scagliusi</w:t>
      </w:r>
      <w:r w:rsidRPr="00634704" w:rsidR="000F3687">
        <w:rPr>
          <w:rFonts w:asciiTheme="minorHAnsi" w:hAnsiTheme="minorHAnsi" w:cstheme="minorHAnsi"/>
        </w:rPr>
        <w:t xml:space="preserve">, F. </w:t>
      </w:r>
      <w:r w:rsidRPr="00634704" w:rsidR="00050B8D">
        <w:rPr>
          <w:rFonts w:asciiTheme="minorHAnsi" w:hAnsiTheme="minorHAnsi" w:cstheme="minorHAnsi"/>
        </w:rPr>
        <w:t>(2019). Consumers’ opinions on warning labels on food packages: A qualitative study in Brazil.</w:t>
      </w:r>
      <w:r w:rsidRPr="00634704" w:rsidR="00D456E4">
        <w:rPr>
          <w:rFonts w:asciiTheme="minorHAnsi" w:hAnsiTheme="minorHAnsi" w:cstheme="minorHAnsi"/>
        </w:rPr>
        <w:t xml:space="preserve"> PLoS ONE 14(6)</w:t>
      </w:r>
      <w:r w:rsidRPr="00634704" w:rsidR="00F8770A">
        <w:rPr>
          <w:rFonts w:asciiTheme="minorHAnsi" w:hAnsiTheme="minorHAnsi" w:cstheme="minorHAnsi"/>
        </w:rPr>
        <w:t>,</w:t>
      </w:r>
      <w:r w:rsidRPr="00634704" w:rsidR="00D456E4">
        <w:rPr>
          <w:rFonts w:asciiTheme="minorHAnsi" w:hAnsiTheme="minorHAnsi" w:cstheme="minorHAnsi"/>
        </w:rPr>
        <w:t xml:space="preserve"> e0218813. </w:t>
      </w:r>
    </w:p>
    <w:p w:rsidR="00A1092A" w:rsidRPr="00634704" w:rsidP="007D5B68" w14:paraId="4966E8D8" w14:textId="1AD78A8E">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D456E4">
        <w:rPr>
          <w:rFonts w:asciiTheme="minorHAnsi" w:hAnsiTheme="minorHAnsi" w:cstheme="minorHAnsi"/>
        </w:rPr>
        <w:t>doi.org/10.1371/journal.pone.0218813</w:t>
      </w:r>
    </w:p>
    <w:p w:rsidR="006857A5" w:rsidRPr="00634704" w:rsidP="00A1092A" w14:paraId="6761816F" w14:textId="77777777">
      <w:pPr>
        <w:pStyle w:val="EndNoteBibliography"/>
        <w:spacing w:after="0"/>
        <w:ind w:left="720" w:hanging="720"/>
        <w:rPr>
          <w:rFonts w:asciiTheme="minorHAnsi" w:hAnsiTheme="minorHAnsi" w:cstheme="minorHAnsi"/>
        </w:rPr>
      </w:pPr>
    </w:p>
    <w:p w:rsidR="006857A5" w:rsidRPr="00634704" w:rsidP="00A1092A" w14:paraId="3E079A65" w14:textId="4B741406">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de Temmerman, J., Heeremans, E., Slabbinck, H., </w:t>
      </w:r>
      <w:r w:rsidRPr="00634704" w:rsidR="008D27AF">
        <w:rPr>
          <w:rFonts w:asciiTheme="minorHAnsi" w:hAnsiTheme="minorHAnsi" w:cstheme="minorHAnsi"/>
        </w:rPr>
        <w:t xml:space="preserve">&amp; </w:t>
      </w:r>
      <w:r w:rsidRPr="00634704">
        <w:rPr>
          <w:rFonts w:asciiTheme="minorHAnsi" w:hAnsiTheme="minorHAnsi" w:cstheme="minorHAnsi"/>
        </w:rPr>
        <w:t xml:space="preserve">Vermeir, I. (2021). </w:t>
      </w:r>
      <w:r w:rsidRPr="00634704" w:rsidR="00236E8A">
        <w:rPr>
          <w:rFonts w:asciiTheme="minorHAnsi" w:hAnsiTheme="minorHAnsi" w:cstheme="minorHAnsi"/>
        </w:rPr>
        <w:t xml:space="preserve">The impact of the </w:t>
      </w:r>
      <w:r w:rsidRPr="00634704" w:rsidR="004B6E26">
        <w:rPr>
          <w:rFonts w:asciiTheme="minorHAnsi" w:hAnsiTheme="minorHAnsi" w:cstheme="minorHAnsi"/>
        </w:rPr>
        <w:t>Nutri-Score</w:t>
      </w:r>
      <w:r w:rsidRPr="00634704" w:rsidR="00236E8A">
        <w:rPr>
          <w:rFonts w:asciiTheme="minorHAnsi" w:hAnsiTheme="minorHAnsi" w:cstheme="minorHAnsi"/>
        </w:rPr>
        <w:t xml:space="preserve"> nutrition label on perceived healthiness and purchase intentions. </w:t>
      </w:r>
      <w:r w:rsidRPr="00634704" w:rsidR="00236E8A">
        <w:rPr>
          <w:rFonts w:asciiTheme="minorHAnsi" w:hAnsiTheme="minorHAnsi" w:cstheme="minorHAnsi"/>
          <w:i/>
        </w:rPr>
        <w:t>Appetite</w:t>
      </w:r>
      <w:r w:rsidRPr="00634704" w:rsidR="00236E8A">
        <w:rPr>
          <w:rFonts w:asciiTheme="minorHAnsi" w:hAnsiTheme="minorHAnsi" w:cstheme="minorHAnsi"/>
        </w:rPr>
        <w:t>, 157</w:t>
      </w:r>
      <w:r w:rsidRPr="00634704" w:rsidR="00782139">
        <w:rPr>
          <w:rFonts w:asciiTheme="minorHAnsi" w:hAnsiTheme="minorHAnsi" w:cstheme="minorHAnsi"/>
        </w:rPr>
        <w:t xml:space="preserve">, </w:t>
      </w:r>
      <w:r w:rsidRPr="00634704" w:rsidR="00782139">
        <w:rPr>
          <w:rFonts w:asciiTheme="minorHAnsi" w:hAnsiTheme="minorHAnsi" w:cstheme="minorHAnsi"/>
          <w:color w:val="212121"/>
          <w:shd w:val="clear" w:color="auto" w:fill="FFFFFF"/>
        </w:rPr>
        <w:t>104995</w:t>
      </w:r>
      <w:r w:rsidRPr="00634704" w:rsidR="00236E8A">
        <w:rPr>
          <w:rFonts w:asciiTheme="minorHAnsi" w:hAnsiTheme="minorHAnsi" w:cstheme="minorHAnsi"/>
        </w:rPr>
        <w:t>.</w:t>
      </w:r>
      <w:r w:rsidRPr="00634704" w:rsidR="002F2BA8">
        <w:rPr>
          <w:rFonts w:asciiTheme="minorHAnsi" w:hAnsiTheme="minorHAnsi" w:cstheme="minorHAnsi"/>
        </w:rPr>
        <w:t xml:space="preserve"> </w:t>
      </w:r>
      <w:r w:rsidRPr="00634704" w:rsidR="00782139">
        <w:rPr>
          <w:rFonts w:asciiTheme="minorHAnsi" w:hAnsiTheme="minorHAnsi" w:cstheme="minorHAnsi"/>
        </w:rPr>
        <w:t>https://</w:t>
      </w:r>
      <w:r w:rsidRPr="00634704" w:rsidR="002F2BA8">
        <w:rPr>
          <w:rFonts w:asciiTheme="minorHAnsi" w:hAnsiTheme="minorHAnsi" w:cstheme="minorHAnsi"/>
        </w:rPr>
        <w:t>doi.org/10.1016/j.appet.2020.104995</w:t>
      </w:r>
    </w:p>
    <w:p w:rsidR="00201AD2" w:rsidRPr="00634704" w:rsidP="00A1092A" w14:paraId="40D6FE6C" w14:textId="77777777">
      <w:pPr>
        <w:pStyle w:val="EndNoteBibliography"/>
        <w:spacing w:after="0"/>
        <w:ind w:left="720" w:hanging="720"/>
        <w:rPr>
          <w:rFonts w:asciiTheme="minorHAnsi" w:hAnsiTheme="minorHAnsi" w:cstheme="minorHAnsi"/>
        </w:rPr>
      </w:pPr>
    </w:p>
    <w:p w:rsidR="00201AD2" w:rsidRPr="00634704" w:rsidP="00A1092A" w14:paraId="6995AE71" w14:textId="59EB22E8">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Defago, D., Fernando Geng, J., Molina, O., </w:t>
      </w:r>
      <w:r w:rsidRPr="00634704" w:rsidR="00782139">
        <w:rPr>
          <w:rFonts w:asciiTheme="minorHAnsi" w:hAnsiTheme="minorHAnsi" w:cstheme="minorHAnsi"/>
        </w:rPr>
        <w:t xml:space="preserve">&amp; </w:t>
      </w:r>
      <w:r w:rsidRPr="00634704">
        <w:rPr>
          <w:rFonts w:asciiTheme="minorHAnsi" w:hAnsiTheme="minorHAnsi" w:cstheme="minorHAnsi"/>
        </w:rPr>
        <w:t xml:space="preserve">Santa María, D. (2019). </w:t>
      </w:r>
      <w:r w:rsidRPr="00634704" w:rsidR="0056116C">
        <w:rPr>
          <w:rFonts w:asciiTheme="minorHAnsi" w:hAnsiTheme="minorHAnsi" w:cstheme="minorHAnsi"/>
        </w:rPr>
        <w:t xml:space="preserve">Can traffic light nutritional labels induce healthier consumer choices? Experimental evidence from a developing country. </w:t>
      </w:r>
      <w:r w:rsidRPr="00DE68AB" w:rsidR="008F2F17">
        <w:rPr>
          <w:rFonts w:asciiTheme="minorHAnsi" w:hAnsiTheme="minorHAnsi" w:cstheme="minorHAnsi"/>
          <w:i/>
          <w:iCs/>
        </w:rPr>
        <w:t>International</w:t>
      </w:r>
      <w:r w:rsidRPr="00634704" w:rsidR="008F2F17">
        <w:rPr>
          <w:rFonts w:asciiTheme="minorHAnsi" w:hAnsiTheme="minorHAnsi" w:cstheme="minorHAnsi"/>
        </w:rPr>
        <w:t xml:space="preserve"> </w:t>
      </w:r>
      <w:r w:rsidRPr="00DE68AB" w:rsidR="0056116C">
        <w:rPr>
          <w:rFonts w:asciiTheme="minorHAnsi" w:hAnsiTheme="minorHAnsi" w:cstheme="minorHAnsi"/>
          <w:i/>
        </w:rPr>
        <w:t>Journal of Consumer Studies</w:t>
      </w:r>
      <w:r w:rsidRPr="00634704" w:rsidR="0056116C">
        <w:rPr>
          <w:rFonts w:asciiTheme="minorHAnsi" w:hAnsiTheme="minorHAnsi" w:cstheme="minorHAnsi"/>
        </w:rPr>
        <w:t xml:space="preserve">. </w:t>
      </w:r>
      <w:r w:rsidRPr="00634704" w:rsidR="0032541E">
        <w:rPr>
          <w:rFonts w:asciiTheme="minorHAnsi" w:hAnsiTheme="minorHAnsi" w:cstheme="minorHAnsi"/>
        </w:rPr>
        <w:t>44, 151-161</w:t>
      </w:r>
      <w:r w:rsidRPr="00634704" w:rsidR="0056116C">
        <w:rPr>
          <w:rFonts w:asciiTheme="minorHAnsi" w:hAnsiTheme="minorHAnsi" w:cstheme="minorHAnsi"/>
        </w:rPr>
        <w:t>.</w:t>
      </w:r>
    </w:p>
    <w:p w:rsidR="0032541E" w:rsidRPr="00634704" w:rsidP="00A1092A" w14:paraId="4121EA15" w14:textId="1C4771E9">
      <w:pPr>
        <w:pStyle w:val="EndNoteBibliography"/>
        <w:spacing w:after="0"/>
        <w:ind w:left="720" w:hanging="720"/>
        <w:rPr>
          <w:rFonts w:asciiTheme="minorHAnsi" w:hAnsiTheme="minorHAnsi" w:cstheme="minorHAnsi"/>
        </w:rPr>
      </w:pPr>
      <w:r w:rsidRPr="00634704">
        <w:rPr>
          <w:rFonts w:asciiTheme="minorHAnsi" w:hAnsiTheme="minorHAnsi" w:cstheme="minorHAnsi"/>
        </w:rPr>
        <w:tab/>
      </w:r>
      <w:r w:rsidRPr="00DE68AB" w:rsidR="007D5B68">
        <w:rPr>
          <w:rFonts w:asciiTheme="minorHAnsi" w:hAnsiTheme="minorHAnsi" w:cstheme="minorHAnsi"/>
          <w:shd w:val="clear" w:color="auto" w:fill="FFFFFF"/>
        </w:rPr>
        <w:t>https://doi.org/10.1111/ijcs.12554</w:t>
      </w:r>
    </w:p>
    <w:p w:rsidR="00500B49" w:rsidRPr="00634704" w:rsidP="00A1092A" w14:paraId="02045ADF" w14:textId="77777777">
      <w:pPr>
        <w:pStyle w:val="EndNoteBibliography"/>
        <w:spacing w:after="0"/>
        <w:ind w:left="720" w:hanging="720"/>
        <w:rPr>
          <w:rFonts w:asciiTheme="minorHAnsi" w:hAnsiTheme="minorHAnsi" w:cstheme="minorHAnsi"/>
        </w:rPr>
      </w:pPr>
    </w:p>
    <w:p w:rsidR="00480FCA" w:rsidRPr="00634704" w:rsidP="001859C7" w14:paraId="44EF6089"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Deliza, R., de Alcantarab, M., Pereirac</w:t>
      </w:r>
      <w:r w:rsidRPr="00634704" w:rsidR="002E6813">
        <w:rPr>
          <w:rFonts w:asciiTheme="minorHAnsi" w:hAnsiTheme="minorHAnsi" w:cstheme="minorHAnsi"/>
        </w:rPr>
        <w:t>, R.</w:t>
      </w:r>
      <w:r w:rsidRPr="00634704">
        <w:rPr>
          <w:rFonts w:asciiTheme="minorHAnsi" w:hAnsiTheme="minorHAnsi" w:cstheme="minorHAnsi"/>
        </w:rPr>
        <w:t xml:space="preserve">, </w:t>
      </w:r>
      <w:r w:rsidRPr="00634704" w:rsidR="002536C2">
        <w:rPr>
          <w:rFonts w:asciiTheme="minorHAnsi" w:hAnsiTheme="minorHAnsi" w:cstheme="minorHAnsi"/>
        </w:rPr>
        <w:t xml:space="preserve">&amp; </w:t>
      </w:r>
      <w:r w:rsidRPr="00634704">
        <w:rPr>
          <w:rFonts w:asciiTheme="minorHAnsi" w:hAnsiTheme="minorHAnsi" w:cstheme="minorHAnsi"/>
        </w:rPr>
        <w:t>Aresd</w:t>
      </w:r>
      <w:r w:rsidRPr="00634704" w:rsidR="002E6813">
        <w:rPr>
          <w:rFonts w:asciiTheme="minorHAnsi" w:hAnsiTheme="minorHAnsi" w:cstheme="minorHAnsi"/>
        </w:rPr>
        <w:t>, G. (</w:t>
      </w:r>
      <w:r w:rsidRPr="00634704" w:rsidR="00AF3093">
        <w:rPr>
          <w:rFonts w:asciiTheme="minorHAnsi" w:hAnsiTheme="minorHAnsi" w:cstheme="minorHAnsi"/>
        </w:rPr>
        <w:t xml:space="preserve">2019). </w:t>
      </w:r>
      <w:r w:rsidRPr="00634704" w:rsidR="00706286">
        <w:rPr>
          <w:rFonts w:asciiTheme="minorHAnsi" w:hAnsiTheme="minorHAnsi" w:cstheme="minorHAnsi"/>
        </w:rPr>
        <w:t xml:space="preserve">How do different warning signs compare with the guideline daily amount and traffic-light system? </w:t>
      </w:r>
      <w:r w:rsidRPr="00634704" w:rsidR="00706286">
        <w:rPr>
          <w:rFonts w:asciiTheme="minorHAnsi" w:hAnsiTheme="minorHAnsi" w:cstheme="minorHAnsi"/>
          <w:i/>
        </w:rPr>
        <w:t>Food Quality and Preference</w:t>
      </w:r>
      <w:r w:rsidRPr="00634704" w:rsidR="00706286">
        <w:rPr>
          <w:rFonts w:asciiTheme="minorHAnsi" w:hAnsiTheme="minorHAnsi" w:cstheme="minorHAnsi"/>
        </w:rPr>
        <w:t>, 80</w:t>
      </w:r>
      <w:r w:rsidRPr="00634704">
        <w:rPr>
          <w:rFonts w:asciiTheme="minorHAnsi" w:hAnsiTheme="minorHAnsi" w:cstheme="minorHAnsi"/>
        </w:rPr>
        <w:t xml:space="preserve">, </w:t>
      </w:r>
      <w:r w:rsidRPr="00634704">
        <w:rPr>
          <w:rFonts w:asciiTheme="minorHAnsi" w:hAnsiTheme="minorHAnsi" w:cstheme="minorHAnsi"/>
          <w:color w:val="1B1B1B"/>
          <w:shd w:val="clear" w:color="auto" w:fill="FFFFFF"/>
        </w:rPr>
        <w:t>103821</w:t>
      </w:r>
      <w:r w:rsidRPr="00634704" w:rsidR="00706286">
        <w:rPr>
          <w:rFonts w:asciiTheme="minorHAnsi" w:hAnsiTheme="minorHAnsi" w:cstheme="minorHAnsi"/>
        </w:rPr>
        <w:t xml:space="preserve">. </w:t>
      </w:r>
    </w:p>
    <w:p w:rsidR="001859C7" w:rsidRPr="00634704" w:rsidP="00DE68AB" w14:paraId="56908173" w14:textId="1267C6B4">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doi.org/10.1016/j.foodqual.2019.103821</w:t>
      </w:r>
    </w:p>
    <w:p w:rsidR="001F7B01" w:rsidRPr="00634704" w:rsidP="00A1092A" w14:paraId="135D7D0A" w14:textId="77777777">
      <w:pPr>
        <w:pStyle w:val="EndNoteBibliography"/>
        <w:spacing w:after="0"/>
        <w:ind w:left="720" w:hanging="720"/>
        <w:rPr>
          <w:rFonts w:asciiTheme="minorHAnsi" w:hAnsiTheme="minorHAnsi" w:cstheme="minorHAnsi"/>
        </w:rPr>
      </w:pPr>
    </w:p>
    <w:p w:rsidR="00BE7AEF" w:rsidRPr="00634704" w:rsidP="00BE7AEF" w14:paraId="421D25B0" w14:textId="0FD143FC">
      <w:pPr>
        <w:autoSpaceDE w:val="0"/>
        <w:autoSpaceDN w:val="0"/>
        <w:adjustRightInd w:val="0"/>
        <w:spacing w:after="0" w:line="240" w:lineRule="auto"/>
        <w:ind w:left="720" w:hanging="720"/>
        <w:rPr>
          <w:rFonts w:cstheme="minorHAnsi"/>
        </w:rPr>
      </w:pPr>
      <w:r w:rsidRPr="00634704">
        <w:rPr>
          <w:rFonts w:cstheme="minorHAnsi"/>
        </w:rPr>
        <w:t xml:space="preserve">Donini, L. M., Penzavecchia, C., Muzzioli, L., Poggiogalle, E., Giusti, A. M., Lenzi, A., &amp; Pinto, A. (2022). Efficacy of front-of-pack nutrition labels in improving health status. </w:t>
      </w:r>
      <w:r w:rsidRPr="00634704">
        <w:rPr>
          <w:rFonts w:cstheme="minorHAnsi"/>
          <w:i/>
        </w:rPr>
        <w:t>Nutrition</w:t>
      </w:r>
      <w:r w:rsidRPr="00634704">
        <w:rPr>
          <w:rFonts w:cstheme="minorHAnsi"/>
        </w:rPr>
        <w:t>,</w:t>
      </w:r>
      <w:r w:rsidRPr="00634704">
        <w:rPr>
          <w:rFonts w:cstheme="minorHAnsi"/>
          <w:i/>
        </w:rPr>
        <w:t xml:space="preserve"> 102</w:t>
      </w:r>
      <w:r w:rsidRPr="00634704">
        <w:rPr>
          <w:rFonts w:cstheme="minorHAnsi"/>
        </w:rPr>
        <w:t xml:space="preserve">, 111770. https://doi.org/10.1016/j.nut.2022.111770 </w:t>
      </w:r>
    </w:p>
    <w:p w:rsidR="00BE7AEF" w:rsidRPr="00634704" w:rsidP="00BE7AEF" w14:paraId="733BB5CA" w14:textId="77777777">
      <w:pPr>
        <w:autoSpaceDE w:val="0"/>
        <w:autoSpaceDN w:val="0"/>
        <w:adjustRightInd w:val="0"/>
        <w:spacing w:after="0" w:line="240" w:lineRule="auto"/>
        <w:ind w:left="720" w:hanging="720"/>
        <w:rPr>
          <w:rFonts w:cstheme="minorHAnsi"/>
        </w:rPr>
      </w:pPr>
    </w:p>
    <w:p w:rsidR="007715E1" w:rsidRPr="00634704" w:rsidP="00BE7AEF" w14:paraId="21AFC823" w14:textId="732081B6">
      <w:pPr>
        <w:autoSpaceDE w:val="0"/>
        <w:autoSpaceDN w:val="0"/>
        <w:adjustRightInd w:val="0"/>
        <w:spacing w:after="0" w:line="240" w:lineRule="auto"/>
        <w:ind w:left="720" w:hanging="720"/>
        <w:rPr>
          <w:rFonts w:cstheme="minorHAnsi"/>
        </w:rPr>
      </w:pPr>
      <w:r w:rsidRPr="00634704">
        <w:rPr>
          <w:rFonts w:cstheme="minorHAnsi"/>
        </w:rPr>
        <w:t xml:space="preserve">Dubois, P., Albuquerque, P., Allais, O., Bonnet, C., Bertail, P., Combris, P., Lahlou, S., Rigal, N., Ruffieux, B., &amp; Chandon, P. (2021). Effects of front-of-pack labels on the nutritional quality of supermarket food purchases: Evidence from a large-scale randomized controlled trial. </w:t>
      </w:r>
      <w:r w:rsidRPr="00634704">
        <w:rPr>
          <w:rFonts w:cstheme="minorHAnsi"/>
          <w:i/>
        </w:rPr>
        <w:t>Journal of the Academy of Marketing Science</w:t>
      </w:r>
      <w:r w:rsidRPr="00634704">
        <w:rPr>
          <w:rFonts w:cstheme="minorHAnsi"/>
        </w:rPr>
        <w:t>,</w:t>
      </w:r>
      <w:r w:rsidRPr="00634704">
        <w:rPr>
          <w:rFonts w:cstheme="minorHAnsi"/>
          <w:i/>
        </w:rPr>
        <w:t xml:space="preserve"> 49</w:t>
      </w:r>
      <w:r w:rsidRPr="00634704">
        <w:rPr>
          <w:rFonts w:cstheme="minorHAnsi"/>
        </w:rPr>
        <w:t xml:space="preserve">(1), 119-138. </w:t>
      </w:r>
    </w:p>
    <w:p w:rsidR="00BE7AEF" w:rsidRPr="00634704" w:rsidP="00DE68AB" w14:paraId="54B9F2F4" w14:textId="7BE9BCBA">
      <w:pPr>
        <w:autoSpaceDE w:val="0"/>
        <w:autoSpaceDN w:val="0"/>
        <w:adjustRightInd w:val="0"/>
        <w:spacing w:after="0" w:line="240" w:lineRule="auto"/>
        <w:ind w:left="720"/>
        <w:rPr>
          <w:rFonts w:cstheme="minorHAnsi"/>
        </w:rPr>
      </w:pPr>
      <w:r w:rsidRPr="00634704">
        <w:rPr>
          <w:rFonts w:cstheme="minorHAnsi"/>
        </w:rPr>
        <w:t xml:space="preserve">https://doi.org/10.1007/s11747-020-00723-5 </w:t>
      </w:r>
    </w:p>
    <w:p w:rsidR="00BE7AEF" w:rsidRPr="00634704" w:rsidP="00BE7AEF" w14:paraId="7CAA5C1E" w14:textId="77777777">
      <w:pPr>
        <w:pStyle w:val="EndNoteBibliography"/>
        <w:spacing w:after="0"/>
        <w:ind w:left="720" w:hanging="720"/>
        <w:rPr>
          <w:rFonts w:asciiTheme="minorHAnsi" w:hAnsiTheme="minorHAnsi" w:cstheme="minorHAnsi"/>
        </w:rPr>
      </w:pPr>
    </w:p>
    <w:p w:rsidR="00B86BC5" w:rsidRPr="00DE68AB" w:rsidP="00BE7AEF" w14:paraId="0CAB1603" w14:textId="50FA178B">
      <w:pPr>
        <w:pStyle w:val="EndNoteBibliography"/>
        <w:spacing w:after="0"/>
        <w:ind w:left="720" w:hanging="720"/>
        <w:rPr>
          <w:rFonts w:asciiTheme="minorHAnsi" w:hAnsiTheme="minorHAnsi" w:cstheme="minorHAnsi"/>
        </w:rPr>
      </w:pPr>
      <w:r w:rsidRPr="00DE68AB">
        <w:rPr>
          <w:rFonts w:asciiTheme="minorHAnsi" w:hAnsiTheme="minorHAnsi" w:cstheme="minorHAnsi"/>
        </w:rPr>
        <w:t xml:space="preserve">Ducrot, P., Julia, C., &amp; Serry, A.J. (2022). </w:t>
      </w:r>
      <w:r w:rsidRPr="00DE68AB" w:rsidR="004B6E26">
        <w:rPr>
          <w:rFonts w:asciiTheme="minorHAnsi" w:hAnsiTheme="minorHAnsi" w:cstheme="minorHAnsi"/>
        </w:rPr>
        <w:t>Nutri-Score</w:t>
      </w:r>
      <w:r w:rsidRPr="00DE68AB">
        <w:rPr>
          <w:rFonts w:asciiTheme="minorHAnsi" w:hAnsiTheme="minorHAnsi" w:cstheme="minorHAnsi"/>
        </w:rPr>
        <w:t xml:space="preserve">: Awareness, Perception and Self-Reported Impact on Food Choices among French Adolescents. </w:t>
      </w:r>
      <w:r w:rsidRPr="00DE68AB">
        <w:rPr>
          <w:rFonts w:asciiTheme="minorHAnsi" w:hAnsiTheme="minorHAnsi" w:cstheme="minorHAnsi"/>
          <w:i/>
        </w:rPr>
        <w:t>Nutrients</w:t>
      </w:r>
      <w:r w:rsidRPr="00DE68AB">
        <w:rPr>
          <w:rFonts w:asciiTheme="minorHAnsi" w:hAnsiTheme="minorHAnsi" w:cstheme="minorHAnsi"/>
        </w:rPr>
        <w:t>,</w:t>
      </w:r>
      <w:r w:rsidRPr="00DE68AB">
        <w:rPr>
          <w:rFonts w:asciiTheme="minorHAnsi" w:hAnsiTheme="minorHAnsi" w:cstheme="minorHAnsi"/>
          <w:i/>
        </w:rPr>
        <w:t xml:space="preserve"> 14</w:t>
      </w:r>
      <w:r w:rsidRPr="00DE68AB">
        <w:rPr>
          <w:rFonts w:asciiTheme="minorHAnsi" w:hAnsiTheme="minorHAnsi" w:cstheme="minorHAnsi"/>
        </w:rPr>
        <w:t xml:space="preserve">(15), 3119. </w:t>
      </w:r>
    </w:p>
    <w:p w:rsidR="00BE7AEF" w:rsidRPr="00DE68AB" w:rsidP="00DE68AB" w14:paraId="2E9CF72A" w14:textId="2565FF99">
      <w:pPr>
        <w:pStyle w:val="EndNoteBibliography"/>
        <w:spacing w:after="0"/>
        <w:ind w:left="720"/>
        <w:rPr>
          <w:rFonts w:asciiTheme="minorHAnsi" w:hAnsiTheme="minorHAnsi" w:cstheme="minorHAnsi"/>
        </w:rPr>
      </w:pPr>
      <w:r w:rsidRPr="00DE68AB">
        <w:rPr>
          <w:rFonts w:asciiTheme="minorHAnsi" w:hAnsiTheme="minorHAnsi" w:cstheme="minorHAnsi"/>
          <w:color w:val="222222"/>
          <w:shd w:val="clear" w:color="auto" w:fill="FFFFFF"/>
        </w:rPr>
        <w:t>https://doi.org/10.3390/nu14153119</w:t>
      </w:r>
    </w:p>
    <w:p w:rsidR="002D4DAC" w:rsidRPr="00DE68AB" w:rsidP="00C96F64" w14:paraId="00815634" w14:textId="77777777">
      <w:pPr>
        <w:pStyle w:val="EndNoteBibliography"/>
        <w:spacing w:after="0"/>
        <w:ind w:left="720" w:hanging="720"/>
        <w:rPr>
          <w:rFonts w:asciiTheme="minorHAnsi" w:hAnsiTheme="minorHAnsi" w:cstheme="minorHAnsi"/>
        </w:rPr>
      </w:pPr>
    </w:p>
    <w:p w:rsidR="00BF124E" w:rsidRPr="00634704" w:rsidP="00C96F64" w14:paraId="2241635D" w14:textId="550B4ABA">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Dukeshire, S., &amp; Nicks, E. (2017). Benchmarks and Blinders: How Canadian Women Utilize the Nutrition Facts Table. </w:t>
      </w:r>
      <w:r w:rsidRPr="00634704" w:rsidR="005538D3">
        <w:rPr>
          <w:rFonts w:asciiTheme="minorHAnsi" w:hAnsiTheme="minorHAnsi" w:cstheme="minorHAnsi"/>
          <w:color w:val="212121"/>
          <w:shd w:val="clear" w:color="auto" w:fill="FFFFFF"/>
        </w:rPr>
        <w:t> </w:t>
      </w:r>
      <w:r w:rsidRPr="00634704" w:rsidR="005538D3">
        <w:rPr>
          <w:rFonts w:asciiTheme="minorHAnsi" w:hAnsiTheme="minorHAnsi" w:cstheme="minorHAnsi"/>
          <w:i/>
          <w:iCs/>
          <w:color w:val="212121"/>
          <w:shd w:val="clear" w:color="auto" w:fill="FFFFFF"/>
        </w:rPr>
        <w:t>Canadian journal of dietetic practice and research</w:t>
      </w:r>
      <w:r w:rsidRPr="00634704">
        <w:rPr>
          <w:rFonts w:asciiTheme="minorHAnsi" w:hAnsiTheme="minorHAnsi" w:cstheme="minorHAnsi"/>
          <w:i/>
        </w:rPr>
        <w:t>, 78</w:t>
      </w:r>
      <w:r w:rsidRPr="00634704">
        <w:rPr>
          <w:rFonts w:asciiTheme="minorHAnsi" w:hAnsiTheme="minorHAnsi" w:cstheme="minorHAnsi"/>
        </w:rPr>
        <w:t xml:space="preserve">(2), 53-58. </w:t>
      </w:r>
    </w:p>
    <w:p w:rsidR="00A1092A" w:rsidRPr="00634704" w:rsidP="00DE68AB" w14:paraId="0BFF7C91" w14:textId="03F7BAA1">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doi:10.3148/cjdpr-2016-032</w:t>
      </w:r>
    </w:p>
    <w:p w:rsidR="00A1092A" w:rsidRPr="00634704" w:rsidP="00A1092A" w14:paraId="635A6ED6" w14:textId="77777777">
      <w:pPr>
        <w:pStyle w:val="EndNoteBibliography"/>
        <w:spacing w:after="0"/>
        <w:ind w:left="720" w:hanging="720"/>
        <w:rPr>
          <w:rFonts w:asciiTheme="minorHAnsi" w:hAnsiTheme="minorHAnsi" w:cstheme="minorHAnsi"/>
        </w:rPr>
      </w:pPr>
    </w:p>
    <w:p w:rsidR="00A1092A" w:rsidRPr="00634704" w:rsidP="00A1092A" w14:paraId="1F5AEF5F" w14:textId="608040DA">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Dunford, E. K., Poti, J. M., Xavier, D., Webster, J. L., &amp; Taillie, L. S. (2017). Color-Coded Front-of-Pack Nutrition Labels-An Option for US Packaged Foods? </w:t>
      </w:r>
      <w:r w:rsidRPr="00634704">
        <w:rPr>
          <w:rFonts w:asciiTheme="minorHAnsi" w:hAnsiTheme="minorHAnsi" w:cstheme="minorHAnsi"/>
          <w:i/>
        </w:rPr>
        <w:t>Nutrients, 9</w:t>
      </w:r>
      <w:r w:rsidRPr="00634704">
        <w:rPr>
          <w:rFonts w:asciiTheme="minorHAnsi" w:hAnsiTheme="minorHAnsi" w:cstheme="minorHAnsi"/>
        </w:rPr>
        <w:t xml:space="preserve">(5), 1-10. </w:t>
      </w:r>
      <w:r w:rsidRPr="00634704" w:rsidR="00BF124E">
        <w:rPr>
          <w:rFonts w:asciiTheme="minorHAnsi" w:hAnsiTheme="minorHAnsi" w:cstheme="minorHAnsi"/>
        </w:rPr>
        <w:t>https://</w:t>
      </w:r>
      <w:r w:rsidRPr="00634704">
        <w:rPr>
          <w:rFonts w:asciiTheme="minorHAnsi" w:hAnsiTheme="minorHAnsi" w:cstheme="minorHAnsi"/>
        </w:rPr>
        <w:t>doi:10.3390/nu9050480</w:t>
      </w:r>
    </w:p>
    <w:p w:rsidR="00A1092A" w:rsidRPr="00634704" w:rsidP="00A1092A" w14:paraId="7E9DCB00" w14:textId="77777777">
      <w:pPr>
        <w:pStyle w:val="EndNoteBibliography"/>
        <w:spacing w:after="0"/>
        <w:ind w:left="720" w:hanging="720"/>
        <w:rPr>
          <w:rFonts w:asciiTheme="minorHAnsi" w:hAnsiTheme="minorHAnsi" w:cstheme="minorHAnsi"/>
        </w:rPr>
      </w:pPr>
    </w:p>
    <w:p w:rsidR="0067273E" w:rsidRPr="00634704" w:rsidP="00A1092A" w14:paraId="650A1E78"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Dunford, E. K., Wu, J. H. Y., Wellard-Cole, L., Watson, W., Crino, M., Petersen, K., &amp; Neal, B. (2017). A comparison of the Health Star Rating system when used for restaurant fast foods and packaged foods. </w:t>
      </w:r>
      <w:r w:rsidRPr="00634704">
        <w:rPr>
          <w:rFonts w:asciiTheme="minorHAnsi" w:hAnsiTheme="minorHAnsi" w:cstheme="minorHAnsi"/>
          <w:i/>
        </w:rPr>
        <w:t>Appetite, 117</w:t>
      </w:r>
      <w:r w:rsidRPr="00634704">
        <w:rPr>
          <w:rFonts w:asciiTheme="minorHAnsi" w:hAnsiTheme="minorHAnsi" w:cstheme="minorHAnsi"/>
        </w:rPr>
        <w:t xml:space="preserve">, 1-8. </w:t>
      </w:r>
    </w:p>
    <w:p w:rsidR="00A1092A" w:rsidRPr="00634704" w:rsidP="00DE68AB" w14:paraId="0681C7BF" w14:textId="3E7629F1">
      <w:pPr>
        <w:pStyle w:val="EndNoteBibliography"/>
        <w:spacing w:after="0"/>
        <w:ind w:left="720"/>
        <w:rPr>
          <w:rFonts w:asciiTheme="minorHAnsi" w:hAnsiTheme="minorHAnsi" w:cstheme="minorHAnsi"/>
        </w:rPr>
      </w:pPr>
      <w:r w:rsidRPr="00DE68AB">
        <w:rPr>
          <w:rFonts w:asciiTheme="minorHAnsi" w:hAnsiTheme="minorHAnsi" w:cstheme="minorHAnsi"/>
        </w:rPr>
        <w:t>https://</w:t>
      </w:r>
      <w:r w:rsidRPr="00DE68AB">
        <w:rPr>
          <w:rFonts w:asciiTheme="minorHAnsi" w:hAnsiTheme="minorHAnsi" w:cstheme="minorHAnsi"/>
        </w:rPr>
        <w:t>doi:10.1016/j.appet.2017.06.005</w:t>
      </w:r>
    </w:p>
    <w:p w:rsidR="00A1092A" w:rsidRPr="00634704" w:rsidP="00A1092A" w14:paraId="3BD8B0E5" w14:textId="77777777">
      <w:pPr>
        <w:pStyle w:val="EndNoteBibliography"/>
        <w:spacing w:after="0"/>
        <w:ind w:left="720" w:hanging="720"/>
        <w:rPr>
          <w:rFonts w:asciiTheme="minorHAnsi" w:hAnsiTheme="minorHAnsi" w:cstheme="minorHAnsi"/>
        </w:rPr>
      </w:pPr>
    </w:p>
    <w:p w:rsidR="00955229" w:rsidRPr="00634704" w:rsidP="0084352E" w14:paraId="0E12FBEB" w14:textId="2D3E999D">
      <w:pPr>
        <w:autoSpaceDE w:val="0"/>
        <w:autoSpaceDN w:val="0"/>
        <w:adjustRightInd w:val="0"/>
        <w:spacing w:after="0"/>
        <w:ind w:left="720" w:hanging="720"/>
        <w:rPr>
          <w:rFonts w:cstheme="minorHAnsi"/>
        </w:rPr>
      </w:pPr>
      <w:r w:rsidRPr="00634704">
        <w:rPr>
          <w:rFonts w:cstheme="minorHAnsi"/>
        </w:rPr>
        <w:t xml:space="preserve">Egnell, M., Boutron, </w:t>
      </w:r>
      <w:r w:rsidRPr="00634704" w:rsidR="0043353F">
        <w:rPr>
          <w:rFonts w:cstheme="minorHAnsi"/>
        </w:rPr>
        <w:t xml:space="preserve">I., </w:t>
      </w:r>
      <w:r w:rsidRPr="00634704">
        <w:rPr>
          <w:rFonts w:cstheme="minorHAnsi"/>
        </w:rPr>
        <w:t>Péneau,</w:t>
      </w:r>
      <w:r w:rsidRPr="00634704" w:rsidR="0043353F">
        <w:rPr>
          <w:rFonts w:cstheme="minorHAnsi"/>
        </w:rPr>
        <w:t xml:space="preserve"> S.,</w:t>
      </w:r>
      <w:r w:rsidRPr="00634704">
        <w:rPr>
          <w:rFonts w:cstheme="minorHAnsi"/>
        </w:rPr>
        <w:t xml:space="preserve"> Ducrot,</w:t>
      </w:r>
      <w:r w:rsidRPr="00634704" w:rsidR="0043353F">
        <w:rPr>
          <w:rFonts w:cstheme="minorHAnsi"/>
        </w:rPr>
        <w:t xml:space="preserve"> P., </w:t>
      </w:r>
      <w:r w:rsidRPr="00634704">
        <w:rPr>
          <w:rFonts w:cstheme="minorHAnsi"/>
        </w:rPr>
        <w:t xml:space="preserve">Touvier, </w:t>
      </w:r>
      <w:r w:rsidRPr="00634704" w:rsidR="0043353F">
        <w:rPr>
          <w:rFonts w:cstheme="minorHAnsi"/>
        </w:rPr>
        <w:t xml:space="preserve">M., </w:t>
      </w:r>
      <w:r w:rsidRPr="00634704">
        <w:rPr>
          <w:rFonts w:cstheme="minorHAnsi"/>
        </w:rPr>
        <w:t>Galan,</w:t>
      </w:r>
      <w:r w:rsidRPr="00634704" w:rsidR="0043353F">
        <w:rPr>
          <w:rFonts w:cstheme="minorHAnsi"/>
        </w:rPr>
        <w:t xml:space="preserve"> P., </w:t>
      </w:r>
      <w:r w:rsidRPr="00634704">
        <w:rPr>
          <w:rFonts w:cstheme="minorHAnsi"/>
        </w:rPr>
        <w:t xml:space="preserve">Buscail, </w:t>
      </w:r>
      <w:r w:rsidRPr="00634704" w:rsidR="0043353F">
        <w:rPr>
          <w:rFonts w:cstheme="minorHAnsi"/>
        </w:rPr>
        <w:t xml:space="preserve">C., </w:t>
      </w:r>
      <w:r w:rsidRPr="00634704">
        <w:rPr>
          <w:rFonts w:cstheme="minorHAnsi"/>
        </w:rPr>
        <w:t xml:space="preserve">MD, PhD, el Porcher, </w:t>
      </w:r>
      <w:r w:rsidRPr="00634704" w:rsidR="0043353F">
        <w:rPr>
          <w:rFonts w:cstheme="minorHAnsi"/>
        </w:rPr>
        <w:t xml:space="preserve">R., </w:t>
      </w:r>
      <w:r w:rsidRPr="00634704">
        <w:rPr>
          <w:rFonts w:cstheme="minorHAnsi"/>
        </w:rPr>
        <w:t xml:space="preserve">Ravaud, </w:t>
      </w:r>
      <w:r w:rsidRPr="00634704" w:rsidR="0043353F">
        <w:rPr>
          <w:rFonts w:cstheme="minorHAnsi"/>
        </w:rPr>
        <w:t xml:space="preserve">P., </w:t>
      </w:r>
      <w:r w:rsidRPr="00634704">
        <w:rPr>
          <w:rFonts w:cstheme="minorHAnsi"/>
        </w:rPr>
        <w:t xml:space="preserve">Hercberg, </w:t>
      </w:r>
      <w:r w:rsidRPr="00634704" w:rsidR="0043353F">
        <w:rPr>
          <w:rFonts w:cstheme="minorHAnsi"/>
        </w:rPr>
        <w:t xml:space="preserve">S., </w:t>
      </w:r>
      <w:r w:rsidRPr="00634704">
        <w:rPr>
          <w:rFonts w:cstheme="minorHAnsi"/>
        </w:rPr>
        <w:t>Kesse-Guyot,</w:t>
      </w:r>
      <w:r w:rsidRPr="00634704" w:rsidR="003C2606">
        <w:rPr>
          <w:rFonts w:cstheme="minorHAnsi"/>
        </w:rPr>
        <w:t xml:space="preserve"> E.,</w:t>
      </w:r>
      <w:r w:rsidRPr="00634704" w:rsidR="00621EBB">
        <w:rPr>
          <w:rFonts w:cstheme="minorHAnsi"/>
        </w:rPr>
        <w:t xml:space="preserve"> &amp;</w:t>
      </w:r>
      <w:r w:rsidRPr="00634704">
        <w:rPr>
          <w:rFonts w:cstheme="minorHAnsi"/>
        </w:rPr>
        <w:t xml:space="preserve"> Julia, </w:t>
      </w:r>
      <w:r w:rsidRPr="00634704" w:rsidR="003C2606">
        <w:rPr>
          <w:rFonts w:cstheme="minorHAnsi"/>
        </w:rPr>
        <w:t>C. (2019)</w:t>
      </w:r>
      <w:r w:rsidRPr="00634704" w:rsidR="0067273E">
        <w:rPr>
          <w:rFonts w:cstheme="minorHAnsi"/>
        </w:rPr>
        <w:t>.</w:t>
      </w:r>
      <w:r w:rsidRPr="00634704" w:rsidR="003C2606">
        <w:rPr>
          <w:rFonts w:cstheme="minorHAnsi"/>
        </w:rPr>
        <w:t xml:space="preserve"> </w:t>
      </w:r>
      <w:r w:rsidRPr="00634704" w:rsidR="008C3124">
        <w:rPr>
          <w:rFonts w:cstheme="minorHAnsi"/>
        </w:rPr>
        <w:t xml:space="preserve">Front-of-Pack Labeling and the Nutritional Quality of Students’ Food Purchases: A 3-Arm Randomized Controlled Trial. </w:t>
      </w:r>
      <w:r w:rsidRPr="00634704" w:rsidR="00D13430">
        <w:rPr>
          <w:rFonts w:cstheme="minorHAnsi"/>
          <w:i/>
        </w:rPr>
        <w:t>American Journal of Public Health</w:t>
      </w:r>
      <w:r w:rsidRPr="00634704" w:rsidR="00D13430">
        <w:rPr>
          <w:rFonts w:cstheme="minorHAnsi"/>
        </w:rPr>
        <w:t>, 109</w:t>
      </w:r>
      <w:r w:rsidRPr="00634704" w:rsidR="00AA7B2A">
        <w:rPr>
          <w:rFonts w:cstheme="minorHAnsi"/>
        </w:rPr>
        <w:t xml:space="preserve">, </w:t>
      </w:r>
      <w:r w:rsidRPr="00634704" w:rsidR="00D13430">
        <w:rPr>
          <w:rFonts w:cstheme="minorHAnsi"/>
        </w:rPr>
        <w:t xml:space="preserve">1122–1129. </w:t>
      </w:r>
    </w:p>
    <w:p w:rsidR="0084352E" w:rsidRPr="00634704" w:rsidP="00DE68AB" w14:paraId="5A702842" w14:textId="41F4F37B">
      <w:pPr>
        <w:autoSpaceDE w:val="0"/>
        <w:autoSpaceDN w:val="0"/>
        <w:adjustRightInd w:val="0"/>
        <w:spacing w:after="0"/>
        <w:ind w:left="720"/>
        <w:rPr>
          <w:rFonts w:cstheme="minorHAnsi"/>
        </w:rPr>
      </w:pPr>
      <w:r w:rsidRPr="00634704">
        <w:rPr>
          <w:rFonts w:cstheme="minorHAnsi"/>
        </w:rPr>
        <w:t>https://</w:t>
      </w:r>
      <w:r w:rsidRPr="00634704" w:rsidR="00D13430">
        <w:rPr>
          <w:rFonts w:cstheme="minorHAnsi"/>
        </w:rPr>
        <w:t>doi:10.2105/AJPH.2019.305115</w:t>
      </w:r>
    </w:p>
    <w:p w:rsidR="00111638" w:rsidRPr="00634704" w:rsidP="0084352E" w14:paraId="701E539C" w14:textId="77777777">
      <w:pPr>
        <w:autoSpaceDE w:val="0"/>
        <w:autoSpaceDN w:val="0"/>
        <w:adjustRightInd w:val="0"/>
        <w:spacing w:after="0"/>
        <w:ind w:left="720" w:hanging="720"/>
        <w:rPr>
          <w:rFonts w:cstheme="minorHAnsi"/>
        </w:rPr>
      </w:pPr>
    </w:p>
    <w:p w:rsidR="00E55C7F" w:rsidRPr="00634704" w:rsidP="0084352E" w14:paraId="4FC74499" w14:textId="6B3F618F">
      <w:pPr>
        <w:autoSpaceDE w:val="0"/>
        <w:autoSpaceDN w:val="0"/>
        <w:adjustRightInd w:val="0"/>
        <w:spacing w:after="0"/>
        <w:ind w:left="720" w:hanging="720"/>
        <w:rPr>
          <w:rFonts w:cstheme="minorHAnsi"/>
        </w:rPr>
      </w:pPr>
      <w:r w:rsidRPr="00634704">
        <w:rPr>
          <w:rFonts w:cstheme="minorHAnsi"/>
        </w:rPr>
        <w:t>Egnell</w:t>
      </w:r>
      <w:r w:rsidRPr="00634704" w:rsidR="00621EBB">
        <w:rPr>
          <w:rFonts w:cstheme="minorHAnsi"/>
        </w:rPr>
        <w:t>, M.</w:t>
      </w:r>
      <w:r w:rsidRPr="00634704">
        <w:rPr>
          <w:rFonts w:cstheme="minorHAnsi"/>
        </w:rPr>
        <w:t>, Crosetto</w:t>
      </w:r>
      <w:r w:rsidRPr="00634704" w:rsidR="00621EBB">
        <w:rPr>
          <w:rFonts w:cstheme="minorHAnsi"/>
        </w:rPr>
        <w:t>, P.</w:t>
      </w:r>
      <w:r w:rsidRPr="00634704">
        <w:rPr>
          <w:rFonts w:cstheme="minorHAnsi"/>
        </w:rPr>
        <w:t>, d’Almeida</w:t>
      </w:r>
      <w:r w:rsidRPr="00634704" w:rsidR="00621EBB">
        <w:rPr>
          <w:rFonts w:cstheme="minorHAnsi"/>
        </w:rPr>
        <w:t>, T.</w:t>
      </w:r>
      <w:r w:rsidRPr="00634704">
        <w:rPr>
          <w:rFonts w:cstheme="minorHAnsi"/>
        </w:rPr>
        <w:t>, Kesse-Guyot</w:t>
      </w:r>
      <w:r w:rsidRPr="00634704" w:rsidR="00621EBB">
        <w:rPr>
          <w:rFonts w:cstheme="minorHAnsi"/>
        </w:rPr>
        <w:t>, E.</w:t>
      </w:r>
      <w:r w:rsidRPr="00634704">
        <w:rPr>
          <w:rFonts w:cstheme="minorHAnsi"/>
        </w:rPr>
        <w:t>, Touvier</w:t>
      </w:r>
      <w:r w:rsidRPr="00634704" w:rsidR="00621EBB">
        <w:rPr>
          <w:rFonts w:cstheme="minorHAnsi"/>
        </w:rPr>
        <w:t>, M.</w:t>
      </w:r>
      <w:r w:rsidRPr="00634704">
        <w:rPr>
          <w:rFonts w:cstheme="minorHAnsi"/>
        </w:rPr>
        <w:t>, Ruffieux</w:t>
      </w:r>
      <w:r w:rsidRPr="00634704" w:rsidR="00621EBB">
        <w:rPr>
          <w:rFonts w:cstheme="minorHAnsi"/>
        </w:rPr>
        <w:t>, M.</w:t>
      </w:r>
      <w:r w:rsidRPr="00634704">
        <w:rPr>
          <w:rFonts w:cstheme="minorHAnsi"/>
        </w:rPr>
        <w:t>, Hercberg,</w:t>
      </w:r>
      <w:r w:rsidRPr="00634704" w:rsidR="00621EBB">
        <w:rPr>
          <w:rFonts w:cstheme="minorHAnsi"/>
        </w:rPr>
        <w:t xml:space="preserve"> S.,</w:t>
      </w:r>
      <w:r w:rsidRPr="00634704">
        <w:rPr>
          <w:rFonts w:cstheme="minorHAnsi"/>
        </w:rPr>
        <w:t xml:space="preserve"> Muller</w:t>
      </w:r>
      <w:r w:rsidRPr="00634704" w:rsidR="00621EBB">
        <w:rPr>
          <w:rFonts w:cstheme="minorHAnsi"/>
        </w:rPr>
        <w:t>, L., &amp;</w:t>
      </w:r>
      <w:r w:rsidRPr="00634704">
        <w:rPr>
          <w:rFonts w:cstheme="minorHAnsi"/>
        </w:rPr>
        <w:t xml:space="preserve"> Chantal</w:t>
      </w:r>
      <w:r w:rsidRPr="00634704" w:rsidR="00FE5198">
        <w:rPr>
          <w:rFonts w:cstheme="minorHAnsi"/>
        </w:rPr>
        <w:t>, J. (2019</w:t>
      </w:r>
      <w:r w:rsidRPr="00634704" w:rsidR="00B10E78">
        <w:rPr>
          <w:rFonts w:cstheme="minorHAnsi"/>
        </w:rPr>
        <w:t xml:space="preserve">) </w:t>
      </w:r>
      <w:r w:rsidRPr="00634704" w:rsidR="00DD7486">
        <w:rPr>
          <w:rFonts w:cstheme="minorHAnsi"/>
        </w:rPr>
        <w:t>Modelling the impact of different front-of</w:t>
      </w:r>
      <w:r w:rsidR="007F0C88">
        <w:rPr>
          <w:rFonts w:cstheme="minorHAnsi"/>
        </w:rPr>
        <w:t>-</w:t>
      </w:r>
      <w:r w:rsidRPr="00634704" w:rsidR="00DD7486">
        <w:rPr>
          <w:rFonts w:cstheme="minorHAnsi"/>
        </w:rPr>
        <w:t xml:space="preserve">package nutrition labels on mortality from non-communicable chronic disease. </w:t>
      </w:r>
      <w:r w:rsidRPr="00634704" w:rsidR="00B10E78">
        <w:rPr>
          <w:rFonts w:cstheme="minorHAnsi"/>
          <w:i/>
        </w:rPr>
        <w:t>International Journal of Behavioral Nutrition and Physical Activity</w:t>
      </w:r>
      <w:r w:rsidRPr="00634704" w:rsidR="00B10E78">
        <w:rPr>
          <w:rFonts w:cstheme="minorHAnsi"/>
        </w:rPr>
        <w:t>, 16</w:t>
      </w:r>
      <w:r w:rsidRPr="00634704" w:rsidR="00AA7B2A">
        <w:rPr>
          <w:rFonts w:cstheme="minorHAnsi"/>
        </w:rPr>
        <w:t xml:space="preserve">, </w:t>
      </w:r>
      <w:r w:rsidRPr="00634704" w:rsidR="00B10E78">
        <w:rPr>
          <w:rFonts w:cstheme="minorHAnsi"/>
        </w:rPr>
        <w:t>56</w:t>
      </w:r>
      <w:r w:rsidRPr="00634704" w:rsidR="00AA7B2A">
        <w:rPr>
          <w:rFonts w:cstheme="minorHAnsi"/>
        </w:rPr>
        <w:t>.</w:t>
      </w:r>
      <w:r w:rsidRPr="00634704" w:rsidR="00B10E78">
        <w:rPr>
          <w:rFonts w:cstheme="minorHAnsi"/>
        </w:rPr>
        <w:t xml:space="preserve"> </w:t>
      </w:r>
    </w:p>
    <w:p w:rsidR="00111638" w:rsidRPr="00634704" w:rsidP="00DE68AB" w14:paraId="33A4C62D" w14:textId="0B3D8BD3">
      <w:pPr>
        <w:autoSpaceDE w:val="0"/>
        <w:autoSpaceDN w:val="0"/>
        <w:adjustRightInd w:val="0"/>
        <w:spacing w:after="0"/>
        <w:ind w:left="720"/>
        <w:rPr>
          <w:rFonts w:cstheme="minorHAnsi"/>
        </w:rPr>
      </w:pPr>
      <w:r w:rsidRPr="00634704">
        <w:rPr>
          <w:rFonts w:cstheme="minorHAnsi"/>
        </w:rPr>
        <w:t>https://</w:t>
      </w:r>
      <w:r w:rsidRPr="00634704" w:rsidR="00B10E78">
        <w:rPr>
          <w:rFonts w:cstheme="minorHAnsi"/>
        </w:rPr>
        <w:t>doi.org/10.1186/s12966-019-0817-2</w:t>
      </w:r>
    </w:p>
    <w:p w:rsidR="008A3EB0" w:rsidRPr="00634704" w:rsidP="0084352E" w14:paraId="1E5C7106" w14:textId="77777777">
      <w:pPr>
        <w:autoSpaceDE w:val="0"/>
        <w:autoSpaceDN w:val="0"/>
        <w:adjustRightInd w:val="0"/>
        <w:spacing w:after="0"/>
        <w:ind w:left="720" w:hanging="720"/>
        <w:rPr>
          <w:rFonts w:cstheme="minorHAnsi"/>
        </w:rPr>
      </w:pPr>
    </w:p>
    <w:p w:rsidR="00CC0C9D" w:rsidRPr="00634704" w:rsidP="00CC0C9D" w14:paraId="229969A5" w14:textId="1B843D91">
      <w:pPr>
        <w:autoSpaceDE w:val="0"/>
        <w:autoSpaceDN w:val="0"/>
        <w:adjustRightInd w:val="0"/>
        <w:spacing w:after="0"/>
        <w:ind w:left="720" w:hanging="720"/>
        <w:rPr>
          <w:rFonts w:cstheme="minorHAnsi"/>
        </w:rPr>
      </w:pPr>
      <w:r w:rsidRPr="00634704">
        <w:rPr>
          <w:rFonts w:cstheme="minorHAnsi"/>
        </w:rPr>
        <w:t xml:space="preserve">Egnell, M., Ducrot, P., Touvier, M., Alles, B., Hercberg, S. Kesse-Guyot, E. </w:t>
      </w:r>
      <w:r w:rsidRPr="00634704" w:rsidR="00E55C7F">
        <w:rPr>
          <w:rFonts w:cstheme="minorHAnsi"/>
        </w:rPr>
        <w:t xml:space="preserve">&amp; </w:t>
      </w:r>
      <w:r w:rsidRPr="00634704">
        <w:rPr>
          <w:rFonts w:cstheme="minorHAnsi"/>
        </w:rPr>
        <w:t>Julia, C. (2018)</w:t>
      </w:r>
      <w:r w:rsidRPr="00634704" w:rsidR="00E55C7F">
        <w:rPr>
          <w:rFonts w:cstheme="minorHAnsi"/>
        </w:rPr>
        <w:t>.</w:t>
      </w:r>
      <w:r w:rsidRPr="00634704">
        <w:rPr>
          <w:rFonts w:cstheme="minorHAnsi"/>
        </w:rPr>
        <w:t xml:space="preserve"> Objective understanding of </w:t>
      </w:r>
      <w:r w:rsidRPr="00634704" w:rsidR="004B6E26">
        <w:rPr>
          <w:rFonts w:cstheme="minorHAnsi"/>
        </w:rPr>
        <w:t>Nutri-Score</w:t>
      </w:r>
      <w:r w:rsidRPr="00634704">
        <w:rPr>
          <w:rFonts w:cstheme="minorHAnsi"/>
        </w:rPr>
        <w:t xml:space="preserve"> Front-Of-Package nutrition label according to individual characteristics of subjects: Comparisons with other format labels. </w:t>
      </w:r>
      <w:r w:rsidRPr="00634704">
        <w:rPr>
          <w:rFonts w:cstheme="minorHAnsi"/>
          <w:i/>
        </w:rPr>
        <w:t>PLoS One</w:t>
      </w:r>
      <w:r w:rsidRPr="00634704">
        <w:rPr>
          <w:rFonts w:cstheme="minorHAnsi"/>
        </w:rPr>
        <w:t>, 2018. 13(8)</w:t>
      </w:r>
      <w:r w:rsidRPr="00634704" w:rsidR="00AA7B2A">
        <w:rPr>
          <w:rFonts w:cstheme="minorHAnsi"/>
        </w:rPr>
        <w:t>,</w:t>
      </w:r>
      <w:r w:rsidRPr="00634704">
        <w:rPr>
          <w:rFonts w:cstheme="minorHAnsi"/>
        </w:rPr>
        <w:t xml:space="preserve"> e0202095.</w:t>
      </w:r>
    </w:p>
    <w:p w:rsidR="00AA7B2A" w:rsidRPr="00634704" w:rsidP="00CC0C9D" w14:paraId="79A210E3" w14:textId="11EDC7CF">
      <w:pPr>
        <w:autoSpaceDE w:val="0"/>
        <w:autoSpaceDN w:val="0"/>
        <w:adjustRightInd w:val="0"/>
        <w:spacing w:after="0"/>
        <w:ind w:left="720" w:hanging="720"/>
        <w:rPr>
          <w:rFonts w:cstheme="minorHAnsi"/>
        </w:rPr>
      </w:pPr>
      <w:r w:rsidRPr="00634704">
        <w:rPr>
          <w:rFonts w:cstheme="minorHAnsi"/>
        </w:rPr>
        <w:tab/>
      </w:r>
      <w:r w:rsidRPr="00634704">
        <w:rPr>
          <w:rFonts w:cstheme="minorHAnsi"/>
          <w:color w:val="212121"/>
          <w:shd w:val="clear" w:color="auto" w:fill="FFFFFF"/>
        </w:rPr>
        <w:t>https://doi:10.1371/journal.pone.0202095</w:t>
      </w:r>
    </w:p>
    <w:p w:rsidR="00CC0C9D" w:rsidRPr="00634704" w:rsidP="0084352E" w14:paraId="4E932E3A" w14:textId="77777777">
      <w:pPr>
        <w:autoSpaceDE w:val="0"/>
        <w:autoSpaceDN w:val="0"/>
        <w:adjustRightInd w:val="0"/>
        <w:spacing w:after="0"/>
        <w:ind w:left="720" w:hanging="720"/>
        <w:rPr>
          <w:rFonts w:cstheme="minorHAnsi"/>
        </w:rPr>
      </w:pPr>
    </w:p>
    <w:p w:rsidR="003D140E" w:rsidRPr="00634704" w:rsidP="0084352E" w14:paraId="467A7A0C" w14:textId="3B3AAB75">
      <w:pPr>
        <w:autoSpaceDE w:val="0"/>
        <w:autoSpaceDN w:val="0"/>
        <w:adjustRightInd w:val="0"/>
        <w:spacing w:after="0"/>
        <w:ind w:left="720" w:hanging="720"/>
        <w:rPr>
          <w:rFonts w:cstheme="minorHAnsi"/>
        </w:rPr>
      </w:pPr>
      <w:r w:rsidRPr="00634704">
        <w:rPr>
          <w:rFonts w:cstheme="minorHAnsi"/>
        </w:rPr>
        <w:t xml:space="preserve">Egnell, M., Galan, P., Farpour-Lambert, N., Talati, Z., Pettigrew, S., Hercberg, S., Julia, C. </w:t>
      </w:r>
      <w:r w:rsidRPr="00634704" w:rsidR="00462F2C">
        <w:rPr>
          <w:rFonts w:cstheme="minorHAnsi"/>
        </w:rPr>
        <w:t xml:space="preserve">(2020). </w:t>
      </w:r>
      <w:r w:rsidRPr="00634704" w:rsidR="00466918">
        <w:rPr>
          <w:rFonts w:cstheme="minorHAnsi"/>
        </w:rPr>
        <w:t xml:space="preserve">Compared to other front-of-pack nutrition labels, the </w:t>
      </w:r>
      <w:r w:rsidRPr="00634704" w:rsidR="004B6E26">
        <w:rPr>
          <w:rFonts w:cstheme="minorHAnsi"/>
        </w:rPr>
        <w:t>Nutri-Score</w:t>
      </w:r>
      <w:r w:rsidRPr="00634704" w:rsidR="00466918">
        <w:rPr>
          <w:rFonts w:cstheme="minorHAnsi"/>
        </w:rPr>
        <w:t xml:space="preserve"> emerged as the most efficient to inform Swiss consumers on the nutritional quality of food products. PLoS ONE 15(2)</w:t>
      </w:r>
      <w:r w:rsidRPr="00634704" w:rsidR="00AA7B2A">
        <w:rPr>
          <w:rFonts w:cstheme="minorHAnsi"/>
        </w:rPr>
        <w:t>,</w:t>
      </w:r>
      <w:r w:rsidRPr="00634704" w:rsidR="00466918">
        <w:rPr>
          <w:rFonts w:cstheme="minorHAnsi"/>
        </w:rPr>
        <w:t xml:space="preserve"> e0228179. </w:t>
      </w:r>
    </w:p>
    <w:p w:rsidR="008A3EB0" w:rsidRPr="00634704" w:rsidP="00DE68AB" w14:paraId="5D579874" w14:textId="5DFD39E2">
      <w:pPr>
        <w:autoSpaceDE w:val="0"/>
        <w:autoSpaceDN w:val="0"/>
        <w:adjustRightInd w:val="0"/>
        <w:spacing w:after="0"/>
        <w:ind w:left="720"/>
        <w:rPr>
          <w:rFonts w:cstheme="minorHAnsi"/>
        </w:rPr>
      </w:pPr>
      <w:r w:rsidRPr="00634704">
        <w:rPr>
          <w:rFonts w:cstheme="minorHAnsi"/>
        </w:rPr>
        <w:t>https://</w:t>
      </w:r>
      <w:r w:rsidRPr="00634704" w:rsidR="00466918">
        <w:rPr>
          <w:rFonts w:cstheme="minorHAnsi"/>
        </w:rPr>
        <w:t>doi.org/10.1371/journal.pone.0228179</w:t>
      </w:r>
    </w:p>
    <w:p w:rsidR="00E621B2" w:rsidRPr="00634704" w:rsidP="00CC0C9D" w14:paraId="5028C455" w14:textId="77777777">
      <w:pPr>
        <w:autoSpaceDE w:val="0"/>
        <w:autoSpaceDN w:val="0"/>
        <w:adjustRightInd w:val="0"/>
        <w:spacing w:after="0"/>
        <w:rPr>
          <w:rFonts w:cstheme="minorHAnsi"/>
        </w:rPr>
      </w:pPr>
    </w:p>
    <w:p w:rsidR="000B292A" w:rsidRPr="00634704" w:rsidP="00AE6B9E" w14:paraId="7DD053D5" w14:textId="5E101DDD">
      <w:pPr>
        <w:autoSpaceDE w:val="0"/>
        <w:autoSpaceDN w:val="0"/>
        <w:adjustRightInd w:val="0"/>
        <w:spacing w:after="0"/>
        <w:ind w:left="720" w:hanging="720"/>
        <w:rPr>
          <w:rFonts w:cstheme="minorHAnsi"/>
        </w:rPr>
      </w:pPr>
      <w:r w:rsidRPr="00634704">
        <w:rPr>
          <w:rFonts w:cstheme="minorHAnsi"/>
        </w:rPr>
        <w:t xml:space="preserve">Egnell, M., Galan, P., Fialon, M., Touvier, M., Péneau, S., Kesse-Guyot, E., Hercberg, S., </w:t>
      </w:r>
      <w:r w:rsidRPr="00634704">
        <w:rPr>
          <w:rFonts w:cstheme="minorHAnsi"/>
        </w:rPr>
        <w:t>&amp;  Julia</w:t>
      </w:r>
      <w:r w:rsidRPr="00634704">
        <w:rPr>
          <w:rFonts w:cstheme="minorHAnsi"/>
        </w:rPr>
        <w:t>, C. (2021)</w:t>
      </w:r>
      <w:r w:rsidRPr="00634704" w:rsidR="00AA7B2A">
        <w:rPr>
          <w:rFonts w:cstheme="minorHAnsi"/>
        </w:rPr>
        <w:t>.</w:t>
      </w:r>
      <w:r w:rsidRPr="00634704" w:rsidR="00EF6269">
        <w:rPr>
          <w:rFonts w:cstheme="minorHAnsi"/>
        </w:rPr>
        <w:t xml:space="preserve"> The impact of the </w:t>
      </w:r>
      <w:r w:rsidRPr="00634704" w:rsidR="004B6E26">
        <w:rPr>
          <w:rFonts w:cstheme="minorHAnsi"/>
        </w:rPr>
        <w:t>Nutri-Score</w:t>
      </w:r>
      <w:r w:rsidRPr="00634704" w:rsidR="00EF6269">
        <w:rPr>
          <w:rFonts w:cstheme="minorHAnsi"/>
        </w:rPr>
        <w:t xml:space="preserve"> front-of-pack nutrition label on purchasing intentions of unprocessed and processed foods: posthoc analyses from three randomized controlled trials.</w:t>
      </w:r>
      <w:r w:rsidRPr="00634704" w:rsidR="00AE6B9E">
        <w:rPr>
          <w:rFonts w:cstheme="minorHAnsi"/>
        </w:rPr>
        <w:t xml:space="preserve"> </w:t>
      </w:r>
      <w:r w:rsidRPr="00634704" w:rsidR="00AE6B9E">
        <w:rPr>
          <w:rFonts w:cstheme="minorHAnsi"/>
          <w:i/>
        </w:rPr>
        <w:t>International Journal of Behavioral Nutrition and Physical Activity</w:t>
      </w:r>
      <w:r w:rsidRPr="00634704" w:rsidR="00AE6B9E">
        <w:rPr>
          <w:rFonts w:cstheme="minorHAnsi"/>
        </w:rPr>
        <w:t>, 18</w:t>
      </w:r>
      <w:r w:rsidRPr="00634704" w:rsidR="00AA7B2A">
        <w:rPr>
          <w:rFonts w:cstheme="minorHAnsi"/>
        </w:rPr>
        <w:t xml:space="preserve">, </w:t>
      </w:r>
      <w:r w:rsidRPr="00634704" w:rsidR="00AE6B9E">
        <w:rPr>
          <w:rFonts w:cstheme="minorHAnsi"/>
        </w:rPr>
        <w:t xml:space="preserve">38. </w:t>
      </w:r>
      <w:r w:rsidRPr="00634704" w:rsidR="00AA7B2A">
        <w:rPr>
          <w:rFonts w:cstheme="minorHAnsi"/>
        </w:rPr>
        <w:t>https://</w:t>
      </w:r>
      <w:r w:rsidRPr="00634704" w:rsidR="00AE6B9E">
        <w:rPr>
          <w:rFonts w:cstheme="minorHAnsi"/>
        </w:rPr>
        <w:t>doi</w:t>
      </w:r>
      <w:r w:rsidRPr="00634704" w:rsidR="00AA7B2A">
        <w:rPr>
          <w:rFonts w:cstheme="minorHAnsi"/>
        </w:rPr>
        <w:t>:</w:t>
      </w:r>
      <w:r w:rsidRPr="00634704" w:rsidR="00AE6B9E">
        <w:rPr>
          <w:rFonts w:cstheme="minorHAnsi"/>
        </w:rPr>
        <w:t>10.1186/s12966-021-01108-9</w:t>
      </w:r>
    </w:p>
    <w:p w:rsidR="00285372" w:rsidRPr="00634704" w:rsidP="00AE6B9E" w14:paraId="47BE49A1" w14:textId="77777777">
      <w:pPr>
        <w:autoSpaceDE w:val="0"/>
        <w:autoSpaceDN w:val="0"/>
        <w:adjustRightInd w:val="0"/>
        <w:spacing w:after="0"/>
        <w:ind w:left="720" w:hanging="720"/>
        <w:rPr>
          <w:rFonts w:cstheme="minorHAnsi"/>
        </w:rPr>
      </w:pPr>
    </w:p>
    <w:p w:rsidR="00AA7B2A" w:rsidRPr="00634704" w:rsidP="00C605A3" w14:paraId="031EF16A" w14:textId="2B568E50">
      <w:pPr>
        <w:autoSpaceDE w:val="0"/>
        <w:autoSpaceDN w:val="0"/>
        <w:adjustRightInd w:val="0"/>
        <w:spacing w:after="0"/>
        <w:ind w:left="720" w:hanging="720"/>
        <w:rPr>
          <w:rFonts w:cstheme="minorHAnsi"/>
        </w:rPr>
      </w:pPr>
      <w:r w:rsidRPr="00634704">
        <w:rPr>
          <w:rFonts w:cstheme="minorHAnsi"/>
        </w:rPr>
        <w:t xml:space="preserve">Egnell, M., Boutron, I., Péneau, S., Ducrot, P., Touvier, M., Galan, P., Buscail, C., Porcher, R., Ravaud, P., Hercberg, S., Kesse-Guyot, E., </w:t>
      </w:r>
      <w:r w:rsidRPr="00634704">
        <w:rPr>
          <w:rFonts w:cstheme="minorHAnsi"/>
        </w:rPr>
        <w:t xml:space="preserve">&amp; </w:t>
      </w:r>
      <w:r w:rsidRPr="00634704">
        <w:rPr>
          <w:rFonts w:cstheme="minorHAnsi"/>
        </w:rPr>
        <w:t xml:space="preserve">Julia, C. (2021). </w:t>
      </w:r>
      <w:r w:rsidRPr="00634704" w:rsidR="00C605A3">
        <w:rPr>
          <w:rFonts w:cstheme="minorHAnsi"/>
        </w:rPr>
        <w:t xml:space="preserve">Randomized controlled trial in an experimental online supermarket testing the effects of front-of-pack nutrition labelling on food purchasing intentions in a low-income population. </w:t>
      </w:r>
      <w:r w:rsidRPr="00DE68AB" w:rsidR="00C605A3">
        <w:rPr>
          <w:rFonts w:cstheme="minorHAnsi"/>
          <w:i/>
        </w:rPr>
        <w:t>BMJ Open</w:t>
      </w:r>
      <w:r w:rsidRPr="00634704" w:rsidR="00C605A3">
        <w:rPr>
          <w:rFonts w:cstheme="minorHAnsi"/>
        </w:rPr>
        <w:t>, 11</w:t>
      </w:r>
      <w:r w:rsidRPr="00634704">
        <w:rPr>
          <w:rFonts w:cstheme="minorHAnsi"/>
        </w:rPr>
        <w:t xml:space="preserve">(2), </w:t>
      </w:r>
      <w:r w:rsidRPr="00634704" w:rsidR="00C605A3">
        <w:rPr>
          <w:rFonts w:cstheme="minorHAnsi"/>
        </w:rPr>
        <w:t xml:space="preserve">e041196. </w:t>
      </w:r>
    </w:p>
    <w:p w:rsidR="00E621B2" w:rsidRPr="00634704" w:rsidP="00DE68AB" w14:paraId="7F87E7AA" w14:textId="031538B2">
      <w:pPr>
        <w:autoSpaceDE w:val="0"/>
        <w:autoSpaceDN w:val="0"/>
        <w:adjustRightInd w:val="0"/>
        <w:spacing w:after="0"/>
        <w:ind w:left="720"/>
        <w:rPr>
          <w:rFonts w:cstheme="minorHAnsi"/>
        </w:rPr>
      </w:pPr>
      <w:r w:rsidRPr="00634704">
        <w:rPr>
          <w:rFonts w:cstheme="minorHAnsi"/>
        </w:rPr>
        <w:t>https://</w:t>
      </w:r>
      <w:r w:rsidRPr="00634704" w:rsidR="00C605A3">
        <w:rPr>
          <w:rFonts w:cstheme="minorHAnsi"/>
        </w:rPr>
        <w:t>doi:10.1136/ bmjopen-2020-041196</w:t>
      </w:r>
    </w:p>
    <w:p w:rsidR="00285372" w:rsidRPr="00634704" w:rsidP="00CC0C9D" w14:paraId="34C4875A" w14:textId="77777777">
      <w:pPr>
        <w:autoSpaceDE w:val="0"/>
        <w:autoSpaceDN w:val="0"/>
        <w:adjustRightInd w:val="0"/>
        <w:spacing w:after="0"/>
        <w:rPr>
          <w:rFonts w:cstheme="minorHAnsi"/>
        </w:rPr>
      </w:pPr>
    </w:p>
    <w:p w:rsidR="00A1092A" w:rsidRPr="00634704" w:rsidP="00A1092A" w14:paraId="4234B89F" w14:textId="329E6389">
      <w:pPr>
        <w:autoSpaceDE w:val="0"/>
        <w:autoSpaceDN w:val="0"/>
        <w:adjustRightInd w:val="0"/>
        <w:spacing w:after="0"/>
        <w:ind w:left="720" w:hanging="720"/>
        <w:rPr>
          <w:rFonts w:cstheme="minorHAnsi"/>
        </w:rPr>
      </w:pPr>
      <w:r w:rsidRPr="00634704">
        <w:rPr>
          <w:rFonts w:cstheme="minorHAnsi"/>
        </w:rPr>
        <w:t xml:space="preserve">Egnell, M., Kesse-Guyot, E., Galan, P. Touvier, M., Rayner, M., Jewell, J., Breda, J., Hercberg, S., </w:t>
      </w:r>
      <w:r w:rsidRPr="00634704" w:rsidR="00AA7B2A">
        <w:rPr>
          <w:rFonts w:cstheme="minorHAnsi"/>
        </w:rPr>
        <w:t xml:space="preserve">&amp; </w:t>
      </w:r>
      <w:r w:rsidRPr="00634704">
        <w:rPr>
          <w:rFonts w:cstheme="minorHAnsi"/>
        </w:rPr>
        <w:t>Julia, C.  (2018)</w:t>
      </w:r>
      <w:r w:rsidRPr="00634704" w:rsidR="00AA7B2A">
        <w:rPr>
          <w:rFonts w:cstheme="minorHAnsi"/>
        </w:rPr>
        <w:t>.</w:t>
      </w:r>
      <w:r w:rsidRPr="00634704">
        <w:rPr>
          <w:rFonts w:cstheme="minorHAnsi"/>
        </w:rPr>
        <w:t xml:space="preserve"> Impact of Front-of-Pack Nutrition Labels on Portion Size Selection: An Experimental Study in a French Cohort</w:t>
      </w:r>
      <w:r w:rsidRPr="00634704">
        <w:rPr>
          <w:rFonts w:cstheme="minorHAnsi"/>
          <w:i/>
        </w:rPr>
        <w:t>.</w:t>
      </w:r>
      <w:r w:rsidRPr="00634704">
        <w:rPr>
          <w:rFonts w:cstheme="minorHAnsi"/>
        </w:rPr>
        <w:t xml:space="preserve"> </w:t>
      </w:r>
      <w:r w:rsidRPr="00634704">
        <w:rPr>
          <w:rFonts w:cstheme="minorHAnsi"/>
          <w:i/>
        </w:rPr>
        <w:t>Nutrients</w:t>
      </w:r>
      <w:r w:rsidRPr="00634704">
        <w:rPr>
          <w:rFonts w:cstheme="minorHAnsi"/>
        </w:rPr>
        <w:t>, 10(9)</w:t>
      </w:r>
      <w:r w:rsidRPr="00634704" w:rsidR="00AA7B2A">
        <w:rPr>
          <w:rFonts w:cstheme="minorHAnsi"/>
        </w:rPr>
        <w:t>, 1268</w:t>
      </w:r>
      <w:r w:rsidRPr="00634704">
        <w:rPr>
          <w:rFonts w:cstheme="minorHAnsi"/>
        </w:rPr>
        <w:t>.</w:t>
      </w:r>
    </w:p>
    <w:p w:rsidR="00AA7B2A" w:rsidRPr="00634704" w:rsidP="00AA7B2A" w14:paraId="143B9533" w14:textId="7595E4E9">
      <w:pPr>
        <w:autoSpaceDE w:val="0"/>
        <w:autoSpaceDN w:val="0"/>
        <w:adjustRightInd w:val="0"/>
        <w:spacing w:after="0"/>
        <w:ind w:left="720" w:hanging="720"/>
        <w:rPr>
          <w:rFonts w:cstheme="minorHAnsi"/>
        </w:rPr>
      </w:pPr>
      <w:r w:rsidRPr="00634704">
        <w:rPr>
          <w:rFonts w:cstheme="minorHAnsi"/>
        </w:rPr>
        <w:tab/>
      </w:r>
      <w:r w:rsidRPr="00DE68AB">
        <w:rPr>
          <w:rFonts w:cstheme="minorHAnsi"/>
          <w:color w:val="212121"/>
          <w:shd w:val="clear" w:color="auto" w:fill="FFFFFF"/>
        </w:rPr>
        <w:t>https://doi:10.3390/nu10091268</w:t>
      </w:r>
    </w:p>
    <w:p w:rsidR="000B292A" w:rsidRPr="00634704" w:rsidP="00A1092A" w14:paraId="6661F26F" w14:textId="77777777">
      <w:pPr>
        <w:autoSpaceDE w:val="0"/>
        <w:autoSpaceDN w:val="0"/>
        <w:adjustRightInd w:val="0"/>
        <w:spacing w:after="0"/>
        <w:ind w:left="720" w:hanging="720"/>
        <w:rPr>
          <w:rFonts w:cstheme="minorHAnsi"/>
        </w:rPr>
      </w:pPr>
    </w:p>
    <w:p w:rsidR="00AA7B2A" w:rsidRPr="00634704" w:rsidP="000B292A" w14:paraId="285FE0DD" w14:textId="77777777">
      <w:pPr>
        <w:autoSpaceDE w:val="0"/>
        <w:autoSpaceDN w:val="0"/>
        <w:adjustRightInd w:val="0"/>
        <w:spacing w:after="0"/>
        <w:ind w:left="720" w:hanging="720"/>
        <w:rPr>
          <w:rFonts w:cstheme="minorHAnsi"/>
        </w:rPr>
      </w:pPr>
      <w:r w:rsidRPr="00634704">
        <w:rPr>
          <w:rFonts w:cstheme="minorHAnsi"/>
        </w:rPr>
        <w:t>Egnell ,</w:t>
      </w:r>
      <w:r w:rsidRPr="00634704">
        <w:rPr>
          <w:rFonts w:cstheme="minorHAnsi"/>
        </w:rPr>
        <w:t>M., Talati, Z., Gombaud, M., Galan, P., Hercberg</w:t>
      </w:r>
      <w:r w:rsidRPr="00634704" w:rsidR="00B64ABD">
        <w:rPr>
          <w:rFonts w:cstheme="minorHAnsi"/>
        </w:rPr>
        <w:t>, S.,</w:t>
      </w:r>
      <w:r w:rsidRPr="00634704">
        <w:rPr>
          <w:rFonts w:cstheme="minorHAnsi"/>
        </w:rPr>
        <w:t xml:space="preserve"> Pettigrew</w:t>
      </w:r>
      <w:r w:rsidRPr="00634704" w:rsidR="00B64ABD">
        <w:rPr>
          <w:rFonts w:cstheme="minorHAnsi"/>
        </w:rPr>
        <w:t>, S.,</w:t>
      </w:r>
      <w:r w:rsidRPr="00634704">
        <w:rPr>
          <w:rFonts w:cstheme="minorHAnsi"/>
        </w:rPr>
        <w:t xml:space="preserve"> </w:t>
      </w:r>
      <w:r w:rsidRPr="00634704" w:rsidR="00B64ABD">
        <w:rPr>
          <w:rFonts w:cstheme="minorHAnsi"/>
        </w:rPr>
        <w:t xml:space="preserve">&amp; </w:t>
      </w:r>
      <w:r w:rsidRPr="00634704">
        <w:rPr>
          <w:rFonts w:cstheme="minorHAnsi"/>
        </w:rPr>
        <w:t>Julia</w:t>
      </w:r>
      <w:r w:rsidRPr="00634704" w:rsidR="00B64ABD">
        <w:rPr>
          <w:rFonts w:cstheme="minorHAnsi"/>
        </w:rPr>
        <w:t>, C. (</w:t>
      </w:r>
      <w:r w:rsidRPr="00634704" w:rsidR="00EA66B5">
        <w:rPr>
          <w:rFonts w:cstheme="minorHAnsi"/>
        </w:rPr>
        <w:t xml:space="preserve">2019). Consumers’ Responses to Front-of-Pack Nutrition Labelling: Results from a Sample from The Netherlands. </w:t>
      </w:r>
      <w:r w:rsidRPr="00634704" w:rsidR="00B755A9">
        <w:rPr>
          <w:rFonts w:cstheme="minorHAnsi"/>
          <w:i/>
        </w:rPr>
        <w:t>Nutrients</w:t>
      </w:r>
      <w:r w:rsidRPr="00634704" w:rsidR="00B755A9">
        <w:rPr>
          <w:rFonts w:cstheme="minorHAnsi"/>
        </w:rPr>
        <w:t xml:space="preserve">, 11, 1817. </w:t>
      </w:r>
    </w:p>
    <w:p w:rsidR="000B292A" w:rsidRPr="00634704" w:rsidP="00DE68AB" w14:paraId="3C2CFDE7" w14:textId="2D530AC7">
      <w:pPr>
        <w:autoSpaceDE w:val="0"/>
        <w:autoSpaceDN w:val="0"/>
        <w:adjustRightInd w:val="0"/>
        <w:spacing w:after="0"/>
        <w:ind w:left="720"/>
        <w:rPr>
          <w:rFonts w:cstheme="minorHAnsi"/>
        </w:rPr>
      </w:pPr>
      <w:r w:rsidRPr="00DE68AB">
        <w:rPr>
          <w:rFonts w:cstheme="minorHAnsi"/>
        </w:rPr>
        <w:t>https://</w:t>
      </w:r>
      <w:r w:rsidRPr="00DE68AB" w:rsidR="00B755A9">
        <w:rPr>
          <w:rFonts w:cstheme="minorHAnsi"/>
        </w:rPr>
        <w:t>doi:10.3390/nu11081817</w:t>
      </w:r>
    </w:p>
    <w:p w:rsidR="0084352E" w:rsidRPr="00634704" w:rsidP="000B292A" w14:paraId="7279D76A" w14:textId="77777777">
      <w:pPr>
        <w:autoSpaceDE w:val="0"/>
        <w:autoSpaceDN w:val="0"/>
        <w:adjustRightInd w:val="0"/>
        <w:spacing w:after="0"/>
        <w:ind w:left="720" w:hanging="720"/>
        <w:rPr>
          <w:rFonts w:cstheme="minorHAnsi"/>
        </w:rPr>
      </w:pPr>
    </w:p>
    <w:p w:rsidR="00325B59" w:rsidRPr="00634704" w:rsidP="000B292A" w14:paraId="139262A6" w14:textId="65D14B82">
      <w:pPr>
        <w:autoSpaceDE w:val="0"/>
        <w:autoSpaceDN w:val="0"/>
        <w:adjustRightInd w:val="0"/>
        <w:spacing w:after="0"/>
        <w:ind w:left="720" w:hanging="720"/>
        <w:rPr>
          <w:rFonts w:cstheme="minorHAnsi"/>
        </w:rPr>
      </w:pPr>
      <w:r w:rsidRPr="00634704">
        <w:rPr>
          <w:rFonts w:cstheme="minorHAnsi"/>
        </w:rPr>
        <w:t xml:space="preserve">Egnell, M., Talati, Z., Galan, P., Andreeva, V. Vandevijvere, S., Gombaud, M., Dréano-Trécant, L., Hercberg, S., Pettigrew, S., </w:t>
      </w:r>
      <w:r w:rsidRPr="00634704" w:rsidR="00AA7B2A">
        <w:rPr>
          <w:rFonts w:cstheme="minorHAnsi"/>
        </w:rPr>
        <w:t xml:space="preserve">&amp; </w:t>
      </w:r>
      <w:r w:rsidRPr="00634704">
        <w:rPr>
          <w:rFonts w:cstheme="minorHAnsi"/>
        </w:rPr>
        <w:t xml:space="preserve">Julia, C. (2020). </w:t>
      </w:r>
      <w:r w:rsidRPr="00634704" w:rsidR="009A65F7">
        <w:rPr>
          <w:rFonts w:cstheme="minorHAnsi"/>
        </w:rPr>
        <w:t xml:space="preserve">Objective understanding of the </w:t>
      </w:r>
      <w:r w:rsidRPr="00634704" w:rsidR="004B6E26">
        <w:rPr>
          <w:rFonts w:cstheme="minorHAnsi"/>
        </w:rPr>
        <w:t>Nutri-Score</w:t>
      </w:r>
      <w:r w:rsidRPr="00634704" w:rsidR="009A65F7">
        <w:rPr>
          <w:rFonts w:cstheme="minorHAnsi"/>
        </w:rPr>
        <w:t xml:space="preserve"> front-of-pack label by European consumers and its effect on food choices: an online experimental study. </w:t>
      </w:r>
      <w:r w:rsidRPr="00634704" w:rsidR="009A65F7">
        <w:rPr>
          <w:rFonts w:cstheme="minorHAnsi"/>
          <w:i/>
        </w:rPr>
        <w:t>International Journal of Behavioral Nutrition and Physical Activity</w:t>
      </w:r>
      <w:r w:rsidRPr="00634704" w:rsidR="00CC0C9D">
        <w:rPr>
          <w:rFonts w:cstheme="minorHAnsi"/>
        </w:rPr>
        <w:t>,</w:t>
      </w:r>
      <w:r w:rsidRPr="00634704" w:rsidR="00AA7B2A">
        <w:rPr>
          <w:rFonts w:cstheme="minorHAnsi"/>
        </w:rPr>
        <w:t xml:space="preserve"> </w:t>
      </w:r>
      <w:r w:rsidRPr="00634704" w:rsidR="009A65F7">
        <w:rPr>
          <w:rFonts w:cstheme="minorHAnsi"/>
        </w:rPr>
        <w:t>17</w:t>
      </w:r>
      <w:r w:rsidRPr="00634704" w:rsidR="00AA7B2A">
        <w:rPr>
          <w:rFonts w:cstheme="minorHAnsi"/>
        </w:rPr>
        <w:t xml:space="preserve">, </w:t>
      </w:r>
      <w:r w:rsidRPr="00634704" w:rsidR="009A65F7">
        <w:rPr>
          <w:rFonts w:cstheme="minorHAnsi"/>
        </w:rPr>
        <w:t>146</w:t>
      </w:r>
      <w:r w:rsidRPr="00634704" w:rsidR="00CC0C9D">
        <w:rPr>
          <w:rFonts w:cstheme="minorHAnsi"/>
        </w:rPr>
        <w:t xml:space="preserve">. </w:t>
      </w:r>
      <w:r w:rsidRPr="00634704" w:rsidR="00AA7B2A">
        <w:rPr>
          <w:rFonts w:cstheme="minorHAnsi"/>
        </w:rPr>
        <w:t>https://</w:t>
      </w:r>
      <w:r w:rsidRPr="00634704" w:rsidR="009A65F7">
        <w:rPr>
          <w:rFonts w:cstheme="minorHAnsi"/>
        </w:rPr>
        <w:t>doi.org/10.1186/s12966-020-01053-z</w:t>
      </w:r>
    </w:p>
    <w:p w:rsidR="00A1092A" w:rsidRPr="00634704" w:rsidP="00A1092A" w14:paraId="7B9B8C6B" w14:textId="77777777">
      <w:pPr>
        <w:autoSpaceDE w:val="0"/>
        <w:autoSpaceDN w:val="0"/>
        <w:adjustRightInd w:val="0"/>
        <w:spacing w:after="0"/>
        <w:ind w:left="720" w:hanging="720"/>
        <w:rPr>
          <w:rFonts w:cstheme="minorHAnsi"/>
        </w:rPr>
      </w:pPr>
    </w:p>
    <w:p w:rsidR="00242C03" w:rsidRPr="00634704" w:rsidP="00A1092A" w14:paraId="6388CCC6" w14:textId="294AA48D">
      <w:pPr>
        <w:autoSpaceDE w:val="0"/>
        <w:autoSpaceDN w:val="0"/>
        <w:adjustRightInd w:val="0"/>
        <w:spacing w:after="0"/>
        <w:ind w:left="720" w:hanging="720"/>
        <w:rPr>
          <w:rFonts w:cstheme="minorHAnsi"/>
        </w:rPr>
      </w:pPr>
      <w:r w:rsidRPr="00634704">
        <w:rPr>
          <w:rFonts w:cstheme="minorHAnsi"/>
        </w:rPr>
        <w:t>el-Abbadi</w:t>
      </w:r>
      <w:r w:rsidRPr="00634704" w:rsidR="00F10E1A">
        <w:rPr>
          <w:rFonts w:cstheme="minorHAnsi"/>
        </w:rPr>
        <w:t xml:space="preserve">, N., </w:t>
      </w:r>
      <w:r w:rsidRPr="00634704">
        <w:rPr>
          <w:rFonts w:cstheme="minorHAnsi"/>
        </w:rPr>
        <w:t>Taylor</w:t>
      </w:r>
      <w:r w:rsidRPr="00634704" w:rsidR="00F10E1A">
        <w:rPr>
          <w:rFonts w:cstheme="minorHAnsi"/>
        </w:rPr>
        <w:t>, S.,</w:t>
      </w:r>
      <w:r w:rsidRPr="00634704">
        <w:rPr>
          <w:rFonts w:cstheme="minorHAnsi"/>
        </w:rPr>
        <w:t xml:space="preserve"> Micha</w:t>
      </w:r>
      <w:r w:rsidRPr="00634704" w:rsidR="00F10E1A">
        <w:rPr>
          <w:rFonts w:cstheme="minorHAnsi"/>
        </w:rPr>
        <w:t>, R.,</w:t>
      </w:r>
      <w:r w:rsidRPr="00634704">
        <w:rPr>
          <w:rFonts w:cstheme="minorHAnsi"/>
        </w:rPr>
        <w:t xml:space="preserve"> &amp; Blumberg</w:t>
      </w:r>
      <w:r w:rsidRPr="00634704" w:rsidR="008F5071">
        <w:rPr>
          <w:rFonts w:cstheme="minorHAnsi"/>
        </w:rPr>
        <w:t xml:space="preserve">, B. (2020). Nutrient Profiling Systems, Front of Pack Labeling, and Consumer Behavior. </w:t>
      </w:r>
      <w:r w:rsidRPr="00634704" w:rsidR="00380C44">
        <w:rPr>
          <w:rFonts w:cstheme="minorHAnsi"/>
          <w:i/>
        </w:rPr>
        <w:t>Current Atherosclerosis Reports</w:t>
      </w:r>
      <w:r w:rsidRPr="00634704" w:rsidR="00380C44">
        <w:rPr>
          <w:rFonts w:cstheme="minorHAnsi"/>
        </w:rPr>
        <w:t>, 22</w:t>
      </w:r>
      <w:r w:rsidRPr="00634704" w:rsidR="00AA7B2A">
        <w:rPr>
          <w:rFonts w:cstheme="minorHAnsi"/>
        </w:rPr>
        <w:t xml:space="preserve">, </w:t>
      </w:r>
      <w:r w:rsidRPr="00634704" w:rsidR="00380C44">
        <w:rPr>
          <w:rFonts w:cstheme="minorHAnsi"/>
        </w:rPr>
        <w:t xml:space="preserve">36. </w:t>
      </w:r>
      <w:r w:rsidRPr="00634704" w:rsidR="00AA7B2A">
        <w:rPr>
          <w:rFonts w:cstheme="minorHAnsi"/>
        </w:rPr>
        <w:t>https://</w:t>
      </w:r>
      <w:r w:rsidRPr="00634704" w:rsidR="00380C44">
        <w:rPr>
          <w:rFonts w:cstheme="minorHAnsi"/>
        </w:rPr>
        <w:t>doi.org/10.1007/s11883-020-00857-5</w:t>
      </w:r>
    </w:p>
    <w:p w:rsidR="00AC16D3" w:rsidRPr="00634704" w:rsidP="00A1092A" w14:paraId="05AFC6DE" w14:textId="77777777">
      <w:pPr>
        <w:autoSpaceDE w:val="0"/>
        <w:autoSpaceDN w:val="0"/>
        <w:adjustRightInd w:val="0"/>
        <w:spacing w:after="0"/>
        <w:ind w:left="720" w:hanging="720"/>
        <w:rPr>
          <w:rFonts w:cstheme="minorHAnsi"/>
        </w:rPr>
      </w:pPr>
    </w:p>
    <w:p w:rsidR="00AA7B2A" w:rsidRPr="00634704" w:rsidP="00A1092A" w14:paraId="4FFE5B6C" w14:textId="77777777">
      <w:pPr>
        <w:autoSpaceDE w:val="0"/>
        <w:autoSpaceDN w:val="0"/>
        <w:adjustRightInd w:val="0"/>
        <w:spacing w:after="0"/>
        <w:ind w:left="720" w:hanging="720"/>
        <w:rPr>
          <w:rFonts w:cstheme="minorHAnsi"/>
        </w:rPr>
      </w:pPr>
      <w:r w:rsidRPr="00634704">
        <w:rPr>
          <w:rFonts w:cstheme="minorHAnsi"/>
        </w:rPr>
        <w:t>Elshiewy, O. &amp; Boztug, Y. (</w:t>
      </w:r>
      <w:r w:rsidRPr="00634704" w:rsidR="00DE6ECF">
        <w:rPr>
          <w:rFonts w:cstheme="minorHAnsi"/>
        </w:rPr>
        <w:t>2018)</w:t>
      </w:r>
      <w:r w:rsidRPr="00634704">
        <w:rPr>
          <w:rFonts w:cstheme="minorHAnsi"/>
        </w:rPr>
        <w:t>.</w:t>
      </w:r>
      <w:r w:rsidRPr="00634704" w:rsidR="00DE6ECF">
        <w:rPr>
          <w:rFonts w:cstheme="minorHAnsi"/>
        </w:rPr>
        <w:t xml:space="preserve"> When Back of Pack Meets Front of Pack: How Salient and Simplified Nutrition Labels Affect Food Sales in Supermarkets</w:t>
      </w:r>
      <w:r w:rsidRPr="00634704" w:rsidR="00BA402C">
        <w:rPr>
          <w:rFonts w:cstheme="minorHAnsi"/>
        </w:rPr>
        <w:t xml:space="preserve">. </w:t>
      </w:r>
      <w:r w:rsidRPr="00634704" w:rsidR="00BA402C">
        <w:rPr>
          <w:rFonts w:cstheme="minorHAnsi"/>
          <w:i/>
        </w:rPr>
        <w:t>Journal of Public Policy &amp; Marketing</w:t>
      </w:r>
      <w:r w:rsidRPr="00634704" w:rsidR="00BA402C">
        <w:rPr>
          <w:rFonts w:cstheme="minorHAnsi"/>
        </w:rPr>
        <w:t xml:space="preserve">, 37, 55–67. </w:t>
      </w:r>
    </w:p>
    <w:p w:rsidR="00AC16D3" w:rsidRPr="00634704" w:rsidP="00DE68AB" w14:paraId="432FB206" w14:textId="1D87385D">
      <w:pPr>
        <w:autoSpaceDE w:val="0"/>
        <w:autoSpaceDN w:val="0"/>
        <w:adjustRightInd w:val="0"/>
        <w:spacing w:after="0"/>
        <w:ind w:left="720"/>
        <w:rPr>
          <w:rFonts w:cstheme="minorHAnsi"/>
        </w:rPr>
      </w:pPr>
      <w:r w:rsidRPr="00634704">
        <w:rPr>
          <w:rFonts w:cstheme="minorHAnsi"/>
        </w:rPr>
        <w:t>https://</w:t>
      </w:r>
      <w:r w:rsidRPr="00634704" w:rsidR="00BA402C">
        <w:rPr>
          <w:rFonts w:cstheme="minorHAnsi"/>
        </w:rPr>
        <w:t>doi:10.1509/jppm.16.100</w:t>
      </w:r>
    </w:p>
    <w:p w:rsidR="00242C03" w:rsidRPr="00634704" w:rsidP="00A1092A" w14:paraId="24501DDE" w14:textId="77777777">
      <w:pPr>
        <w:autoSpaceDE w:val="0"/>
        <w:autoSpaceDN w:val="0"/>
        <w:adjustRightInd w:val="0"/>
        <w:spacing w:after="0"/>
        <w:ind w:left="720" w:hanging="720"/>
        <w:rPr>
          <w:rFonts w:cstheme="minorHAnsi"/>
        </w:rPr>
      </w:pPr>
    </w:p>
    <w:p w:rsidR="00A1092A" w:rsidRPr="00634704" w:rsidP="00A1092A" w14:paraId="1966E1DB" w14:textId="3599B12D">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Epstein, L. H., Finkelstein, E. A., Katz, D. L., Jankowiak, N., Pudlewski, C., &amp; Paluch, R. A. (2016). Effects of nutrient profiling and price changes based on NuVal® scores on food purchasing in an online experimental supermarket. </w:t>
      </w:r>
      <w:r w:rsidRPr="00634704">
        <w:rPr>
          <w:rFonts w:asciiTheme="minorHAnsi" w:hAnsiTheme="minorHAnsi" w:cstheme="minorHAnsi"/>
          <w:i/>
        </w:rPr>
        <w:t>Public Health Nutr</w:t>
      </w:r>
      <w:r w:rsidRPr="00634704" w:rsidR="0017701E">
        <w:rPr>
          <w:rFonts w:asciiTheme="minorHAnsi" w:hAnsiTheme="minorHAnsi" w:cstheme="minorHAnsi"/>
          <w:i/>
        </w:rPr>
        <w:t>ition</w:t>
      </w:r>
      <w:r w:rsidRPr="00634704">
        <w:rPr>
          <w:rFonts w:asciiTheme="minorHAnsi" w:hAnsiTheme="minorHAnsi" w:cstheme="minorHAnsi"/>
          <w:i/>
        </w:rPr>
        <w:t>, 19</w:t>
      </w:r>
      <w:r w:rsidRPr="00634704">
        <w:rPr>
          <w:rFonts w:asciiTheme="minorHAnsi" w:hAnsiTheme="minorHAnsi" w:cstheme="minorHAnsi"/>
        </w:rPr>
        <w:t xml:space="preserve">(12), 2157-2164. </w:t>
      </w:r>
    </w:p>
    <w:p w:rsidR="0017701E" w:rsidRPr="00DE68AB" w:rsidP="00A1092A" w14:paraId="41C15C15" w14:textId="73432065">
      <w:pPr>
        <w:pStyle w:val="EndNoteBibliography"/>
        <w:spacing w:after="0"/>
        <w:ind w:left="720" w:hanging="720"/>
        <w:rPr>
          <w:rFonts w:asciiTheme="minorHAnsi" w:hAnsiTheme="minorHAnsi" w:cstheme="minorHAnsi"/>
        </w:rPr>
      </w:pPr>
      <w:r w:rsidRPr="00DE68AB">
        <w:rPr>
          <w:rFonts w:asciiTheme="minorHAnsi" w:hAnsiTheme="minorHAnsi" w:cstheme="minorHAnsi"/>
        </w:rPr>
        <w:tab/>
      </w:r>
      <w:r w:rsidRPr="00DE68AB">
        <w:rPr>
          <w:rFonts w:asciiTheme="minorHAnsi" w:hAnsiTheme="minorHAnsi" w:cstheme="minorHAnsi"/>
          <w:color w:val="212121"/>
          <w:shd w:val="clear" w:color="auto" w:fill="FFFFFF"/>
        </w:rPr>
        <w:t>https://doi:10.1017/S1368980015002931</w:t>
      </w:r>
    </w:p>
    <w:p w:rsidR="00A1092A" w:rsidRPr="00634704" w:rsidP="00A1092A" w14:paraId="1AF34123" w14:textId="77777777">
      <w:pPr>
        <w:pStyle w:val="EndNoteBibliography"/>
        <w:spacing w:after="0"/>
        <w:ind w:left="720" w:hanging="720"/>
        <w:rPr>
          <w:rFonts w:asciiTheme="minorHAnsi" w:hAnsiTheme="minorHAnsi" w:cstheme="minorHAnsi"/>
        </w:rPr>
      </w:pPr>
    </w:p>
    <w:p w:rsidR="0017701E" w:rsidRPr="00634704" w:rsidP="00BE7AEF" w14:paraId="355B9348" w14:textId="2F978566">
      <w:pPr>
        <w:autoSpaceDE w:val="0"/>
        <w:autoSpaceDN w:val="0"/>
        <w:adjustRightInd w:val="0"/>
        <w:spacing w:after="0" w:line="240" w:lineRule="auto"/>
        <w:ind w:left="720" w:hanging="720"/>
        <w:rPr>
          <w:rFonts w:cstheme="minorHAnsi"/>
        </w:rPr>
      </w:pPr>
      <w:r w:rsidRPr="00634704">
        <w:rPr>
          <w:rFonts w:cstheme="minorHAnsi"/>
        </w:rPr>
        <w:t xml:space="preserve">Esfandiari, Z., Mirlohi, M., Tanha, J. M., Hadian, M., Mossavi, S. I., Ansariyan, A., Ghassami, N., Adib, S., Bahraini, T., Safaeian, L., Pakmehr, F., Mashhadian, F., Abolhasani, M., Marasi, M. R., Isteki, F., Abedi, R., Ghorbani, P., Shoaei, P., &amp; Kelishadi, R. (2021). Effect of Face-to-Face Education on Knowledge, Attitudes, and Practices Toward "Traffic Light" Food Labeling in Isfahan Society, Iran. </w:t>
      </w:r>
      <w:r w:rsidRPr="00634704" w:rsidR="00FD2B82">
        <w:rPr>
          <w:rFonts w:cstheme="minorHAnsi"/>
          <w:i/>
          <w:iCs/>
          <w:color w:val="212121"/>
          <w:shd w:val="clear" w:color="auto" w:fill="FFFFFF"/>
        </w:rPr>
        <w:t>International quarterly of community health education</w:t>
      </w:r>
      <w:r w:rsidRPr="00634704">
        <w:rPr>
          <w:rFonts w:cstheme="minorHAnsi"/>
        </w:rPr>
        <w:t>,</w:t>
      </w:r>
      <w:r w:rsidRPr="00634704">
        <w:rPr>
          <w:rFonts w:cstheme="minorHAnsi"/>
          <w:i/>
          <w:iCs/>
        </w:rPr>
        <w:t xml:space="preserve"> 41</w:t>
      </w:r>
      <w:r w:rsidRPr="00634704">
        <w:rPr>
          <w:rFonts w:cstheme="minorHAnsi"/>
        </w:rPr>
        <w:t xml:space="preserve">(3), 275-284. </w:t>
      </w:r>
    </w:p>
    <w:p w:rsidR="00BE7AEF" w:rsidRPr="00634704" w:rsidP="002C5B9B" w14:paraId="65E0E05A" w14:textId="2ECEAE0D">
      <w:pPr>
        <w:autoSpaceDE w:val="0"/>
        <w:autoSpaceDN w:val="0"/>
        <w:adjustRightInd w:val="0"/>
        <w:spacing w:after="0" w:line="240" w:lineRule="auto"/>
        <w:ind w:left="720"/>
        <w:rPr>
          <w:rFonts w:cstheme="minorHAnsi"/>
        </w:rPr>
      </w:pPr>
      <w:r w:rsidRPr="00634704">
        <w:rPr>
          <w:rFonts w:cstheme="minorHAnsi"/>
        </w:rPr>
        <w:t xml:space="preserve">https://doi.org/10.1177/0272684x20916612 </w:t>
      </w:r>
    </w:p>
    <w:p w:rsidR="002D4DAC" w:rsidRPr="00634704" w:rsidP="00A1092A" w14:paraId="6D51BFD5" w14:textId="77777777">
      <w:pPr>
        <w:pStyle w:val="EndNoteBibliography"/>
        <w:spacing w:after="0"/>
        <w:ind w:left="720" w:hanging="720"/>
        <w:rPr>
          <w:rFonts w:asciiTheme="minorHAnsi" w:hAnsiTheme="minorHAnsi" w:cstheme="minorHAnsi"/>
        </w:rPr>
      </w:pPr>
    </w:p>
    <w:p w:rsidR="00FA24DC" w:rsidRPr="00634704" w:rsidP="00A1092A" w14:paraId="6BA3E7E9" w14:textId="52FA0F09">
      <w:pPr>
        <w:pStyle w:val="EndNoteBibliography"/>
        <w:spacing w:after="0"/>
        <w:ind w:left="720" w:hanging="720"/>
        <w:rPr>
          <w:rFonts w:asciiTheme="minorHAnsi" w:hAnsiTheme="minorHAnsi"/>
        </w:rPr>
      </w:pPr>
      <w:r w:rsidRPr="3A22E7DC">
        <w:rPr>
          <w:rFonts w:asciiTheme="minorHAnsi" w:hAnsiTheme="minorHAnsi"/>
        </w:rPr>
        <w:t>Fernan, C., Schuldt, J. P., &amp; Niederdeppe, J. (201</w:t>
      </w:r>
      <w:r w:rsidRPr="3A22E7DC" w:rsidR="007340F5">
        <w:rPr>
          <w:rFonts w:asciiTheme="minorHAnsi" w:hAnsiTheme="minorHAnsi"/>
        </w:rPr>
        <w:t>8</w:t>
      </w:r>
      <w:r w:rsidRPr="3A22E7DC">
        <w:rPr>
          <w:rFonts w:asciiTheme="minorHAnsi" w:hAnsiTheme="minorHAnsi"/>
        </w:rPr>
        <w:t xml:space="preserve">). Health Halo Effects from Product Titles and Nutrient Content Claims in the Context of "Protein" Bars. </w:t>
      </w:r>
      <w:r w:rsidRPr="3A22E7DC" w:rsidR="00E166FF">
        <w:rPr>
          <w:rFonts w:asciiTheme="minorHAnsi" w:hAnsiTheme="minorHAnsi"/>
          <w:i/>
          <w:color w:val="212121"/>
        </w:rPr>
        <w:t>Health communication</w:t>
      </w:r>
      <w:r w:rsidRPr="3A22E7DC" w:rsidR="00E166FF">
        <w:rPr>
          <w:rFonts w:asciiTheme="minorHAnsi" w:hAnsiTheme="minorHAnsi"/>
          <w:color w:val="212121"/>
        </w:rPr>
        <w:t>, </w:t>
      </w:r>
      <w:r w:rsidRPr="3A22E7DC" w:rsidR="00E166FF">
        <w:rPr>
          <w:rFonts w:asciiTheme="minorHAnsi" w:hAnsiTheme="minorHAnsi"/>
          <w:i/>
          <w:color w:val="212121"/>
        </w:rPr>
        <w:t>33</w:t>
      </w:r>
      <w:r w:rsidRPr="3A22E7DC" w:rsidR="00E166FF">
        <w:rPr>
          <w:rFonts w:asciiTheme="minorHAnsi" w:hAnsiTheme="minorHAnsi"/>
          <w:color w:val="212121"/>
        </w:rPr>
        <w:t>(12), 1425–1433.</w:t>
      </w:r>
      <w:r w:rsidRPr="3A22E7DC" w:rsidR="00E166FF">
        <w:rPr>
          <w:rFonts w:asciiTheme="minorHAnsi" w:hAnsiTheme="minorHAnsi"/>
          <w:i/>
        </w:rPr>
        <w:t xml:space="preserve"> </w:t>
      </w:r>
    </w:p>
    <w:p w:rsidR="00A1092A" w:rsidRPr="00634704" w:rsidP="003E1A49" w14:paraId="0116A67F" w14:textId="49C96236">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doi:10.1080/10410236.2017.1358240</w:t>
      </w:r>
    </w:p>
    <w:p w:rsidR="00BD1B9B" w:rsidRPr="00634704" w:rsidP="00A1092A" w14:paraId="40FAB121" w14:textId="77777777">
      <w:pPr>
        <w:pStyle w:val="EndNoteBibliography"/>
        <w:spacing w:after="0"/>
        <w:ind w:left="720" w:hanging="720"/>
        <w:rPr>
          <w:rFonts w:asciiTheme="minorHAnsi" w:hAnsiTheme="minorHAnsi" w:cstheme="minorHAnsi"/>
        </w:rPr>
      </w:pPr>
    </w:p>
    <w:p w:rsidR="0037703E" w:rsidRPr="00634704" w:rsidP="00A1092A" w14:paraId="4011BFAF" w14:textId="01A91A22">
      <w:pPr>
        <w:pStyle w:val="EndNoteBibliography"/>
        <w:spacing w:after="0"/>
        <w:ind w:left="720" w:hanging="720"/>
        <w:rPr>
          <w:rFonts w:asciiTheme="minorHAnsi" w:hAnsiTheme="minorHAnsi" w:cstheme="minorHAnsi"/>
        </w:rPr>
      </w:pPr>
      <w:r w:rsidRPr="00634704">
        <w:rPr>
          <w:rFonts w:asciiTheme="minorHAnsi" w:hAnsiTheme="minorHAnsi" w:cstheme="minorHAnsi"/>
        </w:rPr>
        <w:t>Feteira-Santos, R., Fernandes, J., Virgolino, A., Alarca</w:t>
      </w:r>
      <w:r w:rsidRPr="00634704" w:rsidR="00693FC9">
        <w:rPr>
          <w:rFonts w:asciiTheme="minorHAnsi" w:hAnsiTheme="minorHAnsi" w:cstheme="minorHAnsi"/>
        </w:rPr>
        <w:t>o</w:t>
      </w:r>
      <w:r w:rsidRPr="00634704">
        <w:rPr>
          <w:rFonts w:asciiTheme="minorHAnsi" w:hAnsiTheme="minorHAnsi" w:cstheme="minorHAnsi"/>
        </w:rPr>
        <w:t>, V.,  Sena</w:t>
      </w:r>
      <w:r w:rsidRPr="00634704" w:rsidR="00693FC9">
        <w:rPr>
          <w:rFonts w:asciiTheme="minorHAnsi" w:hAnsiTheme="minorHAnsi" w:cstheme="minorHAnsi"/>
        </w:rPr>
        <w:t xml:space="preserve">, C., </w:t>
      </w:r>
      <w:r w:rsidRPr="00634704">
        <w:rPr>
          <w:rFonts w:asciiTheme="minorHAnsi" w:hAnsiTheme="minorHAnsi" w:cstheme="minorHAnsi"/>
        </w:rPr>
        <w:t>Vieira</w:t>
      </w:r>
      <w:r w:rsidRPr="00634704" w:rsidR="00693FC9">
        <w:rPr>
          <w:rFonts w:asciiTheme="minorHAnsi" w:hAnsiTheme="minorHAnsi" w:cstheme="minorHAnsi"/>
        </w:rPr>
        <w:t xml:space="preserve">, C.,  </w:t>
      </w:r>
      <w:r w:rsidRPr="00634704">
        <w:rPr>
          <w:rFonts w:asciiTheme="minorHAnsi" w:hAnsiTheme="minorHAnsi" w:cstheme="minorHAnsi"/>
        </w:rPr>
        <w:t>Gregorio</w:t>
      </w:r>
      <w:r w:rsidRPr="00634704" w:rsidR="00693FC9">
        <w:rPr>
          <w:rFonts w:asciiTheme="minorHAnsi" w:hAnsiTheme="minorHAnsi" w:cstheme="minorHAnsi"/>
        </w:rPr>
        <w:t xml:space="preserve">, M., </w:t>
      </w:r>
      <w:r w:rsidRPr="00634704">
        <w:rPr>
          <w:rFonts w:asciiTheme="minorHAnsi" w:hAnsiTheme="minorHAnsi" w:cstheme="minorHAnsi"/>
        </w:rPr>
        <w:t>Nogueira</w:t>
      </w:r>
      <w:r w:rsidRPr="00634704" w:rsidR="00693FC9">
        <w:rPr>
          <w:rFonts w:asciiTheme="minorHAnsi" w:hAnsiTheme="minorHAnsi" w:cstheme="minorHAnsi"/>
        </w:rPr>
        <w:t xml:space="preserve">, P., </w:t>
      </w:r>
      <w:r w:rsidRPr="00634704">
        <w:rPr>
          <w:rFonts w:asciiTheme="minorHAnsi" w:hAnsiTheme="minorHAnsi" w:cstheme="minorHAnsi"/>
        </w:rPr>
        <w:t>Costa</w:t>
      </w:r>
      <w:r w:rsidRPr="00634704" w:rsidR="00032547">
        <w:rPr>
          <w:rFonts w:asciiTheme="minorHAnsi" w:hAnsiTheme="minorHAnsi" w:cstheme="minorHAnsi"/>
        </w:rPr>
        <w:t xml:space="preserve">, I., </w:t>
      </w:r>
      <w:r w:rsidRPr="00634704">
        <w:rPr>
          <w:rFonts w:asciiTheme="minorHAnsi" w:hAnsiTheme="minorHAnsi" w:cstheme="minorHAnsi"/>
        </w:rPr>
        <w:t xml:space="preserve"> Grac</w:t>
      </w:r>
      <w:r w:rsidRPr="00634704" w:rsidR="00776D0F">
        <w:rPr>
          <w:rFonts w:asciiTheme="minorHAnsi" w:hAnsiTheme="minorHAnsi" w:cstheme="minorHAnsi"/>
        </w:rPr>
        <w:t xml:space="preserve">a, P., </w:t>
      </w:r>
      <w:r w:rsidRPr="00634704" w:rsidR="00B65DF5">
        <w:rPr>
          <w:rFonts w:asciiTheme="minorHAnsi" w:hAnsiTheme="minorHAnsi" w:cstheme="minorHAnsi"/>
        </w:rPr>
        <w:t xml:space="preserve">&amp; </w:t>
      </w:r>
      <w:r w:rsidRPr="00634704">
        <w:rPr>
          <w:rFonts w:asciiTheme="minorHAnsi" w:hAnsiTheme="minorHAnsi" w:cstheme="minorHAnsi"/>
        </w:rPr>
        <w:t>Santos</w:t>
      </w:r>
      <w:r w:rsidRPr="00634704" w:rsidR="00776D0F">
        <w:rPr>
          <w:rFonts w:asciiTheme="minorHAnsi" w:hAnsiTheme="minorHAnsi" w:cstheme="minorHAnsi"/>
        </w:rPr>
        <w:t>, O. (</w:t>
      </w:r>
      <w:r w:rsidRPr="00634704" w:rsidR="00F6222C">
        <w:rPr>
          <w:rFonts w:asciiTheme="minorHAnsi" w:hAnsiTheme="minorHAnsi" w:cstheme="minorHAnsi"/>
        </w:rPr>
        <w:t>2020)</w:t>
      </w:r>
      <w:r w:rsidRPr="00634704" w:rsidR="00C40A26">
        <w:rPr>
          <w:rFonts w:asciiTheme="minorHAnsi" w:hAnsiTheme="minorHAnsi" w:cstheme="minorHAnsi"/>
        </w:rPr>
        <w:t>.</w:t>
      </w:r>
      <w:r w:rsidRPr="00634704" w:rsidR="00F6222C">
        <w:rPr>
          <w:rFonts w:asciiTheme="minorHAnsi" w:hAnsiTheme="minorHAnsi" w:cstheme="minorHAnsi"/>
        </w:rPr>
        <w:t xml:space="preserve"> Effectiveness of interpretive front-of-pack nutritional labelling schemes on the promotion of healthier food choices: a systematic review. </w:t>
      </w:r>
      <w:r w:rsidRPr="00634704" w:rsidR="00E872F4">
        <w:rPr>
          <w:rFonts w:asciiTheme="minorHAnsi" w:hAnsiTheme="minorHAnsi" w:cstheme="minorHAnsi"/>
          <w:i/>
        </w:rPr>
        <w:t>International Journal of Evidence-Based Healthcare</w:t>
      </w:r>
      <w:r w:rsidRPr="00634704">
        <w:rPr>
          <w:rFonts w:asciiTheme="minorHAnsi" w:hAnsiTheme="minorHAnsi" w:cstheme="minorHAnsi"/>
          <w:i/>
          <w:iCs/>
        </w:rPr>
        <w:t>,</w:t>
      </w:r>
      <w:r w:rsidRPr="00634704" w:rsidR="00E872F4">
        <w:rPr>
          <w:rFonts w:asciiTheme="minorHAnsi" w:hAnsiTheme="minorHAnsi" w:cstheme="minorHAnsi"/>
        </w:rPr>
        <w:t xml:space="preserve"> </w:t>
      </w:r>
      <w:r w:rsidRPr="00634704">
        <w:rPr>
          <w:rFonts w:asciiTheme="minorHAnsi" w:hAnsiTheme="minorHAnsi" w:cstheme="minorHAnsi"/>
        </w:rPr>
        <w:t>18(1),</w:t>
      </w:r>
      <w:r w:rsidRPr="00634704" w:rsidR="00E872F4">
        <w:rPr>
          <w:rFonts w:asciiTheme="minorHAnsi" w:hAnsiTheme="minorHAnsi" w:cstheme="minorHAnsi"/>
        </w:rPr>
        <w:t xml:space="preserve"> </w:t>
      </w:r>
      <w:r w:rsidRPr="00634704" w:rsidR="00481283">
        <w:rPr>
          <w:rFonts w:asciiTheme="minorHAnsi" w:hAnsiTheme="minorHAnsi" w:cstheme="minorHAnsi"/>
        </w:rPr>
        <w:t xml:space="preserve">24-37. </w:t>
      </w:r>
    </w:p>
    <w:p w:rsidR="00BD1B9B" w:rsidRPr="00634704" w:rsidP="002C5B9B" w14:paraId="3A5ED02F" w14:textId="4F5C2FAA">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481283">
        <w:rPr>
          <w:rFonts w:asciiTheme="minorHAnsi" w:hAnsiTheme="minorHAnsi" w:cstheme="minorHAnsi"/>
        </w:rPr>
        <w:t>doi:10.1097/XEB.0000000000000214</w:t>
      </w:r>
    </w:p>
    <w:p w:rsidR="0025220A" w:rsidRPr="00634704" w:rsidP="00A1092A" w14:paraId="084B71DE" w14:textId="77777777">
      <w:pPr>
        <w:pStyle w:val="EndNoteBibliography"/>
        <w:spacing w:after="0"/>
        <w:ind w:left="720" w:hanging="720"/>
        <w:rPr>
          <w:rFonts w:asciiTheme="minorHAnsi" w:hAnsiTheme="minorHAnsi" w:cstheme="minorHAnsi"/>
        </w:rPr>
      </w:pPr>
    </w:p>
    <w:p w:rsidR="00802D17" w:rsidRPr="00634704" w:rsidP="00A1092A" w14:paraId="0FBE62B8"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Feteira-Santos, C., Alarcao, V., Santos, O., Virgolino, A., Fernandes, J., Vieira</w:t>
      </w:r>
      <w:r w:rsidRPr="00634704" w:rsidR="002219C2">
        <w:rPr>
          <w:rFonts w:asciiTheme="minorHAnsi" w:hAnsiTheme="minorHAnsi" w:cstheme="minorHAnsi"/>
        </w:rPr>
        <w:t xml:space="preserve">, C., Gregorio, M., Nogueira, . P., Costa, A., </w:t>
      </w:r>
      <w:r w:rsidRPr="00634704" w:rsidR="000B1161">
        <w:rPr>
          <w:rFonts w:asciiTheme="minorHAnsi" w:hAnsiTheme="minorHAnsi" w:cstheme="minorHAnsi"/>
        </w:rPr>
        <w:t xml:space="preserve">&amp; </w:t>
      </w:r>
      <w:r w:rsidRPr="00634704" w:rsidR="002219C2">
        <w:rPr>
          <w:rFonts w:asciiTheme="minorHAnsi" w:hAnsiTheme="minorHAnsi" w:cstheme="minorHAnsi"/>
        </w:rPr>
        <w:t>Graca, P. (2021)</w:t>
      </w:r>
      <w:r w:rsidRPr="00634704" w:rsidR="00B61E16">
        <w:rPr>
          <w:rFonts w:asciiTheme="minorHAnsi" w:hAnsiTheme="minorHAnsi" w:cstheme="minorHAnsi"/>
        </w:rPr>
        <w:t xml:space="preserve">. Looking Ahead: Health Impact Assessment of Front-of-Pack </w:t>
      </w:r>
      <w:r w:rsidRPr="00634704" w:rsidR="00B61E16">
        <w:rPr>
          <w:rFonts w:asciiTheme="minorHAnsi" w:hAnsiTheme="minorHAnsi" w:cstheme="minorHAnsi"/>
        </w:rPr>
        <w:t>Nutrition Labelling Schema as a Public Health Measure</w:t>
      </w:r>
      <w:r w:rsidRPr="00634704" w:rsidR="00B61E16">
        <w:rPr>
          <w:rFonts w:asciiTheme="minorHAnsi" w:hAnsiTheme="minorHAnsi" w:cstheme="minorHAnsi"/>
          <w:i/>
        </w:rPr>
        <w:t xml:space="preserve">. </w:t>
      </w:r>
      <w:r w:rsidRPr="00634704" w:rsidR="00416121">
        <w:rPr>
          <w:rFonts w:asciiTheme="minorHAnsi" w:hAnsiTheme="minorHAnsi" w:cstheme="minorHAnsi"/>
          <w:i/>
        </w:rPr>
        <w:t>International Journal of Environmental Res</w:t>
      </w:r>
      <w:r w:rsidRPr="00634704" w:rsidR="00867ACB">
        <w:rPr>
          <w:rFonts w:asciiTheme="minorHAnsi" w:hAnsiTheme="minorHAnsi" w:cstheme="minorHAnsi"/>
          <w:i/>
        </w:rPr>
        <w:t>earch and</w:t>
      </w:r>
      <w:r w:rsidRPr="00634704" w:rsidR="00416121">
        <w:rPr>
          <w:rFonts w:asciiTheme="minorHAnsi" w:hAnsiTheme="minorHAnsi" w:cstheme="minorHAnsi"/>
          <w:i/>
        </w:rPr>
        <w:t xml:space="preserve"> Public Health</w:t>
      </w:r>
      <w:r w:rsidRPr="00634704" w:rsidR="00416121">
        <w:rPr>
          <w:rFonts w:asciiTheme="minorHAnsi" w:hAnsiTheme="minorHAnsi" w:cstheme="minorHAnsi"/>
        </w:rPr>
        <w:t>, 18, 1422</w:t>
      </w:r>
      <w:r w:rsidRPr="00634704" w:rsidR="00867ACB">
        <w:rPr>
          <w:rFonts w:asciiTheme="minorHAnsi" w:hAnsiTheme="minorHAnsi" w:cstheme="minorHAnsi"/>
        </w:rPr>
        <w:t xml:space="preserve">. </w:t>
      </w:r>
    </w:p>
    <w:p w:rsidR="0025220A" w:rsidRPr="00634704" w:rsidP="002C5B9B" w14:paraId="54E3CFC6" w14:textId="7601B6D8">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F91A1A">
        <w:rPr>
          <w:rFonts w:asciiTheme="minorHAnsi" w:hAnsiTheme="minorHAnsi" w:cstheme="minorHAnsi"/>
        </w:rPr>
        <w:t>doi:10.3390/ijerph18041422</w:t>
      </w:r>
    </w:p>
    <w:p w:rsidR="00A1092A" w:rsidRPr="00634704" w:rsidP="00A1092A" w14:paraId="5CFE1440" w14:textId="77777777">
      <w:pPr>
        <w:pStyle w:val="EndNoteBibliography"/>
        <w:spacing w:after="0"/>
        <w:ind w:left="720" w:hanging="720"/>
        <w:rPr>
          <w:rFonts w:asciiTheme="minorHAnsi" w:hAnsiTheme="minorHAnsi" w:cstheme="minorHAnsi"/>
        </w:rPr>
      </w:pPr>
    </w:p>
    <w:p w:rsidR="004309BF" w:rsidRPr="00634704" w:rsidP="00A1092A" w14:paraId="7594579B" w14:textId="6C2A6C85">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Fialon, M., Egnell, M., Talati, Z., Galan, P., Dreano-Trecant, L., </w:t>
      </w:r>
      <w:r w:rsidRPr="00634704" w:rsidR="00DA636F">
        <w:rPr>
          <w:rFonts w:asciiTheme="minorHAnsi" w:hAnsiTheme="minorHAnsi" w:cstheme="minorHAnsi"/>
        </w:rPr>
        <w:t xml:space="preserve">Touvier, M., Pettigrew, S., Hercberg, S., </w:t>
      </w:r>
      <w:r w:rsidRPr="00634704" w:rsidR="000B1161">
        <w:rPr>
          <w:rFonts w:asciiTheme="minorHAnsi" w:hAnsiTheme="minorHAnsi" w:cstheme="minorHAnsi"/>
        </w:rPr>
        <w:t xml:space="preserve">&amp; </w:t>
      </w:r>
      <w:r w:rsidRPr="00634704" w:rsidR="00DA636F">
        <w:rPr>
          <w:rFonts w:asciiTheme="minorHAnsi" w:hAnsiTheme="minorHAnsi" w:cstheme="minorHAnsi"/>
        </w:rPr>
        <w:t>Julia, C. (2020). Effectiveness of Different Front-of-Pack Nutrition Labels among Italian Consumers: Results from an Online Randomized Controlled Trial</w:t>
      </w:r>
      <w:r w:rsidRPr="00634704" w:rsidR="001A50AB">
        <w:rPr>
          <w:rFonts w:asciiTheme="minorHAnsi" w:hAnsiTheme="minorHAnsi" w:cstheme="minorHAnsi"/>
        </w:rPr>
        <w:t xml:space="preserve">. </w:t>
      </w:r>
      <w:r w:rsidRPr="00634704" w:rsidR="001A50AB">
        <w:rPr>
          <w:rFonts w:asciiTheme="minorHAnsi" w:hAnsiTheme="minorHAnsi" w:cstheme="minorHAnsi"/>
          <w:i/>
        </w:rPr>
        <w:t>Nutrients</w:t>
      </w:r>
      <w:r w:rsidRPr="00634704" w:rsidR="001A50AB">
        <w:rPr>
          <w:rFonts w:asciiTheme="minorHAnsi" w:hAnsiTheme="minorHAnsi" w:cstheme="minorHAnsi"/>
        </w:rPr>
        <w:t xml:space="preserve">, 12, 2307. </w:t>
      </w:r>
      <w:r w:rsidRPr="00634704" w:rsidR="00802D17">
        <w:rPr>
          <w:rFonts w:asciiTheme="minorHAnsi" w:hAnsiTheme="minorHAnsi" w:cstheme="minorHAnsi"/>
        </w:rPr>
        <w:t>https://</w:t>
      </w:r>
      <w:r w:rsidRPr="00634704" w:rsidR="001A50AB">
        <w:rPr>
          <w:rFonts w:asciiTheme="minorHAnsi" w:hAnsiTheme="minorHAnsi" w:cstheme="minorHAnsi"/>
        </w:rPr>
        <w:t>doi:10.3390/nu12082307</w:t>
      </w:r>
    </w:p>
    <w:p w:rsidR="002D4DAC" w:rsidRPr="00634704" w:rsidP="00C96F64" w14:paraId="5E2F6907" w14:textId="77777777">
      <w:pPr>
        <w:autoSpaceDE w:val="0"/>
        <w:autoSpaceDN w:val="0"/>
        <w:adjustRightInd w:val="0"/>
        <w:spacing w:after="0" w:line="240" w:lineRule="auto"/>
        <w:ind w:left="720" w:hanging="720"/>
        <w:rPr>
          <w:rFonts w:cstheme="minorHAnsi"/>
        </w:rPr>
      </w:pPr>
    </w:p>
    <w:p w:rsidR="00BE7AEF" w:rsidRPr="00634704" w:rsidP="00BE7AEF" w14:paraId="254A8ADE" w14:textId="438E20A4">
      <w:pPr>
        <w:autoSpaceDE w:val="0"/>
        <w:autoSpaceDN w:val="0"/>
        <w:adjustRightInd w:val="0"/>
        <w:spacing w:after="0" w:line="240" w:lineRule="auto"/>
        <w:ind w:left="720" w:hanging="720"/>
        <w:rPr>
          <w:rFonts w:cstheme="minorHAnsi"/>
        </w:rPr>
      </w:pPr>
      <w:r w:rsidRPr="00634704">
        <w:rPr>
          <w:rFonts w:cstheme="minorHAnsi"/>
        </w:rPr>
        <w:t xml:space="preserve">Fialon, M., Salas-Salvadó, J., Babio, N., Touvier, M., Hercberg, S., &amp; Galan, P. (2021). Is FOP Nutrition Label </w:t>
      </w:r>
      <w:r w:rsidRPr="00634704" w:rsidR="004B6E26">
        <w:rPr>
          <w:rFonts w:cstheme="minorHAnsi"/>
        </w:rPr>
        <w:t>Nutri-Score</w:t>
      </w:r>
      <w:r w:rsidRPr="00634704">
        <w:rPr>
          <w:rFonts w:cstheme="minorHAnsi"/>
        </w:rPr>
        <w:t xml:space="preserve"> Well Understood by Consumers When Comparing the Nutritional Quality of Added Fats, and Does It Negatively Impact the Image of Olive Oil? </w:t>
      </w:r>
      <w:r w:rsidRPr="00634704">
        <w:rPr>
          <w:rFonts w:cstheme="minorHAnsi"/>
          <w:i/>
        </w:rPr>
        <w:t>Foods</w:t>
      </w:r>
      <w:r w:rsidRPr="00634704">
        <w:rPr>
          <w:rFonts w:cstheme="minorHAnsi"/>
        </w:rPr>
        <w:t>,</w:t>
      </w:r>
      <w:r w:rsidRPr="00634704">
        <w:rPr>
          <w:rFonts w:cstheme="minorHAnsi"/>
          <w:i/>
        </w:rPr>
        <w:t xml:space="preserve"> 10</w:t>
      </w:r>
      <w:r w:rsidRPr="00634704">
        <w:rPr>
          <w:rFonts w:cstheme="minorHAnsi"/>
        </w:rPr>
        <w:t>(9)</w:t>
      </w:r>
      <w:r w:rsidRPr="00634704" w:rsidR="004918C5">
        <w:rPr>
          <w:rFonts w:cstheme="minorHAnsi"/>
        </w:rPr>
        <w:t>, 2209</w:t>
      </w:r>
      <w:r w:rsidRPr="00634704">
        <w:rPr>
          <w:rFonts w:cstheme="minorHAnsi"/>
        </w:rPr>
        <w:t xml:space="preserve">. https://doi.org/10.3390/foods10092209 </w:t>
      </w:r>
    </w:p>
    <w:p w:rsidR="004309BF" w:rsidRPr="00634704" w:rsidP="00A1092A" w14:paraId="0326E8C1" w14:textId="77777777">
      <w:pPr>
        <w:pStyle w:val="EndNoteBibliography"/>
        <w:spacing w:after="0"/>
        <w:ind w:left="720" w:hanging="720"/>
        <w:rPr>
          <w:rFonts w:asciiTheme="minorHAnsi" w:hAnsiTheme="minorHAnsi" w:cstheme="minorHAnsi"/>
        </w:rPr>
      </w:pPr>
    </w:p>
    <w:p w:rsidR="00A37997" w:rsidRPr="00634704" w:rsidP="00A1092A" w14:paraId="3485C554"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Finkelstein, E. A., Ang, F., Doble, B., Wong, W., </w:t>
      </w:r>
      <w:r w:rsidRPr="00634704" w:rsidR="000B1161">
        <w:rPr>
          <w:rFonts w:asciiTheme="minorHAnsi" w:hAnsiTheme="minorHAnsi" w:cstheme="minorHAnsi"/>
        </w:rPr>
        <w:t xml:space="preserve">&amp; </w:t>
      </w:r>
      <w:r w:rsidRPr="00634704">
        <w:rPr>
          <w:rFonts w:asciiTheme="minorHAnsi" w:hAnsiTheme="minorHAnsi" w:cstheme="minorHAnsi"/>
        </w:rPr>
        <w:t>van Dam, R. (</w:t>
      </w:r>
      <w:r w:rsidRPr="00634704" w:rsidR="00FF75DC">
        <w:rPr>
          <w:rFonts w:asciiTheme="minorHAnsi" w:hAnsiTheme="minorHAnsi" w:cstheme="minorHAnsi"/>
        </w:rPr>
        <w:t xml:space="preserve">2019). A Randomized Controlled Trial Evaluating the Relative Effectiveness of the Multiple Traffic Light and </w:t>
      </w:r>
      <w:r w:rsidRPr="00634704" w:rsidR="004B6E26">
        <w:rPr>
          <w:rFonts w:asciiTheme="minorHAnsi" w:hAnsiTheme="minorHAnsi" w:cstheme="minorHAnsi"/>
        </w:rPr>
        <w:t>Nutri-Score</w:t>
      </w:r>
      <w:r w:rsidRPr="00634704" w:rsidR="00FF75DC">
        <w:rPr>
          <w:rFonts w:asciiTheme="minorHAnsi" w:hAnsiTheme="minorHAnsi" w:cstheme="minorHAnsi"/>
        </w:rPr>
        <w:t xml:space="preserve"> Front of Package Nutrition Labels. </w:t>
      </w:r>
      <w:r w:rsidRPr="00634704" w:rsidR="00FF75DC">
        <w:rPr>
          <w:rFonts w:asciiTheme="minorHAnsi" w:hAnsiTheme="minorHAnsi" w:cstheme="minorHAnsi"/>
          <w:i/>
        </w:rPr>
        <w:t>Nutrients</w:t>
      </w:r>
      <w:r w:rsidRPr="00634704" w:rsidR="00FF75DC">
        <w:rPr>
          <w:rFonts w:asciiTheme="minorHAnsi" w:hAnsiTheme="minorHAnsi" w:cstheme="minorHAnsi"/>
        </w:rPr>
        <w:t xml:space="preserve">, 11, 2236. </w:t>
      </w:r>
    </w:p>
    <w:p w:rsidR="009401F4" w:rsidRPr="00634704" w:rsidP="002C5B9B" w14:paraId="5B529174" w14:textId="2FF48615">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FF75DC">
        <w:rPr>
          <w:rFonts w:asciiTheme="minorHAnsi" w:hAnsiTheme="minorHAnsi" w:cstheme="minorHAnsi"/>
        </w:rPr>
        <w:t>doi:10.3390/nu11092236</w:t>
      </w:r>
    </w:p>
    <w:p w:rsidR="009401F4" w:rsidRPr="00634704" w:rsidP="00A1092A" w14:paraId="7489F8E3" w14:textId="77777777">
      <w:pPr>
        <w:pStyle w:val="EndNoteBibliography"/>
        <w:spacing w:after="0"/>
        <w:ind w:left="720" w:hanging="720"/>
        <w:rPr>
          <w:rFonts w:asciiTheme="minorHAnsi" w:hAnsiTheme="minorHAnsi" w:cstheme="minorHAnsi"/>
        </w:rPr>
      </w:pPr>
    </w:p>
    <w:p w:rsidR="00E906EE" w:rsidRPr="00634704" w:rsidP="00A1092A" w14:paraId="637534CA" w14:textId="1E9D7822">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Finkelstein, E. A., Ang, F., </w:t>
      </w:r>
      <w:r w:rsidRPr="00634704">
        <w:rPr>
          <w:rFonts w:asciiTheme="minorHAnsi" w:hAnsiTheme="minorHAnsi" w:cstheme="minorHAnsi"/>
        </w:rPr>
        <w:t xml:space="preserve">&amp; </w:t>
      </w:r>
      <w:r w:rsidRPr="00634704">
        <w:rPr>
          <w:rFonts w:asciiTheme="minorHAnsi" w:hAnsiTheme="minorHAnsi" w:cstheme="minorHAnsi"/>
        </w:rPr>
        <w:t xml:space="preserve">Doble, B. (2020). Randomized trial evaluating the effectiveness of within versus acrosscategory front-of-package lower-calorie labelling on food demand. </w:t>
      </w:r>
      <w:r w:rsidRPr="00634704" w:rsidR="004151AA">
        <w:rPr>
          <w:rFonts w:asciiTheme="minorHAnsi" w:hAnsiTheme="minorHAnsi" w:cstheme="minorHAnsi"/>
          <w:i/>
        </w:rPr>
        <w:t>BMC Public Health</w:t>
      </w:r>
      <w:r w:rsidRPr="00634704" w:rsidR="004151AA">
        <w:rPr>
          <w:rFonts w:asciiTheme="minorHAnsi" w:hAnsiTheme="minorHAnsi" w:cstheme="minorHAnsi"/>
        </w:rPr>
        <w:t>, 20</w:t>
      </w:r>
      <w:r w:rsidRPr="00634704">
        <w:rPr>
          <w:rFonts w:asciiTheme="minorHAnsi" w:hAnsiTheme="minorHAnsi" w:cstheme="minorHAnsi"/>
        </w:rPr>
        <w:t xml:space="preserve">, </w:t>
      </w:r>
      <w:r w:rsidRPr="00634704" w:rsidR="004151AA">
        <w:rPr>
          <w:rFonts w:asciiTheme="minorHAnsi" w:hAnsiTheme="minorHAnsi" w:cstheme="minorHAnsi"/>
        </w:rPr>
        <w:t xml:space="preserve">312. </w:t>
      </w:r>
    </w:p>
    <w:p w:rsidR="000B1161" w:rsidRPr="00634704" w:rsidP="002C5B9B" w14:paraId="5E0B4226" w14:textId="76908483">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4151AA">
        <w:rPr>
          <w:rFonts w:asciiTheme="minorHAnsi" w:hAnsiTheme="minorHAnsi" w:cstheme="minorHAnsi"/>
        </w:rPr>
        <w:t>doi.org/10.1186/s12889-020-8434-1</w:t>
      </w:r>
    </w:p>
    <w:p w:rsidR="00D43774" w:rsidRPr="00634704" w:rsidP="00A1092A" w14:paraId="1C796A8B" w14:textId="77777777">
      <w:pPr>
        <w:pStyle w:val="EndNoteBibliography"/>
        <w:spacing w:after="0"/>
        <w:ind w:left="720" w:hanging="720"/>
        <w:rPr>
          <w:rFonts w:asciiTheme="minorHAnsi" w:hAnsiTheme="minorHAnsi" w:cstheme="minorHAnsi"/>
        </w:rPr>
      </w:pPr>
    </w:p>
    <w:p w:rsidR="008E649B" w:rsidRPr="00634704" w:rsidP="00A1092A" w14:paraId="68ADCD4C" w14:textId="7D30F770">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Finkelstein, E. A., Ang, F., Doble, B., Wong, W., &amp; van Dam, R. (2021). A randomized controlled trial testing the effects of a positive front-of-pack label with or without a physical activity equivalent label on food purchases. </w:t>
      </w:r>
      <w:r w:rsidRPr="00634704" w:rsidR="00160388">
        <w:rPr>
          <w:rFonts w:asciiTheme="minorHAnsi" w:hAnsiTheme="minorHAnsi" w:cstheme="minorHAnsi"/>
          <w:i/>
        </w:rPr>
        <w:t>Appetite</w:t>
      </w:r>
      <w:r w:rsidRPr="00634704" w:rsidR="00160388">
        <w:rPr>
          <w:rFonts w:asciiTheme="minorHAnsi" w:hAnsiTheme="minorHAnsi" w:cstheme="minorHAnsi"/>
        </w:rPr>
        <w:t>, 158</w:t>
      </w:r>
      <w:r w:rsidRPr="00634704" w:rsidR="00A43E14">
        <w:rPr>
          <w:rFonts w:asciiTheme="minorHAnsi" w:hAnsiTheme="minorHAnsi" w:cstheme="minorHAnsi"/>
        </w:rPr>
        <w:t xml:space="preserve">, </w:t>
      </w:r>
      <w:r w:rsidRPr="00634704" w:rsidR="00A43E14">
        <w:rPr>
          <w:rFonts w:asciiTheme="minorHAnsi" w:hAnsiTheme="minorHAnsi" w:cstheme="minorHAnsi"/>
          <w:color w:val="212121"/>
          <w:shd w:val="clear" w:color="auto" w:fill="FFFFFF"/>
        </w:rPr>
        <w:t>104997</w:t>
      </w:r>
      <w:r w:rsidRPr="00634704" w:rsidR="00160388">
        <w:rPr>
          <w:rFonts w:asciiTheme="minorHAnsi" w:hAnsiTheme="minorHAnsi" w:cstheme="minorHAnsi"/>
        </w:rPr>
        <w:t xml:space="preserve">. </w:t>
      </w:r>
    </w:p>
    <w:p w:rsidR="00D43774" w:rsidRPr="00634704" w:rsidP="002C5B9B" w14:paraId="08BDB312" w14:textId="09A388DE">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3F1A07">
        <w:rPr>
          <w:rFonts w:asciiTheme="minorHAnsi" w:hAnsiTheme="minorHAnsi" w:cstheme="minorHAnsi"/>
        </w:rPr>
        <w:t>doi.org/10.1016/j.appet.2020.104997 R</w:t>
      </w:r>
    </w:p>
    <w:p w:rsidR="005A410B" w:rsidRPr="00634704" w:rsidP="00A1092A" w14:paraId="31C360FA" w14:textId="77777777">
      <w:pPr>
        <w:pStyle w:val="EndNoteBibliography"/>
        <w:spacing w:after="0"/>
        <w:ind w:left="720" w:hanging="720"/>
        <w:rPr>
          <w:rFonts w:asciiTheme="minorHAnsi" w:hAnsiTheme="minorHAnsi" w:cstheme="minorHAnsi"/>
        </w:rPr>
      </w:pPr>
    </w:p>
    <w:p w:rsidR="00A43E14" w:rsidRPr="00634704" w:rsidP="00A1092A" w14:paraId="6B5AFF95"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Finkelstein, E. A., Li, W., Melo, G., Strombotne, K., &amp; Zhen, C. (2018). Identifying the effect of shelf nutrition labels on consumer purchases: results of a natural experiment and consumer survey. </w:t>
      </w:r>
      <w:r w:rsidRPr="00634704">
        <w:rPr>
          <w:rFonts w:asciiTheme="minorHAnsi" w:hAnsiTheme="minorHAnsi" w:cstheme="minorHAnsi"/>
          <w:i/>
        </w:rPr>
        <w:t>Am</w:t>
      </w:r>
      <w:r w:rsidRPr="00634704" w:rsidR="00293007">
        <w:rPr>
          <w:rFonts w:asciiTheme="minorHAnsi" w:hAnsiTheme="minorHAnsi" w:cstheme="minorHAnsi"/>
          <w:i/>
        </w:rPr>
        <w:t>erican</w:t>
      </w:r>
      <w:r w:rsidRPr="00634704">
        <w:rPr>
          <w:rFonts w:asciiTheme="minorHAnsi" w:hAnsiTheme="minorHAnsi" w:cstheme="minorHAnsi"/>
          <w:i/>
        </w:rPr>
        <w:t xml:space="preserve"> J</w:t>
      </w:r>
      <w:r w:rsidRPr="00634704" w:rsidR="00293007">
        <w:rPr>
          <w:rFonts w:asciiTheme="minorHAnsi" w:hAnsiTheme="minorHAnsi" w:cstheme="minorHAnsi"/>
          <w:i/>
        </w:rPr>
        <w:t>ournal of</w:t>
      </w:r>
      <w:r w:rsidRPr="00634704">
        <w:rPr>
          <w:rFonts w:asciiTheme="minorHAnsi" w:hAnsiTheme="minorHAnsi" w:cstheme="minorHAnsi"/>
          <w:i/>
        </w:rPr>
        <w:t xml:space="preserve"> Clin</w:t>
      </w:r>
      <w:r w:rsidRPr="00634704" w:rsidR="00293007">
        <w:rPr>
          <w:rFonts w:asciiTheme="minorHAnsi" w:hAnsiTheme="minorHAnsi" w:cstheme="minorHAnsi"/>
          <w:i/>
        </w:rPr>
        <w:t>ical</w:t>
      </w:r>
      <w:r w:rsidRPr="00634704">
        <w:rPr>
          <w:rFonts w:asciiTheme="minorHAnsi" w:hAnsiTheme="minorHAnsi" w:cstheme="minorHAnsi"/>
          <w:i/>
        </w:rPr>
        <w:t xml:space="preserve"> Nutr</w:t>
      </w:r>
      <w:r w:rsidRPr="00634704" w:rsidR="00293007">
        <w:rPr>
          <w:rFonts w:asciiTheme="minorHAnsi" w:hAnsiTheme="minorHAnsi" w:cstheme="minorHAnsi"/>
          <w:i/>
        </w:rPr>
        <w:t>ition</w:t>
      </w:r>
      <w:r w:rsidRPr="00634704">
        <w:rPr>
          <w:rFonts w:asciiTheme="minorHAnsi" w:hAnsiTheme="minorHAnsi" w:cstheme="minorHAnsi"/>
          <w:i/>
        </w:rPr>
        <w:t>, 107</w:t>
      </w:r>
      <w:r w:rsidRPr="00634704">
        <w:rPr>
          <w:rFonts w:asciiTheme="minorHAnsi" w:hAnsiTheme="minorHAnsi" w:cstheme="minorHAnsi"/>
        </w:rPr>
        <w:t xml:space="preserve">(4), 647-651. </w:t>
      </w:r>
    </w:p>
    <w:p w:rsidR="00A1092A" w:rsidRPr="00634704" w:rsidP="002C5B9B" w14:paraId="1A5BCB59" w14:textId="7B526E8E">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doi:10.1093/ajcn/nqy014</w:t>
      </w:r>
    </w:p>
    <w:p w:rsidR="004D127A" w:rsidRPr="00634704" w:rsidP="00A1092A" w14:paraId="3FC215AE" w14:textId="77777777">
      <w:pPr>
        <w:pStyle w:val="EndNoteBibliography"/>
        <w:spacing w:after="0"/>
        <w:ind w:left="720" w:hanging="720"/>
        <w:rPr>
          <w:rFonts w:asciiTheme="minorHAnsi" w:hAnsiTheme="minorHAnsi" w:cstheme="minorHAnsi"/>
        </w:rPr>
      </w:pPr>
    </w:p>
    <w:p w:rsidR="00911FB6" w:rsidRPr="00634704" w:rsidP="00BE7AEF" w14:paraId="01ACC332" w14:textId="77777777">
      <w:pPr>
        <w:autoSpaceDE w:val="0"/>
        <w:autoSpaceDN w:val="0"/>
        <w:adjustRightInd w:val="0"/>
        <w:spacing w:after="0" w:line="240" w:lineRule="auto"/>
        <w:ind w:left="720" w:hanging="720"/>
        <w:rPr>
          <w:rFonts w:cstheme="minorHAnsi"/>
        </w:rPr>
      </w:pPr>
      <w:r w:rsidRPr="00634704">
        <w:rPr>
          <w:rFonts w:cstheme="minorHAnsi"/>
        </w:rPr>
        <w:t xml:space="preserve">Folkvord, F., Bergmans, N., &amp; Pabian, S. (2021). The effect of the </w:t>
      </w:r>
      <w:r w:rsidRPr="00634704" w:rsidR="004B6E26">
        <w:rPr>
          <w:rFonts w:cstheme="minorHAnsi"/>
        </w:rPr>
        <w:t>Nutri-Score</w:t>
      </w:r>
      <w:r w:rsidRPr="00634704">
        <w:rPr>
          <w:rFonts w:cstheme="minorHAnsi"/>
        </w:rPr>
        <w:t xml:space="preserve"> label on consumer’s attitudes, taste perception and purchase intention: An experimental pilot study. </w:t>
      </w:r>
      <w:r w:rsidRPr="00634704">
        <w:rPr>
          <w:rFonts w:cstheme="minorHAnsi"/>
          <w:i/>
        </w:rPr>
        <w:t>Food Quality and Preference</w:t>
      </w:r>
      <w:r w:rsidRPr="00634704">
        <w:rPr>
          <w:rFonts w:cstheme="minorHAnsi"/>
        </w:rPr>
        <w:t>,</w:t>
      </w:r>
      <w:r w:rsidRPr="00634704">
        <w:rPr>
          <w:rFonts w:cstheme="minorHAnsi"/>
          <w:i/>
        </w:rPr>
        <w:t xml:space="preserve"> 94</w:t>
      </w:r>
      <w:r w:rsidRPr="00634704">
        <w:rPr>
          <w:rFonts w:cstheme="minorHAnsi"/>
        </w:rPr>
        <w:t xml:space="preserve">, 7. </w:t>
      </w:r>
    </w:p>
    <w:p w:rsidR="00BE7AEF" w:rsidRPr="00634704" w:rsidP="002C5B9B" w14:paraId="25635124" w14:textId="6B64A6A1">
      <w:pPr>
        <w:autoSpaceDE w:val="0"/>
        <w:autoSpaceDN w:val="0"/>
        <w:adjustRightInd w:val="0"/>
        <w:spacing w:after="0" w:line="240" w:lineRule="auto"/>
        <w:ind w:left="720"/>
        <w:rPr>
          <w:rFonts w:cstheme="minorHAnsi"/>
        </w:rPr>
      </w:pPr>
      <w:r w:rsidRPr="00634704">
        <w:rPr>
          <w:rFonts w:cstheme="minorHAnsi"/>
        </w:rPr>
        <w:t xml:space="preserve">https://doi.org/10.1016/j.foodqual.2021.104303 </w:t>
      </w:r>
    </w:p>
    <w:p w:rsidR="002D4DAC" w:rsidRPr="00634704" w:rsidP="00C96F64" w14:paraId="58ED2683" w14:textId="77777777">
      <w:pPr>
        <w:autoSpaceDE w:val="0"/>
        <w:autoSpaceDN w:val="0"/>
        <w:adjustRightInd w:val="0"/>
        <w:spacing w:after="0" w:line="240" w:lineRule="auto"/>
        <w:ind w:left="720" w:hanging="720"/>
        <w:rPr>
          <w:rFonts w:cstheme="minorHAnsi"/>
        </w:rPr>
      </w:pPr>
    </w:p>
    <w:p w:rsidR="002B2E25" w:rsidRPr="00634704" w:rsidP="00BE7AEF" w14:paraId="68F4499A" w14:textId="5B86D0D3">
      <w:pPr>
        <w:autoSpaceDE w:val="0"/>
        <w:autoSpaceDN w:val="0"/>
        <w:adjustRightInd w:val="0"/>
        <w:spacing w:after="0" w:line="240" w:lineRule="auto"/>
        <w:ind w:left="720" w:hanging="720"/>
        <w:rPr>
          <w:rFonts w:cstheme="minorHAnsi"/>
        </w:rPr>
      </w:pPr>
      <w:r w:rsidRPr="00634704">
        <w:rPr>
          <w:rFonts w:cstheme="minorHAnsi"/>
        </w:rPr>
        <w:t xml:space="preserve">Fondevila-Gascón, J. F., Berbel-Giménez, G., Vidal-Portés, E., &amp; Hurtado-Galarza, K. (2022). Ultra-Processed Foods in University Students: Implementing </w:t>
      </w:r>
      <w:r w:rsidRPr="00634704" w:rsidR="004B6E26">
        <w:rPr>
          <w:rFonts w:cstheme="minorHAnsi"/>
        </w:rPr>
        <w:t>Nutri-Score</w:t>
      </w:r>
      <w:r w:rsidRPr="00634704">
        <w:rPr>
          <w:rFonts w:cstheme="minorHAnsi"/>
        </w:rPr>
        <w:t xml:space="preserve"> to Make Healthy Choices. </w:t>
      </w:r>
      <w:r w:rsidRPr="00634704">
        <w:rPr>
          <w:rFonts w:cstheme="minorHAnsi"/>
          <w:i/>
        </w:rPr>
        <w:t>Healthcare (Basel)</w:t>
      </w:r>
      <w:r w:rsidRPr="00634704">
        <w:rPr>
          <w:rFonts w:cstheme="minorHAnsi"/>
        </w:rPr>
        <w:t>,</w:t>
      </w:r>
      <w:r w:rsidRPr="00634704">
        <w:rPr>
          <w:rFonts w:cstheme="minorHAnsi"/>
          <w:i/>
        </w:rPr>
        <w:t xml:space="preserve"> 10</w:t>
      </w:r>
      <w:r w:rsidRPr="00634704">
        <w:rPr>
          <w:rFonts w:cstheme="minorHAnsi"/>
        </w:rPr>
        <w:t>(6)</w:t>
      </w:r>
      <w:r w:rsidRPr="00634704" w:rsidR="00D9203A">
        <w:rPr>
          <w:rFonts w:cstheme="minorHAnsi"/>
        </w:rPr>
        <w:t xml:space="preserve">, </w:t>
      </w:r>
      <w:r w:rsidRPr="00634704" w:rsidR="00D9203A">
        <w:rPr>
          <w:rFonts w:cstheme="minorHAnsi"/>
          <w:color w:val="212121"/>
          <w:shd w:val="clear" w:color="auto" w:fill="FFFFFF"/>
        </w:rPr>
        <w:t>984</w:t>
      </w:r>
      <w:r w:rsidRPr="00634704">
        <w:rPr>
          <w:rFonts w:cstheme="minorHAnsi"/>
        </w:rPr>
        <w:t xml:space="preserve">. </w:t>
      </w:r>
    </w:p>
    <w:p w:rsidR="00BE7AEF" w:rsidRPr="00634704" w:rsidP="002C5B9B" w14:paraId="6237366D" w14:textId="78A83B35">
      <w:pPr>
        <w:autoSpaceDE w:val="0"/>
        <w:autoSpaceDN w:val="0"/>
        <w:adjustRightInd w:val="0"/>
        <w:spacing w:after="0" w:line="240" w:lineRule="auto"/>
        <w:ind w:left="720"/>
        <w:rPr>
          <w:rFonts w:cstheme="minorHAnsi"/>
        </w:rPr>
      </w:pPr>
      <w:r w:rsidRPr="00634704">
        <w:rPr>
          <w:rFonts w:cstheme="minorHAnsi"/>
        </w:rPr>
        <w:t xml:space="preserve">https://doi.org/10.3390/healthcare10060984 </w:t>
      </w:r>
    </w:p>
    <w:p w:rsidR="002D4DAC" w:rsidRPr="00634704" w:rsidP="00A1092A" w14:paraId="2534D760" w14:textId="77777777">
      <w:pPr>
        <w:pStyle w:val="EndNoteBibliography"/>
        <w:spacing w:after="0"/>
        <w:ind w:left="720" w:hanging="720"/>
        <w:rPr>
          <w:rFonts w:asciiTheme="minorHAnsi" w:hAnsiTheme="minorHAnsi" w:cstheme="minorHAnsi"/>
        </w:rPr>
      </w:pPr>
    </w:p>
    <w:p w:rsidR="004D127A" w:rsidRPr="00634704" w:rsidP="00A1092A" w14:paraId="41C8EB77" w14:textId="5C1DC293">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Franco-Arellanoa, B., Vanderlee, L., Ahmeda, M., Oha, A., </w:t>
      </w:r>
      <w:r w:rsidRPr="00634704" w:rsidR="0066444C">
        <w:rPr>
          <w:rFonts w:asciiTheme="minorHAnsi" w:hAnsiTheme="minorHAnsi" w:cstheme="minorHAnsi"/>
        </w:rPr>
        <w:t xml:space="preserve">&amp; </w:t>
      </w:r>
      <w:r w:rsidRPr="00634704">
        <w:rPr>
          <w:rFonts w:asciiTheme="minorHAnsi" w:hAnsiTheme="minorHAnsi" w:cstheme="minorHAnsi"/>
        </w:rPr>
        <w:t xml:space="preserve">L’Abbe, M.  </w:t>
      </w:r>
      <w:r w:rsidRPr="00634704" w:rsidR="00291FBA">
        <w:rPr>
          <w:rFonts w:asciiTheme="minorHAnsi" w:hAnsiTheme="minorHAnsi" w:cstheme="minorHAnsi"/>
        </w:rPr>
        <w:t xml:space="preserve">(2020). Influence of front-of-pack labelling and regulated nutrition claims on consumers’ perceptions of product healthfulness and purchase intentions: A randomized controlled trial. </w:t>
      </w:r>
      <w:r w:rsidRPr="00634704" w:rsidR="00293007">
        <w:rPr>
          <w:rFonts w:asciiTheme="minorHAnsi" w:hAnsiTheme="minorHAnsi" w:cstheme="minorHAnsi"/>
          <w:i/>
        </w:rPr>
        <w:t>Appetite</w:t>
      </w:r>
      <w:r w:rsidRPr="00634704" w:rsidR="00293007">
        <w:rPr>
          <w:rFonts w:asciiTheme="minorHAnsi" w:hAnsiTheme="minorHAnsi" w:cstheme="minorHAnsi"/>
        </w:rPr>
        <w:t>, 149</w:t>
      </w:r>
      <w:r w:rsidRPr="00634704" w:rsidR="003C7D2D">
        <w:rPr>
          <w:rFonts w:asciiTheme="minorHAnsi" w:hAnsiTheme="minorHAnsi" w:cstheme="minorHAnsi"/>
        </w:rPr>
        <w:t xml:space="preserve">, </w:t>
      </w:r>
      <w:r w:rsidRPr="00634704" w:rsidR="003C7D2D">
        <w:rPr>
          <w:rFonts w:asciiTheme="minorHAnsi" w:hAnsiTheme="minorHAnsi" w:cstheme="minorHAnsi"/>
          <w:color w:val="212121"/>
          <w:shd w:val="clear" w:color="auto" w:fill="FFFFFF"/>
        </w:rPr>
        <w:t>104629</w:t>
      </w:r>
      <w:r w:rsidRPr="00634704" w:rsidR="00293007">
        <w:rPr>
          <w:rFonts w:asciiTheme="minorHAnsi" w:hAnsiTheme="minorHAnsi" w:cstheme="minorHAnsi"/>
        </w:rPr>
        <w:t xml:space="preserve">. </w:t>
      </w:r>
      <w:r w:rsidRPr="00634704" w:rsidR="003C7D2D">
        <w:rPr>
          <w:rFonts w:asciiTheme="minorHAnsi" w:hAnsiTheme="minorHAnsi" w:cstheme="minorHAnsi"/>
        </w:rPr>
        <w:t>https://</w:t>
      </w:r>
      <w:r w:rsidRPr="00634704" w:rsidR="00293007">
        <w:rPr>
          <w:rFonts w:asciiTheme="minorHAnsi" w:hAnsiTheme="minorHAnsi" w:cstheme="minorHAnsi"/>
        </w:rPr>
        <w:t>doi.org/10.1016/j.appet.2020.104629 R</w:t>
      </w:r>
    </w:p>
    <w:p w:rsidR="00674D60" w:rsidRPr="00634704" w:rsidP="00A1092A" w14:paraId="6DEDBC2D" w14:textId="77777777">
      <w:pPr>
        <w:pStyle w:val="EndNoteBibliography"/>
        <w:spacing w:after="0"/>
        <w:ind w:left="720" w:hanging="720"/>
        <w:rPr>
          <w:rFonts w:asciiTheme="minorHAnsi" w:hAnsiTheme="minorHAnsi" w:cstheme="minorHAnsi"/>
        </w:rPr>
      </w:pPr>
    </w:p>
    <w:p w:rsidR="008A0C15" w:rsidRPr="00634704" w:rsidP="00A1092A" w14:paraId="4761108F" w14:textId="725D6C0C">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Fuchs, K., Barattin, T., Haldimann, </w:t>
      </w:r>
      <w:r w:rsidRPr="00634704" w:rsidR="00623490">
        <w:rPr>
          <w:rFonts w:asciiTheme="minorHAnsi" w:hAnsiTheme="minorHAnsi" w:cstheme="minorHAnsi"/>
        </w:rPr>
        <w:t xml:space="preserve">&amp; </w:t>
      </w:r>
      <w:r w:rsidRPr="00634704">
        <w:rPr>
          <w:rFonts w:asciiTheme="minorHAnsi" w:hAnsiTheme="minorHAnsi" w:cstheme="minorHAnsi"/>
        </w:rPr>
        <w:t xml:space="preserve">M., </w:t>
      </w:r>
      <w:r w:rsidRPr="00634704" w:rsidR="00520C07">
        <w:rPr>
          <w:rFonts w:asciiTheme="minorHAnsi" w:hAnsiTheme="minorHAnsi" w:cstheme="minorHAnsi"/>
        </w:rPr>
        <w:t xml:space="preserve">Ilic, A. </w:t>
      </w:r>
      <w:r w:rsidRPr="00634704" w:rsidR="00B60380">
        <w:rPr>
          <w:rFonts w:asciiTheme="minorHAnsi" w:hAnsiTheme="minorHAnsi" w:cstheme="minorHAnsi"/>
        </w:rPr>
        <w:t xml:space="preserve">(2019). Towards Tailoring Digital Food Labels Insights of a Smart-RCT on User-specific Interpretation of Food Composition Data. </w:t>
      </w:r>
      <w:r w:rsidRPr="00634704" w:rsidR="00F862D9">
        <w:rPr>
          <w:rFonts w:asciiTheme="minorHAnsi" w:hAnsiTheme="minorHAnsi" w:cstheme="minorHAnsi"/>
          <w:i/>
          <w:iCs/>
        </w:rPr>
        <w:t xml:space="preserve">Proceedings of the </w:t>
      </w:r>
      <w:r w:rsidRPr="00634704" w:rsidR="003D352B">
        <w:rPr>
          <w:rFonts w:asciiTheme="minorHAnsi" w:hAnsiTheme="minorHAnsi" w:cstheme="minorHAnsi"/>
          <w:i/>
          <w:iCs/>
        </w:rPr>
        <w:t>5</w:t>
      </w:r>
      <w:r w:rsidRPr="002C5B9B" w:rsidR="003D352B">
        <w:rPr>
          <w:rFonts w:asciiTheme="minorHAnsi" w:hAnsiTheme="minorHAnsi" w:cstheme="minorHAnsi"/>
          <w:i/>
          <w:iCs/>
          <w:vertAlign w:val="superscript"/>
        </w:rPr>
        <w:t>th</w:t>
      </w:r>
      <w:r w:rsidRPr="00634704" w:rsidR="003D352B">
        <w:rPr>
          <w:rFonts w:asciiTheme="minorHAnsi" w:hAnsiTheme="minorHAnsi" w:cstheme="minorHAnsi"/>
          <w:i/>
          <w:iCs/>
        </w:rPr>
        <w:t xml:space="preserve"> International Workshop on Multimedia Assisted Dietary Management</w:t>
      </w:r>
      <w:r w:rsidRPr="00634704" w:rsidR="00F862D9">
        <w:rPr>
          <w:rFonts w:asciiTheme="minorHAnsi" w:hAnsiTheme="minorHAnsi" w:cstheme="minorHAnsi"/>
          <w:i/>
          <w:iCs/>
        </w:rPr>
        <w:t xml:space="preserve">, </w:t>
      </w:r>
      <w:r w:rsidRPr="00634704" w:rsidR="00393473">
        <w:rPr>
          <w:rFonts w:asciiTheme="minorHAnsi" w:hAnsiTheme="minorHAnsi" w:cstheme="minorHAnsi"/>
          <w:i/>
          <w:iCs/>
        </w:rPr>
        <w:t>65-75</w:t>
      </w:r>
      <w:r w:rsidRPr="00634704" w:rsidR="008C4429">
        <w:rPr>
          <w:rFonts w:asciiTheme="minorHAnsi" w:hAnsiTheme="minorHAnsi" w:cstheme="minorHAnsi"/>
        </w:rPr>
        <w:t xml:space="preserve">. </w:t>
      </w:r>
    </w:p>
    <w:p w:rsidR="00674D60" w:rsidRPr="00634704" w:rsidP="008A0C15" w14:paraId="73A97AFD" w14:textId="273C1792">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643588">
        <w:rPr>
          <w:rFonts w:asciiTheme="minorHAnsi" w:hAnsiTheme="minorHAnsi" w:cstheme="minorHAnsi"/>
        </w:rPr>
        <w:t>doi</w:t>
      </w:r>
      <w:r w:rsidRPr="00634704" w:rsidR="008C4429">
        <w:rPr>
          <w:rFonts w:asciiTheme="minorHAnsi" w:hAnsiTheme="minorHAnsi" w:cstheme="minorHAnsi"/>
        </w:rPr>
        <w:t xml:space="preserve">:10.1145/3347448.3357171 </w:t>
      </w:r>
    </w:p>
    <w:p w:rsidR="00A718F5" w:rsidRPr="00634704" w:rsidP="00A1092A" w14:paraId="13032CC8" w14:textId="77777777">
      <w:pPr>
        <w:pStyle w:val="EndNoteBibliography"/>
        <w:spacing w:after="0"/>
        <w:ind w:left="720" w:hanging="720"/>
        <w:rPr>
          <w:rFonts w:asciiTheme="minorHAnsi" w:hAnsiTheme="minorHAnsi" w:cstheme="minorHAnsi"/>
        </w:rPr>
      </w:pPr>
    </w:p>
    <w:p w:rsidR="00A718F5" w:rsidRPr="00634704" w:rsidP="00A1092A" w14:paraId="69EB5CD0" w14:textId="7A67680D">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Galana, P., Egnell, M., Salas-Salvado, J., </w:t>
      </w:r>
      <w:r w:rsidRPr="00634704" w:rsidR="005A6CA7">
        <w:rPr>
          <w:rFonts w:asciiTheme="minorHAnsi" w:hAnsiTheme="minorHAnsi" w:cstheme="minorHAnsi"/>
        </w:rPr>
        <w:t xml:space="preserve">Babio, N., Pettigrew, S., Hercberg, S., </w:t>
      </w:r>
      <w:r w:rsidRPr="00634704" w:rsidR="008423E1">
        <w:rPr>
          <w:rFonts w:asciiTheme="minorHAnsi" w:hAnsiTheme="minorHAnsi" w:cstheme="minorHAnsi"/>
        </w:rPr>
        <w:t xml:space="preserve">&amp; </w:t>
      </w:r>
      <w:r w:rsidRPr="00634704" w:rsidR="005A6CA7">
        <w:rPr>
          <w:rFonts w:asciiTheme="minorHAnsi" w:hAnsiTheme="minorHAnsi" w:cstheme="minorHAnsi"/>
        </w:rPr>
        <w:t xml:space="preserve">Julia, C. (2020). </w:t>
      </w:r>
      <w:r w:rsidRPr="00634704" w:rsidR="00813C60">
        <w:rPr>
          <w:rFonts w:asciiTheme="minorHAnsi" w:hAnsiTheme="minorHAnsi" w:cstheme="minorHAnsi"/>
        </w:rPr>
        <w:t>Understanding of different front-of-package labels by the Spanish population: Results of a comparative study.</w:t>
      </w:r>
      <w:r w:rsidRPr="00634704" w:rsidR="008D7AF6">
        <w:rPr>
          <w:rFonts w:asciiTheme="minorHAnsi" w:hAnsiTheme="minorHAnsi" w:cstheme="minorHAnsi"/>
        </w:rPr>
        <w:t xml:space="preserve"> </w:t>
      </w:r>
      <w:r w:rsidRPr="00634704" w:rsidR="008D7AF6">
        <w:rPr>
          <w:rFonts w:asciiTheme="minorHAnsi" w:hAnsiTheme="minorHAnsi" w:cstheme="minorHAnsi"/>
          <w:i/>
        </w:rPr>
        <w:t>Endocrinología, Diabetes y Nutrición</w:t>
      </w:r>
      <w:r w:rsidRPr="00634704" w:rsidR="002C1ECB">
        <w:rPr>
          <w:rFonts w:asciiTheme="minorHAnsi" w:hAnsiTheme="minorHAnsi" w:cstheme="minorHAnsi"/>
        </w:rPr>
        <w:t>, 67</w:t>
      </w:r>
      <w:r w:rsidRPr="00634704" w:rsidR="00EC3060">
        <w:rPr>
          <w:rFonts w:asciiTheme="minorHAnsi" w:hAnsiTheme="minorHAnsi" w:cstheme="minorHAnsi"/>
        </w:rPr>
        <w:t>(2)</w:t>
      </w:r>
      <w:r w:rsidRPr="00634704" w:rsidR="008423E1">
        <w:rPr>
          <w:rFonts w:asciiTheme="minorHAnsi" w:hAnsiTheme="minorHAnsi" w:cstheme="minorHAnsi"/>
        </w:rPr>
        <w:t>,</w:t>
      </w:r>
      <w:r w:rsidRPr="00634704" w:rsidR="00EC3060">
        <w:rPr>
          <w:rFonts w:asciiTheme="minorHAnsi" w:hAnsiTheme="minorHAnsi" w:cstheme="minorHAnsi"/>
        </w:rPr>
        <w:t xml:space="preserve"> 122-129. </w:t>
      </w:r>
      <w:r w:rsidRPr="00634704" w:rsidR="008423E1">
        <w:rPr>
          <w:rFonts w:asciiTheme="minorHAnsi" w:hAnsiTheme="minorHAnsi" w:cstheme="minorHAnsi"/>
        </w:rPr>
        <w:t>https://</w:t>
      </w:r>
      <w:r w:rsidRPr="00634704" w:rsidR="00EC3060">
        <w:rPr>
          <w:rFonts w:asciiTheme="minorHAnsi" w:hAnsiTheme="minorHAnsi" w:cstheme="minorHAnsi"/>
        </w:rPr>
        <w:t>doi.org/10.1016/j.endien.2019.03.016</w:t>
      </w:r>
    </w:p>
    <w:p w:rsidR="00A1092A" w:rsidRPr="00634704" w:rsidP="00A1092A" w14:paraId="4E94CA15" w14:textId="77777777">
      <w:pPr>
        <w:pStyle w:val="EndNoteBibliography"/>
        <w:spacing w:after="0"/>
        <w:ind w:left="720" w:hanging="720"/>
        <w:rPr>
          <w:rFonts w:asciiTheme="minorHAnsi" w:hAnsiTheme="minorHAnsi" w:cstheme="minorHAnsi"/>
        </w:rPr>
      </w:pPr>
    </w:p>
    <w:p w:rsidR="00307B19" w:rsidRPr="00634704" w:rsidP="00A1092A" w14:paraId="7E74C214"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Georgina Russell, C., Burke, P. F., Waller, D. S., &amp; Wei, E. (2017). The impact of front-of-pack marketing attributes versus nutrition and health information on parents' food choices. </w:t>
      </w:r>
      <w:r w:rsidRPr="00634704">
        <w:rPr>
          <w:rFonts w:asciiTheme="minorHAnsi" w:hAnsiTheme="minorHAnsi" w:cstheme="minorHAnsi"/>
          <w:i/>
        </w:rPr>
        <w:t>Appetite, 116</w:t>
      </w:r>
      <w:r w:rsidRPr="00634704">
        <w:rPr>
          <w:rFonts w:asciiTheme="minorHAnsi" w:hAnsiTheme="minorHAnsi" w:cstheme="minorHAnsi"/>
        </w:rPr>
        <w:t xml:space="preserve">, 323-338. </w:t>
      </w:r>
    </w:p>
    <w:p w:rsidR="00A1092A" w:rsidRPr="00634704" w:rsidP="002C5B9B" w14:paraId="3D195CAC" w14:textId="3338BEA2">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doi:10.1016/j.appet.2017.05.001</w:t>
      </w:r>
    </w:p>
    <w:p w:rsidR="00A1092A" w:rsidRPr="00634704" w:rsidP="00A1092A" w14:paraId="1105128C" w14:textId="77777777">
      <w:pPr>
        <w:pStyle w:val="EndNoteBibliography"/>
        <w:spacing w:after="0"/>
        <w:ind w:left="720" w:hanging="720"/>
        <w:rPr>
          <w:rFonts w:asciiTheme="minorHAnsi" w:hAnsiTheme="minorHAnsi" w:cstheme="minorHAnsi"/>
        </w:rPr>
      </w:pPr>
    </w:p>
    <w:p w:rsidR="00AC17B1" w:rsidRPr="00634704" w:rsidP="00BE7AEF" w14:paraId="71387144" w14:textId="77777777">
      <w:pPr>
        <w:autoSpaceDE w:val="0"/>
        <w:autoSpaceDN w:val="0"/>
        <w:adjustRightInd w:val="0"/>
        <w:spacing w:after="0" w:line="240" w:lineRule="auto"/>
        <w:ind w:left="720" w:hanging="720"/>
        <w:rPr>
          <w:rFonts w:cstheme="minorHAnsi"/>
        </w:rPr>
      </w:pPr>
      <w:r w:rsidRPr="00634704">
        <w:rPr>
          <w:rFonts w:cstheme="minorHAnsi"/>
        </w:rPr>
        <w:t xml:space="preserve">Gibson‐Moore, H., &amp; Spiro, A. (2021). Evolution not revolution – what might the future hold for front‐of‐pack nutrition labelling in the </w:t>
      </w:r>
      <w:r w:rsidRPr="00634704">
        <w:rPr>
          <w:rFonts w:cstheme="minorHAnsi"/>
        </w:rPr>
        <w:t>UK?:</w:t>
      </w:r>
      <w:r w:rsidRPr="00634704">
        <w:rPr>
          <w:rFonts w:cstheme="minorHAnsi"/>
        </w:rPr>
        <w:t xml:space="preserve"> A British Nutrition Foundation roundtable. </w:t>
      </w:r>
      <w:r w:rsidRPr="00634704">
        <w:rPr>
          <w:rFonts w:cstheme="minorHAnsi"/>
          <w:i/>
        </w:rPr>
        <w:t>Nutrition Bulletin</w:t>
      </w:r>
      <w:r w:rsidRPr="00634704">
        <w:rPr>
          <w:rFonts w:cstheme="minorHAnsi"/>
        </w:rPr>
        <w:t>,</w:t>
      </w:r>
      <w:r w:rsidRPr="00634704">
        <w:rPr>
          <w:rFonts w:cstheme="minorHAnsi"/>
          <w:i/>
        </w:rPr>
        <w:t xml:space="preserve"> 46</w:t>
      </w:r>
      <w:r w:rsidRPr="00634704">
        <w:rPr>
          <w:rFonts w:cstheme="minorHAnsi"/>
        </w:rPr>
        <w:t xml:space="preserve">(3), 383-394. </w:t>
      </w:r>
    </w:p>
    <w:p w:rsidR="00BE7AEF" w:rsidRPr="00634704" w:rsidP="00AC17B1" w14:paraId="1BD3D513" w14:textId="0B37A819">
      <w:pPr>
        <w:autoSpaceDE w:val="0"/>
        <w:autoSpaceDN w:val="0"/>
        <w:adjustRightInd w:val="0"/>
        <w:spacing w:after="0" w:line="240" w:lineRule="auto"/>
        <w:ind w:left="720"/>
        <w:rPr>
          <w:rFonts w:cstheme="minorHAnsi"/>
        </w:rPr>
      </w:pPr>
      <w:r w:rsidRPr="00634704">
        <w:rPr>
          <w:rFonts w:cstheme="minorHAnsi"/>
        </w:rPr>
        <w:t xml:space="preserve">https://doi.org/10.1111/nbu.12517 </w:t>
      </w:r>
    </w:p>
    <w:p w:rsidR="00BE7AEF" w:rsidRPr="00634704" w:rsidP="00BE7AEF" w14:paraId="28A20BF3" w14:textId="77777777">
      <w:pPr>
        <w:autoSpaceDE w:val="0"/>
        <w:autoSpaceDN w:val="0"/>
        <w:adjustRightInd w:val="0"/>
        <w:spacing w:after="0" w:line="240" w:lineRule="auto"/>
        <w:ind w:left="720" w:hanging="720"/>
        <w:rPr>
          <w:rFonts w:cstheme="minorHAnsi"/>
        </w:rPr>
      </w:pPr>
    </w:p>
    <w:p w:rsidR="00AC17B1" w:rsidRPr="00634704" w:rsidP="00C96F64" w14:paraId="433551BB" w14:textId="1D42FE34">
      <w:pPr>
        <w:autoSpaceDE w:val="0"/>
        <w:autoSpaceDN w:val="0"/>
        <w:adjustRightInd w:val="0"/>
        <w:spacing w:after="0" w:line="240" w:lineRule="auto"/>
        <w:ind w:left="720" w:hanging="720"/>
        <w:rPr>
          <w:rFonts w:cstheme="minorHAnsi"/>
        </w:rPr>
      </w:pPr>
      <w:r w:rsidRPr="00634704">
        <w:rPr>
          <w:rFonts w:cstheme="minorHAnsi"/>
        </w:rPr>
        <w:t xml:space="preserve">Goiana-da-Silva, F., Cruz, E. S. D., Nobre-da-Costa, C., Nunes, A. M., Fialon, M., Egnell, M., Galan, P., Julia, C., Talati, Z., Pettigrew, S., Darzi, A., Araújo, F., &amp; Hercberg, S. (2021). </w:t>
      </w:r>
      <w:r w:rsidRPr="00634704" w:rsidR="004B6E26">
        <w:rPr>
          <w:rFonts w:cstheme="minorHAnsi"/>
        </w:rPr>
        <w:t>Nutri-Score</w:t>
      </w:r>
      <w:r w:rsidRPr="00634704">
        <w:rPr>
          <w:rFonts w:cstheme="minorHAnsi"/>
        </w:rPr>
        <w:t xml:space="preserve">: The Most Efficient Front-of-Pack Nutrition Label to Inform Portuguese Consumers on the Nutritional Quality of Foods and Help Them Identify Healthier Options in Purchasing Situations. </w:t>
      </w:r>
      <w:r w:rsidRPr="00634704">
        <w:rPr>
          <w:rFonts w:cstheme="minorHAnsi"/>
          <w:i/>
        </w:rPr>
        <w:t>Nutrients</w:t>
      </w:r>
      <w:r w:rsidRPr="00634704">
        <w:rPr>
          <w:rFonts w:cstheme="minorHAnsi"/>
        </w:rPr>
        <w:t>,</w:t>
      </w:r>
      <w:r w:rsidRPr="00634704">
        <w:rPr>
          <w:rFonts w:cstheme="minorHAnsi"/>
          <w:i/>
        </w:rPr>
        <w:t xml:space="preserve"> 13</w:t>
      </w:r>
      <w:r w:rsidRPr="00634704">
        <w:rPr>
          <w:rFonts w:cstheme="minorHAnsi"/>
        </w:rPr>
        <w:t>(12)</w:t>
      </w:r>
      <w:r w:rsidRPr="00634704" w:rsidR="00D239FD">
        <w:rPr>
          <w:rFonts w:cstheme="minorHAnsi"/>
        </w:rPr>
        <w:t xml:space="preserve">, </w:t>
      </w:r>
      <w:r w:rsidRPr="00634704" w:rsidR="00D239FD">
        <w:rPr>
          <w:rFonts w:cstheme="minorHAnsi"/>
          <w:color w:val="212121"/>
          <w:shd w:val="clear" w:color="auto" w:fill="FFFFFF"/>
        </w:rPr>
        <w:t>4335</w:t>
      </w:r>
      <w:r w:rsidRPr="00634704">
        <w:rPr>
          <w:rFonts w:cstheme="minorHAnsi"/>
        </w:rPr>
        <w:t xml:space="preserve">. </w:t>
      </w:r>
    </w:p>
    <w:p w:rsidR="00C96F64" w:rsidRPr="00634704" w:rsidP="002C5B9B" w14:paraId="5B0F7E32" w14:textId="6A57BE88">
      <w:pPr>
        <w:autoSpaceDE w:val="0"/>
        <w:autoSpaceDN w:val="0"/>
        <w:adjustRightInd w:val="0"/>
        <w:spacing w:after="0" w:line="240" w:lineRule="auto"/>
        <w:ind w:left="720"/>
        <w:rPr>
          <w:rFonts w:cstheme="minorHAnsi"/>
        </w:rPr>
      </w:pPr>
      <w:r w:rsidRPr="00634704">
        <w:rPr>
          <w:rFonts w:cstheme="minorHAnsi"/>
        </w:rPr>
        <w:t>https://doi.org/10.3390/nu13124335</w:t>
      </w:r>
    </w:p>
    <w:p w:rsidR="002D4DAC" w:rsidRPr="00634704" w:rsidP="00A1092A" w14:paraId="2E70B451" w14:textId="77777777">
      <w:pPr>
        <w:pStyle w:val="EndNoteBibliography"/>
        <w:spacing w:after="0"/>
        <w:ind w:left="720" w:hanging="720"/>
        <w:rPr>
          <w:rFonts w:asciiTheme="minorHAnsi" w:hAnsiTheme="minorHAnsi" w:cstheme="minorHAnsi"/>
        </w:rPr>
      </w:pPr>
    </w:p>
    <w:p w:rsidR="00353B35" w:rsidRPr="00634704" w:rsidP="00A1092A" w14:paraId="03BA2558" w14:textId="6C0FC689">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Goodman, S., Vanderlee, L., Acton, R., Mahamad, S., </w:t>
      </w:r>
      <w:r w:rsidRPr="00634704" w:rsidR="000D08A5">
        <w:rPr>
          <w:rFonts w:asciiTheme="minorHAnsi" w:hAnsiTheme="minorHAnsi" w:cstheme="minorHAnsi"/>
        </w:rPr>
        <w:t xml:space="preserve">&amp; </w:t>
      </w:r>
      <w:r w:rsidRPr="00634704">
        <w:rPr>
          <w:rFonts w:asciiTheme="minorHAnsi" w:hAnsiTheme="minorHAnsi" w:cstheme="minorHAnsi"/>
        </w:rPr>
        <w:t xml:space="preserve">Hammond, D. (2018). </w:t>
      </w:r>
      <w:r w:rsidRPr="00634704" w:rsidR="00411A51">
        <w:rPr>
          <w:rFonts w:asciiTheme="minorHAnsi" w:hAnsiTheme="minorHAnsi" w:cstheme="minorHAnsi"/>
        </w:rPr>
        <w:t xml:space="preserve">The Impact of Front-of-Package Label Design on Consumer Understanding of Nutrient Amounts. </w:t>
      </w:r>
      <w:r w:rsidRPr="002C5B9B" w:rsidR="00411A51">
        <w:rPr>
          <w:rFonts w:asciiTheme="minorHAnsi" w:hAnsiTheme="minorHAnsi" w:cstheme="minorHAnsi"/>
          <w:i/>
        </w:rPr>
        <w:t>Nutrients</w:t>
      </w:r>
      <w:r w:rsidRPr="00634704" w:rsidR="00411A51">
        <w:rPr>
          <w:rFonts w:asciiTheme="minorHAnsi" w:hAnsiTheme="minorHAnsi" w:cstheme="minorHAnsi"/>
        </w:rPr>
        <w:t>, 10, 1624</w:t>
      </w:r>
      <w:r w:rsidRPr="00634704" w:rsidR="00D72AA1">
        <w:rPr>
          <w:rFonts w:asciiTheme="minorHAnsi" w:hAnsiTheme="minorHAnsi" w:cstheme="minorHAnsi"/>
        </w:rPr>
        <w:t>.</w:t>
      </w:r>
      <w:r w:rsidRPr="00634704" w:rsidR="00411A51">
        <w:rPr>
          <w:rFonts w:asciiTheme="minorHAnsi" w:hAnsiTheme="minorHAnsi" w:cstheme="minorHAnsi"/>
        </w:rPr>
        <w:t xml:space="preserve"> </w:t>
      </w:r>
      <w:r w:rsidRPr="00634704" w:rsidR="00D72AA1">
        <w:rPr>
          <w:rFonts w:asciiTheme="minorHAnsi" w:hAnsiTheme="minorHAnsi" w:cstheme="minorHAnsi"/>
        </w:rPr>
        <w:t>https://</w:t>
      </w:r>
      <w:r w:rsidRPr="00634704" w:rsidR="00411A51">
        <w:rPr>
          <w:rFonts w:asciiTheme="minorHAnsi" w:hAnsiTheme="minorHAnsi" w:cstheme="minorHAnsi"/>
        </w:rPr>
        <w:t>doi:10.3390/nu10111624</w:t>
      </w:r>
    </w:p>
    <w:p w:rsidR="007074D5" w:rsidRPr="00634704" w:rsidP="00A1092A" w14:paraId="4D90503A" w14:textId="77777777">
      <w:pPr>
        <w:pStyle w:val="EndNoteBibliography"/>
        <w:spacing w:after="0"/>
        <w:ind w:left="720" w:hanging="720"/>
        <w:rPr>
          <w:rFonts w:asciiTheme="minorHAnsi" w:hAnsiTheme="minorHAnsi" w:cstheme="minorHAnsi"/>
        </w:rPr>
      </w:pPr>
    </w:p>
    <w:p w:rsidR="00D72AA1" w:rsidRPr="00634704" w:rsidP="007074D5" w14:paraId="3BD1AB6B" w14:textId="344073E0">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Gorski Findling, M. T., Werth, P. M., Musicus, A. A., Bragg, M. A., Graham, D. J., Elbel, B., &amp; Roberto, C. A. (2018). Comparing five front-of-pack nutrition labels' influence on consumers' perceptions and purchase intentions. </w:t>
      </w:r>
      <w:r w:rsidRPr="00634704" w:rsidR="003E7A32">
        <w:rPr>
          <w:rFonts w:asciiTheme="minorHAnsi" w:hAnsiTheme="minorHAnsi" w:cstheme="minorHAnsi"/>
          <w:i/>
          <w:iCs/>
          <w:color w:val="212121"/>
          <w:shd w:val="clear" w:color="auto" w:fill="FFFFFF"/>
        </w:rPr>
        <w:t>Preventive </w:t>
      </w:r>
      <w:r w:rsidRPr="00634704" w:rsidR="003E7A32">
        <w:rPr>
          <w:rFonts w:asciiTheme="minorHAnsi" w:hAnsiTheme="minorHAnsi" w:cstheme="minorHAnsi"/>
          <w:i/>
        </w:rPr>
        <w:t xml:space="preserve"> </w:t>
      </w:r>
      <w:r w:rsidRPr="00634704">
        <w:rPr>
          <w:rFonts w:asciiTheme="minorHAnsi" w:hAnsiTheme="minorHAnsi" w:cstheme="minorHAnsi"/>
          <w:i/>
        </w:rPr>
        <w:t>Med</w:t>
      </w:r>
      <w:r w:rsidRPr="00634704">
        <w:rPr>
          <w:rFonts w:asciiTheme="minorHAnsi" w:hAnsiTheme="minorHAnsi" w:cstheme="minorHAnsi"/>
          <w:i/>
        </w:rPr>
        <w:t>icine</w:t>
      </w:r>
      <w:r w:rsidRPr="00634704">
        <w:rPr>
          <w:rFonts w:asciiTheme="minorHAnsi" w:hAnsiTheme="minorHAnsi" w:cstheme="minorHAnsi"/>
          <w:i/>
        </w:rPr>
        <w:t>, 106</w:t>
      </w:r>
      <w:r w:rsidRPr="00634704">
        <w:rPr>
          <w:rFonts w:asciiTheme="minorHAnsi" w:hAnsiTheme="minorHAnsi" w:cstheme="minorHAnsi"/>
        </w:rPr>
        <w:t xml:space="preserve">, 114-121. </w:t>
      </w:r>
    </w:p>
    <w:p w:rsidR="007074D5" w:rsidRPr="00634704" w:rsidP="002C5B9B" w14:paraId="489DEEA2" w14:textId="140CD01D">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doi:10.1016/j.ypmed.2017.10.022</w:t>
      </w:r>
    </w:p>
    <w:p w:rsidR="00353B35" w:rsidRPr="00634704" w:rsidP="00A1092A" w14:paraId="4286D5E0" w14:textId="77777777">
      <w:pPr>
        <w:pStyle w:val="EndNoteBibliography"/>
        <w:spacing w:after="0"/>
        <w:ind w:left="720" w:hanging="720"/>
        <w:rPr>
          <w:rFonts w:asciiTheme="minorHAnsi" w:hAnsiTheme="minorHAnsi" w:cstheme="minorHAnsi"/>
        </w:rPr>
      </w:pPr>
    </w:p>
    <w:p w:rsidR="003E7A32" w:rsidRPr="00634704" w:rsidP="00A1092A" w14:paraId="6A94AC92" w14:textId="70CB0F56">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Graham, D. J., Lucas-Thompson, R. G., Mueller, M. P., Jaeb, M., &amp; Harnack, L. (2017). Impact of explained v. unexplained front-of-package nutrition labels on parent and child food choices: a randomized trial. </w:t>
      </w:r>
      <w:r w:rsidRPr="00634704">
        <w:rPr>
          <w:rFonts w:asciiTheme="minorHAnsi" w:hAnsiTheme="minorHAnsi" w:cstheme="minorHAnsi"/>
          <w:i/>
        </w:rPr>
        <w:t>Public Health Nutr</w:t>
      </w:r>
      <w:r w:rsidRPr="00634704" w:rsidR="00D86674">
        <w:rPr>
          <w:rFonts w:asciiTheme="minorHAnsi" w:hAnsiTheme="minorHAnsi" w:cstheme="minorHAnsi"/>
          <w:i/>
        </w:rPr>
        <w:t>ition</w:t>
      </w:r>
      <w:r w:rsidRPr="00634704">
        <w:rPr>
          <w:rFonts w:asciiTheme="minorHAnsi" w:hAnsiTheme="minorHAnsi" w:cstheme="minorHAnsi"/>
          <w:i/>
        </w:rPr>
        <w:t>, 20</w:t>
      </w:r>
      <w:r w:rsidRPr="00634704">
        <w:rPr>
          <w:rFonts w:asciiTheme="minorHAnsi" w:hAnsiTheme="minorHAnsi" w:cstheme="minorHAnsi"/>
        </w:rPr>
        <w:t xml:space="preserve">(5), 774-785. </w:t>
      </w:r>
    </w:p>
    <w:p w:rsidR="00A1092A" w:rsidRPr="00634704" w:rsidP="002C5B9B" w14:paraId="3B0E520D" w14:textId="2AE85C59">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doi:10.1017/s1368980016002676</w:t>
      </w:r>
    </w:p>
    <w:p w:rsidR="004D41EB" w:rsidRPr="00634704" w:rsidP="00A1092A" w14:paraId="6B35CCF0" w14:textId="77777777">
      <w:pPr>
        <w:pStyle w:val="EndNoteBibliography"/>
        <w:spacing w:after="0"/>
        <w:ind w:left="720" w:hanging="720"/>
        <w:rPr>
          <w:rFonts w:asciiTheme="minorHAnsi" w:hAnsiTheme="minorHAnsi" w:cstheme="minorHAnsi"/>
        </w:rPr>
      </w:pPr>
    </w:p>
    <w:p w:rsidR="00D86674" w:rsidRPr="00634704" w:rsidP="00A1092A" w14:paraId="08CCBE03"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Grandi, B., Cardinali, M.G., </w:t>
      </w:r>
      <w:r w:rsidRPr="00634704" w:rsidR="00A06CD6">
        <w:rPr>
          <w:rFonts w:asciiTheme="minorHAnsi" w:hAnsiTheme="minorHAnsi" w:cstheme="minorHAnsi"/>
        </w:rPr>
        <w:t xml:space="preserve">&amp; </w:t>
      </w:r>
      <w:r w:rsidRPr="00634704">
        <w:rPr>
          <w:rFonts w:asciiTheme="minorHAnsi" w:hAnsiTheme="minorHAnsi" w:cstheme="minorHAnsi"/>
        </w:rPr>
        <w:t>Bellini, S. (</w:t>
      </w:r>
      <w:r w:rsidRPr="00634704" w:rsidR="00E567E8">
        <w:rPr>
          <w:rFonts w:asciiTheme="minorHAnsi" w:hAnsiTheme="minorHAnsi" w:cstheme="minorHAnsi"/>
        </w:rPr>
        <w:t xml:space="preserve">2019). How to communicate healthy products inside grocery stores. </w:t>
      </w:r>
      <w:r w:rsidRPr="00634704" w:rsidR="006B28F7">
        <w:rPr>
          <w:rFonts w:asciiTheme="minorHAnsi" w:hAnsiTheme="minorHAnsi" w:cstheme="minorHAnsi"/>
          <w:i/>
        </w:rPr>
        <w:t>British Food Journal</w:t>
      </w:r>
      <w:r w:rsidRPr="00634704" w:rsidR="006B28F7">
        <w:rPr>
          <w:rFonts w:asciiTheme="minorHAnsi" w:hAnsiTheme="minorHAnsi" w:cstheme="minorHAnsi"/>
        </w:rPr>
        <w:t>, 121</w:t>
      </w:r>
      <w:r w:rsidRPr="00634704" w:rsidR="00047B01">
        <w:rPr>
          <w:rFonts w:asciiTheme="minorHAnsi" w:hAnsiTheme="minorHAnsi" w:cstheme="minorHAnsi"/>
        </w:rPr>
        <w:t xml:space="preserve"> (</w:t>
      </w:r>
      <w:r w:rsidRPr="00634704" w:rsidR="006B28F7">
        <w:rPr>
          <w:rFonts w:asciiTheme="minorHAnsi" w:hAnsiTheme="minorHAnsi" w:cstheme="minorHAnsi"/>
        </w:rPr>
        <w:t>11</w:t>
      </w:r>
      <w:r w:rsidRPr="00634704" w:rsidR="00047B01">
        <w:rPr>
          <w:rFonts w:asciiTheme="minorHAnsi" w:hAnsiTheme="minorHAnsi" w:cstheme="minorHAnsi"/>
        </w:rPr>
        <w:t>)</w:t>
      </w:r>
      <w:r w:rsidRPr="00634704" w:rsidR="006B28F7">
        <w:rPr>
          <w:rFonts w:asciiTheme="minorHAnsi" w:hAnsiTheme="minorHAnsi" w:cstheme="minorHAnsi"/>
        </w:rPr>
        <w:t>, 2637-2650</w:t>
      </w:r>
      <w:r w:rsidRPr="00634704" w:rsidR="00047B01">
        <w:rPr>
          <w:rFonts w:asciiTheme="minorHAnsi" w:hAnsiTheme="minorHAnsi" w:cstheme="minorHAnsi"/>
        </w:rPr>
        <w:t xml:space="preserve">. </w:t>
      </w:r>
    </w:p>
    <w:p w:rsidR="004D41EB" w:rsidRPr="00634704" w:rsidP="002C5B9B" w14:paraId="54DF6952" w14:textId="416D289F">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047B01">
        <w:rPr>
          <w:rFonts w:asciiTheme="minorHAnsi" w:hAnsiTheme="minorHAnsi" w:cstheme="minorHAnsi"/>
        </w:rPr>
        <w:t>doi:</w:t>
      </w:r>
      <w:r w:rsidRPr="00634704" w:rsidR="006B28F7">
        <w:rPr>
          <w:rFonts w:asciiTheme="minorHAnsi" w:hAnsiTheme="minorHAnsi" w:cstheme="minorHAnsi"/>
        </w:rPr>
        <w:t>10.1108/BFJ-01-2019-0047</w:t>
      </w:r>
    </w:p>
    <w:p w:rsidR="003373EC" w:rsidRPr="00634704" w:rsidP="00A1092A" w14:paraId="3A3192DA" w14:textId="77777777">
      <w:pPr>
        <w:pStyle w:val="EndNoteBibliography"/>
        <w:spacing w:after="0"/>
        <w:ind w:left="720" w:hanging="720"/>
        <w:rPr>
          <w:rFonts w:asciiTheme="minorHAnsi" w:hAnsiTheme="minorHAnsi" w:cstheme="minorHAnsi"/>
        </w:rPr>
      </w:pPr>
    </w:p>
    <w:p w:rsidR="003373EC" w:rsidRPr="00634704" w:rsidP="00A1092A" w14:paraId="72E30B42" w14:textId="75D579CB">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Grummon, A., Halla, M., Taillie, S., </w:t>
      </w:r>
      <w:r w:rsidRPr="00634704" w:rsidR="00A06CD6">
        <w:rPr>
          <w:rFonts w:asciiTheme="minorHAnsi" w:hAnsiTheme="minorHAnsi" w:cstheme="minorHAnsi"/>
        </w:rPr>
        <w:t xml:space="preserve">&amp; </w:t>
      </w:r>
      <w:r w:rsidRPr="00634704">
        <w:rPr>
          <w:rFonts w:asciiTheme="minorHAnsi" w:hAnsiTheme="minorHAnsi" w:cstheme="minorHAnsi"/>
        </w:rPr>
        <w:t>Brewer, T.</w:t>
      </w:r>
      <w:r w:rsidRPr="00634704" w:rsidR="0017422C">
        <w:rPr>
          <w:rFonts w:asciiTheme="minorHAnsi" w:hAnsiTheme="minorHAnsi" w:cstheme="minorHAnsi"/>
        </w:rPr>
        <w:t xml:space="preserve"> (2019). How should sugar-sweetened beverage health warnings be designed? A randomized experiment.</w:t>
      </w:r>
      <w:r w:rsidRPr="00634704" w:rsidR="00673AB3">
        <w:rPr>
          <w:rFonts w:asciiTheme="minorHAnsi" w:hAnsiTheme="minorHAnsi" w:cstheme="minorHAnsi"/>
        </w:rPr>
        <w:t xml:space="preserve"> </w:t>
      </w:r>
      <w:r w:rsidRPr="002C5B9B" w:rsidR="00673AB3">
        <w:rPr>
          <w:rFonts w:asciiTheme="minorHAnsi" w:hAnsiTheme="minorHAnsi" w:cstheme="minorHAnsi"/>
          <w:i/>
        </w:rPr>
        <w:t>Preventative Medicine</w:t>
      </w:r>
      <w:r w:rsidRPr="00634704" w:rsidR="00673AB3">
        <w:rPr>
          <w:rFonts w:asciiTheme="minorHAnsi" w:hAnsiTheme="minorHAnsi" w:cstheme="minorHAnsi"/>
        </w:rPr>
        <w:t>, 121</w:t>
      </w:r>
      <w:r w:rsidRPr="00634704" w:rsidR="007C7918">
        <w:rPr>
          <w:rFonts w:asciiTheme="minorHAnsi" w:hAnsiTheme="minorHAnsi" w:cstheme="minorHAnsi"/>
        </w:rPr>
        <w:t xml:space="preserve">, </w:t>
      </w:r>
      <w:r w:rsidRPr="00634704" w:rsidR="007C7918">
        <w:rPr>
          <w:rFonts w:asciiTheme="minorHAnsi" w:hAnsiTheme="minorHAnsi" w:cstheme="minorHAnsi"/>
          <w:color w:val="212121"/>
          <w:shd w:val="clear" w:color="auto" w:fill="FFFFFF"/>
        </w:rPr>
        <w:t>158–166</w:t>
      </w:r>
      <w:r w:rsidRPr="00634704" w:rsidR="00673AB3">
        <w:rPr>
          <w:rFonts w:asciiTheme="minorHAnsi" w:hAnsiTheme="minorHAnsi" w:cstheme="minorHAnsi"/>
        </w:rPr>
        <w:t xml:space="preserve">. </w:t>
      </w:r>
      <w:r w:rsidRPr="00634704" w:rsidR="00A70E94">
        <w:rPr>
          <w:rFonts w:asciiTheme="minorHAnsi" w:hAnsiTheme="minorHAnsi" w:cstheme="minorHAnsi"/>
        </w:rPr>
        <w:t>https://</w:t>
      </w:r>
      <w:r w:rsidRPr="00634704" w:rsidR="00673AB3">
        <w:rPr>
          <w:rFonts w:asciiTheme="minorHAnsi" w:hAnsiTheme="minorHAnsi" w:cstheme="minorHAnsi"/>
        </w:rPr>
        <w:t>doi:10.1016/j.ypmed.2019.02.010 R</w:t>
      </w:r>
    </w:p>
    <w:p w:rsidR="00673AB3" w:rsidRPr="00634704" w:rsidP="00A1092A" w14:paraId="028D72DF" w14:textId="77777777">
      <w:pPr>
        <w:pStyle w:val="EndNoteBibliography"/>
        <w:spacing w:after="0"/>
        <w:ind w:left="720" w:hanging="720"/>
        <w:rPr>
          <w:rFonts w:asciiTheme="minorHAnsi" w:hAnsiTheme="minorHAnsi" w:cstheme="minorHAnsi"/>
        </w:rPr>
      </w:pPr>
    </w:p>
    <w:p w:rsidR="00B34112" w:rsidRPr="00634704" w:rsidP="00A1092A" w14:paraId="23C7184F" w14:textId="45A04D4F">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Grummon, A., Taillie, L., Golden, S., Hall, M., Ranny, L., Brewer, N. (2019) </w:t>
      </w:r>
      <w:r w:rsidRPr="00634704" w:rsidR="00AE483D">
        <w:rPr>
          <w:rFonts w:asciiTheme="minorHAnsi" w:hAnsiTheme="minorHAnsi" w:cstheme="minorHAnsi"/>
        </w:rPr>
        <w:t xml:space="preserve">Sugar-Sweetened Beverage Health Warnings and Purchases: A Randomized Controlled Trial. </w:t>
      </w:r>
      <w:r w:rsidRPr="00634704" w:rsidR="00AE483D">
        <w:rPr>
          <w:rFonts w:asciiTheme="minorHAnsi" w:hAnsiTheme="minorHAnsi" w:cstheme="minorHAnsi"/>
          <w:i/>
        </w:rPr>
        <w:t>American Journal of Preventative Medicine</w:t>
      </w:r>
      <w:r w:rsidRPr="00634704" w:rsidR="00CB00CA">
        <w:rPr>
          <w:rFonts w:asciiTheme="minorHAnsi" w:hAnsiTheme="minorHAnsi" w:cstheme="minorHAnsi"/>
        </w:rPr>
        <w:t>, 57(5)</w:t>
      </w:r>
      <w:r w:rsidRPr="00634704">
        <w:rPr>
          <w:rFonts w:asciiTheme="minorHAnsi" w:hAnsiTheme="minorHAnsi" w:cstheme="minorHAnsi"/>
        </w:rPr>
        <w:t>,</w:t>
      </w:r>
      <w:r w:rsidRPr="00634704" w:rsidR="00CB00CA">
        <w:rPr>
          <w:rFonts w:asciiTheme="minorHAnsi" w:hAnsiTheme="minorHAnsi" w:cstheme="minorHAnsi"/>
        </w:rPr>
        <w:t xml:space="preserve"> 601-610. </w:t>
      </w:r>
    </w:p>
    <w:p w:rsidR="00A1092A" w:rsidRPr="00634704" w:rsidP="002C5B9B" w14:paraId="2F6E972A" w14:textId="0B3F249F">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CB00CA">
        <w:rPr>
          <w:rFonts w:asciiTheme="minorHAnsi" w:hAnsiTheme="minorHAnsi" w:cstheme="minorHAnsi"/>
        </w:rPr>
        <w:t>doi.org/10.1016/j.amepre.2019.06.019</w:t>
      </w:r>
    </w:p>
    <w:p w:rsidR="00A06CD6" w:rsidRPr="00634704" w:rsidP="00A1092A" w14:paraId="12A2538D" w14:textId="77777777">
      <w:pPr>
        <w:pStyle w:val="EndNoteBibliography"/>
        <w:spacing w:after="0"/>
        <w:ind w:left="720" w:hanging="720"/>
        <w:rPr>
          <w:rFonts w:asciiTheme="minorHAnsi" w:hAnsiTheme="minorHAnsi" w:cstheme="minorHAnsi"/>
        </w:rPr>
      </w:pPr>
    </w:p>
    <w:p w:rsidR="007613C5" w:rsidRPr="00634704" w:rsidP="00C96F64" w14:paraId="616C2DDD" w14:textId="03AAB09B">
      <w:pPr>
        <w:autoSpaceDE w:val="0"/>
        <w:autoSpaceDN w:val="0"/>
        <w:adjustRightInd w:val="0"/>
        <w:spacing w:after="0" w:line="240" w:lineRule="auto"/>
        <w:ind w:left="720" w:hanging="720"/>
        <w:rPr>
          <w:rFonts w:cstheme="minorHAnsi"/>
        </w:rPr>
      </w:pPr>
      <w:r w:rsidRPr="00634704">
        <w:rPr>
          <w:rFonts w:cstheme="minorHAnsi"/>
        </w:rPr>
        <w:t xml:space="preserve">Gupta, A., Billich, N., George, N. A., Blake, M. R., Huse, O., Backholer, K., Boelsen-Robinson, T., &amp; Peeters, A. (2021). The effect of front-of-package labels or point-of-sale signage on consumer knowledge, </w:t>
      </w:r>
      <w:r w:rsidRPr="00634704">
        <w:rPr>
          <w:rFonts w:cstheme="minorHAnsi"/>
        </w:rPr>
        <w:t>attitudes</w:t>
      </w:r>
      <w:r w:rsidRPr="00634704">
        <w:rPr>
          <w:rFonts w:cstheme="minorHAnsi"/>
        </w:rPr>
        <w:t xml:space="preserve"> and behavior regarding sugar-sweetened beverages: a systematic review. </w:t>
      </w:r>
      <w:r w:rsidRPr="00634704">
        <w:rPr>
          <w:rFonts w:cstheme="minorHAnsi"/>
          <w:i/>
          <w:iCs/>
        </w:rPr>
        <w:t>Nutr</w:t>
      </w:r>
      <w:r w:rsidRPr="00634704" w:rsidR="0007086E">
        <w:rPr>
          <w:rFonts w:cstheme="minorHAnsi"/>
          <w:i/>
          <w:iCs/>
        </w:rPr>
        <w:t>ition</w:t>
      </w:r>
      <w:r w:rsidRPr="00634704">
        <w:rPr>
          <w:rFonts w:cstheme="minorHAnsi"/>
          <w:i/>
          <w:iCs/>
        </w:rPr>
        <w:t xml:space="preserve"> Rev</w:t>
      </w:r>
      <w:r w:rsidRPr="00634704" w:rsidR="0007086E">
        <w:rPr>
          <w:rFonts w:cstheme="minorHAnsi"/>
          <w:i/>
          <w:iCs/>
        </w:rPr>
        <w:t>iews</w:t>
      </w:r>
      <w:r w:rsidRPr="00634704">
        <w:rPr>
          <w:rFonts w:cstheme="minorHAnsi"/>
        </w:rPr>
        <w:t>,</w:t>
      </w:r>
      <w:r w:rsidRPr="00634704">
        <w:rPr>
          <w:rFonts w:cstheme="minorHAnsi"/>
          <w:i/>
        </w:rPr>
        <w:t xml:space="preserve"> 79</w:t>
      </w:r>
      <w:r w:rsidRPr="00634704">
        <w:rPr>
          <w:rFonts w:cstheme="minorHAnsi"/>
        </w:rPr>
        <w:t xml:space="preserve">(10), 1165-1181. </w:t>
      </w:r>
    </w:p>
    <w:p w:rsidR="00C96F64" w:rsidRPr="00634704" w:rsidP="002C5B9B" w14:paraId="4556D20B" w14:textId="117C1CDE">
      <w:pPr>
        <w:autoSpaceDE w:val="0"/>
        <w:autoSpaceDN w:val="0"/>
        <w:adjustRightInd w:val="0"/>
        <w:spacing w:after="0" w:line="240" w:lineRule="auto"/>
        <w:ind w:left="720"/>
        <w:rPr>
          <w:rFonts w:cstheme="minorHAnsi"/>
        </w:rPr>
      </w:pPr>
      <w:r w:rsidRPr="00634704">
        <w:rPr>
          <w:rFonts w:cstheme="minorHAnsi"/>
        </w:rPr>
        <w:t xml:space="preserve">https://doi.org/10.1093/nutrit/nuaa107 </w:t>
      </w:r>
    </w:p>
    <w:p w:rsidR="00477086" w:rsidRPr="00634704" w:rsidP="00A1092A" w14:paraId="12BE46DB" w14:textId="77777777">
      <w:pPr>
        <w:pStyle w:val="EndNoteBibliography"/>
        <w:spacing w:after="0"/>
        <w:ind w:left="720" w:hanging="720"/>
        <w:rPr>
          <w:rFonts w:asciiTheme="minorHAnsi" w:hAnsiTheme="minorHAnsi" w:cstheme="minorHAnsi"/>
        </w:rPr>
      </w:pPr>
    </w:p>
    <w:p w:rsidR="00DD6A55" w:rsidRPr="00634704" w:rsidP="00A1092A" w14:paraId="0682F3B1"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Gustaf</w:t>
      </w:r>
      <w:r w:rsidRPr="00634704" w:rsidR="00050039">
        <w:rPr>
          <w:rFonts w:asciiTheme="minorHAnsi" w:hAnsiTheme="minorHAnsi" w:cstheme="minorHAnsi"/>
        </w:rPr>
        <w:t xml:space="preserve">son, C. (2019). Front-of-Pack Nutrition Labels and Point-of-Decision Strategies to Improve Food Choice Quality. </w:t>
      </w:r>
      <w:r w:rsidRPr="00634704" w:rsidR="00050039">
        <w:rPr>
          <w:rFonts w:asciiTheme="minorHAnsi" w:hAnsiTheme="minorHAnsi" w:cstheme="minorHAnsi"/>
          <w:i/>
        </w:rPr>
        <w:t>American Journal of Public Health</w:t>
      </w:r>
      <w:r w:rsidRPr="00634704" w:rsidR="006A6667">
        <w:rPr>
          <w:rFonts w:asciiTheme="minorHAnsi" w:hAnsiTheme="minorHAnsi" w:cstheme="minorHAnsi"/>
        </w:rPr>
        <w:t xml:space="preserve">, 109 (12), </w:t>
      </w:r>
      <w:r w:rsidRPr="00634704" w:rsidR="00D36F61">
        <w:rPr>
          <w:rFonts w:asciiTheme="minorHAnsi" w:hAnsiTheme="minorHAnsi" w:cstheme="minorHAnsi"/>
        </w:rPr>
        <w:t xml:space="preserve">1624-1625. </w:t>
      </w:r>
    </w:p>
    <w:p w:rsidR="00477086" w:rsidRPr="00634704" w:rsidP="002C5B9B" w14:paraId="27AA8EF8" w14:textId="6C06805C">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4B102B">
        <w:rPr>
          <w:rFonts w:asciiTheme="minorHAnsi" w:hAnsiTheme="minorHAnsi" w:cstheme="minorHAnsi"/>
        </w:rPr>
        <w:t>doi: 10.2105/AJPH.2019.305384</w:t>
      </w:r>
    </w:p>
    <w:p w:rsidR="004B102B" w:rsidRPr="00634704" w:rsidP="00A1092A" w14:paraId="526DDE9B" w14:textId="77777777">
      <w:pPr>
        <w:pStyle w:val="EndNoteBibliography"/>
        <w:spacing w:after="0"/>
        <w:ind w:left="720" w:hanging="720"/>
        <w:rPr>
          <w:rFonts w:asciiTheme="minorHAnsi" w:hAnsiTheme="minorHAnsi" w:cstheme="minorHAnsi"/>
        </w:rPr>
      </w:pPr>
    </w:p>
    <w:p w:rsidR="004B102B" w:rsidRPr="00634704" w:rsidP="00A1092A" w14:paraId="4A82A7A3" w14:textId="0990283D">
      <w:pPr>
        <w:pStyle w:val="EndNoteBibliography"/>
        <w:spacing w:after="0"/>
        <w:ind w:left="720" w:hanging="720"/>
        <w:rPr>
          <w:rFonts w:asciiTheme="minorHAnsi" w:hAnsiTheme="minorHAnsi" w:cstheme="minorHAnsi"/>
        </w:rPr>
      </w:pPr>
      <w:r w:rsidRPr="00634704">
        <w:rPr>
          <w:rFonts w:asciiTheme="minorHAnsi" w:hAnsiTheme="minorHAnsi" w:cstheme="minorHAnsi"/>
        </w:rPr>
        <w:t>Gustafson, C., &amp; Prate, M. (2019).</w:t>
      </w:r>
      <w:r w:rsidRPr="00634704" w:rsidR="00664799">
        <w:rPr>
          <w:rFonts w:asciiTheme="minorHAnsi" w:hAnsiTheme="minorHAnsi" w:cstheme="minorHAnsi"/>
        </w:rPr>
        <w:t xml:space="preserve"> Healthy Food Labels Tailored to a High-Risk, Minority Population More Effectively Promote Healthy Choices than Generic Labels. </w:t>
      </w:r>
      <w:r w:rsidRPr="00634704" w:rsidR="00664799">
        <w:rPr>
          <w:rFonts w:asciiTheme="minorHAnsi" w:hAnsiTheme="minorHAnsi" w:cstheme="minorHAnsi"/>
          <w:i/>
        </w:rPr>
        <w:t>Nutrients</w:t>
      </w:r>
      <w:r w:rsidRPr="00634704" w:rsidR="00664799">
        <w:rPr>
          <w:rFonts w:asciiTheme="minorHAnsi" w:hAnsiTheme="minorHAnsi" w:cstheme="minorHAnsi"/>
        </w:rPr>
        <w:t xml:space="preserve">, 11, 2272. </w:t>
      </w:r>
      <w:r w:rsidRPr="00634704" w:rsidR="00DD6A55">
        <w:rPr>
          <w:rFonts w:asciiTheme="minorHAnsi" w:hAnsiTheme="minorHAnsi" w:cstheme="minorHAnsi"/>
        </w:rPr>
        <w:t>https://</w:t>
      </w:r>
      <w:r w:rsidRPr="00634704" w:rsidR="00664799">
        <w:rPr>
          <w:rFonts w:asciiTheme="minorHAnsi" w:hAnsiTheme="minorHAnsi" w:cstheme="minorHAnsi"/>
        </w:rPr>
        <w:t>doi:10.3390/nu11102272</w:t>
      </w:r>
    </w:p>
    <w:p w:rsidR="00120D31" w:rsidRPr="00634704" w:rsidP="00A1092A" w14:paraId="57DF7F49" w14:textId="77777777">
      <w:pPr>
        <w:pStyle w:val="EndNoteBibliography"/>
        <w:spacing w:after="0"/>
        <w:ind w:left="720" w:hanging="720"/>
        <w:rPr>
          <w:rFonts w:asciiTheme="minorHAnsi" w:hAnsiTheme="minorHAnsi" w:cstheme="minorHAnsi"/>
        </w:rPr>
      </w:pPr>
    </w:p>
    <w:p w:rsidR="009839A2" w:rsidRPr="00634704" w:rsidP="00A1092A" w14:paraId="10C90840"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Hagmann, </w:t>
      </w:r>
      <w:r w:rsidRPr="00120D31">
        <w:rPr>
          <w:rFonts w:asciiTheme="minorHAnsi" w:hAnsiTheme="minorHAnsi" w:cstheme="minorHAnsi"/>
        </w:rPr>
        <w:t>D.,</w:t>
      </w:r>
      <w:r w:rsidRPr="00634704">
        <w:rPr>
          <w:rFonts w:asciiTheme="minorHAnsi" w:hAnsiTheme="minorHAnsi" w:cstheme="minorHAnsi"/>
        </w:rPr>
        <w:t xml:space="preserve"> </w:t>
      </w:r>
      <w:r w:rsidRPr="00634704" w:rsidR="005D2E03">
        <w:rPr>
          <w:rFonts w:asciiTheme="minorHAnsi" w:hAnsiTheme="minorHAnsi" w:cstheme="minorHAnsi"/>
        </w:rPr>
        <w:t xml:space="preserve">&amp; </w:t>
      </w:r>
      <w:r w:rsidRPr="00634704">
        <w:rPr>
          <w:rFonts w:asciiTheme="minorHAnsi" w:hAnsiTheme="minorHAnsi" w:cstheme="minorHAnsi"/>
        </w:rPr>
        <w:t>Siegrist, M. (20</w:t>
      </w:r>
      <w:r w:rsidRPr="00634704" w:rsidR="003B6DB0">
        <w:rPr>
          <w:rFonts w:asciiTheme="minorHAnsi" w:hAnsiTheme="minorHAnsi" w:cstheme="minorHAnsi"/>
        </w:rPr>
        <w:t xml:space="preserve">20). </w:t>
      </w:r>
      <w:r w:rsidRPr="00634704" w:rsidR="004B6E26">
        <w:rPr>
          <w:rFonts w:asciiTheme="minorHAnsi" w:hAnsiTheme="minorHAnsi" w:cstheme="minorHAnsi"/>
        </w:rPr>
        <w:t>Nutri-Score</w:t>
      </w:r>
      <w:r w:rsidRPr="00634704" w:rsidR="003B6DB0">
        <w:rPr>
          <w:rFonts w:asciiTheme="minorHAnsi" w:hAnsiTheme="minorHAnsi" w:cstheme="minorHAnsi"/>
        </w:rPr>
        <w:t xml:space="preserve">, multiple traffic light and incomplete nutrition labelling on food packages: Effects on consumers’ accuracy in identifying healthier snack options. </w:t>
      </w:r>
      <w:r w:rsidRPr="002C5B9B" w:rsidR="00B66AAF">
        <w:rPr>
          <w:rFonts w:asciiTheme="minorHAnsi" w:hAnsiTheme="minorHAnsi" w:cstheme="minorHAnsi"/>
          <w:i/>
        </w:rPr>
        <w:t>Food Quality and Preference</w:t>
      </w:r>
      <w:r w:rsidRPr="00634704" w:rsidR="00B66AAF">
        <w:rPr>
          <w:rFonts w:asciiTheme="minorHAnsi" w:hAnsiTheme="minorHAnsi" w:cstheme="minorHAnsi"/>
        </w:rPr>
        <w:t>, 83</w:t>
      </w:r>
      <w:r w:rsidRPr="00634704">
        <w:rPr>
          <w:rFonts w:asciiTheme="minorHAnsi" w:hAnsiTheme="minorHAnsi" w:cstheme="minorHAnsi"/>
        </w:rPr>
        <w:t xml:space="preserve">, </w:t>
      </w:r>
      <w:r w:rsidRPr="00634704">
        <w:rPr>
          <w:rFonts w:asciiTheme="minorHAnsi" w:hAnsiTheme="minorHAnsi" w:cstheme="minorHAnsi"/>
          <w:color w:val="1B1B1B"/>
          <w:shd w:val="clear" w:color="auto" w:fill="FFFFFF"/>
        </w:rPr>
        <w:t>103894</w:t>
      </w:r>
      <w:r w:rsidRPr="00634704" w:rsidR="00564F09">
        <w:rPr>
          <w:rFonts w:asciiTheme="minorHAnsi" w:hAnsiTheme="minorHAnsi" w:cstheme="minorHAnsi"/>
        </w:rPr>
        <w:t xml:space="preserve">. </w:t>
      </w:r>
    </w:p>
    <w:p w:rsidR="00120D31" w:rsidRPr="00634704" w:rsidP="002C5B9B" w14:paraId="3ECCE7FE" w14:textId="130A903F">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564F09">
        <w:rPr>
          <w:rFonts w:asciiTheme="minorHAnsi" w:hAnsiTheme="minorHAnsi" w:cstheme="minorHAnsi"/>
        </w:rPr>
        <w:t>doi: 10.1016/j.foodqual.2020.103894 R</w:t>
      </w:r>
    </w:p>
    <w:p w:rsidR="00D852FF" w:rsidRPr="00634704" w:rsidP="00A1092A" w14:paraId="2DDAC4CF" w14:textId="77777777">
      <w:pPr>
        <w:pStyle w:val="EndNoteBibliography"/>
        <w:spacing w:after="0"/>
        <w:ind w:left="720" w:hanging="720"/>
        <w:rPr>
          <w:rFonts w:asciiTheme="minorHAnsi" w:hAnsiTheme="minorHAnsi" w:cstheme="minorHAnsi"/>
        </w:rPr>
      </w:pPr>
    </w:p>
    <w:p w:rsidR="00E8617C" w:rsidRPr="00634704" w:rsidP="00A1092A" w14:paraId="043F6DFC"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Hallez, L., Qutteina, Y., Raedschelders, M., Boen, F., &amp; Smits, T. (</w:t>
      </w:r>
      <w:r w:rsidRPr="00634704" w:rsidR="00030B3B">
        <w:rPr>
          <w:rFonts w:asciiTheme="minorHAnsi" w:hAnsiTheme="minorHAnsi" w:cstheme="minorHAnsi"/>
        </w:rPr>
        <w:t xml:space="preserve">2019). That’s My Cue to Eat: A Systematic Review of the Persuasiveness of Front-of-Pack Cues on Food Packages for Children vs. Adults. </w:t>
      </w:r>
      <w:r w:rsidRPr="00634704" w:rsidR="00030B3B">
        <w:rPr>
          <w:rFonts w:asciiTheme="minorHAnsi" w:hAnsiTheme="minorHAnsi" w:cstheme="minorHAnsi"/>
          <w:i/>
        </w:rPr>
        <w:t>Nutrients</w:t>
      </w:r>
      <w:r w:rsidRPr="00634704" w:rsidR="00030B3B">
        <w:rPr>
          <w:rFonts w:asciiTheme="minorHAnsi" w:hAnsiTheme="minorHAnsi" w:cstheme="minorHAnsi"/>
        </w:rPr>
        <w:t xml:space="preserve">, 12, 1062. </w:t>
      </w:r>
    </w:p>
    <w:p w:rsidR="00D852FF" w:rsidRPr="00634704" w:rsidP="002C5B9B" w14:paraId="39967A94" w14:textId="6D8DCC50">
      <w:pPr>
        <w:pStyle w:val="EndNoteBibliography"/>
        <w:spacing w:after="0"/>
        <w:ind w:left="720"/>
        <w:rPr>
          <w:rFonts w:asciiTheme="minorHAnsi" w:hAnsiTheme="minorHAnsi" w:cstheme="minorHAnsi"/>
        </w:rPr>
      </w:pPr>
      <w:r w:rsidRPr="00634704">
        <w:rPr>
          <w:rFonts w:asciiTheme="minorHAnsi" w:hAnsiTheme="minorHAnsi" w:cstheme="minorHAnsi"/>
        </w:rPr>
        <w:t>http://</w:t>
      </w:r>
      <w:r w:rsidRPr="00634704" w:rsidR="00030B3B">
        <w:rPr>
          <w:rFonts w:asciiTheme="minorHAnsi" w:hAnsiTheme="minorHAnsi" w:cstheme="minorHAnsi"/>
        </w:rPr>
        <w:t>doi:10.3390/nu12041062</w:t>
      </w:r>
    </w:p>
    <w:p w:rsidR="00E43A92" w:rsidRPr="00634704" w:rsidP="00A1092A" w14:paraId="681D3B11" w14:textId="77777777">
      <w:pPr>
        <w:pStyle w:val="EndNoteBibliography"/>
        <w:spacing w:after="0"/>
        <w:ind w:left="720" w:hanging="720"/>
        <w:rPr>
          <w:rFonts w:asciiTheme="minorHAnsi" w:hAnsiTheme="minorHAnsi" w:cstheme="minorHAnsi"/>
        </w:rPr>
      </w:pPr>
    </w:p>
    <w:p w:rsidR="00241F0C" w:rsidRPr="00634704" w:rsidP="00A1092A" w14:paraId="1631530F"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Hamlin, R.</w:t>
      </w:r>
      <w:r w:rsidRPr="00634704" w:rsidR="00FC2053">
        <w:rPr>
          <w:rFonts w:asciiTheme="minorHAnsi" w:hAnsiTheme="minorHAnsi" w:cstheme="minorHAnsi"/>
        </w:rPr>
        <w:t xml:space="preserve">, &amp; Hamlin, B. (2020). An Experimental Comparison of the Impact of ‘Warning’ and ‘Health Star Rating’ </w:t>
      </w:r>
      <w:r w:rsidRPr="00634704" w:rsidR="00F638F1">
        <w:rPr>
          <w:rFonts w:asciiTheme="minorHAnsi" w:hAnsiTheme="minorHAnsi" w:cstheme="minorHAnsi"/>
        </w:rPr>
        <w:t>FOP</w:t>
      </w:r>
      <w:r w:rsidRPr="00634704" w:rsidR="00FC2053">
        <w:rPr>
          <w:rFonts w:asciiTheme="minorHAnsi" w:hAnsiTheme="minorHAnsi" w:cstheme="minorHAnsi"/>
        </w:rPr>
        <w:t xml:space="preserve"> Labels on Adolescents’ Choice of Breakfast Cereals in New Zealand. </w:t>
      </w:r>
      <w:r w:rsidRPr="00634704" w:rsidR="009857D5">
        <w:rPr>
          <w:rFonts w:asciiTheme="minorHAnsi" w:hAnsiTheme="minorHAnsi" w:cstheme="minorHAnsi"/>
          <w:i/>
        </w:rPr>
        <w:t>Nutrients</w:t>
      </w:r>
      <w:r w:rsidRPr="00634704" w:rsidR="009857D5">
        <w:rPr>
          <w:rFonts w:asciiTheme="minorHAnsi" w:hAnsiTheme="minorHAnsi" w:cstheme="minorHAnsi"/>
        </w:rPr>
        <w:t xml:space="preserve">, 12, 1545. </w:t>
      </w:r>
    </w:p>
    <w:p w:rsidR="00E43A92" w:rsidRPr="00634704" w:rsidP="002C5B9B" w14:paraId="15F4B675" w14:textId="15C08FDB">
      <w:pPr>
        <w:pStyle w:val="EndNoteBibliography"/>
        <w:spacing w:after="0"/>
        <w:ind w:left="720"/>
        <w:rPr>
          <w:rFonts w:asciiTheme="minorHAnsi" w:hAnsiTheme="minorHAnsi" w:cstheme="minorHAnsi"/>
        </w:rPr>
      </w:pPr>
      <w:r w:rsidRPr="002C5B9B">
        <w:rPr>
          <w:rFonts w:asciiTheme="minorHAnsi" w:hAnsiTheme="minorHAnsi" w:cstheme="minorHAnsi"/>
        </w:rPr>
        <w:t>https://</w:t>
      </w:r>
      <w:r w:rsidRPr="002C5B9B" w:rsidR="009857D5">
        <w:rPr>
          <w:rFonts w:asciiTheme="minorHAnsi" w:hAnsiTheme="minorHAnsi" w:cstheme="minorHAnsi"/>
        </w:rPr>
        <w:t>doi:10.3390/nu12061545</w:t>
      </w:r>
    </w:p>
    <w:p w:rsidR="004426AA" w:rsidRPr="00634704" w:rsidP="00A1092A" w14:paraId="33FA3122" w14:textId="77777777">
      <w:pPr>
        <w:pStyle w:val="EndNoteBibliography"/>
        <w:spacing w:after="0"/>
        <w:ind w:left="720" w:hanging="720"/>
        <w:rPr>
          <w:rFonts w:asciiTheme="minorHAnsi" w:hAnsiTheme="minorHAnsi" w:cstheme="minorHAnsi"/>
        </w:rPr>
      </w:pPr>
    </w:p>
    <w:p w:rsidR="00A1092A" w:rsidRPr="00634704" w:rsidP="00A1092A" w14:paraId="40A9E2F3" w14:textId="2E771C25">
      <w:pPr>
        <w:pStyle w:val="EndNoteBibliography"/>
        <w:spacing w:after="0"/>
        <w:ind w:left="720" w:hanging="720"/>
        <w:rPr>
          <w:rFonts w:asciiTheme="minorHAnsi" w:hAnsiTheme="minorHAnsi" w:cstheme="minorHAnsi"/>
        </w:rPr>
      </w:pPr>
      <w:r w:rsidRPr="00634704">
        <w:rPr>
          <w:rFonts w:asciiTheme="minorHAnsi" w:hAnsiTheme="minorHAnsi" w:cstheme="minorHAnsi"/>
        </w:rPr>
        <w:t>Hamlin, R.</w:t>
      </w:r>
      <w:r w:rsidRPr="00634704" w:rsidR="00241F0C">
        <w:rPr>
          <w:rFonts w:asciiTheme="minorHAnsi" w:hAnsiTheme="minorHAnsi" w:cstheme="minorHAnsi"/>
        </w:rPr>
        <w:t>,</w:t>
      </w:r>
      <w:r w:rsidRPr="00634704">
        <w:rPr>
          <w:rFonts w:asciiTheme="minorHAnsi" w:hAnsiTheme="minorHAnsi" w:cstheme="minorHAnsi"/>
        </w:rPr>
        <w:t xml:space="preserve"> </w:t>
      </w:r>
      <w:r w:rsidRPr="00634704" w:rsidR="00241F0C">
        <w:rPr>
          <w:rFonts w:asciiTheme="minorHAnsi" w:hAnsiTheme="minorHAnsi" w:cstheme="minorHAnsi"/>
        </w:rPr>
        <w:t>&amp;</w:t>
      </w:r>
      <w:r w:rsidRPr="00634704">
        <w:rPr>
          <w:rFonts w:asciiTheme="minorHAnsi" w:hAnsiTheme="minorHAnsi" w:cstheme="minorHAnsi"/>
        </w:rPr>
        <w:t xml:space="preserve"> L. McNeill (2018)</w:t>
      </w:r>
      <w:r w:rsidRPr="00634704" w:rsidR="00241F0C">
        <w:rPr>
          <w:rFonts w:asciiTheme="minorHAnsi" w:hAnsiTheme="minorHAnsi" w:cstheme="minorHAnsi"/>
        </w:rPr>
        <w:t>.</w:t>
      </w:r>
      <w:r w:rsidRPr="00634704">
        <w:rPr>
          <w:rFonts w:asciiTheme="minorHAnsi" w:hAnsiTheme="minorHAnsi" w:cstheme="minorHAnsi"/>
        </w:rPr>
        <w:t xml:space="preserve"> The Impact of the Australasian 'Health Star Rating', Front-of-Pack Nutritional Label, on Consumer Choice: A Longitudinal Study. </w:t>
      </w:r>
      <w:r w:rsidRPr="00634704">
        <w:rPr>
          <w:rFonts w:asciiTheme="minorHAnsi" w:hAnsiTheme="minorHAnsi" w:cstheme="minorHAnsi"/>
          <w:i/>
        </w:rPr>
        <w:t>Nutrients</w:t>
      </w:r>
      <w:r w:rsidRPr="00634704">
        <w:rPr>
          <w:rFonts w:asciiTheme="minorHAnsi" w:hAnsiTheme="minorHAnsi" w:cstheme="minorHAnsi"/>
        </w:rPr>
        <w:t>, 10(7)</w:t>
      </w:r>
      <w:r w:rsidRPr="00634704" w:rsidR="0044192A">
        <w:rPr>
          <w:rFonts w:asciiTheme="minorHAnsi" w:hAnsiTheme="minorHAnsi" w:cstheme="minorHAnsi"/>
        </w:rPr>
        <w:t xml:space="preserve">, </w:t>
      </w:r>
      <w:r w:rsidRPr="00634704" w:rsidR="0044192A">
        <w:rPr>
          <w:rFonts w:asciiTheme="minorHAnsi" w:hAnsiTheme="minorHAnsi" w:cstheme="minorHAnsi"/>
          <w:color w:val="212121"/>
          <w:shd w:val="clear" w:color="auto" w:fill="FFFFFF"/>
        </w:rPr>
        <w:t>906</w:t>
      </w:r>
      <w:r w:rsidRPr="00634704">
        <w:rPr>
          <w:rFonts w:asciiTheme="minorHAnsi" w:hAnsiTheme="minorHAnsi" w:cstheme="minorHAnsi"/>
        </w:rPr>
        <w:t>.</w:t>
      </w:r>
    </w:p>
    <w:p w:rsidR="007E0E17" w:rsidRPr="00634704" w:rsidP="00A1092A" w14:paraId="58E9C316" w14:textId="7A171629">
      <w:pPr>
        <w:pStyle w:val="EndNoteBibliography"/>
        <w:spacing w:after="0"/>
        <w:ind w:left="720" w:hanging="720"/>
        <w:rPr>
          <w:rFonts w:asciiTheme="minorHAnsi" w:hAnsiTheme="minorHAnsi" w:cstheme="minorHAnsi"/>
        </w:rPr>
      </w:pPr>
      <w:r w:rsidRPr="00634704">
        <w:rPr>
          <w:rFonts w:asciiTheme="minorHAnsi" w:hAnsiTheme="minorHAnsi" w:cstheme="minorHAnsi"/>
        </w:rPr>
        <w:tab/>
      </w:r>
      <w:r w:rsidRPr="00634704">
        <w:rPr>
          <w:rFonts w:asciiTheme="minorHAnsi" w:hAnsiTheme="minorHAnsi" w:cstheme="minorHAnsi"/>
          <w:color w:val="212121"/>
          <w:shd w:val="clear" w:color="auto" w:fill="FFFFFF"/>
        </w:rPr>
        <w:t>https://doi.org/10.3390/nu10070906</w:t>
      </w:r>
    </w:p>
    <w:p w:rsidR="009B1F1C" w:rsidRPr="00634704" w:rsidP="00A1092A" w14:paraId="529D94D7" w14:textId="77777777">
      <w:pPr>
        <w:pStyle w:val="EndNoteBibliography"/>
        <w:spacing w:after="0"/>
        <w:ind w:left="720" w:hanging="720"/>
        <w:rPr>
          <w:rFonts w:asciiTheme="minorHAnsi" w:hAnsiTheme="minorHAnsi" w:cstheme="minorHAnsi"/>
        </w:rPr>
      </w:pPr>
    </w:p>
    <w:p w:rsidR="00705C88" w:rsidRPr="00634704" w:rsidP="00A1092A" w14:paraId="46D3B99F" w14:textId="21694FBF">
      <w:pPr>
        <w:pStyle w:val="EndNoteBibliography"/>
        <w:spacing w:after="0"/>
        <w:ind w:left="720" w:hanging="720"/>
        <w:rPr>
          <w:rFonts w:asciiTheme="minorHAnsi" w:hAnsiTheme="minorHAnsi" w:cstheme="minorHAnsi"/>
        </w:rPr>
      </w:pPr>
      <w:r w:rsidRPr="00634704">
        <w:rPr>
          <w:rFonts w:asciiTheme="minorHAnsi" w:hAnsiTheme="minorHAnsi" w:cstheme="minorHAnsi"/>
        </w:rPr>
        <w:t>Harrington, R., Scorborough, P., Hodgkins, C.,</w:t>
      </w:r>
      <w:r w:rsidRPr="00634704" w:rsidR="001058A0">
        <w:rPr>
          <w:rFonts w:asciiTheme="minorHAnsi" w:hAnsiTheme="minorHAnsi" w:cstheme="minorHAnsi"/>
        </w:rPr>
        <w:t xml:space="preserve"> </w:t>
      </w:r>
      <w:r w:rsidRPr="00634704" w:rsidR="00B668A6">
        <w:rPr>
          <w:rFonts w:asciiTheme="minorHAnsi" w:hAnsiTheme="minorHAnsi" w:cstheme="minorHAnsi"/>
          <w:color w:val="212121"/>
          <w:shd w:val="clear" w:color="auto" w:fill="FFFFFF"/>
        </w:rPr>
        <w:t>Raats, M. M., Cowburn, G., Dean, M., Doherty, A., Foster, C., Juszczak, E., Ni Mhurchu, C., Winstone, N., Shepherd, R., Timotijevic, L., &amp;</w:t>
      </w:r>
      <w:r w:rsidRPr="00634704" w:rsidR="001058A0">
        <w:rPr>
          <w:rFonts w:asciiTheme="minorHAnsi" w:hAnsiTheme="minorHAnsi" w:cstheme="minorHAnsi"/>
        </w:rPr>
        <w:t xml:space="preserve"> </w:t>
      </w:r>
      <w:r w:rsidRPr="00634704">
        <w:rPr>
          <w:rFonts w:asciiTheme="minorHAnsi" w:hAnsiTheme="minorHAnsi" w:cstheme="minorHAnsi"/>
        </w:rPr>
        <w:t>Rayner</w:t>
      </w:r>
      <w:r w:rsidRPr="00634704" w:rsidR="008E11F9">
        <w:rPr>
          <w:rFonts w:asciiTheme="minorHAnsi" w:hAnsiTheme="minorHAnsi" w:cstheme="minorHAnsi"/>
        </w:rPr>
        <w:t>, M. (2019). A Pilot Randomized Controlled Trial of a Digital Intervention Aimed at Improving Food Purchasing Behavior: The Front-of-Pack Food Labels Impact on Consumer Choice Study.</w:t>
      </w:r>
      <w:r w:rsidRPr="00634704" w:rsidR="00D5179B">
        <w:rPr>
          <w:rFonts w:asciiTheme="minorHAnsi" w:hAnsiTheme="minorHAnsi" w:cstheme="minorHAnsi"/>
        </w:rPr>
        <w:t xml:space="preserve"> </w:t>
      </w:r>
      <w:r w:rsidRPr="002C5B9B" w:rsidR="00D5179B">
        <w:rPr>
          <w:rFonts w:asciiTheme="minorHAnsi" w:hAnsiTheme="minorHAnsi" w:cstheme="minorHAnsi"/>
          <w:i/>
        </w:rPr>
        <w:t>JMIR Form</w:t>
      </w:r>
      <w:r w:rsidRPr="002C5B9B" w:rsidR="008E264C">
        <w:rPr>
          <w:rFonts w:asciiTheme="minorHAnsi" w:hAnsiTheme="minorHAnsi" w:cstheme="minorHAnsi"/>
          <w:i/>
        </w:rPr>
        <w:t>ative</w:t>
      </w:r>
      <w:r w:rsidRPr="002C5B9B" w:rsidR="00D5179B">
        <w:rPr>
          <w:rFonts w:asciiTheme="minorHAnsi" w:hAnsiTheme="minorHAnsi" w:cstheme="minorHAnsi"/>
          <w:i/>
        </w:rPr>
        <w:t xml:space="preserve"> Res</w:t>
      </w:r>
      <w:r w:rsidRPr="002C5B9B" w:rsidR="008E264C">
        <w:rPr>
          <w:rFonts w:asciiTheme="minorHAnsi" w:hAnsiTheme="minorHAnsi" w:cstheme="minorHAnsi"/>
          <w:i/>
        </w:rPr>
        <w:t>earch</w:t>
      </w:r>
      <w:r w:rsidRPr="00634704" w:rsidR="008E264C">
        <w:rPr>
          <w:rFonts w:asciiTheme="minorHAnsi" w:hAnsiTheme="minorHAnsi" w:cstheme="minorHAnsi"/>
        </w:rPr>
        <w:t xml:space="preserve">, 3(2), </w:t>
      </w:r>
      <w:r w:rsidRPr="00634704" w:rsidR="00CA1FF3">
        <w:rPr>
          <w:rFonts w:asciiTheme="minorHAnsi" w:hAnsiTheme="minorHAnsi" w:cstheme="minorHAnsi"/>
          <w:color w:val="212121"/>
          <w:shd w:val="clear" w:color="auto" w:fill="FFFFFF"/>
        </w:rPr>
        <w:t>e9910</w:t>
      </w:r>
      <w:r w:rsidRPr="00634704" w:rsidR="008E264C">
        <w:rPr>
          <w:rFonts w:asciiTheme="minorHAnsi" w:hAnsiTheme="minorHAnsi" w:cstheme="minorHAnsi"/>
        </w:rPr>
        <w:t xml:space="preserve">. </w:t>
      </w:r>
      <w:r w:rsidRPr="00634704" w:rsidR="00D5179B">
        <w:rPr>
          <w:rFonts w:asciiTheme="minorHAnsi" w:hAnsiTheme="minorHAnsi" w:cstheme="minorHAnsi"/>
        </w:rPr>
        <w:t xml:space="preserve"> </w:t>
      </w:r>
    </w:p>
    <w:p w:rsidR="00826C7F" w:rsidRPr="00634704" w:rsidP="00A1092A" w14:paraId="129C9AB9" w14:textId="208049D8">
      <w:pPr>
        <w:pStyle w:val="EndNoteBibliography"/>
        <w:spacing w:after="0"/>
        <w:ind w:left="720" w:hanging="720"/>
        <w:rPr>
          <w:rFonts w:asciiTheme="minorHAnsi" w:hAnsiTheme="minorHAnsi" w:cstheme="minorHAnsi"/>
        </w:rPr>
      </w:pPr>
      <w:r w:rsidRPr="00634704">
        <w:rPr>
          <w:rFonts w:asciiTheme="minorHAnsi" w:hAnsiTheme="minorHAnsi" w:cstheme="minorHAnsi"/>
        </w:rPr>
        <w:tab/>
      </w:r>
      <w:r w:rsidRPr="00634704">
        <w:rPr>
          <w:rFonts w:asciiTheme="minorHAnsi" w:hAnsiTheme="minorHAnsi" w:cstheme="minorHAnsi"/>
          <w:color w:val="212121"/>
          <w:shd w:val="clear" w:color="auto" w:fill="FFFFFF"/>
        </w:rPr>
        <w:t>https://doi.org/10.2196/formative.9910</w:t>
      </w:r>
    </w:p>
    <w:p w:rsidR="000F610F" w:rsidRPr="00634704" w:rsidP="00A1092A" w14:paraId="42E73979" w14:textId="77777777">
      <w:pPr>
        <w:pStyle w:val="EndNoteBibliography"/>
        <w:spacing w:after="0"/>
        <w:ind w:left="720" w:hanging="720"/>
        <w:rPr>
          <w:rFonts w:asciiTheme="minorHAnsi" w:hAnsiTheme="minorHAnsi" w:cstheme="minorHAnsi"/>
        </w:rPr>
      </w:pPr>
    </w:p>
    <w:p w:rsidR="005C5B38" w:rsidRPr="00634704" w:rsidP="00A1092A" w14:paraId="55716D1D" w14:textId="60251958">
      <w:pPr>
        <w:pStyle w:val="EndNoteBibliography"/>
        <w:spacing w:after="0"/>
        <w:ind w:left="720" w:hanging="720"/>
        <w:rPr>
          <w:rFonts w:asciiTheme="minorHAnsi" w:hAnsiTheme="minorHAnsi" w:cstheme="minorHAnsi"/>
        </w:rPr>
      </w:pPr>
      <w:r w:rsidRPr="00634704">
        <w:rPr>
          <w:rFonts w:asciiTheme="minorHAnsi" w:hAnsiTheme="minorHAnsi" w:cstheme="minorHAnsi"/>
        </w:rPr>
        <w:t>Hercberg, S., Touvier, M., &amp; Salas-Salvado, J. (</w:t>
      </w:r>
      <w:r w:rsidRPr="00634704" w:rsidR="00BE2AAF">
        <w:rPr>
          <w:rFonts w:asciiTheme="minorHAnsi" w:hAnsiTheme="minorHAnsi" w:cstheme="minorHAnsi"/>
        </w:rPr>
        <w:t xml:space="preserve">2021). The </w:t>
      </w:r>
      <w:r w:rsidRPr="00634704" w:rsidR="004B6E26">
        <w:rPr>
          <w:rFonts w:asciiTheme="minorHAnsi" w:hAnsiTheme="minorHAnsi" w:cstheme="minorHAnsi"/>
        </w:rPr>
        <w:t>Nutri-Score</w:t>
      </w:r>
      <w:r w:rsidRPr="00634704" w:rsidR="00BE2AAF">
        <w:rPr>
          <w:rFonts w:asciiTheme="minorHAnsi" w:hAnsiTheme="minorHAnsi" w:cstheme="minorHAnsi"/>
        </w:rPr>
        <w:t xml:space="preserve"> nutrition label A public health tool based on rigorous scientific evidence aiming to improve the nutritional status of the population. </w:t>
      </w:r>
      <w:r w:rsidRPr="002C5B9B" w:rsidR="00BE2AAF">
        <w:rPr>
          <w:rFonts w:asciiTheme="minorHAnsi" w:hAnsiTheme="minorHAnsi" w:cstheme="minorHAnsi"/>
          <w:i/>
          <w:iCs/>
        </w:rPr>
        <w:t>Int</w:t>
      </w:r>
      <w:r w:rsidRPr="002C5B9B" w:rsidR="00EC03CB">
        <w:rPr>
          <w:rFonts w:asciiTheme="minorHAnsi" w:hAnsiTheme="minorHAnsi" w:cstheme="minorHAnsi"/>
          <w:i/>
          <w:iCs/>
        </w:rPr>
        <w:t>ernational</w:t>
      </w:r>
      <w:r w:rsidRPr="002C5B9B" w:rsidR="00BE2AAF">
        <w:rPr>
          <w:rFonts w:asciiTheme="minorHAnsi" w:hAnsiTheme="minorHAnsi" w:cstheme="minorHAnsi"/>
          <w:i/>
        </w:rPr>
        <w:t xml:space="preserve"> J</w:t>
      </w:r>
      <w:r w:rsidRPr="002C5B9B" w:rsidR="000145D9">
        <w:rPr>
          <w:rFonts w:asciiTheme="minorHAnsi" w:hAnsiTheme="minorHAnsi" w:cstheme="minorHAnsi"/>
          <w:i/>
        </w:rPr>
        <w:t>ournal of</w:t>
      </w:r>
      <w:r w:rsidRPr="002C5B9B" w:rsidR="00BE2AAF">
        <w:rPr>
          <w:rFonts w:asciiTheme="minorHAnsi" w:hAnsiTheme="minorHAnsi" w:cstheme="minorHAnsi"/>
          <w:i/>
        </w:rPr>
        <w:t xml:space="preserve"> Vitam</w:t>
      </w:r>
      <w:r w:rsidRPr="002C5B9B" w:rsidR="000145D9">
        <w:rPr>
          <w:rFonts w:asciiTheme="minorHAnsi" w:hAnsiTheme="minorHAnsi" w:cstheme="minorHAnsi"/>
          <w:i/>
        </w:rPr>
        <w:t>in</w:t>
      </w:r>
      <w:r w:rsidRPr="002C5B9B" w:rsidR="00BE2AAF">
        <w:rPr>
          <w:rFonts w:asciiTheme="minorHAnsi" w:hAnsiTheme="minorHAnsi" w:cstheme="minorHAnsi"/>
          <w:i/>
        </w:rPr>
        <w:t xml:space="preserve"> Nutr</w:t>
      </w:r>
      <w:r w:rsidRPr="002C5B9B" w:rsidR="000145D9">
        <w:rPr>
          <w:rFonts w:asciiTheme="minorHAnsi" w:hAnsiTheme="minorHAnsi" w:cstheme="minorHAnsi"/>
          <w:i/>
        </w:rPr>
        <w:t>itional</w:t>
      </w:r>
      <w:r w:rsidRPr="002C5B9B" w:rsidR="00BE2AAF">
        <w:rPr>
          <w:rFonts w:asciiTheme="minorHAnsi" w:hAnsiTheme="minorHAnsi" w:cstheme="minorHAnsi"/>
          <w:i/>
        </w:rPr>
        <w:t xml:space="preserve"> Research</w:t>
      </w:r>
      <w:r w:rsidRPr="00634704" w:rsidR="00BE2AAF">
        <w:rPr>
          <w:rFonts w:asciiTheme="minorHAnsi" w:hAnsiTheme="minorHAnsi" w:cstheme="minorHAnsi"/>
        </w:rPr>
        <w:t xml:space="preserve">, </w:t>
      </w:r>
      <w:r w:rsidRPr="00634704" w:rsidR="00B80128">
        <w:rPr>
          <w:rFonts w:asciiTheme="minorHAnsi" w:hAnsiTheme="minorHAnsi" w:cstheme="minorHAnsi"/>
          <w:color w:val="333333"/>
          <w:shd w:val="clear" w:color="auto" w:fill="F7F7F7"/>
        </w:rPr>
        <w:t>92, 147-157</w:t>
      </w:r>
      <w:r w:rsidRPr="00634704" w:rsidR="000145D9">
        <w:rPr>
          <w:rFonts w:asciiTheme="minorHAnsi" w:hAnsiTheme="minorHAnsi" w:cstheme="minorHAnsi"/>
        </w:rPr>
        <w:t xml:space="preserve">. </w:t>
      </w:r>
    </w:p>
    <w:p w:rsidR="000F610F" w:rsidRPr="00634704" w:rsidP="002C5B9B" w14:paraId="5101E2C8" w14:textId="13712071">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BE2AAF">
        <w:rPr>
          <w:rFonts w:asciiTheme="minorHAnsi" w:hAnsiTheme="minorHAnsi" w:cstheme="minorHAnsi"/>
        </w:rPr>
        <w:t>doi</w:t>
      </w:r>
      <w:r w:rsidRPr="00634704" w:rsidR="000145D9">
        <w:rPr>
          <w:rFonts w:asciiTheme="minorHAnsi" w:hAnsiTheme="minorHAnsi" w:cstheme="minorHAnsi"/>
        </w:rPr>
        <w:t xml:space="preserve">: </w:t>
      </w:r>
      <w:r w:rsidRPr="00634704" w:rsidR="00BE2AAF">
        <w:rPr>
          <w:rFonts w:asciiTheme="minorHAnsi" w:hAnsiTheme="minorHAnsi" w:cstheme="minorHAnsi"/>
        </w:rPr>
        <w:t>10.1024/0300-9831/a000722</w:t>
      </w:r>
    </w:p>
    <w:p w:rsidR="00A1092A" w:rsidRPr="00634704" w:rsidP="00A1092A" w14:paraId="50746310" w14:textId="77777777">
      <w:pPr>
        <w:pStyle w:val="EndNoteBibliography"/>
        <w:spacing w:after="0"/>
        <w:ind w:left="720" w:hanging="720"/>
        <w:rPr>
          <w:rFonts w:asciiTheme="minorHAnsi" w:hAnsiTheme="minorHAnsi" w:cstheme="minorHAnsi"/>
        </w:rPr>
      </w:pPr>
    </w:p>
    <w:p w:rsidR="6EA475C8" w:rsidRPr="00634704" w:rsidP="002C5B9B" w14:paraId="5BE1841B" w14:textId="0A4A1F56">
      <w:pPr>
        <w:spacing w:after="0" w:line="240" w:lineRule="auto"/>
        <w:ind w:left="360" w:hanging="360"/>
        <w:rPr>
          <w:rFonts w:cstheme="minorHAnsi"/>
        </w:rPr>
      </w:pPr>
      <w:r w:rsidRPr="00634704">
        <w:rPr>
          <w:rFonts w:eastAsia="Calibri" w:cstheme="minorHAnsi"/>
        </w:rPr>
        <w:t xml:space="preserve">Hersey, JC, KC </w:t>
      </w:r>
      <w:r w:rsidRPr="00634704">
        <w:rPr>
          <w:rFonts w:eastAsia="Calibri" w:cstheme="minorHAnsi"/>
        </w:rPr>
        <w:t>Wohlgenant</w:t>
      </w:r>
      <w:r w:rsidRPr="00634704">
        <w:rPr>
          <w:rFonts w:eastAsia="Calibri" w:cstheme="minorHAnsi"/>
        </w:rPr>
        <w:t>, JE Arsenault, KM</w:t>
      </w:r>
      <w:r w:rsidRPr="00634704">
        <w:rPr>
          <w:rFonts w:cstheme="minorHAnsi"/>
        </w:rPr>
        <w:t xml:space="preserve"> </w:t>
      </w:r>
      <w:r w:rsidRPr="00634704">
        <w:rPr>
          <w:rFonts w:cstheme="minorHAnsi"/>
        </w:rPr>
        <w:t>Kosa</w:t>
      </w:r>
      <w:r w:rsidRPr="00634704">
        <w:rPr>
          <w:rFonts w:cstheme="minorHAnsi"/>
        </w:rPr>
        <w:t xml:space="preserve">, </w:t>
      </w:r>
      <w:r w:rsidRPr="00634704" w:rsidR="00580B77">
        <w:rPr>
          <w:rFonts w:cstheme="minorHAnsi"/>
          <w:noProof/>
        </w:rPr>
        <w:t xml:space="preserve">&amp; </w:t>
      </w:r>
      <w:r w:rsidRPr="00634704">
        <w:rPr>
          <w:rFonts w:cstheme="minorHAnsi"/>
        </w:rPr>
        <w:t xml:space="preserve">MK </w:t>
      </w:r>
      <w:r w:rsidRPr="00634704">
        <w:rPr>
          <w:rFonts w:cstheme="minorHAnsi"/>
        </w:rPr>
        <w:t>Muth</w:t>
      </w:r>
      <w:r w:rsidRPr="00634704">
        <w:rPr>
          <w:rFonts w:cstheme="minorHAnsi"/>
        </w:rPr>
        <w:t xml:space="preserve">. </w:t>
      </w:r>
      <w:r w:rsidRPr="00634704" w:rsidR="00580B77">
        <w:rPr>
          <w:rFonts w:cstheme="minorHAnsi"/>
          <w:noProof/>
        </w:rPr>
        <w:t>(</w:t>
      </w:r>
      <w:r w:rsidRPr="00634704">
        <w:rPr>
          <w:rFonts w:cstheme="minorHAnsi"/>
        </w:rPr>
        <w:t>2013</w:t>
      </w:r>
      <w:r w:rsidRPr="00634704" w:rsidR="00580B77">
        <w:rPr>
          <w:rFonts w:cstheme="minorHAnsi"/>
          <w:noProof/>
        </w:rPr>
        <w:t>)</w:t>
      </w:r>
      <w:r w:rsidRPr="00634704">
        <w:rPr>
          <w:rFonts w:cstheme="minorHAnsi"/>
          <w:noProof/>
        </w:rPr>
        <w:t>.</w:t>
      </w:r>
      <w:r w:rsidRPr="00634704">
        <w:rPr>
          <w:rFonts w:cstheme="minorHAnsi"/>
        </w:rPr>
        <w:t xml:space="preserve"> Effects of front-of-package and shelf nutrition labeling systems on consumers. </w:t>
      </w:r>
      <w:r w:rsidRPr="002C5B9B">
        <w:rPr>
          <w:rFonts w:cstheme="minorHAnsi"/>
          <w:i/>
        </w:rPr>
        <w:t>Nutrition Reviews</w:t>
      </w:r>
      <w:r w:rsidRPr="00634704">
        <w:rPr>
          <w:rFonts w:cstheme="minorHAnsi"/>
        </w:rPr>
        <w:t>. 71(1</w:t>
      </w:r>
      <w:r w:rsidRPr="00634704">
        <w:rPr>
          <w:rFonts w:cstheme="minorHAnsi"/>
          <w:noProof/>
        </w:rPr>
        <w:t>)</w:t>
      </w:r>
      <w:r w:rsidRPr="00634704" w:rsidR="00B019C0">
        <w:rPr>
          <w:rFonts w:cstheme="minorHAnsi"/>
          <w:noProof/>
        </w:rPr>
        <w:t xml:space="preserve">, </w:t>
      </w:r>
      <w:r w:rsidRPr="00634704">
        <w:rPr>
          <w:rFonts w:cstheme="minorHAnsi"/>
        </w:rPr>
        <w:t>1-14.</w:t>
      </w:r>
    </w:p>
    <w:p w:rsidR="00B019C0" w:rsidRPr="00634704" w:rsidP="002C5B9B" w14:paraId="5DD14426" w14:textId="2CF80807">
      <w:pPr>
        <w:spacing w:after="0" w:line="240" w:lineRule="auto"/>
        <w:ind w:left="360" w:hanging="360"/>
        <w:rPr>
          <w:rFonts w:cstheme="minorHAnsi"/>
          <w:noProof/>
        </w:rPr>
      </w:pPr>
      <w:r w:rsidRPr="00634704">
        <w:rPr>
          <w:rFonts w:cstheme="minorHAnsi"/>
          <w:noProof/>
        </w:rPr>
        <w:tab/>
      </w:r>
      <w:r w:rsidRPr="00634704">
        <w:rPr>
          <w:rFonts w:cstheme="minorHAnsi"/>
          <w:color w:val="212121"/>
          <w:shd w:val="clear" w:color="auto" w:fill="FFFFFF"/>
        </w:rPr>
        <w:t>https://doi.org/10.1111/nure.12000</w:t>
      </w:r>
    </w:p>
    <w:p w:rsidR="00B019C0" w:rsidRPr="00634704" w:rsidP="00A1092A" w14:paraId="56BAFC35" w14:textId="77777777">
      <w:pPr>
        <w:pStyle w:val="EndNoteBibliography"/>
        <w:spacing w:after="0"/>
        <w:ind w:left="720" w:hanging="720"/>
        <w:rPr>
          <w:rFonts w:asciiTheme="minorHAnsi" w:hAnsiTheme="minorHAnsi" w:cstheme="minorHAnsi"/>
        </w:rPr>
      </w:pPr>
    </w:p>
    <w:p w:rsidR="00D2331A" w:rsidRPr="00634704" w:rsidP="00A1092A" w14:paraId="6D6D8B25" w14:textId="2E2375A3">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Hobin, E., Bollinger, B., Sacco, J., Liebman, E., Vanderlee, L., Zuo, F., </w:t>
      </w:r>
      <w:r w:rsidRPr="00634704" w:rsidR="00C8178D">
        <w:rPr>
          <w:rFonts w:asciiTheme="minorHAnsi" w:hAnsiTheme="minorHAnsi" w:cstheme="minorHAnsi"/>
          <w:color w:val="212121"/>
          <w:shd w:val="clear" w:color="auto" w:fill="FFFFFF"/>
        </w:rPr>
        <w:t>Rosella, L., L'abbe, M., Manson, H., &amp;</w:t>
      </w:r>
      <w:r w:rsidRPr="00634704" w:rsidR="00104078">
        <w:rPr>
          <w:rFonts w:asciiTheme="minorHAnsi" w:hAnsiTheme="minorHAnsi" w:cstheme="minorHAnsi"/>
          <w:color w:val="212121"/>
          <w:shd w:val="clear" w:color="auto" w:fill="FFFFFF"/>
        </w:rPr>
        <w:t xml:space="preserve"> </w:t>
      </w:r>
      <w:r w:rsidRPr="00634704">
        <w:rPr>
          <w:rFonts w:asciiTheme="minorHAnsi" w:hAnsiTheme="minorHAnsi" w:cstheme="minorHAnsi"/>
        </w:rPr>
        <w:t>Hammond, D. (2017). Consumers' Response to an O</w:t>
      </w:r>
      <w:r w:rsidRPr="00634704" w:rsidR="004B6E26">
        <w:rPr>
          <w:rFonts w:asciiTheme="minorHAnsi" w:hAnsiTheme="minorHAnsi" w:cstheme="minorHAnsi"/>
        </w:rPr>
        <w:t>Nutri-Score</w:t>
      </w:r>
      <w:r w:rsidRPr="00634704">
        <w:rPr>
          <w:rFonts w:asciiTheme="minorHAnsi" w:hAnsiTheme="minorHAnsi" w:cstheme="minorHAnsi"/>
        </w:rPr>
        <w:t xml:space="preserve">helf Nutrition Labelling System in Supermarkets: Evidence to Inform Policy and Practice. </w:t>
      </w:r>
      <w:r w:rsidRPr="00634704">
        <w:rPr>
          <w:rFonts w:asciiTheme="minorHAnsi" w:hAnsiTheme="minorHAnsi" w:cstheme="minorHAnsi"/>
          <w:i/>
        </w:rPr>
        <w:t>Milbank Q, 95</w:t>
      </w:r>
      <w:r w:rsidRPr="00634704">
        <w:rPr>
          <w:rFonts w:asciiTheme="minorHAnsi" w:hAnsiTheme="minorHAnsi" w:cstheme="minorHAnsi"/>
        </w:rPr>
        <w:t xml:space="preserve">(3), 494-534. </w:t>
      </w:r>
    </w:p>
    <w:p w:rsidR="00A1092A" w:rsidRPr="00634704" w:rsidP="002C5B9B" w14:paraId="1C092E0A" w14:textId="299E4612">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doi:10.1111/1468-0009.12277</w:t>
      </w:r>
    </w:p>
    <w:p w:rsidR="00A14096" w:rsidRPr="00634704" w:rsidP="00A1092A" w14:paraId="7D712A20" w14:textId="77777777">
      <w:pPr>
        <w:pStyle w:val="EndNoteBibliography"/>
        <w:spacing w:after="0"/>
        <w:ind w:left="720" w:hanging="720"/>
        <w:rPr>
          <w:rFonts w:asciiTheme="minorHAnsi" w:hAnsiTheme="minorHAnsi" w:cstheme="minorHAnsi"/>
        </w:rPr>
      </w:pPr>
    </w:p>
    <w:p w:rsidR="00BE7AEF" w:rsidRPr="00634704" w:rsidP="00BE7AEF" w14:paraId="43462D55" w14:textId="77777777">
      <w:pPr>
        <w:autoSpaceDE w:val="0"/>
        <w:autoSpaceDN w:val="0"/>
        <w:adjustRightInd w:val="0"/>
        <w:spacing w:after="0" w:line="240" w:lineRule="auto"/>
        <w:ind w:left="720" w:hanging="720"/>
        <w:rPr>
          <w:rFonts w:cstheme="minorHAnsi"/>
        </w:rPr>
      </w:pPr>
      <w:r w:rsidRPr="00634704">
        <w:rPr>
          <w:rFonts w:cstheme="minorHAnsi"/>
        </w:rPr>
        <w:t xml:space="preserve">Hock, K., Acton, R. B., Jáuregui, A., Vanderlee, L., White, C. M., &amp; Hammond, D. (2021). Experimental study of front-of-package nutrition labels' efficacy on perceived healthfulness of sugar-sweetened beverages among youth in six countries. </w:t>
      </w:r>
      <w:r w:rsidRPr="00634704">
        <w:rPr>
          <w:rFonts w:cstheme="minorHAnsi"/>
          <w:i/>
        </w:rPr>
        <w:t>Prev Med Rep</w:t>
      </w:r>
      <w:r w:rsidRPr="00634704">
        <w:rPr>
          <w:rFonts w:cstheme="minorHAnsi"/>
        </w:rPr>
        <w:t>,</w:t>
      </w:r>
      <w:r w:rsidRPr="00634704">
        <w:rPr>
          <w:rFonts w:cstheme="minorHAnsi"/>
          <w:i/>
        </w:rPr>
        <w:t xml:space="preserve"> 24</w:t>
      </w:r>
      <w:r w:rsidRPr="00634704">
        <w:rPr>
          <w:rFonts w:cstheme="minorHAnsi"/>
        </w:rPr>
        <w:t xml:space="preserve">, 101577. https://doi.org/10.1016/j.pmedr.2021.101577 </w:t>
      </w:r>
    </w:p>
    <w:p w:rsidR="00BE7AEF" w:rsidRPr="00634704" w:rsidP="00BE7AEF" w14:paraId="7645F82F" w14:textId="77777777">
      <w:pPr>
        <w:autoSpaceDE w:val="0"/>
        <w:autoSpaceDN w:val="0"/>
        <w:adjustRightInd w:val="0"/>
        <w:spacing w:after="0" w:line="240" w:lineRule="auto"/>
        <w:ind w:left="720" w:hanging="720"/>
        <w:rPr>
          <w:rFonts w:cstheme="minorHAnsi"/>
          <w:highlight w:val="yellow"/>
        </w:rPr>
      </w:pPr>
    </w:p>
    <w:p w:rsidR="00C96F64" w:rsidRPr="00634704" w:rsidP="00C96F64" w14:paraId="6DF5F056" w14:textId="51BA7346">
      <w:pPr>
        <w:autoSpaceDE w:val="0"/>
        <w:autoSpaceDN w:val="0"/>
        <w:adjustRightInd w:val="0"/>
        <w:spacing w:after="0" w:line="240" w:lineRule="auto"/>
        <w:ind w:left="720" w:hanging="720"/>
        <w:rPr>
          <w:rFonts w:cstheme="minorHAnsi"/>
        </w:rPr>
      </w:pPr>
      <w:r w:rsidRPr="00634704">
        <w:rPr>
          <w:rFonts w:cstheme="minorHAnsi"/>
        </w:rPr>
        <w:t xml:space="preserve">Hoge, A., Labeye, M., Donneau, A. F., Nekoee, H. Z., Husson, E., &amp; Guillaume, M. (2022). Health Literacy and Its Associations with Understanding and Perception of Front-of-Package Nutrition Labels among Higher Education Students. </w:t>
      </w:r>
      <w:r w:rsidRPr="00634704">
        <w:rPr>
          <w:rFonts w:cstheme="minorHAnsi"/>
          <w:i/>
        </w:rPr>
        <w:t>Int J Environ Res Public Health</w:t>
      </w:r>
      <w:r w:rsidRPr="00634704">
        <w:rPr>
          <w:rFonts w:cstheme="minorHAnsi"/>
        </w:rPr>
        <w:t>,</w:t>
      </w:r>
      <w:r w:rsidRPr="00634704">
        <w:rPr>
          <w:rFonts w:cstheme="minorHAnsi"/>
          <w:i/>
        </w:rPr>
        <w:t xml:space="preserve"> 19</w:t>
      </w:r>
      <w:r w:rsidRPr="00634704">
        <w:rPr>
          <w:rFonts w:cstheme="minorHAnsi"/>
        </w:rPr>
        <w:t>(14)</w:t>
      </w:r>
      <w:r w:rsidRPr="00634704" w:rsidR="00445041">
        <w:rPr>
          <w:rFonts w:cstheme="minorHAnsi"/>
        </w:rPr>
        <w:t xml:space="preserve">, </w:t>
      </w:r>
      <w:r w:rsidRPr="00634704" w:rsidR="00445041">
        <w:rPr>
          <w:rFonts w:cstheme="minorHAnsi"/>
          <w:color w:val="212121"/>
          <w:shd w:val="clear" w:color="auto" w:fill="FFFFFF"/>
        </w:rPr>
        <w:t>8751</w:t>
      </w:r>
      <w:r w:rsidRPr="00634704">
        <w:rPr>
          <w:rFonts w:cstheme="minorHAnsi"/>
        </w:rPr>
        <w:t>. https://doi.org/10.3390/ijerph19148751</w:t>
      </w:r>
      <w:r w:rsidRPr="00634704">
        <w:rPr>
          <w:rFonts w:cstheme="minorHAnsi"/>
        </w:rPr>
        <w:t xml:space="preserve"> </w:t>
      </w:r>
    </w:p>
    <w:p w:rsidR="002D4DAC" w:rsidRPr="00634704" w:rsidP="00A1092A" w14:paraId="3F12C6A5" w14:textId="77777777">
      <w:pPr>
        <w:pStyle w:val="EndNoteBibliography"/>
        <w:spacing w:after="0"/>
        <w:ind w:left="720" w:hanging="720"/>
        <w:rPr>
          <w:rFonts w:asciiTheme="minorHAnsi" w:hAnsiTheme="minorHAnsi" w:cstheme="minorHAnsi"/>
        </w:rPr>
      </w:pPr>
    </w:p>
    <w:p w:rsidR="00A07BED" w:rsidRPr="00634704" w:rsidP="00A1092A" w14:paraId="5C0C605A"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Ikonen, I., Sotgiu, F., Aydinli, A., &amp; Verlegh, P. </w:t>
      </w:r>
      <w:r w:rsidRPr="00634704" w:rsidR="008416F3">
        <w:rPr>
          <w:rFonts w:asciiTheme="minorHAnsi" w:hAnsiTheme="minorHAnsi" w:cstheme="minorHAnsi"/>
        </w:rPr>
        <w:t xml:space="preserve">(2019). Consumer effects of front-of-package nutrition labeling: an interdisciplinary meta-analysis. </w:t>
      </w:r>
      <w:r w:rsidRPr="002C5B9B" w:rsidR="000577FE">
        <w:rPr>
          <w:rFonts w:asciiTheme="minorHAnsi" w:hAnsiTheme="minorHAnsi" w:cstheme="minorHAnsi"/>
          <w:i/>
        </w:rPr>
        <w:t>Journal of the Academy of Marketing Science</w:t>
      </w:r>
      <w:r w:rsidRPr="00634704">
        <w:rPr>
          <w:rFonts w:asciiTheme="minorHAnsi" w:hAnsiTheme="minorHAnsi" w:cstheme="minorHAnsi"/>
        </w:rPr>
        <w:t xml:space="preserve">, </w:t>
      </w:r>
      <w:r w:rsidRPr="002C5B9B">
        <w:rPr>
          <w:rFonts w:asciiTheme="minorHAnsi" w:hAnsiTheme="minorHAnsi" w:cstheme="minorHAnsi"/>
          <w:color w:val="333333"/>
          <w:shd w:val="clear" w:color="auto" w:fill="FCFCFC"/>
        </w:rPr>
        <w:t>48</w:t>
      </w:r>
      <w:r w:rsidRPr="00634704">
        <w:rPr>
          <w:rFonts w:asciiTheme="minorHAnsi" w:hAnsiTheme="minorHAnsi" w:cstheme="minorHAnsi"/>
          <w:color w:val="333333"/>
          <w:shd w:val="clear" w:color="auto" w:fill="FCFCFC"/>
        </w:rPr>
        <w:t>, 360–383</w:t>
      </w:r>
      <w:r w:rsidRPr="00634704" w:rsidR="000577FE">
        <w:rPr>
          <w:rFonts w:asciiTheme="minorHAnsi" w:hAnsiTheme="minorHAnsi" w:cstheme="minorHAnsi"/>
        </w:rPr>
        <w:t xml:space="preserve">. </w:t>
      </w:r>
    </w:p>
    <w:p w:rsidR="00A14096" w:rsidRPr="00634704" w:rsidP="002C5B9B" w14:paraId="76535C4E" w14:textId="42AF5994">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0577FE">
        <w:rPr>
          <w:rFonts w:asciiTheme="minorHAnsi" w:hAnsiTheme="minorHAnsi" w:cstheme="minorHAnsi"/>
        </w:rPr>
        <w:t>doi:10.1007/s11747-019-00663-9</w:t>
      </w:r>
    </w:p>
    <w:p w:rsidR="002D4DAC" w:rsidRPr="00634704" w:rsidP="00A1092A" w14:paraId="46028C68" w14:textId="77777777">
      <w:pPr>
        <w:pStyle w:val="EndNoteBibliography"/>
        <w:spacing w:after="0"/>
        <w:ind w:left="720" w:hanging="720"/>
        <w:rPr>
          <w:rFonts w:asciiTheme="minorHAnsi" w:hAnsiTheme="minorHAnsi" w:cstheme="minorHAnsi"/>
        </w:rPr>
      </w:pPr>
    </w:p>
    <w:p w:rsidR="00D31B09" w:rsidRPr="00634704" w:rsidP="00A1092A" w14:paraId="07BD028E" w14:textId="0D10A643">
      <w:pPr>
        <w:pStyle w:val="EndNoteBibliography"/>
        <w:spacing w:after="0"/>
        <w:ind w:left="720" w:hanging="720"/>
        <w:rPr>
          <w:rFonts w:asciiTheme="minorHAnsi" w:hAnsiTheme="minorHAnsi"/>
        </w:rPr>
      </w:pPr>
      <w:r w:rsidRPr="36C9B10F">
        <w:rPr>
          <w:rFonts w:asciiTheme="minorHAnsi" w:hAnsiTheme="minorHAnsi"/>
        </w:rPr>
        <w:t xml:space="preserve">International Food Information Council. </w:t>
      </w:r>
      <w:r w:rsidRPr="36C9B10F">
        <w:rPr>
          <w:rFonts w:asciiTheme="minorHAnsi" w:hAnsiTheme="minorHAnsi"/>
          <w:i/>
        </w:rPr>
        <w:t xml:space="preserve">Knowledge, Understanding and Use of Front-of-Pack Labeling in Food and Beverage Decisions: Insights from U.S. Shoppers. </w:t>
      </w:r>
      <w:r w:rsidRPr="36C9B10F">
        <w:rPr>
          <w:rFonts w:asciiTheme="minorHAnsi" w:hAnsiTheme="minorHAnsi"/>
        </w:rPr>
        <w:t xml:space="preserve">16 November 2021. </w:t>
      </w:r>
      <w:hyperlink r:id="rId132">
        <w:r w:rsidRPr="36C9B10F">
          <w:rPr>
            <w:rStyle w:val="Hyperlink"/>
            <w:rFonts w:asciiTheme="minorHAnsi" w:hAnsiTheme="minorHAnsi"/>
          </w:rPr>
          <w:t>https://foodinsight.org/ific-survey-fop-labeling/</w:t>
        </w:r>
      </w:hyperlink>
    </w:p>
    <w:p w:rsidR="00D31B09" w:rsidRPr="00634704" w:rsidP="00A1092A" w14:paraId="0A55F3B4" w14:textId="26EAF843">
      <w:pPr>
        <w:pStyle w:val="EndNoteBibliography"/>
        <w:spacing w:after="0"/>
        <w:ind w:left="720" w:hanging="720"/>
        <w:rPr>
          <w:rFonts w:asciiTheme="minorHAnsi" w:hAnsiTheme="minorHAnsi" w:cstheme="minorHAnsi"/>
        </w:rPr>
      </w:pPr>
    </w:p>
    <w:p w:rsidR="00C80DF0" w:rsidRPr="00634704" w:rsidP="00C80DF0" w14:paraId="7D5B1E28" w14:textId="0E2DB577">
      <w:pPr>
        <w:spacing w:after="0"/>
        <w:ind w:left="720" w:hanging="720"/>
        <w:rPr>
          <w:color w:val="212121"/>
          <w:shd w:val="clear" w:color="auto" w:fill="FFFFFF"/>
        </w:rPr>
      </w:pPr>
      <w:r w:rsidRPr="0EC54965">
        <w:rPr>
          <w:color w:val="212121"/>
        </w:rPr>
        <w:t>Institute of Medicine (US)</w:t>
      </w:r>
      <w:r w:rsidRPr="0EC54965" w:rsidR="449D456A">
        <w:rPr>
          <w:color w:val="212121"/>
        </w:rPr>
        <w:t xml:space="preserve"> (IOMa)</w:t>
      </w:r>
      <w:r w:rsidRPr="0EC54965">
        <w:rPr>
          <w:color w:val="212121"/>
        </w:rPr>
        <w:t xml:space="preserve"> Committee on Examination of Front-of-Package Nutrition Rating Systems and Symbols, Wartella, E. A., Lichtenstein, A. H., &amp; Boon, C. S. (Eds.). (2010). </w:t>
      </w:r>
      <w:r w:rsidRPr="0EC54965">
        <w:rPr>
          <w:i/>
          <w:iCs/>
          <w:color w:val="212121"/>
        </w:rPr>
        <w:t>Front-of-Package Nutrition Rating Systems and Symbols: Phase I Report</w:t>
      </w:r>
      <w:r w:rsidRPr="0EC54965">
        <w:rPr>
          <w:color w:val="212121"/>
        </w:rPr>
        <w:t>. National Academies Press (US).</w:t>
      </w:r>
    </w:p>
    <w:p w:rsidR="00DB28E4" w:rsidRPr="00634704" w:rsidP="0EC54965" w14:paraId="23F10C32" w14:textId="781436F8">
      <w:pPr>
        <w:spacing w:after="0"/>
        <w:ind w:left="720"/>
        <w:rPr>
          <w:color w:val="212121"/>
          <w:shd w:val="clear" w:color="auto" w:fill="FFFFFF"/>
        </w:rPr>
      </w:pPr>
      <w:r w:rsidRPr="0EC54965">
        <w:rPr>
          <w:color w:val="212121"/>
          <w:shd w:val="clear" w:color="auto" w:fill="FFFFFF"/>
        </w:rPr>
        <w:t>https://</w:t>
      </w:r>
      <w:r w:rsidRPr="0EC54965" w:rsidR="24EDF0DE">
        <w:rPr>
          <w:color w:val="212121"/>
          <w:shd w:val="clear" w:color="auto" w:fill="FFFFFF"/>
        </w:rPr>
        <w:t>doi:</w:t>
      </w:r>
      <w:r w:rsidRPr="0EC54965" w:rsidR="24EDF0DE">
        <w:rPr>
          <w:rStyle w:val="identifier"/>
          <w:color w:val="212121"/>
        </w:rPr>
        <w:t>10.17226/12957</w:t>
      </w:r>
    </w:p>
    <w:p w:rsidR="00A07BED" w:rsidRPr="00634704" w:rsidP="1D57B863" w14:paraId="5EB8C39D" w14:textId="77777777">
      <w:pPr>
        <w:spacing w:after="0"/>
        <w:ind w:left="360" w:hanging="360"/>
        <w:rPr>
          <w:rFonts w:eastAsia="Calibri" w:cstheme="minorHAnsi"/>
          <w:noProof/>
        </w:rPr>
      </w:pPr>
    </w:p>
    <w:p w:rsidR="00426622" w:rsidRPr="00634704" w:rsidP="00426622" w14:paraId="3D0C9ACD" w14:textId="092B05C4">
      <w:pPr>
        <w:spacing w:after="0"/>
        <w:ind w:left="720" w:hanging="720"/>
        <w:rPr>
          <w:rFonts w:eastAsia="Calibri"/>
        </w:rPr>
      </w:pPr>
      <w:r w:rsidRPr="3A22E7DC">
        <w:rPr>
          <w:color w:val="212121"/>
        </w:rPr>
        <w:t xml:space="preserve">McGuire S. Institute of Medicine </w:t>
      </w:r>
      <w:r w:rsidR="00623229">
        <w:rPr>
          <w:color w:val="212121"/>
        </w:rPr>
        <w:t>(</w:t>
      </w:r>
      <w:r w:rsidR="001C7379">
        <w:rPr>
          <w:color w:val="212121"/>
        </w:rPr>
        <w:t>IOMb)</w:t>
      </w:r>
      <w:r w:rsidRPr="3A22E7DC">
        <w:rPr>
          <w:color w:val="212121"/>
        </w:rPr>
        <w:t xml:space="preserve">. </w:t>
      </w:r>
      <w:r w:rsidR="00DF6EAA">
        <w:rPr>
          <w:color w:val="212121"/>
        </w:rPr>
        <w:t xml:space="preserve">(2012). </w:t>
      </w:r>
      <w:r w:rsidRPr="3A22E7DC">
        <w:rPr>
          <w:color w:val="212121"/>
        </w:rPr>
        <w:t>Front-of-Package Nutrition Rating Systems and Symbols: Promoting Healthier Choices. Washington, DC: The National Academies Press. </w:t>
      </w:r>
      <w:r w:rsidRPr="3A22E7DC">
        <w:rPr>
          <w:i/>
          <w:color w:val="212121"/>
        </w:rPr>
        <w:t xml:space="preserve">Advances in nutrition </w:t>
      </w:r>
      <w:r w:rsidRPr="00DF6EAA">
        <w:rPr>
          <w:iCs/>
          <w:color w:val="212121"/>
        </w:rPr>
        <w:t>(Bethesda, Md.)</w:t>
      </w:r>
      <w:r w:rsidRPr="3A22E7DC">
        <w:rPr>
          <w:color w:val="212121"/>
        </w:rPr>
        <w:t>, </w:t>
      </w:r>
      <w:r w:rsidRPr="00DF6EAA">
        <w:rPr>
          <w:iCs/>
          <w:color w:val="212121"/>
        </w:rPr>
        <w:t>3</w:t>
      </w:r>
      <w:r w:rsidRPr="3A22E7DC">
        <w:rPr>
          <w:color w:val="212121"/>
        </w:rPr>
        <w:t>(3), 332–333. https://doi.org/10.3945/an.112.001933</w:t>
      </w:r>
    </w:p>
    <w:p w:rsidR="00A07BED" w:rsidRPr="00634704" w:rsidP="00A1092A" w14:paraId="58FAF264" w14:textId="77777777">
      <w:pPr>
        <w:pStyle w:val="EndNoteBibliography"/>
        <w:spacing w:after="0"/>
        <w:ind w:left="720" w:hanging="720"/>
        <w:rPr>
          <w:rFonts w:asciiTheme="minorHAnsi" w:hAnsiTheme="minorHAnsi" w:cstheme="minorHAnsi"/>
        </w:rPr>
      </w:pPr>
    </w:p>
    <w:p w:rsidR="00426622" w:rsidRPr="00634704" w:rsidP="00A1092A" w14:paraId="6A2A22B6" w14:textId="36C1DF14">
      <w:pPr>
        <w:pStyle w:val="EndNoteBibliography"/>
        <w:spacing w:after="0"/>
        <w:ind w:left="720" w:hanging="720"/>
        <w:rPr>
          <w:rFonts w:asciiTheme="minorHAnsi" w:hAnsiTheme="minorHAnsi" w:cstheme="minorHAnsi"/>
        </w:rPr>
      </w:pPr>
      <w:r w:rsidRPr="00634704">
        <w:rPr>
          <w:rFonts w:asciiTheme="minorHAnsi" w:hAnsiTheme="minorHAnsi" w:cstheme="minorHAnsi"/>
        </w:rPr>
        <w:t>Jáuregui, A., Vargas-Meza, J., Nieto, C.,</w:t>
      </w:r>
      <w:r w:rsidRPr="00634704" w:rsidR="00057BCF">
        <w:rPr>
          <w:rFonts w:asciiTheme="minorHAnsi" w:hAnsiTheme="minorHAnsi" w:cstheme="minorHAnsi"/>
        </w:rPr>
        <w:t xml:space="preserve"> </w:t>
      </w:r>
      <w:r w:rsidRPr="00634704" w:rsidR="00057BCF">
        <w:rPr>
          <w:rFonts w:asciiTheme="minorHAnsi" w:hAnsiTheme="minorHAnsi" w:cstheme="minorHAnsi"/>
          <w:color w:val="212121"/>
          <w:shd w:val="clear" w:color="auto" w:fill="FFFFFF"/>
        </w:rPr>
        <w:t xml:space="preserve">Contreras-Manzano, A., Alejandro, N. Z., Tolentino-Mayo, L., Hall, M. G., &amp; </w:t>
      </w:r>
      <w:r w:rsidRPr="00634704">
        <w:rPr>
          <w:rFonts w:asciiTheme="minorHAnsi" w:hAnsiTheme="minorHAnsi" w:cstheme="minorHAnsi"/>
        </w:rPr>
        <w:t xml:space="preserve"> </w:t>
      </w:r>
      <w:r w:rsidRPr="00634704" w:rsidR="004803DA">
        <w:rPr>
          <w:rFonts w:asciiTheme="minorHAnsi" w:hAnsiTheme="minorHAnsi" w:cstheme="minorHAnsi"/>
        </w:rPr>
        <w:t>Barquera, S.</w:t>
      </w:r>
      <w:r w:rsidRPr="00634704">
        <w:rPr>
          <w:rFonts w:asciiTheme="minorHAnsi" w:hAnsiTheme="minorHAnsi" w:cstheme="minorHAnsi"/>
        </w:rPr>
        <w:t xml:space="preserve"> </w:t>
      </w:r>
      <w:r w:rsidRPr="00634704" w:rsidR="004803DA">
        <w:rPr>
          <w:rFonts w:asciiTheme="minorHAnsi" w:hAnsiTheme="minorHAnsi" w:cstheme="minorHAnsi"/>
        </w:rPr>
        <w:t xml:space="preserve">(2020). Impact of front-of-pack nutrition labels on consumer purchasing </w:t>
      </w:r>
      <w:r w:rsidRPr="00634704" w:rsidR="004803DA">
        <w:rPr>
          <w:rFonts w:asciiTheme="minorHAnsi" w:hAnsiTheme="minorHAnsi" w:cstheme="minorHAnsi"/>
        </w:rPr>
        <w:t>intentions: a randomized experiment in low- and middle-income Mexican adults</w:t>
      </w:r>
      <w:r w:rsidRPr="00634704" w:rsidR="004501F6">
        <w:rPr>
          <w:rFonts w:asciiTheme="minorHAnsi" w:hAnsiTheme="minorHAnsi" w:cstheme="minorHAnsi"/>
        </w:rPr>
        <w:t xml:space="preserve">. </w:t>
      </w:r>
      <w:r w:rsidRPr="002C5B9B" w:rsidR="004501F6">
        <w:rPr>
          <w:rFonts w:asciiTheme="minorHAnsi" w:hAnsiTheme="minorHAnsi" w:cstheme="minorHAnsi"/>
          <w:i/>
          <w:iCs/>
        </w:rPr>
        <w:t>BMC Public Health</w:t>
      </w:r>
      <w:r w:rsidRPr="00634704" w:rsidR="004501F6">
        <w:rPr>
          <w:rFonts w:asciiTheme="minorHAnsi" w:hAnsiTheme="minorHAnsi" w:cstheme="minorHAnsi"/>
        </w:rPr>
        <w:t>, 20</w:t>
      </w:r>
      <w:r w:rsidRPr="00634704" w:rsidR="002C4B27">
        <w:rPr>
          <w:rFonts w:asciiTheme="minorHAnsi" w:hAnsiTheme="minorHAnsi" w:cstheme="minorHAnsi"/>
        </w:rPr>
        <w:t xml:space="preserve">(1), </w:t>
      </w:r>
      <w:r w:rsidRPr="00634704" w:rsidR="004501F6">
        <w:rPr>
          <w:rFonts w:asciiTheme="minorHAnsi" w:hAnsiTheme="minorHAnsi" w:cstheme="minorHAnsi"/>
        </w:rPr>
        <w:t xml:space="preserve">463. </w:t>
      </w:r>
    </w:p>
    <w:p w:rsidR="002D4DAC" w:rsidRPr="00634704" w:rsidP="000516BB" w14:paraId="30136133" w14:textId="231CE9D8">
      <w:pPr>
        <w:autoSpaceDE w:val="0"/>
        <w:autoSpaceDN w:val="0"/>
        <w:adjustRightInd w:val="0"/>
        <w:spacing w:after="0" w:line="240" w:lineRule="auto"/>
        <w:ind w:left="720"/>
        <w:rPr>
          <w:rFonts w:cstheme="minorHAnsi"/>
        </w:rPr>
      </w:pPr>
      <w:r w:rsidRPr="00634704">
        <w:rPr>
          <w:rFonts w:cstheme="minorHAnsi"/>
        </w:rPr>
        <w:t>https://</w:t>
      </w:r>
      <w:r w:rsidRPr="00634704" w:rsidR="004501F6">
        <w:rPr>
          <w:rFonts w:cstheme="minorHAnsi"/>
        </w:rPr>
        <w:t>doi:10.1186/s12889-020-08549-0</w:t>
      </w:r>
    </w:p>
    <w:p w:rsidR="000516BB" w:rsidP="00BE7AEF" w14:paraId="1F4275D7" w14:textId="77777777">
      <w:pPr>
        <w:autoSpaceDE w:val="0"/>
        <w:autoSpaceDN w:val="0"/>
        <w:adjustRightInd w:val="0"/>
        <w:spacing w:after="0" w:line="240" w:lineRule="auto"/>
        <w:ind w:left="720" w:hanging="720"/>
        <w:rPr>
          <w:rFonts w:cstheme="minorHAnsi"/>
        </w:rPr>
      </w:pPr>
    </w:p>
    <w:p w:rsidR="002C4B27" w:rsidRPr="00634704" w:rsidP="00BE7AEF" w14:paraId="284AB9A5" w14:textId="687302E2">
      <w:pPr>
        <w:autoSpaceDE w:val="0"/>
        <w:autoSpaceDN w:val="0"/>
        <w:adjustRightInd w:val="0"/>
        <w:spacing w:after="0" w:line="240" w:lineRule="auto"/>
        <w:ind w:left="720" w:hanging="720"/>
        <w:rPr>
          <w:rFonts w:cstheme="minorHAnsi"/>
        </w:rPr>
      </w:pPr>
      <w:r w:rsidRPr="00634704">
        <w:rPr>
          <w:rFonts w:cstheme="minorHAnsi"/>
        </w:rPr>
        <w:t xml:space="preserve">Jáuregui, A., White, C. M., Vanderlee, L., Hall, M. G., Contreras-Manzano, A., Nieto, C., Sacks, G., Thrasher, J. F., Hammond, D., &amp; Barquera, S. (2022). Impact of front-of-pack labels on the perceived healthfulness of a sweetened fruit drink: a randomised experiment in five countries. </w:t>
      </w:r>
      <w:r w:rsidRPr="00634704">
        <w:rPr>
          <w:rFonts w:cstheme="minorHAnsi"/>
          <w:i/>
        </w:rPr>
        <w:t xml:space="preserve">Public Health </w:t>
      </w:r>
      <w:r w:rsidRPr="00634704">
        <w:rPr>
          <w:rFonts w:cstheme="minorHAnsi"/>
          <w:i/>
          <w:iCs/>
        </w:rPr>
        <w:t>Nutr</w:t>
      </w:r>
      <w:r w:rsidRPr="00634704">
        <w:rPr>
          <w:rFonts w:cstheme="minorHAnsi"/>
          <w:i/>
          <w:iCs/>
        </w:rPr>
        <w:t>ition</w:t>
      </w:r>
      <w:r w:rsidRPr="00634704">
        <w:rPr>
          <w:rFonts w:cstheme="minorHAnsi"/>
        </w:rPr>
        <w:t>,</w:t>
      </w:r>
      <w:r w:rsidRPr="00634704">
        <w:rPr>
          <w:rFonts w:cstheme="minorHAnsi"/>
          <w:i/>
        </w:rPr>
        <w:t xml:space="preserve"> 25</w:t>
      </w:r>
      <w:r w:rsidRPr="00634704">
        <w:rPr>
          <w:rFonts w:cstheme="minorHAnsi"/>
        </w:rPr>
        <w:t xml:space="preserve">(4), 1094-1104. </w:t>
      </w:r>
    </w:p>
    <w:p w:rsidR="00BE7AEF" w:rsidRPr="00634704" w:rsidP="002C4B27" w14:paraId="40EE0141" w14:textId="7730DAE7">
      <w:pPr>
        <w:autoSpaceDE w:val="0"/>
        <w:autoSpaceDN w:val="0"/>
        <w:adjustRightInd w:val="0"/>
        <w:spacing w:after="0" w:line="240" w:lineRule="auto"/>
        <w:ind w:left="720"/>
        <w:rPr>
          <w:rFonts w:cstheme="minorHAnsi"/>
        </w:rPr>
      </w:pPr>
      <w:r w:rsidRPr="00634704">
        <w:rPr>
          <w:rFonts w:cstheme="minorHAnsi"/>
        </w:rPr>
        <w:t xml:space="preserve">https://doi.org/10.1017/s1368980021004535 </w:t>
      </w:r>
    </w:p>
    <w:p w:rsidR="00615755" w:rsidRPr="00634704" w:rsidP="00A1092A" w14:paraId="3AF5A406" w14:textId="77777777">
      <w:pPr>
        <w:pStyle w:val="EndNoteBibliography"/>
        <w:spacing w:after="0"/>
        <w:ind w:left="720" w:hanging="720"/>
        <w:rPr>
          <w:rFonts w:asciiTheme="minorHAnsi" w:hAnsiTheme="minorHAnsi" w:cstheme="minorHAnsi"/>
        </w:rPr>
      </w:pPr>
    </w:p>
    <w:p w:rsidR="00615755" w:rsidRPr="00634704" w:rsidP="00A1092A" w14:paraId="7A10DA66" w14:textId="720FCB11">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Jones, A., Thow, A. M., Nhurchu, C., Sacks, G., </w:t>
      </w:r>
      <w:r w:rsidRPr="00634704" w:rsidR="00673B30">
        <w:rPr>
          <w:rFonts w:asciiTheme="minorHAnsi" w:hAnsiTheme="minorHAnsi" w:cstheme="minorHAnsi"/>
        </w:rPr>
        <w:t xml:space="preserve">&amp; </w:t>
      </w:r>
      <w:r w:rsidRPr="00634704">
        <w:rPr>
          <w:rFonts w:asciiTheme="minorHAnsi" w:hAnsiTheme="minorHAnsi" w:cstheme="minorHAnsi"/>
        </w:rPr>
        <w:t xml:space="preserve">Neal, B. </w:t>
      </w:r>
      <w:r w:rsidRPr="00634704" w:rsidR="00786E18">
        <w:rPr>
          <w:rFonts w:asciiTheme="minorHAnsi" w:hAnsiTheme="minorHAnsi" w:cstheme="minorHAnsi"/>
        </w:rPr>
        <w:t xml:space="preserve">(2019). The performance and potential of the Australasian Health Star Rating system: a four-year review using the RE-AIM framework. </w:t>
      </w:r>
      <w:r w:rsidRPr="00634704" w:rsidR="001C7FC3">
        <w:rPr>
          <w:rFonts w:asciiTheme="minorHAnsi" w:hAnsiTheme="minorHAnsi" w:cstheme="minorHAnsi"/>
          <w:i/>
        </w:rPr>
        <w:t>Australian and New Zealand Journal of Public Health</w:t>
      </w:r>
      <w:r w:rsidRPr="00634704" w:rsidR="001C7FC3">
        <w:rPr>
          <w:rFonts w:asciiTheme="minorHAnsi" w:hAnsiTheme="minorHAnsi" w:cstheme="minorHAnsi"/>
        </w:rPr>
        <w:t xml:space="preserve">, 43 (4), 355-365. </w:t>
      </w:r>
    </w:p>
    <w:p w:rsidR="00121B13" w:rsidRPr="00634704" w:rsidP="00A1092A" w14:paraId="44C88767" w14:textId="26824C5B">
      <w:pPr>
        <w:pStyle w:val="EndNoteBibliography"/>
        <w:spacing w:after="0"/>
        <w:ind w:left="720" w:hanging="720"/>
        <w:rPr>
          <w:rFonts w:asciiTheme="minorHAnsi" w:hAnsiTheme="minorHAnsi" w:cstheme="minorHAnsi"/>
        </w:rPr>
      </w:pPr>
      <w:r w:rsidRPr="00634704">
        <w:rPr>
          <w:rFonts w:asciiTheme="minorHAnsi" w:hAnsiTheme="minorHAnsi" w:cstheme="minorHAnsi"/>
        </w:rPr>
        <w:tab/>
      </w:r>
      <w:r w:rsidRPr="00634704">
        <w:rPr>
          <w:rFonts w:asciiTheme="minorHAnsi" w:hAnsiTheme="minorHAnsi" w:cstheme="minorHAnsi"/>
          <w:color w:val="212121"/>
          <w:shd w:val="clear" w:color="auto" w:fill="FFFFFF"/>
        </w:rPr>
        <w:t>https://doi.org/10.1111/1753-6405.12908</w:t>
      </w:r>
    </w:p>
    <w:p w:rsidR="00A1092A" w:rsidRPr="00634704" w:rsidP="00A1092A" w14:paraId="2737E537" w14:textId="77777777">
      <w:pPr>
        <w:pStyle w:val="EndNoteBibliography"/>
        <w:spacing w:after="0"/>
        <w:ind w:left="720" w:hanging="720"/>
        <w:rPr>
          <w:rFonts w:asciiTheme="minorHAnsi" w:hAnsiTheme="minorHAnsi" w:cstheme="minorHAnsi"/>
        </w:rPr>
      </w:pPr>
    </w:p>
    <w:p w:rsidR="00455CCB" w:rsidRPr="00634704" w:rsidP="00A1092A" w14:paraId="059F590D" w14:textId="6A013218">
      <w:pPr>
        <w:pStyle w:val="EndNoteBibliography"/>
        <w:spacing w:after="0"/>
        <w:ind w:left="720" w:hanging="720"/>
        <w:rPr>
          <w:rFonts w:asciiTheme="minorHAnsi" w:hAnsiTheme="minorHAnsi" w:cstheme="minorHAnsi"/>
        </w:rPr>
      </w:pPr>
      <w:r w:rsidRPr="00634704">
        <w:rPr>
          <w:rFonts w:asciiTheme="minorHAnsi" w:hAnsiTheme="minorHAnsi" w:cstheme="minorHAnsi"/>
        </w:rPr>
        <w:t>Julia, C., Blanchet, O., Mejean, C., Peneau, S., Ducrot, P., Alles, B.,</w:t>
      </w:r>
      <w:r w:rsidRPr="00634704" w:rsidR="001B6E91">
        <w:rPr>
          <w:rFonts w:asciiTheme="minorHAnsi" w:hAnsiTheme="minorHAnsi" w:cstheme="minorHAnsi"/>
        </w:rPr>
        <w:t xml:space="preserve"> </w:t>
      </w:r>
      <w:r w:rsidRPr="00634704" w:rsidR="001B6E91">
        <w:rPr>
          <w:rFonts w:asciiTheme="minorHAnsi" w:hAnsiTheme="minorHAnsi" w:cstheme="minorHAnsi"/>
          <w:color w:val="212121"/>
          <w:shd w:val="clear" w:color="auto" w:fill="FFFFFF"/>
        </w:rPr>
        <w:t>Fezeu, L. K., Touvier, M., Kesse-Guyot, E., Singler, E., &amp;</w:t>
      </w:r>
      <w:r w:rsidRPr="00634704" w:rsidR="001058A0">
        <w:rPr>
          <w:rFonts w:asciiTheme="minorHAnsi" w:hAnsiTheme="minorHAnsi" w:cstheme="minorHAnsi"/>
        </w:rPr>
        <w:t xml:space="preserve"> </w:t>
      </w:r>
      <w:r w:rsidRPr="00634704">
        <w:rPr>
          <w:rFonts w:asciiTheme="minorHAnsi" w:hAnsiTheme="minorHAnsi" w:cstheme="minorHAnsi"/>
        </w:rPr>
        <w:t xml:space="preserve">Hercberg, S. (2016). Impact of the front-of-pack 5-colour nutrition label (5-CNL) on the nutritional quality of purchases: an experimental study. </w:t>
      </w:r>
      <w:r w:rsidRPr="00634704" w:rsidR="00265E68">
        <w:rPr>
          <w:rFonts w:asciiTheme="minorHAnsi" w:hAnsiTheme="minorHAnsi" w:cstheme="minorHAnsi"/>
          <w:i/>
          <w:iCs/>
          <w:color w:val="212121"/>
          <w:shd w:val="clear" w:color="auto" w:fill="FFFFFF"/>
        </w:rPr>
        <w:t>The international journal of behavioral nutrition and physical activity</w:t>
      </w:r>
      <w:r w:rsidRPr="00634704">
        <w:rPr>
          <w:rFonts w:asciiTheme="minorHAnsi" w:hAnsiTheme="minorHAnsi" w:cstheme="minorHAnsi"/>
          <w:i/>
        </w:rPr>
        <w:t>, 13</w:t>
      </w:r>
      <w:r w:rsidRPr="00634704">
        <w:rPr>
          <w:rFonts w:asciiTheme="minorHAnsi" w:hAnsiTheme="minorHAnsi" w:cstheme="minorHAnsi"/>
        </w:rPr>
        <w:t xml:space="preserve">(1), 101. </w:t>
      </w:r>
    </w:p>
    <w:p w:rsidR="00A1092A" w:rsidRPr="00634704" w:rsidP="000516BB" w14:paraId="796ABD8A" w14:textId="624CE6E7">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doi:10.1186/s12966-016-0416-4</w:t>
      </w:r>
    </w:p>
    <w:p w:rsidR="000516BB" w:rsidP="00A1092A" w14:paraId="053F4CD4" w14:textId="77777777">
      <w:pPr>
        <w:pStyle w:val="EndNoteBibliography"/>
        <w:spacing w:after="0"/>
        <w:ind w:left="720" w:hanging="720"/>
        <w:rPr>
          <w:rFonts w:asciiTheme="minorHAnsi" w:hAnsiTheme="minorHAnsi" w:cstheme="minorHAnsi"/>
        </w:rPr>
      </w:pPr>
    </w:p>
    <w:p w:rsidR="00F80A7E" w:rsidRPr="00634704" w:rsidP="00A1092A" w14:paraId="486EA439" w14:textId="2463018D">
      <w:pPr>
        <w:pStyle w:val="EndNoteBibliography"/>
        <w:spacing w:after="0"/>
        <w:ind w:left="720" w:hanging="720"/>
        <w:rPr>
          <w:rFonts w:asciiTheme="minorHAnsi" w:hAnsiTheme="minorHAnsi" w:cstheme="minorHAnsi"/>
          <w:lang w:val="es-ES"/>
        </w:rPr>
      </w:pPr>
      <w:r w:rsidRPr="00634704">
        <w:rPr>
          <w:rFonts w:asciiTheme="minorHAnsi" w:hAnsiTheme="minorHAnsi" w:cstheme="minorHAnsi"/>
        </w:rPr>
        <w:t xml:space="preserve">Julia, C., Peneau, S., Buscail, C., Gonzalez, R., Touvier, M., Hercberg, S., &amp; Kesse-Guyot, E. (2017). Perception of different formats of front-of-pack nutrition labels according to sociodemographic, lifestyle and dietary factors in a French population: cross-sectional study among the NutriNet-Sante cohort participants. </w:t>
      </w:r>
      <w:r w:rsidRPr="00634704">
        <w:rPr>
          <w:rFonts w:asciiTheme="minorHAnsi" w:hAnsiTheme="minorHAnsi" w:cstheme="minorHAnsi"/>
          <w:i/>
          <w:lang w:val="es-ES"/>
        </w:rPr>
        <w:t>BMJ Open, 7</w:t>
      </w:r>
      <w:r w:rsidRPr="00634704">
        <w:rPr>
          <w:rFonts w:asciiTheme="minorHAnsi" w:hAnsiTheme="minorHAnsi" w:cstheme="minorHAnsi"/>
          <w:lang w:val="es-ES"/>
        </w:rPr>
        <w:t xml:space="preserve">(6), e016108. </w:t>
      </w:r>
    </w:p>
    <w:p w:rsidR="00A1092A" w:rsidRPr="00634704" w:rsidP="002C5B9B" w14:paraId="0EF65E9B" w14:textId="0DD81356">
      <w:pPr>
        <w:pStyle w:val="EndNoteBibliography"/>
        <w:spacing w:after="0"/>
        <w:ind w:left="720"/>
        <w:rPr>
          <w:rFonts w:asciiTheme="minorHAnsi" w:hAnsiTheme="minorHAnsi" w:cstheme="minorHAnsi"/>
          <w:lang w:val="es-ES"/>
        </w:rPr>
      </w:pPr>
      <w:r w:rsidRPr="00634704">
        <w:rPr>
          <w:rFonts w:asciiTheme="minorHAnsi" w:hAnsiTheme="minorHAnsi" w:cstheme="minorHAnsi"/>
          <w:lang w:val="es-ES"/>
        </w:rPr>
        <w:t>https://</w:t>
      </w:r>
      <w:r w:rsidRPr="00634704">
        <w:rPr>
          <w:rFonts w:asciiTheme="minorHAnsi" w:hAnsiTheme="minorHAnsi" w:cstheme="minorHAnsi"/>
          <w:lang w:val="es-ES"/>
        </w:rPr>
        <w:t>doi:10.1136/bmjopen-2017-016108</w:t>
      </w:r>
    </w:p>
    <w:p w:rsidR="00CC60C4" w:rsidRPr="00634704" w:rsidP="00A1092A" w14:paraId="77C396D3" w14:textId="77777777">
      <w:pPr>
        <w:pStyle w:val="EndNoteBibliography"/>
        <w:spacing w:after="0"/>
        <w:ind w:left="720" w:hanging="720"/>
        <w:rPr>
          <w:rFonts w:asciiTheme="minorHAnsi" w:hAnsiTheme="minorHAnsi" w:cstheme="minorHAnsi"/>
          <w:lang w:val="es-ES"/>
        </w:rPr>
      </w:pPr>
    </w:p>
    <w:p w:rsidR="00005C63" w:rsidRPr="00634704" w:rsidP="00005C63" w14:paraId="1E74B955" w14:textId="5CFA2A26">
      <w:pPr>
        <w:pStyle w:val="EndNoteBibliography"/>
        <w:spacing w:after="0"/>
        <w:ind w:left="720" w:hanging="720"/>
        <w:rPr>
          <w:rFonts w:asciiTheme="minorHAnsi" w:hAnsiTheme="minorHAnsi" w:cstheme="minorHAnsi"/>
        </w:rPr>
      </w:pPr>
      <w:r w:rsidRPr="00634704">
        <w:rPr>
          <w:rFonts w:asciiTheme="minorHAnsi" w:hAnsiTheme="minorHAnsi" w:cstheme="minorHAnsi"/>
        </w:rPr>
        <w:t>Khandpur, N., Maisb, L., de Morais Satoa</w:t>
      </w:r>
      <w:r w:rsidRPr="00634704" w:rsidR="00AC6C04">
        <w:rPr>
          <w:rFonts w:asciiTheme="minorHAnsi" w:hAnsiTheme="minorHAnsi" w:cstheme="minorHAnsi"/>
        </w:rPr>
        <w:t xml:space="preserve">, P., </w:t>
      </w:r>
      <w:r w:rsidRPr="00634704" w:rsidR="00E4152B">
        <w:rPr>
          <w:rFonts w:asciiTheme="minorHAnsi" w:hAnsiTheme="minorHAnsi" w:cstheme="minorHAnsi"/>
          <w:color w:val="212121"/>
          <w:shd w:val="clear" w:color="auto" w:fill="FFFFFF"/>
        </w:rPr>
        <w:t>Martins, A. P. B., Spinillo, C. G., Rojas, C. F. U., Garcia, M. T., &amp;</w:t>
      </w:r>
      <w:r w:rsidRPr="00634704" w:rsidR="00AC6C04">
        <w:rPr>
          <w:rFonts w:asciiTheme="minorHAnsi" w:hAnsiTheme="minorHAnsi" w:cstheme="minorHAnsi"/>
        </w:rPr>
        <w:t xml:space="preserve"> </w:t>
      </w:r>
      <w:r w:rsidRPr="00634704">
        <w:rPr>
          <w:rFonts w:asciiTheme="minorHAnsi" w:hAnsiTheme="minorHAnsi" w:cstheme="minorHAnsi"/>
        </w:rPr>
        <w:t>Jaime</w:t>
      </w:r>
      <w:r w:rsidRPr="00634704" w:rsidR="00AC6C04">
        <w:rPr>
          <w:rFonts w:asciiTheme="minorHAnsi" w:hAnsiTheme="minorHAnsi" w:cstheme="minorHAnsi"/>
        </w:rPr>
        <w:t>, P.C. (</w:t>
      </w:r>
      <w:r w:rsidRPr="00634704" w:rsidR="00D54084">
        <w:rPr>
          <w:rFonts w:asciiTheme="minorHAnsi" w:hAnsiTheme="minorHAnsi" w:cstheme="minorHAnsi"/>
        </w:rPr>
        <w:t xml:space="preserve">2019). Choosing a front-of-package warning label for Brazil: A randomized, controlled comparison of three different label designs. </w:t>
      </w:r>
      <w:r w:rsidRPr="00634704" w:rsidR="007A092A">
        <w:rPr>
          <w:rFonts w:asciiTheme="minorHAnsi" w:hAnsiTheme="minorHAnsi" w:cstheme="minorHAnsi"/>
          <w:i/>
          <w:iCs/>
        </w:rPr>
        <w:t>Food Research International</w:t>
      </w:r>
      <w:r w:rsidRPr="00634704" w:rsidR="007A092A">
        <w:rPr>
          <w:rFonts w:asciiTheme="minorHAnsi" w:hAnsiTheme="minorHAnsi" w:cstheme="minorHAnsi"/>
        </w:rPr>
        <w:t xml:space="preserve">, 121, 854-861. </w:t>
      </w:r>
    </w:p>
    <w:p w:rsidR="002D4DAC" w:rsidRPr="00634704" w:rsidP="000516BB" w14:paraId="4D889077" w14:textId="4A3889A0">
      <w:pPr>
        <w:autoSpaceDE w:val="0"/>
        <w:autoSpaceDN w:val="0"/>
        <w:adjustRightInd w:val="0"/>
        <w:spacing w:after="0" w:line="240" w:lineRule="auto"/>
        <w:ind w:left="720"/>
        <w:rPr>
          <w:rFonts w:cstheme="minorHAnsi"/>
          <w:highlight w:val="yellow"/>
        </w:rPr>
      </w:pPr>
      <w:r w:rsidRPr="00634704">
        <w:rPr>
          <w:rFonts w:cstheme="minorHAnsi"/>
        </w:rPr>
        <w:t>https://</w:t>
      </w:r>
      <w:r w:rsidRPr="00634704" w:rsidR="00532315">
        <w:rPr>
          <w:rFonts w:cstheme="minorHAnsi"/>
        </w:rPr>
        <w:t>doi:</w:t>
      </w:r>
      <w:r w:rsidRPr="00634704" w:rsidR="00E86C23">
        <w:rPr>
          <w:rFonts w:cstheme="minorHAnsi"/>
        </w:rPr>
        <w:t xml:space="preserve"> </w:t>
      </w:r>
      <w:r w:rsidRPr="00634704" w:rsidR="00532315">
        <w:rPr>
          <w:rFonts w:cstheme="minorHAnsi"/>
        </w:rPr>
        <w:t xml:space="preserve">10.1016/j.foodres.2019.01.008 </w:t>
      </w:r>
    </w:p>
    <w:p w:rsidR="000516BB" w:rsidP="00BE7AEF" w14:paraId="73D097F8" w14:textId="77777777">
      <w:pPr>
        <w:autoSpaceDE w:val="0"/>
        <w:autoSpaceDN w:val="0"/>
        <w:adjustRightInd w:val="0"/>
        <w:spacing w:after="0" w:line="240" w:lineRule="auto"/>
        <w:ind w:left="720" w:hanging="720"/>
        <w:rPr>
          <w:rFonts w:cstheme="minorHAnsi"/>
        </w:rPr>
      </w:pPr>
    </w:p>
    <w:p w:rsidR="00AB486C" w:rsidRPr="00634704" w:rsidP="00BE7AEF" w14:paraId="263B8785" w14:textId="2B04D79E">
      <w:pPr>
        <w:autoSpaceDE w:val="0"/>
        <w:autoSpaceDN w:val="0"/>
        <w:adjustRightInd w:val="0"/>
        <w:spacing w:after="0" w:line="240" w:lineRule="auto"/>
        <w:ind w:left="720" w:hanging="720"/>
        <w:rPr>
          <w:rFonts w:cstheme="minorHAnsi"/>
        </w:rPr>
      </w:pPr>
      <w:r w:rsidRPr="00634704">
        <w:rPr>
          <w:rFonts w:cstheme="minorHAnsi"/>
        </w:rPr>
        <w:t xml:space="preserve">Khandpur, N., Amaral Mais, L., &amp; Bortoletto Martins, A. P. (2022). A comparative assessment of two different front-of-package nutrition label designs: A randomized experiment in Brazil. </w:t>
      </w:r>
      <w:r w:rsidRPr="00634704">
        <w:rPr>
          <w:rFonts w:cstheme="minorHAnsi"/>
          <w:i/>
        </w:rPr>
        <w:t>PLoS One</w:t>
      </w:r>
      <w:r w:rsidRPr="00634704">
        <w:rPr>
          <w:rFonts w:cstheme="minorHAnsi"/>
        </w:rPr>
        <w:t>,</w:t>
      </w:r>
      <w:r w:rsidRPr="00634704">
        <w:rPr>
          <w:rFonts w:cstheme="minorHAnsi"/>
          <w:i/>
        </w:rPr>
        <w:t xml:space="preserve"> 17</w:t>
      </w:r>
      <w:r w:rsidRPr="00634704">
        <w:rPr>
          <w:rFonts w:cstheme="minorHAnsi"/>
        </w:rPr>
        <w:t xml:space="preserve">(4), e0265990. </w:t>
      </w:r>
    </w:p>
    <w:p w:rsidR="00BE7AEF" w:rsidRPr="00634704" w:rsidP="002C5B9B" w14:paraId="3A38FA0A" w14:textId="28D8F4FE">
      <w:pPr>
        <w:autoSpaceDE w:val="0"/>
        <w:autoSpaceDN w:val="0"/>
        <w:adjustRightInd w:val="0"/>
        <w:spacing w:after="0" w:line="240" w:lineRule="auto"/>
        <w:ind w:left="720"/>
        <w:rPr>
          <w:rFonts w:cstheme="minorHAnsi"/>
        </w:rPr>
      </w:pPr>
      <w:r w:rsidRPr="00634704">
        <w:rPr>
          <w:rFonts w:cstheme="minorHAnsi"/>
        </w:rPr>
        <w:t xml:space="preserve">https://doi.org/10.1371/journal.pone.0265990 </w:t>
      </w:r>
    </w:p>
    <w:p w:rsidR="002D4DAC" w:rsidRPr="00634704" w:rsidP="00C96F64" w14:paraId="1F3742B6" w14:textId="77777777">
      <w:pPr>
        <w:autoSpaceDE w:val="0"/>
        <w:autoSpaceDN w:val="0"/>
        <w:adjustRightInd w:val="0"/>
        <w:spacing w:after="0" w:line="240" w:lineRule="auto"/>
        <w:ind w:left="720" w:hanging="720"/>
        <w:rPr>
          <w:rFonts w:cstheme="minorHAnsi"/>
        </w:rPr>
      </w:pPr>
    </w:p>
    <w:p w:rsidR="00FE3352" w:rsidRPr="00634704" w:rsidP="00BE7AEF" w14:paraId="74F2D8E0" w14:textId="6C272C24">
      <w:pPr>
        <w:autoSpaceDE w:val="0"/>
        <w:autoSpaceDN w:val="0"/>
        <w:adjustRightInd w:val="0"/>
        <w:spacing w:after="0" w:line="240" w:lineRule="auto"/>
        <w:ind w:left="720" w:hanging="720"/>
        <w:rPr>
          <w:rFonts w:cstheme="minorHAnsi"/>
        </w:rPr>
      </w:pPr>
      <w:r w:rsidRPr="00634704">
        <w:rPr>
          <w:rFonts w:cstheme="minorHAnsi"/>
        </w:rPr>
        <w:t xml:space="preserve">Kontopoulou, L., Karpetas, G., Fradelos Ε, C., Papathanasiou, I. V., Malli, F., Papagiannis, D., Mantzaris, D., Fialon, M., Julia, C., &amp; Gourgoulianis, K. I. (2021). Online Consumer Survey Comparing Different Front-of-Pack Labels in Greece. </w:t>
      </w:r>
      <w:r w:rsidRPr="00634704">
        <w:rPr>
          <w:rFonts w:cstheme="minorHAnsi"/>
          <w:i/>
        </w:rPr>
        <w:t>Nutrients</w:t>
      </w:r>
      <w:r w:rsidRPr="00634704">
        <w:rPr>
          <w:rFonts w:cstheme="minorHAnsi"/>
        </w:rPr>
        <w:t>,</w:t>
      </w:r>
      <w:r w:rsidRPr="00634704">
        <w:rPr>
          <w:rFonts w:cstheme="minorHAnsi"/>
          <w:i/>
        </w:rPr>
        <w:t xml:space="preserve"> 14</w:t>
      </w:r>
      <w:r w:rsidRPr="00634704">
        <w:rPr>
          <w:rFonts w:cstheme="minorHAnsi"/>
        </w:rPr>
        <w:t>(1)</w:t>
      </w:r>
      <w:r w:rsidRPr="00634704" w:rsidR="00A838F3">
        <w:rPr>
          <w:rFonts w:cstheme="minorHAnsi"/>
        </w:rPr>
        <w:t>, 46</w:t>
      </w:r>
      <w:r w:rsidRPr="00634704">
        <w:rPr>
          <w:rFonts w:cstheme="minorHAnsi"/>
        </w:rPr>
        <w:t xml:space="preserve">. </w:t>
      </w:r>
    </w:p>
    <w:p w:rsidR="00BE7AEF" w:rsidRPr="00634704" w:rsidP="002C5B9B" w14:paraId="04B9EADD" w14:textId="078E30CD">
      <w:pPr>
        <w:autoSpaceDE w:val="0"/>
        <w:autoSpaceDN w:val="0"/>
        <w:adjustRightInd w:val="0"/>
        <w:spacing w:after="0" w:line="240" w:lineRule="auto"/>
        <w:ind w:left="720"/>
        <w:rPr>
          <w:rFonts w:cstheme="minorHAnsi"/>
        </w:rPr>
      </w:pPr>
      <w:r w:rsidRPr="00634704">
        <w:rPr>
          <w:rFonts w:cstheme="minorHAnsi"/>
        </w:rPr>
        <w:t xml:space="preserve">https://doi.org/10.3390/nu14010046 </w:t>
      </w:r>
    </w:p>
    <w:p w:rsidR="00BE7AEF" w:rsidRPr="00634704" w:rsidP="00BE7AEF" w14:paraId="6B73C094" w14:textId="77777777">
      <w:pPr>
        <w:autoSpaceDE w:val="0"/>
        <w:autoSpaceDN w:val="0"/>
        <w:adjustRightInd w:val="0"/>
        <w:spacing w:after="0" w:line="240" w:lineRule="auto"/>
        <w:ind w:left="720" w:hanging="720"/>
        <w:rPr>
          <w:rFonts w:cstheme="minorHAnsi"/>
        </w:rPr>
      </w:pPr>
    </w:p>
    <w:p w:rsidR="00A838F3" w:rsidRPr="00634704" w:rsidP="00BE7AEF" w14:paraId="6B20A51B" w14:textId="77777777">
      <w:pPr>
        <w:autoSpaceDE w:val="0"/>
        <w:autoSpaceDN w:val="0"/>
        <w:adjustRightInd w:val="0"/>
        <w:spacing w:after="0" w:line="240" w:lineRule="auto"/>
        <w:ind w:left="720" w:hanging="720"/>
        <w:rPr>
          <w:rFonts w:cstheme="minorHAnsi"/>
        </w:rPr>
      </w:pPr>
      <w:r w:rsidRPr="00634704">
        <w:rPr>
          <w:rFonts w:cstheme="minorHAnsi"/>
        </w:rPr>
        <w:t xml:space="preserve">Kühne, S. J., Reijnen, E., Granja, G., &amp; Hansen, R. S. (2022). Labels Affect Food Choices, but in What Ways? </w:t>
      </w:r>
      <w:r w:rsidRPr="00634704">
        <w:rPr>
          <w:rFonts w:cstheme="minorHAnsi"/>
          <w:i/>
          <w:iCs/>
        </w:rPr>
        <w:t>Nutrients</w:t>
      </w:r>
      <w:r w:rsidRPr="00634704">
        <w:rPr>
          <w:rFonts w:cstheme="minorHAnsi"/>
        </w:rPr>
        <w:t>,</w:t>
      </w:r>
      <w:r w:rsidRPr="00634704">
        <w:rPr>
          <w:rFonts w:cstheme="minorHAnsi"/>
          <w:i/>
          <w:iCs/>
        </w:rPr>
        <w:t xml:space="preserve"> 14</w:t>
      </w:r>
      <w:r w:rsidRPr="00634704">
        <w:rPr>
          <w:rFonts w:cstheme="minorHAnsi"/>
        </w:rPr>
        <w:t xml:space="preserve">(15), 3204. </w:t>
      </w:r>
    </w:p>
    <w:p w:rsidR="00BE7AEF" w:rsidRPr="00634704" w:rsidP="002C5B9B" w14:paraId="3E2FE41F" w14:textId="6D75324C">
      <w:pPr>
        <w:autoSpaceDE w:val="0"/>
        <w:autoSpaceDN w:val="0"/>
        <w:adjustRightInd w:val="0"/>
        <w:spacing w:after="0" w:line="240" w:lineRule="auto"/>
        <w:ind w:left="720"/>
        <w:rPr>
          <w:rFonts w:cstheme="minorHAnsi"/>
        </w:rPr>
      </w:pPr>
      <w:r w:rsidRPr="00634704">
        <w:rPr>
          <w:rFonts w:cstheme="minorHAnsi"/>
          <w:color w:val="212121"/>
          <w:shd w:val="clear" w:color="auto" w:fill="FFFFFF"/>
        </w:rPr>
        <w:t>https://doi.org/10.3390/nu14153204</w:t>
      </w:r>
    </w:p>
    <w:p w:rsidR="002C5B9B" w:rsidP="00BE7AEF" w14:paraId="27D6F731" w14:textId="77777777">
      <w:pPr>
        <w:autoSpaceDE w:val="0"/>
        <w:autoSpaceDN w:val="0"/>
        <w:adjustRightInd w:val="0"/>
        <w:spacing w:after="0" w:line="240" w:lineRule="auto"/>
        <w:ind w:left="720" w:hanging="720"/>
        <w:rPr>
          <w:rFonts w:cstheme="minorHAnsi"/>
        </w:rPr>
      </w:pPr>
    </w:p>
    <w:p w:rsidR="00F66236" w:rsidRPr="00634704" w:rsidP="00BE7AEF" w14:paraId="4FF499EE" w14:textId="6F6F9C95">
      <w:pPr>
        <w:autoSpaceDE w:val="0"/>
        <w:autoSpaceDN w:val="0"/>
        <w:adjustRightInd w:val="0"/>
        <w:spacing w:after="0" w:line="240" w:lineRule="auto"/>
        <w:ind w:left="720" w:hanging="720"/>
        <w:rPr>
          <w:rFonts w:cstheme="minorHAnsi"/>
        </w:rPr>
      </w:pPr>
      <w:r w:rsidRPr="00634704">
        <w:rPr>
          <w:rFonts w:cstheme="minorHAnsi"/>
        </w:rPr>
        <w:t xml:space="preserve">Leão, R. D., dos Santos Alves, M. J., Moraes Monteiro, C. R., Ribeiro Gagliardi, T., &amp; Ayala Valencia, G. (2022). Impact of front‐of‐pack labels in chocolate bars and soft drinks on consumer perceptions: A cross‐sectional study using free word association. </w:t>
      </w:r>
      <w:r w:rsidRPr="00634704">
        <w:rPr>
          <w:rFonts w:cstheme="minorHAnsi"/>
          <w:i/>
        </w:rPr>
        <w:t>Packaging Technology &amp; Science</w:t>
      </w:r>
      <w:r w:rsidRPr="00634704">
        <w:rPr>
          <w:rFonts w:cstheme="minorHAnsi"/>
        </w:rPr>
        <w:t>,</w:t>
      </w:r>
      <w:r w:rsidRPr="00634704">
        <w:rPr>
          <w:rFonts w:cstheme="minorHAnsi"/>
          <w:i/>
        </w:rPr>
        <w:t xml:space="preserve"> 35</w:t>
      </w:r>
      <w:r w:rsidRPr="00634704">
        <w:rPr>
          <w:rFonts w:cstheme="minorHAnsi"/>
        </w:rPr>
        <w:t xml:space="preserve">(7), 579-586. </w:t>
      </w:r>
    </w:p>
    <w:p w:rsidR="00BE7AEF" w:rsidRPr="00634704" w:rsidP="002C5B9B" w14:paraId="4E4F423E" w14:textId="07227524">
      <w:pPr>
        <w:autoSpaceDE w:val="0"/>
        <w:autoSpaceDN w:val="0"/>
        <w:adjustRightInd w:val="0"/>
        <w:spacing w:after="0" w:line="240" w:lineRule="auto"/>
        <w:ind w:left="720"/>
        <w:rPr>
          <w:rFonts w:cstheme="minorHAnsi"/>
        </w:rPr>
      </w:pPr>
      <w:r w:rsidRPr="00634704">
        <w:rPr>
          <w:rFonts w:cstheme="minorHAnsi"/>
        </w:rPr>
        <w:t xml:space="preserve">https://doi.org/10.1002/pts.2670 </w:t>
      </w:r>
    </w:p>
    <w:p w:rsidR="00A1092A" w:rsidRPr="00634704" w:rsidP="00A1092A" w14:paraId="1C98235F" w14:textId="77777777">
      <w:pPr>
        <w:pStyle w:val="EndNoteBibliography"/>
        <w:spacing w:after="0"/>
        <w:ind w:left="720" w:hanging="720"/>
        <w:rPr>
          <w:rFonts w:asciiTheme="minorHAnsi" w:hAnsiTheme="minorHAnsi" w:cstheme="minorHAnsi"/>
          <w:lang w:val="es-ES"/>
        </w:rPr>
      </w:pPr>
    </w:p>
    <w:p w:rsidR="00F66236" w:rsidRPr="00634704" w:rsidP="00A1092A" w14:paraId="4EF7BC6D"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lang w:val="es-ES"/>
        </w:rPr>
        <w:t xml:space="preserve">Lima, M., Ares, G., &amp; Deliza, R. (2018). </w:t>
      </w:r>
      <w:r w:rsidRPr="00634704">
        <w:rPr>
          <w:rFonts w:asciiTheme="minorHAnsi" w:hAnsiTheme="minorHAnsi" w:cstheme="minorHAnsi"/>
        </w:rPr>
        <w:t xml:space="preserve">How do front of pack nutrition labels affect healthfulness perception of foods targeted at children? Insights from Brazilian children and parents. </w:t>
      </w:r>
      <w:r w:rsidRPr="00634704">
        <w:rPr>
          <w:rFonts w:asciiTheme="minorHAnsi" w:hAnsiTheme="minorHAnsi" w:cstheme="minorHAnsi"/>
          <w:i/>
        </w:rPr>
        <w:t>Food Quality and Preference, 64</w:t>
      </w:r>
      <w:r w:rsidRPr="00634704">
        <w:rPr>
          <w:rFonts w:asciiTheme="minorHAnsi" w:hAnsiTheme="minorHAnsi" w:cstheme="minorHAnsi"/>
        </w:rPr>
        <w:t xml:space="preserve">, 111-119. </w:t>
      </w:r>
    </w:p>
    <w:p w:rsidR="00A1092A" w:rsidRPr="00634704" w:rsidP="008645F1" w14:paraId="1391BCCB" w14:textId="2A2BC4E1">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doi:10.1016/j.foodqual.2017.10.003</w:t>
      </w:r>
    </w:p>
    <w:p w:rsidR="00E86C23" w:rsidRPr="00634704" w:rsidP="00A1092A" w14:paraId="1C8743CC" w14:textId="77777777">
      <w:pPr>
        <w:pStyle w:val="EndNoteBibliography"/>
        <w:spacing w:after="0"/>
        <w:ind w:left="720" w:hanging="720"/>
        <w:rPr>
          <w:rFonts w:asciiTheme="minorHAnsi" w:hAnsiTheme="minorHAnsi" w:cstheme="minorHAnsi"/>
        </w:rPr>
      </w:pPr>
    </w:p>
    <w:p w:rsidR="00136418" w:rsidRPr="00634704" w:rsidP="00A1092A" w14:paraId="576DA4B5"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Lima, M., de Alcantara, M., Martins, I</w:t>
      </w:r>
      <w:r w:rsidRPr="00634704" w:rsidR="005B335C">
        <w:rPr>
          <w:rFonts w:asciiTheme="minorHAnsi" w:hAnsiTheme="minorHAnsi" w:cstheme="minorHAnsi"/>
        </w:rPr>
        <w:t xml:space="preserve">., Aresc, G., </w:t>
      </w:r>
      <w:r w:rsidRPr="00634704">
        <w:rPr>
          <w:rFonts w:asciiTheme="minorHAnsi" w:hAnsiTheme="minorHAnsi" w:cstheme="minorHAnsi"/>
        </w:rPr>
        <w:t xml:space="preserve">&amp; </w:t>
      </w:r>
      <w:r w:rsidRPr="00634704" w:rsidR="005B335C">
        <w:rPr>
          <w:rFonts w:asciiTheme="minorHAnsi" w:hAnsiTheme="minorHAnsi" w:cstheme="minorHAnsi"/>
        </w:rPr>
        <w:t xml:space="preserve">Deliza, R. (2019). Can front-of-pack nutrition labeling influence children's emotional associations with unhealthy food products? An experiment using emoji. </w:t>
      </w:r>
      <w:r w:rsidRPr="008645F1" w:rsidR="009A5079">
        <w:rPr>
          <w:rFonts w:asciiTheme="minorHAnsi" w:hAnsiTheme="minorHAnsi" w:cstheme="minorHAnsi"/>
          <w:i/>
        </w:rPr>
        <w:t>Food Research International</w:t>
      </w:r>
      <w:r w:rsidRPr="00634704" w:rsidR="009A5079">
        <w:rPr>
          <w:rFonts w:asciiTheme="minorHAnsi" w:hAnsiTheme="minorHAnsi" w:cstheme="minorHAnsi"/>
        </w:rPr>
        <w:t xml:space="preserve">, 120, 217-225. </w:t>
      </w:r>
    </w:p>
    <w:p w:rsidR="00E86C23" w:rsidRPr="00634704" w:rsidP="008645F1" w14:paraId="4E2E7807" w14:textId="632E2369">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DE608C">
        <w:rPr>
          <w:rFonts w:asciiTheme="minorHAnsi" w:hAnsiTheme="minorHAnsi" w:cstheme="minorHAnsi"/>
        </w:rPr>
        <w:t xml:space="preserve">doi:10.1016/j.foodres.2019.02.027 </w:t>
      </w:r>
    </w:p>
    <w:p w:rsidR="00E86C23" w:rsidRPr="00634704" w:rsidP="00A1092A" w14:paraId="2A27F11A" w14:textId="77777777">
      <w:pPr>
        <w:pStyle w:val="EndNoteBibliography"/>
        <w:spacing w:after="0"/>
        <w:ind w:left="720" w:hanging="720"/>
        <w:rPr>
          <w:rFonts w:asciiTheme="minorHAnsi" w:hAnsiTheme="minorHAnsi" w:cstheme="minorHAnsi"/>
        </w:rPr>
      </w:pPr>
    </w:p>
    <w:p w:rsidR="00136418" w:rsidRPr="00634704" w:rsidP="00A1092A" w14:paraId="7B81A3A4"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Lima, M.</w:t>
      </w:r>
      <w:r w:rsidRPr="00634704" w:rsidR="000D112D">
        <w:rPr>
          <w:rFonts w:asciiTheme="minorHAnsi" w:hAnsiTheme="minorHAnsi" w:cstheme="minorHAnsi"/>
        </w:rPr>
        <w:t xml:space="preserve">, de Alcantra, M., Rosenthal, A., </w:t>
      </w:r>
      <w:r w:rsidRPr="00634704">
        <w:rPr>
          <w:rFonts w:asciiTheme="minorHAnsi" w:hAnsiTheme="minorHAnsi" w:cstheme="minorHAnsi"/>
        </w:rPr>
        <w:t xml:space="preserve">&amp; </w:t>
      </w:r>
      <w:r w:rsidRPr="00634704" w:rsidR="000D112D">
        <w:rPr>
          <w:rFonts w:asciiTheme="minorHAnsi" w:hAnsiTheme="minorHAnsi" w:cstheme="minorHAnsi"/>
        </w:rPr>
        <w:t>Deliza, R. (2019)</w:t>
      </w:r>
      <w:r w:rsidRPr="00634704" w:rsidR="0022287A">
        <w:rPr>
          <w:rFonts w:asciiTheme="minorHAnsi" w:hAnsiTheme="minorHAnsi" w:cstheme="minorHAnsi"/>
        </w:rPr>
        <w:t xml:space="preserve">. Effectiveness of traffic light system on Brazilian consumers perception of food healthfulness. </w:t>
      </w:r>
      <w:r w:rsidRPr="00634704" w:rsidR="0022287A">
        <w:rPr>
          <w:rFonts w:asciiTheme="minorHAnsi" w:hAnsiTheme="minorHAnsi" w:cstheme="minorHAnsi"/>
          <w:i/>
        </w:rPr>
        <w:t>Food Science and Human Wellness</w:t>
      </w:r>
      <w:r w:rsidRPr="00634704" w:rsidR="0022287A">
        <w:rPr>
          <w:rFonts w:asciiTheme="minorHAnsi" w:hAnsiTheme="minorHAnsi" w:cstheme="minorHAnsi"/>
        </w:rPr>
        <w:t xml:space="preserve">, </w:t>
      </w:r>
      <w:r w:rsidRPr="00634704" w:rsidR="00D11CAE">
        <w:rPr>
          <w:rFonts w:asciiTheme="minorHAnsi" w:hAnsiTheme="minorHAnsi" w:cstheme="minorHAnsi"/>
        </w:rPr>
        <w:t xml:space="preserve">8, 368-374. </w:t>
      </w:r>
    </w:p>
    <w:p w:rsidR="00FA7679" w:rsidRPr="00634704" w:rsidP="008645F1" w14:paraId="5FA013A9" w14:textId="36E2ACA0">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B41247">
        <w:rPr>
          <w:rFonts w:asciiTheme="minorHAnsi" w:hAnsiTheme="minorHAnsi" w:cstheme="minorHAnsi"/>
        </w:rPr>
        <w:t>doi: 10.1016/j.fshw.2019.10.001 2</w:t>
      </w:r>
    </w:p>
    <w:p w:rsidR="00A1092A" w:rsidRPr="00634704" w:rsidP="00A1092A" w14:paraId="590483F2" w14:textId="77777777">
      <w:pPr>
        <w:pStyle w:val="EndNoteBibliography"/>
        <w:spacing w:after="0"/>
        <w:ind w:left="720" w:hanging="720"/>
        <w:rPr>
          <w:rFonts w:asciiTheme="minorHAnsi" w:hAnsiTheme="minorHAnsi" w:cstheme="minorHAnsi"/>
        </w:rPr>
      </w:pPr>
    </w:p>
    <w:p w:rsidR="00136418" w:rsidRPr="00634704" w:rsidP="00A1092A" w14:paraId="7FD53D0B"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Lundeberg, P. J., Graham, D. J., &amp; Mohr, G. S. (2018). Comparison of two front-of-package nutrition labeling schemes, and their explanation, on consumers' perception of product healthfulness and food choice. </w:t>
      </w:r>
      <w:r w:rsidRPr="00634704">
        <w:rPr>
          <w:rFonts w:asciiTheme="minorHAnsi" w:hAnsiTheme="minorHAnsi" w:cstheme="minorHAnsi"/>
          <w:i/>
        </w:rPr>
        <w:t>Appetite, 125</w:t>
      </w:r>
      <w:r w:rsidRPr="00634704">
        <w:rPr>
          <w:rFonts w:asciiTheme="minorHAnsi" w:hAnsiTheme="minorHAnsi" w:cstheme="minorHAnsi"/>
        </w:rPr>
        <w:t xml:space="preserve">, 548-556. </w:t>
      </w:r>
    </w:p>
    <w:p w:rsidR="00A1092A" w:rsidRPr="00634704" w:rsidP="008645F1" w14:paraId="1D46D0B4" w14:textId="6436F674">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doi:10.1016/j.appet.2018.02.027</w:t>
      </w:r>
    </w:p>
    <w:p w:rsidR="00A1092A" w:rsidRPr="00634704" w:rsidP="00A1092A" w14:paraId="40C1518C" w14:textId="77777777">
      <w:pPr>
        <w:pStyle w:val="EndNoteBibliography"/>
        <w:spacing w:after="0"/>
        <w:ind w:left="720" w:hanging="720"/>
        <w:rPr>
          <w:rFonts w:asciiTheme="minorHAnsi" w:hAnsiTheme="minorHAnsi" w:cstheme="minorHAnsi"/>
        </w:rPr>
      </w:pPr>
    </w:p>
    <w:p w:rsidR="009C74FD" w:rsidRPr="00634704" w:rsidP="00A1092A" w14:paraId="56F76A0A" w14:textId="77777777">
      <w:pPr>
        <w:pStyle w:val="EndNoteBibliography"/>
        <w:spacing w:after="0"/>
        <w:ind w:left="720" w:hanging="720"/>
        <w:rPr>
          <w:rFonts w:asciiTheme="minorHAnsi" w:hAnsiTheme="minorHAnsi" w:cstheme="minorHAnsi"/>
          <w:color w:val="212121"/>
          <w:shd w:val="clear" w:color="auto" w:fill="FFFFFF"/>
        </w:rPr>
      </w:pPr>
      <w:r w:rsidRPr="00634704">
        <w:rPr>
          <w:rFonts w:asciiTheme="minorHAnsi" w:hAnsiTheme="minorHAnsi" w:cstheme="minorHAnsi"/>
        </w:rPr>
        <w:t xml:space="preserve">Machin, L., Aschemann-Witzel, J., Curutchet, M. R., Gimenez, A., &amp; Ares, G. (2018). Traffic Light System Can Increase Healthfulness Perception: Implications for Policy Making. </w:t>
      </w:r>
      <w:r w:rsidRPr="00634704">
        <w:rPr>
          <w:rFonts w:asciiTheme="minorHAnsi" w:hAnsiTheme="minorHAnsi" w:cstheme="minorHAnsi"/>
          <w:i/>
          <w:iCs/>
          <w:color w:val="212121"/>
          <w:shd w:val="clear" w:color="auto" w:fill="FFFFFF"/>
        </w:rPr>
        <w:t>Journal of nutrition education and behavior</w:t>
      </w:r>
      <w:r w:rsidRPr="00634704">
        <w:rPr>
          <w:rFonts w:asciiTheme="minorHAnsi" w:hAnsiTheme="minorHAnsi" w:cstheme="minorHAnsi"/>
          <w:color w:val="212121"/>
          <w:shd w:val="clear" w:color="auto" w:fill="FFFFFF"/>
        </w:rPr>
        <w:t>, </w:t>
      </w:r>
      <w:r w:rsidRPr="00634704">
        <w:rPr>
          <w:rFonts w:asciiTheme="minorHAnsi" w:hAnsiTheme="minorHAnsi" w:cstheme="minorHAnsi"/>
          <w:i/>
          <w:iCs/>
          <w:color w:val="212121"/>
          <w:shd w:val="clear" w:color="auto" w:fill="FFFFFF"/>
        </w:rPr>
        <w:t>50</w:t>
      </w:r>
      <w:r w:rsidRPr="00634704">
        <w:rPr>
          <w:rFonts w:asciiTheme="minorHAnsi" w:hAnsiTheme="minorHAnsi" w:cstheme="minorHAnsi"/>
          <w:color w:val="212121"/>
          <w:shd w:val="clear" w:color="auto" w:fill="FFFFFF"/>
        </w:rPr>
        <w:t xml:space="preserve">(7), 668–674. </w:t>
      </w:r>
    </w:p>
    <w:p w:rsidR="00A1092A" w:rsidRPr="00634704" w:rsidP="008645F1" w14:paraId="53623EA0" w14:textId="43CAF748">
      <w:pPr>
        <w:pStyle w:val="EndNoteBibliography"/>
        <w:spacing w:after="0"/>
        <w:ind w:left="720"/>
        <w:rPr>
          <w:rFonts w:asciiTheme="minorHAnsi" w:hAnsiTheme="minorHAnsi" w:cstheme="minorHAnsi"/>
        </w:rPr>
      </w:pPr>
      <w:r w:rsidRPr="00634704">
        <w:rPr>
          <w:rFonts w:asciiTheme="minorHAnsi" w:hAnsiTheme="minorHAnsi" w:cstheme="minorHAnsi"/>
          <w:color w:val="212121"/>
          <w:shd w:val="clear" w:color="auto" w:fill="FFFFFF"/>
        </w:rPr>
        <w:t>https://</w:t>
      </w:r>
      <w:r w:rsidRPr="00634704">
        <w:rPr>
          <w:rFonts w:asciiTheme="minorHAnsi" w:hAnsiTheme="minorHAnsi" w:cstheme="minorHAnsi"/>
          <w:color w:val="212121"/>
          <w:shd w:val="clear" w:color="auto" w:fill="FFFFFF"/>
        </w:rPr>
        <w:t>doi</w:t>
      </w:r>
      <w:r w:rsidRPr="00634704">
        <w:rPr>
          <w:rFonts w:asciiTheme="minorHAnsi" w:hAnsiTheme="minorHAnsi" w:cstheme="minorHAnsi"/>
          <w:color w:val="212121"/>
          <w:shd w:val="clear" w:color="auto" w:fill="FFFFFF"/>
        </w:rPr>
        <w:t>.org/</w:t>
      </w:r>
      <w:r w:rsidRPr="00634704">
        <w:rPr>
          <w:rFonts w:asciiTheme="minorHAnsi" w:hAnsiTheme="minorHAnsi" w:cstheme="minorHAnsi"/>
          <w:color w:val="212121"/>
          <w:shd w:val="clear" w:color="auto" w:fill="FFFFFF"/>
        </w:rPr>
        <w:t>10.1016/j.jneb.2018.03.005</w:t>
      </w:r>
    </w:p>
    <w:p w:rsidR="00A1092A" w:rsidRPr="00634704" w:rsidP="00A1092A" w14:paraId="7B096700" w14:textId="77777777">
      <w:pPr>
        <w:pStyle w:val="EndNoteBibliography"/>
        <w:spacing w:after="0"/>
        <w:ind w:left="720" w:hanging="720"/>
        <w:rPr>
          <w:rFonts w:asciiTheme="minorHAnsi" w:hAnsiTheme="minorHAnsi" w:cstheme="minorHAnsi"/>
        </w:rPr>
      </w:pPr>
    </w:p>
    <w:p w:rsidR="00B41AB2" w:rsidRPr="00634704" w:rsidP="00A1092A" w14:paraId="38B021B2"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Machín, L., Curutchetb, M.R., Gimenez, A., Aschemann-Witzeld, A., </w:t>
      </w:r>
      <w:r w:rsidRPr="00634704" w:rsidR="009C74FD">
        <w:rPr>
          <w:rFonts w:asciiTheme="minorHAnsi" w:hAnsiTheme="minorHAnsi" w:cstheme="minorHAnsi"/>
        </w:rPr>
        <w:t xml:space="preserve">&amp; </w:t>
      </w:r>
      <w:r w:rsidRPr="00634704">
        <w:rPr>
          <w:rFonts w:asciiTheme="minorHAnsi" w:hAnsiTheme="minorHAnsi" w:cstheme="minorHAnsi"/>
        </w:rPr>
        <w:t xml:space="preserve">Ares, G. </w:t>
      </w:r>
      <w:r w:rsidRPr="00634704" w:rsidR="005178EB">
        <w:rPr>
          <w:rFonts w:asciiTheme="minorHAnsi" w:hAnsiTheme="minorHAnsi" w:cstheme="minorHAnsi"/>
        </w:rPr>
        <w:t xml:space="preserve">(2019). Do nutritional warnings do their work? Results from a choice experiment involving snack products. </w:t>
      </w:r>
      <w:r w:rsidRPr="00634704" w:rsidR="005178EB">
        <w:rPr>
          <w:rFonts w:asciiTheme="minorHAnsi" w:hAnsiTheme="minorHAnsi" w:cstheme="minorHAnsi"/>
          <w:i/>
        </w:rPr>
        <w:t>Food Quality and Preference</w:t>
      </w:r>
      <w:r w:rsidRPr="00634704" w:rsidR="005178EB">
        <w:rPr>
          <w:rFonts w:asciiTheme="minorHAnsi" w:hAnsiTheme="minorHAnsi" w:cstheme="minorHAnsi"/>
        </w:rPr>
        <w:t xml:space="preserve">, </w:t>
      </w:r>
      <w:r w:rsidRPr="00634704" w:rsidR="005A32B5">
        <w:rPr>
          <w:rFonts w:asciiTheme="minorHAnsi" w:hAnsiTheme="minorHAnsi" w:cstheme="minorHAnsi"/>
        </w:rPr>
        <w:t xml:space="preserve">77, 159-165. </w:t>
      </w:r>
    </w:p>
    <w:p w:rsidR="001F4815" w:rsidRPr="00634704" w:rsidP="008645F1" w14:paraId="1C4E9A14" w14:textId="5C7D59E6">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6C79D9">
        <w:rPr>
          <w:rFonts w:asciiTheme="minorHAnsi" w:hAnsiTheme="minorHAnsi" w:cstheme="minorHAnsi"/>
        </w:rPr>
        <w:t>doi:10.1016/j.foodqual.2019.05.012</w:t>
      </w:r>
    </w:p>
    <w:p w:rsidR="001F4815" w:rsidRPr="00634704" w:rsidP="00A1092A" w14:paraId="6FF62D8D" w14:textId="77777777">
      <w:pPr>
        <w:pStyle w:val="EndNoteBibliography"/>
        <w:spacing w:after="0"/>
        <w:ind w:left="720" w:hanging="720"/>
        <w:rPr>
          <w:rFonts w:asciiTheme="minorHAnsi" w:hAnsiTheme="minorHAnsi" w:cstheme="minorHAnsi"/>
        </w:rPr>
      </w:pPr>
    </w:p>
    <w:p w:rsidR="00381C46" w:rsidRPr="00634704" w:rsidP="00A1092A" w14:paraId="033C7903" w14:textId="4FEEB71A">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Machin, L., Cabrera, M., Curutchet, M. R., Martinez, J., Gimenez, A., &amp; Ares, G. (2017). Consumer Perception of the Healthfulness of Ultra-processed Products Featuring Different Front-of-Pack Nutrition Labeling Schemes. </w:t>
      </w:r>
      <w:r w:rsidRPr="00634704">
        <w:rPr>
          <w:rFonts w:asciiTheme="minorHAnsi" w:hAnsiTheme="minorHAnsi" w:cstheme="minorHAnsi"/>
          <w:i/>
          <w:iCs/>
          <w:color w:val="212121"/>
          <w:shd w:val="clear" w:color="auto" w:fill="FFFFFF"/>
        </w:rPr>
        <w:t>Journal of nutrition education and behavior</w:t>
      </w:r>
      <w:r w:rsidRPr="00634704">
        <w:rPr>
          <w:rFonts w:asciiTheme="minorHAnsi" w:hAnsiTheme="minorHAnsi" w:cstheme="minorHAnsi"/>
          <w:i/>
        </w:rPr>
        <w:t>, 49</w:t>
      </w:r>
      <w:r w:rsidRPr="00634704">
        <w:rPr>
          <w:rFonts w:asciiTheme="minorHAnsi" w:hAnsiTheme="minorHAnsi" w:cstheme="minorHAnsi"/>
        </w:rPr>
        <w:t xml:space="preserve">(4), 330-338.e331. </w:t>
      </w:r>
    </w:p>
    <w:p w:rsidR="00A1092A" w:rsidRPr="00634704" w:rsidP="008645F1" w14:paraId="32C153E7" w14:textId="4A3D016C">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doi:10.1016/j.jneb.2016.12.003</w:t>
      </w:r>
    </w:p>
    <w:p w:rsidR="001E39A0" w:rsidRPr="00634704" w:rsidP="00A1092A" w14:paraId="20D9D8CD" w14:textId="77777777">
      <w:pPr>
        <w:pStyle w:val="EndNoteBibliography"/>
        <w:spacing w:after="0"/>
        <w:ind w:left="720" w:hanging="720"/>
        <w:rPr>
          <w:rFonts w:asciiTheme="minorHAnsi" w:hAnsiTheme="minorHAnsi" w:cstheme="minorHAnsi"/>
        </w:rPr>
      </w:pPr>
    </w:p>
    <w:p w:rsidR="005E707F" w:rsidRPr="00634704" w:rsidP="00A1092A" w14:paraId="7B2FC212"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Mansfield, E., Ibanez,</w:t>
      </w:r>
      <w:r w:rsidRPr="00634704" w:rsidR="00B24390">
        <w:rPr>
          <w:rFonts w:asciiTheme="minorHAnsi" w:hAnsiTheme="minorHAnsi" w:cstheme="minorHAnsi"/>
        </w:rPr>
        <w:t xml:space="preserve"> D., Chen, F., Chen, E., &amp; de Grandpre, E.</w:t>
      </w:r>
      <w:r w:rsidRPr="00634704" w:rsidR="006B4B92">
        <w:rPr>
          <w:rFonts w:asciiTheme="minorHAnsi" w:hAnsiTheme="minorHAnsi" w:cstheme="minorHAnsi"/>
        </w:rPr>
        <w:t xml:space="preserve"> (2020). Efficacy of “High in” Nutrient Specific Front of Package Labels—A Retail Experiment with Canadians of Varying Health Literacy Levels. </w:t>
      </w:r>
      <w:r w:rsidRPr="00634704" w:rsidR="00C40D75">
        <w:rPr>
          <w:rFonts w:asciiTheme="minorHAnsi" w:hAnsiTheme="minorHAnsi" w:cstheme="minorHAnsi"/>
          <w:i/>
        </w:rPr>
        <w:t>Nutrients</w:t>
      </w:r>
      <w:r w:rsidRPr="00634704" w:rsidR="00C40D75">
        <w:rPr>
          <w:rFonts w:asciiTheme="minorHAnsi" w:hAnsiTheme="minorHAnsi" w:cstheme="minorHAnsi"/>
        </w:rPr>
        <w:t xml:space="preserve">, 12, 3199. </w:t>
      </w:r>
    </w:p>
    <w:p w:rsidR="001E39A0" w:rsidRPr="00634704" w:rsidP="008645F1" w14:paraId="337871A8" w14:textId="2F472017">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C40D75">
        <w:rPr>
          <w:rFonts w:asciiTheme="minorHAnsi" w:hAnsiTheme="minorHAnsi" w:cstheme="minorHAnsi"/>
        </w:rPr>
        <w:t>doi:10.3390/nu12103199</w:t>
      </w:r>
    </w:p>
    <w:p w:rsidR="00683138" w:rsidRPr="00634704" w:rsidP="00A1092A" w14:paraId="0ED323C1" w14:textId="77777777">
      <w:pPr>
        <w:pStyle w:val="EndNoteBibliography"/>
        <w:spacing w:after="0"/>
        <w:ind w:left="720" w:hanging="720"/>
        <w:rPr>
          <w:rFonts w:asciiTheme="minorHAnsi" w:hAnsiTheme="minorHAnsi" w:cstheme="minorHAnsi"/>
        </w:rPr>
      </w:pPr>
    </w:p>
    <w:p w:rsidR="006765FF" w:rsidRPr="00634704" w:rsidP="006765FF" w14:paraId="36FF82C9" w14:textId="77777777">
      <w:pPr>
        <w:autoSpaceDE w:val="0"/>
        <w:autoSpaceDN w:val="0"/>
        <w:adjustRightInd w:val="0"/>
        <w:spacing w:after="0" w:line="240" w:lineRule="auto"/>
        <w:ind w:left="720" w:hanging="720"/>
        <w:rPr>
          <w:rFonts w:cstheme="minorHAnsi"/>
        </w:rPr>
      </w:pPr>
      <w:r w:rsidRPr="00634704">
        <w:rPr>
          <w:rFonts w:cstheme="minorHAnsi"/>
        </w:rPr>
        <w:t xml:space="preserve">Marette, S. (2021). Ecological and/or Nutritional Scores for Food Traffic-Lights: Results of an Online Survey Conducted on Pizza in France. </w:t>
      </w:r>
      <w:r w:rsidRPr="00634704">
        <w:rPr>
          <w:rFonts w:cstheme="minorHAnsi"/>
          <w:i/>
        </w:rPr>
        <w:t>Sustainability</w:t>
      </w:r>
      <w:r w:rsidRPr="00634704">
        <w:rPr>
          <w:rFonts w:cstheme="minorHAnsi"/>
        </w:rPr>
        <w:t>,</w:t>
      </w:r>
      <w:r w:rsidRPr="00634704">
        <w:rPr>
          <w:rFonts w:cstheme="minorHAnsi"/>
          <w:i/>
        </w:rPr>
        <w:t xml:space="preserve"> 14</w:t>
      </w:r>
      <w:r w:rsidRPr="00634704">
        <w:rPr>
          <w:rFonts w:cstheme="minorHAnsi"/>
        </w:rPr>
        <w:t xml:space="preserve">(1), 247. </w:t>
      </w:r>
    </w:p>
    <w:p w:rsidR="00767775" w:rsidRPr="00634704" w:rsidP="006765FF" w14:paraId="5C72BDB8" w14:textId="35975FF1">
      <w:pPr>
        <w:autoSpaceDE w:val="0"/>
        <w:autoSpaceDN w:val="0"/>
        <w:adjustRightInd w:val="0"/>
        <w:spacing w:after="0" w:line="240" w:lineRule="auto"/>
        <w:ind w:left="720" w:hanging="720"/>
        <w:rPr>
          <w:rFonts w:cstheme="minorHAnsi"/>
        </w:rPr>
      </w:pPr>
      <w:r w:rsidRPr="00634704">
        <w:rPr>
          <w:rFonts w:cstheme="minorHAnsi"/>
        </w:rPr>
        <w:tab/>
      </w:r>
      <w:r w:rsidRPr="00634704">
        <w:rPr>
          <w:rFonts w:cstheme="minorHAnsi"/>
          <w:color w:val="222222"/>
          <w:shd w:val="clear" w:color="auto" w:fill="FFFFFF"/>
        </w:rPr>
        <w:t>https://doi.org/10.3390/su14010247</w:t>
      </w:r>
    </w:p>
    <w:p w:rsidR="006765FF" w:rsidRPr="00634704" w:rsidP="006765FF" w14:paraId="034927EC" w14:textId="77777777">
      <w:pPr>
        <w:autoSpaceDE w:val="0"/>
        <w:autoSpaceDN w:val="0"/>
        <w:adjustRightInd w:val="0"/>
        <w:spacing w:after="0" w:line="240" w:lineRule="auto"/>
        <w:ind w:left="720" w:hanging="720"/>
        <w:rPr>
          <w:rFonts w:cstheme="minorHAnsi"/>
        </w:rPr>
      </w:pPr>
    </w:p>
    <w:p w:rsidR="006765FF" w:rsidRPr="00634704" w:rsidP="006765FF" w14:paraId="288D467A" w14:textId="417FEBC8">
      <w:pPr>
        <w:autoSpaceDE w:val="0"/>
        <w:autoSpaceDN w:val="0"/>
        <w:adjustRightInd w:val="0"/>
        <w:spacing w:after="0" w:line="240" w:lineRule="auto"/>
        <w:ind w:left="720" w:hanging="720"/>
        <w:rPr>
          <w:rFonts w:cstheme="minorHAnsi"/>
        </w:rPr>
      </w:pPr>
      <w:r w:rsidRPr="00634704">
        <w:rPr>
          <w:rFonts w:cstheme="minorHAnsi"/>
        </w:rPr>
        <w:t xml:space="preserve">Mauri, C., Grazzini, L., Ulqinaku, A., &amp; Poletti, E. (2021). The effect of front‐of‐package nutrition labels on the choice of low sugar products. </w:t>
      </w:r>
      <w:r w:rsidRPr="00634704">
        <w:rPr>
          <w:rFonts w:cstheme="minorHAnsi"/>
          <w:i/>
        </w:rPr>
        <w:t>Psychology &amp; Marketing</w:t>
      </w:r>
      <w:r w:rsidRPr="00634704" w:rsidR="00151834">
        <w:rPr>
          <w:rFonts w:cstheme="minorHAnsi"/>
        </w:rPr>
        <w:t xml:space="preserve">, 38(8), </w:t>
      </w:r>
      <w:r w:rsidRPr="00634704" w:rsidR="00995BD0">
        <w:rPr>
          <w:rFonts w:cstheme="minorHAnsi"/>
        </w:rPr>
        <w:t>1323-13</w:t>
      </w:r>
      <w:r w:rsidRPr="00634704" w:rsidR="001802CA">
        <w:rPr>
          <w:rFonts w:cstheme="minorHAnsi"/>
        </w:rPr>
        <w:t>3</w:t>
      </w:r>
      <w:r w:rsidRPr="00634704" w:rsidR="00995BD0">
        <w:rPr>
          <w:rFonts w:cstheme="minorHAnsi"/>
        </w:rPr>
        <w:t>9</w:t>
      </w:r>
      <w:r w:rsidRPr="00634704">
        <w:rPr>
          <w:rFonts w:cstheme="minorHAnsi"/>
        </w:rPr>
        <w:t xml:space="preserve">. https://doi.org/https://doi.org/10.1002/mar.21473 </w:t>
      </w:r>
    </w:p>
    <w:p w:rsidR="006765FF" w:rsidRPr="00634704" w:rsidP="006765FF" w14:paraId="4ED58393" w14:textId="77777777">
      <w:pPr>
        <w:autoSpaceDE w:val="0"/>
        <w:autoSpaceDN w:val="0"/>
        <w:adjustRightInd w:val="0"/>
        <w:spacing w:after="0" w:line="240" w:lineRule="auto"/>
        <w:ind w:left="720" w:hanging="720"/>
        <w:rPr>
          <w:rFonts w:cstheme="minorHAnsi"/>
          <w:highlight w:val="yellow"/>
        </w:rPr>
      </w:pPr>
    </w:p>
    <w:p w:rsidR="006765FF" w:rsidRPr="00634704" w:rsidP="006765FF" w14:paraId="7025734B" w14:textId="77777777">
      <w:pPr>
        <w:autoSpaceDE w:val="0"/>
        <w:autoSpaceDN w:val="0"/>
        <w:adjustRightInd w:val="0"/>
        <w:spacing w:after="0" w:line="240" w:lineRule="auto"/>
        <w:ind w:left="720" w:hanging="720"/>
        <w:rPr>
          <w:rFonts w:cstheme="minorHAnsi"/>
        </w:rPr>
      </w:pPr>
      <w:r w:rsidRPr="00634704">
        <w:rPr>
          <w:rFonts w:cstheme="minorHAnsi"/>
        </w:rPr>
        <w:t xml:space="preserve">Mazzonetto, A. C., Fernandes, A. C., de Souza, A. D., Rodrigues, V. M., Scapin, T., Uggioni, P. L., Veiros, M. B., Bernardo, G. L., &amp; da Costa Proença, R. P. (2022). Front-of-pack nutrition labels: perceptions and preferences of Brazilian adult consumers. </w:t>
      </w:r>
      <w:r w:rsidRPr="00634704">
        <w:rPr>
          <w:rFonts w:cstheme="minorHAnsi"/>
          <w:i/>
        </w:rPr>
        <w:t>British Food Journal</w:t>
      </w:r>
      <w:r w:rsidRPr="00634704">
        <w:rPr>
          <w:rFonts w:cstheme="minorHAnsi"/>
        </w:rPr>
        <w:t xml:space="preserve">. </w:t>
      </w:r>
    </w:p>
    <w:p w:rsidR="006765FF" w:rsidRPr="00634704" w:rsidP="006765FF" w14:paraId="6E2FE843" w14:textId="77777777">
      <w:pPr>
        <w:autoSpaceDE w:val="0"/>
        <w:autoSpaceDN w:val="0"/>
        <w:adjustRightInd w:val="0"/>
        <w:spacing w:after="0" w:line="240" w:lineRule="auto"/>
        <w:ind w:left="720" w:hanging="720"/>
        <w:rPr>
          <w:rFonts w:cstheme="minorHAnsi"/>
        </w:rPr>
      </w:pPr>
    </w:p>
    <w:p w:rsidR="006765FF" w:rsidRPr="00634704" w:rsidP="006765FF" w14:paraId="67C4FCBB" w14:textId="79593414">
      <w:pPr>
        <w:autoSpaceDE w:val="0"/>
        <w:autoSpaceDN w:val="0"/>
        <w:adjustRightInd w:val="0"/>
        <w:spacing w:after="0" w:line="240" w:lineRule="auto"/>
        <w:ind w:left="720" w:hanging="720"/>
        <w:rPr>
          <w:rFonts w:cstheme="minorHAnsi"/>
        </w:rPr>
      </w:pPr>
      <w:r w:rsidRPr="00634704">
        <w:rPr>
          <w:rFonts w:cstheme="minorHAnsi"/>
        </w:rPr>
        <w:t xml:space="preserve">Mazzù, M. F. (2022). Introducing the Front-Of-Pack Acceptance Model: the role of usefulness and ease of use in European consumers’ acceptance of Front-Of-Pack Labels. </w:t>
      </w:r>
      <w:r w:rsidRPr="00634704">
        <w:rPr>
          <w:rFonts w:cstheme="minorHAnsi"/>
          <w:i/>
        </w:rPr>
        <w:t>International journal of food sciences and nutrition</w:t>
      </w:r>
      <w:r w:rsidRPr="00634704">
        <w:rPr>
          <w:rFonts w:cstheme="minorHAnsi"/>
        </w:rPr>
        <w:t>,</w:t>
      </w:r>
      <w:r w:rsidRPr="00634704">
        <w:rPr>
          <w:rFonts w:cstheme="minorHAnsi"/>
          <w:i/>
        </w:rPr>
        <w:t xml:space="preserve"> v. 73</w:t>
      </w:r>
      <w:r w:rsidRPr="00634704">
        <w:rPr>
          <w:rFonts w:cstheme="minorHAnsi"/>
        </w:rPr>
        <w:t xml:space="preserve">(no. 3), pp. 378-395-2022 v.2073 no.2023. https://doi.org/10.1080/09637486.2021.1980866 </w:t>
      </w:r>
    </w:p>
    <w:p w:rsidR="002D4DAC" w:rsidRPr="00634704" w:rsidP="002D4DAC" w14:paraId="3901CEC8" w14:textId="77777777">
      <w:pPr>
        <w:autoSpaceDE w:val="0"/>
        <w:autoSpaceDN w:val="0"/>
        <w:adjustRightInd w:val="0"/>
        <w:spacing w:after="0" w:line="240" w:lineRule="auto"/>
        <w:ind w:left="720" w:hanging="720"/>
        <w:rPr>
          <w:rFonts w:cstheme="minorHAnsi"/>
        </w:rPr>
      </w:pPr>
    </w:p>
    <w:p w:rsidR="00130D11" w:rsidRPr="00634704" w:rsidP="006765FF" w14:paraId="56FF7D71" w14:textId="77777777">
      <w:pPr>
        <w:autoSpaceDE w:val="0"/>
        <w:autoSpaceDN w:val="0"/>
        <w:adjustRightInd w:val="0"/>
        <w:spacing w:after="0" w:line="240" w:lineRule="auto"/>
        <w:ind w:left="720" w:hanging="720"/>
        <w:rPr>
          <w:rFonts w:cstheme="minorHAnsi"/>
        </w:rPr>
      </w:pPr>
      <w:r w:rsidRPr="00634704">
        <w:rPr>
          <w:rFonts w:cstheme="minorHAnsi"/>
        </w:rPr>
        <w:t xml:space="preserve">Mazzù, M. F., Baccelloni, A., &amp; Finistauri, P. (2022). Uncovering the Effect of European Policy-Making Initiatives in Addressing Nutrition-Related Issues: A Systematic Literature Review and Bibliometric Analysis on Front-of-Pack Labels. </w:t>
      </w:r>
      <w:r w:rsidRPr="00634704">
        <w:rPr>
          <w:rFonts w:cstheme="minorHAnsi"/>
          <w:i/>
          <w:iCs/>
        </w:rPr>
        <w:t>Nutrients</w:t>
      </w:r>
      <w:r w:rsidRPr="00634704">
        <w:rPr>
          <w:rFonts w:cstheme="minorHAnsi"/>
        </w:rPr>
        <w:t>,</w:t>
      </w:r>
      <w:r w:rsidRPr="00634704">
        <w:rPr>
          <w:rFonts w:cstheme="minorHAnsi"/>
          <w:i/>
          <w:iCs/>
        </w:rPr>
        <w:t xml:space="preserve"> 14</w:t>
      </w:r>
      <w:r w:rsidRPr="00634704">
        <w:rPr>
          <w:rFonts w:cstheme="minorHAnsi"/>
        </w:rPr>
        <w:t xml:space="preserve">(16), 3423. </w:t>
      </w:r>
    </w:p>
    <w:p w:rsidR="006765FF" w:rsidRPr="00634704" w:rsidP="008645F1" w14:paraId="058949E7" w14:textId="75262471">
      <w:pPr>
        <w:autoSpaceDE w:val="0"/>
        <w:autoSpaceDN w:val="0"/>
        <w:adjustRightInd w:val="0"/>
        <w:spacing w:after="0" w:line="240" w:lineRule="auto"/>
        <w:ind w:left="720"/>
        <w:rPr>
          <w:rFonts w:cstheme="minorHAnsi"/>
        </w:rPr>
      </w:pPr>
      <w:r w:rsidRPr="00634704">
        <w:rPr>
          <w:rFonts w:cstheme="minorHAnsi"/>
          <w:color w:val="212121"/>
          <w:shd w:val="clear" w:color="auto" w:fill="FFFFFF"/>
        </w:rPr>
        <w:t>https://doi.org/10.3390/nu14163423</w:t>
      </w:r>
    </w:p>
    <w:p w:rsidR="008645F1" w:rsidP="00427F4D" w14:paraId="3ED16BE1" w14:textId="77777777">
      <w:pPr>
        <w:autoSpaceDE w:val="0"/>
        <w:autoSpaceDN w:val="0"/>
        <w:adjustRightInd w:val="0"/>
        <w:spacing w:after="0" w:line="240" w:lineRule="auto"/>
        <w:ind w:left="720" w:hanging="720"/>
        <w:rPr>
          <w:rFonts w:cstheme="minorHAnsi"/>
        </w:rPr>
      </w:pPr>
    </w:p>
    <w:p w:rsidR="004E21E6" w:rsidRPr="00634704" w:rsidP="00427F4D" w14:paraId="0651A684" w14:textId="4AAF36AD">
      <w:pPr>
        <w:autoSpaceDE w:val="0"/>
        <w:autoSpaceDN w:val="0"/>
        <w:adjustRightInd w:val="0"/>
        <w:spacing w:after="0" w:line="240" w:lineRule="auto"/>
        <w:ind w:left="720" w:hanging="720"/>
        <w:rPr>
          <w:rFonts w:cstheme="minorHAnsi"/>
          <w:color w:val="000000"/>
        </w:rPr>
      </w:pPr>
      <w:r w:rsidRPr="00634704">
        <w:rPr>
          <w:rFonts w:cstheme="minorHAnsi"/>
        </w:rPr>
        <w:t xml:space="preserve">Mazzù, M. F., Baccelloni, A., Romani, S., &amp; Andria, A. (2022). The role of trust and algorithms in consumers’ front-of-pack labels acceptance: a cross-country investigation. </w:t>
      </w:r>
      <w:r w:rsidRPr="00634704">
        <w:rPr>
          <w:rFonts w:cstheme="minorHAnsi"/>
          <w:i/>
        </w:rPr>
        <w:t>European Journal of Marketing</w:t>
      </w:r>
      <w:r w:rsidRPr="00634704">
        <w:rPr>
          <w:rFonts w:cstheme="minorHAnsi"/>
          <w:color w:val="000000"/>
        </w:rPr>
        <w:t>, 56(11), 3107-3137.</w:t>
      </w:r>
    </w:p>
    <w:p w:rsidR="006765FF" w:rsidRPr="008645F1" w:rsidP="00427F4D" w14:paraId="7EE4E141" w14:textId="6333862C">
      <w:pPr>
        <w:autoSpaceDE w:val="0"/>
        <w:autoSpaceDN w:val="0"/>
        <w:adjustRightInd w:val="0"/>
        <w:spacing w:after="0" w:line="240" w:lineRule="auto"/>
        <w:ind w:left="720"/>
        <w:rPr>
          <w:rFonts w:cstheme="minorHAnsi"/>
        </w:rPr>
      </w:pPr>
      <w:r w:rsidRPr="00634704">
        <w:rPr>
          <w:rFonts w:cstheme="minorHAnsi"/>
          <w:color w:val="000000"/>
        </w:rPr>
        <w:t>https://doi:</w:t>
      </w:r>
      <w:r w:rsidRPr="008645F1" w:rsidR="004E21E6">
        <w:rPr>
          <w:rFonts w:cstheme="minorHAnsi"/>
        </w:rPr>
        <w:t>10.1108/EJM-10-2021-0764</w:t>
      </w:r>
      <w:r w:rsidRPr="008645F1" w:rsidR="004E21E6">
        <w:rPr>
          <w:rFonts w:cstheme="minorHAnsi"/>
        </w:rPr>
        <w:t xml:space="preserve"> </w:t>
      </w:r>
      <w:r w:rsidRPr="008645F1">
        <w:rPr>
          <w:rFonts w:cstheme="minorHAnsi"/>
        </w:rPr>
        <w:t xml:space="preserve"> </w:t>
      </w:r>
    </w:p>
    <w:p w:rsidR="002D4DAC" w:rsidRPr="00634704" w:rsidP="002D4DAC" w14:paraId="00F938FA" w14:textId="77777777">
      <w:pPr>
        <w:pStyle w:val="EndNoteBibliography"/>
        <w:spacing w:after="0"/>
        <w:ind w:left="720" w:hanging="720"/>
        <w:rPr>
          <w:rFonts w:asciiTheme="minorHAnsi" w:hAnsiTheme="minorHAnsi" w:cstheme="minorHAnsi"/>
        </w:rPr>
      </w:pPr>
    </w:p>
    <w:p w:rsidR="00ED4291" w:rsidRPr="00634704" w:rsidP="00A1092A" w14:paraId="5110C565" w14:textId="4517FF5F">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Mazzù, M., Romani, S., Baccelloni, A., </w:t>
      </w:r>
      <w:r w:rsidRPr="00634704" w:rsidR="00FD3A8A">
        <w:rPr>
          <w:rFonts w:asciiTheme="minorHAnsi" w:hAnsiTheme="minorHAnsi" w:cstheme="minorHAnsi"/>
        </w:rPr>
        <w:t xml:space="preserve">&amp; </w:t>
      </w:r>
      <w:r w:rsidRPr="00634704">
        <w:rPr>
          <w:rFonts w:asciiTheme="minorHAnsi" w:hAnsiTheme="minorHAnsi" w:cstheme="minorHAnsi"/>
        </w:rPr>
        <w:t xml:space="preserve">Gambicorti, A.  </w:t>
      </w:r>
      <w:r w:rsidRPr="00634704" w:rsidR="00C44413">
        <w:rPr>
          <w:rFonts w:asciiTheme="minorHAnsi" w:hAnsiTheme="minorHAnsi" w:cstheme="minorHAnsi"/>
        </w:rPr>
        <w:t>(2021). A cross-country experimental study on consumers’ subjective understanding and liking on front-of</w:t>
      </w:r>
      <w:r w:rsidRPr="00634704" w:rsidR="00D61447">
        <w:rPr>
          <w:rFonts w:asciiTheme="minorHAnsi" w:hAnsiTheme="minorHAnsi" w:cstheme="minorHAnsi"/>
        </w:rPr>
        <w:t>-</w:t>
      </w:r>
      <w:r w:rsidRPr="00634704" w:rsidR="00C44413">
        <w:rPr>
          <w:rFonts w:asciiTheme="minorHAnsi" w:hAnsiTheme="minorHAnsi" w:cstheme="minorHAnsi"/>
        </w:rPr>
        <w:t>pack nutrition label.</w:t>
      </w:r>
      <w:r w:rsidRPr="00634704" w:rsidR="00AA19FC">
        <w:rPr>
          <w:rFonts w:asciiTheme="minorHAnsi" w:hAnsiTheme="minorHAnsi" w:cstheme="minorHAnsi"/>
        </w:rPr>
        <w:t xml:space="preserve"> </w:t>
      </w:r>
      <w:r w:rsidRPr="00634704" w:rsidR="00AA19FC">
        <w:rPr>
          <w:rFonts w:asciiTheme="minorHAnsi" w:hAnsiTheme="minorHAnsi" w:cstheme="minorHAnsi"/>
          <w:i/>
        </w:rPr>
        <w:t>International Journal of Food Sciences and Nutrition</w:t>
      </w:r>
      <w:r w:rsidRPr="00634704" w:rsidR="00D61447">
        <w:rPr>
          <w:rFonts w:asciiTheme="minorHAnsi" w:hAnsiTheme="minorHAnsi" w:cstheme="minorHAnsi"/>
        </w:rPr>
        <w:t xml:space="preserve">, </w:t>
      </w:r>
      <w:r w:rsidRPr="00634704" w:rsidR="00D61447">
        <w:rPr>
          <w:rFonts w:asciiTheme="minorHAnsi" w:hAnsiTheme="minorHAnsi" w:cstheme="minorHAnsi"/>
          <w:i/>
          <w:iCs/>
          <w:color w:val="212121"/>
          <w:shd w:val="clear" w:color="auto" w:fill="FFFFFF"/>
        </w:rPr>
        <w:t>72</w:t>
      </w:r>
      <w:r w:rsidRPr="00634704" w:rsidR="00D61447">
        <w:rPr>
          <w:rFonts w:asciiTheme="minorHAnsi" w:hAnsiTheme="minorHAnsi" w:cstheme="minorHAnsi"/>
          <w:color w:val="212121"/>
          <w:shd w:val="clear" w:color="auto" w:fill="FFFFFF"/>
        </w:rPr>
        <w:t>(6), 833–847</w:t>
      </w:r>
      <w:r w:rsidRPr="00634704" w:rsidR="00AA19FC">
        <w:rPr>
          <w:rFonts w:asciiTheme="minorHAnsi" w:hAnsiTheme="minorHAnsi" w:cstheme="minorHAnsi"/>
        </w:rPr>
        <w:t xml:space="preserve">. </w:t>
      </w:r>
    </w:p>
    <w:p w:rsidR="00683138" w:rsidRPr="00634704" w:rsidP="008645F1" w14:paraId="4A8A98BB" w14:textId="1749DA37">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AA19FC">
        <w:rPr>
          <w:rFonts w:asciiTheme="minorHAnsi" w:hAnsiTheme="minorHAnsi" w:cstheme="minorHAnsi"/>
        </w:rPr>
        <w:t>doi:10.1080/09637486.2021.1873918</w:t>
      </w:r>
    </w:p>
    <w:p w:rsidR="00FD3A8A" w:rsidRPr="00634704" w:rsidP="00A1092A" w14:paraId="389F6048" w14:textId="77777777">
      <w:pPr>
        <w:pStyle w:val="EndNoteBibliography"/>
        <w:spacing w:after="0"/>
        <w:ind w:left="720" w:hanging="720"/>
        <w:rPr>
          <w:rFonts w:asciiTheme="minorHAnsi" w:hAnsiTheme="minorHAnsi" w:cstheme="minorHAnsi"/>
        </w:rPr>
      </w:pPr>
    </w:p>
    <w:p w:rsidR="00342C1A" w:rsidRPr="00634704" w:rsidP="00A1092A" w14:paraId="2D9B7875" w14:textId="18CAD5E4">
      <w:pPr>
        <w:pStyle w:val="EndNoteBibliography"/>
        <w:spacing w:after="0"/>
        <w:ind w:left="720" w:hanging="720"/>
        <w:rPr>
          <w:rFonts w:asciiTheme="minorHAnsi" w:hAnsiTheme="minorHAnsi" w:cstheme="minorHAnsi"/>
        </w:rPr>
      </w:pPr>
      <w:r w:rsidRPr="00634704">
        <w:rPr>
          <w:rFonts w:asciiTheme="minorHAnsi" w:hAnsiTheme="minorHAnsi" w:cstheme="minorHAnsi"/>
        </w:rPr>
        <w:t>Mazzù, M., Romani, S., &amp; Gambicorti, A.</w:t>
      </w:r>
      <w:r w:rsidRPr="00634704" w:rsidR="003E4E4C">
        <w:rPr>
          <w:rFonts w:asciiTheme="minorHAnsi" w:hAnsiTheme="minorHAnsi" w:cstheme="minorHAnsi"/>
        </w:rPr>
        <w:t xml:space="preserve"> </w:t>
      </w:r>
      <w:r w:rsidRPr="00634704" w:rsidR="00A81183">
        <w:rPr>
          <w:rFonts w:asciiTheme="minorHAnsi" w:hAnsiTheme="minorHAnsi" w:cstheme="minorHAnsi"/>
        </w:rPr>
        <w:t xml:space="preserve">(2020). Effects on consumers’ subjective understanding of a new front-of-pack nutritional label: a study on Italian consumers. </w:t>
      </w:r>
      <w:r w:rsidRPr="00634704" w:rsidR="00477610">
        <w:rPr>
          <w:rFonts w:asciiTheme="minorHAnsi" w:hAnsiTheme="minorHAnsi" w:cstheme="minorHAnsi"/>
          <w:i/>
        </w:rPr>
        <w:t>International Journal of Food Sciences and Nutrition</w:t>
      </w:r>
      <w:r w:rsidRPr="00634704" w:rsidR="00A60CB4">
        <w:rPr>
          <w:rFonts w:asciiTheme="minorHAnsi" w:hAnsiTheme="minorHAnsi" w:cstheme="minorHAnsi"/>
        </w:rPr>
        <w:t xml:space="preserve">, </w:t>
      </w:r>
      <w:r w:rsidRPr="00634704" w:rsidR="00A60CB4">
        <w:rPr>
          <w:rFonts w:asciiTheme="minorHAnsi" w:hAnsiTheme="minorHAnsi" w:cstheme="minorHAnsi"/>
          <w:i/>
          <w:iCs/>
          <w:color w:val="212121"/>
          <w:shd w:val="clear" w:color="auto" w:fill="FFFFFF"/>
        </w:rPr>
        <w:t>72</w:t>
      </w:r>
      <w:r w:rsidRPr="00634704" w:rsidR="00A60CB4">
        <w:rPr>
          <w:rFonts w:asciiTheme="minorHAnsi" w:hAnsiTheme="minorHAnsi" w:cstheme="minorHAnsi"/>
          <w:color w:val="212121"/>
          <w:shd w:val="clear" w:color="auto" w:fill="FFFFFF"/>
        </w:rPr>
        <w:t>(3), 357–366</w:t>
      </w:r>
      <w:r w:rsidRPr="00634704" w:rsidR="00477610">
        <w:rPr>
          <w:rFonts w:asciiTheme="minorHAnsi" w:hAnsiTheme="minorHAnsi" w:cstheme="minorHAnsi"/>
        </w:rPr>
        <w:t xml:space="preserve">. </w:t>
      </w:r>
    </w:p>
    <w:p w:rsidR="00FD3A8A" w:rsidRPr="00634704" w:rsidP="008645F1" w14:paraId="32A4AED4" w14:textId="07452FC0">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477610">
        <w:rPr>
          <w:rFonts w:asciiTheme="minorHAnsi" w:hAnsiTheme="minorHAnsi" w:cstheme="minorHAnsi"/>
        </w:rPr>
        <w:t>doi:10.1080/09637486.2020.1796932</w:t>
      </w:r>
    </w:p>
    <w:p w:rsidR="009C137A" w:rsidRPr="00634704" w:rsidP="00A1092A" w14:paraId="3BC61737" w14:textId="77777777">
      <w:pPr>
        <w:pStyle w:val="EndNoteBibliography"/>
        <w:spacing w:after="0"/>
        <w:ind w:left="720" w:hanging="720"/>
        <w:rPr>
          <w:rFonts w:asciiTheme="minorHAnsi" w:hAnsiTheme="minorHAnsi" w:cstheme="minorHAnsi"/>
        </w:rPr>
      </w:pPr>
    </w:p>
    <w:p w:rsidR="008645F1" w:rsidP="00BF6CA1" w14:paraId="04A5D257" w14:textId="77777777">
      <w:pPr>
        <w:pStyle w:val="EndNoteBibliography"/>
        <w:spacing w:after="0"/>
        <w:ind w:left="720"/>
        <w:rPr>
          <w:rFonts w:asciiTheme="minorHAnsi" w:hAnsiTheme="minorHAnsi" w:cstheme="minorHAnsi"/>
        </w:rPr>
      </w:pPr>
      <w:r w:rsidRPr="00634704">
        <w:rPr>
          <w:rFonts w:asciiTheme="minorHAnsi" w:hAnsiTheme="minorHAnsi" w:cstheme="minorHAnsi"/>
        </w:rPr>
        <w:t xml:space="preserve">McCrickerda, K., Tanga, C., &amp; Forde, C. </w:t>
      </w:r>
      <w:r w:rsidRPr="00634704" w:rsidR="002C3BE6">
        <w:rPr>
          <w:rFonts w:asciiTheme="minorHAnsi" w:hAnsiTheme="minorHAnsi" w:cstheme="minorHAnsi"/>
        </w:rPr>
        <w:t xml:space="preserve">(2020). The independent and combined impact of front-of-pack labelling and sensory quality on calorie estimations and portion selection of commercial food products. </w:t>
      </w:r>
      <w:r w:rsidRPr="00634704" w:rsidR="00D4159F">
        <w:rPr>
          <w:rFonts w:asciiTheme="minorHAnsi" w:hAnsiTheme="minorHAnsi" w:cstheme="minorHAnsi"/>
          <w:i/>
        </w:rPr>
        <w:t>Food Quality and Preference</w:t>
      </w:r>
      <w:r w:rsidRPr="00634704" w:rsidR="00D4159F">
        <w:rPr>
          <w:rFonts w:asciiTheme="minorHAnsi" w:hAnsiTheme="minorHAnsi" w:cstheme="minorHAnsi"/>
        </w:rPr>
        <w:t xml:space="preserve">, 79. </w:t>
      </w:r>
    </w:p>
    <w:p w:rsidR="009C137A" w:rsidRPr="00634704" w:rsidP="008645F1" w14:paraId="6641DC4F" w14:textId="0F146747">
      <w:pPr>
        <w:pStyle w:val="EndNoteBibliography"/>
        <w:spacing w:after="0"/>
        <w:ind w:left="720"/>
        <w:rPr>
          <w:rFonts w:asciiTheme="minorHAnsi" w:hAnsiTheme="minorHAnsi" w:cstheme="minorHAnsi"/>
        </w:rPr>
      </w:pPr>
      <w:r>
        <w:rPr>
          <w:rFonts w:asciiTheme="minorHAnsi" w:hAnsiTheme="minorHAnsi" w:cstheme="minorHAnsi"/>
        </w:rPr>
        <w:t>https://</w:t>
      </w:r>
      <w:r w:rsidRPr="00634704" w:rsidR="00CB0190">
        <w:rPr>
          <w:rFonts w:asciiTheme="minorHAnsi" w:hAnsiTheme="minorHAnsi" w:cstheme="minorHAnsi"/>
        </w:rPr>
        <w:t>doi:10.1016/j.foodqual.2019.103766</w:t>
      </w:r>
    </w:p>
    <w:p w:rsidR="002D4DAC" w:rsidRPr="00634704" w:rsidP="007347C0" w14:paraId="43220B8F" w14:textId="77777777">
      <w:pPr>
        <w:autoSpaceDE w:val="0"/>
        <w:autoSpaceDN w:val="0"/>
        <w:adjustRightInd w:val="0"/>
        <w:spacing w:after="0" w:line="240" w:lineRule="auto"/>
        <w:ind w:left="720" w:hanging="720"/>
        <w:rPr>
          <w:rFonts w:cstheme="minorHAnsi"/>
          <w:highlight w:val="yellow"/>
        </w:rPr>
      </w:pPr>
    </w:p>
    <w:p w:rsidR="006765FF" w:rsidRPr="00634704" w:rsidP="006765FF" w14:paraId="5A5BF1EC" w14:textId="77777777">
      <w:pPr>
        <w:autoSpaceDE w:val="0"/>
        <w:autoSpaceDN w:val="0"/>
        <w:adjustRightInd w:val="0"/>
        <w:spacing w:after="0" w:line="240" w:lineRule="auto"/>
        <w:ind w:left="720" w:hanging="720"/>
        <w:rPr>
          <w:rFonts w:cstheme="minorHAnsi"/>
        </w:rPr>
      </w:pPr>
      <w:r w:rsidRPr="00634704">
        <w:rPr>
          <w:rFonts w:cstheme="minorHAnsi"/>
        </w:rPr>
        <w:t xml:space="preserve">Mediano Stoltze, F., Busey, E., Taillie, L. S., &amp; Dillman Carpentier, F. R. (2021). Impact of warning labels on reducing health halo effects of nutrient content claims on breakfast cereal packages: A mixed-measures experiment. </w:t>
      </w:r>
      <w:r w:rsidRPr="00634704">
        <w:rPr>
          <w:rFonts w:cstheme="minorHAnsi"/>
          <w:i/>
        </w:rPr>
        <w:t>Appetite</w:t>
      </w:r>
      <w:r w:rsidRPr="00634704">
        <w:rPr>
          <w:rFonts w:cstheme="minorHAnsi"/>
        </w:rPr>
        <w:t>,</w:t>
      </w:r>
      <w:r w:rsidRPr="00634704">
        <w:rPr>
          <w:rFonts w:cstheme="minorHAnsi"/>
          <w:i/>
        </w:rPr>
        <w:t xml:space="preserve"> 163</w:t>
      </w:r>
      <w:r w:rsidRPr="00634704">
        <w:rPr>
          <w:rFonts w:cstheme="minorHAnsi"/>
        </w:rPr>
        <w:t xml:space="preserve">, 105229. https://doi.org/https://doi.org/10.1016/j.appet.2021.105229 </w:t>
      </w:r>
    </w:p>
    <w:p w:rsidR="002D4DAC" w:rsidRPr="00634704" w:rsidP="007347C0" w14:paraId="4DB155C4" w14:textId="77777777">
      <w:pPr>
        <w:autoSpaceDE w:val="0"/>
        <w:autoSpaceDN w:val="0"/>
        <w:adjustRightInd w:val="0"/>
        <w:spacing w:after="0" w:line="240" w:lineRule="auto"/>
        <w:ind w:left="720" w:hanging="720"/>
        <w:rPr>
          <w:rFonts w:cstheme="minorHAnsi"/>
        </w:rPr>
      </w:pPr>
    </w:p>
    <w:p w:rsidR="00506CB5" w:rsidRPr="00506CB5" w:rsidP="00506CB5" w14:paraId="7E369A15" w14:textId="6564A3D8">
      <w:pPr>
        <w:autoSpaceDE w:val="0"/>
        <w:autoSpaceDN w:val="0"/>
        <w:adjustRightInd w:val="0"/>
        <w:spacing w:after="0" w:line="240" w:lineRule="auto"/>
        <w:ind w:left="720" w:hanging="720"/>
        <w:rPr>
          <w:rFonts w:cstheme="minorHAnsi"/>
          <w:shd w:val="clear" w:color="auto" w:fill="FFFFFF"/>
        </w:rPr>
      </w:pPr>
      <w:r w:rsidRPr="00506CB5">
        <w:rPr>
          <w:rFonts w:cstheme="minorHAnsi"/>
        </w:rPr>
        <w:t xml:space="preserve">Medina-Molina, C., &amp; Pérez-González, B. (2020). Nutritional labelling and purchase intention interaction of interpretative food labels with consumers' beliefs and decisions. </w:t>
      </w:r>
      <w:r w:rsidRPr="00506CB5">
        <w:rPr>
          <w:rFonts w:cstheme="minorHAnsi"/>
          <w:i/>
        </w:rPr>
        <w:t>British Food Journal</w:t>
      </w:r>
      <w:r w:rsidRPr="00506CB5" w:rsidR="000042CB">
        <w:rPr>
          <w:rFonts w:cstheme="minorHAnsi"/>
        </w:rPr>
        <w:t xml:space="preserve">, </w:t>
      </w:r>
      <w:r w:rsidRPr="00506CB5" w:rsidR="000042CB">
        <w:rPr>
          <w:rFonts w:cstheme="minorHAnsi"/>
          <w:shd w:val="clear" w:color="auto" w:fill="FFFFFF"/>
        </w:rPr>
        <w:t>123(2), 754-770. </w:t>
      </w:r>
    </w:p>
    <w:p w:rsidR="007347C0" w:rsidRPr="00506CB5" w:rsidP="00506CB5" w14:paraId="25813121" w14:textId="1EBFA625">
      <w:pPr>
        <w:autoSpaceDE w:val="0"/>
        <w:autoSpaceDN w:val="0"/>
        <w:adjustRightInd w:val="0"/>
        <w:spacing w:after="0" w:line="240" w:lineRule="auto"/>
        <w:ind w:firstLine="720"/>
        <w:rPr>
          <w:rFonts w:cstheme="minorHAnsi"/>
          <w:shd w:val="clear" w:color="auto" w:fill="FFFFFF"/>
        </w:rPr>
      </w:pPr>
      <w:r w:rsidRPr="00506CB5">
        <w:rPr>
          <w:rFonts w:cstheme="minorHAnsi"/>
          <w:shd w:val="clear" w:color="auto" w:fill="FFFFFF"/>
        </w:rPr>
        <w:t>https://doi.org/10.1108/BFJ-04-2020-0353</w:t>
      </w:r>
    </w:p>
    <w:p w:rsidR="002D4DAC" w:rsidRPr="00634704" w:rsidP="007347C0" w14:paraId="6DF39436" w14:textId="77777777">
      <w:pPr>
        <w:autoSpaceDE w:val="0"/>
        <w:autoSpaceDN w:val="0"/>
        <w:adjustRightInd w:val="0"/>
        <w:spacing w:after="0" w:line="240" w:lineRule="auto"/>
        <w:ind w:left="720" w:hanging="720"/>
        <w:rPr>
          <w:rFonts w:cstheme="minorHAnsi"/>
          <w:highlight w:val="yellow"/>
        </w:rPr>
      </w:pPr>
    </w:p>
    <w:p w:rsidR="00506CB5" w:rsidP="006765FF" w14:paraId="1FCB6D69" w14:textId="77777777">
      <w:pPr>
        <w:autoSpaceDE w:val="0"/>
        <w:autoSpaceDN w:val="0"/>
        <w:adjustRightInd w:val="0"/>
        <w:spacing w:after="0" w:line="240" w:lineRule="auto"/>
        <w:ind w:left="720" w:hanging="720"/>
        <w:rPr>
          <w:rFonts w:cstheme="minorHAnsi"/>
        </w:rPr>
      </w:pPr>
      <w:r w:rsidRPr="00634704">
        <w:rPr>
          <w:rFonts w:cstheme="minorHAnsi"/>
        </w:rPr>
        <w:t xml:space="preserve">Medina-Molina, C., Rey-Moreno, M., &amp; Periáñez-Cristóbal, R. (2021). Analysis of the moderating effect of front-of-pack labelling on the relation between brand attitude and purchasing intention. </w:t>
      </w:r>
      <w:r w:rsidRPr="00634704">
        <w:rPr>
          <w:rFonts w:cstheme="minorHAnsi"/>
          <w:i/>
        </w:rPr>
        <w:t>Journal of Business Research</w:t>
      </w:r>
      <w:r w:rsidRPr="00634704">
        <w:rPr>
          <w:rFonts w:cstheme="minorHAnsi"/>
        </w:rPr>
        <w:t>,</w:t>
      </w:r>
      <w:r w:rsidRPr="00634704">
        <w:rPr>
          <w:rFonts w:cstheme="minorHAnsi"/>
          <w:i/>
        </w:rPr>
        <w:t xml:space="preserve"> 122</w:t>
      </w:r>
      <w:r w:rsidRPr="00634704">
        <w:rPr>
          <w:rFonts w:cstheme="minorHAnsi"/>
        </w:rPr>
        <w:t xml:space="preserve">, 304-310. </w:t>
      </w:r>
    </w:p>
    <w:p w:rsidR="006765FF" w:rsidRPr="00634704" w:rsidP="00506CB5" w14:paraId="2FC570A4" w14:textId="4664B047">
      <w:pPr>
        <w:autoSpaceDE w:val="0"/>
        <w:autoSpaceDN w:val="0"/>
        <w:adjustRightInd w:val="0"/>
        <w:spacing w:after="0" w:line="240" w:lineRule="auto"/>
        <w:ind w:left="720"/>
        <w:rPr>
          <w:rFonts w:cstheme="minorHAnsi"/>
        </w:rPr>
      </w:pPr>
      <w:r w:rsidRPr="00634704">
        <w:rPr>
          <w:rFonts w:cstheme="minorHAnsi"/>
        </w:rPr>
        <w:t xml:space="preserve">https://doi.org/10.1016/j.jbusres.2020.08.062 </w:t>
      </w:r>
    </w:p>
    <w:p w:rsidR="002D4DAC" w:rsidRPr="00634704" w:rsidP="007347C0" w14:paraId="31AF45D7" w14:textId="77777777">
      <w:pPr>
        <w:autoSpaceDE w:val="0"/>
        <w:autoSpaceDN w:val="0"/>
        <w:adjustRightInd w:val="0"/>
        <w:spacing w:after="0" w:line="240" w:lineRule="auto"/>
        <w:ind w:left="720" w:hanging="720"/>
        <w:rPr>
          <w:rFonts w:cstheme="minorHAnsi"/>
        </w:rPr>
      </w:pPr>
    </w:p>
    <w:p w:rsidR="00506CB5" w:rsidP="006765FF" w14:paraId="2788FD66" w14:textId="77777777">
      <w:pPr>
        <w:autoSpaceDE w:val="0"/>
        <w:autoSpaceDN w:val="0"/>
        <w:adjustRightInd w:val="0"/>
        <w:spacing w:after="0" w:line="240" w:lineRule="auto"/>
        <w:ind w:left="720" w:hanging="720"/>
        <w:rPr>
          <w:rFonts w:cstheme="minorHAnsi"/>
        </w:rPr>
      </w:pPr>
      <w:r w:rsidRPr="00634704">
        <w:rPr>
          <w:rFonts w:cstheme="minorHAnsi"/>
        </w:rPr>
        <w:t xml:space="preserve">Meng, Y., &amp; Chan, E. Y. (2022). Traffic light signals and healthy food choice: Investigating gender differences. </w:t>
      </w:r>
      <w:r w:rsidRPr="00634704">
        <w:rPr>
          <w:rFonts w:cstheme="minorHAnsi"/>
          <w:i/>
        </w:rPr>
        <w:t>Psychology &amp; Marketing</w:t>
      </w:r>
      <w:r w:rsidRPr="00634704">
        <w:rPr>
          <w:rFonts w:cstheme="minorHAnsi"/>
        </w:rPr>
        <w:t>,</w:t>
      </w:r>
      <w:r w:rsidRPr="00634704">
        <w:rPr>
          <w:rFonts w:cstheme="minorHAnsi"/>
          <w:i/>
        </w:rPr>
        <w:t xml:space="preserve"> 39</w:t>
      </w:r>
      <w:r w:rsidRPr="00634704">
        <w:rPr>
          <w:rFonts w:cstheme="minorHAnsi"/>
        </w:rPr>
        <w:t xml:space="preserve">(2), 360-369. </w:t>
      </w:r>
    </w:p>
    <w:p w:rsidR="006765FF" w:rsidRPr="00634704" w:rsidP="00506CB5" w14:paraId="0C6AEF98" w14:textId="5A3111E9">
      <w:pPr>
        <w:autoSpaceDE w:val="0"/>
        <w:autoSpaceDN w:val="0"/>
        <w:adjustRightInd w:val="0"/>
        <w:spacing w:after="0" w:line="240" w:lineRule="auto"/>
        <w:ind w:left="720"/>
        <w:rPr>
          <w:rFonts w:cstheme="minorHAnsi"/>
        </w:rPr>
      </w:pPr>
      <w:r w:rsidRPr="00634704">
        <w:rPr>
          <w:rFonts w:cstheme="minorHAnsi"/>
        </w:rPr>
        <w:t xml:space="preserve">https://doi.org/10.1002/mar.21601 </w:t>
      </w:r>
    </w:p>
    <w:p w:rsidR="00A1092A" w:rsidRPr="00634704" w:rsidP="00A1092A" w14:paraId="3DBC83C9" w14:textId="77777777">
      <w:pPr>
        <w:pStyle w:val="EndNoteBibliography"/>
        <w:spacing w:after="0"/>
        <w:ind w:left="720" w:hanging="720"/>
        <w:rPr>
          <w:rFonts w:asciiTheme="minorHAnsi" w:hAnsiTheme="minorHAnsi" w:cstheme="minorHAnsi"/>
        </w:rPr>
      </w:pPr>
    </w:p>
    <w:p w:rsidR="003B3071" w:rsidRPr="00634704" w:rsidP="00A1092A" w14:paraId="6E83E664"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Mhurchu, C. N., Eyles, H., &amp; Choi, Y. H. (2017). Effects of a Voluntary Front-of-Pack Nutrition Labelling System on Packaged Food Reformulation: The Health Star Rating System in New Zealand. </w:t>
      </w:r>
      <w:r w:rsidRPr="00634704">
        <w:rPr>
          <w:rFonts w:asciiTheme="minorHAnsi" w:hAnsiTheme="minorHAnsi" w:cstheme="minorHAnsi"/>
          <w:i/>
        </w:rPr>
        <w:t>Nutrients, 9</w:t>
      </w:r>
      <w:r w:rsidRPr="00634704">
        <w:rPr>
          <w:rFonts w:asciiTheme="minorHAnsi" w:hAnsiTheme="minorHAnsi" w:cstheme="minorHAnsi"/>
        </w:rPr>
        <w:t>(8)</w:t>
      </w:r>
      <w:r w:rsidRPr="00634704">
        <w:rPr>
          <w:rFonts w:asciiTheme="minorHAnsi" w:hAnsiTheme="minorHAnsi" w:cstheme="minorHAnsi"/>
        </w:rPr>
        <w:t>,918</w:t>
      </w:r>
      <w:r w:rsidRPr="00634704">
        <w:rPr>
          <w:rFonts w:asciiTheme="minorHAnsi" w:hAnsiTheme="minorHAnsi" w:cstheme="minorHAnsi"/>
        </w:rPr>
        <w:t xml:space="preserve">. </w:t>
      </w:r>
    </w:p>
    <w:p w:rsidR="00A1092A" w:rsidRPr="00634704" w:rsidP="003B3071" w14:paraId="041878B6" w14:textId="4F1AC61F">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doi:10.3390/nu9080918</w:t>
      </w:r>
    </w:p>
    <w:p w:rsidR="00332DBA" w:rsidRPr="00634704" w:rsidP="00A1092A" w14:paraId="67A43701" w14:textId="77777777">
      <w:pPr>
        <w:pStyle w:val="EndNoteBibliography"/>
        <w:spacing w:after="0"/>
        <w:ind w:left="720" w:hanging="720"/>
        <w:rPr>
          <w:rFonts w:asciiTheme="minorHAnsi" w:hAnsiTheme="minorHAnsi" w:cstheme="minorHAnsi"/>
        </w:rPr>
      </w:pPr>
    </w:p>
    <w:p w:rsidR="003B3071" w:rsidRPr="00634704" w:rsidP="006765FF" w14:paraId="5E8C1FB2" w14:textId="77777777">
      <w:pPr>
        <w:autoSpaceDE w:val="0"/>
        <w:autoSpaceDN w:val="0"/>
        <w:adjustRightInd w:val="0"/>
        <w:spacing w:after="0" w:line="240" w:lineRule="auto"/>
        <w:ind w:left="720" w:hanging="720"/>
        <w:rPr>
          <w:rFonts w:cstheme="minorHAnsi"/>
        </w:rPr>
      </w:pPr>
      <w:r w:rsidRPr="00634704">
        <w:rPr>
          <w:rFonts w:cstheme="minorHAnsi"/>
        </w:rPr>
        <w:t xml:space="preserve">Miller, C., Ettridge, K., Pettigrew, S., Wittert, G., Wakefield, M., Coveney, J., Roder, D., Martin, J., Brownbill, A., &amp; Dono, J. (2022a). Warning labels and interpretive nutrition labels: Impact on substitution between sugar and artificially sweetened beverages, </w:t>
      </w:r>
      <w:r w:rsidRPr="00634704">
        <w:rPr>
          <w:rFonts w:cstheme="minorHAnsi"/>
        </w:rPr>
        <w:t>juice</w:t>
      </w:r>
      <w:r w:rsidRPr="00634704">
        <w:rPr>
          <w:rFonts w:cstheme="minorHAnsi"/>
        </w:rPr>
        <w:t xml:space="preserve"> and water in a real-world selection task. </w:t>
      </w:r>
      <w:r w:rsidRPr="00634704">
        <w:rPr>
          <w:rFonts w:cstheme="minorHAnsi"/>
          <w:i/>
        </w:rPr>
        <w:t>Appetite</w:t>
      </w:r>
      <w:r w:rsidRPr="00634704">
        <w:rPr>
          <w:rFonts w:cstheme="minorHAnsi"/>
        </w:rPr>
        <w:t>,</w:t>
      </w:r>
      <w:r w:rsidRPr="00634704">
        <w:rPr>
          <w:rFonts w:cstheme="minorHAnsi"/>
          <w:i/>
        </w:rPr>
        <w:t xml:space="preserve"> 169</w:t>
      </w:r>
      <w:r w:rsidRPr="00634704">
        <w:rPr>
          <w:rFonts w:cstheme="minorHAnsi"/>
        </w:rPr>
        <w:t xml:space="preserve">, 105818. </w:t>
      </w:r>
    </w:p>
    <w:p w:rsidR="006765FF" w:rsidRPr="00634704" w:rsidP="00C1535B" w14:paraId="26CC5764" w14:textId="1D68F502">
      <w:pPr>
        <w:autoSpaceDE w:val="0"/>
        <w:autoSpaceDN w:val="0"/>
        <w:adjustRightInd w:val="0"/>
        <w:spacing w:after="0" w:line="240" w:lineRule="auto"/>
        <w:ind w:left="720"/>
        <w:rPr>
          <w:rFonts w:cstheme="minorHAnsi"/>
        </w:rPr>
      </w:pPr>
      <w:r w:rsidRPr="00634704">
        <w:rPr>
          <w:rFonts w:cstheme="minorHAnsi"/>
        </w:rPr>
        <w:t xml:space="preserve">https://doi.org/10.1016/j.appet.2021.105818 </w:t>
      </w:r>
    </w:p>
    <w:p w:rsidR="006765FF" w:rsidRPr="00634704" w:rsidP="006765FF" w14:paraId="08415D3D" w14:textId="77777777">
      <w:pPr>
        <w:autoSpaceDE w:val="0"/>
        <w:autoSpaceDN w:val="0"/>
        <w:adjustRightInd w:val="0"/>
        <w:spacing w:after="0" w:line="240" w:lineRule="auto"/>
        <w:ind w:left="720" w:hanging="720"/>
        <w:rPr>
          <w:rFonts w:cstheme="minorHAnsi"/>
        </w:rPr>
      </w:pPr>
    </w:p>
    <w:p w:rsidR="001A44D1" w:rsidRPr="00634704" w:rsidP="006765FF" w14:paraId="4CFC9038" w14:textId="77777777">
      <w:pPr>
        <w:autoSpaceDE w:val="0"/>
        <w:autoSpaceDN w:val="0"/>
        <w:adjustRightInd w:val="0"/>
        <w:spacing w:after="0" w:line="240" w:lineRule="auto"/>
        <w:ind w:left="720" w:hanging="720"/>
        <w:rPr>
          <w:rFonts w:cstheme="minorHAnsi"/>
        </w:rPr>
      </w:pPr>
      <w:r w:rsidRPr="00634704">
        <w:rPr>
          <w:rFonts w:cstheme="minorHAnsi"/>
        </w:rPr>
        <w:t xml:space="preserve">Miller, C., Wright, K., Dono, J., Pettigrew, S., Wakefield, M., Coveney, J., Wittert, G., Roder, D., Durkin, S., Martin, J., &amp; Ettridge, K. (2022b). "You can't just eat 16 teaspoons of sugar so why would you drink 16 teaspoons' worth of sugar?": a qualitative study of young adults' reactions to sugary drink warning labels. </w:t>
      </w:r>
      <w:r w:rsidRPr="00634704">
        <w:rPr>
          <w:rFonts w:cstheme="minorHAnsi"/>
          <w:i/>
        </w:rPr>
        <w:t>BMC Public Health</w:t>
      </w:r>
      <w:r w:rsidRPr="00634704">
        <w:rPr>
          <w:rFonts w:cstheme="minorHAnsi"/>
        </w:rPr>
        <w:t>,</w:t>
      </w:r>
      <w:r w:rsidRPr="00634704">
        <w:rPr>
          <w:rFonts w:cstheme="minorHAnsi"/>
          <w:i/>
        </w:rPr>
        <w:t xml:space="preserve"> 22</w:t>
      </w:r>
      <w:r w:rsidRPr="00634704">
        <w:rPr>
          <w:rFonts w:cstheme="minorHAnsi"/>
        </w:rPr>
        <w:t xml:space="preserve">(1), 1241. </w:t>
      </w:r>
    </w:p>
    <w:p w:rsidR="006765FF" w:rsidRPr="00634704" w:rsidP="00C1535B" w14:paraId="4EA2B2B1" w14:textId="39A6BF10">
      <w:pPr>
        <w:autoSpaceDE w:val="0"/>
        <w:autoSpaceDN w:val="0"/>
        <w:adjustRightInd w:val="0"/>
        <w:spacing w:after="0" w:line="240" w:lineRule="auto"/>
        <w:ind w:left="720"/>
        <w:rPr>
          <w:rFonts w:cstheme="minorHAnsi"/>
        </w:rPr>
      </w:pPr>
      <w:r w:rsidRPr="00634704">
        <w:rPr>
          <w:rFonts w:cstheme="minorHAnsi"/>
        </w:rPr>
        <w:t xml:space="preserve">https://doi.org/10.1186/s12889-022-13648-1 </w:t>
      </w:r>
    </w:p>
    <w:p w:rsidR="002D4DAC" w:rsidRPr="00634704" w:rsidP="00A1092A" w14:paraId="166DFA4F" w14:textId="77777777">
      <w:pPr>
        <w:pStyle w:val="EndNoteBibliography"/>
        <w:spacing w:after="0"/>
        <w:ind w:left="720" w:hanging="720"/>
        <w:rPr>
          <w:rFonts w:asciiTheme="minorHAnsi" w:hAnsiTheme="minorHAnsi" w:cstheme="minorHAnsi"/>
        </w:rPr>
      </w:pPr>
    </w:p>
    <w:p w:rsidR="00391F6A" w:rsidRPr="00634704" w:rsidP="00A1092A" w14:paraId="4EAA8172"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Mora-García, C., Tobar, L, &amp; Young, J. (2019)</w:t>
      </w:r>
      <w:r w:rsidRPr="00634704" w:rsidR="007E0105">
        <w:rPr>
          <w:rFonts w:asciiTheme="minorHAnsi" w:hAnsiTheme="minorHAnsi" w:cstheme="minorHAnsi"/>
        </w:rPr>
        <w:t>.</w:t>
      </w:r>
      <w:r w:rsidRPr="00634704">
        <w:rPr>
          <w:rFonts w:asciiTheme="minorHAnsi" w:hAnsiTheme="minorHAnsi" w:cstheme="minorHAnsi"/>
        </w:rPr>
        <w:t xml:space="preserve"> </w:t>
      </w:r>
      <w:r w:rsidRPr="00634704" w:rsidR="008B4738">
        <w:rPr>
          <w:rFonts w:asciiTheme="minorHAnsi" w:hAnsiTheme="minorHAnsi" w:cstheme="minorHAnsi"/>
        </w:rPr>
        <w:t xml:space="preserve">The Effect of Randomly Providing </w:t>
      </w:r>
      <w:r w:rsidRPr="00634704" w:rsidR="004B6E26">
        <w:rPr>
          <w:rFonts w:asciiTheme="minorHAnsi" w:hAnsiTheme="minorHAnsi" w:cstheme="minorHAnsi"/>
        </w:rPr>
        <w:t>Nutri-Score</w:t>
      </w:r>
      <w:r w:rsidRPr="00634704" w:rsidR="008B4738">
        <w:rPr>
          <w:rFonts w:asciiTheme="minorHAnsi" w:hAnsiTheme="minorHAnsi" w:cstheme="minorHAnsi"/>
        </w:rPr>
        <w:t xml:space="preserve"> Information on Actual Purchases in Colombia. </w:t>
      </w:r>
      <w:r w:rsidRPr="00634704" w:rsidR="00BD4453">
        <w:rPr>
          <w:rFonts w:asciiTheme="minorHAnsi" w:hAnsiTheme="minorHAnsi" w:cstheme="minorHAnsi"/>
          <w:i/>
        </w:rPr>
        <w:t>Nutrients</w:t>
      </w:r>
      <w:r w:rsidRPr="00634704" w:rsidR="00BD4453">
        <w:rPr>
          <w:rFonts w:asciiTheme="minorHAnsi" w:hAnsiTheme="minorHAnsi" w:cstheme="minorHAnsi"/>
        </w:rPr>
        <w:t xml:space="preserve">, 11, 491. </w:t>
      </w:r>
    </w:p>
    <w:p w:rsidR="00332DBA" w:rsidRPr="00634704" w:rsidP="00AB53DE" w14:paraId="033DC138" w14:textId="5BDE4281">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BD4453">
        <w:rPr>
          <w:rFonts w:asciiTheme="minorHAnsi" w:hAnsiTheme="minorHAnsi" w:cstheme="minorHAnsi"/>
        </w:rPr>
        <w:t>doi:10.3390/nu11030491</w:t>
      </w:r>
    </w:p>
    <w:p w:rsidR="002D4DAC" w:rsidRPr="00634704" w:rsidP="007347C0" w14:paraId="113AEE88" w14:textId="77777777">
      <w:pPr>
        <w:autoSpaceDE w:val="0"/>
        <w:autoSpaceDN w:val="0"/>
        <w:adjustRightInd w:val="0"/>
        <w:spacing w:after="0" w:line="240" w:lineRule="auto"/>
        <w:ind w:left="720" w:hanging="720"/>
        <w:rPr>
          <w:rFonts w:cstheme="minorHAnsi"/>
        </w:rPr>
      </w:pPr>
    </w:p>
    <w:p w:rsidR="00391F6A" w:rsidRPr="00634704" w:rsidP="006765FF" w14:paraId="54C2CA95" w14:textId="77777777">
      <w:pPr>
        <w:autoSpaceDE w:val="0"/>
        <w:autoSpaceDN w:val="0"/>
        <w:adjustRightInd w:val="0"/>
        <w:spacing w:after="0" w:line="240" w:lineRule="auto"/>
        <w:ind w:left="720" w:hanging="720"/>
        <w:rPr>
          <w:rFonts w:cstheme="minorHAnsi"/>
        </w:rPr>
      </w:pPr>
      <w:r w:rsidRPr="00634704">
        <w:rPr>
          <w:rFonts w:cstheme="minorHAnsi"/>
        </w:rPr>
        <w:t xml:space="preserve">Mora-Plazas, M., Aida Higgins, I. C., Gomez, L. F., Hall, M., Parra, M. F., Bercholz, M., Murukutla, N., &amp; Taillie, L. S. (2022). Impact of nutrient warning labels on choice of ultra-processed food and drinks high in sugar, sodium, and saturated fat in Colombia: A randomized controlled trial. </w:t>
      </w:r>
      <w:r w:rsidRPr="00634704">
        <w:rPr>
          <w:rFonts w:cstheme="minorHAnsi"/>
          <w:i/>
        </w:rPr>
        <w:t>PLoS One</w:t>
      </w:r>
      <w:r w:rsidRPr="00634704">
        <w:rPr>
          <w:rFonts w:cstheme="minorHAnsi"/>
        </w:rPr>
        <w:t>,</w:t>
      </w:r>
      <w:r w:rsidRPr="00634704">
        <w:rPr>
          <w:rFonts w:cstheme="minorHAnsi"/>
          <w:i/>
        </w:rPr>
        <w:t xml:space="preserve"> 17</w:t>
      </w:r>
      <w:r w:rsidRPr="00634704">
        <w:rPr>
          <w:rFonts w:cstheme="minorHAnsi"/>
        </w:rPr>
        <w:t xml:space="preserve">(2), e0263324. </w:t>
      </w:r>
    </w:p>
    <w:p w:rsidR="006765FF" w:rsidRPr="00634704" w:rsidP="00AB53DE" w14:paraId="453646C8" w14:textId="41BB97FE">
      <w:pPr>
        <w:autoSpaceDE w:val="0"/>
        <w:autoSpaceDN w:val="0"/>
        <w:adjustRightInd w:val="0"/>
        <w:spacing w:after="0" w:line="240" w:lineRule="auto"/>
        <w:ind w:left="720"/>
        <w:rPr>
          <w:rFonts w:cstheme="minorHAnsi"/>
        </w:rPr>
      </w:pPr>
      <w:r w:rsidRPr="00634704">
        <w:rPr>
          <w:rFonts w:cstheme="minorHAnsi"/>
        </w:rPr>
        <w:t xml:space="preserve">https://doi.org/10.1371/journal.pone.0263324 </w:t>
      </w:r>
    </w:p>
    <w:p w:rsidR="00E73E93" w:rsidRPr="00634704" w:rsidP="00A1092A" w14:paraId="50C6394E" w14:textId="77777777">
      <w:pPr>
        <w:pStyle w:val="EndNoteBibliography"/>
        <w:spacing w:after="0"/>
        <w:ind w:left="720" w:hanging="720"/>
        <w:rPr>
          <w:rFonts w:asciiTheme="minorHAnsi" w:hAnsiTheme="minorHAnsi" w:cstheme="minorHAnsi"/>
        </w:rPr>
      </w:pPr>
    </w:p>
    <w:p w:rsidR="00E73E93" w:rsidRPr="00634704" w:rsidP="00A1092A" w14:paraId="64ACB670" w14:textId="5C1980D6">
      <w:pPr>
        <w:pStyle w:val="EndNoteBibliography"/>
        <w:spacing w:after="0"/>
        <w:ind w:left="720" w:hanging="720"/>
        <w:rPr>
          <w:rFonts w:asciiTheme="minorHAnsi" w:hAnsiTheme="minorHAnsi" w:cstheme="minorHAnsi"/>
        </w:rPr>
      </w:pPr>
      <w:r w:rsidRPr="00634704">
        <w:rPr>
          <w:rFonts w:asciiTheme="minorHAnsi" w:hAnsiTheme="minorHAnsi" w:cstheme="minorHAnsi"/>
        </w:rPr>
        <w:t>Muller, L., &amp; Ruffieux, B. (</w:t>
      </w:r>
      <w:r w:rsidRPr="00634704" w:rsidR="00B2084A">
        <w:rPr>
          <w:rFonts w:asciiTheme="minorHAnsi" w:hAnsiTheme="minorHAnsi" w:cstheme="minorHAnsi"/>
        </w:rPr>
        <w:t xml:space="preserve">2020). What Makes a Front-of-Pack Nutritional Labelling System Effective: The Impact of Key Design Components on Food Purchases. </w:t>
      </w:r>
      <w:r w:rsidRPr="00634704" w:rsidR="00B2084A">
        <w:rPr>
          <w:rFonts w:asciiTheme="minorHAnsi" w:hAnsiTheme="minorHAnsi" w:cstheme="minorHAnsi"/>
          <w:i/>
        </w:rPr>
        <w:t>Nutrients</w:t>
      </w:r>
      <w:r w:rsidRPr="00634704" w:rsidR="00B2084A">
        <w:rPr>
          <w:rFonts w:asciiTheme="minorHAnsi" w:hAnsiTheme="minorHAnsi" w:cstheme="minorHAnsi"/>
        </w:rPr>
        <w:t xml:space="preserve">, 12, 2870. </w:t>
      </w:r>
      <w:r w:rsidRPr="00634704" w:rsidR="00391F6A">
        <w:rPr>
          <w:rFonts w:asciiTheme="minorHAnsi" w:hAnsiTheme="minorHAnsi" w:cstheme="minorHAnsi"/>
        </w:rPr>
        <w:t>https://</w:t>
      </w:r>
      <w:r w:rsidRPr="00634704" w:rsidR="00B2084A">
        <w:rPr>
          <w:rFonts w:asciiTheme="minorHAnsi" w:hAnsiTheme="minorHAnsi" w:cstheme="minorHAnsi"/>
        </w:rPr>
        <w:t>doi:10.3390/nu12092870</w:t>
      </w:r>
    </w:p>
    <w:p w:rsidR="002D4DAC" w:rsidRPr="00634704" w:rsidP="007347C0" w14:paraId="11CCBC7E" w14:textId="77777777">
      <w:pPr>
        <w:autoSpaceDE w:val="0"/>
        <w:autoSpaceDN w:val="0"/>
        <w:adjustRightInd w:val="0"/>
        <w:spacing w:after="0" w:line="240" w:lineRule="auto"/>
        <w:ind w:left="720" w:hanging="720"/>
        <w:rPr>
          <w:rFonts w:cstheme="minorHAnsi"/>
          <w:highlight w:val="yellow"/>
        </w:rPr>
      </w:pPr>
    </w:p>
    <w:p w:rsidR="006765FF" w:rsidRPr="00634704" w:rsidP="006765FF" w14:paraId="1C5BBF89" w14:textId="77777777">
      <w:pPr>
        <w:autoSpaceDE w:val="0"/>
        <w:autoSpaceDN w:val="0"/>
        <w:adjustRightInd w:val="0"/>
        <w:spacing w:after="0" w:line="240" w:lineRule="auto"/>
        <w:ind w:left="720" w:hanging="720"/>
        <w:rPr>
          <w:rFonts w:cstheme="minorHAnsi"/>
        </w:rPr>
      </w:pPr>
      <w:r w:rsidRPr="00634704">
        <w:rPr>
          <w:rFonts w:cstheme="minorHAnsi"/>
        </w:rPr>
        <w:t xml:space="preserve">Muzzioli, L., Penzavecchia, C., Donini, L. M., &amp; Pinto, A. (2022). Are Front-of-Pack Labels a Health Policy Tool? </w:t>
      </w:r>
      <w:r w:rsidRPr="00634704">
        <w:rPr>
          <w:rFonts w:cstheme="minorHAnsi"/>
          <w:i/>
        </w:rPr>
        <w:t>Nutrients</w:t>
      </w:r>
      <w:r w:rsidRPr="00634704">
        <w:rPr>
          <w:rFonts w:cstheme="minorHAnsi"/>
        </w:rPr>
        <w:t>,</w:t>
      </w:r>
      <w:r w:rsidRPr="00634704">
        <w:rPr>
          <w:rFonts w:cstheme="minorHAnsi"/>
          <w:i/>
        </w:rPr>
        <w:t xml:space="preserve"> 14</w:t>
      </w:r>
      <w:r w:rsidRPr="00634704">
        <w:rPr>
          <w:rFonts w:cstheme="minorHAnsi"/>
        </w:rPr>
        <w:t xml:space="preserve">(4), 771. </w:t>
      </w:r>
    </w:p>
    <w:p w:rsidR="004374F6" w:rsidRPr="00634704" w:rsidP="006765FF" w14:paraId="42229091" w14:textId="03290796">
      <w:pPr>
        <w:autoSpaceDE w:val="0"/>
        <w:autoSpaceDN w:val="0"/>
        <w:adjustRightInd w:val="0"/>
        <w:spacing w:after="0" w:line="240" w:lineRule="auto"/>
        <w:ind w:left="720" w:hanging="720"/>
        <w:rPr>
          <w:rFonts w:cstheme="minorHAnsi"/>
        </w:rPr>
      </w:pPr>
      <w:r w:rsidRPr="00634704">
        <w:rPr>
          <w:rFonts w:cstheme="minorHAnsi"/>
        </w:rPr>
        <w:tab/>
      </w:r>
      <w:r w:rsidRPr="00634704">
        <w:rPr>
          <w:rFonts w:cstheme="minorHAnsi"/>
          <w:color w:val="212121"/>
          <w:shd w:val="clear" w:color="auto" w:fill="FFFFFF"/>
        </w:rPr>
        <w:t>https://doi.org/10.3390/nu14040771</w:t>
      </w:r>
    </w:p>
    <w:p w:rsidR="00A1092A" w:rsidRPr="00634704" w:rsidP="00A1092A" w14:paraId="39DB848E" w14:textId="77777777">
      <w:pPr>
        <w:pStyle w:val="EndNoteBibliography"/>
        <w:spacing w:after="0"/>
        <w:ind w:left="720" w:hanging="720"/>
        <w:rPr>
          <w:rFonts w:asciiTheme="minorHAnsi" w:hAnsiTheme="minorHAnsi" w:cstheme="minorHAnsi"/>
        </w:rPr>
      </w:pPr>
    </w:p>
    <w:p w:rsidR="00481FA5" w:rsidRPr="00634704" w:rsidP="00A1092A" w14:paraId="6B3D0CC7" w14:textId="73E95124">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Neal, B., Crino, M., Dunford, E., Gao, A., Greenland, R., Li, N., </w:t>
      </w:r>
      <w:r w:rsidRPr="00634704" w:rsidR="00D64890">
        <w:rPr>
          <w:rFonts w:asciiTheme="minorHAnsi" w:hAnsiTheme="minorHAnsi" w:cstheme="minorHAnsi"/>
        </w:rPr>
        <w:t>Ngai, J., Ni Mhurchu, C., Pettigrew, S., Sacks, G.</w:t>
      </w:r>
      <w:r w:rsidRPr="00634704" w:rsidR="00FD6980">
        <w:rPr>
          <w:rFonts w:asciiTheme="minorHAnsi" w:hAnsiTheme="minorHAnsi" w:cstheme="minorHAnsi"/>
        </w:rPr>
        <w:t>,</w:t>
      </w:r>
      <w:r w:rsidRPr="00634704" w:rsidR="00D64890">
        <w:rPr>
          <w:rFonts w:asciiTheme="minorHAnsi" w:hAnsiTheme="minorHAnsi" w:cstheme="minorHAnsi"/>
        </w:rPr>
        <w:t xml:space="preserve"> Webster, J.</w:t>
      </w:r>
      <w:r w:rsidRPr="00634704">
        <w:rPr>
          <w:rFonts w:asciiTheme="minorHAnsi" w:hAnsiTheme="minorHAnsi" w:cstheme="minorHAnsi"/>
        </w:rPr>
        <w:t xml:space="preserve"> (2017). Effects of Different Types of Front-of-Pack Labelling Information on the Healthiness of Food Purchases-A Randomised Controlled Trial. </w:t>
      </w:r>
      <w:r w:rsidRPr="00634704">
        <w:rPr>
          <w:rFonts w:asciiTheme="minorHAnsi" w:hAnsiTheme="minorHAnsi" w:cstheme="minorHAnsi"/>
          <w:i/>
        </w:rPr>
        <w:t>Nutrients, 9</w:t>
      </w:r>
      <w:r w:rsidRPr="00634704">
        <w:rPr>
          <w:rFonts w:asciiTheme="minorHAnsi" w:hAnsiTheme="minorHAnsi" w:cstheme="minorHAnsi"/>
        </w:rPr>
        <w:t xml:space="preserve">(12). </w:t>
      </w:r>
    </w:p>
    <w:p w:rsidR="00A1092A" w:rsidRPr="00634704" w:rsidP="00AB53DE" w14:paraId="35791C65" w14:textId="5624BBE9">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doi:10.3390/nu9121284</w:t>
      </w:r>
    </w:p>
    <w:p w:rsidR="00023AE1" w:rsidRPr="00634704" w:rsidP="00A1092A" w14:paraId="09A590FA" w14:textId="77777777">
      <w:pPr>
        <w:pStyle w:val="EndNoteBibliography"/>
        <w:spacing w:after="0"/>
        <w:ind w:left="720" w:hanging="720"/>
        <w:rPr>
          <w:rFonts w:asciiTheme="minorHAnsi" w:hAnsiTheme="minorHAnsi" w:cstheme="minorHAnsi"/>
        </w:rPr>
      </w:pPr>
    </w:p>
    <w:p w:rsidR="00AB53DE" w:rsidP="00AB53DE" w14:paraId="0898855F" w14:textId="5F99B020">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Nieto, C., Jáuregui1, A., Contreras-Manzano, A., </w:t>
      </w:r>
      <w:r w:rsidRPr="00634704" w:rsidR="00E40C05">
        <w:rPr>
          <w:rFonts w:asciiTheme="minorHAnsi" w:hAnsiTheme="minorHAnsi" w:cstheme="minorHAnsi"/>
        </w:rPr>
        <w:t xml:space="preserve">Arillo-Santillan, E., Barquera, S., White, C.M., Hammond, D. </w:t>
      </w:r>
      <w:r w:rsidRPr="00634704">
        <w:rPr>
          <w:rFonts w:asciiTheme="minorHAnsi" w:hAnsiTheme="minorHAnsi" w:cstheme="minorHAnsi"/>
        </w:rPr>
        <w:t>&amp; Thrasher, J. F.</w:t>
      </w:r>
      <w:r w:rsidRPr="00634704" w:rsidR="00F673DC">
        <w:rPr>
          <w:rFonts w:asciiTheme="minorHAnsi" w:hAnsiTheme="minorHAnsi" w:cstheme="minorHAnsi"/>
        </w:rPr>
        <w:t xml:space="preserve"> (2019). Understanding and use of food labeling systems among Whites and Latinos in the United States and among Mexicans: Results from the International Food Policy Study, 2017. </w:t>
      </w:r>
      <w:r w:rsidRPr="00634704" w:rsidR="00F673DC">
        <w:rPr>
          <w:rFonts w:asciiTheme="minorHAnsi" w:hAnsiTheme="minorHAnsi" w:cstheme="minorHAnsi"/>
          <w:i/>
        </w:rPr>
        <w:t>International Journal of Behavioral Nutrition and Physical Activity</w:t>
      </w:r>
      <w:r w:rsidRPr="00634704" w:rsidR="00F673DC">
        <w:rPr>
          <w:rFonts w:asciiTheme="minorHAnsi" w:hAnsiTheme="minorHAnsi" w:cstheme="minorHAnsi"/>
        </w:rPr>
        <w:t>, 16</w:t>
      </w:r>
      <w:r w:rsidRPr="00634704" w:rsidR="009149CB">
        <w:rPr>
          <w:rFonts w:asciiTheme="minorHAnsi" w:hAnsiTheme="minorHAnsi" w:cstheme="minorHAnsi"/>
        </w:rPr>
        <w:t>,</w:t>
      </w:r>
      <w:r>
        <w:rPr>
          <w:rFonts w:asciiTheme="minorHAnsi" w:hAnsiTheme="minorHAnsi" w:cstheme="minorHAnsi"/>
        </w:rPr>
        <w:t xml:space="preserve"> </w:t>
      </w:r>
      <w:r w:rsidRPr="00634704" w:rsidR="00F673DC">
        <w:rPr>
          <w:rFonts w:asciiTheme="minorHAnsi" w:hAnsiTheme="minorHAnsi" w:cstheme="minorHAnsi"/>
        </w:rPr>
        <w:t xml:space="preserve">87. </w:t>
      </w:r>
    </w:p>
    <w:p w:rsidR="00023AE1" w:rsidRPr="00634704" w:rsidP="00AB53DE" w14:paraId="2F624A2F" w14:textId="39B107AF">
      <w:pPr>
        <w:pStyle w:val="EndNoteBibliography"/>
        <w:spacing w:after="0"/>
        <w:ind w:left="720"/>
        <w:rPr>
          <w:rFonts w:asciiTheme="minorHAnsi" w:hAnsiTheme="minorHAnsi" w:cstheme="minorHAnsi"/>
        </w:rPr>
      </w:pPr>
      <w:r>
        <w:rPr>
          <w:rFonts w:asciiTheme="minorHAnsi" w:hAnsiTheme="minorHAnsi" w:cstheme="minorHAnsi"/>
        </w:rPr>
        <w:t>https://</w:t>
      </w:r>
      <w:r w:rsidRPr="00634704" w:rsidR="00F673DC">
        <w:rPr>
          <w:rFonts w:asciiTheme="minorHAnsi" w:hAnsiTheme="minorHAnsi" w:cstheme="minorHAnsi"/>
        </w:rPr>
        <w:t>doi:10.1186/s12966-019-0842-1</w:t>
      </w:r>
    </w:p>
    <w:p w:rsidR="00A1092A" w:rsidRPr="00634704" w:rsidP="00A1092A" w14:paraId="02431C3F" w14:textId="77777777">
      <w:pPr>
        <w:pStyle w:val="EndNoteBibliography"/>
        <w:spacing w:after="0"/>
        <w:ind w:left="720" w:hanging="720"/>
        <w:rPr>
          <w:rFonts w:asciiTheme="minorHAnsi" w:hAnsiTheme="minorHAnsi" w:cstheme="minorHAnsi"/>
        </w:rPr>
      </w:pPr>
    </w:p>
    <w:p w:rsidR="00A1092A" w:rsidRPr="00634704" w:rsidP="00A1092A" w14:paraId="639F5049" w14:textId="2606AD71">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Ning, S. X., Mainvil, L. A., Thomson, R. K., &amp; McLean, R. M. (2017). Dietary sodium reduction in New Zealand: influence of the Tick label. </w:t>
      </w:r>
      <w:r w:rsidRPr="00634704">
        <w:rPr>
          <w:rFonts w:asciiTheme="minorHAnsi" w:hAnsiTheme="minorHAnsi" w:cstheme="minorHAnsi"/>
          <w:i/>
          <w:color w:val="212121"/>
          <w:shd w:val="clear" w:color="auto" w:fill="FFFFFF"/>
        </w:rPr>
        <w:t xml:space="preserve">Asia </w:t>
      </w:r>
      <w:r w:rsidRPr="00634704" w:rsidR="00292D6C">
        <w:rPr>
          <w:rFonts w:asciiTheme="minorHAnsi" w:hAnsiTheme="minorHAnsi" w:cstheme="minorHAnsi"/>
          <w:i/>
          <w:iCs/>
          <w:color w:val="212121"/>
          <w:shd w:val="clear" w:color="auto" w:fill="FFFFFF"/>
        </w:rPr>
        <w:t>Pacific journal of clinical nutrition</w:t>
      </w:r>
      <w:r w:rsidRPr="00634704">
        <w:rPr>
          <w:rFonts w:asciiTheme="minorHAnsi" w:hAnsiTheme="minorHAnsi" w:cstheme="minorHAnsi"/>
          <w:i/>
        </w:rPr>
        <w:t>, 26</w:t>
      </w:r>
      <w:r w:rsidRPr="00634704">
        <w:rPr>
          <w:rFonts w:asciiTheme="minorHAnsi" w:hAnsiTheme="minorHAnsi" w:cstheme="minorHAnsi"/>
        </w:rPr>
        <w:t xml:space="preserve">(6), 1133-1138. </w:t>
      </w:r>
      <w:r w:rsidRPr="00634704" w:rsidR="00C95E42">
        <w:rPr>
          <w:rFonts w:asciiTheme="minorHAnsi" w:hAnsiTheme="minorHAnsi" w:cstheme="minorHAnsi"/>
        </w:rPr>
        <w:t>https://</w:t>
      </w:r>
      <w:r w:rsidRPr="00634704">
        <w:rPr>
          <w:rFonts w:asciiTheme="minorHAnsi" w:hAnsiTheme="minorHAnsi" w:cstheme="minorHAnsi"/>
        </w:rPr>
        <w:t>doi:10.6133/apjcn.032017.06</w:t>
      </w:r>
    </w:p>
    <w:p w:rsidR="000F3D3A" w:rsidRPr="00634704" w:rsidP="00A1092A" w14:paraId="104C2C7F" w14:textId="77777777">
      <w:pPr>
        <w:pStyle w:val="EndNoteBibliography"/>
        <w:spacing w:after="0"/>
        <w:ind w:left="720" w:hanging="720"/>
        <w:rPr>
          <w:rFonts w:asciiTheme="minorHAnsi" w:hAnsiTheme="minorHAnsi" w:cstheme="minorHAnsi"/>
        </w:rPr>
      </w:pPr>
    </w:p>
    <w:p w:rsidR="006765FF" w:rsidRPr="00634704" w:rsidP="006765FF" w14:paraId="3DCE85A3" w14:textId="69389E84">
      <w:pPr>
        <w:autoSpaceDE w:val="0"/>
        <w:autoSpaceDN w:val="0"/>
        <w:adjustRightInd w:val="0"/>
        <w:spacing w:after="0" w:line="240" w:lineRule="auto"/>
        <w:ind w:left="720" w:hanging="720"/>
        <w:rPr>
          <w:rFonts w:cstheme="minorHAnsi"/>
        </w:rPr>
      </w:pPr>
      <w:r w:rsidRPr="00634704">
        <w:rPr>
          <w:rFonts w:cstheme="minorHAnsi"/>
        </w:rPr>
        <w:t xml:space="preserve">Oswald, C., Adhikari, K., &amp; Mohan, A. (2022). Effect of front-of-package labels on consumer product evaluation and preferences. </w:t>
      </w:r>
      <w:r w:rsidRPr="00634704" w:rsidR="004661EA">
        <w:rPr>
          <w:rFonts w:cstheme="minorHAnsi"/>
          <w:i/>
          <w:iCs/>
          <w:color w:val="212121"/>
          <w:shd w:val="clear" w:color="auto" w:fill="FFFFFF"/>
        </w:rPr>
        <w:t>Current research in food science</w:t>
      </w:r>
      <w:r w:rsidRPr="00634704">
        <w:rPr>
          <w:rFonts w:cstheme="minorHAnsi"/>
        </w:rPr>
        <w:t>,</w:t>
      </w:r>
      <w:r w:rsidRPr="00634704">
        <w:rPr>
          <w:rFonts w:cstheme="minorHAnsi"/>
          <w:i/>
          <w:iCs/>
        </w:rPr>
        <w:t xml:space="preserve"> 5</w:t>
      </w:r>
      <w:r w:rsidRPr="00634704">
        <w:rPr>
          <w:rFonts w:cstheme="minorHAnsi"/>
        </w:rPr>
        <w:t xml:space="preserve">, 131-140. https://doi.org/10.1016/j.crfs.2021.12.016 </w:t>
      </w:r>
    </w:p>
    <w:p w:rsidR="002D4DAC" w:rsidRPr="00634704" w:rsidP="00A1092A" w14:paraId="62762B78" w14:textId="77777777">
      <w:pPr>
        <w:pStyle w:val="EndNoteBibliography"/>
        <w:spacing w:after="0"/>
        <w:ind w:left="720" w:hanging="720"/>
        <w:rPr>
          <w:rFonts w:asciiTheme="minorHAnsi" w:hAnsiTheme="minorHAnsi" w:cstheme="minorHAnsi"/>
        </w:rPr>
      </w:pPr>
    </w:p>
    <w:p w:rsidR="00114D95" w:rsidRPr="00634704" w:rsidP="00A1092A" w14:paraId="27DEDCF5" w14:textId="41A4FBB9">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Packer, J., Russell, S., Ridout, D., Hope, S., </w:t>
      </w:r>
      <w:r w:rsidRPr="00634704">
        <w:rPr>
          <w:rFonts w:asciiTheme="minorHAnsi" w:hAnsiTheme="minorHAnsi" w:cstheme="minorHAnsi"/>
          <w:color w:val="212121"/>
          <w:shd w:val="clear" w:color="auto" w:fill="FFFFFF"/>
        </w:rPr>
        <w:t xml:space="preserve">Conolly, A., Jessop, C., Robinson, O. J., Stoffel, S. T., Viner, R. M., </w:t>
      </w:r>
      <w:r w:rsidRPr="00634704">
        <w:rPr>
          <w:rFonts w:asciiTheme="minorHAnsi" w:hAnsiTheme="minorHAnsi" w:cstheme="minorHAnsi"/>
        </w:rPr>
        <w:t>&amp; Croker, H. (</w:t>
      </w:r>
      <w:r w:rsidRPr="00634704" w:rsidR="00F02B9E">
        <w:rPr>
          <w:rFonts w:asciiTheme="minorHAnsi" w:hAnsiTheme="minorHAnsi" w:cstheme="minorHAnsi"/>
        </w:rPr>
        <w:t xml:space="preserve">2021). Assessing the Effectiveness of Front of Pack Labels: Findings from an Online Randomised-Controlled Experiment in a Representative British Sample. </w:t>
      </w:r>
      <w:r w:rsidRPr="00634704" w:rsidR="00F02B9E">
        <w:rPr>
          <w:rFonts w:asciiTheme="minorHAnsi" w:hAnsiTheme="minorHAnsi" w:cstheme="minorHAnsi"/>
          <w:i/>
          <w:iCs/>
        </w:rPr>
        <w:t>Nutrients</w:t>
      </w:r>
      <w:r w:rsidRPr="00634704" w:rsidR="00F02B9E">
        <w:rPr>
          <w:rFonts w:asciiTheme="minorHAnsi" w:hAnsiTheme="minorHAnsi" w:cstheme="minorHAnsi"/>
        </w:rPr>
        <w:t xml:space="preserve">, 13, 900. </w:t>
      </w:r>
    </w:p>
    <w:p w:rsidR="00A1092A" w:rsidRPr="00634704" w:rsidP="00217160" w14:paraId="71D7F196" w14:textId="1362A224">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F02B9E">
        <w:rPr>
          <w:rFonts w:asciiTheme="minorHAnsi" w:hAnsiTheme="minorHAnsi" w:cstheme="minorHAnsi"/>
        </w:rPr>
        <w:t>doi:10.3390/nu13030900</w:t>
      </w:r>
    </w:p>
    <w:p w:rsidR="00217160" w:rsidP="006765FF" w14:paraId="0C694B0F" w14:textId="77777777">
      <w:pPr>
        <w:autoSpaceDE w:val="0"/>
        <w:autoSpaceDN w:val="0"/>
        <w:adjustRightInd w:val="0"/>
        <w:spacing w:after="0" w:line="240" w:lineRule="auto"/>
        <w:ind w:left="720" w:hanging="720"/>
        <w:rPr>
          <w:rFonts w:cstheme="minorHAnsi"/>
        </w:rPr>
      </w:pPr>
    </w:p>
    <w:p w:rsidR="006765FF" w:rsidRPr="00634704" w:rsidP="006765FF" w14:paraId="54866B33" w14:textId="49F30DE8">
      <w:pPr>
        <w:autoSpaceDE w:val="0"/>
        <w:autoSpaceDN w:val="0"/>
        <w:adjustRightInd w:val="0"/>
        <w:spacing w:after="0" w:line="240" w:lineRule="auto"/>
        <w:ind w:left="720" w:hanging="720"/>
        <w:rPr>
          <w:rFonts w:cstheme="minorHAnsi"/>
        </w:rPr>
      </w:pPr>
      <w:r w:rsidRPr="00634704">
        <w:rPr>
          <w:rFonts w:cstheme="minorHAnsi"/>
        </w:rPr>
        <w:t xml:space="preserve">Packer, J., Russell, S. J., Ridout, D., Conolly, A., Jessop, C., Viner, R. M., &amp; Croker, H. (2022). Secondary Outcomes of a Front-of-Pack-Labelling Randomised Controlled Experiment in a Representative British Sample: Understanding, Ranking Speed and Perceptions. </w:t>
      </w:r>
      <w:r w:rsidRPr="00634704">
        <w:rPr>
          <w:rFonts w:cstheme="minorHAnsi"/>
          <w:i/>
        </w:rPr>
        <w:t>Nutrients</w:t>
      </w:r>
      <w:r w:rsidRPr="00634704">
        <w:rPr>
          <w:rFonts w:cstheme="minorHAnsi"/>
        </w:rPr>
        <w:t>,</w:t>
      </w:r>
      <w:r w:rsidRPr="00634704">
        <w:rPr>
          <w:rFonts w:cstheme="minorHAnsi"/>
          <w:i/>
        </w:rPr>
        <w:t xml:space="preserve"> 14</w:t>
      </w:r>
      <w:r w:rsidRPr="00634704">
        <w:rPr>
          <w:rFonts w:cstheme="minorHAnsi"/>
        </w:rPr>
        <w:t>(11)</w:t>
      </w:r>
      <w:r w:rsidRPr="00634704" w:rsidR="000C789D">
        <w:rPr>
          <w:rFonts w:cstheme="minorHAnsi"/>
        </w:rPr>
        <w:t>, 2188</w:t>
      </w:r>
      <w:r w:rsidRPr="00634704">
        <w:rPr>
          <w:rFonts w:cstheme="minorHAnsi"/>
        </w:rPr>
        <w:t xml:space="preserve">. https://doi.org/10.3390/nu14112188 </w:t>
      </w:r>
    </w:p>
    <w:p w:rsidR="002D4DAC" w:rsidRPr="00634704" w:rsidP="00A1092A" w14:paraId="43808118" w14:textId="77777777">
      <w:pPr>
        <w:pStyle w:val="EndNoteBibliography"/>
        <w:spacing w:after="0"/>
        <w:ind w:left="720" w:hanging="720"/>
        <w:rPr>
          <w:rFonts w:asciiTheme="minorHAnsi" w:hAnsiTheme="minorHAnsi" w:cstheme="minorHAnsi"/>
        </w:rPr>
      </w:pPr>
    </w:p>
    <w:p w:rsidR="00217160" w:rsidP="002961C7" w14:paraId="321B2355" w14:textId="77777777">
      <w:pPr>
        <w:pStyle w:val="EndNoteBibliography"/>
        <w:spacing w:after="0"/>
        <w:ind w:left="720" w:hanging="720"/>
        <w:rPr>
          <w:rFonts w:asciiTheme="minorHAnsi" w:hAnsiTheme="minorHAnsi" w:cstheme="minorHAnsi"/>
          <w:color w:val="212121"/>
          <w:shd w:val="clear" w:color="auto" w:fill="FFFFFF"/>
        </w:rPr>
      </w:pPr>
      <w:r w:rsidRPr="00634704">
        <w:rPr>
          <w:rFonts w:asciiTheme="minorHAnsi" w:hAnsiTheme="minorHAnsi" w:cstheme="minorHAnsi"/>
        </w:rPr>
        <w:t xml:space="preserve">Pan, X., Magliano, D., Zheng, M., Shahid, M., Taylor, F., </w:t>
      </w:r>
      <w:r w:rsidRPr="00634704" w:rsidR="009248EA">
        <w:rPr>
          <w:rFonts w:asciiTheme="minorHAnsi" w:hAnsiTheme="minorHAnsi" w:cstheme="minorHAnsi"/>
        </w:rPr>
        <w:t>J</w:t>
      </w:r>
      <w:r w:rsidRPr="00634704" w:rsidR="009248EA">
        <w:rPr>
          <w:rFonts w:asciiTheme="minorHAnsi" w:hAnsiTheme="minorHAnsi" w:cstheme="minorHAnsi"/>
          <w:color w:val="212121"/>
          <w:shd w:val="clear" w:color="auto" w:fill="FFFFFF"/>
        </w:rPr>
        <w:t xml:space="preserve">ulia, C., Ni Mhurchu, C., Pan, A., Shaw, J. E., Neal, B., </w:t>
      </w:r>
      <w:r w:rsidRPr="00634704">
        <w:rPr>
          <w:rFonts w:asciiTheme="minorHAnsi" w:hAnsiTheme="minorHAnsi" w:cstheme="minorHAnsi"/>
        </w:rPr>
        <w:t>&amp; Wu, J. (</w:t>
      </w:r>
      <w:r w:rsidRPr="00634704" w:rsidR="00E37A0B">
        <w:rPr>
          <w:rFonts w:asciiTheme="minorHAnsi" w:hAnsiTheme="minorHAnsi" w:cstheme="minorHAnsi"/>
        </w:rPr>
        <w:t xml:space="preserve">2020). Seventeen-Year Associations between Diet Quality Defined by the Health Star Rating and Mortality in Australians: The Australian Diabetes, Obesity and Lifestyle Study. </w:t>
      </w:r>
      <w:r w:rsidRPr="00634704" w:rsidR="009248EA">
        <w:rPr>
          <w:rFonts w:asciiTheme="minorHAnsi" w:hAnsiTheme="minorHAnsi" w:cstheme="minorHAnsi"/>
          <w:i/>
          <w:iCs/>
          <w:color w:val="212121"/>
          <w:shd w:val="clear" w:color="auto" w:fill="FFFFFF"/>
        </w:rPr>
        <w:t>Current developments in nutrition</w:t>
      </w:r>
      <w:r w:rsidRPr="00634704" w:rsidR="009248EA">
        <w:rPr>
          <w:rFonts w:asciiTheme="minorHAnsi" w:hAnsiTheme="minorHAnsi" w:cstheme="minorHAnsi"/>
          <w:color w:val="212121"/>
          <w:shd w:val="clear" w:color="auto" w:fill="FFFFFF"/>
        </w:rPr>
        <w:t>, </w:t>
      </w:r>
      <w:r w:rsidRPr="00634704" w:rsidR="009248EA">
        <w:rPr>
          <w:rFonts w:asciiTheme="minorHAnsi" w:hAnsiTheme="minorHAnsi" w:cstheme="minorHAnsi"/>
          <w:i/>
          <w:iCs/>
          <w:color w:val="212121"/>
          <w:shd w:val="clear" w:color="auto" w:fill="FFFFFF"/>
        </w:rPr>
        <w:t>4</w:t>
      </w:r>
      <w:r w:rsidRPr="00634704" w:rsidR="009248EA">
        <w:rPr>
          <w:rFonts w:asciiTheme="minorHAnsi" w:hAnsiTheme="minorHAnsi" w:cstheme="minorHAnsi"/>
          <w:color w:val="212121"/>
          <w:shd w:val="clear" w:color="auto" w:fill="FFFFFF"/>
        </w:rPr>
        <w:t xml:space="preserve">(11), nzaa157. </w:t>
      </w:r>
    </w:p>
    <w:p w:rsidR="009248EA" w:rsidRPr="00634704" w:rsidP="00217160" w14:paraId="1F555CC7" w14:textId="07F3E169">
      <w:pPr>
        <w:pStyle w:val="EndNoteBibliography"/>
        <w:spacing w:after="0"/>
        <w:ind w:left="720"/>
        <w:rPr>
          <w:rFonts w:asciiTheme="minorHAnsi" w:hAnsiTheme="minorHAnsi" w:cstheme="minorHAnsi"/>
        </w:rPr>
      </w:pPr>
      <w:r w:rsidRPr="00634704">
        <w:rPr>
          <w:rFonts w:asciiTheme="minorHAnsi" w:hAnsiTheme="minorHAnsi" w:cstheme="minorHAnsi"/>
          <w:color w:val="212121"/>
          <w:shd w:val="clear" w:color="auto" w:fill="FFFFFF"/>
        </w:rPr>
        <w:t>https://doi.org/10.1093/cdn/nzaa157</w:t>
      </w:r>
    </w:p>
    <w:p w:rsidR="000B52D9" w:rsidRPr="00634704" w:rsidP="00A1092A" w14:paraId="6D91E5D1" w14:textId="77777777">
      <w:pPr>
        <w:pStyle w:val="EndNoteBibliography"/>
        <w:spacing w:after="0"/>
        <w:ind w:left="720" w:hanging="720"/>
        <w:rPr>
          <w:rFonts w:asciiTheme="minorHAnsi" w:hAnsiTheme="minorHAnsi" w:cstheme="minorHAnsi"/>
        </w:rPr>
      </w:pPr>
    </w:p>
    <w:p w:rsidR="002412A5" w:rsidRPr="00634704" w:rsidP="00A1092A" w14:paraId="274EA421"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Pelly, F., Swanepoel, L., Rinella, J., </w:t>
      </w:r>
      <w:r w:rsidRPr="00634704" w:rsidR="001C672F">
        <w:rPr>
          <w:rFonts w:asciiTheme="minorHAnsi" w:hAnsiTheme="minorHAnsi" w:cstheme="minorHAnsi"/>
        </w:rPr>
        <w:t xml:space="preserve">&amp; </w:t>
      </w:r>
      <w:r w:rsidRPr="00634704">
        <w:rPr>
          <w:rFonts w:asciiTheme="minorHAnsi" w:hAnsiTheme="minorHAnsi" w:cstheme="minorHAnsi"/>
        </w:rPr>
        <w:t>Cooper</w:t>
      </w:r>
      <w:r w:rsidRPr="00634704" w:rsidR="001C672F">
        <w:rPr>
          <w:rFonts w:asciiTheme="minorHAnsi" w:hAnsiTheme="minorHAnsi" w:cstheme="minorHAnsi"/>
        </w:rPr>
        <w:t>, S. (</w:t>
      </w:r>
      <w:r w:rsidRPr="00634704" w:rsidR="00B72E45">
        <w:rPr>
          <w:rFonts w:asciiTheme="minorHAnsi" w:hAnsiTheme="minorHAnsi" w:cstheme="minorHAnsi"/>
        </w:rPr>
        <w:t xml:space="preserve">2020). Consumers’ Perceptions of the Australian Health Star Rating Labelling Scheme. </w:t>
      </w:r>
      <w:r w:rsidRPr="00634704" w:rsidR="00B72E45">
        <w:rPr>
          <w:rFonts w:asciiTheme="minorHAnsi" w:hAnsiTheme="minorHAnsi" w:cstheme="minorHAnsi"/>
          <w:i/>
        </w:rPr>
        <w:t>Nutrients</w:t>
      </w:r>
      <w:r w:rsidRPr="00634704" w:rsidR="00B72E45">
        <w:rPr>
          <w:rFonts w:asciiTheme="minorHAnsi" w:hAnsiTheme="minorHAnsi" w:cstheme="minorHAnsi"/>
        </w:rPr>
        <w:t>, 12</w:t>
      </w:r>
      <w:r w:rsidRPr="00634704">
        <w:rPr>
          <w:rFonts w:asciiTheme="minorHAnsi" w:hAnsiTheme="minorHAnsi" w:cstheme="minorHAnsi"/>
        </w:rPr>
        <w:t>(3)</w:t>
      </w:r>
      <w:r w:rsidRPr="00634704" w:rsidR="00B72E45">
        <w:rPr>
          <w:rFonts w:asciiTheme="minorHAnsi" w:hAnsiTheme="minorHAnsi" w:cstheme="minorHAnsi"/>
        </w:rPr>
        <w:t xml:space="preserve">, 704. </w:t>
      </w:r>
    </w:p>
    <w:p w:rsidR="000B52D9" w:rsidRPr="00634704" w:rsidP="00217160" w14:paraId="229CECB6" w14:textId="505A0993">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B72E45">
        <w:rPr>
          <w:rFonts w:asciiTheme="minorHAnsi" w:hAnsiTheme="minorHAnsi" w:cstheme="minorHAnsi"/>
        </w:rPr>
        <w:t>doi:10.3390/nu12030704</w:t>
      </w:r>
    </w:p>
    <w:p w:rsidR="00B06FD0" w:rsidRPr="00634704" w:rsidP="00A1092A" w14:paraId="64CB13E8" w14:textId="77777777">
      <w:pPr>
        <w:pStyle w:val="EndNoteBibliography"/>
        <w:spacing w:after="0"/>
        <w:ind w:left="720" w:hanging="720"/>
        <w:rPr>
          <w:rFonts w:asciiTheme="minorHAnsi" w:hAnsiTheme="minorHAnsi" w:cstheme="minorHAnsi"/>
        </w:rPr>
      </w:pPr>
    </w:p>
    <w:p w:rsidR="002412A5" w:rsidRPr="00634704" w:rsidP="007347C0" w14:paraId="7366321E" w14:textId="77777777">
      <w:pPr>
        <w:autoSpaceDE w:val="0"/>
        <w:autoSpaceDN w:val="0"/>
        <w:adjustRightInd w:val="0"/>
        <w:spacing w:after="0" w:line="240" w:lineRule="auto"/>
        <w:ind w:left="720" w:hanging="720"/>
        <w:rPr>
          <w:rFonts w:cstheme="minorHAnsi"/>
        </w:rPr>
      </w:pPr>
      <w:r w:rsidRPr="00634704">
        <w:rPr>
          <w:rFonts w:cstheme="minorHAnsi"/>
        </w:rPr>
        <w:t xml:space="preserve">Pettigrew, S., Dana, L. M., Talati, Z., Tian, M., &amp; Praveen, D. (2021). The role of colour and summary indicators in influencing front-of-pack food label effectiveness across seven countries. </w:t>
      </w:r>
      <w:r w:rsidRPr="00634704">
        <w:rPr>
          <w:rFonts w:cstheme="minorHAnsi"/>
          <w:i/>
        </w:rPr>
        <w:t xml:space="preserve">Public Health </w:t>
      </w:r>
      <w:r w:rsidRPr="00634704">
        <w:rPr>
          <w:rFonts w:cstheme="minorHAnsi"/>
          <w:i/>
          <w:iCs/>
        </w:rPr>
        <w:t>Nutr</w:t>
      </w:r>
      <w:r w:rsidRPr="00634704">
        <w:rPr>
          <w:rFonts w:cstheme="minorHAnsi"/>
          <w:i/>
          <w:iCs/>
        </w:rPr>
        <w:t>ition</w:t>
      </w:r>
      <w:r w:rsidRPr="00634704">
        <w:rPr>
          <w:rFonts w:cstheme="minorHAnsi"/>
        </w:rPr>
        <w:t>,</w:t>
      </w:r>
      <w:r w:rsidRPr="00634704">
        <w:rPr>
          <w:rFonts w:cstheme="minorHAnsi"/>
          <w:i/>
        </w:rPr>
        <w:t xml:space="preserve"> 24</w:t>
      </w:r>
      <w:r w:rsidRPr="00634704">
        <w:rPr>
          <w:rFonts w:cstheme="minorHAnsi"/>
        </w:rPr>
        <w:t xml:space="preserve">(11), 3566-3570. </w:t>
      </w:r>
    </w:p>
    <w:p w:rsidR="007347C0" w:rsidRPr="00634704" w:rsidP="00217160" w14:paraId="211EB6C3" w14:textId="3A4B3CBF">
      <w:pPr>
        <w:autoSpaceDE w:val="0"/>
        <w:autoSpaceDN w:val="0"/>
        <w:adjustRightInd w:val="0"/>
        <w:spacing w:after="0" w:line="240" w:lineRule="auto"/>
        <w:ind w:left="720"/>
        <w:rPr>
          <w:rFonts w:cstheme="minorHAnsi"/>
        </w:rPr>
      </w:pPr>
      <w:r w:rsidRPr="00634704">
        <w:rPr>
          <w:rFonts w:cstheme="minorHAnsi"/>
        </w:rPr>
        <w:t xml:space="preserve">https://doi.org/10.1017/s1368980020004966 </w:t>
      </w:r>
    </w:p>
    <w:p w:rsidR="00147AAC" w:rsidRPr="00634704" w:rsidP="00A1092A" w14:paraId="19625BAB" w14:textId="77777777">
      <w:pPr>
        <w:pStyle w:val="EndNoteBibliography"/>
        <w:spacing w:after="0"/>
        <w:ind w:left="720" w:hanging="720"/>
        <w:rPr>
          <w:rFonts w:asciiTheme="minorHAnsi" w:hAnsiTheme="minorHAnsi" w:cstheme="minorHAnsi"/>
        </w:rPr>
      </w:pPr>
    </w:p>
    <w:p w:rsidR="00997773" w:rsidRPr="00634704" w:rsidP="00A1092A" w14:paraId="1602DCF9" w14:textId="56273178">
      <w:pPr>
        <w:pStyle w:val="EndNoteBibliography"/>
        <w:spacing w:after="0"/>
        <w:ind w:left="720" w:hanging="720"/>
        <w:rPr>
          <w:rFonts w:asciiTheme="minorHAnsi" w:hAnsiTheme="minorHAnsi" w:cstheme="minorHAnsi"/>
        </w:rPr>
      </w:pPr>
      <w:r w:rsidRPr="00634704">
        <w:rPr>
          <w:rFonts w:asciiTheme="minorHAnsi" w:hAnsiTheme="minorHAnsi" w:cstheme="minorHAnsi"/>
        </w:rPr>
        <w:t>Pettigrew, S., Dana, L., &amp; Talati, Z. (</w:t>
      </w:r>
      <w:r w:rsidRPr="00634704" w:rsidR="00873610">
        <w:rPr>
          <w:rFonts w:asciiTheme="minorHAnsi" w:hAnsiTheme="minorHAnsi" w:cstheme="minorHAnsi"/>
        </w:rPr>
        <w:t xml:space="preserve">2019). Enhancing the effectiveness of the Health Star Rating via presentation modifications. </w:t>
      </w:r>
      <w:r w:rsidRPr="00634704">
        <w:rPr>
          <w:rFonts w:asciiTheme="minorHAnsi" w:hAnsiTheme="minorHAnsi" w:cstheme="minorHAnsi"/>
          <w:i/>
          <w:iCs/>
          <w:color w:val="212121"/>
          <w:shd w:val="clear" w:color="auto" w:fill="FFFFFF"/>
        </w:rPr>
        <w:t>Australian and New Zealand journal of public health</w:t>
      </w:r>
      <w:r w:rsidRPr="00634704">
        <w:rPr>
          <w:rFonts w:asciiTheme="minorHAnsi" w:hAnsiTheme="minorHAnsi" w:cstheme="minorHAnsi"/>
          <w:color w:val="212121"/>
          <w:shd w:val="clear" w:color="auto" w:fill="FFFFFF"/>
        </w:rPr>
        <w:t>, </w:t>
      </w:r>
      <w:r w:rsidRPr="00634704">
        <w:rPr>
          <w:rFonts w:asciiTheme="minorHAnsi" w:hAnsiTheme="minorHAnsi" w:cstheme="minorHAnsi"/>
          <w:i/>
          <w:iCs/>
          <w:color w:val="212121"/>
          <w:shd w:val="clear" w:color="auto" w:fill="FFFFFF"/>
        </w:rPr>
        <w:t>44</w:t>
      </w:r>
      <w:r w:rsidRPr="00634704">
        <w:rPr>
          <w:rFonts w:asciiTheme="minorHAnsi" w:hAnsiTheme="minorHAnsi" w:cstheme="minorHAnsi"/>
          <w:color w:val="212121"/>
          <w:shd w:val="clear" w:color="auto" w:fill="FFFFFF"/>
        </w:rPr>
        <w:t xml:space="preserve">(1), 20–21. </w:t>
      </w:r>
      <w:r w:rsidRPr="00634704" w:rsidR="009068DC">
        <w:rPr>
          <w:rFonts w:asciiTheme="minorHAnsi" w:hAnsiTheme="minorHAnsi" w:cstheme="minorHAnsi"/>
        </w:rPr>
        <w:t xml:space="preserve">. </w:t>
      </w:r>
    </w:p>
    <w:p w:rsidR="00147AAC" w:rsidRPr="00634704" w:rsidP="00217160" w14:paraId="1865BDC8" w14:textId="38A1AE46">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9068DC">
        <w:rPr>
          <w:rFonts w:asciiTheme="minorHAnsi" w:hAnsiTheme="minorHAnsi" w:cstheme="minorHAnsi"/>
        </w:rPr>
        <w:t>doi:10.1111/1753-6405.12952</w:t>
      </w:r>
    </w:p>
    <w:p w:rsidR="00A311C4" w:rsidRPr="00634704" w:rsidP="00A1092A" w14:paraId="3D526DA8" w14:textId="77777777">
      <w:pPr>
        <w:pStyle w:val="EndNoteBibliography"/>
        <w:spacing w:after="0"/>
        <w:ind w:left="720" w:hanging="720"/>
        <w:rPr>
          <w:rFonts w:asciiTheme="minorHAnsi" w:hAnsiTheme="minorHAnsi" w:cstheme="minorHAnsi"/>
        </w:rPr>
      </w:pPr>
    </w:p>
    <w:p w:rsidR="006765FF" w:rsidRPr="00B13B9D" w:rsidP="006765FF" w14:paraId="5DA275F6" w14:textId="37F04C9F">
      <w:pPr>
        <w:autoSpaceDE w:val="0"/>
        <w:autoSpaceDN w:val="0"/>
        <w:adjustRightInd w:val="0"/>
        <w:spacing w:after="0" w:line="240" w:lineRule="auto"/>
        <w:ind w:left="720" w:hanging="720"/>
        <w:rPr>
          <w:rFonts w:cstheme="minorHAnsi"/>
        </w:rPr>
      </w:pPr>
      <w:r w:rsidRPr="00634704">
        <w:rPr>
          <w:rFonts w:cstheme="minorHAnsi"/>
        </w:rPr>
        <w:t xml:space="preserve">Pettigrew, S., Jongenelis, M., Jones, A., Hercberg, S., &amp; Julia, C. (2022). An 18-country analysis of the effectiveness of five front-of-pack nutrition labels. </w:t>
      </w:r>
      <w:r w:rsidRPr="00634704">
        <w:rPr>
          <w:rFonts w:cstheme="minorHAnsi"/>
          <w:i/>
        </w:rPr>
        <w:t>Food Quality and Preference</w:t>
      </w:r>
      <w:r w:rsidRPr="00634704">
        <w:rPr>
          <w:rFonts w:cstheme="minorHAnsi"/>
        </w:rPr>
        <w:t xml:space="preserve">, </w:t>
      </w:r>
      <w:r w:rsidRPr="00634704" w:rsidR="005D2946">
        <w:rPr>
          <w:rFonts w:cstheme="minorHAnsi"/>
        </w:rPr>
        <w:t>104,</w:t>
      </w:r>
      <w:r w:rsidRPr="00634704">
        <w:rPr>
          <w:rFonts w:cstheme="minorHAnsi"/>
        </w:rPr>
        <w:t xml:space="preserve">104691. </w:t>
      </w:r>
      <w:r w:rsidRPr="00B13B9D">
        <w:rPr>
          <w:rFonts w:cstheme="minorHAnsi"/>
        </w:rPr>
        <w:t xml:space="preserve">https://doi.org/https://doi.org/10.1016/j.foodqual.2022.104691 </w:t>
      </w:r>
    </w:p>
    <w:p w:rsidR="002D4DAC" w:rsidRPr="00B13B9D" w:rsidP="00A1092A" w14:paraId="258268FA" w14:textId="77777777">
      <w:pPr>
        <w:pStyle w:val="EndNoteBibliography"/>
        <w:spacing w:after="0"/>
        <w:ind w:left="720" w:hanging="720"/>
        <w:rPr>
          <w:rFonts w:asciiTheme="minorHAnsi" w:hAnsiTheme="minorHAnsi" w:cstheme="minorHAnsi"/>
        </w:rPr>
      </w:pPr>
    </w:p>
    <w:p w:rsidR="00A1092A" w:rsidRPr="00B13B9D" w:rsidP="00A1092A" w14:paraId="045BFC02" w14:textId="058F9467">
      <w:pPr>
        <w:pStyle w:val="EndNoteBibliography"/>
        <w:spacing w:after="0"/>
        <w:ind w:left="720" w:hanging="720"/>
        <w:rPr>
          <w:rFonts w:asciiTheme="minorHAnsi" w:hAnsiTheme="minorHAnsi" w:cstheme="minorHAnsi"/>
        </w:rPr>
      </w:pPr>
      <w:r w:rsidRPr="00B13B9D">
        <w:rPr>
          <w:rFonts w:asciiTheme="minorHAnsi" w:hAnsiTheme="minorHAnsi" w:cstheme="minorHAnsi"/>
        </w:rPr>
        <w:t xml:space="preserve">Pettigrew, S., Talati, Z., Miller, C., Dixon, H., Kelly, B., &amp; Ball, K. (2017). The types and aspects of front-of-pack food labelling schemes preferred by adults and children. </w:t>
      </w:r>
      <w:r w:rsidRPr="00B13B9D">
        <w:rPr>
          <w:rFonts w:asciiTheme="minorHAnsi" w:hAnsiTheme="minorHAnsi" w:cstheme="minorHAnsi"/>
          <w:i/>
        </w:rPr>
        <w:t>Appetite, 109</w:t>
      </w:r>
      <w:r w:rsidRPr="00B13B9D">
        <w:rPr>
          <w:rFonts w:asciiTheme="minorHAnsi" w:hAnsiTheme="minorHAnsi" w:cstheme="minorHAnsi"/>
        </w:rPr>
        <w:t xml:space="preserve">, 115-123. </w:t>
      </w:r>
      <w:r w:rsidRPr="00B13B9D" w:rsidR="00884222">
        <w:rPr>
          <w:rFonts w:asciiTheme="minorHAnsi" w:hAnsiTheme="minorHAnsi" w:cstheme="minorHAnsi"/>
        </w:rPr>
        <w:t>https://</w:t>
      </w:r>
      <w:r w:rsidRPr="00B13B9D">
        <w:rPr>
          <w:rFonts w:asciiTheme="minorHAnsi" w:hAnsiTheme="minorHAnsi" w:cstheme="minorHAnsi"/>
        </w:rPr>
        <w:t>doi:10.1016/j.appet.2016.11.034</w:t>
      </w:r>
    </w:p>
    <w:p w:rsidR="00C20539" w:rsidRPr="00B13B9D" w:rsidP="00A1092A" w14:paraId="4862AA8A" w14:textId="77777777">
      <w:pPr>
        <w:pStyle w:val="EndNoteBibliography"/>
        <w:spacing w:after="0"/>
        <w:ind w:left="720" w:hanging="720"/>
        <w:rPr>
          <w:rFonts w:asciiTheme="minorHAnsi" w:hAnsiTheme="minorHAnsi" w:cstheme="minorHAnsi"/>
        </w:rPr>
      </w:pPr>
    </w:p>
    <w:p w:rsidR="00AE6C14" w:rsidRPr="00B13B9D" w:rsidP="00A1092A" w14:paraId="11279343" w14:textId="77777777">
      <w:pPr>
        <w:pStyle w:val="EndNoteBibliography"/>
        <w:spacing w:after="0"/>
        <w:ind w:left="720" w:hanging="720"/>
        <w:rPr>
          <w:rFonts w:asciiTheme="minorHAnsi" w:hAnsiTheme="minorHAnsi" w:cstheme="minorHAnsi"/>
        </w:rPr>
      </w:pPr>
      <w:r w:rsidRPr="00B13B9D">
        <w:rPr>
          <w:rFonts w:asciiTheme="minorHAnsi" w:hAnsiTheme="minorHAnsi" w:cstheme="minorHAnsi"/>
        </w:rPr>
        <w:t>Pongutta, S., Tantayapirak, P.,</w:t>
      </w:r>
      <w:r w:rsidRPr="00B13B9D" w:rsidR="0009321A">
        <w:rPr>
          <w:rFonts w:asciiTheme="minorHAnsi" w:hAnsiTheme="minorHAnsi" w:cstheme="minorHAnsi"/>
        </w:rPr>
        <w:t xml:space="preserve"> &amp;</w:t>
      </w:r>
      <w:r w:rsidRPr="00B13B9D">
        <w:rPr>
          <w:rFonts w:asciiTheme="minorHAnsi" w:hAnsiTheme="minorHAnsi" w:cstheme="minorHAnsi"/>
        </w:rPr>
        <w:t xml:space="preserve"> Paopeng, C. (</w:t>
      </w:r>
      <w:r w:rsidRPr="00B13B9D" w:rsidR="00076430">
        <w:rPr>
          <w:rFonts w:asciiTheme="minorHAnsi" w:hAnsiTheme="minorHAnsi" w:cstheme="minorHAnsi"/>
        </w:rPr>
        <w:t xml:space="preserve">2019). Packaged food consumption and understanding of front-of-pack labels in urban Thailand. </w:t>
      </w:r>
      <w:r w:rsidRPr="00B13B9D" w:rsidR="00076430">
        <w:rPr>
          <w:rFonts w:asciiTheme="minorHAnsi" w:hAnsiTheme="minorHAnsi" w:cstheme="minorHAnsi"/>
          <w:i/>
        </w:rPr>
        <w:t>Public Health</w:t>
      </w:r>
      <w:r w:rsidRPr="00B13B9D" w:rsidR="00076430">
        <w:rPr>
          <w:rFonts w:asciiTheme="minorHAnsi" w:hAnsiTheme="minorHAnsi" w:cstheme="minorHAnsi"/>
        </w:rPr>
        <w:t xml:space="preserve">, 172, </w:t>
      </w:r>
      <w:r w:rsidRPr="00B13B9D" w:rsidR="005E6949">
        <w:rPr>
          <w:rFonts w:asciiTheme="minorHAnsi" w:hAnsiTheme="minorHAnsi" w:cstheme="minorHAnsi"/>
        </w:rPr>
        <w:t xml:space="preserve">8-14. </w:t>
      </w:r>
    </w:p>
    <w:p w:rsidR="00C20539" w:rsidRPr="00B13B9D" w:rsidP="00B13B9D" w14:paraId="7571AF76" w14:textId="434BB091">
      <w:pPr>
        <w:pStyle w:val="EndNoteBibliography"/>
        <w:spacing w:after="0"/>
        <w:ind w:left="720"/>
        <w:rPr>
          <w:rFonts w:asciiTheme="minorHAnsi" w:hAnsiTheme="minorHAnsi" w:cstheme="minorHAnsi"/>
        </w:rPr>
      </w:pPr>
      <w:r w:rsidRPr="00B13B9D">
        <w:rPr>
          <w:rFonts w:asciiTheme="minorHAnsi" w:hAnsiTheme="minorHAnsi" w:cstheme="minorHAnsi"/>
        </w:rPr>
        <w:t>https://</w:t>
      </w:r>
      <w:r w:rsidRPr="00B13B9D" w:rsidR="006C5940">
        <w:rPr>
          <w:rFonts w:asciiTheme="minorHAnsi" w:hAnsiTheme="minorHAnsi" w:cstheme="minorHAnsi"/>
        </w:rPr>
        <w:t>doi.org:10.1016/j.puhe.2019.04.004</w:t>
      </w:r>
    </w:p>
    <w:p w:rsidR="00B15CB9" w:rsidRPr="00B13B9D" w:rsidP="00A1092A" w14:paraId="4A5FFFEE" w14:textId="77777777">
      <w:pPr>
        <w:pStyle w:val="EndNoteBibliography"/>
        <w:spacing w:after="0"/>
        <w:ind w:left="720" w:hanging="720"/>
        <w:rPr>
          <w:rFonts w:asciiTheme="minorHAnsi" w:hAnsiTheme="minorHAnsi" w:cstheme="minorHAnsi"/>
        </w:rPr>
      </w:pPr>
    </w:p>
    <w:p w:rsidR="00400838" w:rsidRPr="00B13B9D" w:rsidP="00A1092A" w14:paraId="368C2AF5" w14:textId="3C5C7718">
      <w:pPr>
        <w:pStyle w:val="EndNoteBibliography"/>
        <w:spacing w:after="0"/>
        <w:ind w:left="720" w:hanging="720"/>
        <w:rPr>
          <w:rFonts w:asciiTheme="minorHAnsi" w:hAnsiTheme="minorHAnsi" w:cstheme="minorHAnsi"/>
        </w:rPr>
      </w:pPr>
      <w:r w:rsidRPr="00B13B9D">
        <w:rPr>
          <w:rFonts w:asciiTheme="minorHAnsi" w:hAnsiTheme="minorHAnsi" w:cstheme="minorHAnsi"/>
        </w:rPr>
        <w:t xml:space="preserve">Poqueta, D., Ginonb, E., Goubela, B., Chabaneta, C., </w:t>
      </w:r>
      <w:r w:rsidRPr="00B13B9D" w:rsidR="0009321A">
        <w:rPr>
          <w:rFonts w:asciiTheme="minorHAnsi" w:hAnsiTheme="minorHAnsi" w:cstheme="minorHAnsi"/>
        </w:rPr>
        <w:t xml:space="preserve">Marettec, S., Issanchoua, S., </w:t>
      </w:r>
      <w:r w:rsidRPr="00B13B9D">
        <w:rPr>
          <w:rFonts w:asciiTheme="minorHAnsi" w:hAnsiTheme="minorHAnsi" w:cstheme="minorHAnsi"/>
        </w:rPr>
        <w:t xml:space="preserve">&amp; </w:t>
      </w:r>
      <w:r w:rsidRPr="00B13B9D" w:rsidR="0009321A">
        <w:rPr>
          <w:rFonts w:asciiTheme="minorHAnsi" w:hAnsiTheme="minorHAnsi" w:cstheme="minorHAnsi"/>
        </w:rPr>
        <w:t>Monnery-Patris, S.</w:t>
      </w:r>
      <w:r w:rsidRPr="00B13B9D">
        <w:rPr>
          <w:rFonts w:asciiTheme="minorHAnsi" w:hAnsiTheme="minorHAnsi" w:cstheme="minorHAnsi"/>
        </w:rPr>
        <w:t xml:space="preserve"> </w:t>
      </w:r>
      <w:r w:rsidRPr="00B13B9D" w:rsidR="003D071A">
        <w:rPr>
          <w:rFonts w:asciiTheme="minorHAnsi" w:hAnsiTheme="minorHAnsi" w:cstheme="minorHAnsi"/>
        </w:rPr>
        <w:t>(2019). Impact of a front-of-pack nutritional traffic-light label on the nutritional quality and the hedonic value of mid-afternoon snacks chosen by mother-child dyads.</w:t>
      </w:r>
      <w:r w:rsidRPr="00B13B9D" w:rsidR="00F163E8">
        <w:rPr>
          <w:rFonts w:asciiTheme="minorHAnsi" w:hAnsiTheme="minorHAnsi" w:cstheme="minorHAnsi"/>
        </w:rPr>
        <w:t xml:space="preserve"> </w:t>
      </w:r>
      <w:r w:rsidRPr="00B13B9D" w:rsidR="00F163E8">
        <w:rPr>
          <w:rFonts w:asciiTheme="minorHAnsi" w:hAnsiTheme="minorHAnsi" w:cstheme="minorHAnsi"/>
          <w:i/>
        </w:rPr>
        <w:t>Appetite</w:t>
      </w:r>
      <w:r w:rsidRPr="00B13B9D" w:rsidR="00F163E8">
        <w:rPr>
          <w:rFonts w:asciiTheme="minorHAnsi" w:hAnsiTheme="minorHAnsi" w:cstheme="minorHAnsi"/>
        </w:rPr>
        <w:t>, 143</w:t>
      </w:r>
      <w:r w:rsidRPr="00B13B9D" w:rsidR="00ED730E">
        <w:rPr>
          <w:rFonts w:asciiTheme="minorHAnsi" w:hAnsiTheme="minorHAnsi" w:cstheme="minorHAnsi"/>
        </w:rPr>
        <w:t xml:space="preserve">, </w:t>
      </w:r>
      <w:r w:rsidRPr="00B13B9D" w:rsidR="00ED730E">
        <w:rPr>
          <w:rFonts w:asciiTheme="minorHAnsi" w:hAnsiTheme="minorHAnsi" w:cstheme="minorHAnsi"/>
          <w:color w:val="212121"/>
          <w:shd w:val="clear" w:color="auto" w:fill="FFFFFF"/>
        </w:rPr>
        <w:t>104425</w:t>
      </w:r>
      <w:r w:rsidRPr="00B13B9D" w:rsidR="00F163E8">
        <w:rPr>
          <w:rFonts w:asciiTheme="minorHAnsi" w:hAnsiTheme="minorHAnsi" w:cstheme="minorHAnsi"/>
        </w:rPr>
        <w:t xml:space="preserve">. </w:t>
      </w:r>
    </w:p>
    <w:p w:rsidR="00B15CB9" w:rsidRPr="00B13B9D" w:rsidP="00B13B9D" w14:paraId="37202D8E" w14:textId="49C17468">
      <w:pPr>
        <w:pStyle w:val="EndNoteBibliography"/>
        <w:spacing w:after="0"/>
        <w:ind w:left="720"/>
        <w:rPr>
          <w:rFonts w:asciiTheme="minorHAnsi" w:hAnsiTheme="minorHAnsi" w:cstheme="minorHAnsi"/>
        </w:rPr>
      </w:pPr>
      <w:r w:rsidRPr="00B13B9D">
        <w:rPr>
          <w:rFonts w:asciiTheme="minorHAnsi" w:hAnsiTheme="minorHAnsi" w:cstheme="minorHAnsi"/>
        </w:rPr>
        <w:t>https://</w:t>
      </w:r>
      <w:r w:rsidRPr="00B13B9D" w:rsidR="00F163E8">
        <w:rPr>
          <w:rFonts w:asciiTheme="minorHAnsi" w:hAnsiTheme="minorHAnsi" w:cstheme="minorHAnsi"/>
        </w:rPr>
        <w:t>doi:10.1016/j.appet.2019.104425</w:t>
      </w:r>
    </w:p>
    <w:p w:rsidR="00C914D3" w:rsidRPr="00B13B9D" w:rsidP="00A1092A" w14:paraId="5F1E67FC" w14:textId="77777777">
      <w:pPr>
        <w:pStyle w:val="EndNoteBibliography"/>
        <w:spacing w:after="0"/>
        <w:ind w:left="720" w:hanging="720"/>
        <w:rPr>
          <w:rFonts w:asciiTheme="minorHAnsi" w:hAnsiTheme="minorHAnsi" w:cstheme="minorHAnsi"/>
        </w:rPr>
      </w:pPr>
    </w:p>
    <w:p w:rsidR="5F9E1527" w:rsidRPr="00B13B9D" w:rsidP="00B13B9D" w14:paraId="70AA1B04" w14:textId="2697E83D">
      <w:pPr>
        <w:ind w:left="720" w:hanging="720"/>
        <w:rPr>
          <w:rFonts w:cstheme="minorHAnsi"/>
        </w:rPr>
      </w:pPr>
      <w:r w:rsidRPr="00B13B9D">
        <w:rPr>
          <w:rFonts w:eastAsia="Calibri" w:cstheme="minorHAnsi"/>
        </w:rPr>
        <w:t xml:space="preserve">Research Triangle Institute (RTI). 2016. Addendum to Policy Research for Front of Package Nutrition Labeling: Environmental Scan and Literature Review. Report prepared for U.S. Food and Drug Administration.  </w:t>
      </w:r>
    </w:p>
    <w:p w:rsidR="00B3103A" w:rsidRPr="00634704" w:rsidP="00C914D3" w14:paraId="0D8BB3E3" w14:textId="2B2A54FA">
      <w:pPr>
        <w:pStyle w:val="EndNoteBibliography"/>
        <w:spacing w:after="0"/>
        <w:ind w:left="720" w:hanging="720"/>
        <w:rPr>
          <w:rFonts w:asciiTheme="minorHAnsi" w:hAnsiTheme="minorHAnsi" w:cstheme="minorHAnsi"/>
        </w:rPr>
      </w:pPr>
      <w:r w:rsidRPr="00634704">
        <w:rPr>
          <w:rFonts w:asciiTheme="minorHAnsi" w:hAnsiTheme="minorHAnsi" w:cstheme="minorHAnsi"/>
        </w:rPr>
        <w:t>Raine, K. D., Ferdinands, A. R., Atkey, K., Hobin, E., Jeffery, B., Nykiforuk, C. I. J.,</w:t>
      </w:r>
      <w:r w:rsidRPr="00634704" w:rsidR="00387CBD">
        <w:rPr>
          <w:rFonts w:asciiTheme="minorHAnsi" w:hAnsiTheme="minorHAnsi" w:cstheme="minorHAnsi"/>
          <w:color w:val="212121"/>
          <w:shd w:val="clear" w:color="auto" w:fill="FFFFFF"/>
        </w:rPr>
        <w:t xml:space="preserve"> Vanderlee, L., Vogel, E., &amp;</w:t>
      </w:r>
      <w:r w:rsidRPr="00634704">
        <w:rPr>
          <w:rFonts w:asciiTheme="minorHAnsi" w:hAnsiTheme="minorHAnsi" w:cstheme="minorHAnsi"/>
        </w:rPr>
        <w:t xml:space="preserve"> Von Tigerstrom, B. (2017). Policy recommendations for front-of-package, shelf, and menu labelling in Canada: Moving towards consensus. </w:t>
      </w:r>
      <w:r w:rsidRPr="00634704" w:rsidR="00387CBD">
        <w:rPr>
          <w:rFonts w:asciiTheme="minorHAnsi" w:hAnsiTheme="minorHAnsi" w:cstheme="minorHAnsi"/>
          <w:i/>
          <w:iCs/>
          <w:color w:val="212121"/>
          <w:shd w:val="clear" w:color="auto" w:fill="FFFFFF"/>
        </w:rPr>
        <w:t>Canadian journal of public health</w:t>
      </w:r>
      <w:r w:rsidRPr="00634704">
        <w:rPr>
          <w:rFonts w:asciiTheme="minorHAnsi" w:hAnsiTheme="minorHAnsi" w:cstheme="minorHAnsi"/>
          <w:i/>
        </w:rPr>
        <w:t>, 108</w:t>
      </w:r>
      <w:r w:rsidRPr="00634704">
        <w:rPr>
          <w:rFonts w:asciiTheme="minorHAnsi" w:hAnsiTheme="minorHAnsi" w:cstheme="minorHAnsi"/>
        </w:rPr>
        <w:t xml:space="preserve">(4), e409-e413. </w:t>
      </w:r>
    </w:p>
    <w:p w:rsidR="00C914D3" w:rsidP="00411484" w14:paraId="1C612ECA" w14:textId="6A5D086B">
      <w:pPr>
        <w:pStyle w:val="EndNoteBibliography"/>
        <w:spacing w:after="0"/>
        <w:ind w:left="720"/>
        <w:rPr>
          <w:rFonts w:asciiTheme="minorHAnsi" w:hAnsiTheme="minorHAnsi" w:cstheme="minorHAnsi"/>
        </w:rPr>
      </w:pPr>
      <w:r w:rsidRPr="00C1781A">
        <w:t>https://doi:10.17269/cjph.108.6076</w:t>
      </w:r>
    </w:p>
    <w:p w:rsidR="00411484" w:rsidRPr="00634704" w:rsidP="00C1781A" w14:paraId="2DEA8376" w14:textId="77777777">
      <w:pPr>
        <w:pStyle w:val="EndNoteBibliography"/>
        <w:spacing w:after="0"/>
        <w:ind w:left="720"/>
        <w:rPr>
          <w:rFonts w:asciiTheme="minorHAnsi" w:hAnsiTheme="minorHAnsi" w:cstheme="minorHAnsi"/>
        </w:rPr>
      </w:pPr>
    </w:p>
    <w:p w:rsidR="00B3103A" w:rsidRPr="00634704" w:rsidP="00C914D3" w14:paraId="40136D55" w14:textId="44F9B504">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Reis, F., Machin, L., Rosenthal, A., Deliza, R., &amp; Ares, G. (2016). Does a time constraint modify results from rating-based conjoint analysis? Case study with orange/pomegranate juice bottles. </w:t>
      </w:r>
      <w:r w:rsidRPr="00634704">
        <w:rPr>
          <w:rFonts w:asciiTheme="minorHAnsi" w:hAnsiTheme="minorHAnsi" w:cstheme="minorHAnsi"/>
          <w:i/>
          <w:color w:val="212121"/>
          <w:shd w:val="clear" w:color="auto" w:fill="FFFFFF"/>
        </w:rPr>
        <w:t xml:space="preserve">Food </w:t>
      </w:r>
      <w:r w:rsidRPr="00634704" w:rsidR="00DA68EB">
        <w:rPr>
          <w:rFonts w:asciiTheme="minorHAnsi" w:hAnsiTheme="minorHAnsi" w:cstheme="minorHAnsi"/>
          <w:i/>
          <w:iCs/>
          <w:color w:val="212121"/>
          <w:shd w:val="clear" w:color="auto" w:fill="FFFFFF"/>
        </w:rPr>
        <w:t>research international</w:t>
      </w:r>
      <w:r w:rsidRPr="00634704">
        <w:rPr>
          <w:rFonts w:asciiTheme="minorHAnsi" w:hAnsiTheme="minorHAnsi" w:cstheme="minorHAnsi"/>
          <w:i/>
        </w:rPr>
        <w:t>, 90</w:t>
      </w:r>
      <w:r w:rsidRPr="00634704">
        <w:rPr>
          <w:rFonts w:asciiTheme="minorHAnsi" w:hAnsiTheme="minorHAnsi" w:cstheme="minorHAnsi"/>
        </w:rPr>
        <w:t xml:space="preserve">, 244-250. </w:t>
      </w:r>
    </w:p>
    <w:p w:rsidR="00C914D3" w:rsidRPr="00634704" w:rsidP="00BE7DAA" w14:paraId="33C62EED" w14:textId="1827D8F8">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doi:10.1016/j.foodres.2016.11.006</w:t>
      </w:r>
    </w:p>
    <w:p w:rsidR="00C914D3" w:rsidRPr="00634704" w:rsidP="00A1092A" w14:paraId="34D9F437" w14:textId="77777777">
      <w:pPr>
        <w:pStyle w:val="EndNoteBibliography"/>
        <w:spacing w:after="0"/>
        <w:ind w:left="720" w:hanging="720"/>
        <w:rPr>
          <w:rFonts w:asciiTheme="minorHAnsi" w:hAnsiTheme="minorHAnsi" w:cstheme="minorHAnsi"/>
        </w:rPr>
      </w:pPr>
    </w:p>
    <w:p w:rsidR="00A87304" w:rsidRPr="00634704" w:rsidP="006765FF" w14:paraId="6DFBA4D1" w14:textId="77777777">
      <w:pPr>
        <w:autoSpaceDE w:val="0"/>
        <w:autoSpaceDN w:val="0"/>
        <w:adjustRightInd w:val="0"/>
        <w:spacing w:after="0" w:line="240" w:lineRule="auto"/>
        <w:ind w:left="720" w:hanging="720"/>
        <w:rPr>
          <w:rFonts w:cstheme="minorHAnsi"/>
        </w:rPr>
      </w:pPr>
      <w:r w:rsidRPr="00634704">
        <w:rPr>
          <w:rFonts w:cstheme="minorHAnsi"/>
        </w:rPr>
        <w:t xml:space="preserve">Riccò, M., Ranzieri, S., Balzarini, F., Vezzosi, L., Marchesi, F., Valente, M., &amp; Peruzzi, S. (2022). Understanding of the </w:t>
      </w:r>
      <w:r w:rsidRPr="00634704" w:rsidR="004B6E26">
        <w:rPr>
          <w:rFonts w:cstheme="minorHAnsi"/>
        </w:rPr>
        <w:t>Nutri-Score</w:t>
      </w:r>
      <w:r w:rsidRPr="00634704">
        <w:rPr>
          <w:rFonts w:cstheme="minorHAnsi"/>
        </w:rPr>
        <w:t xml:space="preserve"> front-of-pack label by Italian Medical Professionals and its effect on food choices: a web-based study on knowledge, </w:t>
      </w:r>
      <w:r w:rsidRPr="00634704">
        <w:rPr>
          <w:rFonts w:cstheme="minorHAnsi"/>
        </w:rPr>
        <w:t>attitudes</w:t>
      </w:r>
      <w:r w:rsidRPr="00634704">
        <w:rPr>
          <w:rFonts w:cstheme="minorHAnsi"/>
        </w:rPr>
        <w:t xml:space="preserve"> and practices. </w:t>
      </w:r>
      <w:r w:rsidRPr="00634704">
        <w:rPr>
          <w:rFonts w:cstheme="minorHAnsi"/>
          <w:i/>
        </w:rPr>
        <w:t>Acta Biomed</w:t>
      </w:r>
      <w:r w:rsidRPr="00634704">
        <w:rPr>
          <w:rFonts w:cstheme="minorHAnsi"/>
        </w:rPr>
        <w:t>,</w:t>
      </w:r>
      <w:r w:rsidRPr="00634704">
        <w:rPr>
          <w:rFonts w:cstheme="minorHAnsi"/>
          <w:i/>
        </w:rPr>
        <w:t xml:space="preserve"> 93</w:t>
      </w:r>
      <w:r w:rsidRPr="00634704">
        <w:rPr>
          <w:rFonts w:cstheme="minorHAnsi"/>
        </w:rPr>
        <w:t xml:space="preserve">(2), e2022042. </w:t>
      </w:r>
    </w:p>
    <w:p w:rsidR="006765FF" w:rsidRPr="00634704" w:rsidP="00484785" w14:paraId="0EF9AE1D" w14:textId="3C2EE45D">
      <w:pPr>
        <w:autoSpaceDE w:val="0"/>
        <w:autoSpaceDN w:val="0"/>
        <w:adjustRightInd w:val="0"/>
        <w:spacing w:after="0" w:line="240" w:lineRule="auto"/>
        <w:ind w:left="720"/>
        <w:rPr>
          <w:rFonts w:cstheme="minorHAnsi"/>
        </w:rPr>
      </w:pPr>
      <w:r w:rsidRPr="00634704">
        <w:rPr>
          <w:rFonts w:cstheme="minorHAnsi"/>
        </w:rPr>
        <w:t xml:space="preserve">https://doi.org/10.23750/abm.v93i2.11191 </w:t>
      </w:r>
    </w:p>
    <w:p w:rsidR="006765FF" w:rsidRPr="00634704" w:rsidP="006765FF" w14:paraId="1B9934D3" w14:textId="77777777">
      <w:pPr>
        <w:autoSpaceDE w:val="0"/>
        <w:autoSpaceDN w:val="0"/>
        <w:adjustRightInd w:val="0"/>
        <w:spacing w:after="0" w:line="240" w:lineRule="auto"/>
        <w:ind w:left="720" w:hanging="720"/>
        <w:rPr>
          <w:rFonts w:cstheme="minorHAnsi"/>
        </w:rPr>
      </w:pPr>
    </w:p>
    <w:p w:rsidR="001C7822" w:rsidRPr="00634704" w:rsidP="006765FF" w14:paraId="0BFD07CE" w14:textId="77777777">
      <w:pPr>
        <w:autoSpaceDE w:val="0"/>
        <w:autoSpaceDN w:val="0"/>
        <w:adjustRightInd w:val="0"/>
        <w:spacing w:after="0" w:line="240" w:lineRule="auto"/>
        <w:ind w:left="720" w:hanging="720"/>
        <w:rPr>
          <w:rFonts w:cstheme="minorHAnsi"/>
        </w:rPr>
      </w:pPr>
      <w:r w:rsidRPr="00634704">
        <w:rPr>
          <w:rFonts w:cstheme="minorHAnsi"/>
        </w:rPr>
        <w:t xml:space="preserve">Richetin, J., Caputo, V., Demartini, E., Conner, M., &amp; Perugini, M. (2022). Organic food labels bias food healthiness perceptions: Estimating healthiness equivalence using a Discrete Choice Experiment. </w:t>
      </w:r>
      <w:r w:rsidRPr="00634704">
        <w:rPr>
          <w:rFonts w:cstheme="minorHAnsi"/>
          <w:i/>
        </w:rPr>
        <w:t>Appetite</w:t>
      </w:r>
      <w:r w:rsidRPr="00634704">
        <w:rPr>
          <w:rFonts w:cstheme="minorHAnsi"/>
        </w:rPr>
        <w:t>,</w:t>
      </w:r>
      <w:r w:rsidRPr="00634704">
        <w:rPr>
          <w:rFonts w:cstheme="minorHAnsi"/>
          <w:i/>
        </w:rPr>
        <w:t xml:space="preserve"> 172</w:t>
      </w:r>
      <w:r w:rsidRPr="00634704">
        <w:rPr>
          <w:rFonts w:cstheme="minorHAnsi"/>
        </w:rPr>
        <w:t xml:space="preserve">, 105970. </w:t>
      </w:r>
    </w:p>
    <w:p w:rsidR="006765FF" w:rsidRPr="00634704" w:rsidP="00484785" w14:paraId="5F8C5585" w14:textId="1097008E">
      <w:pPr>
        <w:autoSpaceDE w:val="0"/>
        <w:autoSpaceDN w:val="0"/>
        <w:adjustRightInd w:val="0"/>
        <w:spacing w:after="0" w:line="240" w:lineRule="auto"/>
        <w:ind w:left="720"/>
        <w:rPr>
          <w:rFonts w:cstheme="minorHAnsi"/>
        </w:rPr>
      </w:pPr>
      <w:r w:rsidRPr="00634704">
        <w:rPr>
          <w:rFonts w:cstheme="minorHAnsi"/>
        </w:rPr>
        <w:t xml:space="preserve">https://doi.org/10.1016/j.appet.2022.105970 </w:t>
      </w:r>
    </w:p>
    <w:p w:rsidR="002D4DAC" w:rsidRPr="00634704" w:rsidP="00A1092A" w14:paraId="08312C6B" w14:textId="77777777">
      <w:pPr>
        <w:pStyle w:val="EndNoteBibliography"/>
        <w:spacing w:after="0"/>
        <w:ind w:left="720" w:hanging="720"/>
        <w:rPr>
          <w:rFonts w:asciiTheme="minorHAnsi" w:hAnsiTheme="minorHAnsi" w:cstheme="minorHAnsi"/>
        </w:rPr>
      </w:pPr>
    </w:p>
    <w:p w:rsidR="00D5299B" w:rsidRPr="00634704" w:rsidP="00A1092A" w14:paraId="2144F147" w14:textId="0A5CD18F">
      <w:pPr>
        <w:pStyle w:val="EndNoteBibliography"/>
        <w:spacing w:after="0"/>
        <w:ind w:left="720" w:hanging="720"/>
        <w:rPr>
          <w:rFonts w:asciiTheme="minorHAnsi" w:hAnsiTheme="minorHAnsi" w:cstheme="minorHAnsi"/>
        </w:rPr>
      </w:pPr>
      <w:r w:rsidRPr="00634704">
        <w:rPr>
          <w:rFonts w:asciiTheme="minorHAnsi" w:hAnsiTheme="minorHAnsi" w:cstheme="minorHAnsi"/>
        </w:rPr>
        <w:t>Roberto, C., Ng, S., Ganderats-Fuentes, M., Hammond, D., Barquera, S., Jauregui, A., &amp; Taillie, L</w:t>
      </w:r>
      <w:r w:rsidRPr="00634704" w:rsidR="00926955">
        <w:rPr>
          <w:rFonts w:asciiTheme="minorHAnsi" w:hAnsiTheme="minorHAnsi" w:cstheme="minorHAnsi"/>
        </w:rPr>
        <w:t xml:space="preserve">. (2021). The Influence of Front-of-Package Nutrition Labeling on Consumer Behavior and Product Reformulation. </w:t>
      </w:r>
      <w:r w:rsidRPr="00484785" w:rsidR="00AC146E">
        <w:rPr>
          <w:rFonts w:asciiTheme="minorHAnsi" w:hAnsiTheme="minorHAnsi" w:cstheme="minorHAnsi"/>
          <w:i/>
        </w:rPr>
        <w:t>The Annual Review of Nutrition</w:t>
      </w:r>
      <w:r w:rsidRPr="00634704" w:rsidR="00AC146E">
        <w:rPr>
          <w:rFonts w:asciiTheme="minorHAnsi" w:hAnsiTheme="minorHAnsi" w:cstheme="minorHAnsi"/>
        </w:rPr>
        <w:t>, 41</w:t>
      </w:r>
      <w:r w:rsidRPr="00634704">
        <w:rPr>
          <w:rFonts w:asciiTheme="minorHAnsi" w:hAnsiTheme="minorHAnsi" w:cstheme="minorHAnsi"/>
        </w:rPr>
        <w:t xml:space="preserve">, </w:t>
      </w:r>
      <w:r w:rsidRPr="00634704" w:rsidR="00AC146E">
        <w:rPr>
          <w:rFonts w:asciiTheme="minorHAnsi" w:hAnsiTheme="minorHAnsi" w:cstheme="minorHAnsi"/>
        </w:rPr>
        <w:t xml:space="preserve">22.1–22.22. </w:t>
      </w:r>
    </w:p>
    <w:p w:rsidR="00BC784A" w:rsidRPr="00634704" w:rsidP="00484785" w14:paraId="409B7D4D" w14:textId="1D267956">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AC146E">
        <w:rPr>
          <w:rFonts w:asciiTheme="minorHAnsi" w:hAnsiTheme="minorHAnsi" w:cstheme="minorHAnsi"/>
        </w:rPr>
        <w:t>doi</w:t>
      </w:r>
      <w:r w:rsidRPr="00634704" w:rsidR="006E3EE3">
        <w:rPr>
          <w:rFonts w:asciiTheme="minorHAnsi" w:hAnsiTheme="minorHAnsi" w:cstheme="minorHAnsi"/>
        </w:rPr>
        <w:t>:</w:t>
      </w:r>
      <w:r w:rsidRPr="00634704" w:rsidR="00AC146E">
        <w:rPr>
          <w:rFonts w:asciiTheme="minorHAnsi" w:hAnsiTheme="minorHAnsi" w:cstheme="minorHAnsi"/>
        </w:rPr>
        <w:t>10.1146/annurev-nutr-111120-094932</w:t>
      </w:r>
    </w:p>
    <w:p w:rsidR="00A1092A" w:rsidRPr="00634704" w:rsidP="00A1092A" w14:paraId="57DF9D96" w14:textId="77777777">
      <w:pPr>
        <w:pStyle w:val="EndNoteBibliography"/>
        <w:spacing w:after="0"/>
        <w:ind w:left="720" w:hanging="720"/>
        <w:rPr>
          <w:rFonts w:asciiTheme="minorHAnsi" w:hAnsiTheme="minorHAnsi" w:cstheme="minorHAnsi"/>
        </w:rPr>
      </w:pPr>
    </w:p>
    <w:p w:rsidR="00D5299B" w:rsidRPr="00634704" w:rsidP="00A1092A" w14:paraId="79BAB8C5" w14:textId="52F9AFBA">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Roseman, M. G., Joung, H. W., &amp; Littlejohn, E. I. (2017). Attitude and Behavior Factors Associated with Front-of-Package Label Use with Label Users Making Accurate Product Nutrition Assessments. </w:t>
      </w:r>
      <w:r w:rsidRPr="00634704" w:rsidR="004676BD">
        <w:rPr>
          <w:rFonts w:asciiTheme="minorHAnsi" w:hAnsiTheme="minorHAnsi" w:cstheme="minorHAnsi"/>
          <w:i/>
          <w:iCs/>
          <w:color w:val="212121"/>
          <w:shd w:val="clear" w:color="auto" w:fill="FFFFFF"/>
        </w:rPr>
        <w:t>Journal of the Academy of Nutrition and Dietetics</w:t>
      </w:r>
      <w:r w:rsidRPr="00634704" w:rsidR="004676BD">
        <w:rPr>
          <w:rFonts w:asciiTheme="minorHAnsi" w:hAnsiTheme="minorHAnsi" w:cstheme="minorHAnsi"/>
          <w:color w:val="212121"/>
          <w:shd w:val="clear" w:color="auto" w:fill="FFFFFF"/>
        </w:rPr>
        <w:t>, </w:t>
      </w:r>
      <w:r w:rsidRPr="00634704" w:rsidR="004676BD">
        <w:rPr>
          <w:rFonts w:asciiTheme="minorHAnsi" w:hAnsiTheme="minorHAnsi" w:cstheme="minorHAnsi"/>
          <w:i/>
          <w:iCs/>
          <w:color w:val="212121"/>
          <w:shd w:val="clear" w:color="auto" w:fill="FFFFFF"/>
        </w:rPr>
        <w:t>118</w:t>
      </w:r>
      <w:r w:rsidRPr="00634704" w:rsidR="004676BD">
        <w:rPr>
          <w:rFonts w:asciiTheme="minorHAnsi" w:hAnsiTheme="minorHAnsi" w:cstheme="minorHAnsi"/>
          <w:color w:val="212121"/>
          <w:shd w:val="clear" w:color="auto" w:fill="FFFFFF"/>
        </w:rPr>
        <w:t xml:space="preserve">(5), 904–912. </w:t>
      </w:r>
    </w:p>
    <w:p w:rsidR="00A1092A" w:rsidRPr="00634704" w:rsidP="00484785" w14:paraId="7FBF6FE7" w14:textId="2EE5E6B8">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doi:10.1016/j.jand.2017.09.006</w:t>
      </w:r>
    </w:p>
    <w:p w:rsidR="00D23991" w:rsidRPr="00634704" w:rsidP="00A1092A" w14:paraId="6977A7F6" w14:textId="77777777">
      <w:pPr>
        <w:pStyle w:val="EndNoteBibliography"/>
        <w:spacing w:after="0"/>
        <w:ind w:left="720" w:hanging="720"/>
        <w:rPr>
          <w:rFonts w:asciiTheme="minorHAnsi" w:hAnsiTheme="minorHAnsi" w:cstheme="minorHAnsi"/>
        </w:rPr>
      </w:pPr>
    </w:p>
    <w:p w:rsidR="00F20321" w:rsidRPr="00634704" w:rsidP="00A1092A" w14:paraId="0060D2B8"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Rønnow, H. </w:t>
      </w:r>
      <w:r w:rsidRPr="00634704" w:rsidR="001341D4">
        <w:rPr>
          <w:rFonts w:asciiTheme="minorHAnsi" w:hAnsiTheme="minorHAnsi" w:cstheme="minorHAnsi"/>
        </w:rPr>
        <w:t xml:space="preserve">(2020). The Effect of Front-of-Pack Nutritional Labels and Back-of-Pack Tables on Dietary Quality. </w:t>
      </w:r>
      <w:r w:rsidRPr="00634704" w:rsidR="00513678">
        <w:rPr>
          <w:rFonts w:asciiTheme="minorHAnsi" w:hAnsiTheme="minorHAnsi" w:cstheme="minorHAnsi"/>
          <w:i/>
        </w:rPr>
        <w:t>Nutrients</w:t>
      </w:r>
      <w:r w:rsidRPr="00634704" w:rsidR="00513678">
        <w:rPr>
          <w:rFonts w:asciiTheme="minorHAnsi" w:hAnsiTheme="minorHAnsi" w:cstheme="minorHAnsi"/>
        </w:rPr>
        <w:t xml:space="preserve">, 12, 1704. </w:t>
      </w:r>
    </w:p>
    <w:p w:rsidR="00D23991" w:rsidRPr="00634704" w:rsidP="00484785" w14:paraId="1F906EA1" w14:textId="13438D48">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513678">
        <w:rPr>
          <w:rFonts w:asciiTheme="minorHAnsi" w:hAnsiTheme="minorHAnsi" w:cstheme="minorHAnsi"/>
        </w:rPr>
        <w:t>doi:10.3390/nu12061704</w:t>
      </w:r>
    </w:p>
    <w:p w:rsidR="002D4DAC" w:rsidRPr="00634704" w:rsidP="007347C0" w14:paraId="768E5C65" w14:textId="77777777">
      <w:pPr>
        <w:autoSpaceDE w:val="0"/>
        <w:autoSpaceDN w:val="0"/>
        <w:adjustRightInd w:val="0"/>
        <w:spacing w:after="0" w:line="240" w:lineRule="auto"/>
        <w:ind w:left="720" w:hanging="720"/>
        <w:rPr>
          <w:rFonts w:cstheme="minorHAnsi"/>
          <w:highlight w:val="yellow"/>
        </w:rPr>
      </w:pPr>
    </w:p>
    <w:p w:rsidR="00F20321" w:rsidRPr="00634704" w:rsidP="006765FF" w14:paraId="4ABDB060" w14:textId="77777777">
      <w:pPr>
        <w:autoSpaceDE w:val="0"/>
        <w:autoSpaceDN w:val="0"/>
        <w:adjustRightInd w:val="0"/>
        <w:spacing w:after="0" w:line="240" w:lineRule="auto"/>
        <w:ind w:left="720" w:hanging="720"/>
        <w:rPr>
          <w:rFonts w:cstheme="minorHAnsi"/>
        </w:rPr>
      </w:pPr>
      <w:r w:rsidRPr="00634704">
        <w:rPr>
          <w:rFonts w:cstheme="minorHAnsi"/>
        </w:rPr>
        <w:t xml:space="preserve">Roudsari, A. H., Pouri Hosseini, S. F. A., Bonab, A. M., Zahedi-rad, M., Nasrabadi, F. M., &amp; Zargaraan, A. (2021). Consumers' perception of nutritional facts table and nutritional traffic light in food products' labelling: A qualitative study [Article]. </w:t>
      </w:r>
      <w:r w:rsidRPr="00634704">
        <w:rPr>
          <w:rFonts w:cstheme="minorHAnsi"/>
          <w:i/>
        </w:rPr>
        <w:t>International Journal of Health Planning &amp; Management</w:t>
      </w:r>
      <w:r w:rsidRPr="00634704">
        <w:rPr>
          <w:rFonts w:cstheme="minorHAnsi"/>
        </w:rPr>
        <w:t>,</w:t>
      </w:r>
      <w:r w:rsidRPr="00634704">
        <w:rPr>
          <w:rFonts w:cstheme="minorHAnsi"/>
          <w:i/>
        </w:rPr>
        <w:t xml:space="preserve"> </w:t>
      </w:r>
      <w:r w:rsidRPr="005F07A2">
        <w:rPr>
          <w:rFonts w:cstheme="minorHAnsi"/>
        </w:rPr>
        <w:t>36(3</w:t>
      </w:r>
      <w:r w:rsidRPr="00634704">
        <w:rPr>
          <w:rFonts w:cstheme="minorHAnsi"/>
        </w:rPr>
        <w:t xml:space="preserve">), 628-642. </w:t>
      </w:r>
    </w:p>
    <w:p w:rsidR="006765FF" w:rsidRPr="00634704" w:rsidP="005F07A2" w14:paraId="02A9706D" w14:textId="39D5662D">
      <w:pPr>
        <w:autoSpaceDE w:val="0"/>
        <w:autoSpaceDN w:val="0"/>
        <w:adjustRightInd w:val="0"/>
        <w:spacing w:after="0" w:line="240" w:lineRule="auto"/>
        <w:ind w:left="720"/>
        <w:rPr>
          <w:rFonts w:cstheme="minorHAnsi"/>
        </w:rPr>
      </w:pPr>
      <w:r w:rsidRPr="00634704">
        <w:rPr>
          <w:rFonts w:cstheme="minorHAnsi"/>
        </w:rPr>
        <w:t xml:space="preserve">https://doi.org/10.1002/hpm.3105 </w:t>
      </w:r>
    </w:p>
    <w:p w:rsidR="006765FF" w:rsidRPr="00634704" w:rsidP="006765FF" w14:paraId="394AAB83" w14:textId="77777777">
      <w:pPr>
        <w:autoSpaceDE w:val="0"/>
        <w:autoSpaceDN w:val="0"/>
        <w:adjustRightInd w:val="0"/>
        <w:spacing w:after="0" w:line="240" w:lineRule="auto"/>
        <w:ind w:left="720" w:hanging="720"/>
        <w:rPr>
          <w:rFonts w:cstheme="minorHAnsi"/>
        </w:rPr>
      </w:pPr>
    </w:p>
    <w:p w:rsidR="006765FF" w:rsidRPr="00634704" w:rsidP="006765FF" w14:paraId="00A296FD" w14:textId="77777777">
      <w:pPr>
        <w:autoSpaceDE w:val="0"/>
        <w:autoSpaceDN w:val="0"/>
        <w:adjustRightInd w:val="0"/>
        <w:spacing w:after="0" w:line="240" w:lineRule="auto"/>
        <w:ind w:left="720" w:hanging="720"/>
        <w:rPr>
          <w:rFonts w:cstheme="minorHAnsi"/>
        </w:rPr>
      </w:pPr>
      <w:r w:rsidRPr="00634704">
        <w:rPr>
          <w:rFonts w:cstheme="minorHAnsi"/>
        </w:rPr>
        <w:t xml:space="preserve">Sagaceta-Mejía, J., Tolentino-Mayo, L., Cruz-Casarrubias, C., Nieto, C., &amp; Barquera, S. (2022). Understanding of front of package nutrition labels: Guideline daily amount and warning labels in Mexicans with non-communicable diseases. </w:t>
      </w:r>
      <w:r w:rsidRPr="00634704">
        <w:rPr>
          <w:rFonts w:cstheme="minorHAnsi"/>
          <w:i/>
        </w:rPr>
        <w:t>PLoS One</w:t>
      </w:r>
      <w:r w:rsidRPr="00634704">
        <w:rPr>
          <w:rFonts w:cstheme="minorHAnsi"/>
        </w:rPr>
        <w:t>,</w:t>
      </w:r>
      <w:r w:rsidRPr="00634704">
        <w:rPr>
          <w:rFonts w:cstheme="minorHAnsi"/>
          <w:i/>
        </w:rPr>
        <w:t xml:space="preserve"> </w:t>
      </w:r>
      <w:r w:rsidRPr="005F07A2">
        <w:rPr>
          <w:rFonts w:cstheme="minorHAnsi"/>
        </w:rPr>
        <w:t>17(6),</w:t>
      </w:r>
      <w:r w:rsidRPr="00634704">
        <w:rPr>
          <w:rFonts w:cstheme="minorHAnsi"/>
        </w:rPr>
        <w:t xml:space="preserve"> e0269892. https://doi.org/10.1371/journal.pone.0269892 </w:t>
      </w:r>
    </w:p>
    <w:p w:rsidR="00A1092A" w:rsidRPr="00634704" w:rsidP="00A1092A" w14:paraId="6E34F218" w14:textId="77777777">
      <w:pPr>
        <w:pStyle w:val="EndNoteBibliography"/>
        <w:spacing w:after="0"/>
        <w:ind w:left="720" w:hanging="720"/>
        <w:rPr>
          <w:rFonts w:asciiTheme="minorHAnsi" w:hAnsiTheme="minorHAnsi" w:cstheme="minorHAnsi"/>
        </w:rPr>
      </w:pPr>
    </w:p>
    <w:p w:rsidR="00F20321" w:rsidRPr="00634704" w:rsidP="00A1092A" w14:paraId="46B1B415" w14:textId="147D345D">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Salazar, N., Fiszman, S., Orrego, C., &amp; Tarrega, A. </w:t>
      </w:r>
      <w:r w:rsidRPr="00634704" w:rsidR="006D27AD">
        <w:rPr>
          <w:rFonts w:asciiTheme="minorHAnsi" w:hAnsiTheme="minorHAnsi" w:cstheme="minorHAnsi"/>
        </w:rPr>
        <w:t>(2019). Evaluation of Some Ingredients and Energy Content on Front-of-Pack Cereal Bar Labeling as Drivers of Choice and Perception of Healthiness: A Case Study with Exercisers. Journal of Food Science, 84(8)</w:t>
      </w:r>
      <w:r w:rsidRPr="00634704" w:rsidR="006F5433">
        <w:rPr>
          <w:rFonts w:asciiTheme="minorHAnsi" w:hAnsiTheme="minorHAnsi" w:cstheme="minorHAnsi"/>
        </w:rPr>
        <w:t xml:space="preserve">, </w:t>
      </w:r>
      <w:r w:rsidRPr="00634704" w:rsidR="006F5433">
        <w:rPr>
          <w:rFonts w:asciiTheme="minorHAnsi" w:hAnsiTheme="minorHAnsi" w:cstheme="minorHAnsi"/>
          <w:color w:val="212121"/>
          <w:shd w:val="clear" w:color="auto" w:fill="FFFFFF"/>
        </w:rPr>
        <w:t>2269–2277</w:t>
      </w:r>
      <w:r w:rsidRPr="00634704" w:rsidR="006D27AD">
        <w:rPr>
          <w:rFonts w:asciiTheme="minorHAnsi" w:hAnsiTheme="minorHAnsi" w:cstheme="minorHAnsi"/>
        </w:rPr>
        <w:t>.</w:t>
      </w:r>
      <w:r w:rsidRPr="00634704" w:rsidR="00056308">
        <w:rPr>
          <w:rFonts w:asciiTheme="minorHAnsi" w:hAnsiTheme="minorHAnsi" w:cstheme="minorHAnsi"/>
        </w:rPr>
        <w:t xml:space="preserve"> </w:t>
      </w:r>
    </w:p>
    <w:p w:rsidR="005770BB" w:rsidRPr="00634704" w:rsidP="005F07A2" w14:paraId="3CFA729C" w14:textId="224E85FD">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056308">
        <w:rPr>
          <w:rFonts w:asciiTheme="minorHAnsi" w:hAnsiTheme="minorHAnsi" w:cstheme="minorHAnsi"/>
        </w:rPr>
        <w:t>doi:10.1111/1750-3841.14726</w:t>
      </w:r>
    </w:p>
    <w:p w:rsidR="005770BB" w:rsidRPr="00634704" w:rsidP="00A1092A" w14:paraId="2E7C12B3" w14:textId="77777777">
      <w:pPr>
        <w:pStyle w:val="EndNoteBibliography"/>
        <w:spacing w:after="0"/>
        <w:ind w:left="720" w:hanging="720"/>
        <w:rPr>
          <w:rFonts w:asciiTheme="minorHAnsi" w:hAnsiTheme="minorHAnsi" w:cstheme="minorHAnsi"/>
        </w:rPr>
      </w:pPr>
    </w:p>
    <w:p w:rsidR="00A1092A" w:rsidRPr="00634704" w:rsidP="00A1092A" w14:paraId="00386242" w14:textId="6357853A">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Sanjari, S., Jahn, S., &amp; Boztug, Y. (2017). Choosing Fast and Slow: Processing Mode and Consumer Response to </w:t>
      </w:r>
      <w:r w:rsidRPr="00634704" w:rsidR="00F638F1">
        <w:rPr>
          <w:rFonts w:asciiTheme="minorHAnsi" w:hAnsiTheme="minorHAnsi" w:cstheme="minorHAnsi"/>
        </w:rPr>
        <w:t>FOP</w:t>
      </w:r>
      <w:r w:rsidRPr="00634704">
        <w:rPr>
          <w:rFonts w:asciiTheme="minorHAnsi" w:hAnsiTheme="minorHAnsi" w:cstheme="minorHAnsi"/>
        </w:rPr>
        <w:t xml:space="preserve"> Nutrition Label Formats. </w:t>
      </w:r>
      <w:r w:rsidRPr="00634704">
        <w:rPr>
          <w:rFonts w:asciiTheme="minorHAnsi" w:hAnsiTheme="minorHAnsi" w:cstheme="minorHAnsi"/>
          <w:i/>
        </w:rPr>
        <w:t>AMA Winter Educators' Conference Proceedings, 28</w:t>
      </w:r>
      <w:r w:rsidRPr="00634704">
        <w:rPr>
          <w:rFonts w:asciiTheme="minorHAnsi" w:hAnsiTheme="minorHAnsi" w:cstheme="minorHAnsi"/>
        </w:rPr>
        <w:t xml:space="preserve">, A-18-A-19. </w:t>
      </w:r>
    </w:p>
    <w:p w:rsidR="00A1092A" w:rsidRPr="00634704" w:rsidP="00A1092A" w14:paraId="0E1E21DF" w14:textId="77777777">
      <w:pPr>
        <w:pStyle w:val="EndNoteBibliography"/>
        <w:spacing w:after="0"/>
        <w:ind w:left="720" w:hanging="720"/>
        <w:rPr>
          <w:rFonts w:asciiTheme="minorHAnsi" w:hAnsiTheme="minorHAnsi" w:cstheme="minorHAnsi"/>
        </w:rPr>
      </w:pPr>
    </w:p>
    <w:p w:rsidR="0027458A" w:rsidRPr="00634704" w:rsidP="00A1092A" w14:paraId="586B1F4E"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Sanjari, S. S., Jahn, S., &amp; Boztug, Y. (2017). Dual-process theory and consumer response to front-of-package nutrition label formats. </w:t>
      </w:r>
      <w:r w:rsidRPr="00634704">
        <w:rPr>
          <w:rFonts w:asciiTheme="minorHAnsi" w:hAnsiTheme="minorHAnsi" w:cstheme="minorHAnsi"/>
          <w:i/>
        </w:rPr>
        <w:t>Nutr</w:t>
      </w:r>
      <w:r w:rsidRPr="00634704">
        <w:rPr>
          <w:rFonts w:asciiTheme="minorHAnsi" w:hAnsiTheme="minorHAnsi" w:cstheme="minorHAnsi"/>
          <w:i/>
        </w:rPr>
        <w:t>ition</w:t>
      </w:r>
      <w:r w:rsidRPr="00634704">
        <w:rPr>
          <w:rFonts w:asciiTheme="minorHAnsi" w:hAnsiTheme="minorHAnsi" w:cstheme="minorHAnsi"/>
          <w:i/>
        </w:rPr>
        <w:t xml:space="preserve"> Rev</w:t>
      </w:r>
      <w:r w:rsidRPr="00634704">
        <w:rPr>
          <w:rFonts w:asciiTheme="minorHAnsi" w:hAnsiTheme="minorHAnsi" w:cstheme="minorHAnsi"/>
          <w:i/>
        </w:rPr>
        <w:t>iew</w:t>
      </w:r>
      <w:r w:rsidRPr="00634704">
        <w:rPr>
          <w:rFonts w:asciiTheme="minorHAnsi" w:hAnsiTheme="minorHAnsi" w:cstheme="minorHAnsi"/>
          <w:i/>
        </w:rPr>
        <w:t>, 75</w:t>
      </w:r>
      <w:r w:rsidRPr="00634704">
        <w:rPr>
          <w:rFonts w:asciiTheme="minorHAnsi" w:hAnsiTheme="minorHAnsi" w:cstheme="minorHAnsi"/>
        </w:rPr>
        <w:t xml:space="preserve">(11), 871-882. </w:t>
      </w:r>
    </w:p>
    <w:p w:rsidR="00A1092A" w:rsidRPr="00634704" w:rsidP="005F07A2" w14:paraId="35061BB7" w14:textId="4CA700BE">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doi:10.1093/nutrit/nux043</w:t>
      </w:r>
    </w:p>
    <w:p w:rsidR="00D64AC8" w:rsidRPr="00634704" w:rsidP="00A1092A" w14:paraId="0E04E3F1" w14:textId="77777777">
      <w:pPr>
        <w:pStyle w:val="EndNoteBibliography"/>
        <w:spacing w:after="0"/>
        <w:ind w:left="720" w:hanging="720"/>
        <w:rPr>
          <w:rFonts w:asciiTheme="minorHAnsi" w:hAnsiTheme="minorHAnsi" w:cstheme="minorHAnsi"/>
        </w:rPr>
      </w:pPr>
    </w:p>
    <w:p w:rsidR="0027458A" w:rsidRPr="00634704" w:rsidP="00A1092A" w14:paraId="79D734C9" w14:textId="39770936">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Santos, O., Alarcao, V., Feteira-Santos, R., </w:t>
      </w:r>
      <w:r w:rsidRPr="00634704" w:rsidR="002229A7">
        <w:rPr>
          <w:rFonts w:asciiTheme="minorHAnsi" w:hAnsiTheme="minorHAnsi" w:cstheme="minorHAnsi"/>
          <w:color w:val="212121"/>
          <w:shd w:val="clear" w:color="auto" w:fill="FFFFFF"/>
        </w:rPr>
        <w:t>Fernandes, J., Virgolino, A., Sena, C., Vieira, C. P., Gregório, M. J., Nogueira, P., Graça, P.,</w:t>
      </w:r>
      <w:r w:rsidRPr="00634704">
        <w:rPr>
          <w:rFonts w:asciiTheme="minorHAnsi" w:hAnsiTheme="minorHAnsi" w:cstheme="minorHAnsi"/>
          <w:color w:val="212121"/>
          <w:shd w:val="clear" w:color="auto" w:fill="FFFFFF"/>
        </w:rPr>
        <w:t xml:space="preserve"> </w:t>
      </w:r>
      <w:r w:rsidRPr="00634704" w:rsidR="0060418F">
        <w:rPr>
          <w:rFonts w:asciiTheme="minorHAnsi" w:hAnsiTheme="minorHAnsi" w:cstheme="minorHAnsi"/>
        </w:rPr>
        <w:t>&amp; Costa, A. (2020). Impact of different front-of-pack nutrition labels on online food choices</w:t>
      </w:r>
      <w:r w:rsidRPr="00634704" w:rsidR="002C75DC">
        <w:rPr>
          <w:rFonts w:asciiTheme="minorHAnsi" w:hAnsiTheme="minorHAnsi" w:cstheme="minorHAnsi"/>
        </w:rPr>
        <w:t xml:space="preserve">. </w:t>
      </w:r>
      <w:r w:rsidRPr="00634704" w:rsidR="002C75DC">
        <w:rPr>
          <w:rFonts w:asciiTheme="minorHAnsi" w:hAnsiTheme="minorHAnsi" w:cstheme="minorHAnsi"/>
          <w:i/>
        </w:rPr>
        <w:t>Appetite</w:t>
      </w:r>
      <w:r w:rsidRPr="00634704" w:rsidR="002C75DC">
        <w:rPr>
          <w:rFonts w:asciiTheme="minorHAnsi" w:hAnsiTheme="minorHAnsi" w:cstheme="minorHAnsi"/>
        </w:rPr>
        <w:t>, 154</w:t>
      </w:r>
      <w:r w:rsidRPr="00634704" w:rsidR="002229A7">
        <w:rPr>
          <w:rFonts w:asciiTheme="minorHAnsi" w:hAnsiTheme="minorHAnsi" w:cstheme="minorHAnsi"/>
        </w:rPr>
        <w:t xml:space="preserve">, </w:t>
      </w:r>
      <w:r w:rsidRPr="00634704" w:rsidR="002229A7">
        <w:rPr>
          <w:rFonts w:asciiTheme="minorHAnsi" w:hAnsiTheme="minorHAnsi" w:cstheme="minorHAnsi"/>
          <w:color w:val="212121"/>
          <w:shd w:val="clear" w:color="auto" w:fill="FFFFFF"/>
        </w:rPr>
        <w:t>104795</w:t>
      </w:r>
      <w:r w:rsidRPr="00634704" w:rsidR="002C75DC">
        <w:rPr>
          <w:rFonts w:asciiTheme="minorHAnsi" w:hAnsiTheme="minorHAnsi" w:cstheme="minorHAnsi"/>
        </w:rPr>
        <w:t xml:space="preserve">. </w:t>
      </w:r>
    </w:p>
    <w:p w:rsidR="00D64AC8" w:rsidRPr="00634704" w:rsidP="005F07A2" w14:paraId="0B3A1541" w14:textId="26A92F57">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573AEE">
        <w:rPr>
          <w:rFonts w:asciiTheme="minorHAnsi" w:hAnsiTheme="minorHAnsi" w:cstheme="minorHAnsi"/>
        </w:rPr>
        <w:t>doi:1016/j.appet.2020.104795</w:t>
      </w:r>
    </w:p>
    <w:p w:rsidR="00A1092A" w:rsidRPr="00634704" w:rsidP="00A1092A" w14:paraId="7DFC831A" w14:textId="77777777">
      <w:pPr>
        <w:pStyle w:val="EndNoteBibliography"/>
        <w:spacing w:after="0"/>
        <w:ind w:left="720" w:hanging="720"/>
        <w:rPr>
          <w:rFonts w:asciiTheme="minorHAnsi" w:hAnsiTheme="minorHAnsi" w:cstheme="minorHAnsi"/>
        </w:rPr>
      </w:pPr>
    </w:p>
    <w:p w:rsidR="00993118" w:rsidRPr="00634704" w:rsidP="00A1092A" w14:paraId="50D8F9B7" w14:textId="4389E476">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Sarda, B., Julia, C., Serry, A., </w:t>
      </w:r>
      <w:r w:rsidRPr="00634704" w:rsidR="003F2F5B">
        <w:rPr>
          <w:rFonts w:asciiTheme="minorHAnsi" w:hAnsiTheme="minorHAnsi" w:cstheme="minorHAnsi"/>
        </w:rPr>
        <w:t xml:space="preserve">&amp; </w:t>
      </w:r>
      <w:r w:rsidRPr="00634704">
        <w:rPr>
          <w:rFonts w:asciiTheme="minorHAnsi" w:hAnsiTheme="minorHAnsi" w:cstheme="minorHAnsi"/>
        </w:rPr>
        <w:t>Ducrot, P.</w:t>
      </w:r>
      <w:r w:rsidRPr="00634704" w:rsidR="003F2F5B">
        <w:rPr>
          <w:rFonts w:asciiTheme="minorHAnsi" w:hAnsiTheme="minorHAnsi" w:cstheme="minorHAnsi"/>
        </w:rPr>
        <w:t xml:space="preserve"> (2020). Appropriation of the Front-of-Pack Nutrition Label </w:t>
      </w:r>
      <w:r w:rsidRPr="00634704" w:rsidR="004B6E26">
        <w:rPr>
          <w:rFonts w:asciiTheme="minorHAnsi" w:hAnsiTheme="minorHAnsi" w:cstheme="minorHAnsi"/>
        </w:rPr>
        <w:t>Nutri-Score</w:t>
      </w:r>
      <w:r w:rsidRPr="00634704" w:rsidR="003F2F5B">
        <w:rPr>
          <w:rFonts w:asciiTheme="minorHAnsi" w:hAnsiTheme="minorHAnsi" w:cstheme="minorHAnsi"/>
        </w:rPr>
        <w:t xml:space="preserve"> across the French Population: Evolution of Awareness, Support and Purchasing Behaviors between 2018 and 2019. </w:t>
      </w:r>
      <w:r w:rsidRPr="00634704" w:rsidR="003F2F5B">
        <w:rPr>
          <w:rFonts w:asciiTheme="minorHAnsi" w:hAnsiTheme="minorHAnsi" w:cstheme="minorHAnsi"/>
          <w:i/>
        </w:rPr>
        <w:t>Nutrients</w:t>
      </w:r>
      <w:r w:rsidRPr="00634704" w:rsidR="00803509">
        <w:rPr>
          <w:rFonts w:asciiTheme="minorHAnsi" w:hAnsiTheme="minorHAnsi" w:cstheme="minorHAnsi"/>
        </w:rPr>
        <w:t>, 12</w:t>
      </w:r>
      <w:r w:rsidRPr="00634704" w:rsidR="00F873D9">
        <w:rPr>
          <w:rFonts w:asciiTheme="minorHAnsi" w:hAnsiTheme="minorHAnsi" w:cstheme="minorHAnsi"/>
          <w:color w:val="212121"/>
          <w:shd w:val="clear" w:color="auto" w:fill="FFFFFF"/>
        </w:rPr>
        <w:t>(9), 2887</w:t>
      </w:r>
      <w:r w:rsidRPr="00634704" w:rsidR="00803509">
        <w:rPr>
          <w:rFonts w:asciiTheme="minorHAnsi" w:hAnsiTheme="minorHAnsi" w:cstheme="minorHAnsi"/>
        </w:rPr>
        <w:t xml:space="preserve">. </w:t>
      </w:r>
    </w:p>
    <w:p w:rsidR="002F74F5" w:rsidRPr="00634704" w:rsidP="005F07A2" w14:paraId="5E6FD632" w14:textId="176EAED8">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803509">
        <w:rPr>
          <w:rFonts w:asciiTheme="minorHAnsi" w:hAnsiTheme="minorHAnsi" w:cstheme="minorHAnsi"/>
        </w:rPr>
        <w:t>doi: 10.3390/nu12092887</w:t>
      </w:r>
    </w:p>
    <w:p w:rsidR="008645A6" w:rsidRPr="00634704" w:rsidP="00A1092A" w14:paraId="1CDDA06A" w14:textId="77777777">
      <w:pPr>
        <w:pStyle w:val="EndNoteBibliography"/>
        <w:spacing w:after="0"/>
        <w:ind w:left="720" w:hanging="720"/>
        <w:rPr>
          <w:rFonts w:asciiTheme="minorHAnsi" w:hAnsiTheme="minorHAnsi" w:cstheme="minorHAnsi"/>
        </w:rPr>
      </w:pPr>
    </w:p>
    <w:p w:rsidR="00F873D9" w:rsidRPr="00634704" w:rsidP="006765FF" w14:paraId="4517FA06" w14:textId="16F5489A">
      <w:pPr>
        <w:autoSpaceDE w:val="0"/>
        <w:autoSpaceDN w:val="0"/>
        <w:adjustRightInd w:val="0"/>
        <w:spacing w:after="0" w:line="240" w:lineRule="auto"/>
        <w:ind w:left="720" w:hanging="720"/>
        <w:rPr>
          <w:rFonts w:cstheme="minorHAnsi"/>
        </w:rPr>
      </w:pPr>
      <w:r w:rsidRPr="00634704">
        <w:rPr>
          <w:rFonts w:cstheme="minorHAnsi"/>
        </w:rPr>
        <w:t xml:space="preserve">Scapin, T., Fernandes, A. C., Curioni, C. C., Pettigrew, S., Neal, B., Coyle, D. H., Rodrigues, V. M., Bernardo, G. L., Uggioni, P. L., &amp; Proença, R. P. C. (2021). Influence of sugar label formats on consumer understanding and amount of sugar in food choices: a systematic review and meta-analyses. </w:t>
      </w:r>
      <w:r w:rsidRPr="00634704">
        <w:rPr>
          <w:rFonts w:cstheme="minorHAnsi"/>
          <w:i/>
          <w:iCs/>
        </w:rPr>
        <w:t>Nutr</w:t>
      </w:r>
      <w:r w:rsidRPr="00634704">
        <w:rPr>
          <w:rFonts w:cstheme="minorHAnsi"/>
          <w:i/>
          <w:iCs/>
        </w:rPr>
        <w:t>ition</w:t>
      </w:r>
      <w:r w:rsidRPr="00634704">
        <w:rPr>
          <w:rFonts w:cstheme="minorHAnsi"/>
          <w:i/>
          <w:iCs/>
        </w:rPr>
        <w:t xml:space="preserve"> Rev</w:t>
      </w:r>
      <w:r w:rsidRPr="00634704">
        <w:rPr>
          <w:rFonts w:cstheme="minorHAnsi"/>
          <w:i/>
          <w:iCs/>
        </w:rPr>
        <w:t>iew</w:t>
      </w:r>
      <w:r w:rsidRPr="00634704">
        <w:rPr>
          <w:rFonts w:cstheme="minorHAnsi"/>
        </w:rPr>
        <w:t>,</w:t>
      </w:r>
      <w:r w:rsidRPr="00634704">
        <w:rPr>
          <w:rFonts w:cstheme="minorHAnsi"/>
          <w:i/>
        </w:rPr>
        <w:t xml:space="preserve"> </w:t>
      </w:r>
      <w:r w:rsidRPr="005F07A2">
        <w:rPr>
          <w:rFonts w:cstheme="minorHAnsi"/>
        </w:rPr>
        <w:t>79(7),</w:t>
      </w:r>
      <w:r w:rsidRPr="00634704">
        <w:rPr>
          <w:rFonts w:cstheme="minorHAnsi"/>
        </w:rPr>
        <w:t xml:space="preserve"> 788-801. </w:t>
      </w:r>
    </w:p>
    <w:p w:rsidR="006765FF" w:rsidRPr="00634704" w:rsidP="00F873D9" w14:paraId="3B9EC1E9" w14:textId="394FCA7D">
      <w:pPr>
        <w:autoSpaceDE w:val="0"/>
        <w:autoSpaceDN w:val="0"/>
        <w:adjustRightInd w:val="0"/>
        <w:spacing w:after="0" w:line="240" w:lineRule="auto"/>
        <w:ind w:left="720"/>
        <w:rPr>
          <w:rFonts w:cstheme="minorHAnsi"/>
        </w:rPr>
      </w:pPr>
      <w:r w:rsidRPr="00634704">
        <w:rPr>
          <w:rFonts w:cstheme="minorHAnsi"/>
        </w:rPr>
        <w:t xml:space="preserve">https://doi.org/10.1093/nutrit/nuaa108 </w:t>
      </w:r>
    </w:p>
    <w:p w:rsidR="002D4DAC" w:rsidRPr="00634704" w:rsidP="00A1092A" w14:paraId="75883C58" w14:textId="77777777">
      <w:pPr>
        <w:pStyle w:val="EndNoteBibliography"/>
        <w:spacing w:after="0"/>
        <w:ind w:left="720" w:hanging="720"/>
        <w:rPr>
          <w:rFonts w:asciiTheme="minorHAnsi" w:hAnsiTheme="minorHAnsi" w:cstheme="minorHAnsi"/>
        </w:rPr>
      </w:pPr>
    </w:p>
    <w:p w:rsidR="00D2273B" w:rsidRPr="00634704" w:rsidP="00A1092A" w14:paraId="0F3743FF" w14:textId="23AA6BEA">
      <w:pPr>
        <w:pStyle w:val="EndNoteBibliography"/>
        <w:spacing w:after="0"/>
        <w:ind w:left="720" w:hanging="720"/>
        <w:rPr>
          <w:rFonts w:asciiTheme="minorHAnsi" w:hAnsiTheme="minorHAnsi" w:cstheme="minorHAnsi"/>
        </w:rPr>
      </w:pPr>
      <w:r w:rsidRPr="00634704">
        <w:rPr>
          <w:rFonts w:asciiTheme="minorHAnsi" w:hAnsiTheme="minorHAnsi" w:cstheme="minorHAnsi"/>
        </w:rPr>
        <w:t>Schneider, G., &amp; Ghosh, A. (</w:t>
      </w:r>
      <w:r w:rsidRPr="00634704" w:rsidR="00930E4D">
        <w:rPr>
          <w:rFonts w:asciiTheme="minorHAnsi" w:hAnsiTheme="minorHAnsi" w:cstheme="minorHAnsi"/>
        </w:rPr>
        <w:t xml:space="preserve">2019). Should We Trust Front-of-Package Labels? How Food and Brand Categorization Influence Healthiness Perception and Preference. </w:t>
      </w:r>
      <w:r w:rsidRPr="00634704" w:rsidR="00C61B32">
        <w:rPr>
          <w:rFonts w:asciiTheme="minorHAnsi" w:hAnsiTheme="minorHAnsi" w:cstheme="minorHAnsi"/>
          <w:i/>
        </w:rPr>
        <w:t>The Association for Consumer Research</w:t>
      </w:r>
      <w:r w:rsidRPr="00634704" w:rsidR="00B14A0E">
        <w:rPr>
          <w:rFonts w:asciiTheme="minorHAnsi" w:hAnsiTheme="minorHAnsi" w:cstheme="minorHAnsi"/>
        </w:rPr>
        <w:t>, 5(2)</w:t>
      </w:r>
      <w:r w:rsidRPr="00634704" w:rsidR="007A61DC">
        <w:rPr>
          <w:rFonts w:asciiTheme="minorHAnsi" w:hAnsiTheme="minorHAnsi" w:cstheme="minorHAnsi"/>
        </w:rPr>
        <w:t xml:space="preserve">, </w:t>
      </w:r>
      <w:r w:rsidRPr="00634704" w:rsidR="007A61DC">
        <w:rPr>
          <w:rFonts w:asciiTheme="minorHAnsi" w:hAnsiTheme="minorHAnsi" w:cstheme="minorHAnsi"/>
          <w:color w:val="000000"/>
          <w:shd w:val="clear" w:color="auto" w:fill="FFFFFF"/>
        </w:rPr>
        <w:t>149-161</w:t>
      </w:r>
      <w:r w:rsidRPr="00634704" w:rsidR="00C61B32">
        <w:rPr>
          <w:rFonts w:asciiTheme="minorHAnsi" w:hAnsiTheme="minorHAnsi" w:cstheme="minorHAnsi"/>
        </w:rPr>
        <w:t xml:space="preserve">. </w:t>
      </w:r>
    </w:p>
    <w:p w:rsidR="008645A6" w:rsidRPr="00634704" w:rsidP="005F07A2" w14:paraId="5FE8C746" w14:textId="4EE72150">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C61B32">
        <w:rPr>
          <w:rFonts w:asciiTheme="minorHAnsi" w:hAnsiTheme="minorHAnsi" w:cstheme="minorHAnsi"/>
        </w:rPr>
        <w:t>doi: 10.1086/707929</w:t>
      </w:r>
    </w:p>
    <w:p w:rsidR="004D6D96" w:rsidRPr="00634704" w:rsidP="00A1092A" w14:paraId="617EB558" w14:textId="77777777">
      <w:pPr>
        <w:pStyle w:val="EndNoteBibliography"/>
        <w:spacing w:after="0"/>
        <w:ind w:left="720" w:hanging="720"/>
        <w:rPr>
          <w:rFonts w:asciiTheme="minorHAnsi" w:hAnsiTheme="minorHAnsi" w:cstheme="minorHAnsi"/>
        </w:rPr>
      </w:pPr>
    </w:p>
    <w:p w:rsidR="006765FF" w:rsidRPr="00634704" w:rsidP="006765FF" w14:paraId="4C53B714" w14:textId="1C0E6420">
      <w:pPr>
        <w:autoSpaceDE w:val="0"/>
        <w:autoSpaceDN w:val="0"/>
        <w:adjustRightInd w:val="0"/>
        <w:spacing w:after="0" w:line="240" w:lineRule="auto"/>
        <w:ind w:left="720" w:hanging="720"/>
        <w:rPr>
          <w:rFonts w:cstheme="minorHAnsi"/>
        </w:rPr>
      </w:pPr>
      <w:r w:rsidRPr="00634704">
        <w:rPr>
          <w:rFonts w:cstheme="minorHAnsi"/>
        </w:rPr>
        <w:t xml:space="preserve">Septia Irawan, A., Shahin, B., Wangeshi Njuguna, D., Nellamkuzhi, N. J., Thiện, B. Q., Mahrouseh, N., &amp; Varga, O. (2022). Analysis of Content, Social Networks, and Sentiment of Front-of-Pack Nutrition Labeling in the European Union on Twitter. </w:t>
      </w:r>
      <w:r w:rsidRPr="00634704" w:rsidR="00A47489">
        <w:rPr>
          <w:rFonts w:cstheme="minorHAnsi"/>
          <w:i/>
          <w:iCs/>
          <w:color w:val="212121"/>
          <w:shd w:val="clear" w:color="auto" w:fill="FFFFFF"/>
        </w:rPr>
        <w:t>Frontiers in nutrition</w:t>
      </w:r>
      <w:r w:rsidRPr="00634704">
        <w:rPr>
          <w:rFonts w:cstheme="minorHAnsi"/>
        </w:rPr>
        <w:t>,</w:t>
      </w:r>
      <w:r w:rsidRPr="00634704">
        <w:rPr>
          <w:rFonts w:cstheme="minorHAnsi"/>
          <w:i/>
          <w:iCs/>
        </w:rPr>
        <w:t xml:space="preserve"> 9</w:t>
      </w:r>
      <w:r w:rsidRPr="00634704">
        <w:rPr>
          <w:rFonts w:cstheme="minorHAnsi"/>
        </w:rPr>
        <w:t xml:space="preserve">, 846730. https://doi.org/10.3389/fnut.2022.846730 </w:t>
      </w:r>
    </w:p>
    <w:p w:rsidR="002D4DAC" w:rsidRPr="00634704" w:rsidP="007347C0" w14:paraId="013DD5B7" w14:textId="77777777">
      <w:pPr>
        <w:autoSpaceDE w:val="0"/>
        <w:autoSpaceDN w:val="0"/>
        <w:adjustRightInd w:val="0"/>
        <w:spacing w:after="0" w:line="240" w:lineRule="auto"/>
        <w:ind w:left="720" w:hanging="720"/>
        <w:rPr>
          <w:rFonts w:cstheme="minorHAnsi"/>
        </w:rPr>
      </w:pPr>
    </w:p>
    <w:p w:rsidR="006765FF" w:rsidRPr="00634704" w:rsidP="006765FF" w14:paraId="03988E09" w14:textId="46947736">
      <w:pPr>
        <w:autoSpaceDE w:val="0"/>
        <w:autoSpaceDN w:val="0"/>
        <w:adjustRightInd w:val="0"/>
        <w:spacing w:after="0" w:line="240" w:lineRule="auto"/>
        <w:ind w:left="720" w:hanging="720"/>
        <w:rPr>
          <w:rFonts w:cstheme="minorHAnsi"/>
        </w:rPr>
      </w:pPr>
      <w:r w:rsidRPr="00634704">
        <w:rPr>
          <w:rFonts w:cstheme="minorHAnsi"/>
        </w:rPr>
        <w:t xml:space="preserve">Shahrabani, S. (2021). The impact of Israel's Front-of-Package labeling reform on consumers' behavior and intentions to change dietary habits. </w:t>
      </w:r>
      <w:r w:rsidRPr="00634704" w:rsidR="005F07A2">
        <w:rPr>
          <w:rFonts w:cstheme="minorHAnsi"/>
          <w:i/>
          <w:iCs/>
        </w:rPr>
        <w:t>Israel</w:t>
      </w:r>
      <w:r w:rsidRPr="00634704" w:rsidR="009804AB">
        <w:rPr>
          <w:rFonts w:cstheme="minorHAnsi"/>
          <w:i/>
          <w:iCs/>
        </w:rPr>
        <w:t xml:space="preserve"> </w:t>
      </w:r>
      <w:r w:rsidRPr="00634704">
        <w:rPr>
          <w:rFonts w:cstheme="minorHAnsi"/>
          <w:i/>
          <w:iCs/>
        </w:rPr>
        <w:t>J</w:t>
      </w:r>
      <w:r w:rsidRPr="00634704" w:rsidR="009804AB">
        <w:rPr>
          <w:rFonts w:cstheme="minorHAnsi"/>
          <w:i/>
          <w:iCs/>
        </w:rPr>
        <w:t>ournal of</w:t>
      </w:r>
      <w:r w:rsidRPr="00634704">
        <w:rPr>
          <w:rFonts w:cstheme="minorHAnsi"/>
          <w:i/>
        </w:rPr>
        <w:t xml:space="preserve"> Health Policy </w:t>
      </w:r>
      <w:r w:rsidRPr="00634704">
        <w:rPr>
          <w:rFonts w:cstheme="minorHAnsi"/>
          <w:i/>
          <w:iCs/>
        </w:rPr>
        <w:t>Res</w:t>
      </w:r>
      <w:r w:rsidRPr="00634704" w:rsidR="009804AB">
        <w:rPr>
          <w:rFonts w:cstheme="minorHAnsi"/>
          <w:i/>
          <w:iCs/>
        </w:rPr>
        <w:t>earch</w:t>
      </w:r>
      <w:r w:rsidRPr="00634704">
        <w:rPr>
          <w:rFonts w:cstheme="minorHAnsi"/>
        </w:rPr>
        <w:t>,</w:t>
      </w:r>
      <w:r w:rsidRPr="00634704">
        <w:rPr>
          <w:rFonts w:cstheme="minorHAnsi"/>
          <w:i/>
        </w:rPr>
        <w:t xml:space="preserve"> 10</w:t>
      </w:r>
      <w:r w:rsidRPr="00634704">
        <w:rPr>
          <w:rFonts w:cstheme="minorHAnsi"/>
        </w:rPr>
        <w:t xml:space="preserve">(1), 44. https://doi.org/10.1186/s13584-021-00482-w </w:t>
      </w:r>
    </w:p>
    <w:p w:rsidR="006765FF" w:rsidRPr="00634704" w:rsidP="006765FF" w14:paraId="0E8D95DC" w14:textId="77777777">
      <w:pPr>
        <w:pStyle w:val="EndNoteBibliography"/>
        <w:spacing w:after="0"/>
        <w:ind w:left="720" w:hanging="720"/>
        <w:rPr>
          <w:rFonts w:asciiTheme="minorHAnsi" w:hAnsiTheme="minorHAnsi" w:cstheme="minorHAnsi"/>
        </w:rPr>
      </w:pPr>
    </w:p>
    <w:p w:rsidR="004D6D96" w:rsidRPr="00634704" w:rsidP="00A1092A" w14:paraId="7167F18E" w14:textId="10122564">
      <w:pPr>
        <w:pStyle w:val="EndNoteBibliography"/>
        <w:spacing w:after="0"/>
        <w:ind w:left="720" w:hanging="720"/>
        <w:rPr>
          <w:rFonts w:asciiTheme="minorHAnsi" w:hAnsiTheme="minorHAnsi" w:cstheme="minorHAnsi"/>
        </w:rPr>
      </w:pPr>
      <w:r w:rsidRPr="00634704">
        <w:rPr>
          <w:rFonts w:asciiTheme="minorHAnsi" w:hAnsiTheme="minorHAnsi" w:cstheme="minorHAnsi"/>
        </w:rPr>
        <w:t>Shin, S., van Dam, R., &amp; Finkelstein, E. (</w:t>
      </w:r>
      <w:r w:rsidRPr="00634704" w:rsidR="003551B3">
        <w:rPr>
          <w:rFonts w:asciiTheme="minorHAnsi" w:hAnsiTheme="minorHAnsi" w:cstheme="minorHAnsi"/>
        </w:rPr>
        <w:t>2020). The Effect of Dynamic Food Labels with Real-Time Feedback on Diet Quality: Results from a Randomized Controlled Trial.</w:t>
      </w:r>
      <w:r w:rsidRPr="00634704" w:rsidR="005B428F">
        <w:rPr>
          <w:rFonts w:asciiTheme="minorHAnsi" w:hAnsiTheme="minorHAnsi" w:cstheme="minorHAnsi"/>
        </w:rPr>
        <w:t xml:space="preserve"> </w:t>
      </w:r>
      <w:r w:rsidRPr="00634704" w:rsidR="005B428F">
        <w:rPr>
          <w:rFonts w:asciiTheme="minorHAnsi" w:hAnsiTheme="minorHAnsi" w:cstheme="minorHAnsi"/>
          <w:i/>
        </w:rPr>
        <w:t>Nutrients</w:t>
      </w:r>
      <w:r w:rsidRPr="00634704" w:rsidR="005B428F">
        <w:rPr>
          <w:rFonts w:asciiTheme="minorHAnsi" w:hAnsiTheme="minorHAnsi" w:cstheme="minorHAnsi"/>
        </w:rPr>
        <w:t>, 12, 2158</w:t>
      </w:r>
      <w:r w:rsidRPr="00634704" w:rsidR="00B854F6">
        <w:rPr>
          <w:rFonts w:asciiTheme="minorHAnsi" w:hAnsiTheme="minorHAnsi" w:cstheme="minorHAnsi"/>
        </w:rPr>
        <w:t>.</w:t>
      </w:r>
      <w:r w:rsidRPr="00634704" w:rsidR="005B428F">
        <w:rPr>
          <w:rFonts w:asciiTheme="minorHAnsi" w:hAnsiTheme="minorHAnsi" w:cstheme="minorHAnsi"/>
        </w:rPr>
        <w:t xml:space="preserve"> </w:t>
      </w:r>
      <w:r w:rsidRPr="00634704" w:rsidR="009C1E47">
        <w:rPr>
          <w:rFonts w:asciiTheme="minorHAnsi" w:hAnsiTheme="minorHAnsi" w:cstheme="minorHAnsi"/>
        </w:rPr>
        <w:t>https://</w:t>
      </w:r>
      <w:r w:rsidRPr="00634704" w:rsidR="005B428F">
        <w:rPr>
          <w:rFonts w:asciiTheme="minorHAnsi" w:hAnsiTheme="minorHAnsi" w:cstheme="minorHAnsi"/>
        </w:rPr>
        <w:t>doi:10.3390/nu12072158</w:t>
      </w:r>
    </w:p>
    <w:p w:rsidR="00F45F4E" w:rsidRPr="00634704" w:rsidP="00A1092A" w14:paraId="2ABC0090" w14:textId="77777777">
      <w:pPr>
        <w:pStyle w:val="EndNoteBibliography"/>
        <w:spacing w:after="0"/>
        <w:ind w:left="720" w:hanging="720"/>
        <w:rPr>
          <w:rFonts w:asciiTheme="minorHAnsi" w:hAnsiTheme="minorHAnsi" w:cstheme="minorHAnsi"/>
        </w:rPr>
      </w:pPr>
    </w:p>
    <w:p w:rsidR="002133CC" w:rsidRPr="00634704" w:rsidP="00A1092A" w14:paraId="5A47792E"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Siegrist, M., Hartmann, C., &amp; Lazzarini, G.</w:t>
      </w:r>
      <w:r w:rsidRPr="00634704" w:rsidR="00F274A8">
        <w:rPr>
          <w:rFonts w:asciiTheme="minorHAnsi" w:hAnsiTheme="minorHAnsi" w:cstheme="minorHAnsi"/>
        </w:rPr>
        <w:t xml:space="preserve"> (2019). Healthy choice label does not substantially improve consumers’ ability to select healthier cereals: results of an online experiment. </w:t>
      </w:r>
      <w:r w:rsidRPr="005F07A2" w:rsidR="00F274A8">
        <w:rPr>
          <w:rFonts w:asciiTheme="minorHAnsi" w:hAnsiTheme="minorHAnsi" w:cstheme="minorHAnsi"/>
          <w:i/>
        </w:rPr>
        <w:t>British Journal of</w:t>
      </w:r>
      <w:r w:rsidRPr="00634704" w:rsidR="00F274A8">
        <w:rPr>
          <w:rFonts w:asciiTheme="minorHAnsi" w:hAnsiTheme="minorHAnsi" w:cstheme="minorHAnsi"/>
        </w:rPr>
        <w:t xml:space="preserve"> </w:t>
      </w:r>
      <w:r w:rsidRPr="00634704" w:rsidR="00F274A8">
        <w:rPr>
          <w:rFonts w:asciiTheme="minorHAnsi" w:hAnsiTheme="minorHAnsi" w:cstheme="minorHAnsi"/>
          <w:i/>
        </w:rPr>
        <w:t>Nutrition</w:t>
      </w:r>
      <w:r w:rsidRPr="00634704" w:rsidR="00F274A8">
        <w:rPr>
          <w:rFonts w:asciiTheme="minorHAnsi" w:hAnsiTheme="minorHAnsi" w:cstheme="minorHAnsi"/>
        </w:rPr>
        <w:t xml:space="preserve">, 121, 1313–1320. </w:t>
      </w:r>
    </w:p>
    <w:p w:rsidR="00F45F4E" w:rsidRPr="00634704" w:rsidP="005F07A2" w14:paraId="6AFDB16D" w14:textId="5FA22A2B">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5264B5">
        <w:rPr>
          <w:rFonts w:asciiTheme="minorHAnsi" w:hAnsiTheme="minorHAnsi" w:cstheme="minorHAnsi"/>
        </w:rPr>
        <w:t>doi:10.1017/S0007114519000448</w:t>
      </w:r>
    </w:p>
    <w:p w:rsidR="00305D3C" w:rsidRPr="00634704" w:rsidP="00A1092A" w14:paraId="62E3E63E" w14:textId="77777777">
      <w:pPr>
        <w:pStyle w:val="EndNoteBibliography"/>
        <w:spacing w:after="0"/>
        <w:ind w:left="720" w:hanging="720"/>
        <w:rPr>
          <w:rFonts w:asciiTheme="minorHAnsi" w:hAnsiTheme="minorHAnsi" w:cstheme="minorHAnsi"/>
        </w:rPr>
      </w:pPr>
    </w:p>
    <w:p w:rsidR="006765FF" w:rsidRPr="00634704" w:rsidP="006765FF" w14:paraId="2C68FA5A" w14:textId="79C77525">
      <w:pPr>
        <w:autoSpaceDE w:val="0"/>
        <w:autoSpaceDN w:val="0"/>
        <w:adjustRightInd w:val="0"/>
        <w:spacing w:after="0" w:line="240" w:lineRule="auto"/>
        <w:ind w:left="720" w:hanging="720"/>
        <w:rPr>
          <w:rFonts w:cstheme="minorHAnsi"/>
        </w:rPr>
      </w:pPr>
      <w:r w:rsidRPr="00634704">
        <w:rPr>
          <w:rFonts w:cstheme="minorHAnsi"/>
        </w:rPr>
        <w:t xml:space="preserve">Silva, A. R. C. S., Mhurchu, C. N., &amp; Anastácio, L. R. (2022). Comparison of two front-of-pack nutrition labels for Brazilian consumers using a smartphone app in a real-world grocery store: A pilot randomized controlled study. </w:t>
      </w:r>
      <w:r w:rsidRPr="00634704">
        <w:rPr>
          <w:rFonts w:cstheme="minorHAnsi"/>
          <w:i/>
        </w:rPr>
        <w:t>Frontiers in Nutrition</w:t>
      </w:r>
      <w:r w:rsidRPr="00634704">
        <w:rPr>
          <w:rFonts w:cstheme="minorHAnsi"/>
        </w:rPr>
        <w:t>,</w:t>
      </w:r>
      <w:r w:rsidRPr="00634704">
        <w:rPr>
          <w:rFonts w:cstheme="minorHAnsi"/>
          <w:i/>
        </w:rPr>
        <w:t xml:space="preserve"> 9</w:t>
      </w:r>
      <w:r w:rsidRPr="00634704" w:rsidR="0048706B">
        <w:rPr>
          <w:rFonts w:cstheme="minorHAnsi"/>
          <w:i/>
          <w:iCs/>
        </w:rPr>
        <w:t xml:space="preserve">, </w:t>
      </w:r>
      <w:r w:rsidRPr="00634704" w:rsidR="0048706B">
        <w:rPr>
          <w:rFonts w:cstheme="minorHAnsi"/>
          <w:color w:val="212121"/>
          <w:shd w:val="clear" w:color="auto" w:fill="FFFFFF"/>
        </w:rPr>
        <w:t>898021. https://doi.org/10.3389/fnut.2022.898021</w:t>
      </w:r>
      <w:r w:rsidRPr="00634704">
        <w:rPr>
          <w:rFonts w:cstheme="minorHAnsi"/>
        </w:rPr>
        <w:t xml:space="preserve">. </w:t>
      </w:r>
    </w:p>
    <w:p w:rsidR="006765FF" w:rsidRPr="00634704" w:rsidP="006765FF" w14:paraId="52591E91" w14:textId="77777777">
      <w:pPr>
        <w:autoSpaceDE w:val="0"/>
        <w:autoSpaceDN w:val="0"/>
        <w:adjustRightInd w:val="0"/>
        <w:spacing w:after="0" w:line="240" w:lineRule="auto"/>
        <w:ind w:left="720" w:hanging="720"/>
        <w:rPr>
          <w:rFonts w:cstheme="minorHAnsi"/>
        </w:rPr>
      </w:pPr>
    </w:p>
    <w:p w:rsidR="00306AC0" w:rsidRPr="00634704" w:rsidP="006765FF" w14:paraId="79834017" w14:textId="77777777">
      <w:pPr>
        <w:autoSpaceDE w:val="0"/>
        <w:autoSpaceDN w:val="0"/>
        <w:adjustRightInd w:val="0"/>
        <w:spacing w:after="0" w:line="240" w:lineRule="auto"/>
        <w:ind w:left="720" w:hanging="720"/>
        <w:rPr>
          <w:rFonts w:cstheme="minorHAnsi"/>
        </w:rPr>
      </w:pPr>
      <w:r w:rsidRPr="00634704">
        <w:rPr>
          <w:rFonts w:cstheme="minorHAnsi"/>
        </w:rPr>
        <w:t xml:space="preserve">Silva, B., Lima, J. P., Baltazar, A. L., Pinto, E., &amp; Fialho, S. (2022). Perception of Portuguese Consumers Regarding Food Labeling. </w:t>
      </w:r>
      <w:r w:rsidRPr="00634704">
        <w:rPr>
          <w:rFonts w:cstheme="minorHAnsi"/>
          <w:i/>
          <w:iCs/>
        </w:rPr>
        <w:t>Nutrients</w:t>
      </w:r>
      <w:r w:rsidRPr="00634704">
        <w:rPr>
          <w:rFonts w:cstheme="minorHAnsi"/>
        </w:rPr>
        <w:t>,</w:t>
      </w:r>
      <w:r w:rsidRPr="00634704">
        <w:rPr>
          <w:rFonts w:cstheme="minorHAnsi"/>
          <w:i/>
          <w:iCs/>
        </w:rPr>
        <w:t xml:space="preserve"> 14</w:t>
      </w:r>
      <w:r w:rsidRPr="00634704">
        <w:rPr>
          <w:rFonts w:cstheme="minorHAnsi"/>
        </w:rPr>
        <w:t xml:space="preserve">(14), 2944. </w:t>
      </w:r>
    </w:p>
    <w:p w:rsidR="006765FF" w:rsidRPr="00634704" w:rsidP="002421DB" w14:paraId="716481FB" w14:textId="16B42446">
      <w:pPr>
        <w:autoSpaceDE w:val="0"/>
        <w:autoSpaceDN w:val="0"/>
        <w:adjustRightInd w:val="0"/>
        <w:spacing w:after="0" w:line="240" w:lineRule="auto"/>
        <w:ind w:left="720"/>
        <w:rPr>
          <w:rFonts w:cstheme="minorHAnsi"/>
          <w:highlight w:val="yellow"/>
        </w:rPr>
      </w:pPr>
      <w:r w:rsidRPr="00634704">
        <w:rPr>
          <w:rFonts w:cstheme="minorHAnsi"/>
          <w:color w:val="212121"/>
          <w:shd w:val="clear" w:color="auto" w:fill="FFFFFF"/>
        </w:rPr>
        <w:t>https://doi.org/10.3390/nu14142944</w:t>
      </w:r>
    </w:p>
    <w:p w:rsidR="0021629C" w:rsidRPr="00634704" w:rsidP="006765FF" w14:paraId="422F1ECF" w14:textId="4064C0AE">
      <w:pPr>
        <w:autoSpaceDE w:val="0"/>
        <w:autoSpaceDN w:val="0"/>
        <w:adjustRightInd w:val="0"/>
        <w:spacing w:after="0" w:line="240" w:lineRule="auto"/>
        <w:ind w:left="720" w:hanging="720"/>
        <w:rPr>
          <w:rFonts w:cstheme="minorHAnsi"/>
        </w:rPr>
      </w:pPr>
      <w:r w:rsidRPr="00634704">
        <w:rPr>
          <w:rFonts w:cstheme="minorHAnsi"/>
          <w:color w:val="212121"/>
          <w:shd w:val="clear" w:color="auto" w:fill="FFFFFF"/>
        </w:rPr>
        <w:t>Sinu Scientific Board, &amp; Sinu Scientific Committee</w:t>
      </w:r>
      <w:r w:rsidRPr="00634704" w:rsidR="006765FF">
        <w:rPr>
          <w:rFonts w:cstheme="minorHAnsi"/>
        </w:rPr>
        <w:t xml:space="preserve"> (2021). "Front-of-pack" nutrition labeling. </w:t>
      </w:r>
      <w:r w:rsidRPr="00634704" w:rsidR="009E0178">
        <w:rPr>
          <w:rFonts w:cstheme="minorHAnsi"/>
          <w:i/>
          <w:iCs/>
          <w:color w:val="212121"/>
          <w:shd w:val="clear" w:color="auto" w:fill="FFFFFF"/>
        </w:rPr>
        <w:t>Nutrition, metabolism, and cardiovascular diseases</w:t>
      </w:r>
      <w:r w:rsidRPr="00634704" w:rsidR="006765FF">
        <w:rPr>
          <w:rFonts w:cstheme="minorHAnsi"/>
        </w:rPr>
        <w:t>,</w:t>
      </w:r>
      <w:r w:rsidRPr="00634704" w:rsidR="006765FF">
        <w:rPr>
          <w:rFonts w:cstheme="minorHAnsi"/>
          <w:i/>
          <w:iCs/>
        </w:rPr>
        <w:t xml:space="preserve"> 31</w:t>
      </w:r>
      <w:r w:rsidRPr="00634704" w:rsidR="006765FF">
        <w:rPr>
          <w:rFonts w:cstheme="minorHAnsi"/>
        </w:rPr>
        <w:t xml:space="preserve">(11), 2989-2992. </w:t>
      </w:r>
    </w:p>
    <w:p w:rsidR="006765FF" w:rsidRPr="00634704" w:rsidP="003725B9" w14:paraId="767DA18A" w14:textId="63CB498C">
      <w:pPr>
        <w:autoSpaceDE w:val="0"/>
        <w:autoSpaceDN w:val="0"/>
        <w:adjustRightInd w:val="0"/>
        <w:spacing w:after="0" w:line="240" w:lineRule="auto"/>
        <w:ind w:left="720"/>
        <w:rPr>
          <w:rFonts w:cstheme="minorHAnsi"/>
        </w:rPr>
      </w:pPr>
      <w:r w:rsidRPr="003725B9">
        <w:rPr>
          <w:rFonts w:cstheme="minorHAnsi"/>
        </w:rPr>
        <w:t>https://doi.org/10.1016/j.numecd.2021.07.021</w:t>
      </w:r>
      <w:r w:rsidRPr="00634704">
        <w:rPr>
          <w:rFonts w:cstheme="minorHAnsi"/>
        </w:rPr>
        <w:t xml:space="preserve"> </w:t>
      </w:r>
    </w:p>
    <w:p w:rsidR="003725B9" w:rsidP="006765FF" w14:paraId="1FA17DE9" w14:textId="77777777">
      <w:pPr>
        <w:autoSpaceDE w:val="0"/>
        <w:autoSpaceDN w:val="0"/>
        <w:adjustRightInd w:val="0"/>
        <w:spacing w:after="0" w:line="240" w:lineRule="auto"/>
        <w:ind w:left="720" w:hanging="720"/>
        <w:rPr>
          <w:rFonts w:cstheme="minorHAnsi"/>
        </w:rPr>
      </w:pPr>
    </w:p>
    <w:p w:rsidR="006765FF" w:rsidRPr="00634704" w:rsidP="006765FF" w14:paraId="4CAB3526" w14:textId="461E9E08">
      <w:pPr>
        <w:autoSpaceDE w:val="0"/>
        <w:autoSpaceDN w:val="0"/>
        <w:adjustRightInd w:val="0"/>
        <w:spacing w:after="0" w:line="240" w:lineRule="auto"/>
        <w:ind w:left="720" w:hanging="720"/>
        <w:rPr>
          <w:rFonts w:cstheme="minorHAnsi"/>
        </w:rPr>
      </w:pPr>
      <w:r w:rsidRPr="00634704">
        <w:rPr>
          <w:rFonts w:cstheme="minorHAnsi"/>
        </w:rPr>
        <w:t xml:space="preserve">Song, J., Brown, M. K., Tan, M., MacGregor, G. A., Webster, J., Campbell, N. R. C., Trieu, K., Ni Mhurchu, C., Cobb, L. K., &amp; He, F. J. (2021). Impact of color-coded and warning nutrition labelling schemes: A systematic review and network meta-analysis. </w:t>
      </w:r>
      <w:r w:rsidRPr="00634704">
        <w:rPr>
          <w:rFonts w:cstheme="minorHAnsi"/>
          <w:i/>
        </w:rPr>
        <w:t>PLoS Med</w:t>
      </w:r>
      <w:r w:rsidRPr="00634704">
        <w:rPr>
          <w:rFonts w:cstheme="minorHAnsi"/>
        </w:rPr>
        <w:t>,</w:t>
      </w:r>
      <w:r w:rsidRPr="00634704">
        <w:rPr>
          <w:rFonts w:cstheme="minorHAnsi"/>
          <w:i/>
        </w:rPr>
        <w:t xml:space="preserve"> 18</w:t>
      </w:r>
      <w:r w:rsidRPr="00634704">
        <w:rPr>
          <w:rFonts w:cstheme="minorHAnsi"/>
        </w:rPr>
        <w:t xml:space="preserve">(10), e1003765. https://doi.org/10.1371/journal.pmed.1003765 </w:t>
      </w:r>
    </w:p>
    <w:p w:rsidR="002D4DAC" w:rsidRPr="00634704" w:rsidP="00A1092A" w14:paraId="2525BAE7" w14:textId="77777777">
      <w:pPr>
        <w:pStyle w:val="EndNoteBibliography"/>
        <w:spacing w:after="0"/>
        <w:ind w:left="720" w:hanging="720"/>
        <w:rPr>
          <w:rFonts w:asciiTheme="minorHAnsi" w:hAnsiTheme="minorHAnsi" w:cstheme="minorHAnsi"/>
        </w:rPr>
      </w:pPr>
    </w:p>
    <w:p w:rsidR="00305D3C" w:rsidRPr="00634704" w:rsidP="00A1092A" w14:paraId="3E7D1457" w14:textId="08D15F8C">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Sundstrom, W., McIntyre, S., Baker, G., &amp; Avants, B. </w:t>
      </w:r>
      <w:r w:rsidRPr="00634704" w:rsidR="00EC040B">
        <w:rPr>
          <w:rFonts w:asciiTheme="minorHAnsi" w:hAnsiTheme="minorHAnsi" w:cstheme="minorHAnsi"/>
        </w:rPr>
        <w:t xml:space="preserve">(2020). Bearers of Bad News: Heterogeneous Effects of Alternative Front-of-Package Labeling Schemes for Nutritional Information. </w:t>
      </w:r>
      <w:r w:rsidRPr="00634704" w:rsidR="00EC040B">
        <w:rPr>
          <w:rFonts w:asciiTheme="minorHAnsi" w:hAnsiTheme="minorHAnsi" w:cstheme="minorHAnsi"/>
          <w:i/>
        </w:rPr>
        <w:t>Journal of Agribusiness</w:t>
      </w:r>
      <w:r w:rsidRPr="00634704" w:rsidR="00EC040B">
        <w:rPr>
          <w:rFonts w:asciiTheme="minorHAnsi" w:hAnsiTheme="minorHAnsi" w:cstheme="minorHAnsi"/>
        </w:rPr>
        <w:t xml:space="preserve">, 38, 1. </w:t>
      </w:r>
    </w:p>
    <w:p w:rsidR="002417C8" w:rsidRPr="00634704" w:rsidP="00A1092A" w14:paraId="1A6582C7" w14:textId="642143E9">
      <w:pPr>
        <w:pStyle w:val="EndNoteBibliography"/>
        <w:spacing w:after="0"/>
        <w:ind w:left="720" w:hanging="720"/>
        <w:rPr>
          <w:rFonts w:asciiTheme="minorHAnsi" w:hAnsiTheme="minorHAnsi" w:cstheme="minorHAnsi"/>
        </w:rPr>
      </w:pPr>
      <w:r w:rsidRPr="00634704">
        <w:rPr>
          <w:rFonts w:asciiTheme="minorHAnsi" w:hAnsiTheme="minorHAnsi" w:cstheme="minorHAnsi"/>
        </w:rPr>
        <w:tab/>
        <w:t>https://doi:</w:t>
      </w:r>
      <w:r w:rsidRPr="003725B9">
        <w:rPr>
          <w:rFonts w:asciiTheme="minorHAnsi" w:hAnsiTheme="minorHAnsi" w:cstheme="minorHAnsi"/>
          <w:shd w:val="clear" w:color="auto" w:fill="FFFFFF"/>
        </w:rPr>
        <w:t>10.22004/ag.econ.307139</w:t>
      </w:r>
    </w:p>
    <w:p w:rsidR="00941002" w:rsidRPr="00634704" w:rsidP="00A1092A" w14:paraId="1F91F61E" w14:textId="77777777">
      <w:pPr>
        <w:pStyle w:val="EndNoteBibliography"/>
        <w:spacing w:after="0"/>
        <w:ind w:left="720" w:hanging="720"/>
        <w:rPr>
          <w:rFonts w:asciiTheme="minorHAnsi" w:hAnsiTheme="minorHAnsi" w:cstheme="minorHAnsi"/>
        </w:rPr>
      </w:pPr>
    </w:p>
    <w:p w:rsidR="002417C8" w:rsidRPr="00634704" w:rsidP="00A1092A" w14:paraId="3AD0024F" w14:textId="634B2F9C">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Taillie, L., Hall, M., Gomez, L., Higgins, I., </w:t>
      </w:r>
      <w:r w:rsidRPr="00634704" w:rsidR="00635D3A">
        <w:rPr>
          <w:rFonts w:asciiTheme="minorHAnsi" w:hAnsiTheme="minorHAnsi" w:cstheme="minorHAnsi"/>
          <w:color w:val="212121"/>
          <w:shd w:val="clear" w:color="auto" w:fill="FFFFFF"/>
        </w:rPr>
        <w:t>Bercholz</w:t>
      </w:r>
      <w:r w:rsidRPr="00634704">
        <w:rPr>
          <w:rFonts w:asciiTheme="minorHAnsi" w:hAnsiTheme="minorHAnsi" w:cstheme="minorHAnsi"/>
          <w:color w:val="212121"/>
          <w:shd w:val="clear" w:color="auto" w:fill="FFFFFF"/>
        </w:rPr>
        <w:t>, M</w:t>
      </w:r>
      <w:r w:rsidRPr="00634704" w:rsidR="00635D3A">
        <w:rPr>
          <w:rFonts w:asciiTheme="minorHAnsi" w:hAnsiTheme="minorHAnsi" w:cstheme="minorHAnsi"/>
          <w:color w:val="212121"/>
          <w:shd w:val="clear" w:color="auto" w:fill="FFFFFF"/>
        </w:rPr>
        <w:t xml:space="preserve">., Murukutla, N., &amp; </w:t>
      </w:r>
      <w:r w:rsidRPr="00634704">
        <w:rPr>
          <w:rFonts w:asciiTheme="minorHAnsi" w:hAnsiTheme="minorHAnsi" w:cstheme="minorHAnsi"/>
        </w:rPr>
        <w:t>Mora-Plazas, M.</w:t>
      </w:r>
      <w:r w:rsidRPr="00634704" w:rsidR="00462772">
        <w:rPr>
          <w:rFonts w:asciiTheme="minorHAnsi" w:hAnsiTheme="minorHAnsi" w:cstheme="minorHAnsi"/>
        </w:rPr>
        <w:t xml:space="preserve"> (2020). Designing an Effective Front-of-Package Warning Label for Food and Drinks High in Added Sugar, Sodium, or Saturated Fat in Colombia: An Online Experiment. </w:t>
      </w:r>
      <w:r w:rsidRPr="00634704" w:rsidR="00A0560D">
        <w:rPr>
          <w:rFonts w:asciiTheme="minorHAnsi" w:hAnsiTheme="minorHAnsi" w:cstheme="minorHAnsi"/>
          <w:i/>
        </w:rPr>
        <w:t>Nutrients</w:t>
      </w:r>
      <w:r w:rsidRPr="00634704" w:rsidR="00A0560D">
        <w:rPr>
          <w:rFonts w:asciiTheme="minorHAnsi" w:hAnsiTheme="minorHAnsi" w:cstheme="minorHAnsi"/>
        </w:rPr>
        <w:t>, 12</w:t>
      </w:r>
      <w:r w:rsidRPr="00634704" w:rsidR="00635D3A">
        <w:rPr>
          <w:rFonts w:asciiTheme="minorHAnsi" w:hAnsiTheme="minorHAnsi" w:cstheme="minorHAnsi"/>
        </w:rPr>
        <w:t>(1)</w:t>
      </w:r>
      <w:r w:rsidRPr="00634704" w:rsidR="00A0560D">
        <w:rPr>
          <w:rFonts w:asciiTheme="minorHAnsi" w:hAnsiTheme="minorHAnsi" w:cstheme="minorHAnsi"/>
        </w:rPr>
        <w:t xml:space="preserve">, 3124. </w:t>
      </w:r>
    </w:p>
    <w:p w:rsidR="00941002" w:rsidRPr="00634704" w:rsidP="003725B9" w14:paraId="1706A1A2" w14:textId="0E6A38CD">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A0560D">
        <w:rPr>
          <w:rFonts w:asciiTheme="minorHAnsi" w:hAnsiTheme="minorHAnsi" w:cstheme="minorHAnsi"/>
        </w:rPr>
        <w:t>doi:10.3390/nu12103124</w:t>
      </w:r>
    </w:p>
    <w:p w:rsidR="00AC4DA9" w:rsidRPr="00634704" w:rsidP="00A1092A" w14:paraId="261DFFBD" w14:textId="77777777">
      <w:pPr>
        <w:pStyle w:val="EndNoteBibliography"/>
        <w:spacing w:after="0"/>
        <w:ind w:left="720" w:hanging="720"/>
        <w:rPr>
          <w:rFonts w:asciiTheme="minorHAnsi" w:hAnsiTheme="minorHAnsi" w:cstheme="minorHAnsi"/>
        </w:rPr>
      </w:pPr>
    </w:p>
    <w:p w:rsidR="00635D3A" w:rsidRPr="00634704" w:rsidP="00635D3A" w14:paraId="790CC945"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Taillie, L., Hall, M., Popkin, B., Ng</w:t>
      </w:r>
      <w:r w:rsidRPr="00634704" w:rsidR="00194846">
        <w:rPr>
          <w:rFonts w:asciiTheme="minorHAnsi" w:hAnsiTheme="minorHAnsi" w:cstheme="minorHAnsi"/>
        </w:rPr>
        <w:t xml:space="preserve">, S., &amp; Murukutla, N. (2020). Experimental Studies of Front-of-Package Nutrient Warning Labels on Sugar-Sweetened Beverages and Ultra-Processed Foods: A Scoping Review. </w:t>
      </w:r>
      <w:r w:rsidRPr="00634704" w:rsidR="001721E8">
        <w:rPr>
          <w:rFonts w:asciiTheme="minorHAnsi" w:hAnsiTheme="minorHAnsi" w:cstheme="minorHAnsi"/>
          <w:i/>
          <w:iCs/>
        </w:rPr>
        <w:t>Nutrients</w:t>
      </w:r>
      <w:r w:rsidRPr="00634704" w:rsidR="001721E8">
        <w:rPr>
          <w:rFonts w:asciiTheme="minorHAnsi" w:hAnsiTheme="minorHAnsi" w:cstheme="minorHAnsi"/>
        </w:rPr>
        <w:t xml:space="preserve">, 12, 569. </w:t>
      </w:r>
    </w:p>
    <w:p w:rsidR="002F74F5" w:rsidP="003725B9" w14:paraId="5C52DC3A" w14:textId="5F77C6C6">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1721E8">
        <w:rPr>
          <w:rFonts w:asciiTheme="minorHAnsi" w:hAnsiTheme="minorHAnsi" w:cstheme="minorHAnsi"/>
        </w:rPr>
        <w:t>doi:10.3390/nu12020569</w:t>
      </w:r>
    </w:p>
    <w:p w:rsidR="003725B9" w:rsidRPr="00634704" w:rsidP="00A1092A" w14:paraId="3282B629" w14:textId="77777777">
      <w:pPr>
        <w:pStyle w:val="EndNoteBibliography"/>
        <w:spacing w:after="0"/>
        <w:ind w:left="720" w:hanging="720"/>
        <w:rPr>
          <w:rFonts w:asciiTheme="minorHAnsi" w:hAnsiTheme="minorHAnsi" w:cstheme="minorHAnsi"/>
        </w:rPr>
      </w:pPr>
    </w:p>
    <w:p w:rsidR="006765FF" w:rsidRPr="00634704" w:rsidP="006765FF" w14:paraId="71531785" w14:textId="77777777">
      <w:pPr>
        <w:autoSpaceDE w:val="0"/>
        <w:autoSpaceDN w:val="0"/>
        <w:adjustRightInd w:val="0"/>
        <w:spacing w:after="0" w:line="240" w:lineRule="auto"/>
        <w:ind w:left="720" w:hanging="720"/>
        <w:rPr>
          <w:rFonts w:cstheme="minorHAnsi"/>
        </w:rPr>
      </w:pPr>
      <w:r w:rsidRPr="00634704">
        <w:rPr>
          <w:rFonts w:cstheme="minorHAnsi"/>
        </w:rPr>
        <w:t xml:space="preserve">Taillie, L. S., Higgins, I. C. A., Lazard, A. J., Miles, D. R., Blitstein, J. L., &amp; Hall, M. G. (2022). Do sugar warning labels influence parents' selection of a labeled snack for their children? A randomized trial in a virtual convenience store. </w:t>
      </w:r>
      <w:r w:rsidRPr="00634704">
        <w:rPr>
          <w:rFonts w:cstheme="minorHAnsi"/>
          <w:i/>
        </w:rPr>
        <w:t>Appetite</w:t>
      </w:r>
      <w:r w:rsidRPr="00634704">
        <w:rPr>
          <w:rFonts w:cstheme="minorHAnsi"/>
        </w:rPr>
        <w:t>,</w:t>
      </w:r>
      <w:r w:rsidRPr="00634704">
        <w:rPr>
          <w:rFonts w:cstheme="minorHAnsi"/>
          <w:i/>
        </w:rPr>
        <w:t xml:space="preserve"> 175</w:t>
      </w:r>
      <w:r w:rsidRPr="00634704">
        <w:rPr>
          <w:rFonts w:cstheme="minorHAnsi"/>
        </w:rPr>
        <w:t xml:space="preserve">, 106059. https://doi.org/10.1016/j.appet.2022.106059 </w:t>
      </w:r>
    </w:p>
    <w:p w:rsidR="002D4DAC" w:rsidRPr="00634704" w:rsidP="00A1092A" w14:paraId="1CB3DB49" w14:textId="77777777">
      <w:pPr>
        <w:pStyle w:val="EndNoteBibliography"/>
        <w:spacing w:after="0"/>
        <w:ind w:left="720" w:hanging="720"/>
        <w:rPr>
          <w:rFonts w:asciiTheme="minorHAnsi" w:hAnsiTheme="minorHAnsi" w:cstheme="minorHAnsi"/>
        </w:rPr>
      </w:pPr>
    </w:p>
    <w:p w:rsidR="00A1092A" w:rsidRPr="00634704" w:rsidP="00A1092A" w14:paraId="3A28D7E9" w14:textId="0F32199B">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Talati, Z., Norman, R., Pettigrew, S., Neal, B., Kelly, B., Dixon, H., </w:t>
      </w:r>
      <w:r w:rsidRPr="00634704" w:rsidR="00CA3957">
        <w:rPr>
          <w:rFonts w:asciiTheme="minorHAnsi" w:hAnsiTheme="minorHAnsi" w:cstheme="minorHAnsi"/>
          <w:color w:val="212121"/>
          <w:shd w:val="clear" w:color="auto" w:fill="FFFFFF"/>
        </w:rPr>
        <w:t xml:space="preserve"> Ball, K., Miller, C., &amp;</w:t>
      </w:r>
      <w:r w:rsidRPr="00634704">
        <w:rPr>
          <w:rFonts w:asciiTheme="minorHAnsi" w:hAnsiTheme="minorHAnsi" w:cstheme="minorHAnsi"/>
        </w:rPr>
        <w:t xml:space="preserve"> Shilton, T. (2017). The impact of interpretive and reductive front-of-pack labels on food choice and willingness to pay. </w:t>
      </w:r>
      <w:r w:rsidRPr="00634704" w:rsidR="00645AEC">
        <w:rPr>
          <w:rFonts w:asciiTheme="minorHAnsi" w:hAnsiTheme="minorHAnsi" w:cstheme="minorHAnsi"/>
          <w:i/>
          <w:iCs/>
          <w:color w:val="212121"/>
          <w:shd w:val="clear" w:color="auto" w:fill="FFFFFF"/>
        </w:rPr>
        <w:t>The international journal of behavioral nutrition and physical activity</w:t>
      </w:r>
      <w:r w:rsidRPr="00634704">
        <w:rPr>
          <w:rFonts w:asciiTheme="minorHAnsi" w:hAnsiTheme="minorHAnsi" w:cstheme="minorHAnsi"/>
          <w:i/>
        </w:rPr>
        <w:t>, 14</w:t>
      </w:r>
      <w:r w:rsidRPr="00634704">
        <w:rPr>
          <w:rFonts w:asciiTheme="minorHAnsi" w:hAnsiTheme="minorHAnsi" w:cstheme="minorHAnsi"/>
        </w:rPr>
        <w:t>(1), 171. doi:10.1186/s12966-017-0628-2</w:t>
      </w:r>
    </w:p>
    <w:p w:rsidR="00CA3957" w:rsidRPr="00634704" w:rsidP="00A1092A" w14:paraId="63488707" w14:textId="77777777">
      <w:pPr>
        <w:pStyle w:val="EndNoteBibliography"/>
        <w:spacing w:after="0"/>
        <w:ind w:left="720" w:hanging="720"/>
        <w:rPr>
          <w:rFonts w:asciiTheme="minorHAnsi" w:hAnsiTheme="minorHAnsi" w:cstheme="minorHAnsi"/>
        </w:rPr>
      </w:pPr>
    </w:p>
    <w:p w:rsidR="00A1092A" w:rsidRPr="00634704" w:rsidP="00A1092A" w14:paraId="4D5D3E35" w14:textId="5AA548E5">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Talati, Z., Pettigrew, S., Dixon, H., Neal, B., Ball, K., &amp; Hughes, C. (2016). Do Health Claims and Front-of-Pack Labels Lead to a Positivity Bias in Unhealthy Foods? </w:t>
      </w:r>
      <w:r w:rsidRPr="00634704">
        <w:rPr>
          <w:rFonts w:asciiTheme="minorHAnsi" w:hAnsiTheme="minorHAnsi" w:cstheme="minorHAnsi"/>
          <w:i/>
        </w:rPr>
        <w:t xml:space="preserve">Nutrients, </w:t>
      </w:r>
      <w:r w:rsidRPr="009E3F7E">
        <w:rPr>
          <w:rFonts w:asciiTheme="minorHAnsi" w:hAnsiTheme="minorHAnsi" w:cstheme="minorHAnsi"/>
        </w:rPr>
        <w:t>8(12</w:t>
      </w:r>
      <w:r w:rsidRPr="009E3F7E">
        <w:rPr>
          <w:rFonts w:asciiTheme="minorHAnsi" w:hAnsiTheme="minorHAnsi" w:cstheme="minorHAnsi"/>
          <w:iCs/>
        </w:rPr>
        <w:t>)</w:t>
      </w:r>
      <w:r w:rsidRPr="009E3F7E" w:rsidR="00B46758">
        <w:rPr>
          <w:rFonts w:asciiTheme="minorHAnsi" w:hAnsiTheme="minorHAnsi" w:cstheme="minorHAnsi"/>
          <w:iCs/>
        </w:rPr>
        <w:t>, 787</w:t>
      </w:r>
      <w:r w:rsidRPr="00634704">
        <w:rPr>
          <w:rFonts w:asciiTheme="minorHAnsi" w:hAnsiTheme="minorHAnsi" w:cstheme="minorHAnsi"/>
        </w:rPr>
        <w:t xml:space="preserve">. </w:t>
      </w:r>
      <w:r w:rsidRPr="00634704" w:rsidR="00BF5BBE">
        <w:rPr>
          <w:rFonts w:asciiTheme="minorHAnsi" w:hAnsiTheme="minorHAnsi" w:cstheme="minorHAnsi"/>
        </w:rPr>
        <w:t>https://</w:t>
      </w:r>
      <w:r w:rsidRPr="00634704">
        <w:rPr>
          <w:rFonts w:asciiTheme="minorHAnsi" w:hAnsiTheme="minorHAnsi" w:cstheme="minorHAnsi"/>
        </w:rPr>
        <w:t>doi:10.3390/nu8120787</w:t>
      </w:r>
    </w:p>
    <w:p w:rsidR="00A1092A" w:rsidRPr="00634704" w:rsidP="00A1092A" w14:paraId="0D286181" w14:textId="77777777">
      <w:pPr>
        <w:pStyle w:val="EndNoteBibliography"/>
        <w:spacing w:after="0"/>
        <w:ind w:left="720" w:hanging="720"/>
        <w:rPr>
          <w:rFonts w:asciiTheme="minorHAnsi" w:hAnsiTheme="minorHAnsi" w:cstheme="minorHAnsi"/>
        </w:rPr>
      </w:pPr>
    </w:p>
    <w:p w:rsidR="00B46758" w:rsidRPr="009E3F7E" w:rsidP="00A1092A" w14:paraId="2A7C185C" w14:textId="77777777">
      <w:pPr>
        <w:pStyle w:val="EndNoteBibliography"/>
        <w:spacing w:after="0"/>
        <w:ind w:left="720" w:hanging="720"/>
        <w:rPr>
          <w:rFonts w:asciiTheme="minorHAnsi" w:hAnsiTheme="minorHAnsi" w:cstheme="minorHAnsi"/>
          <w:iCs/>
        </w:rPr>
      </w:pPr>
      <w:r w:rsidRPr="00634704">
        <w:rPr>
          <w:rFonts w:asciiTheme="minorHAnsi" w:hAnsiTheme="minorHAnsi" w:cstheme="minorHAnsi"/>
        </w:rPr>
        <w:t xml:space="preserve">Talati, Z., Pettigrew, S., Hughes, C., Dixon, H., Kelly, B., Ball, K., &amp; Miller, C. (2016). The combined effect of front-of-pack nutrition labels and health claims on consumers' evaluation of food products. </w:t>
      </w:r>
      <w:r w:rsidRPr="00634704">
        <w:rPr>
          <w:rFonts w:asciiTheme="minorHAnsi" w:hAnsiTheme="minorHAnsi" w:cstheme="minorHAnsi"/>
          <w:i/>
        </w:rPr>
        <w:t xml:space="preserve">Food Quality and Preference, </w:t>
      </w:r>
      <w:r w:rsidRPr="009E3F7E">
        <w:rPr>
          <w:rFonts w:asciiTheme="minorHAnsi" w:hAnsiTheme="minorHAnsi" w:cstheme="minorHAnsi"/>
        </w:rPr>
        <w:t xml:space="preserve">53, 57-65. </w:t>
      </w:r>
    </w:p>
    <w:p w:rsidR="00A1092A" w:rsidRPr="00634704" w:rsidP="009E3F7E" w14:paraId="61315B11" w14:textId="3733F9E9">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doi:10.1016/j.foodqual.2016.05.016</w:t>
      </w:r>
    </w:p>
    <w:p w:rsidR="00A1092A" w:rsidRPr="00634704" w:rsidP="00A1092A" w14:paraId="3D7F86C6" w14:textId="77777777">
      <w:pPr>
        <w:pStyle w:val="EndNoteBibliography"/>
        <w:spacing w:after="0"/>
        <w:ind w:left="720" w:hanging="720"/>
        <w:rPr>
          <w:rFonts w:asciiTheme="minorHAnsi" w:hAnsiTheme="minorHAnsi" w:cstheme="minorHAnsi"/>
        </w:rPr>
      </w:pPr>
    </w:p>
    <w:p w:rsidR="006843EB" w:rsidRPr="00634704" w:rsidP="008704EC" w14:paraId="159E4334" w14:textId="175BB3A4">
      <w:pPr>
        <w:autoSpaceDE w:val="0"/>
        <w:autoSpaceDN w:val="0"/>
        <w:adjustRightInd w:val="0"/>
        <w:spacing w:after="0"/>
        <w:ind w:left="720" w:hanging="720"/>
        <w:rPr>
          <w:rFonts w:cstheme="minorHAnsi"/>
        </w:rPr>
      </w:pPr>
      <w:r w:rsidRPr="00634704">
        <w:rPr>
          <w:rFonts w:cstheme="minorHAnsi"/>
        </w:rPr>
        <w:t xml:space="preserve">Talati, Z., Norman, R., Kelly, B., Dixon, H., Neal, B., Miller, C., </w:t>
      </w:r>
      <w:r w:rsidRPr="00634704" w:rsidR="004A431F">
        <w:rPr>
          <w:rFonts w:cstheme="minorHAnsi"/>
        </w:rPr>
        <w:t xml:space="preserve">&amp; Pettigrew, S. (2018). A randomized trial assessing the effects of health claims on choice of foods in the presence of front-of-pack labels. </w:t>
      </w:r>
      <w:r w:rsidRPr="00634704" w:rsidR="005B0616">
        <w:rPr>
          <w:rFonts w:cstheme="minorHAnsi"/>
          <w:i/>
        </w:rPr>
        <w:t>American Journal of Clinical Nutrition</w:t>
      </w:r>
      <w:r w:rsidRPr="00634704" w:rsidR="005B0616">
        <w:rPr>
          <w:rFonts w:cstheme="minorHAnsi"/>
        </w:rPr>
        <w:t>, 108</w:t>
      </w:r>
      <w:r w:rsidRPr="00634704" w:rsidR="00C220D3">
        <w:rPr>
          <w:rFonts w:cstheme="minorHAnsi"/>
        </w:rPr>
        <w:t xml:space="preserve">, </w:t>
      </w:r>
      <w:r w:rsidRPr="00634704" w:rsidR="005B0616">
        <w:rPr>
          <w:rFonts w:cstheme="minorHAnsi"/>
        </w:rPr>
        <w:t>1–8.</w:t>
      </w:r>
    </w:p>
    <w:p w:rsidR="004E6D8A" w:rsidRPr="00634704" w:rsidP="008704EC" w14:paraId="09768915" w14:textId="166AF779">
      <w:pPr>
        <w:autoSpaceDE w:val="0"/>
        <w:autoSpaceDN w:val="0"/>
        <w:adjustRightInd w:val="0"/>
        <w:spacing w:after="0"/>
        <w:ind w:left="720" w:hanging="720"/>
        <w:rPr>
          <w:rFonts w:cstheme="minorHAnsi"/>
        </w:rPr>
      </w:pPr>
      <w:r w:rsidRPr="00634704">
        <w:rPr>
          <w:rFonts w:cstheme="minorHAnsi"/>
        </w:rPr>
        <w:tab/>
      </w:r>
      <w:r w:rsidRPr="00634704">
        <w:rPr>
          <w:rFonts w:cstheme="minorHAnsi"/>
          <w:color w:val="212121"/>
          <w:shd w:val="clear" w:color="auto" w:fill="FFFFFF"/>
        </w:rPr>
        <w:t>https://doi.org/10.1093/ajcn/nqy248</w:t>
      </w:r>
    </w:p>
    <w:p w:rsidR="002642CE" w:rsidRPr="00634704" w:rsidP="008704EC" w14:paraId="339AF9FF" w14:textId="77777777">
      <w:pPr>
        <w:autoSpaceDE w:val="0"/>
        <w:autoSpaceDN w:val="0"/>
        <w:adjustRightInd w:val="0"/>
        <w:spacing w:after="0"/>
        <w:ind w:left="720" w:hanging="720"/>
        <w:rPr>
          <w:rFonts w:cstheme="minorHAnsi"/>
        </w:rPr>
      </w:pPr>
    </w:p>
    <w:p w:rsidR="002642CE" w:rsidRPr="00634704" w:rsidP="008704EC" w14:paraId="7191B2F3" w14:textId="0D33A99F">
      <w:pPr>
        <w:autoSpaceDE w:val="0"/>
        <w:autoSpaceDN w:val="0"/>
        <w:adjustRightInd w:val="0"/>
        <w:spacing w:after="0"/>
        <w:ind w:left="720" w:hanging="720"/>
        <w:rPr>
          <w:rFonts w:cstheme="minorHAnsi"/>
        </w:rPr>
      </w:pPr>
      <w:r w:rsidRPr="00634704">
        <w:rPr>
          <w:rFonts w:cstheme="minorHAnsi"/>
        </w:rPr>
        <w:t>Talati, Z., Egnell, M., Hercber</w:t>
      </w:r>
      <w:r w:rsidRPr="00634704" w:rsidR="00CF1ECA">
        <w:rPr>
          <w:rFonts w:cstheme="minorHAnsi"/>
        </w:rPr>
        <w:t>g, S., Julia, C., &amp; Pettigrew, S. (</w:t>
      </w:r>
      <w:r w:rsidRPr="00634704" w:rsidR="004544FA">
        <w:rPr>
          <w:rFonts w:cstheme="minorHAnsi"/>
        </w:rPr>
        <w:t xml:space="preserve">2018). Consumers’ Perceptions of Five Front-of-Package Nutrition Labels: An Experimental Study Across 12 Countries. </w:t>
      </w:r>
      <w:r w:rsidRPr="00634704" w:rsidR="004544FA">
        <w:rPr>
          <w:rFonts w:cstheme="minorHAnsi"/>
          <w:i/>
        </w:rPr>
        <w:t>Nutrients</w:t>
      </w:r>
      <w:r w:rsidRPr="00634704" w:rsidR="004544FA">
        <w:rPr>
          <w:rFonts w:cstheme="minorHAnsi"/>
        </w:rPr>
        <w:t xml:space="preserve">, 11, 1934; </w:t>
      </w:r>
      <w:r w:rsidRPr="00634704" w:rsidR="004E6D8A">
        <w:rPr>
          <w:rFonts w:cstheme="minorHAnsi"/>
        </w:rPr>
        <w:t>https://</w:t>
      </w:r>
      <w:r w:rsidRPr="00634704" w:rsidR="004544FA">
        <w:rPr>
          <w:rFonts w:cstheme="minorHAnsi"/>
        </w:rPr>
        <w:t>doi:10.3390/nu11081934</w:t>
      </w:r>
    </w:p>
    <w:p w:rsidR="004544FA" w:rsidRPr="00634704" w:rsidP="008704EC" w14:paraId="45C9C552" w14:textId="77777777">
      <w:pPr>
        <w:autoSpaceDE w:val="0"/>
        <w:autoSpaceDN w:val="0"/>
        <w:adjustRightInd w:val="0"/>
        <w:spacing w:after="0"/>
        <w:ind w:left="720" w:hanging="720"/>
        <w:rPr>
          <w:rFonts w:cstheme="minorHAnsi"/>
        </w:rPr>
      </w:pPr>
    </w:p>
    <w:p w:rsidR="004E6D8A" w:rsidRPr="00634704" w:rsidP="008704EC" w14:paraId="4F4F2F93" w14:textId="34074750">
      <w:pPr>
        <w:autoSpaceDE w:val="0"/>
        <w:autoSpaceDN w:val="0"/>
        <w:adjustRightInd w:val="0"/>
        <w:spacing w:after="0"/>
        <w:ind w:left="720" w:hanging="720"/>
        <w:rPr>
          <w:rFonts w:cstheme="minorHAnsi"/>
        </w:rPr>
      </w:pPr>
      <w:r w:rsidRPr="00634704">
        <w:rPr>
          <w:rFonts w:cstheme="minorHAnsi"/>
        </w:rPr>
        <w:t>Talati, Z., Egnell, M., Hercberg, S., Julia, C., &amp; Pettigrew, S.</w:t>
      </w:r>
      <w:r w:rsidRPr="00634704" w:rsidR="009F1CA1">
        <w:rPr>
          <w:rFonts w:cstheme="minorHAnsi"/>
        </w:rPr>
        <w:t xml:space="preserve"> (2019). Food Choice Under Five Front-of-Package Nutrition Label Conditions: An Experimental Study Across 12 Countries. </w:t>
      </w:r>
      <w:r w:rsidRPr="00B135E4" w:rsidR="009F1CA1">
        <w:rPr>
          <w:rFonts w:cstheme="minorHAnsi"/>
          <w:i/>
        </w:rPr>
        <w:t>American Journal of Public Health</w:t>
      </w:r>
      <w:r w:rsidRPr="00634704" w:rsidR="004826E3">
        <w:rPr>
          <w:rFonts w:cstheme="minorHAnsi"/>
        </w:rPr>
        <w:t xml:space="preserve">, </w:t>
      </w:r>
      <w:r w:rsidRPr="00634704" w:rsidR="009F1CA1">
        <w:rPr>
          <w:rFonts w:cstheme="minorHAnsi"/>
        </w:rPr>
        <w:t>109</w:t>
      </w:r>
      <w:r w:rsidRPr="00634704">
        <w:rPr>
          <w:rFonts w:cstheme="minorHAnsi"/>
        </w:rPr>
        <w:t xml:space="preserve">, </w:t>
      </w:r>
      <w:r w:rsidRPr="00634704" w:rsidR="009F1CA1">
        <w:rPr>
          <w:rFonts w:cstheme="minorHAnsi"/>
        </w:rPr>
        <w:t xml:space="preserve">1770–1775. </w:t>
      </w:r>
    </w:p>
    <w:p w:rsidR="006843EB" w:rsidRPr="00634704" w:rsidP="00B135E4" w14:paraId="1ABD3E16" w14:textId="64027F9F">
      <w:pPr>
        <w:autoSpaceDE w:val="0"/>
        <w:autoSpaceDN w:val="0"/>
        <w:adjustRightInd w:val="0"/>
        <w:spacing w:after="0"/>
        <w:ind w:left="720"/>
        <w:rPr>
          <w:rFonts w:cstheme="minorHAnsi"/>
        </w:rPr>
      </w:pPr>
      <w:r w:rsidRPr="00B135E4">
        <w:rPr>
          <w:rFonts w:cstheme="minorHAnsi"/>
        </w:rPr>
        <w:t>https://</w:t>
      </w:r>
      <w:r w:rsidRPr="00B135E4" w:rsidR="009F1CA1">
        <w:rPr>
          <w:rFonts w:cstheme="minorHAnsi"/>
        </w:rPr>
        <w:t>doi:10.2105/AJPH.2019.305319</w:t>
      </w:r>
    </w:p>
    <w:p w:rsidR="00190607" w:rsidRPr="00634704" w:rsidP="008704EC" w14:paraId="005DE8CA" w14:textId="77777777">
      <w:pPr>
        <w:autoSpaceDE w:val="0"/>
        <w:autoSpaceDN w:val="0"/>
        <w:adjustRightInd w:val="0"/>
        <w:spacing w:after="0"/>
        <w:ind w:left="720" w:hanging="720"/>
        <w:rPr>
          <w:rFonts w:cstheme="minorHAnsi"/>
        </w:rPr>
      </w:pPr>
    </w:p>
    <w:p w:rsidR="00A1092A" w:rsidRPr="00634704" w:rsidP="008704EC" w14:paraId="60622D79" w14:textId="16478C66">
      <w:pPr>
        <w:autoSpaceDE w:val="0"/>
        <w:autoSpaceDN w:val="0"/>
        <w:adjustRightInd w:val="0"/>
        <w:spacing w:after="0"/>
        <w:ind w:left="720" w:hanging="720"/>
        <w:rPr>
          <w:rFonts w:cstheme="minorHAnsi"/>
        </w:rPr>
      </w:pPr>
      <w:r w:rsidRPr="00634704">
        <w:rPr>
          <w:rFonts w:cstheme="minorHAnsi"/>
        </w:rPr>
        <w:t xml:space="preserve">Talati, Z., Pettigrew, S., Kelly, B., Ball, K., Neal, B. Shilton, T., </w:t>
      </w:r>
      <w:r w:rsidRPr="00634704" w:rsidR="004E6D8A">
        <w:rPr>
          <w:rFonts w:cstheme="minorHAnsi"/>
        </w:rPr>
        <w:t xml:space="preserve">&amp; </w:t>
      </w:r>
      <w:r w:rsidRPr="00634704">
        <w:rPr>
          <w:rFonts w:cstheme="minorHAnsi"/>
        </w:rPr>
        <w:t>Miller, C. (2018)</w:t>
      </w:r>
      <w:r w:rsidRPr="00634704" w:rsidR="004E6D8A">
        <w:rPr>
          <w:rFonts w:cstheme="minorHAnsi"/>
        </w:rPr>
        <w:t>.</w:t>
      </w:r>
      <w:r w:rsidRPr="00634704">
        <w:rPr>
          <w:rFonts w:cstheme="minorHAnsi"/>
        </w:rPr>
        <w:t xml:space="preserve"> Can front-of-pack labels influence portion size judgements for unhealthy foods? </w:t>
      </w:r>
      <w:r w:rsidRPr="00634704">
        <w:rPr>
          <w:rFonts w:cstheme="minorHAnsi"/>
          <w:i/>
        </w:rPr>
        <w:t>Public Health Nutr</w:t>
      </w:r>
      <w:r w:rsidRPr="00634704" w:rsidR="004E6D8A">
        <w:rPr>
          <w:rFonts w:cstheme="minorHAnsi"/>
          <w:i/>
        </w:rPr>
        <w:t>ition</w:t>
      </w:r>
      <w:r w:rsidRPr="00634704">
        <w:rPr>
          <w:rFonts w:cstheme="minorHAnsi"/>
        </w:rPr>
        <w:t>, 21(15)</w:t>
      </w:r>
      <w:r w:rsidRPr="00634704" w:rsidR="004E6D8A">
        <w:rPr>
          <w:rFonts w:cstheme="minorHAnsi"/>
        </w:rPr>
        <w:t>,</w:t>
      </w:r>
      <w:r w:rsidRPr="00634704">
        <w:rPr>
          <w:rFonts w:cstheme="minorHAnsi"/>
        </w:rPr>
        <w:t xml:space="preserve"> 2776-2781.</w:t>
      </w:r>
    </w:p>
    <w:p w:rsidR="004E6D8A" w:rsidRPr="00634704" w:rsidP="008704EC" w14:paraId="737ED41A" w14:textId="7D3DB1EC">
      <w:pPr>
        <w:autoSpaceDE w:val="0"/>
        <w:autoSpaceDN w:val="0"/>
        <w:adjustRightInd w:val="0"/>
        <w:spacing w:after="0"/>
        <w:ind w:left="720" w:hanging="720"/>
        <w:rPr>
          <w:rFonts w:cstheme="minorHAnsi"/>
        </w:rPr>
      </w:pPr>
      <w:r w:rsidRPr="00634704">
        <w:rPr>
          <w:rFonts w:cstheme="minorHAnsi"/>
        </w:rPr>
        <w:tab/>
      </w:r>
      <w:r w:rsidRPr="00634704" w:rsidR="00464515">
        <w:rPr>
          <w:rFonts w:cstheme="minorHAnsi"/>
          <w:color w:val="212121"/>
          <w:shd w:val="clear" w:color="auto" w:fill="FFFFFF"/>
        </w:rPr>
        <w:t>https://doi.org/10.1017/S1368980018001702</w:t>
      </w:r>
    </w:p>
    <w:p w:rsidR="008704EC" w:rsidRPr="00634704" w:rsidP="008704EC" w14:paraId="1AF47419" w14:textId="77777777">
      <w:pPr>
        <w:autoSpaceDE w:val="0"/>
        <w:autoSpaceDN w:val="0"/>
        <w:adjustRightInd w:val="0"/>
        <w:spacing w:after="0"/>
        <w:ind w:left="720" w:hanging="720"/>
        <w:rPr>
          <w:rFonts w:cstheme="minorHAnsi"/>
        </w:rPr>
      </w:pPr>
    </w:p>
    <w:p w:rsidR="00464515" w:rsidRPr="00634704" w:rsidP="008704EC" w14:paraId="4B18C1CE"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Talati, Z., Pettigrew, S., Neal, B., Dixon, H., Hughes, C., Kelly, B., &amp; Miller, C. (2017). Consumers' responses to health claims in the context of other on-pack nutrition information: a systematic review. </w:t>
      </w:r>
      <w:r w:rsidRPr="00634704">
        <w:rPr>
          <w:rFonts w:asciiTheme="minorHAnsi" w:hAnsiTheme="minorHAnsi" w:cstheme="minorHAnsi"/>
          <w:i/>
        </w:rPr>
        <w:t>Nutr</w:t>
      </w:r>
      <w:r w:rsidRPr="00634704">
        <w:rPr>
          <w:rFonts w:asciiTheme="minorHAnsi" w:hAnsiTheme="minorHAnsi" w:cstheme="minorHAnsi"/>
          <w:i/>
        </w:rPr>
        <w:t>ition</w:t>
      </w:r>
      <w:r w:rsidRPr="00634704">
        <w:rPr>
          <w:rFonts w:asciiTheme="minorHAnsi" w:hAnsiTheme="minorHAnsi" w:cstheme="minorHAnsi"/>
          <w:i/>
        </w:rPr>
        <w:t xml:space="preserve"> Rev</w:t>
      </w:r>
      <w:r w:rsidRPr="00634704">
        <w:rPr>
          <w:rFonts w:asciiTheme="minorHAnsi" w:hAnsiTheme="minorHAnsi" w:cstheme="minorHAnsi"/>
          <w:i/>
        </w:rPr>
        <w:t>iew</w:t>
      </w:r>
      <w:r w:rsidRPr="00634704">
        <w:rPr>
          <w:rFonts w:asciiTheme="minorHAnsi" w:hAnsiTheme="minorHAnsi" w:cstheme="minorHAnsi"/>
          <w:i/>
        </w:rPr>
        <w:t>, 75</w:t>
      </w:r>
      <w:r w:rsidRPr="00634704">
        <w:rPr>
          <w:rFonts w:asciiTheme="minorHAnsi" w:hAnsiTheme="minorHAnsi" w:cstheme="minorHAnsi"/>
        </w:rPr>
        <w:t xml:space="preserve">(4), 260-273. </w:t>
      </w:r>
    </w:p>
    <w:p w:rsidR="00A1092A" w:rsidRPr="00634704" w:rsidP="00B135E4" w14:paraId="3177691A" w14:textId="6DED7F76">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doi:10.1093/nutrit/nuw070</w:t>
      </w:r>
    </w:p>
    <w:p w:rsidR="00011EEB" w:rsidRPr="00634704" w:rsidP="008704EC" w14:paraId="576A233D" w14:textId="77777777">
      <w:pPr>
        <w:pStyle w:val="EndNoteBibliography"/>
        <w:spacing w:after="0"/>
        <w:ind w:left="720" w:hanging="720"/>
        <w:rPr>
          <w:rFonts w:asciiTheme="minorHAnsi" w:hAnsiTheme="minorHAnsi" w:cstheme="minorHAnsi"/>
        </w:rPr>
      </w:pPr>
    </w:p>
    <w:p w:rsidR="00846E56" w:rsidRPr="00634704" w:rsidP="00A1092A" w14:paraId="35195109" w14:textId="08E487E8">
      <w:pPr>
        <w:pStyle w:val="EndNoteBibliography"/>
        <w:spacing w:after="0"/>
        <w:ind w:left="720" w:hanging="720"/>
        <w:rPr>
          <w:rFonts w:asciiTheme="minorHAnsi" w:hAnsiTheme="minorHAnsi" w:cstheme="minorHAnsi"/>
        </w:rPr>
      </w:pPr>
      <w:r w:rsidRPr="00634704">
        <w:rPr>
          <w:rFonts w:asciiTheme="minorHAnsi" w:hAnsiTheme="minorHAnsi" w:cstheme="minorHAnsi"/>
        </w:rPr>
        <w:t>Temple, N. (</w:t>
      </w:r>
      <w:r w:rsidRPr="00634704" w:rsidR="0035418E">
        <w:rPr>
          <w:rFonts w:asciiTheme="minorHAnsi" w:hAnsiTheme="minorHAnsi" w:cstheme="minorHAnsi"/>
        </w:rPr>
        <w:t xml:space="preserve">2020). Front-of-package food labels: A narrative review. </w:t>
      </w:r>
      <w:r w:rsidRPr="00634704" w:rsidR="0035418E">
        <w:rPr>
          <w:rFonts w:asciiTheme="minorHAnsi" w:hAnsiTheme="minorHAnsi" w:cstheme="minorHAnsi"/>
          <w:i/>
        </w:rPr>
        <w:t>Appetite</w:t>
      </w:r>
      <w:r w:rsidRPr="00634704" w:rsidR="0035418E">
        <w:rPr>
          <w:rFonts w:asciiTheme="minorHAnsi" w:hAnsiTheme="minorHAnsi" w:cstheme="minorHAnsi"/>
        </w:rPr>
        <w:t>, 144</w:t>
      </w:r>
      <w:r w:rsidRPr="00634704" w:rsidR="00117F2D">
        <w:rPr>
          <w:rFonts w:asciiTheme="minorHAnsi" w:hAnsiTheme="minorHAnsi" w:cstheme="minorHAnsi"/>
        </w:rPr>
        <w:t xml:space="preserve">, </w:t>
      </w:r>
      <w:r w:rsidRPr="00634704" w:rsidR="00117F2D">
        <w:rPr>
          <w:rFonts w:asciiTheme="minorHAnsi" w:hAnsiTheme="minorHAnsi" w:cstheme="minorHAnsi"/>
          <w:color w:val="212121"/>
          <w:shd w:val="clear" w:color="auto" w:fill="FFFFFF"/>
        </w:rPr>
        <w:t>104485</w:t>
      </w:r>
      <w:r w:rsidRPr="00634704" w:rsidR="0035418E">
        <w:rPr>
          <w:rFonts w:asciiTheme="minorHAnsi" w:hAnsiTheme="minorHAnsi" w:cstheme="minorHAnsi"/>
        </w:rPr>
        <w:t>.</w:t>
      </w:r>
      <w:r w:rsidRPr="00634704" w:rsidR="00254A3A">
        <w:rPr>
          <w:rFonts w:asciiTheme="minorHAnsi" w:hAnsiTheme="minorHAnsi" w:cstheme="minorHAnsi"/>
        </w:rPr>
        <w:t xml:space="preserve"> </w:t>
      </w:r>
    </w:p>
    <w:p w:rsidR="00A1092A" w:rsidRPr="00634704" w:rsidP="00B135E4" w14:paraId="4D07E4BC" w14:textId="3F5DF6BF">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254A3A">
        <w:rPr>
          <w:rFonts w:asciiTheme="minorHAnsi" w:hAnsiTheme="minorHAnsi" w:cstheme="minorHAnsi"/>
        </w:rPr>
        <w:t>doi: 10.1016/j.appet.2019.104485</w:t>
      </w:r>
    </w:p>
    <w:p w:rsidR="00A3377D" w:rsidRPr="00634704" w:rsidP="00A1092A" w14:paraId="2A058FDF" w14:textId="77777777">
      <w:pPr>
        <w:pStyle w:val="EndNoteBibliography"/>
        <w:spacing w:after="0"/>
        <w:ind w:left="720" w:hanging="720"/>
        <w:rPr>
          <w:rFonts w:asciiTheme="minorHAnsi" w:hAnsiTheme="minorHAnsi" w:cstheme="minorHAnsi"/>
        </w:rPr>
      </w:pPr>
    </w:p>
    <w:p w:rsidR="00117F2D" w:rsidRPr="00634704" w:rsidP="00A1092A" w14:paraId="0BB1121A" w14:textId="4EE6F2EB">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Teran, S., Hernandez, I., Freire, W., Leon, B., &amp; Teran, E. </w:t>
      </w:r>
      <w:r w:rsidRPr="00634704" w:rsidR="00D0539A">
        <w:rPr>
          <w:rFonts w:asciiTheme="minorHAnsi" w:hAnsiTheme="minorHAnsi" w:cstheme="minorHAnsi"/>
        </w:rPr>
        <w:t xml:space="preserve">(2019). Use, knowledge, and effectiveness of nutritional traffic light label in an urban population from Ecuador: a pilot study. </w:t>
      </w:r>
      <w:r w:rsidRPr="00634704" w:rsidR="00EB3C80">
        <w:rPr>
          <w:rFonts w:asciiTheme="minorHAnsi" w:hAnsiTheme="minorHAnsi" w:cstheme="minorHAnsi"/>
          <w:i/>
        </w:rPr>
        <w:t>Globalization and Health</w:t>
      </w:r>
      <w:r w:rsidRPr="00634704" w:rsidR="00EB3C80">
        <w:rPr>
          <w:rFonts w:asciiTheme="minorHAnsi" w:hAnsiTheme="minorHAnsi" w:cstheme="minorHAnsi"/>
        </w:rPr>
        <w:t>, 15</w:t>
      </w:r>
      <w:r w:rsidRPr="00634704">
        <w:rPr>
          <w:rFonts w:asciiTheme="minorHAnsi" w:hAnsiTheme="minorHAnsi" w:cstheme="minorHAnsi"/>
        </w:rPr>
        <w:t xml:space="preserve">, </w:t>
      </w:r>
      <w:r w:rsidRPr="00634704" w:rsidR="00EB3C80">
        <w:rPr>
          <w:rFonts w:asciiTheme="minorHAnsi" w:hAnsiTheme="minorHAnsi" w:cstheme="minorHAnsi"/>
        </w:rPr>
        <w:t xml:space="preserve">26. </w:t>
      </w:r>
    </w:p>
    <w:p w:rsidR="00A3377D" w:rsidRPr="00634704" w:rsidP="00B135E4" w14:paraId="4F4D8331" w14:textId="6E7139E7">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EB3C80">
        <w:rPr>
          <w:rFonts w:asciiTheme="minorHAnsi" w:hAnsiTheme="minorHAnsi" w:cstheme="minorHAnsi"/>
        </w:rPr>
        <w:t>doi: 10.1186/s12992-019-0467-9</w:t>
      </w:r>
    </w:p>
    <w:p w:rsidR="00377937" w:rsidRPr="00634704" w:rsidP="00A1092A" w14:paraId="0C3A64F1" w14:textId="77777777">
      <w:pPr>
        <w:pStyle w:val="EndNoteBibliography"/>
        <w:spacing w:after="0"/>
        <w:ind w:left="720" w:hanging="720"/>
        <w:rPr>
          <w:rFonts w:asciiTheme="minorHAnsi" w:hAnsiTheme="minorHAnsi" w:cstheme="minorHAnsi"/>
        </w:rPr>
      </w:pPr>
    </w:p>
    <w:p w:rsidR="00117F2D" w:rsidRPr="00634704" w:rsidP="006765FF" w14:paraId="2848EA13" w14:textId="0D01FA64">
      <w:pPr>
        <w:autoSpaceDE w:val="0"/>
        <w:autoSpaceDN w:val="0"/>
        <w:adjustRightInd w:val="0"/>
        <w:spacing w:after="0" w:line="240" w:lineRule="auto"/>
        <w:ind w:left="720" w:hanging="720"/>
        <w:rPr>
          <w:rFonts w:cstheme="minorHAnsi"/>
        </w:rPr>
      </w:pPr>
      <w:r w:rsidRPr="00634704">
        <w:rPr>
          <w:rFonts w:cstheme="minorHAnsi"/>
        </w:rPr>
        <w:t xml:space="preserve">Thomas, D., Seenivasan, S., &amp; Wang, D. (2021). A nudge toward healthier food choices: the influence of health star ratings on consumers' choices of packaged foods. </w:t>
      </w:r>
      <w:r w:rsidRPr="00634704">
        <w:rPr>
          <w:rFonts w:cstheme="minorHAnsi"/>
          <w:i/>
        </w:rPr>
        <w:t>European Journal of Marketing</w:t>
      </w:r>
      <w:r w:rsidRPr="00634704">
        <w:rPr>
          <w:rFonts w:cstheme="minorHAnsi"/>
        </w:rPr>
        <w:t>,</w:t>
      </w:r>
      <w:r w:rsidRPr="00634704">
        <w:rPr>
          <w:rFonts w:cstheme="minorHAnsi"/>
          <w:i/>
        </w:rPr>
        <w:t xml:space="preserve"> 55</w:t>
      </w:r>
      <w:r w:rsidRPr="00634704">
        <w:rPr>
          <w:rFonts w:cstheme="minorHAnsi"/>
        </w:rPr>
        <w:t xml:space="preserve">(10), 2735-2768. </w:t>
      </w:r>
    </w:p>
    <w:p w:rsidR="006765FF" w:rsidRPr="00634704" w:rsidP="00B135E4" w14:paraId="341D6605" w14:textId="021CDCA2">
      <w:pPr>
        <w:autoSpaceDE w:val="0"/>
        <w:autoSpaceDN w:val="0"/>
        <w:adjustRightInd w:val="0"/>
        <w:spacing w:after="0" w:line="240" w:lineRule="auto"/>
        <w:ind w:left="720"/>
        <w:rPr>
          <w:rFonts w:cstheme="minorHAnsi"/>
        </w:rPr>
      </w:pPr>
      <w:r w:rsidRPr="00634704">
        <w:rPr>
          <w:rFonts w:cstheme="minorHAnsi"/>
        </w:rPr>
        <w:t xml:space="preserve">https://doi.org/10.1108/EJM-11-2019-0851 </w:t>
      </w:r>
    </w:p>
    <w:p w:rsidR="002D4DAC" w:rsidRPr="00634704" w:rsidP="00A1092A" w14:paraId="5F35AB8F" w14:textId="77777777">
      <w:pPr>
        <w:pStyle w:val="EndNoteBibliography"/>
        <w:spacing w:after="0"/>
        <w:ind w:left="720" w:hanging="720"/>
        <w:rPr>
          <w:rFonts w:asciiTheme="minorHAnsi" w:hAnsiTheme="minorHAnsi" w:cstheme="minorHAnsi"/>
        </w:rPr>
      </w:pPr>
    </w:p>
    <w:p w:rsidR="00A1092A" w:rsidRPr="00634704" w:rsidP="00A1092A" w14:paraId="42DED56A" w14:textId="13CC874E">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Thomson, R. K., McLean, R. M., Ning, S. X., &amp; Mainvil, L. A. (2016). Tick front-of-pack label has a positive nutritional impact on foods sold in New Zealand. </w:t>
      </w:r>
      <w:r w:rsidRPr="00634704">
        <w:rPr>
          <w:rFonts w:asciiTheme="minorHAnsi" w:hAnsiTheme="minorHAnsi" w:cstheme="minorHAnsi"/>
          <w:i/>
        </w:rPr>
        <w:t>Public Health Nutr</w:t>
      </w:r>
      <w:r w:rsidRPr="00634704" w:rsidR="00117F2D">
        <w:rPr>
          <w:rFonts w:asciiTheme="minorHAnsi" w:hAnsiTheme="minorHAnsi" w:cstheme="minorHAnsi"/>
          <w:i/>
        </w:rPr>
        <w:t>ition</w:t>
      </w:r>
      <w:r w:rsidRPr="00634704">
        <w:rPr>
          <w:rFonts w:asciiTheme="minorHAnsi" w:hAnsiTheme="minorHAnsi" w:cstheme="minorHAnsi"/>
          <w:i/>
        </w:rPr>
        <w:t>, 19</w:t>
      </w:r>
      <w:r w:rsidRPr="00634704">
        <w:rPr>
          <w:rFonts w:asciiTheme="minorHAnsi" w:hAnsiTheme="minorHAnsi" w:cstheme="minorHAnsi"/>
        </w:rPr>
        <w:t xml:space="preserve">(16), 2949-2958. </w:t>
      </w:r>
      <w:r w:rsidRPr="00634704" w:rsidR="00117F2D">
        <w:rPr>
          <w:rFonts w:asciiTheme="minorHAnsi" w:hAnsiTheme="minorHAnsi" w:cstheme="minorHAnsi"/>
        </w:rPr>
        <w:t>https://</w:t>
      </w:r>
      <w:r w:rsidRPr="00634704">
        <w:rPr>
          <w:rFonts w:asciiTheme="minorHAnsi" w:hAnsiTheme="minorHAnsi" w:cstheme="minorHAnsi"/>
        </w:rPr>
        <w:t>doi:10.1017/s1368980016001208</w:t>
      </w:r>
    </w:p>
    <w:p w:rsidR="002D4DAC" w:rsidRPr="00634704" w:rsidP="007347C0" w14:paraId="5CB156FC" w14:textId="77777777">
      <w:pPr>
        <w:autoSpaceDE w:val="0"/>
        <w:autoSpaceDN w:val="0"/>
        <w:adjustRightInd w:val="0"/>
        <w:spacing w:after="0" w:line="240" w:lineRule="auto"/>
        <w:ind w:left="720" w:hanging="720"/>
        <w:rPr>
          <w:rFonts w:cstheme="minorHAnsi"/>
        </w:rPr>
      </w:pPr>
    </w:p>
    <w:p w:rsidR="00117F2D" w:rsidRPr="00634704" w:rsidP="006765FF" w14:paraId="60668A8C" w14:textId="64079519">
      <w:pPr>
        <w:autoSpaceDE w:val="0"/>
        <w:autoSpaceDN w:val="0"/>
        <w:adjustRightInd w:val="0"/>
        <w:spacing w:after="0" w:line="240" w:lineRule="auto"/>
        <w:ind w:left="720" w:hanging="720"/>
        <w:rPr>
          <w:rFonts w:cstheme="minorHAnsi"/>
        </w:rPr>
      </w:pPr>
      <w:r w:rsidRPr="00634704">
        <w:rPr>
          <w:rFonts w:cstheme="minorHAnsi"/>
        </w:rPr>
        <w:t xml:space="preserve">Todd, M., Guetterman, T., Volschenk, J., Kidd, M., &amp; Joubert, E. (2022). Healthy or Not Healthy? A Mixed-Methods Approach to Evaluate Front-of-Pack Nutrition Labels as a Tool to Guide Consumers. </w:t>
      </w:r>
      <w:r w:rsidRPr="00634704">
        <w:rPr>
          <w:rFonts w:cstheme="minorHAnsi"/>
          <w:i/>
        </w:rPr>
        <w:t>Nutrients</w:t>
      </w:r>
      <w:r w:rsidRPr="00634704">
        <w:rPr>
          <w:rFonts w:cstheme="minorHAnsi"/>
        </w:rPr>
        <w:t>,</w:t>
      </w:r>
      <w:r w:rsidRPr="00634704">
        <w:rPr>
          <w:rFonts w:cstheme="minorHAnsi"/>
          <w:i/>
        </w:rPr>
        <w:t xml:space="preserve"> 14</w:t>
      </w:r>
      <w:r w:rsidRPr="00634704">
        <w:rPr>
          <w:rFonts w:cstheme="minorHAnsi"/>
        </w:rPr>
        <w:t>(14)</w:t>
      </w:r>
      <w:r w:rsidRPr="00634704" w:rsidR="00A408EE">
        <w:rPr>
          <w:rFonts w:cstheme="minorHAnsi"/>
        </w:rPr>
        <w:t xml:space="preserve">, </w:t>
      </w:r>
      <w:r w:rsidRPr="00634704" w:rsidR="00A408EE">
        <w:rPr>
          <w:rFonts w:cstheme="minorHAnsi"/>
          <w:color w:val="212121"/>
          <w:shd w:val="clear" w:color="auto" w:fill="FFFFFF"/>
        </w:rPr>
        <w:t>2801</w:t>
      </w:r>
      <w:r w:rsidRPr="00634704">
        <w:rPr>
          <w:rFonts w:cstheme="minorHAnsi"/>
        </w:rPr>
        <w:t xml:space="preserve">. </w:t>
      </w:r>
    </w:p>
    <w:p w:rsidR="006765FF" w:rsidRPr="00634704" w:rsidP="00B135E4" w14:paraId="5F91E557" w14:textId="68ECD2F9">
      <w:pPr>
        <w:autoSpaceDE w:val="0"/>
        <w:autoSpaceDN w:val="0"/>
        <w:adjustRightInd w:val="0"/>
        <w:spacing w:after="0" w:line="240" w:lineRule="auto"/>
        <w:ind w:left="720"/>
        <w:rPr>
          <w:rFonts w:cstheme="minorHAnsi"/>
        </w:rPr>
      </w:pPr>
      <w:r w:rsidRPr="00634704">
        <w:rPr>
          <w:rFonts w:cstheme="minorHAnsi"/>
        </w:rPr>
        <w:t xml:space="preserve">https://doi.org/10.3390/nu14142801 </w:t>
      </w:r>
    </w:p>
    <w:p w:rsidR="00A1092A" w:rsidRPr="00634704" w:rsidP="00A1092A" w14:paraId="79AE2A88" w14:textId="77777777">
      <w:pPr>
        <w:pStyle w:val="EndNoteBibliography"/>
        <w:spacing w:after="0"/>
        <w:ind w:left="720" w:hanging="720"/>
        <w:rPr>
          <w:rFonts w:asciiTheme="minorHAnsi" w:hAnsiTheme="minorHAnsi" w:cstheme="minorHAnsi"/>
        </w:rPr>
      </w:pPr>
    </w:p>
    <w:p w:rsidR="00A408EE" w:rsidRPr="00634704" w:rsidP="00A1092A" w14:paraId="2DEC4FC0" w14:textId="1FEF79B7">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Tortora, G., &amp; Ares, G. (2018). Influence of time orientation on food choice: Case study with cookie labels. </w:t>
      </w:r>
      <w:r w:rsidRPr="00634704">
        <w:rPr>
          <w:rFonts w:asciiTheme="minorHAnsi" w:hAnsiTheme="minorHAnsi" w:cstheme="minorHAnsi"/>
          <w:i/>
          <w:color w:val="212121"/>
          <w:shd w:val="clear" w:color="auto" w:fill="FFFFFF"/>
        </w:rPr>
        <w:t xml:space="preserve">Food </w:t>
      </w:r>
      <w:r w:rsidRPr="00634704" w:rsidR="00F82A36">
        <w:rPr>
          <w:rFonts w:asciiTheme="minorHAnsi" w:hAnsiTheme="minorHAnsi" w:cstheme="minorHAnsi"/>
          <w:i/>
          <w:iCs/>
          <w:color w:val="212121"/>
          <w:shd w:val="clear" w:color="auto" w:fill="FFFFFF"/>
        </w:rPr>
        <w:t>research international</w:t>
      </w:r>
      <w:r w:rsidRPr="00634704">
        <w:rPr>
          <w:rFonts w:asciiTheme="minorHAnsi" w:hAnsiTheme="minorHAnsi" w:cstheme="minorHAnsi"/>
          <w:i/>
        </w:rPr>
        <w:t>, 106</w:t>
      </w:r>
      <w:r w:rsidRPr="00634704">
        <w:rPr>
          <w:rFonts w:asciiTheme="minorHAnsi" w:hAnsiTheme="minorHAnsi" w:cstheme="minorHAnsi"/>
        </w:rPr>
        <w:t xml:space="preserve">, 706-711. </w:t>
      </w:r>
    </w:p>
    <w:p w:rsidR="00A1092A" w:rsidRPr="00634704" w:rsidP="00B135E4" w14:paraId="29A29A3F" w14:textId="0F729572">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Pr>
          <w:rFonts w:asciiTheme="minorHAnsi" w:hAnsiTheme="minorHAnsi" w:cstheme="minorHAnsi"/>
        </w:rPr>
        <w:t>doi:10.1016/j.foodres.2018.01.045</w:t>
      </w:r>
    </w:p>
    <w:p w:rsidR="00007BD3" w:rsidRPr="00634704" w:rsidP="00A1092A" w14:paraId="5786317D" w14:textId="77777777">
      <w:pPr>
        <w:pStyle w:val="EndNoteBibliography"/>
        <w:spacing w:after="0"/>
        <w:ind w:left="720" w:hanging="720"/>
        <w:rPr>
          <w:rFonts w:asciiTheme="minorHAnsi" w:hAnsiTheme="minorHAnsi" w:cstheme="minorHAnsi"/>
        </w:rPr>
      </w:pPr>
    </w:p>
    <w:p w:rsidR="00183CE5" w:rsidRPr="00634704" w:rsidP="00A1092A" w14:paraId="7DFB00DE" w14:textId="5C58EA46">
      <w:pPr>
        <w:pStyle w:val="EndNoteBibliography"/>
        <w:spacing w:after="0"/>
        <w:ind w:left="720" w:hanging="720"/>
        <w:rPr>
          <w:rFonts w:asciiTheme="minorHAnsi" w:hAnsiTheme="minorHAnsi" w:cstheme="minorHAnsi"/>
        </w:rPr>
      </w:pPr>
      <w:r w:rsidRPr="00634704">
        <w:rPr>
          <w:rFonts w:asciiTheme="minorHAnsi" w:hAnsiTheme="minorHAnsi" w:cstheme="minorHAnsi"/>
        </w:rPr>
        <w:t>Tortora, G. Machina, L., &amp; Ares, G. (</w:t>
      </w:r>
      <w:r w:rsidRPr="00634704" w:rsidR="008E5D93">
        <w:rPr>
          <w:rFonts w:asciiTheme="minorHAnsi" w:hAnsiTheme="minorHAnsi" w:cstheme="minorHAnsi"/>
        </w:rPr>
        <w:t>2019). Influence of nutritional warnings and other label features on consumers' choice: Results from an eye-tracking study</w:t>
      </w:r>
      <w:r w:rsidRPr="00634704" w:rsidR="008E5D93">
        <w:rPr>
          <w:rFonts w:asciiTheme="minorHAnsi" w:hAnsiTheme="minorHAnsi" w:cstheme="minorHAnsi"/>
          <w:i/>
        </w:rPr>
        <w:t>. Food Research International</w:t>
      </w:r>
      <w:r w:rsidRPr="00634704" w:rsidR="008E5D93">
        <w:rPr>
          <w:rFonts w:asciiTheme="minorHAnsi" w:hAnsiTheme="minorHAnsi" w:cstheme="minorHAnsi"/>
        </w:rPr>
        <w:t xml:space="preserve">, </w:t>
      </w:r>
      <w:r w:rsidRPr="00634704" w:rsidR="00ED0AF6">
        <w:rPr>
          <w:rFonts w:asciiTheme="minorHAnsi" w:hAnsiTheme="minorHAnsi" w:cstheme="minorHAnsi"/>
        </w:rPr>
        <w:t>119</w:t>
      </w:r>
      <w:r w:rsidRPr="00634704" w:rsidR="00565328">
        <w:rPr>
          <w:rFonts w:asciiTheme="minorHAnsi" w:hAnsiTheme="minorHAnsi" w:cstheme="minorHAnsi"/>
        </w:rPr>
        <w:t>,</w:t>
      </w:r>
      <w:r w:rsidRPr="00634704" w:rsidR="00565328">
        <w:rPr>
          <w:rFonts w:asciiTheme="minorHAnsi" w:hAnsiTheme="minorHAnsi" w:cstheme="minorHAnsi"/>
          <w:color w:val="212121"/>
          <w:shd w:val="clear" w:color="auto" w:fill="FFFFFF"/>
        </w:rPr>
        <w:t xml:space="preserve"> 605–611</w:t>
      </w:r>
      <w:r w:rsidRPr="00634704" w:rsidR="00ED0AF6">
        <w:rPr>
          <w:rFonts w:asciiTheme="minorHAnsi" w:hAnsiTheme="minorHAnsi" w:cstheme="minorHAnsi"/>
        </w:rPr>
        <w:t xml:space="preserve">. </w:t>
      </w:r>
    </w:p>
    <w:p w:rsidR="00007BD3" w:rsidRPr="00634704" w:rsidP="00B135E4" w14:paraId="0092D347" w14:textId="2CF59A96">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1C3AC3">
        <w:rPr>
          <w:rFonts w:asciiTheme="minorHAnsi" w:hAnsiTheme="minorHAnsi" w:cstheme="minorHAnsi"/>
        </w:rPr>
        <w:t>doi: 10.1016/j.foodres.2018.10.038</w:t>
      </w:r>
    </w:p>
    <w:p w:rsidR="002D4DAC" w:rsidRPr="00634704" w:rsidP="007347C0" w14:paraId="0D413F50" w14:textId="77777777">
      <w:pPr>
        <w:autoSpaceDE w:val="0"/>
        <w:autoSpaceDN w:val="0"/>
        <w:adjustRightInd w:val="0"/>
        <w:spacing w:after="0" w:line="240" w:lineRule="auto"/>
        <w:ind w:left="720" w:hanging="720"/>
        <w:rPr>
          <w:rFonts w:cstheme="minorHAnsi"/>
        </w:rPr>
      </w:pPr>
    </w:p>
    <w:p w:rsidR="00BC19C3" w:rsidRPr="00634704" w:rsidP="006765FF" w14:paraId="77946009" w14:textId="77777777">
      <w:pPr>
        <w:autoSpaceDE w:val="0"/>
        <w:autoSpaceDN w:val="0"/>
        <w:adjustRightInd w:val="0"/>
        <w:spacing w:after="0" w:line="240" w:lineRule="auto"/>
        <w:ind w:left="720" w:hanging="720"/>
        <w:rPr>
          <w:rFonts w:cstheme="minorHAnsi"/>
        </w:rPr>
      </w:pPr>
      <w:r w:rsidRPr="00634704">
        <w:rPr>
          <w:rFonts w:cstheme="minorHAnsi"/>
        </w:rPr>
        <w:t xml:space="preserve">van den Akker, K., Bartelet, D., Brouwer, L., Luijpers, S., Nap, T., &amp; Havermans, R. (2022). The impact of the </w:t>
      </w:r>
      <w:r w:rsidRPr="00634704" w:rsidR="004B6E26">
        <w:rPr>
          <w:rFonts w:cstheme="minorHAnsi"/>
        </w:rPr>
        <w:t>Nutri-Score</w:t>
      </w:r>
      <w:r w:rsidRPr="00634704">
        <w:rPr>
          <w:rFonts w:cstheme="minorHAnsi"/>
        </w:rPr>
        <w:t xml:space="preserve"> on food choice: A choice experiment in a Dutch supermarket. </w:t>
      </w:r>
      <w:r w:rsidRPr="00634704">
        <w:rPr>
          <w:rFonts w:cstheme="minorHAnsi"/>
          <w:i/>
        </w:rPr>
        <w:t>Appetite</w:t>
      </w:r>
      <w:r w:rsidRPr="00634704">
        <w:rPr>
          <w:rFonts w:cstheme="minorHAnsi"/>
        </w:rPr>
        <w:t>,</w:t>
      </w:r>
      <w:r w:rsidRPr="00634704">
        <w:rPr>
          <w:rFonts w:cstheme="minorHAnsi"/>
          <w:i/>
        </w:rPr>
        <w:t xml:space="preserve"> 168</w:t>
      </w:r>
      <w:r w:rsidRPr="00634704">
        <w:rPr>
          <w:rFonts w:cstheme="minorHAnsi"/>
        </w:rPr>
        <w:t xml:space="preserve">, 105664. </w:t>
      </w:r>
    </w:p>
    <w:p w:rsidR="006765FF" w:rsidRPr="00634704" w:rsidP="00B135E4" w14:paraId="132F58FA" w14:textId="123ADF47">
      <w:pPr>
        <w:autoSpaceDE w:val="0"/>
        <w:autoSpaceDN w:val="0"/>
        <w:adjustRightInd w:val="0"/>
        <w:spacing w:after="0" w:line="240" w:lineRule="auto"/>
        <w:ind w:left="720"/>
        <w:rPr>
          <w:rFonts w:cstheme="minorHAnsi"/>
        </w:rPr>
      </w:pPr>
      <w:r w:rsidRPr="00634704">
        <w:rPr>
          <w:rFonts w:cstheme="minorHAnsi"/>
        </w:rPr>
        <w:t xml:space="preserve">https://doi.org/10.1016/j.appet.2021.105664 </w:t>
      </w:r>
    </w:p>
    <w:p w:rsidR="006E4A64" w:rsidRPr="00634704" w:rsidP="00A1092A" w14:paraId="6F97DFE8" w14:textId="77777777">
      <w:pPr>
        <w:pStyle w:val="EndNoteBibliography"/>
        <w:spacing w:after="0"/>
        <w:ind w:left="720" w:hanging="720"/>
        <w:rPr>
          <w:rFonts w:asciiTheme="minorHAnsi" w:hAnsiTheme="minorHAnsi" w:cstheme="minorHAnsi"/>
        </w:rPr>
      </w:pPr>
    </w:p>
    <w:p w:rsidR="007347C0" w:rsidRPr="00634704" w:rsidP="007347C0" w14:paraId="3341A906" w14:textId="1911C59A">
      <w:pPr>
        <w:autoSpaceDE w:val="0"/>
        <w:autoSpaceDN w:val="0"/>
        <w:adjustRightInd w:val="0"/>
        <w:spacing w:after="0" w:line="240" w:lineRule="auto"/>
        <w:ind w:left="720" w:hanging="720"/>
        <w:rPr>
          <w:rFonts w:cstheme="minorHAnsi"/>
        </w:rPr>
      </w:pPr>
      <w:r w:rsidRPr="00634704">
        <w:rPr>
          <w:rFonts w:cstheme="minorHAnsi"/>
        </w:rPr>
        <w:t xml:space="preserve">Vanderlee, L., Franco-Arellano, B., Ahmed, M., Oh, A., Lou, W., &amp; L'Abbé, M. R. (2021). The efficacy of 'high in' warning labels, health star and traffic light front-of-package labelling: an online randomised control trial. </w:t>
      </w:r>
      <w:r w:rsidRPr="00634704">
        <w:rPr>
          <w:rFonts w:cstheme="minorHAnsi"/>
          <w:i/>
        </w:rPr>
        <w:t xml:space="preserve">Public Health </w:t>
      </w:r>
      <w:r w:rsidRPr="00634704">
        <w:rPr>
          <w:rFonts w:cstheme="minorHAnsi"/>
          <w:i/>
          <w:iCs/>
        </w:rPr>
        <w:t>Nutr</w:t>
      </w:r>
      <w:r w:rsidRPr="00634704" w:rsidR="00752DFA">
        <w:rPr>
          <w:rFonts w:cstheme="minorHAnsi"/>
          <w:i/>
          <w:iCs/>
        </w:rPr>
        <w:t>ition</w:t>
      </w:r>
      <w:r w:rsidRPr="00634704">
        <w:rPr>
          <w:rFonts w:cstheme="minorHAnsi"/>
        </w:rPr>
        <w:t>,</w:t>
      </w:r>
      <w:r w:rsidRPr="00634704">
        <w:rPr>
          <w:rFonts w:cstheme="minorHAnsi"/>
          <w:i/>
        </w:rPr>
        <w:t xml:space="preserve"> 24</w:t>
      </w:r>
      <w:r w:rsidRPr="00634704">
        <w:rPr>
          <w:rFonts w:cstheme="minorHAnsi"/>
        </w:rPr>
        <w:t xml:space="preserve">(1), 62-74. https://doi.org/10.1017/s1368980020003213 </w:t>
      </w:r>
    </w:p>
    <w:p w:rsidR="00015052" w:rsidRPr="00634704" w:rsidP="00A1092A" w14:paraId="3F9BED16" w14:textId="77777777">
      <w:pPr>
        <w:pStyle w:val="EndNoteBibliography"/>
        <w:spacing w:after="0"/>
        <w:ind w:left="720" w:hanging="720"/>
        <w:rPr>
          <w:rFonts w:asciiTheme="minorHAnsi" w:hAnsiTheme="minorHAnsi" w:cstheme="minorHAnsi"/>
        </w:rPr>
      </w:pPr>
    </w:p>
    <w:p w:rsidR="00F078A0" w:rsidRPr="00634704" w:rsidP="00A1092A" w14:paraId="5ED8EB93" w14:textId="7219F306">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Vandevijvere, S., Vermote, M., </w:t>
      </w:r>
      <w:r w:rsidRPr="00634704" w:rsidR="00EB057D">
        <w:rPr>
          <w:rFonts w:asciiTheme="minorHAnsi" w:hAnsiTheme="minorHAnsi" w:cstheme="minorHAnsi"/>
        </w:rPr>
        <w:t>Egnell, M., Galan, P., Talati, Z., Pettigrew, S., Hercberg, S.,  &amp; Julia, C.</w:t>
      </w:r>
      <w:r w:rsidRPr="00634704" w:rsidR="00596C03">
        <w:rPr>
          <w:rFonts w:asciiTheme="minorHAnsi" w:hAnsiTheme="minorHAnsi" w:cstheme="minorHAnsi"/>
        </w:rPr>
        <w:t xml:space="preserve"> (2020). Consumers’ food choices, understanding and perceptions in response to different front-of-pack nutrition labelling systems in Belgium: results from an online experimental study. </w:t>
      </w:r>
      <w:r w:rsidRPr="00634704" w:rsidR="00596C03">
        <w:rPr>
          <w:rFonts w:asciiTheme="minorHAnsi" w:hAnsiTheme="minorHAnsi" w:cstheme="minorHAnsi"/>
          <w:i/>
        </w:rPr>
        <w:t>Archives of Public Health</w:t>
      </w:r>
      <w:r w:rsidRPr="00634704" w:rsidR="00596C03">
        <w:rPr>
          <w:rFonts w:asciiTheme="minorHAnsi" w:hAnsiTheme="minorHAnsi" w:cstheme="minorHAnsi"/>
        </w:rPr>
        <w:t>, 78</w:t>
      </w:r>
      <w:r w:rsidRPr="00634704">
        <w:rPr>
          <w:rFonts w:asciiTheme="minorHAnsi" w:hAnsiTheme="minorHAnsi" w:cstheme="minorHAnsi"/>
        </w:rPr>
        <w:t xml:space="preserve">, </w:t>
      </w:r>
      <w:r w:rsidRPr="00634704" w:rsidR="00596C03">
        <w:rPr>
          <w:rFonts w:asciiTheme="minorHAnsi" w:hAnsiTheme="minorHAnsi" w:cstheme="minorHAnsi"/>
        </w:rPr>
        <w:t xml:space="preserve">30. </w:t>
      </w:r>
    </w:p>
    <w:p w:rsidR="00015052" w:rsidRPr="00634704" w:rsidP="00B5638A" w14:paraId="5030407F" w14:textId="688D34CC">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596C03">
        <w:rPr>
          <w:rFonts w:asciiTheme="minorHAnsi" w:hAnsiTheme="minorHAnsi" w:cstheme="minorHAnsi"/>
        </w:rPr>
        <w:t>doi:10.1186/s13690-020-00404-3</w:t>
      </w:r>
    </w:p>
    <w:p w:rsidR="00A6744C" w:rsidRPr="00634704" w:rsidP="00A1092A" w14:paraId="2AFFE260" w14:textId="77777777">
      <w:pPr>
        <w:pStyle w:val="EndNoteBibliography"/>
        <w:spacing w:after="0"/>
        <w:ind w:left="720" w:hanging="720"/>
        <w:rPr>
          <w:rFonts w:asciiTheme="minorHAnsi" w:hAnsiTheme="minorHAnsi" w:cstheme="minorHAnsi"/>
        </w:rPr>
      </w:pPr>
    </w:p>
    <w:p w:rsidR="00E36C2F" w:rsidRPr="00634704" w:rsidP="00A1092A" w14:paraId="535ADFE7" w14:textId="0C2F6DA0">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Vargas-Meza, J., Jáuregui, A., Contreras-Manzano, A., Nieto, C. &amp; Barquera, S. </w:t>
      </w:r>
      <w:r w:rsidRPr="00634704" w:rsidR="00AD73BB">
        <w:rPr>
          <w:rFonts w:asciiTheme="minorHAnsi" w:hAnsiTheme="minorHAnsi" w:cstheme="minorHAnsi"/>
        </w:rPr>
        <w:t>(2019). Acceptability and understanding of front</w:t>
      </w:r>
      <w:r w:rsidRPr="00634704" w:rsidR="006765FF">
        <w:rPr>
          <w:rFonts w:asciiTheme="minorHAnsi" w:hAnsiTheme="minorHAnsi" w:cstheme="minorHAnsi"/>
        </w:rPr>
        <w:t>-</w:t>
      </w:r>
      <w:r w:rsidRPr="00634704" w:rsidR="00AD73BB">
        <w:rPr>
          <w:rFonts w:asciiTheme="minorHAnsi" w:hAnsiTheme="minorHAnsi" w:cstheme="minorHAnsi"/>
        </w:rPr>
        <w:t xml:space="preserve">of-pack nutritional labels: an experimental study in Mexican consumers. </w:t>
      </w:r>
      <w:r w:rsidRPr="00634704" w:rsidR="00AD73BB">
        <w:rPr>
          <w:rFonts w:asciiTheme="minorHAnsi" w:hAnsiTheme="minorHAnsi" w:cstheme="minorHAnsi"/>
          <w:i/>
        </w:rPr>
        <w:t>BMC Public Health</w:t>
      </w:r>
      <w:r w:rsidRPr="00634704" w:rsidR="00AD73BB">
        <w:rPr>
          <w:rFonts w:asciiTheme="minorHAnsi" w:hAnsiTheme="minorHAnsi" w:cstheme="minorHAnsi"/>
        </w:rPr>
        <w:t>, 19</w:t>
      </w:r>
      <w:r w:rsidRPr="00634704">
        <w:rPr>
          <w:rFonts w:asciiTheme="minorHAnsi" w:hAnsiTheme="minorHAnsi" w:cstheme="minorHAnsi"/>
        </w:rPr>
        <w:t xml:space="preserve">, </w:t>
      </w:r>
      <w:r w:rsidRPr="00634704" w:rsidR="00AD73BB">
        <w:rPr>
          <w:rFonts w:asciiTheme="minorHAnsi" w:hAnsiTheme="minorHAnsi" w:cstheme="minorHAnsi"/>
        </w:rPr>
        <w:t xml:space="preserve">1751. </w:t>
      </w:r>
    </w:p>
    <w:p w:rsidR="00A6744C" w:rsidRPr="00634704" w:rsidP="00B5638A" w14:paraId="462B2505" w14:textId="128D3BBD">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AD73BB">
        <w:rPr>
          <w:rFonts w:asciiTheme="minorHAnsi" w:hAnsiTheme="minorHAnsi" w:cstheme="minorHAnsi"/>
        </w:rPr>
        <w:t>doi:10.1186/s12889-019-8108-z</w:t>
      </w:r>
    </w:p>
    <w:p w:rsidR="00DB5229" w:rsidRPr="00634704" w:rsidP="00A1092A" w14:paraId="652CCE70" w14:textId="77777777">
      <w:pPr>
        <w:pStyle w:val="EndNoteBibliography"/>
        <w:spacing w:after="0"/>
        <w:ind w:left="720" w:hanging="720"/>
        <w:rPr>
          <w:rFonts w:asciiTheme="minorHAnsi" w:hAnsiTheme="minorHAnsi" w:cstheme="minorHAnsi"/>
        </w:rPr>
      </w:pPr>
    </w:p>
    <w:p w:rsidR="0057403D" w:rsidRPr="00634704" w:rsidP="00A1092A" w14:paraId="05CCC4AC" w14:textId="6CE4B3A4">
      <w:pPr>
        <w:pStyle w:val="EndNoteBibliography"/>
        <w:spacing w:after="0"/>
        <w:ind w:left="720" w:hanging="720"/>
        <w:rPr>
          <w:rFonts w:asciiTheme="minorHAnsi" w:hAnsiTheme="minorHAnsi" w:cstheme="minorHAnsi"/>
        </w:rPr>
      </w:pPr>
      <w:r w:rsidRPr="00634704">
        <w:rPr>
          <w:rFonts w:asciiTheme="minorHAnsi" w:hAnsiTheme="minorHAnsi" w:cstheme="minorHAnsi"/>
        </w:rPr>
        <w:t>Vargas-Meza, J., Jáuregui, A., Pacheco-Miranda, S., Contreras-Manzano, A., &amp; Barquera, S.</w:t>
      </w:r>
      <w:r w:rsidRPr="00634704" w:rsidR="005A1B94">
        <w:rPr>
          <w:rFonts w:asciiTheme="minorHAnsi" w:hAnsiTheme="minorHAnsi" w:cstheme="minorHAnsi"/>
        </w:rPr>
        <w:t xml:space="preserve"> (2019). Front-of-pack nutritional labels: Understanding by low- and middle-income Mexican consumers. </w:t>
      </w:r>
      <w:r w:rsidRPr="00634704">
        <w:rPr>
          <w:rFonts w:asciiTheme="minorHAnsi" w:hAnsiTheme="minorHAnsi" w:cstheme="minorHAnsi"/>
          <w:i/>
          <w:iCs/>
          <w:color w:val="212121"/>
          <w:shd w:val="clear" w:color="auto" w:fill="FFFFFF"/>
        </w:rPr>
        <w:t>PloS one</w:t>
      </w:r>
      <w:r w:rsidRPr="00634704">
        <w:rPr>
          <w:rFonts w:asciiTheme="minorHAnsi" w:hAnsiTheme="minorHAnsi" w:cstheme="minorHAnsi"/>
          <w:color w:val="212121"/>
          <w:shd w:val="clear" w:color="auto" w:fill="FFFFFF"/>
        </w:rPr>
        <w:t>, </w:t>
      </w:r>
      <w:r w:rsidRPr="00634704">
        <w:rPr>
          <w:rFonts w:asciiTheme="minorHAnsi" w:hAnsiTheme="minorHAnsi" w:cstheme="minorHAnsi"/>
          <w:i/>
          <w:iCs/>
          <w:color w:val="212121"/>
          <w:shd w:val="clear" w:color="auto" w:fill="FFFFFF"/>
        </w:rPr>
        <w:t>14</w:t>
      </w:r>
      <w:r w:rsidRPr="00634704">
        <w:rPr>
          <w:rFonts w:asciiTheme="minorHAnsi" w:hAnsiTheme="minorHAnsi" w:cstheme="minorHAnsi"/>
          <w:color w:val="212121"/>
          <w:shd w:val="clear" w:color="auto" w:fill="FFFFFF"/>
        </w:rPr>
        <w:t>(11), e0225268.</w:t>
      </w:r>
      <w:r w:rsidRPr="00634704" w:rsidR="005A0263">
        <w:rPr>
          <w:rFonts w:asciiTheme="minorHAnsi" w:hAnsiTheme="minorHAnsi" w:cstheme="minorHAnsi"/>
        </w:rPr>
        <w:t xml:space="preserve"> </w:t>
      </w:r>
    </w:p>
    <w:p w:rsidR="00DB5229" w:rsidRPr="00634704" w:rsidP="00B5638A" w14:paraId="1AD736FF" w14:textId="1CCC7F36">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5A0263">
        <w:rPr>
          <w:rFonts w:asciiTheme="minorHAnsi" w:hAnsiTheme="minorHAnsi" w:cstheme="minorHAnsi"/>
        </w:rPr>
        <w:t>doi:10.1371/journal.pone.0225268</w:t>
      </w:r>
    </w:p>
    <w:p w:rsidR="00A1092A" w:rsidRPr="00634704" w:rsidP="00A1092A" w14:paraId="5E0419A8" w14:textId="77777777">
      <w:pPr>
        <w:pStyle w:val="EndNoteBibliography"/>
        <w:spacing w:after="0"/>
        <w:ind w:left="720" w:hanging="720"/>
        <w:rPr>
          <w:rFonts w:asciiTheme="minorHAnsi" w:hAnsiTheme="minorHAnsi" w:cstheme="minorHAnsi"/>
        </w:rPr>
      </w:pPr>
    </w:p>
    <w:p w:rsidR="0057403D" w:rsidRPr="00634704" w:rsidP="00B5638A" w14:paraId="43239EC4" w14:textId="77777777">
      <w:pPr>
        <w:autoSpaceDE w:val="0"/>
        <w:autoSpaceDN w:val="0"/>
        <w:adjustRightInd w:val="0"/>
        <w:spacing w:after="0" w:line="240" w:lineRule="auto"/>
        <w:ind w:left="720" w:hanging="720"/>
        <w:rPr>
          <w:rFonts w:cstheme="minorHAnsi"/>
        </w:rPr>
      </w:pPr>
      <w:r w:rsidRPr="00634704">
        <w:rPr>
          <w:rFonts w:cstheme="minorHAnsi"/>
        </w:rPr>
        <w:t xml:space="preserve">Wang, C. Y., Hsu, C. J., &amp; Cai, D. (2022). Effects of food nutrition labels on the health awareness of school-age children. </w:t>
      </w:r>
      <w:r w:rsidRPr="00634704">
        <w:rPr>
          <w:rFonts w:cstheme="minorHAnsi"/>
          <w:i/>
        </w:rPr>
        <w:t>BMC Public Health</w:t>
      </w:r>
      <w:r w:rsidRPr="00634704">
        <w:rPr>
          <w:rFonts w:cstheme="minorHAnsi"/>
        </w:rPr>
        <w:t>,</w:t>
      </w:r>
      <w:r w:rsidRPr="00634704">
        <w:rPr>
          <w:rFonts w:cstheme="minorHAnsi"/>
          <w:i/>
        </w:rPr>
        <w:t xml:space="preserve"> </w:t>
      </w:r>
      <w:r w:rsidRPr="00B5638A">
        <w:rPr>
          <w:rFonts w:cstheme="minorHAnsi"/>
        </w:rPr>
        <w:t>22(1), 1249</w:t>
      </w:r>
      <w:r w:rsidRPr="00634704">
        <w:rPr>
          <w:rFonts w:cstheme="minorHAnsi"/>
        </w:rPr>
        <w:t xml:space="preserve">. </w:t>
      </w:r>
    </w:p>
    <w:p w:rsidR="006765FF" w:rsidRPr="00634704" w:rsidP="00B5638A" w14:paraId="2BA670D6" w14:textId="076B86EB">
      <w:pPr>
        <w:autoSpaceDE w:val="0"/>
        <w:autoSpaceDN w:val="0"/>
        <w:adjustRightInd w:val="0"/>
        <w:spacing w:after="0" w:line="240" w:lineRule="auto"/>
        <w:ind w:left="720"/>
        <w:rPr>
          <w:rFonts w:cstheme="minorHAnsi"/>
        </w:rPr>
      </w:pPr>
      <w:r w:rsidRPr="00634704">
        <w:rPr>
          <w:rFonts w:cstheme="minorHAnsi"/>
        </w:rPr>
        <w:t xml:space="preserve">https://doi.org/10.1186/s12889-022-13613-y </w:t>
      </w:r>
    </w:p>
    <w:p w:rsidR="0057403D" w:rsidRPr="00634704" w:rsidP="0057403D" w14:paraId="39C2ED1B" w14:textId="77777777">
      <w:pPr>
        <w:pStyle w:val="EndNoteBibliography"/>
        <w:spacing w:after="0"/>
        <w:ind w:left="720" w:hanging="720"/>
        <w:rPr>
          <w:rFonts w:asciiTheme="minorHAnsi" w:hAnsiTheme="minorHAnsi" w:cstheme="minorHAnsi"/>
        </w:rPr>
      </w:pPr>
    </w:p>
    <w:p w:rsidR="0057403D" w:rsidRPr="00634704" w:rsidP="0057403D" w14:paraId="35C1D970" w14:textId="6C38EBFE">
      <w:pPr>
        <w:pStyle w:val="EndNoteBibliography"/>
        <w:spacing w:after="0"/>
        <w:ind w:left="720" w:hanging="720"/>
        <w:rPr>
          <w:rFonts w:asciiTheme="minorHAnsi" w:hAnsiTheme="minorHAnsi" w:cstheme="minorHAnsi"/>
        </w:rPr>
      </w:pPr>
      <w:r w:rsidRPr="00634704">
        <w:rPr>
          <w:rFonts w:asciiTheme="minorHAnsi" w:hAnsiTheme="minorHAnsi" w:cstheme="minorHAnsi"/>
        </w:rPr>
        <w:t>Waterlander, W. (</w:t>
      </w:r>
      <w:r w:rsidRPr="00634704" w:rsidR="00386FEB">
        <w:rPr>
          <w:rFonts w:asciiTheme="minorHAnsi" w:hAnsiTheme="minorHAnsi" w:cstheme="minorHAnsi"/>
        </w:rPr>
        <w:t>2019). Are Front-of-Pack Nutrition Labels the Silver Bullet for Achieving Healthier Population Diets?</w:t>
      </w:r>
      <w:r w:rsidRPr="00634704" w:rsidR="00F311A2">
        <w:rPr>
          <w:rFonts w:asciiTheme="minorHAnsi" w:hAnsiTheme="minorHAnsi" w:cstheme="minorHAnsi"/>
        </w:rPr>
        <w:t xml:space="preserve"> </w:t>
      </w:r>
      <w:r w:rsidRPr="00634704" w:rsidR="00F311A2">
        <w:rPr>
          <w:rFonts w:asciiTheme="minorHAnsi" w:hAnsiTheme="minorHAnsi" w:cstheme="minorHAnsi"/>
          <w:i/>
        </w:rPr>
        <w:t>American Journal of Public Health</w:t>
      </w:r>
      <w:r w:rsidRPr="00634704" w:rsidR="00F311A2">
        <w:rPr>
          <w:rFonts w:asciiTheme="minorHAnsi" w:hAnsiTheme="minorHAnsi" w:cstheme="minorHAnsi"/>
        </w:rPr>
        <w:t>, 109(8)</w:t>
      </w:r>
      <w:r w:rsidRPr="00634704" w:rsidR="00A63768">
        <w:rPr>
          <w:rFonts w:asciiTheme="minorHAnsi" w:hAnsiTheme="minorHAnsi" w:cstheme="minorHAnsi"/>
        </w:rPr>
        <w:t xml:space="preserve">, </w:t>
      </w:r>
      <w:r w:rsidRPr="00634704" w:rsidR="00A63768">
        <w:rPr>
          <w:rFonts w:asciiTheme="minorHAnsi" w:hAnsiTheme="minorHAnsi" w:cstheme="minorHAnsi"/>
          <w:color w:val="212121"/>
          <w:shd w:val="clear" w:color="auto" w:fill="FFFFFF"/>
        </w:rPr>
        <w:t>1067–1068</w:t>
      </w:r>
      <w:r w:rsidRPr="00634704" w:rsidR="00F311A2">
        <w:rPr>
          <w:rFonts w:asciiTheme="minorHAnsi" w:hAnsiTheme="minorHAnsi" w:cstheme="minorHAnsi"/>
        </w:rPr>
        <w:t>.</w:t>
      </w:r>
      <w:r w:rsidRPr="00634704" w:rsidR="000171D5">
        <w:rPr>
          <w:rFonts w:asciiTheme="minorHAnsi" w:hAnsiTheme="minorHAnsi" w:cstheme="minorHAnsi"/>
        </w:rPr>
        <w:t xml:space="preserve"> </w:t>
      </w:r>
    </w:p>
    <w:p w:rsidR="00E13F87" w:rsidRPr="00634704" w:rsidP="00B5638A" w14:paraId="304F6D3C" w14:textId="5EC26403">
      <w:pPr>
        <w:pStyle w:val="EndNoteBibliography"/>
        <w:spacing w:after="0"/>
        <w:ind w:left="720"/>
        <w:rPr>
          <w:rFonts w:asciiTheme="minorHAnsi" w:hAnsiTheme="minorHAnsi" w:cstheme="minorHAnsi"/>
        </w:rPr>
      </w:pPr>
      <w:r w:rsidRPr="00634704">
        <w:rPr>
          <w:rFonts w:asciiTheme="minorHAnsi" w:hAnsiTheme="minorHAnsi" w:cstheme="minorHAnsi"/>
        </w:rPr>
        <w:t>https://</w:t>
      </w:r>
      <w:r w:rsidRPr="00634704" w:rsidR="000171D5">
        <w:rPr>
          <w:rFonts w:asciiTheme="minorHAnsi" w:hAnsiTheme="minorHAnsi" w:cstheme="minorHAnsi"/>
        </w:rPr>
        <w:t>doi:10.2105/AJPH.2019.305169</w:t>
      </w:r>
    </w:p>
    <w:p w:rsidR="00284DDA" w:rsidRPr="00634704" w:rsidP="007347C0" w14:paraId="74C9F00D" w14:textId="77777777">
      <w:pPr>
        <w:autoSpaceDE w:val="0"/>
        <w:autoSpaceDN w:val="0"/>
        <w:adjustRightInd w:val="0"/>
        <w:spacing w:after="0" w:line="240" w:lineRule="auto"/>
        <w:ind w:left="720" w:hanging="720"/>
        <w:rPr>
          <w:rFonts w:cstheme="minorHAnsi"/>
        </w:rPr>
      </w:pPr>
    </w:p>
    <w:p w:rsidR="006765FF" w:rsidRPr="00634704" w:rsidP="006765FF" w14:paraId="63A0A6F4" w14:textId="28719B41">
      <w:pPr>
        <w:autoSpaceDE w:val="0"/>
        <w:autoSpaceDN w:val="0"/>
        <w:adjustRightInd w:val="0"/>
        <w:spacing w:after="0" w:line="240" w:lineRule="auto"/>
        <w:ind w:left="720" w:hanging="720"/>
        <w:rPr>
          <w:rFonts w:cstheme="minorHAnsi"/>
        </w:rPr>
      </w:pPr>
      <w:r w:rsidRPr="00634704">
        <w:rPr>
          <w:rFonts w:cstheme="minorHAnsi"/>
        </w:rPr>
        <w:t xml:space="preserve">Werle, C. O. C., Pruski Yamim, A., Trendel, O., Roche, K., &amp; Nadaud, P. (2022). When Detailed Information Works Better: Comparison of Three- and Five-Color/Letter Front-of-Package Nutrition Labels. </w:t>
      </w:r>
      <w:r w:rsidRPr="00634704">
        <w:rPr>
          <w:rFonts w:cstheme="minorHAnsi"/>
          <w:i/>
        </w:rPr>
        <w:t>Journal of Public Policy &amp; Marketing</w:t>
      </w:r>
      <w:r w:rsidRPr="00634704">
        <w:rPr>
          <w:rFonts w:cstheme="minorHAnsi"/>
        </w:rPr>
        <w:t>,</w:t>
      </w:r>
      <w:r w:rsidRPr="00634704">
        <w:rPr>
          <w:rFonts w:cstheme="minorHAnsi"/>
          <w:i/>
        </w:rPr>
        <w:t xml:space="preserve"> 41</w:t>
      </w:r>
      <w:r w:rsidRPr="00634704">
        <w:rPr>
          <w:rFonts w:cstheme="minorHAnsi"/>
        </w:rPr>
        <w:t xml:space="preserve">(2), 177-195. https://doi.org/10.1177/07439156211061289 </w:t>
      </w:r>
    </w:p>
    <w:p w:rsidR="004526EA" w:rsidP="00A1092A" w14:paraId="490F73F0" w14:textId="5682CBCB">
      <w:pPr>
        <w:pStyle w:val="EndNoteBibliography"/>
        <w:spacing w:after="0"/>
        <w:ind w:left="720" w:hanging="720"/>
        <w:rPr>
          <w:rFonts w:asciiTheme="minorHAnsi" w:hAnsiTheme="minorHAnsi" w:cstheme="minorHAnsi"/>
        </w:rPr>
      </w:pPr>
    </w:p>
    <w:p w:rsidR="00411484" w:rsidRPr="00634704" w:rsidP="00411484" w14:paraId="2510DCDA" w14:textId="77777777">
      <w:pPr>
        <w:pStyle w:val="EndNoteBibliography"/>
        <w:spacing w:after="0"/>
        <w:ind w:left="720" w:hanging="720"/>
        <w:rPr>
          <w:rFonts w:asciiTheme="minorHAnsi" w:hAnsiTheme="minorHAnsi" w:cstheme="minorHAnsi"/>
        </w:rPr>
      </w:pPr>
      <w:r w:rsidRPr="00634704">
        <w:rPr>
          <w:rFonts w:asciiTheme="minorHAnsi" w:hAnsiTheme="minorHAnsi" w:cstheme="minorHAnsi"/>
        </w:rPr>
        <w:t>World Cancer Research Fund International (2019). Building momentum: lessons on implementing a robust front-of-pack food label. Available at wcrf.org/frontofpack</w:t>
      </w:r>
    </w:p>
    <w:p w:rsidR="00411484" w:rsidRPr="00634704" w:rsidP="00A1092A" w14:paraId="72D10ACD" w14:textId="77777777">
      <w:pPr>
        <w:pStyle w:val="EndNoteBibliography"/>
        <w:spacing w:after="0"/>
        <w:ind w:left="720" w:hanging="720"/>
        <w:rPr>
          <w:rFonts w:asciiTheme="minorHAnsi" w:hAnsiTheme="minorHAnsi" w:cstheme="minorHAnsi"/>
        </w:rPr>
      </w:pPr>
    </w:p>
    <w:p w:rsidR="004526EA" w:rsidRPr="00634704" w:rsidP="00A1092A" w14:paraId="4D48312C" w14:textId="74EE65C4">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World Health Organization. (2019). </w:t>
      </w:r>
      <w:r w:rsidRPr="00634704" w:rsidR="00E30677">
        <w:rPr>
          <w:rFonts w:asciiTheme="minorHAnsi" w:hAnsiTheme="minorHAnsi" w:cstheme="minorHAnsi"/>
        </w:rPr>
        <w:t xml:space="preserve">Guiding principles and framework manual for front-of-pack labelling for promoting healthy diet. </w:t>
      </w:r>
      <w:r w:rsidRPr="00634704" w:rsidR="00DF3E58">
        <w:rPr>
          <w:rFonts w:asciiTheme="minorHAnsi" w:hAnsiTheme="minorHAnsi" w:cstheme="minorHAnsi"/>
        </w:rPr>
        <w:t>Department of Nutrition for Health and Development</w:t>
      </w:r>
      <w:r w:rsidRPr="00634704" w:rsidR="00E30677">
        <w:rPr>
          <w:rFonts w:asciiTheme="minorHAnsi" w:hAnsiTheme="minorHAnsi" w:cstheme="minorHAnsi"/>
        </w:rPr>
        <w:t xml:space="preserve">. </w:t>
      </w:r>
      <w:r w:rsidRPr="00634704" w:rsidR="009C6D66">
        <w:rPr>
          <w:rFonts w:asciiTheme="minorHAnsi" w:hAnsiTheme="minorHAnsi" w:cstheme="minorHAnsi"/>
        </w:rPr>
        <w:t xml:space="preserve">World Health Organization. </w:t>
      </w:r>
      <w:r w:rsidRPr="00634704" w:rsidR="00CE41AE">
        <w:rPr>
          <w:rFonts w:asciiTheme="minorHAnsi" w:hAnsiTheme="minorHAnsi" w:cstheme="minorHAnsi"/>
        </w:rPr>
        <w:t>http://www.who.int</w:t>
      </w:r>
      <w:r w:rsidRPr="00634704" w:rsidR="009C6D66">
        <w:rPr>
          <w:rFonts w:asciiTheme="minorHAnsi" w:hAnsiTheme="minorHAnsi" w:cstheme="minorHAnsi"/>
        </w:rPr>
        <w:tab/>
      </w:r>
    </w:p>
    <w:p w:rsidR="00CE41AE" w:rsidRPr="00634704" w:rsidP="00A1092A" w14:paraId="5F9DEF52" w14:textId="77777777">
      <w:pPr>
        <w:pStyle w:val="EndNoteBibliography"/>
        <w:spacing w:after="0"/>
        <w:ind w:left="720" w:hanging="720"/>
        <w:rPr>
          <w:rFonts w:asciiTheme="minorHAnsi" w:hAnsiTheme="minorHAnsi" w:cstheme="minorHAnsi"/>
        </w:rPr>
      </w:pPr>
    </w:p>
    <w:p w:rsidR="00E13F87" w:rsidRPr="00634704" w:rsidP="00A1092A" w14:paraId="129AC87F" w14:textId="77777777">
      <w:pPr>
        <w:pStyle w:val="EndNoteBibliography"/>
        <w:spacing w:after="0"/>
        <w:ind w:left="720" w:hanging="720"/>
        <w:rPr>
          <w:rFonts w:asciiTheme="minorHAnsi" w:hAnsiTheme="minorHAnsi" w:cstheme="minorHAnsi"/>
        </w:rPr>
      </w:pPr>
    </w:p>
    <w:p w:rsidR="0032254F" w:rsidRPr="00634704" w:rsidP="006765FF" w14:paraId="02435701" w14:textId="03113B15">
      <w:pPr>
        <w:autoSpaceDE w:val="0"/>
        <w:autoSpaceDN w:val="0"/>
        <w:adjustRightInd w:val="0"/>
        <w:spacing w:after="0" w:line="240" w:lineRule="auto"/>
        <w:ind w:left="720" w:hanging="720"/>
        <w:rPr>
          <w:rFonts w:cstheme="minorHAnsi"/>
        </w:rPr>
      </w:pPr>
      <w:r w:rsidRPr="00634704">
        <w:rPr>
          <w:rFonts w:cstheme="minorHAnsi"/>
        </w:rPr>
        <w:t xml:space="preserve">Xuejun, Y. (2022). Key Stakeholder Perspectives on Introducing a Front-of-Pack Labelling Scheme on Packaged Foods in China: A Qualitative Study. </w:t>
      </w:r>
      <w:r w:rsidRPr="00634704">
        <w:rPr>
          <w:rFonts w:cstheme="minorHAnsi"/>
          <w:i/>
        </w:rPr>
        <w:t>Nutrients</w:t>
      </w:r>
      <w:r w:rsidRPr="00634704">
        <w:rPr>
          <w:rFonts w:cstheme="minorHAnsi"/>
        </w:rPr>
        <w:t>,</w:t>
      </w:r>
      <w:r w:rsidRPr="00634704">
        <w:rPr>
          <w:rFonts w:cstheme="minorHAnsi"/>
          <w:i/>
        </w:rPr>
        <w:t xml:space="preserve"> </w:t>
      </w:r>
      <w:r w:rsidRPr="009E6EF9">
        <w:rPr>
          <w:rFonts w:cstheme="minorHAnsi"/>
        </w:rPr>
        <w:t>14</w:t>
      </w:r>
      <w:r w:rsidRPr="00634704">
        <w:rPr>
          <w:rFonts w:cstheme="minorHAnsi"/>
        </w:rPr>
        <w:t xml:space="preserve">(3), </w:t>
      </w:r>
      <w:r w:rsidRPr="00634704" w:rsidR="00805404">
        <w:rPr>
          <w:rFonts w:cstheme="minorHAnsi"/>
        </w:rPr>
        <w:t>516</w:t>
      </w:r>
      <w:r w:rsidRPr="00634704">
        <w:rPr>
          <w:rFonts w:cstheme="minorHAnsi"/>
        </w:rPr>
        <w:t xml:space="preserve">. </w:t>
      </w:r>
    </w:p>
    <w:p w:rsidR="006765FF" w:rsidRPr="00634704" w:rsidP="009E6EF9" w14:paraId="64EC8D7E" w14:textId="06B9000B">
      <w:pPr>
        <w:autoSpaceDE w:val="0"/>
        <w:autoSpaceDN w:val="0"/>
        <w:adjustRightInd w:val="0"/>
        <w:spacing w:after="0" w:line="240" w:lineRule="auto"/>
        <w:ind w:left="720"/>
        <w:rPr>
          <w:rFonts w:cstheme="minorHAnsi"/>
        </w:rPr>
      </w:pPr>
      <w:r w:rsidRPr="00634704">
        <w:rPr>
          <w:rFonts w:cstheme="minorHAnsi"/>
        </w:rPr>
        <w:t xml:space="preserve">https://doi.org/10.3390/nu14030516 </w:t>
      </w:r>
    </w:p>
    <w:p w:rsidR="00284DDA" w:rsidRPr="00634704" w:rsidP="00A1092A" w14:paraId="79187032" w14:textId="77777777">
      <w:pPr>
        <w:pStyle w:val="EndNoteBibliography"/>
        <w:spacing w:after="0"/>
        <w:ind w:left="720" w:hanging="720"/>
        <w:rPr>
          <w:rFonts w:asciiTheme="minorHAnsi" w:hAnsiTheme="minorHAnsi" w:cstheme="minorHAnsi"/>
        </w:rPr>
      </w:pPr>
    </w:p>
    <w:p w:rsidR="00F21F80" w:rsidRPr="00634704" w:rsidP="00A1092A" w14:paraId="4543214C" w14:textId="6F9DAB4D">
      <w:pPr>
        <w:pStyle w:val="EndNoteBibliography"/>
        <w:spacing w:after="0"/>
        <w:ind w:left="720" w:hanging="720"/>
        <w:rPr>
          <w:rFonts w:asciiTheme="minorHAnsi" w:hAnsiTheme="minorHAnsi" w:cstheme="minorHAnsi"/>
        </w:rPr>
      </w:pPr>
      <w:r w:rsidRPr="00634704">
        <w:rPr>
          <w:rFonts w:asciiTheme="minorHAnsi" w:hAnsiTheme="minorHAnsi" w:cstheme="minorHAnsi"/>
        </w:rPr>
        <w:t xml:space="preserve">Yang, C., Liu, X., Ford, P., Leishman, S., &amp; Schubert, L. (2016). Analysis of Front-of-Pack labelling systems on packaged non-alcoholic beverages for Australian consumer guidance. </w:t>
      </w:r>
      <w:r w:rsidRPr="00634704">
        <w:rPr>
          <w:rFonts w:asciiTheme="minorHAnsi" w:hAnsiTheme="minorHAnsi" w:cstheme="minorHAnsi"/>
          <w:i/>
        </w:rPr>
        <w:t>Nutrition &amp; Dietetics, 73</w:t>
      </w:r>
      <w:r w:rsidRPr="00634704">
        <w:rPr>
          <w:rFonts w:asciiTheme="minorHAnsi" w:hAnsiTheme="minorHAnsi" w:cstheme="minorHAnsi"/>
        </w:rPr>
        <w:t xml:space="preserve">(5), 410-419. </w:t>
      </w:r>
    </w:p>
    <w:p w:rsidR="00A1092A" w:rsidRPr="00634704" w:rsidP="009E6EF9" w14:paraId="5E5939C4" w14:textId="3395F4F0">
      <w:pPr>
        <w:pStyle w:val="EndNoteBibliography"/>
        <w:spacing w:after="0"/>
        <w:ind w:left="720"/>
        <w:rPr>
          <w:rFonts w:asciiTheme="minorHAnsi" w:hAnsiTheme="minorHAnsi" w:cstheme="minorHAnsi"/>
          <w:u w:val="single"/>
        </w:rPr>
      </w:pPr>
      <w:r w:rsidRPr="00634704">
        <w:rPr>
          <w:rFonts w:asciiTheme="minorHAnsi" w:hAnsiTheme="minorHAnsi" w:cstheme="minorHAnsi"/>
        </w:rPr>
        <w:t>https://</w:t>
      </w:r>
      <w:r w:rsidRPr="00634704">
        <w:rPr>
          <w:rFonts w:asciiTheme="minorHAnsi" w:hAnsiTheme="minorHAnsi" w:cstheme="minorHAnsi"/>
        </w:rPr>
        <w:t>doi:10.1111/1747-0080.12257</w:t>
      </w:r>
    </w:p>
    <w:p w:rsidR="00A1092A" w:rsidRPr="00634704" w:rsidP="00A1092A" w14:paraId="2009F816" w14:textId="77777777">
      <w:pPr>
        <w:pStyle w:val="EndNoteBibliography"/>
        <w:spacing w:after="0"/>
        <w:ind w:left="720" w:hanging="720"/>
        <w:rPr>
          <w:rFonts w:asciiTheme="minorHAnsi" w:hAnsiTheme="minorHAnsi" w:cstheme="minorHAnsi"/>
          <w:u w:val="single"/>
        </w:rPr>
      </w:pPr>
    </w:p>
    <w:p w:rsidR="00C53679" w:rsidRPr="00634704" w:rsidP="009E6EF9" w14:paraId="270E5E85" w14:textId="0CFDE186">
      <w:pPr>
        <w:spacing w:after="0" w:line="240" w:lineRule="auto"/>
        <w:ind w:left="720" w:hanging="720"/>
        <w:rPr>
          <w:rFonts w:cstheme="minorHAnsi"/>
        </w:rPr>
      </w:pPr>
      <w:r w:rsidRPr="00634704">
        <w:rPr>
          <w:rFonts w:cstheme="minorHAnsi"/>
        </w:rPr>
        <w:t xml:space="preserve">Yoo, H. J., Machin, L., Arrua, A., Antunez, L., Vidal, L., Gimenez, A., </w:t>
      </w:r>
      <w:r w:rsidRPr="00634704" w:rsidR="00C8679F">
        <w:rPr>
          <w:rFonts w:cstheme="minorHAnsi"/>
          <w:color w:val="222222"/>
          <w:shd w:val="clear" w:color="auto" w:fill="FFFFFF"/>
        </w:rPr>
        <w:t>Curutchet, M.R.</w:t>
      </w:r>
      <w:r w:rsidRPr="00634704" w:rsidR="00C8679F">
        <w:rPr>
          <w:rFonts w:cstheme="minorHAnsi"/>
        </w:rPr>
        <w:t>, &amp;</w:t>
      </w:r>
      <w:r w:rsidRPr="00634704">
        <w:rPr>
          <w:rFonts w:cstheme="minorHAnsi"/>
        </w:rPr>
        <w:t xml:space="preserve"> Ares, G. (2017). Children and adolescents' attitudes towards sugar reduction in dairy products. </w:t>
      </w:r>
      <w:r w:rsidRPr="00634704">
        <w:rPr>
          <w:rFonts w:cstheme="minorHAnsi"/>
          <w:i/>
        </w:rPr>
        <w:t>Food Res</w:t>
      </w:r>
      <w:r w:rsidRPr="00634704" w:rsidR="006C7D8B">
        <w:rPr>
          <w:rFonts w:cstheme="minorHAnsi"/>
          <w:i/>
        </w:rPr>
        <w:t>earch</w:t>
      </w:r>
      <w:r w:rsidRPr="00634704">
        <w:rPr>
          <w:rFonts w:cstheme="minorHAnsi"/>
          <w:i/>
        </w:rPr>
        <w:t xml:space="preserve"> Int</w:t>
      </w:r>
      <w:r w:rsidRPr="00634704" w:rsidR="006C7D8B">
        <w:rPr>
          <w:rFonts w:cstheme="minorHAnsi"/>
          <w:i/>
        </w:rPr>
        <w:t>ernational</w:t>
      </w:r>
      <w:r w:rsidRPr="00634704">
        <w:rPr>
          <w:rFonts w:cstheme="minorHAnsi"/>
          <w:i/>
        </w:rPr>
        <w:t>, 94</w:t>
      </w:r>
      <w:r w:rsidRPr="00634704">
        <w:rPr>
          <w:rFonts w:cstheme="minorHAnsi"/>
        </w:rPr>
        <w:t xml:space="preserve">, 108-114. </w:t>
      </w:r>
    </w:p>
    <w:p w:rsidR="001632C9" w:rsidRPr="00634704" w:rsidP="009E6EF9" w14:paraId="397F1C57" w14:textId="49E563CC">
      <w:pPr>
        <w:spacing w:after="0" w:line="240" w:lineRule="auto"/>
        <w:ind w:left="720"/>
        <w:rPr>
          <w:rFonts w:cstheme="minorHAnsi"/>
        </w:rPr>
      </w:pPr>
      <w:r w:rsidRPr="00634704">
        <w:rPr>
          <w:rFonts w:cstheme="minorHAnsi"/>
        </w:rPr>
        <w:t>https://</w:t>
      </w:r>
      <w:r w:rsidRPr="00634704" w:rsidR="00A1092A">
        <w:rPr>
          <w:rFonts w:cstheme="minorHAnsi"/>
        </w:rPr>
        <w:t>doi:10.1016/j.foodres.2017.02.005</w:t>
      </w:r>
    </w:p>
    <w:p w:rsidR="00C53679" w:rsidRPr="00634704" w:rsidP="009E6EF9" w14:paraId="535474D4" w14:textId="77777777">
      <w:pPr>
        <w:spacing w:after="0" w:line="240" w:lineRule="auto"/>
        <w:ind w:left="720" w:hanging="720"/>
        <w:rPr>
          <w:rFonts w:cstheme="minorHAnsi"/>
        </w:rPr>
      </w:pPr>
    </w:p>
    <w:p w:rsidR="00ED7EC3" w:rsidRPr="00634704" w:rsidP="009E6EF9" w14:paraId="216C920E" w14:textId="50366F30">
      <w:pPr>
        <w:spacing w:after="0" w:line="240" w:lineRule="auto"/>
        <w:ind w:left="720" w:hanging="720"/>
        <w:rPr>
          <w:rFonts w:cstheme="minorHAnsi"/>
        </w:rPr>
      </w:pPr>
      <w:r w:rsidRPr="00634704">
        <w:rPr>
          <w:rFonts w:cstheme="minorHAnsi"/>
        </w:rPr>
        <w:t xml:space="preserve">Zafar, M. Z., Hashim, N. A., Halim, F. B., &amp; Masud, S. (2021). Readable Labels and Moderating Effect of Individual Personality Traits Effect on Consumer Healthy Packaged Food Selection Intention. </w:t>
      </w:r>
      <w:r w:rsidRPr="009E6EF9">
        <w:rPr>
          <w:rFonts w:cstheme="minorHAnsi"/>
          <w:i/>
        </w:rPr>
        <w:t>South Asian Journal of Management</w:t>
      </w:r>
      <w:r w:rsidRPr="00634704">
        <w:rPr>
          <w:rFonts w:cstheme="minorHAnsi"/>
        </w:rPr>
        <w:t>, 15(2), 191-218.</w:t>
      </w:r>
    </w:p>
    <w:p w:rsidR="00ED5BAA" w:rsidRPr="00634704" w:rsidP="009E6EF9" w14:paraId="6114A8BE" w14:textId="7DF40A70">
      <w:pPr>
        <w:spacing w:after="0" w:line="240" w:lineRule="auto"/>
        <w:ind w:left="720" w:hanging="720"/>
        <w:rPr>
          <w:rFonts w:cstheme="minorHAnsi"/>
        </w:rPr>
      </w:pPr>
      <w:r w:rsidRPr="00634704">
        <w:rPr>
          <w:rFonts w:cstheme="minorHAnsi"/>
        </w:rPr>
        <w:tab/>
        <w:t>https://doi:</w:t>
      </w:r>
      <w:r w:rsidRPr="009E6EF9">
        <w:rPr>
          <w:rFonts w:cstheme="minorHAnsi"/>
          <w:bdr w:val="none" w:sz="0" w:space="0" w:color="auto" w:frame="1"/>
          <w:shd w:val="clear" w:color="auto" w:fill="FFFFFF"/>
        </w:rPr>
        <w:t>10.21621/sajms.2021152.05</w:t>
      </w:r>
    </w:p>
    <w:p w:rsidR="00ED5BAA" w:rsidRPr="00634704" w:rsidP="009E6EF9" w14:paraId="30E6EDD7" w14:textId="77777777">
      <w:pPr>
        <w:spacing w:after="0" w:line="240" w:lineRule="auto"/>
        <w:ind w:left="720" w:hanging="720"/>
        <w:rPr>
          <w:rFonts w:cstheme="minorHAnsi"/>
        </w:rPr>
      </w:pPr>
    </w:p>
    <w:p w:rsidR="008159EC" w:rsidRPr="00634704" w:rsidP="009E6EF9" w14:paraId="15A819BA" w14:textId="6BF7F5D6">
      <w:pPr>
        <w:spacing w:after="0" w:line="240" w:lineRule="auto"/>
        <w:ind w:left="720" w:hanging="720"/>
        <w:rPr>
          <w:rFonts w:cstheme="minorHAnsi"/>
        </w:rPr>
      </w:pPr>
      <w:r w:rsidRPr="00634704">
        <w:rPr>
          <w:rFonts w:cstheme="minorHAnsi"/>
        </w:rPr>
        <w:t xml:space="preserve">Zhu, C., Lopez, R., &amp; Liu, X. </w:t>
      </w:r>
      <w:r w:rsidRPr="00634704" w:rsidR="00B55FA9">
        <w:rPr>
          <w:rFonts w:cstheme="minorHAnsi"/>
        </w:rPr>
        <w:t xml:space="preserve">(2019). Consumer responses to front-of-package labeling in the presence of information spillovers. </w:t>
      </w:r>
      <w:r w:rsidRPr="00634704" w:rsidR="00B55FA9">
        <w:rPr>
          <w:rFonts w:cstheme="minorHAnsi"/>
          <w:i/>
        </w:rPr>
        <w:t>Food Policy</w:t>
      </w:r>
      <w:r w:rsidRPr="00634704" w:rsidR="00B55FA9">
        <w:rPr>
          <w:rFonts w:cstheme="minorHAnsi"/>
        </w:rPr>
        <w:t>, 86</w:t>
      </w:r>
      <w:r w:rsidRPr="00634704" w:rsidR="00634704">
        <w:rPr>
          <w:rFonts w:cstheme="minorHAnsi"/>
        </w:rPr>
        <w:t xml:space="preserve">, </w:t>
      </w:r>
      <w:r w:rsidRPr="00634704" w:rsidR="00634704">
        <w:rPr>
          <w:rFonts w:cstheme="minorHAnsi"/>
          <w:color w:val="2E2E2E"/>
        </w:rPr>
        <w:t>101723</w:t>
      </w:r>
      <w:r w:rsidRPr="00634704" w:rsidR="00B55FA9">
        <w:rPr>
          <w:rFonts w:cstheme="minorHAnsi"/>
        </w:rPr>
        <w:t xml:space="preserve">. </w:t>
      </w:r>
    </w:p>
    <w:p w:rsidR="00DB42F0" w:rsidRPr="00634704" w:rsidP="008159EC" w14:paraId="48B1F49E" w14:textId="007EA5B7">
      <w:pPr>
        <w:spacing w:after="0" w:line="240" w:lineRule="auto"/>
        <w:ind w:left="720"/>
        <w:rPr>
          <w:rFonts w:cstheme="minorHAnsi"/>
        </w:rPr>
      </w:pPr>
      <w:r w:rsidRPr="00634704">
        <w:rPr>
          <w:rFonts w:cstheme="minorHAnsi"/>
        </w:rPr>
        <w:t>doi: 10.1016/j.foodpol.2019.05.006</w:t>
      </w:r>
    </w:p>
    <w:p w:rsidR="008159EC" w:rsidRPr="00634704" w:rsidP="009E6EF9" w14:paraId="4C9A8FF4" w14:textId="77777777">
      <w:pPr>
        <w:spacing w:after="0" w:line="240" w:lineRule="auto"/>
        <w:ind w:left="720"/>
        <w:rPr>
          <w:rFonts w:cstheme="minorHAnsi"/>
        </w:rPr>
      </w:pPr>
    </w:p>
    <w:p w:rsidR="00634704" w:rsidRPr="00634704" w:rsidP="008159EC" w14:paraId="142589C5" w14:textId="0EC19300">
      <w:pPr>
        <w:spacing w:after="0" w:line="240" w:lineRule="auto"/>
        <w:ind w:left="720" w:hanging="720"/>
        <w:rPr>
          <w:rFonts w:cstheme="minorHAnsi"/>
        </w:rPr>
      </w:pPr>
      <w:r w:rsidRPr="00634704">
        <w:rPr>
          <w:rFonts w:cstheme="minorHAnsi"/>
        </w:rPr>
        <w:t xml:space="preserve">Zlatevska, N., Chowdhury, M., Tam, L., &amp; Holden, S. </w:t>
      </w:r>
      <w:r w:rsidRPr="00634704" w:rsidR="0038034C">
        <w:rPr>
          <w:rFonts w:cstheme="minorHAnsi"/>
        </w:rPr>
        <w:t xml:space="preserve">(2019). Facts-up-front: should food companies follow the FDA or industry label format? The effects of combining virtue and vice information on consumer evaluations. </w:t>
      </w:r>
      <w:r w:rsidRPr="009E6EF9" w:rsidR="0038034C">
        <w:rPr>
          <w:rFonts w:cstheme="minorHAnsi"/>
          <w:i/>
        </w:rPr>
        <w:t>Marketing Letters</w:t>
      </w:r>
      <w:r w:rsidRPr="00634704" w:rsidR="0038034C">
        <w:rPr>
          <w:rFonts w:cstheme="minorHAnsi"/>
        </w:rPr>
        <w:t>, 30</w:t>
      </w:r>
      <w:r w:rsidRPr="00634704">
        <w:rPr>
          <w:rFonts w:cstheme="minorHAnsi"/>
        </w:rPr>
        <w:t xml:space="preserve">, </w:t>
      </w:r>
      <w:r w:rsidRPr="00634704" w:rsidR="0038034C">
        <w:rPr>
          <w:rFonts w:cstheme="minorHAnsi"/>
        </w:rPr>
        <w:t xml:space="preserve">321–334. </w:t>
      </w:r>
    </w:p>
    <w:p w:rsidR="00C8679F" w:rsidRPr="00634704" w:rsidP="009E6EF9" w14:paraId="5CF13657" w14:textId="7673345A">
      <w:pPr>
        <w:spacing w:after="0" w:line="240" w:lineRule="auto"/>
        <w:ind w:left="720"/>
        <w:rPr>
          <w:rFonts w:cstheme="minorHAnsi"/>
        </w:rPr>
      </w:pPr>
      <w:r w:rsidRPr="00634704">
        <w:rPr>
          <w:rFonts w:cstheme="minorHAnsi"/>
        </w:rPr>
        <w:t>https://</w:t>
      </w:r>
      <w:r w:rsidRPr="00634704" w:rsidR="000F2E5E">
        <w:rPr>
          <w:rFonts w:cstheme="minorHAnsi"/>
        </w:rPr>
        <w:t>doi: 10.1007/s11002-019-09504-9</w:t>
      </w:r>
    </w:p>
    <w:sectPr w:rsidSect="006534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120"/>
      <w:gridCol w:w="3120"/>
      <w:gridCol w:w="3120"/>
    </w:tblGrid>
    <w:tr w14:paraId="20B4C2C3" w14:textId="77777777" w:rsidTr="0009419C">
      <w:tblPrEx>
        <w:tblW w:w="0" w:type="auto"/>
        <w:tblLayout w:type="fixed"/>
        <w:tblLook w:val="06A0"/>
      </w:tblPrEx>
      <w:trPr>
        <w:trHeight w:val="300"/>
      </w:trPr>
      <w:tc>
        <w:tcPr>
          <w:tcW w:w="3120" w:type="dxa"/>
        </w:tcPr>
        <w:p w:rsidR="35432202" w:rsidP="0009419C" w14:paraId="6F59EB0D" w14:textId="5C3FA727">
          <w:pPr>
            <w:pStyle w:val="Header"/>
            <w:ind w:left="-115"/>
          </w:pPr>
        </w:p>
      </w:tc>
      <w:tc>
        <w:tcPr>
          <w:tcW w:w="3120" w:type="dxa"/>
        </w:tcPr>
        <w:p w:rsidR="35432202" w:rsidP="0009419C" w14:paraId="343B5AC9" w14:textId="2BE2FA28">
          <w:pPr>
            <w:pStyle w:val="Header"/>
            <w:jc w:val="center"/>
          </w:pPr>
        </w:p>
      </w:tc>
      <w:tc>
        <w:tcPr>
          <w:tcW w:w="3120" w:type="dxa"/>
        </w:tcPr>
        <w:p w:rsidR="35432202" w:rsidP="0009419C" w14:paraId="533E16EA" w14:textId="1B0B1B8C">
          <w:pPr>
            <w:pStyle w:val="Header"/>
            <w:ind w:right="-115"/>
            <w:jc w:val="right"/>
          </w:pPr>
        </w:p>
      </w:tc>
    </w:tr>
  </w:tbl>
  <w:p w:rsidR="009256F6" w14:paraId="1958E22D" w14:textId="10660B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933741613"/>
      <w:docPartObj>
        <w:docPartGallery w:val="Page Numbers (Bottom of Page)"/>
        <w:docPartUnique/>
      </w:docPartObj>
    </w:sdtPr>
    <w:sdtEndPr>
      <w:rPr>
        <w:noProof/>
      </w:rPr>
    </w:sdtEndPr>
    <w:sdtContent>
      <w:p w:rsidR="00094270" w14:paraId="04EED240" w14:textId="31730E78">
        <w:pPr>
          <w:pStyle w:val="Footer"/>
        </w:pPr>
        <w:r>
          <w:fldChar w:fldCharType="begin"/>
        </w:r>
        <w:r>
          <w:instrText xml:space="preserve"> PAGE   \* MERGEFORMAT </w:instrText>
        </w:r>
        <w:r>
          <w:fldChar w:fldCharType="separate"/>
        </w:r>
        <w:r w:rsidR="00580E90">
          <w:rPr>
            <w:noProof/>
          </w:rPr>
          <w:t>66</w:t>
        </w:r>
        <w:r>
          <w:rPr>
            <w:noProof/>
          </w:rPr>
          <w:fldChar w:fldCharType="end"/>
        </w:r>
      </w:p>
    </w:sdtContent>
  </w:sdt>
  <w:p w:rsidR="00094270" w14:paraId="590490C1"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120"/>
      <w:gridCol w:w="3120"/>
      <w:gridCol w:w="3120"/>
    </w:tblGrid>
    <w:tr w14:paraId="0C0B6337" w14:textId="77777777" w:rsidTr="0009419C">
      <w:tblPrEx>
        <w:tblW w:w="0" w:type="auto"/>
        <w:tblLayout w:type="fixed"/>
        <w:tblLook w:val="06A0"/>
      </w:tblPrEx>
      <w:trPr>
        <w:trHeight w:val="300"/>
      </w:trPr>
      <w:tc>
        <w:tcPr>
          <w:tcW w:w="3120" w:type="dxa"/>
        </w:tcPr>
        <w:p w:rsidR="35432202" w:rsidP="0009419C" w14:paraId="14A83E40" w14:textId="6EC4FAEC"/>
      </w:tc>
      <w:tc>
        <w:tcPr>
          <w:tcW w:w="3120" w:type="dxa"/>
        </w:tcPr>
        <w:p w:rsidR="35432202" w:rsidP="0009419C" w14:paraId="0FCE2827" w14:textId="162E5ED8">
          <w:pPr>
            <w:pStyle w:val="Header"/>
            <w:jc w:val="center"/>
          </w:pPr>
        </w:p>
      </w:tc>
      <w:tc>
        <w:tcPr>
          <w:tcW w:w="3120" w:type="dxa"/>
        </w:tcPr>
        <w:p w:rsidR="35432202" w:rsidP="0009419C" w14:paraId="0120FA7B" w14:textId="0636D45B">
          <w:pPr>
            <w:pStyle w:val="Header"/>
            <w:ind w:right="-115"/>
            <w:jc w:val="right"/>
          </w:pPr>
        </w:p>
      </w:tc>
    </w:tr>
  </w:tbl>
  <w:p w:rsidR="009256F6" w14:paraId="68EE9C58" w14:textId="36C0B7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94270" w:rsidRPr="009F340E" w:rsidP="009C5286" w14:paraId="606CB8B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44910AD"/>
    <w:multiLevelType w:val="hybridMultilevel"/>
    <w:tmpl w:val="DD1E8AC0"/>
    <w:lvl w:ilvl="0">
      <w:start w:val="1"/>
      <w:numFmt w:val="decimal"/>
      <w:lvlText w:val="%1."/>
      <w:lvlJc w:val="left"/>
      <w:pPr>
        <w:ind w:left="146" w:hanging="122"/>
      </w:pPr>
      <w:rPr>
        <w:rFonts w:ascii="Calibri" w:eastAsia="Calibri" w:hAnsi="Calibri" w:cs="Calibri" w:hint="default"/>
        <w:spacing w:val="0"/>
        <w:w w:val="100"/>
        <w:sz w:val="12"/>
        <w:szCs w:val="12"/>
      </w:rPr>
    </w:lvl>
    <w:lvl w:ilvl="1">
      <w:start w:val="0"/>
      <w:numFmt w:val="bullet"/>
      <w:lvlText w:val="•"/>
      <w:lvlJc w:val="left"/>
      <w:pPr>
        <w:ind w:left="479" w:hanging="122"/>
      </w:pPr>
      <w:rPr>
        <w:rFonts w:hint="default"/>
      </w:rPr>
    </w:lvl>
    <w:lvl w:ilvl="2">
      <w:start w:val="0"/>
      <w:numFmt w:val="bullet"/>
      <w:lvlText w:val="•"/>
      <w:lvlJc w:val="left"/>
      <w:pPr>
        <w:ind w:left="819" w:hanging="122"/>
      </w:pPr>
      <w:rPr>
        <w:rFonts w:hint="default"/>
      </w:rPr>
    </w:lvl>
    <w:lvl w:ilvl="3">
      <w:start w:val="0"/>
      <w:numFmt w:val="bullet"/>
      <w:lvlText w:val="•"/>
      <w:lvlJc w:val="left"/>
      <w:pPr>
        <w:ind w:left="1159" w:hanging="122"/>
      </w:pPr>
      <w:rPr>
        <w:rFonts w:hint="default"/>
      </w:rPr>
    </w:lvl>
    <w:lvl w:ilvl="4">
      <w:start w:val="0"/>
      <w:numFmt w:val="bullet"/>
      <w:lvlText w:val="•"/>
      <w:lvlJc w:val="left"/>
      <w:pPr>
        <w:ind w:left="1499" w:hanging="122"/>
      </w:pPr>
      <w:rPr>
        <w:rFonts w:hint="default"/>
      </w:rPr>
    </w:lvl>
    <w:lvl w:ilvl="5">
      <w:start w:val="0"/>
      <w:numFmt w:val="bullet"/>
      <w:lvlText w:val="•"/>
      <w:lvlJc w:val="left"/>
      <w:pPr>
        <w:ind w:left="1839" w:hanging="122"/>
      </w:pPr>
      <w:rPr>
        <w:rFonts w:hint="default"/>
      </w:rPr>
    </w:lvl>
    <w:lvl w:ilvl="6">
      <w:start w:val="0"/>
      <w:numFmt w:val="bullet"/>
      <w:lvlText w:val="•"/>
      <w:lvlJc w:val="left"/>
      <w:pPr>
        <w:ind w:left="2178" w:hanging="122"/>
      </w:pPr>
      <w:rPr>
        <w:rFonts w:hint="default"/>
      </w:rPr>
    </w:lvl>
    <w:lvl w:ilvl="7">
      <w:start w:val="0"/>
      <w:numFmt w:val="bullet"/>
      <w:lvlText w:val="•"/>
      <w:lvlJc w:val="left"/>
      <w:pPr>
        <w:ind w:left="2518" w:hanging="122"/>
      </w:pPr>
      <w:rPr>
        <w:rFonts w:hint="default"/>
      </w:rPr>
    </w:lvl>
    <w:lvl w:ilvl="8">
      <w:start w:val="0"/>
      <w:numFmt w:val="bullet"/>
      <w:lvlText w:val="•"/>
      <w:lvlJc w:val="left"/>
      <w:pPr>
        <w:ind w:left="2858" w:hanging="122"/>
      </w:pPr>
      <w:rPr>
        <w:rFonts w:hint="default"/>
      </w:rPr>
    </w:lvl>
  </w:abstractNum>
  <w:abstractNum w:abstractNumId="1">
    <w:nsid w:val="046B2AB6"/>
    <w:multiLevelType w:val="hybridMultilevel"/>
    <w:tmpl w:val="9FD2AFB4"/>
    <w:lvl w:ilvl="0">
      <w:start w:val="0"/>
      <w:numFmt w:val="bullet"/>
      <w:lvlText w:val="-"/>
      <w:lvlJc w:val="left"/>
      <w:pPr>
        <w:ind w:left="168" w:hanging="56"/>
      </w:pPr>
      <w:rPr>
        <w:rFonts w:ascii="Calibri" w:eastAsia="Calibri" w:hAnsi="Calibri" w:cs="Calibri" w:hint="default"/>
        <w:w w:val="100"/>
        <w:sz w:val="12"/>
        <w:szCs w:val="12"/>
      </w:rPr>
    </w:lvl>
    <w:lvl w:ilvl="1">
      <w:start w:val="0"/>
      <w:numFmt w:val="bullet"/>
      <w:lvlText w:val="•"/>
      <w:lvlJc w:val="left"/>
      <w:pPr>
        <w:ind w:left="497" w:hanging="56"/>
      </w:pPr>
      <w:rPr>
        <w:rFonts w:hint="default"/>
      </w:rPr>
    </w:lvl>
    <w:lvl w:ilvl="2">
      <w:start w:val="0"/>
      <w:numFmt w:val="bullet"/>
      <w:lvlText w:val="•"/>
      <w:lvlJc w:val="left"/>
      <w:pPr>
        <w:ind w:left="835" w:hanging="56"/>
      </w:pPr>
      <w:rPr>
        <w:rFonts w:hint="default"/>
      </w:rPr>
    </w:lvl>
    <w:lvl w:ilvl="3">
      <w:start w:val="0"/>
      <w:numFmt w:val="bullet"/>
      <w:lvlText w:val="•"/>
      <w:lvlJc w:val="left"/>
      <w:pPr>
        <w:ind w:left="1173" w:hanging="56"/>
      </w:pPr>
      <w:rPr>
        <w:rFonts w:hint="default"/>
      </w:rPr>
    </w:lvl>
    <w:lvl w:ilvl="4">
      <w:start w:val="0"/>
      <w:numFmt w:val="bullet"/>
      <w:lvlText w:val="•"/>
      <w:lvlJc w:val="left"/>
      <w:pPr>
        <w:ind w:left="1511" w:hanging="56"/>
      </w:pPr>
      <w:rPr>
        <w:rFonts w:hint="default"/>
      </w:rPr>
    </w:lvl>
    <w:lvl w:ilvl="5">
      <w:start w:val="0"/>
      <w:numFmt w:val="bullet"/>
      <w:lvlText w:val="•"/>
      <w:lvlJc w:val="left"/>
      <w:pPr>
        <w:ind w:left="1849" w:hanging="56"/>
      </w:pPr>
      <w:rPr>
        <w:rFonts w:hint="default"/>
      </w:rPr>
    </w:lvl>
    <w:lvl w:ilvl="6">
      <w:start w:val="0"/>
      <w:numFmt w:val="bullet"/>
      <w:lvlText w:val="•"/>
      <w:lvlJc w:val="left"/>
      <w:pPr>
        <w:ind w:left="2186" w:hanging="56"/>
      </w:pPr>
      <w:rPr>
        <w:rFonts w:hint="default"/>
      </w:rPr>
    </w:lvl>
    <w:lvl w:ilvl="7">
      <w:start w:val="0"/>
      <w:numFmt w:val="bullet"/>
      <w:lvlText w:val="•"/>
      <w:lvlJc w:val="left"/>
      <w:pPr>
        <w:ind w:left="2524" w:hanging="56"/>
      </w:pPr>
      <w:rPr>
        <w:rFonts w:hint="default"/>
      </w:rPr>
    </w:lvl>
    <w:lvl w:ilvl="8">
      <w:start w:val="0"/>
      <w:numFmt w:val="bullet"/>
      <w:lvlText w:val="•"/>
      <w:lvlJc w:val="left"/>
      <w:pPr>
        <w:ind w:left="2862" w:hanging="56"/>
      </w:pPr>
      <w:rPr>
        <w:rFonts w:hint="default"/>
      </w:rPr>
    </w:lvl>
  </w:abstractNum>
  <w:abstractNum w:abstractNumId="2">
    <w:nsid w:val="05704AA0"/>
    <w:multiLevelType w:val="hybridMultilevel"/>
    <w:tmpl w:val="49744F38"/>
    <w:lvl w:ilvl="0">
      <w:start w:val="2"/>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71" w:hanging="122"/>
      </w:pPr>
      <w:rPr>
        <w:rFonts w:hint="default"/>
      </w:rPr>
    </w:lvl>
    <w:lvl w:ilvl="2">
      <w:start w:val="0"/>
      <w:numFmt w:val="bullet"/>
      <w:lvlText w:val="•"/>
      <w:lvlJc w:val="left"/>
      <w:pPr>
        <w:ind w:left="723" w:hanging="122"/>
      </w:pPr>
      <w:rPr>
        <w:rFonts w:hint="default"/>
      </w:rPr>
    </w:lvl>
    <w:lvl w:ilvl="3">
      <w:start w:val="0"/>
      <w:numFmt w:val="bullet"/>
      <w:lvlText w:val="•"/>
      <w:lvlJc w:val="left"/>
      <w:pPr>
        <w:ind w:left="1075" w:hanging="122"/>
      </w:pPr>
      <w:rPr>
        <w:rFonts w:hint="default"/>
      </w:rPr>
    </w:lvl>
    <w:lvl w:ilvl="4">
      <w:start w:val="0"/>
      <w:numFmt w:val="bullet"/>
      <w:lvlText w:val="•"/>
      <w:lvlJc w:val="left"/>
      <w:pPr>
        <w:ind w:left="1427" w:hanging="122"/>
      </w:pPr>
      <w:rPr>
        <w:rFonts w:hint="default"/>
      </w:rPr>
    </w:lvl>
    <w:lvl w:ilvl="5">
      <w:start w:val="0"/>
      <w:numFmt w:val="bullet"/>
      <w:lvlText w:val="•"/>
      <w:lvlJc w:val="left"/>
      <w:pPr>
        <w:ind w:left="1779" w:hanging="122"/>
      </w:pPr>
      <w:rPr>
        <w:rFonts w:hint="default"/>
      </w:rPr>
    </w:lvl>
    <w:lvl w:ilvl="6">
      <w:start w:val="0"/>
      <w:numFmt w:val="bullet"/>
      <w:lvlText w:val="•"/>
      <w:lvlJc w:val="left"/>
      <w:pPr>
        <w:ind w:left="2130" w:hanging="122"/>
      </w:pPr>
      <w:rPr>
        <w:rFonts w:hint="default"/>
      </w:rPr>
    </w:lvl>
    <w:lvl w:ilvl="7">
      <w:start w:val="0"/>
      <w:numFmt w:val="bullet"/>
      <w:lvlText w:val="•"/>
      <w:lvlJc w:val="left"/>
      <w:pPr>
        <w:ind w:left="2482" w:hanging="122"/>
      </w:pPr>
      <w:rPr>
        <w:rFonts w:hint="default"/>
      </w:rPr>
    </w:lvl>
    <w:lvl w:ilvl="8">
      <w:start w:val="0"/>
      <w:numFmt w:val="bullet"/>
      <w:lvlText w:val="•"/>
      <w:lvlJc w:val="left"/>
      <w:pPr>
        <w:ind w:left="2834" w:hanging="122"/>
      </w:pPr>
      <w:rPr>
        <w:rFonts w:hint="default"/>
      </w:rPr>
    </w:lvl>
  </w:abstractNum>
  <w:abstractNum w:abstractNumId="3">
    <w:nsid w:val="092A458F"/>
    <w:multiLevelType w:val="hybridMultilevel"/>
    <w:tmpl w:val="A34C1756"/>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71" w:hanging="122"/>
      </w:pPr>
      <w:rPr>
        <w:rFonts w:hint="default"/>
      </w:rPr>
    </w:lvl>
    <w:lvl w:ilvl="2">
      <w:start w:val="0"/>
      <w:numFmt w:val="bullet"/>
      <w:lvlText w:val="•"/>
      <w:lvlJc w:val="left"/>
      <w:pPr>
        <w:ind w:left="723" w:hanging="122"/>
      </w:pPr>
      <w:rPr>
        <w:rFonts w:hint="default"/>
      </w:rPr>
    </w:lvl>
    <w:lvl w:ilvl="3">
      <w:start w:val="0"/>
      <w:numFmt w:val="bullet"/>
      <w:lvlText w:val="•"/>
      <w:lvlJc w:val="left"/>
      <w:pPr>
        <w:ind w:left="1075" w:hanging="122"/>
      </w:pPr>
      <w:rPr>
        <w:rFonts w:hint="default"/>
      </w:rPr>
    </w:lvl>
    <w:lvl w:ilvl="4">
      <w:start w:val="0"/>
      <w:numFmt w:val="bullet"/>
      <w:lvlText w:val="•"/>
      <w:lvlJc w:val="left"/>
      <w:pPr>
        <w:ind w:left="1427" w:hanging="122"/>
      </w:pPr>
      <w:rPr>
        <w:rFonts w:hint="default"/>
      </w:rPr>
    </w:lvl>
    <w:lvl w:ilvl="5">
      <w:start w:val="0"/>
      <w:numFmt w:val="bullet"/>
      <w:lvlText w:val="•"/>
      <w:lvlJc w:val="left"/>
      <w:pPr>
        <w:ind w:left="1779" w:hanging="122"/>
      </w:pPr>
      <w:rPr>
        <w:rFonts w:hint="default"/>
      </w:rPr>
    </w:lvl>
    <w:lvl w:ilvl="6">
      <w:start w:val="0"/>
      <w:numFmt w:val="bullet"/>
      <w:lvlText w:val="•"/>
      <w:lvlJc w:val="left"/>
      <w:pPr>
        <w:ind w:left="2130" w:hanging="122"/>
      </w:pPr>
      <w:rPr>
        <w:rFonts w:hint="default"/>
      </w:rPr>
    </w:lvl>
    <w:lvl w:ilvl="7">
      <w:start w:val="0"/>
      <w:numFmt w:val="bullet"/>
      <w:lvlText w:val="•"/>
      <w:lvlJc w:val="left"/>
      <w:pPr>
        <w:ind w:left="2482" w:hanging="122"/>
      </w:pPr>
      <w:rPr>
        <w:rFonts w:hint="default"/>
      </w:rPr>
    </w:lvl>
    <w:lvl w:ilvl="8">
      <w:start w:val="0"/>
      <w:numFmt w:val="bullet"/>
      <w:lvlText w:val="•"/>
      <w:lvlJc w:val="left"/>
      <w:pPr>
        <w:ind w:left="2834" w:hanging="122"/>
      </w:pPr>
      <w:rPr>
        <w:rFonts w:hint="default"/>
      </w:rPr>
    </w:lvl>
  </w:abstractNum>
  <w:abstractNum w:abstractNumId="4">
    <w:nsid w:val="096219FC"/>
    <w:multiLevelType w:val="hybridMultilevel"/>
    <w:tmpl w:val="41363D96"/>
    <w:lvl w:ilvl="0">
      <w:start w:val="2"/>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5">
    <w:nsid w:val="09AB179A"/>
    <w:multiLevelType w:val="hybridMultilevel"/>
    <w:tmpl w:val="5B60C3C0"/>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136" w:hanging="122"/>
      </w:pPr>
      <w:rPr>
        <w:rFonts w:hint="default"/>
      </w:rPr>
    </w:lvl>
    <w:lvl w:ilvl="2">
      <w:start w:val="0"/>
      <w:numFmt w:val="bullet"/>
      <w:lvlText w:val="•"/>
      <w:lvlJc w:val="left"/>
      <w:pPr>
        <w:ind w:left="252" w:hanging="122"/>
      </w:pPr>
      <w:rPr>
        <w:rFonts w:hint="default"/>
      </w:rPr>
    </w:lvl>
    <w:lvl w:ilvl="3">
      <w:start w:val="0"/>
      <w:numFmt w:val="bullet"/>
      <w:lvlText w:val="•"/>
      <w:lvlJc w:val="left"/>
      <w:pPr>
        <w:ind w:left="369" w:hanging="122"/>
      </w:pPr>
      <w:rPr>
        <w:rFonts w:hint="default"/>
      </w:rPr>
    </w:lvl>
    <w:lvl w:ilvl="4">
      <w:start w:val="0"/>
      <w:numFmt w:val="bullet"/>
      <w:lvlText w:val="•"/>
      <w:lvlJc w:val="left"/>
      <w:pPr>
        <w:ind w:left="485" w:hanging="122"/>
      </w:pPr>
      <w:rPr>
        <w:rFonts w:hint="default"/>
      </w:rPr>
    </w:lvl>
    <w:lvl w:ilvl="5">
      <w:start w:val="0"/>
      <w:numFmt w:val="bullet"/>
      <w:lvlText w:val="•"/>
      <w:lvlJc w:val="left"/>
      <w:pPr>
        <w:ind w:left="602" w:hanging="122"/>
      </w:pPr>
      <w:rPr>
        <w:rFonts w:hint="default"/>
      </w:rPr>
    </w:lvl>
    <w:lvl w:ilvl="6">
      <w:start w:val="0"/>
      <w:numFmt w:val="bullet"/>
      <w:lvlText w:val="•"/>
      <w:lvlJc w:val="left"/>
      <w:pPr>
        <w:ind w:left="718" w:hanging="122"/>
      </w:pPr>
      <w:rPr>
        <w:rFonts w:hint="default"/>
      </w:rPr>
    </w:lvl>
    <w:lvl w:ilvl="7">
      <w:start w:val="0"/>
      <w:numFmt w:val="bullet"/>
      <w:lvlText w:val="•"/>
      <w:lvlJc w:val="left"/>
      <w:pPr>
        <w:ind w:left="834" w:hanging="122"/>
      </w:pPr>
      <w:rPr>
        <w:rFonts w:hint="default"/>
      </w:rPr>
    </w:lvl>
    <w:lvl w:ilvl="8">
      <w:start w:val="0"/>
      <w:numFmt w:val="bullet"/>
      <w:lvlText w:val="•"/>
      <w:lvlJc w:val="left"/>
      <w:pPr>
        <w:ind w:left="951" w:hanging="122"/>
      </w:pPr>
      <w:rPr>
        <w:rFonts w:hint="default"/>
      </w:rPr>
    </w:lvl>
  </w:abstractNum>
  <w:abstractNum w:abstractNumId="6">
    <w:nsid w:val="0AC023A5"/>
    <w:multiLevelType w:val="hybridMultilevel"/>
    <w:tmpl w:val="7064188C"/>
    <w:lvl w:ilvl="0">
      <w:start w:val="0"/>
      <w:numFmt w:val="bullet"/>
      <w:lvlText w:val="-"/>
      <w:lvlJc w:val="left"/>
      <w:pPr>
        <w:ind w:left="25" w:hanging="56"/>
      </w:pPr>
      <w:rPr>
        <w:rFonts w:ascii="Calibri" w:eastAsia="Calibri" w:hAnsi="Calibri" w:cs="Calibri" w:hint="default"/>
        <w:w w:val="100"/>
        <w:sz w:val="12"/>
        <w:szCs w:val="12"/>
      </w:rPr>
    </w:lvl>
    <w:lvl w:ilvl="1">
      <w:start w:val="0"/>
      <w:numFmt w:val="bullet"/>
      <w:lvlText w:val="•"/>
      <w:lvlJc w:val="left"/>
      <w:pPr>
        <w:ind w:left="371" w:hanging="56"/>
      </w:pPr>
      <w:rPr>
        <w:rFonts w:hint="default"/>
      </w:rPr>
    </w:lvl>
    <w:lvl w:ilvl="2">
      <w:start w:val="0"/>
      <w:numFmt w:val="bullet"/>
      <w:lvlText w:val="•"/>
      <w:lvlJc w:val="left"/>
      <w:pPr>
        <w:ind w:left="723" w:hanging="56"/>
      </w:pPr>
      <w:rPr>
        <w:rFonts w:hint="default"/>
      </w:rPr>
    </w:lvl>
    <w:lvl w:ilvl="3">
      <w:start w:val="0"/>
      <w:numFmt w:val="bullet"/>
      <w:lvlText w:val="•"/>
      <w:lvlJc w:val="left"/>
      <w:pPr>
        <w:ind w:left="1075" w:hanging="56"/>
      </w:pPr>
      <w:rPr>
        <w:rFonts w:hint="default"/>
      </w:rPr>
    </w:lvl>
    <w:lvl w:ilvl="4">
      <w:start w:val="0"/>
      <w:numFmt w:val="bullet"/>
      <w:lvlText w:val="•"/>
      <w:lvlJc w:val="left"/>
      <w:pPr>
        <w:ind w:left="1427" w:hanging="56"/>
      </w:pPr>
      <w:rPr>
        <w:rFonts w:hint="default"/>
      </w:rPr>
    </w:lvl>
    <w:lvl w:ilvl="5">
      <w:start w:val="0"/>
      <w:numFmt w:val="bullet"/>
      <w:lvlText w:val="•"/>
      <w:lvlJc w:val="left"/>
      <w:pPr>
        <w:ind w:left="1779" w:hanging="56"/>
      </w:pPr>
      <w:rPr>
        <w:rFonts w:hint="default"/>
      </w:rPr>
    </w:lvl>
    <w:lvl w:ilvl="6">
      <w:start w:val="0"/>
      <w:numFmt w:val="bullet"/>
      <w:lvlText w:val="•"/>
      <w:lvlJc w:val="left"/>
      <w:pPr>
        <w:ind w:left="2130" w:hanging="56"/>
      </w:pPr>
      <w:rPr>
        <w:rFonts w:hint="default"/>
      </w:rPr>
    </w:lvl>
    <w:lvl w:ilvl="7">
      <w:start w:val="0"/>
      <w:numFmt w:val="bullet"/>
      <w:lvlText w:val="•"/>
      <w:lvlJc w:val="left"/>
      <w:pPr>
        <w:ind w:left="2482" w:hanging="56"/>
      </w:pPr>
      <w:rPr>
        <w:rFonts w:hint="default"/>
      </w:rPr>
    </w:lvl>
    <w:lvl w:ilvl="8">
      <w:start w:val="0"/>
      <w:numFmt w:val="bullet"/>
      <w:lvlText w:val="•"/>
      <w:lvlJc w:val="left"/>
      <w:pPr>
        <w:ind w:left="2834" w:hanging="56"/>
      </w:pPr>
      <w:rPr>
        <w:rFonts w:hint="default"/>
      </w:rPr>
    </w:lvl>
  </w:abstractNum>
  <w:abstractNum w:abstractNumId="7">
    <w:nsid w:val="0AF87896"/>
    <w:multiLevelType w:val="hybridMultilevel"/>
    <w:tmpl w:val="B2B07598"/>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136" w:hanging="122"/>
      </w:pPr>
      <w:rPr>
        <w:rFonts w:hint="default"/>
      </w:rPr>
    </w:lvl>
    <w:lvl w:ilvl="2">
      <w:start w:val="0"/>
      <w:numFmt w:val="bullet"/>
      <w:lvlText w:val="•"/>
      <w:lvlJc w:val="left"/>
      <w:pPr>
        <w:ind w:left="252" w:hanging="122"/>
      </w:pPr>
      <w:rPr>
        <w:rFonts w:hint="default"/>
      </w:rPr>
    </w:lvl>
    <w:lvl w:ilvl="3">
      <w:start w:val="0"/>
      <w:numFmt w:val="bullet"/>
      <w:lvlText w:val="•"/>
      <w:lvlJc w:val="left"/>
      <w:pPr>
        <w:ind w:left="369" w:hanging="122"/>
      </w:pPr>
      <w:rPr>
        <w:rFonts w:hint="default"/>
      </w:rPr>
    </w:lvl>
    <w:lvl w:ilvl="4">
      <w:start w:val="0"/>
      <w:numFmt w:val="bullet"/>
      <w:lvlText w:val="•"/>
      <w:lvlJc w:val="left"/>
      <w:pPr>
        <w:ind w:left="485" w:hanging="122"/>
      </w:pPr>
      <w:rPr>
        <w:rFonts w:hint="default"/>
      </w:rPr>
    </w:lvl>
    <w:lvl w:ilvl="5">
      <w:start w:val="0"/>
      <w:numFmt w:val="bullet"/>
      <w:lvlText w:val="•"/>
      <w:lvlJc w:val="left"/>
      <w:pPr>
        <w:ind w:left="602" w:hanging="122"/>
      </w:pPr>
      <w:rPr>
        <w:rFonts w:hint="default"/>
      </w:rPr>
    </w:lvl>
    <w:lvl w:ilvl="6">
      <w:start w:val="0"/>
      <w:numFmt w:val="bullet"/>
      <w:lvlText w:val="•"/>
      <w:lvlJc w:val="left"/>
      <w:pPr>
        <w:ind w:left="718" w:hanging="122"/>
      </w:pPr>
      <w:rPr>
        <w:rFonts w:hint="default"/>
      </w:rPr>
    </w:lvl>
    <w:lvl w:ilvl="7">
      <w:start w:val="0"/>
      <w:numFmt w:val="bullet"/>
      <w:lvlText w:val="•"/>
      <w:lvlJc w:val="left"/>
      <w:pPr>
        <w:ind w:left="834" w:hanging="122"/>
      </w:pPr>
      <w:rPr>
        <w:rFonts w:hint="default"/>
      </w:rPr>
    </w:lvl>
    <w:lvl w:ilvl="8">
      <w:start w:val="0"/>
      <w:numFmt w:val="bullet"/>
      <w:lvlText w:val="•"/>
      <w:lvlJc w:val="left"/>
      <w:pPr>
        <w:ind w:left="951" w:hanging="122"/>
      </w:pPr>
      <w:rPr>
        <w:rFonts w:hint="default"/>
      </w:rPr>
    </w:lvl>
  </w:abstractNum>
  <w:abstractNum w:abstractNumId="8">
    <w:nsid w:val="0AF91406"/>
    <w:multiLevelType w:val="hybridMultilevel"/>
    <w:tmpl w:val="9684E606"/>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136" w:hanging="122"/>
      </w:pPr>
      <w:rPr>
        <w:rFonts w:hint="default"/>
      </w:rPr>
    </w:lvl>
    <w:lvl w:ilvl="2">
      <w:start w:val="0"/>
      <w:numFmt w:val="bullet"/>
      <w:lvlText w:val="•"/>
      <w:lvlJc w:val="left"/>
      <w:pPr>
        <w:ind w:left="252" w:hanging="122"/>
      </w:pPr>
      <w:rPr>
        <w:rFonts w:hint="default"/>
      </w:rPr>
    </w:lvl>
    <w:lvl w:ilvl="3">
      <w:start w:val="0"/>
      <w:numFmt w:val="bullet"/>
      <w:lvlText w:val="•"/>
      <w:lvlJc w:val="left"/>
      <w:pPr>
        <w:ind w:left="369" w:hanging="122"/>
      </w:pPr>
      <w:rPr>
        <w:rFonts w:hint="default"/>
      </w:rPr>
    </w:lvl>
    <w:lvl w:ilvl="4">
      <w:start w:val="0"/>
      <w:numFmt w:val="bullet"/>
      <w:lvlText w:val="•"/>
      <w:lvlJc w:val="left"/>
      <w:pPr>
        <w:ind w:left="485" w:hanging="122"/>
      </w:pPr>
      <w:rPr>
        <w:rFonts w:hint="default"/>
      </w:rPr>
    </w:lvl>
    <w:lvl w:ilvl="5">
      <w:start w:val="0"/>
      <w:numFmt w:val="bullet"/>
      <w:lvlText w:val="•"/>
      <w:lvlJc w:val="left"/>
      <w:pPr>
        <w:ind w:left="602" w:hanging="122"/>
      </w:pPr>
      <w:rPr>
        <w:rFonts w:hint="default"/>
      </w:rPr>
    </w:lvl>
    <w:lvl w:ilvl="6">
      <w:start w:val="0"/>
      <w:numFmt w:val="bullet"/>
      <w:lvlText w:val="•"/>
      <w:lvlJc w:val="left"/>
      <w:pPr>
        <w:ind w:left="718" w:hanging="122"/>
      </w:pPr>
      <w:rPr>
        <w:rFonts w:hint="default"/>
      </w:rPr>
    </w:lvl>
    <w:lvl w:ilvl="7">
      <w:start w:val="0"/>
      <w:numFmt w:val="bullet"/>
      <w:lvlText w:val="•"/>
      <w:lvlJc w:val="left"/>
      <w:pPr>
        <w:ind w:left="834" w:hanging="122"/>
      </w:pPr>
      <w:rPr>
        <w:rFonts w:hint="default"/>
      </w:rPr>
    </w:lvl>
    <w:lvl w:ilvl="8">
      <w:start w:val="0"/>
      <w:numFmt w:val="bullet"/>
      <w:lvlText w:val="•"/>
      <w:lvlJc w:val="left"/>
      <w:pPr>
        <w:ind w:left="951" w:hanging="122"/>
      </w:pPr>
      <w:rPr>
        <w:rFonts w:hint="default"/>
      </w:rPr>
    </w:lvl>
  </w:abstractNum>
  <w:abstractNum w:abstractNumId="9">
    <w:nsid w:val="0B7E01E6"/>
    <w:multiLevelType w:val="hybridMultilevel"/>
    <w:tmpl w:val="24AA1A60"/>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136" w:hanging="122"/>
      </w:pPr>
      <w:rPr>
        <w:rFonts w:hint="default"/>
      </w:rPr>
    </w:lvl>
    <w:lvl w:ilvl="2">
      <w:start w:val="0"/>
      <w:numFmt w:val="bullet"/>
      <w:lvlText w:val="•"/>
      <w:lvlJc w:val="left"/>
      <w:pPr>
        <w:ind w:left="252" w:hanging="122"/>
      </w:pPr>
      <w:rPr>
        <w:rFonts w:hint="default"/>
      </w:rPr>
    </w:lvl>
    <w:lvl w:ilvl="3">
      <w:start w:val="0"/>
      <w:numFmt w:val="bullet"/>
      <w:lvlText w:val="•"/>
      <w:lvlJc w:val="left"/>
      <w:pPr>
        <w:ind w:left="369" w:hanging="122"/>
      </w:pPr>
      <w:rPr>
        <w:rFonts w:hint="default"/>
      </w:rPr>
    </w:lvl>
    <w:lvl w:ilvl="4">
      <w:start w:val="0"/>
      <w:numFmt w:val="bullet"/>
      <w:lvlText w:val="•"/>
      <w:lvlJc w:val="left"/>
      <w:pPr>
        <w:ind w:left="485" w:hanging="122"/>
      </w:pPr>
      <w:rPr>
        <w:rFonts w:hint="default"/>
      </w:rPr>
    </w:lvl>
    <w:lvl w:ilvl="5">
      <w:start w:val="0"/>
      <w:numFmt w:val="bullet"/>
      <w:lvlText w:val="•"/>
      <w:lvlJc w:val="left"/>
      <w:pPr>
        <w:ind w:left="602" w:hanging="122"/>
      </w:pPr>
      <w:rPr>
        <w:rFonts w:hint="default"/>
      </w:rPr>
    </w:lvl>
    <w:lvl w:ilvl="6">
      <w:start w:val="0"/>
      <w:numFmt w:val="bullet"/>
      <w:lvlText w:val="•"/>
      <w:lvlJc w:val="left"/>
      <w:pPr>
        <w:ind w:left="718" w:hanging="122"/>
      </w:pPr>
      <w:rPr>
        <w:rFonts w:hint="default"/>
      </w:rPr>
    </w:lvl>
    <w:lvl w:ilvl="7">
      <w:start w:val="0"/>
      <w:numFmt w:val="bullet"/>
      <w:lvlText w:val="•"/>
      <w:lvlJc w:val="left"/>
      <w:pPr>
        <w:ind w:left="834" w:hanging="122"/>
      </w:pPr>
      <w:rPr>
        <w:rFonts w:hint="default"/>
      </w:rPr>
    </w:lvl>
    <w:lvl w:ilvl="8">
      <w:start w:val="0"/>
      <w:numFmt w:val="bullet"/>
      <w:lvlText w:val="•"/>
      <w:lvlJc w:val="left"/>
      <w:pPr>
        <w:ind w:left="951" w:hanging="122"/>
      </w:pPr>
      <w:rPr>
        <w:rFonts w:hint="default"/>
      </w:rPr>
    </w:lvl>
  </w:abstractNum>
  <w:abstractNum w:abstractNumId="10">
    <w:nsid w:val="0E267D98"/>
    <w:multiLevelType w:val="hybridMultilevel"/>
    <w:tmpl w:val="0B18EEA4"/>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136" w:hanging="122"/>
      </w:pPr>
      <w:rPr>
        <w:rFonts w:hint="default"/>
      </w:rPr>
    </w:lvl>
    <w:lvl w:ilvl="2">
      <w:start w:val="0"/>
      <w:numFmt w:val="bullet"/>
      <w:lvlText w:val="•"/>
      <w:lvlJc w:val="left"/>
      <w:pPr>
        <w:ind w:left="252" w:hanging="122"/>
      </w:pPr>
      <w:rPr>
        <w:rFonts w:hint="default"/>
      </w:rPr>
    </w:lvl>
    <w:lvl w:ilvl="3">
      <w:start w:val="0"/>
      <w:numFmt w:val="bullet"/>
      <w:lvlText w:val="•"/>
      <w:lvlJc w:val="left"/>
      <w:pPr>
        <w:ind w:left="369" w:hanging="122"/>
      </w:pPr>
      <w:rPr>
        <w:rFonts w:hint="default"/>
      </w:rPr>
    </w:lvl>
    <w:lvl w:ilvl="4">
      <w:start w:val="0"/>
      <w:numFmt w:val="bullet"/>
      <w:lvlText w:val="•"/>
      <w:lvlJc w:val="left"/>
      <w:pPr>
        <w:ind w:left="485" w:hanging="122"/>
      </w:pPr>
      <w:rPr>
        <w:rFonts w:hint="default"/>
      </w:rPr>
    </w:lvl>
    <w:lvl w:ilvl="5">
      <w:start w:val="0"/>
      <w:numFmt w:val="bullet"/>
      <w:lvlText w:val="•"/>
      <w:lvlJc w:val="left"/>
      <w:pPr>
        <w:ind w:left="602" w:hanging="122"/>
      </w:pPr>
      <w:rPr>
        <w:rFonts w:hint="default"/>
      </w:rPr>
    </w:lvl>
    <w:lvl w:ilvl="6">
      <w:start w:val="0"/>
      <w:numFmt w:val="bullet"/>
      <w:lvlText w:val="•"/>
      <w:lvlJc w:val="left"/>
      <w:pPr>
        <w:ind w:left="718" w:hanging="122"/>
      </w:pPr>
      <w:rPr>
        <w:rFonts w:hint="default"/>
      </w:rPr>
    </w:lvl>
    <w:lvl w:ilvl="7">
      <w:start w:val="0"/>
      <w:numFmt w:val="bullet"/>
      <w:lvlText w:val="•"/>
      <w:lvlJc w:val="left"/>
      <w:pPr>
        <w:ind w:left="834" w:hanging="122"/>
      </w:pPr>
      <w:rPr>
        <w:rFonts w:hint="default"/>
      </w:rPr>
    </w:lvl>
    <w:lvl w:ilvl="8">
      <w:start w:val="0"/>
      <w:numFmt w:val="bullet"/>
      <w:lvlText w:val="•"/>
      <w:lvlJc w:val="left"/>
      <w:pPr>
        <w:ind w:left="951" w:hanging="122"/>
      </w:pPr>
      <w:rPr>
        <w:rFonts w:hint="default"/>
      </w:rPr>
    </w:lvl>
  </w:abstractNum>
  <w:abstractNum w:abstractNumId="11">
    <w:nsid w:val="0E352AED"/>
    <w:multiLevelType w:val="hybridMultilevel"/>
    <w:tmpl w:val="2278B618"/>
    <w:lvl w:ilvl="0">
      <w:start w:val="0"/>
      <w:numFmt w:val="bullet"/>
      <w:lvlText w:val="-"/>
      <w:lvlJc w:val="left"/>
      <w:pPr>
        <w:ind w:left="25" w:hanging="56"/>
      </w:pPr>
      <w:rPr>
        <w:rFonts w:ascii="Calibri" w:eastAsia="Calibri" w:hAnsi="Calibri" w:cs="Calibri" w:hint="default"/>
        <w:w w:val="100"/>
        <w:sz w:val="12"/>
        <w:szCs w:val="12"/>
      </w:rPr>
    </w:lvl>
    <w:lvl w:ilvl="1">
      <w:start w:val="0"/>
      <w:numFmt w:val="bullet"/>
      <w:lvlText w:val="•"/>
      <w:lvlJc w:val="left"/>
      <w:pPr>
        <w:ind w:left="371" w:hanging="56"/>
      </w:pPr>
      <w:rPr>
        <w:rFonts w:hint="default"/>
      </w:rPr>
    </w:lvl>
    <w:lvl w:ilvl="2">
      <w:start w:val="0"/>
      <w:numFmt w:val="bullet"/>
      <w:lvlText w:val="•"/>
      <w:lvlJc w:val="left"/>
      <w:pPr>
        <w:ind w:left="723" w:hanging="56"/>
      </w:pPr>
      <w:rPr>
        <w:rFonts w:hint="default"/>
      </w:rPr>
    </w:lvl>
    <w:lvl w:ilvl="3">
      <w:start w:val="0"/>
      <w:numFmt w:val="bullet"/>
      <w:lvlText w:val="•"/>
      <w:lvlJc w:val="left"/>
      <w:pPr>
        <w:ind w:left="1075" w:hanging="56"/>
      </w:pPr>
      <w:rPr>
        <w:rFonts w:hint="default"/>
      </w:rPr>
    </w:lvl>
    <w:lvl w:ilvl="4">
      <w:start w:val="0"/>
      <w:numFmt w:val="bullet"/>
      <w:lvlText w:val="•"/>
      <w:lvlJc w:val="left"/>
      <w:pPr>
        <w:ind w:left="1427" w:hanging="56"/>
      </w:pPr>
      <w:rPr>
        <w:rFonts w:hint="default"/>
      </w:rPr>
    </w:lvl>
    <w:lvl w:ilvl="5">
      <w:start w:val="0"/>
      <w:numFmt w:val="bullet"/>
      <w:lvlText w:val="•"/>
      <w:lvlJc w:val="left"/>
      <w:pPr>
        <w:ind w:left="1779" w:hanging="56"/>
      </w:pPr>
      <w:rPr>
        <w:rFonts w:hint="default"/>
      </w:rPr>
    </w:lvl>
    <w:lvl w:ilvl="6">
      <w:start w:val="0"/>
      <w:numFmt w:val="bullet"/>
      <w:lvlText w:val="•"/>
      <w:lvlJc w:val="left"/>
      <w:pPr>
        <w:ind w:left="2130" w:hanging="56"/>
      </w:pPr>
      <w:rPr>
        <w:rFonts w:hint="default"/>
      </w:rPr>
    </w:lvl>
    <w:lvl w:ilvl="7">
      <w:start w:val="0"/>
      <w:numFmt w:val="bullet"/>
      <w:lvlText w:val="•"/>
      <w:lvlJc w:val="left"/>
      <w:pPr>
        <w:ind w:left="2482" w:hanging="56"/>
      </w:pPr>
      <w:rPr>
        <w:rFonts w:hint="default"/>
      </w:rPr>
    </w:lvl>
    <w:lvl w:ilvl="8">
      <w:start w:val="0"/>
      <w:numFmt w:val="bullet"/>
      <w:lvlText w:val="•"/>
      <w:lvlJc w:val="left"/>
      <w:pPr>
        <w:ind w:left="2834" w:hanging="56"/>
      </w:pPr>
      <w:rPr>
        <w:rFonts w:hint="default"/>
      </w:rPr>
    </w:lvl>
  </w:abstractNum>
  <w:abstractNum w:abstractNumId="12">
    <w:nsid w:val="0EC55E2A"/>
    <w:multiLevelType w:val="hybridMultilevel"/>
    <w:tmpl w:val="7E283268"/>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71" w:hanging="122"/>
      </w:pPr>
      <w:rPr>
        <w:rFonts w:hint="default"/>
      </w:rPr>
    </w:lvl>
    <w:lvl w:ilvl="2">
      <w:start w:val="0"/>
      <w:numFmt w:val="bullet"/>
      <w:lvlText w:val="•"/>
      <w:lvlJc w:val="left"/>
      <w:pPr>
        <w:ind w:left="723" w:hanging="122"/>
      </w:pPr>
      <w:rPr>
        <w:rFonts w:hint="default"/>
      </w:rPr>
    </w:lvl>
    <w:lvl w:ilvl="3">
      <w:start w:val="0"/>
      <w:numFmt w:val="bullet"/>
      <w:lvlText w:val="•"/>
      <w:lvlJc w:val="left"/>
      <w:pPr>
        <w:ind w:left="1075" w:hanging="122"/>
      </w:pPr>
      <w:rPr>
        <w:rFonts w:hint="default"/>
      </w:rPr>
    </w:lvl>
    <w:lvl w:ilvl="4">
      <w:start w:val="0"/>
      <w:numFmt w:val="bullet"/>
      <w:lvlText w:val="•"/>
      <w:lvlJc w:val="left"/>
      <w:pPr>
        <w:ind w:left="1427" w:hanging="122"/>
      </w:pPr>
      <w:rPr>
        <w:rFonts w:hint="default"/>
      </w:rPr>
    </w:lvl>
    <w:lvl w:ilvl="5">
      <w:start w:val="0"/>
      <w:numFmt w:val="bullet"/>
      <w:lvlText w:val="•"/>
      <w:lvlJc w:val="left"/>
      <w:pPr>
        <w:ind w:left="1779" w:hanging="122"/>
      </w:pPr>
      <w:rPr>
        <w:rFonts w:hint="default"/>
      </w:rPr>
    </w:lvl>
    <w:lvl w:ilvl="6">
      <w:start w:val="0"/>
      <w:numFmt w:val="bullet"/>
      <w:lvlText w:val="•"/>
      <w:lvlJc w:val="left"/>
      <w:pPr>
        <w:ind w:left="2130" w:hanging="122"/>
      </w:pPr>
      <w:rPr>
        <w:rFonts w:hint="default"/>
      </w:rPr>
    </w:lvl>
    <w:lvl w:ilvl="7">
      <w:start w:val="0"/>
      <w:numFmt w:val="bullet"/>
      <w:lvlText w:val="•"/>
      <w:lvlJc w:val="left"/>
      <w:pPr>
        <w:ind w:left="2482" w:hanging="122"/>
      </w:pPr>
      <w:rPr>
        <w:rFonts w:hint="default"/>
      </w:rPr>
    </w:lvl>
    <w:lvl w:ilvl="8">
      <w:start w:val="0"/>
      <w:numFmt w:val="bullet"/>
      <w:lvlText w:val="•"/>
      <w:lvlJc w:val="left"/>
      <w:pPr>
        <w:ind w:left="2834" w:hanging="122"/>
      </w:pPr>
      <w:rPr>
        <w:rFonts w:hint="default"/>
      </w:rPr>
    </w:lvl>
  </w:abstractNum>
  <w:abstractNum w:abstractNumId="13">
    <w:nsid w:val="0FB96EAD"/>
    <w:multiLevelType w:val="hybridMultilevel"/>
    <w:tmpl w:val="546627AC"/>
    <w:lvl w:ilvl="0">
      <w:start w:val="1"/>
      <w:numFmt w:val="bullet"/>
      <w:lvlText w:val=""/>
      <w:lvlJc w:val="left"/>
      <w:pPr>
        <w:ind w:left="270" w:hanging="360"/>
      </w:pPr>
      <w:rPr>
        <w:rFonts w:ascii="Symbol" w:hAnsi="Symbol" w:hint="default"/>
      </w:rPr>
    </w:lvl>
    <w:lvl w:ilvl="1" w:tentative="1">
      <w:start w:val="1"/>
      <w:numFmt w:val="bullet"/>
      <w:lvlText w:val="o"/>
      <w:lvlJc w:val="left"/>
      <w:pPr>
        <w:ind w:left="990" w:hanging="360"/>
      </w:pPr>
      <w:rPr>
        <w:rFonts w:ascii="Courier New" w:hAnsi="Courier New" w:cs="Courier New" w:hint="default"/>
      </w:rPr>
    </w:lvl>
    <w:lvl w:ilvl="2" w:tentative="1">
      <w:start w:val="1"/>
      <w:numFmt w:val="bullet"/>
      <w:lvlText w:val=""/>
      <w:lvlJc w:val="left"/>
      <w:pPr>
        <w:ind w:left="1710" w:hanging="360"/>
      </w:pPr>
      <w:rPr>
        <w:rFonts w:ascii="Wingdings" w:hAnsi="Wingdings" w:hint="default"/>
      </w:rPr>
    </w:lvl>
    <w:lvl w:ilvl="3" w:tentative="1">
      <w:start w:val="1"/>
      <w:numFmt w:val="bullet"/>
      <w:lvlText w:val=""/>
      <w:lvlJc w:val="left"/>
      <w:pPr>
        <w:ind w:left="2430" w:hanging="360"/>
      </w:pPr>
      <w:rPr>
        <w:rFonts w:ascii="Symbol" w:hAnsi="Symbol" w:hint="default"/>
      </w:rPr>
    </w:lvl>
    <w:lvl w:ilvl="4" w:tentative="1">
      <w:start w:val="1"/>
      <w:numFmt w:val="bullet"/>
      <w:lvlText w:val="o"/>
      <w:lvlJc w:val="left"/>
      <w:pPr>
        <w:ind w:left="3150" w:hanging="360"/>
      </w:pPr>
      <w:rPr>
        <w:rFonts w:ascii="Courier New" w:hAnsi="Courier New" w:cs="Courier New" w:hint="default"/>
      </w:rPr>
    </w:lvl>
    <w:lvl w:ilvl="5" w:tentative="1">
      <w:start w:val="1"/>
      <w:numFmt w:val="bullet"/>
      <w:lvlText w:val=""/>
      <w:lvlJc w:val="left"/>
      <w:pPr>
        <w:ind w:left="3870" w:hanging="360"/>
      </w:pPr>
      <w:rPr>
        <w:rFonts w:ascii="Wingdings" w:hAnsi="Wingdings" w:hint="default"/>
      </w:rPr>
    </w:lvl>
    <w:lvl w:ilvl="6" w:tentative="1">
      <w:start w:val="1"/>
      <w:numFmt w:val="bullet"/>
      <w:lvlText w:val=""/>
      <w:lvlJc w:val="left"/>
      <w:pPr>
        <w:ind w:left="4590" w:hanging="360"/>
      </w:pPr>
      <w:rPr>
        <w:rFonts w:ascii="Symbol" w:hAnsi="Symbol" w:hint="default"/>
      </w:rPr>
    </w:lvl>
    <w:lvl w:ilvl="7" w:tentative="1">
      <w:start w:val="1"/>
      <w:numFmt w:val="bullet"/>
      <w:lvlText w:val="o"/>
      <w:lvlJc w:val="left"/>
      <w:pPr>
        <w:ind w:left="5310" w:hanging="360"/>
      </w:pPr>
      <w:rPr>
        <w:rFonts w:ascii="Courier New" w:hAnsi="Courier New" w:cs="Courier New" w:hint="default"/>
      </w:rPr>
    </w:lvl>
    <w:lvl w:ilvl="8" w:tentative="1">
      <w:start w:val="1"/>
      <w:numFmt w:val="bullet"/>
      <w:lvlText w:val=""/>
      <w:lvlJc w:val="left"/>
      <w:pPr>
        <w:ind w:left="6030" w:hanging="360"/>
      </w:pPr>
      <w:rPr>
        <w:rFonts w:ascii="Wingdings" w:hAnsi="Wingdings" w:hint="default"/>
      </w:rPr>
    </w:lvl>
  </w:abstractNum>
  <w:abstractNum w:abstractNumId="14">
    <w:nsid w:val="112E4624"/>
    <w:multiLevelType w:val="multilevel"/>
    <w:tmpl w:val="2E4A5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BA3B41"/>
    <w:multiLevelType w:val="hybridMultilevel"/>
    <w:tmpl w:val="DBE8CF66"/>
    <w:lvl w:ilvl="0">
      <w:start w:val="2"/>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16">
    <w:nsid w:val="12C53178"/>
    <w:multiLevelType w:val="hybridMultilevel"/>
    <w:tmpl w:val="F7946C06"/>
    <w:lvl w:ilvl="0">
      <w:start w:val="0"/>
      <w:numFmt w:val="bullet"/>
      <w:lvlText w:val="-"/>
      <w:lvlJc w:val="left"/>
      <w:pPr>
        <w:ind w:left="25" w:hanging="56"/>
      </w:pPr>
      <w:rPr>
        <w:rFonts w:ascii="Calibri" w:eastAsia="Calibri" w:hAnsi="Calibri" w:cs="Calibri" w:hint="default"/>
        <w:w w:val="100"/>
        <w:sz w:val="12"/>
        <w:szCs w:val="12"/>
      </w:rPr>
    </w:lvl>
    <w:lvl w:ilvl="1">
      <w:start w:val="0"/>
      <w:numFmt w:val="bullet"/>
      <w:lvlText w:val="•"/>
      <w:lvlJc w:val="left"/>
      <w:pPr>
        <w:ind w:left="371" w:hanging="56"/>
      </w:pPr>
      <w:rPr>
        <w:rFonts w:hint="default"/>
      </w:rPr>
    </w:lvl>
    <w:lvl w:ilvl="2">
      <w:start w:val="0"/>
      <w:numFmt w:val="bullet"/>
      <w:lvlText w:val="•"/>
      <w:lvlJc w:val="left"/>
      <w:pPr>
        <w:ind w:left="723" w:hanging="56"/>
      </w:pPr>
      <w:rPr>
        <w:rFonts w:hint="default"/>
      </w:rPr>
    </w:lvl>
    <w:lvl w:ilvl="3">
      <w:start w:val="0"/>
      <w:numFmt w:val="bullet"/>
      <w:lvlText w:val="•"/>
      <w:lvlJc w:val="left"/>
      <w:pPr>
        <w:ind w:left="1075" w:hanging="56"/>
      </w:pPr>
      <w:rPr>
        <w:rFonts w:hint="default"/>
      </w:rPr>
    </w:lvl>
    <w:lvl w:ilvl="4">
      <w:start w:val="0"/>
      <w:numFmt w:val="bullet"/>
      <w:lvlText w:val="•"/>
      <w:lvlJc w:val="left"/>
      <w:pPr>
        <w:ind w:left="1427" w:hanging="56"/>
      </w:pPr>
      <w:rPr>
        <w:rFonts w:hint="default"/>
      </w:rPr>
    </w:lvl>
    <w:lvl w:ilvl="5">
      <w:start w:val="0"/>
      <w:numFmt w:val="bullet"/>
      <w:lvlText w:val="•"/>
      <w:lvlJc w:val="left"/>
      <w:pPr>
        <w:ind w:left="1779" w:hanging="56"/>
      </w:pPr>
      <w:rPr>
        <w:rFonts w:hint="default"/>
      </w:rPr>
    </w:lvl>
    <w:lvl w:ilvl="6">
      <w:start w:val="0"/>
      <w:numFmt w:val="bullet"/>
      <w:lvlText w:val="•"/>
      <w:lvlJc w:val="left"/>
      <w:pPr>
        <w:ind w:left="2130" w:hanging="56"/>
      </w:pPr>
      <w:rPr>
        <w:rFonts w:hint="default"/>
      </w:rPr>
    </w:lvl>
    <w:lvl w:ilvl="7">
      <w:start w:val="0"/>
      <w:numFmt w:val="bullet"/>
      <w:lvlText w:val="•"/>
      <w:lvlJc w:val="left"/>
      <w:pPr>
        <w:ind w:left="2482" w:hanging="56"/>
      </w:pPr>
      <w:rPr>
        <w:rFonts w:hint="default"/>
      </w:rPr>
    </w:lvl>
    <w:lvl w:ilvl="8">
      <w:start w:val="0"/>
      <w:numFmt w:val="bullet"/>
      <w:lvlText w:val="•"/>
      <w:lvlJc w:val="left"/>
      <w:pPr>
        <w:ind w:left="2834" w:hanging="56"/>
      </w:pPr>
      <w:rPr>
        <w:rFonts w:hint="default"/>
      </w:rPr>
    </w:lvl>
  </w:abstractNum>
  <w:abstractNum w:abstractNumId="17">
    <w:nsid w:val="138457D1"/>
    <w:multiLevelType w:val="hybridMultilevel"/>
    <w:tmpl w:val="79C86F88"/>
    <w:lvl w:ilvl="0">
      <w:start w:val="1"/>
      <w:numFmt w:val="decimal"/>
      <w:lvlText w:val="%1."/>
      <w:lvlJc w:val="left"/>
      <w:pPr>
        <w:ind w:left="146" w:hanging="122"/>
      </w:pPr>
      <w:rPr>
        <w:rFonts w:ascii="Calibri" w:eastAsia="Calibri" w:hAnsi="Calibri" w:cs="Calibri" w:hint="default"/>
        <w:spacing w:val="0"/>
        <w:w w:val="100"/>
        <w:sz w:val="12"/>
        <w:szCs w:val="12"/>
      </w:rPr>
    </w:lvl>
    <w:lvl w:ilvl="1">
      <w:start w:val="0"/>
      <w:numFmt w:val="bullet"/>
      <w:lvlText w:val="•"/>
      <w:lvlJc w:val="left"/>
      <w:pPr>
        <w:ind w:left="244" w:hanging="122"/>
      </w:pPr>
      <w:rPr>
        <w:rFonts w:hint="default"/>
      </w:rPr>
    </w:lvl>
    <w:lvl w:ilvl="2">
      <w:start w:val="0"/>
      <w:numFmt w:val="bullet"/>
      <w:lvlText w:val="•"/>
      <w:lvlJc w:val="left"/>
      <w:pPr>
        <w:ind w:left="348" w:hanging="122"/>
      </w:pPr>
      <w:rPr>
        <w:rFonts w:hint="default"/>
      </w:rPr>
    </w:lvl>
    <w:lvl w:ilvl="3">
      <w:start w:val="0"/>
      <w:numFmt w:val="bullet"/>
      <w:lvlText w:val="•"/>
      <w:lvlJc w:val="left"/>
      <w:pPr>
        <w:ind w:left="453" w:hanging="122"/>
      </w:pPr>
      <w:rPr>
        <w:rFonts w:hint="default"/>
      </w:rPr>
    </w:lvl>
    <w:lvl w:ilvl="4">
      <w:start w:val="0"/>
      <w:numFmt w:val="bullet"/>
      <w:lvlText w:val="•"/>
      <w:lvlJc w:val="left"/>
      <w:pPr>
        <w:ind w:left="557" w:hanging="122"/>
      </w:pPr>
      <w:rPr>
        <w:rFonts w:hint="default"/>
      </w:rPr>
    </w:lvl>
    <w:lvl w:ilvl="5">
      <w:start w:val="0"/>
      <w:numFmt w:val="bullet"/>
      <w:lvlText w:val="•"/>
      <w:lvlJc w:val="left"/>
      <w:pPr>
        <w:ind w:left="662" w:hanging="122"/>
      </w:pPr>
      <w:rPr>
        <w:rFonts w:hint="default"/>
      </w:rPr>
    </w:lvl>
    <w:lvl w:ilvl="6">
      <w:start w:val="0"/>
      <w:numFmt w:val="bullet"/>
      <w:lvlText w:val="•"/>
      <w:lvlJc w:val="left"/>
      <w:pPr>
        <w:ind w:left="766" w:hanging="122"/>
      </w:pPr>
      <w:rPr>
        <w:rFonts w:hint="default"/>
      </w:rPr>
    </w:lvl>
    <w:lvl w:ilvl="7">
      <w:start w:val="0"/>
      <w:numFmt w:val="bullet"/>
      <w:lvlText w:val="•"/>
      <w:lvlJc w:val="left"/>
      <w:pPr>
        <w:ind w:left="870" w:hanging="122"/>
      </w:pPr>
      <w:rPr>
        <w:rFonts w:hint="default"/>
      </w:rPr>
    </w:lvl>
    <w:lvl w:ilvl="8">
      <w:start w:val="0"/>
      <w:numFmt w:val="bullet"/>
      <w:lvlText w:val="•"/>
      <w:lvlJc w:val="left"/>
      <w:pPr>
        <w:ind w:left="975" w:hanging="122"/>
      </w:pPr>
      <w:rPr>
        <w:rFonts w:hint="default"/>
      </w:rPr>
    </w:lvl>
  </w:abstractNum>
  <w:abstractNum w:abstractNumId="18">
    <w:nsid w:val="15214F50"/>
    <w:multiLevelType w:val="hybridMultilevel"/>
    <w:tmpl w:val="E4AE78FA"/>
    <w:lvl w:ilvl="0">
      <w:start w:val="1"/>
      <w:numFmt w:val="decimal"/>
      <w:lvlText w:val="%1."/>
      <w:lvlJc w:val="left"/>
      <w:pPr>
        <w:ind w:left="146" w:hanging="122"/>
      </w:pPr>
      <w:rPr>
        <w:rFonts w:ascii="Calibri" w:eastAsia="Calibri" w:hAnsi="Calibri" w:cs="Calibri" w:hint="default"/>
        <w:spacing w:val="0"/>
        <w:w w:val="100"/>
        <w:sz w:val="12"/>
        <w:szCs w:val="12"/>
      </w:rPr>
    </w:lvl>
    <w:lvl w:ilvl="1">
      <w:start w:val="0"/>
      <w:numFmt w:val="bullet"/>
      <w:lvlText w:val="•"/>
      <w:lvlJc w:val="left"/>
      <w:pPr>
        <w:ind w:left="244" w:hanging="122"/>
      </w:pPr>
      <w:rPr>
        <w:rFonts w:hint="default"/>
      </w:rPr>
    </w:lvl>
    <w:lvl w:ilvl="2">
      <w:start w:val="0"/>
      <w:numFmt w:val="bullet"/>
      <w:lvlText w:val="•"/>
      <w:lvlJc w:val="left"/>
      <w:pPr>
        <w:ind w:left="348" w:hanging="122"/>
      </w:pPr>
      <w:rPr>
        <w:rFonts w:hint="default"/>
      </w:rPr>
    </w:lvl>
    <w:lvl w:ilvl="3">
      <w:start w:val="0"/>
      <w:numFmt w:val="bullet"/>
      <w:lvlText w:val="•"/>
      <w:lvlJc w:val="left"/>
      <w:pPr>
        <w:ind w:left="453" w:hanging="122"/>
      </w:pPr>
      <w:rPr>
        <w:rFonts w:hint="default"/>
      </w:rPr>
    </w:lvl>
    <w:lvl w:ilvl="4">
      <w:start w:val="0"/>
      <w:numFmt w:val="bullet"/>
      <w:lvlText w:val="•"/>
      <w:lvlJc w:val="left"/>
      <w:pPr>
        <w:ind w:left="557" w:hanging="122"/>
      </w:pPr>
      <w:rPr>
        <w:rFonts w:hint="default"/>
      </w:rPr>
    </w:lvl>
    <w:lvl w:ilvl="5">
      <w:start w:val="0"/>
      <w:numFmt w:val="bullet"/>
      <w:lvlText w:val="•"/>
      <w:lvlJc w:val="left"/>
      <w:pPr>
        <w:ind w:left="662" w:hanging="122"/>
      </w:pPr>
      <w:rPr>
        <w:rFonts w:hint="default"/>
      </w:rPr>
    </w:lvl>
    <w:lvl w:ilvl="6">
      <w:start w:val="0"/>
      <w:numFmt w:val="bullet"/>
      <w:lvlText w:val="•"/>
      <w:lvlJc w:val="left"/>
      <w:pPr>
        <w:ind w:left="766" w:hanging="122"/>
      </w:pPr>
      <w:rPr>
        <w:rFonts w:hint="default"/>
      </w:rPr>
    </w:lvl>
    <w:lvl w:ilvl="7">
      <w:start w:val="0"/>
      <w:numFmt w:val="bullet"/>
      <w:lvlText w:val="•"/>
      <w:lvlJc w:val="left"/>
      <w:pPr>
        <w:ind w:left="870" w:hanging="122"/>
      </w:pPr>
      <w:rPr>
        <w:rFonts w:hint="default"/>
      </w:rPr>
    </w:lvl>
    <w:lvl w:ilvl="8">
      <w:start w:val="0"/>
      <w:numFmt w:val="bullet"/>
      <w:lvlText w:val="•"/>
      <w:lvlJc w:val="left"/>
      <w:pPr>
        <w:ind w:left="975" w:hanging="122"/>
      </w:pPr>
      <w:rPr>
        <w:rFonts w:hint="default"/>
      </w:rPr>
    </w:lvl>
  </w:abstractNum>
  <w:abstractNum w:abstractNumId="19">
    <w:nsid w:val="16295398"/>
    <w:multiLevelType w:val="hybridMultilevel"/>
    <w:tmpl w:val="82C2EBDA"/>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20">
    <w:nsid w:val="164F1919"/>
    <w:multiLevelType w:val="hybridMultilevel"/>
    <w:tmpl w:val="00A4075E"/>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71" w:hanging="122"/>
      </w:pPr>
      <w:rPr>
        <w:rFonts w:hint="default"/>
      </w:rPr>
    </w:lvl>
    <w:lvl w:ilvl="2">
      <w:start w:val="0"/>
      <w:numFmt w:val="bullet"/>
      <w:lvlText w:val="•"/>
      <w:lvlJc w:val="left"/>
      <w:pPr>
        <w:ind w:left="723" w:hanging="122"/>
      </w:pPr>
      <w:rPr>
        <w:rFonts w:hint="default"/>
      </w:rPr>
    </w:lvl>
    <w:lvl w:ilvl="3">
      <w:start w:val="0"/>
      <w:numFmt w:val="bullet"/>
      <w:lvlText w:val="•"/>
      <w:lvlJc w:val="left"/>
      <w:pPr>
        <w:ind w:left="1075" w:hanging="122"/>
      </w:pPr>
      <w:rPr>
        <w:rFonts w:hint="default"/>
      </w:rPr>
    </w:lvl>
    <w:lvl w:ilvl="4">
      <w:start w:val="0"/>
      <w:numFmt w:val="bullet"/>
      <w:lvlText w:val="•"/>
      <w:lvlJc w:val="left"/>
      <w:pPr>
        <w:ind w:left="1427" w:hanging="122"/>
      </w:pPr>
      <w:rPr>
        <w:rFonts w:hint="default"/>
      </w:rPr>
    </w:lvl>
    <w:lvl w:ilvl="5">
      <w:start w:val="0"/>
      <w:numFmt w:val="bullet"/>
      <w:lvlText w:val="•"/>
      <w:lvlJc w:val="left"/>
      <w:pPr>
        <w:ind w:left="1779" w:hanging="122"/>
      </w:pPr>
      <w:rPr>
        <w:rFonts w:hint="default"/>
      </w:rPr>
    </w:lvl>
    <w:lvl w:ilvl="6">
      <w:start w:val="0"/>
      <w:numFmt w:val="bullet"/>
      <w:lvlText w:val="•"/>
      <w:lvlJc w:val="left"/>
      <w:pPr>
        <w:ind w:left="2130" w:hanging="122"/>
      </w:pPr>
      <w:rPr>
        <w:rFonts w:hint="default"/>
      </w:rPr>
    </w:lvl>
    <w:lvl w:ilvl="7">
      <w:start w:val="0"/>
      <w:numFmt w:val="bullet"/>
      <w:lvlText w:val="•"/>
      <w:lvlJc w:val="left"/>
      <w:pPr>
        <w:ind w:left="2482" w:hanging="122"/>
      </w:pPr>
      <w:rPr>
        <w:rFonts w:hint="default"/>
      </w:rPr>
    </w:lvl>
    <w:lvl w:ilvl="8">
      <w:start w:val="0"/>
      <w:numFmt w:val="bullet"/>
      <w:lvlText w:val="•"/>
      <w:lvlJc w:val="left"/>
      <w:pPr>
        <w:ind w:left="2834" w:hanging="122"/>
      </w:pPr>
      <w:rPr>
        <w:rFonts w:hint="default"/>
      </w:rPr>
    </w:lvl>
  </w:abstractNum>
  <w:abstractNum w:abstractNumId="21">
    <w:nsid w:val="177D3B3C"/>
    <w:multiLevelType w:val="hybridMultilevel"/>
    <w:tmpl w:val="4BE4B85A"/>
    <w:lvl w:ilvl="0">
      <w:start w:val="1"/>
      <w:numFmt w:val="decimal"/>
      <w:lvlText w:val="%1."/>
      <w:lvlJc w:val="left"/>
      <w:pPr>
        <w:ind w:left="146" w:hanging="122"/>
      </w:pPr>
      <w:rPr>
        <w:rFonts w:ascii="Calibri" w:eastAsia="Calibri" w:hAnsi="Calibri" w:cs="Calibri" w:hint="default"/>
        <w:spacing w:val="0"/>
        <w:w w:val="100"/>
        <w:sz w:val="12"/>
        <w:szCs w:val="12"/>
      </w:rPr>
    </w:lvl>
    <w:lvl w:ilvl="1">
      <w:start w:val="0"/>
      <w:numFmt w:val="bullet"/>
      <w:lvlText w:val="•"/>
      <w:lvlJc w:val="left"/>
      <w:pPr>
        <w:ind w:left="244" w:hanging="122"/>
      </w:pPr>
      <w:rPr>
        <w:rFonts w:hint="default"/>
      </w:rPr>
    </w:lvl>
    <w:lvl w:ilvl="2">
      <w:start w:val="0"/>
      <w:numFmt w:val="bullet"/>
      <w:lvlText w:val="•"/>
      <w:lvlJc w:val="left"/>
      <w:pPr>
        <w:ind w:left="348" w:hanging="122"/>
      </w:pPr>
      <w:rPr>
        <w:rFonts w:hint="default"/>
      </w:rPr>
    </w:lvl>
    <w:lvl w:ilvl="3">
      <w:start w:val="0"/>
      <w:numFmt w:val="bullet"/>
      <w:lvlText w:val="•"/>
      <w:lvlJc w:val="left"/>
      <w:pPr>
        <w:ind w:left="453" w:hanging="122"/>
      </w:pPr>
      <w:rPr>
        <w:rFonts w:hint="default"/>
      </w:rPr>
    </w:lvl>
    <w:lvl w:ilvl="4">
      <w:start w:val="0"/>
      <w:numFmt w:val="bullet"/>
      <w:lvlText w:val="•"/>
      <w:lvlJc w:val="left"/>
      <w:pPr>
        <w:ind w:left="557" w:hanging="122"/>
      </w:pPr>
      <w:rPr>
        <w:rFonts w:hint="default"/>
      </w:rPr>
    </w:lvl>
    <w:lvl w:ilvl="5">
      <w:start w:val="0"/>
      <w:numFmt w:val="bullet"/>
      <w:lvlText w:val="•"/>
      <w:lvlJc w:val="left"/>
      <w:pPr>
        <w:ind w:left="662" w:hanging="122"/>
      </w:pPr>
      <w:rPr>
        <w:rFonts w:hint="default"/>
      </w:rPr>
    </w:lvl>
    <w:lvl w:ilvl="6">
      <w:start w:val="0"/>
      <w:numFmt w:val="bullet"/>
      <w:lvlText w:val="•"/>
      <w:lvlJc w:val="left"/>
      <w:pPr>
        <w:ind w:left="766" w:hanging="122"/>
      </w:pPr>
      <w:rPr>
        <w:rFonts w:hint="default"/>
      </w:rPr>
    </w:lvl>
    <w:lvl w:ilvl="7">
      <w:start w:val="0"/>
      <w:numFmt w:val="bullet"/>
      <w:lvlText w:val="•"/>
      <w:lvlJc w:val="left"/>
      <w:pPr>
        <w:ind w:left="870" w:hanging="122"/>
      </w:pPr>
      <w:rPr>
        <w:rFonts w:hint="default"/>
      </w:rPr>
    </w:lvl>
    <w:lvl w:ilvl="8">
      <w:start w:val="0"/>
      <w:numFmt w:val="bullet"/>
      <w:lvlText w:val="•"/>
      <w:lvlJc w:val="left"/>
      <w:pPr>
        <w:ind w:left="975" w:hanging="122"/>
      </w:pPr>
      <w:rPr>
        <w:rFonts w:hint="default"/>
      </w:rPr>
    </w:lvl>
  </w:abstractNum>
  <w:abstractNum w:abstractNumId="22">
    <w:nsid w:val="18540455"/>
    <w:multiLevelType w:val="hybridMultilevel"/>
    <w:tmpl w:val="B09A7FF4"/>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23">
    <w:nsid w:val="18CE4493"/>
    <w:multiLevelType w:val="hybridMultilevel"/>
    <w:tmpl w:val="DF9E4B08"/>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136" w:hanging="122"/>
      </w:pPr>
      <w:rPr>
        <w:rFonts w:hint="default"/>
      </w:rPr>
    </w:lvl>
    <w:lvl w:ilvl="2">
      <w:start w:val="0"/>
      <w:numFmt w:val="bullet"/>
      <w:lvlText w:val="•"/>
      <w:lvlJc w:val="left"/>
      <w:pPr>
        <w:ind w:left="252" w:hanging="122"/>
      </w:pPr>
      <w:rPr>
        <w:rFonts w:hint="default"/>
      </w:rPr>
    </w:lvl>
    <w:lvl w:ilvl="3">
      <w:start w:val="0"/>
      <w:numFmt w:val="bullet"/>
      <w:lvlText w:val="•"/>
      <w:lvlJc w:val="left"/>
      <w:pPr>
        <w:ind w:left="369" w:hanging="122"/>
      </w:pPr>
      <w:rPr>
        <w:rFonts w:hint="default"/>
      </w:rPr>
    </w:lvl>
    <w:lvl w:ilvl="4">
      <w:start w:val="0"/>
      <w:numFmt w:val="bullet"/>
      <w:lvlText w:val="•"/>
      <w:lvlJc w:val="left"/>
      <w:pPr>
        <w:ind w:left="485" w:hanging="122"/>
      </w:pPr>
      <w:rPr>
        <w:rFonts w:hint="default"/>
      </w:rPr>
    </w:lvl>
    <w:lvl w:ilvl="5">
      <w:start w:val="0"/>
      <w:numFmt w:val="bullet"/>
      <w:lvlText w:val="•"/>
      <w:lvlJc w:val="left"/>
      <w:pPr>
        <w:ind w:left="602" w:hanging="122"/>
      </w:pPr>
      <w:rPr>
        <w:rFonts w:hint="default"/>
      </w:rPr>
    </w:lvl>
    <w:lvl w:ilvl="6">
      <w:start w:val="0"/>
      <w:numFmt w:val="bullet"/>
      <w:lvlText w:val="•"/>
      <w:lvlJc w:val="left"/>
      <w:pPr>
        <w:ind w:left="718" w:hanging="122"/>
      </w:pPr>
      <w:rPr>
        <w:rFonts w:hint="default"/>
      </w:rPr>
    </w:lvl>
    <w:lvl w:ilvl="7">
      <w:start w:val="0"/>
      <w:numFmt w:val="bullet"/>
      <w:lvlText w:val="•"/>
      <w:lvlJc w:val="left"/>
      <w:pPr>
        <w:ind w:left="834" w:hanging="122"/>
      </w:pPr>
      <w:rPr>
        <w:rFonts w:hint="default"/>
      </w:rPr>
    </w:lvl>
    <w:lvl w:ilvl="8">
      <w:start w:val="0"/>
      <w:numFmt w:val="bullet"/>
      <w:lvlText w:val="•"/>
      <w:lvlJc w:val="left"/>
      <w:pPr>
        <w:ind w:left="951" w:hanging="122"/>
      </w:pPr>
      <w:rPr>
        <w:rFonts w:hint="default"/>
      </w:rPr>
    </w:lvl>
  </w:abstractNum>
  <w:abstractNum w:abstractNumId="24">
    <w:nsid w:val="19C25F59"/>
    <w:multiLevelType w:val="hybridMultilevel"/>
    <w:tmpl w:val="69FC5364"/>
    <w:lvl w:ilvl="0">
      <w:start w:val="1"/>
      <w:numFmt w:val="decimal"/>
      <w:lvlText w:val="%1."/>
      <w:lvlJc w:val="left"/>
      <w:pPr>
        <w:ind w:left="146" w:hanging="122"/>
      </w:pPr>
      <w:rPr>
        <w:rFonts w:ascii="Calibri" w:eastAsia="Calibri" w:hAnsi="Calibri" w:cs="Calibri" w:hint="default"/>
        <w:spacing w:val="0"/>
        <w:w w:val="100"/>
        <w:sz w:val="12"/>
        <w:szCs w:val="12"/>
      </w:rPr>
    </w:lvl>
    <w:lvl w:ilvl="1">
      <w:start w:val="0"/>
      <w:numFmt w:val="bullet"/>
      <w:lvlText w:val="•"/>
      <w:lvlJc w:val="left"/>
      <w:pPr>
        <w:ind w:left="479" w:hanging="122"/>
      </w:pPr>
      <w:rPr>
        <w:rFonts w:hint="default"/>
      </w:rPr>
    </w:lvl>
    <w:lvl w:ilvl="2">
      <w:start w:val="0"/>
      <w:numFmt w:val="bullet"/>
      <w:lvlText w:val="•"/>
      <w:lvlJc w:val="left"/>
      <w:pPr>
        <w:ind w:left="819" w:hanging="122"/>
      </w:pPr>
      <w:rPr>
        <w:rFonts w:hint="default"/>
      </w:rPr>
    </w:lvl>
    <w:lvl w:ilvl="3">
      <w:start w:val="0"/>
      <w:numFmt w:val="bullet"/>
      <w:lvlText w:val="•"/>
      <w:lvlJc w:val="left"/>
      <w:pPr>
        <w:ind w:left="1159" w:hanging="122"/>
      </w:pPr>
      <w:rPr>
        <w:rFonts w:hint="default"/>
      </w:rPr>
    </w:lvl>
    <w:lvl w:ilvl="4">
      <w:start w:val="0"/>
      <w:numFmt w:val="bullet"/>
      <w:lvlText w:val="•"/>
      <w:lvlJc w:val="left"/>
      <w:pPr>
        <w:ind w:left="1499" w:hanging="122"/>
      </w:pPr>
      <w:rPr>
        <w:rFonts w:hint="default"/>
      </w:rPr>
    </w:lvl>
    <w:lvl w:ilvl="5">
      <w:start w:val="0"/>
      <w:numFmt w:val="bullet"/>
      <w:lvlText w:val="•"/>
      <w:lvlJc w:val="left"/>
      <w:pPr>
        <w:ind w:left="1839" w:hanging="122"/>
      </w:pPr>
      <w:rPr>
        <w:rFonts w:hint="default"/>
      </w:rPr>
    </w:lvl>
    <w:lvl w:ilvl="6">
      <w:start w:val="0"/>
      <w:numFmt w:val="bullet"/>
      <w:lvlText w:val="•"/>
      <w:lvlJc w:val="left"/>
      <w:pPr>
        <w:ind w:left="2178" w:hanging="122"/>
      </w:pPr>
      <w:rPr>
        <w:rFonts w:hint="default"/>
      </w:rPr>
    </w:lvl>
    <w:lvl w:ilvl="7">
      <w:start w:val="0"/>
      <w:numFmt w:val="bullet"/>
      <w:lvlText w:val="•"/>
      <w:lvlJc w:val="left"/>
      <w:pPr>
        <w:ind w:left="2518" w:hanging="122"/>
      </w:pPr>
      <w:rPr>
        <w:rFonts w:hint="default"/>
      </w:rPr>
    </w:lvl>
    <w:lvl w:ilvl="8">
      <w:start w:val="0"/>
      <w:numFmt w:val="bullet"/>
      <w:lvlText w:val="•"/>
      <w:lvlJc w:val="left"/>
      <w:pPr>
        <w:ind w:left="2858" w:hanging="122"/>
      </w:pPr>
      <w:rPr>
        <w:rFonts w:hint="default"/>
      </w:rPr>
    </w:lvl>
  </w:abstractNum>
  <w:abstractNum w:abstractNumId="25">
    <w:nsid w:val="1A2D5DAA"/>
    <w:multiLevelType w:val="hybridMultilevel"/>
    <w:tmpl w:val="3ADC960C"/>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26">
    <w:nsid w:val="1AEF6BC1"/>
    <w:multiLevelType w:val="hybridMultilevel"/>
    <w:tmpl w:val="32E028AE"/>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71" w:hanging="122"/>
      </w:pPr>
      <w:rPr>
        <w:rFonts w:hint="default"/>
      </w:rPr>
    </w:lvl>
    <w:lvl w:ilvl="2">
      <w:start w:val="0"/>
      <w:numFmt w:val="bullet"/>
      <w:lvlText w:val="•"/>
      <w:lvlJc w:val="left"/>
      <w:pPr>
        <w:ind w:left="723" w:hanging="122"/>
      </w:pPr>
      <w:rPr>
        <w:rFonts w:hint="default"/>
      </w:rPr>
    </w:lvl>
    <w:lvl w:ilvl="3">
      <w:start w:val="0"/>
      <w:numFmt w:val="bullet"/>
      <w:lvlText w:val="•"/>
      <w:lvlJc w:val="left"/>
      <w:pPr>
        <w:ind w:left="1075" w:hanging="122"/>
      </w:pPr>
      <w:rPr>
        <w:rFonts w:hint="default"/>
      </w:rPr>
    </w:lvl>
    <w:lvl w:ilvl="4">
      <w:start w:val="0"/>
      <w:numFmt w:val="bullet"/>
      <w:lvlText w:val="•"/>
      <w:lvlJc w:val="left"/>
      <w:pPr>
        <w:ind w:left="1427" w:hanging="122"/>
      </w:pPr>
      <w:rPr>
        <w:rFonts w:hint="default"/>
      </w:rPr>
    </w:lvl>
    <w:lvl w:ilvl="5">
      <w:start w:val="0"/>
      <w:numFmt w:val="bullet"/>
      <w:lvlText w:val="•"/>
      <w:lvlJc w:val="left"/>
      <w:pPr>
        <w:ind w:left="1779" w:hanging="122"/>
      </w:pPr>
      <w:rPr>
        <w:rFonts w:hint="default"/>
      </w:rPr>
    </w:lvl>
    <w:lvl w:ilvl="6">
      <w:start w:val="0"/>
      <w:numFmt w:val="bullet"/>
      <w:lvlText w:val="•"/>
      <w:lvlJc w:val="left"/>
      <w:pPr>
        <w:ind w:left="2130" w:hanging="122"/>
      </w:pPr>
      <w:rPr>
        <w:rFonts w:hint="default"/>
      </w:rPr>
    </w:lvl>
    <w:lvl w:ilvl="7">
      <w:start w:val="0"/>
      <w:numFmt w:val="bullet"/>
      <w:lvlText w:val="•"/>
      <w:lvlJc w:val="left"/>
      <w:pPr>
        <w:ind w:left="2482" w:hanging="122"/>
      </w:pPr>
      <w:rPr>
        <w:rFonts w:hint="default"/>
      </w:rPr>
    </w:lvl>
    <w:lvl w:ilvl="8">
      <w:start w:val="0"/>
      <w:numFmt w:val="bullet"/>
      <w:lvlText w:val="•"/>
      <w:lvlJc w:val="left"/>
      <w:pPr>
        <w:ind w:left="2834" w:hanging="122"/>
      </w:pPr>
      <w:rPr>
        <w:rFonts w:hint="default"/>
      </w:rPr>
    </w:lvl>
  </w:abstractNum>
  <w:abstractNum w:abstractNumId="27">
    <w:nsid w:val="1B4A0F2A"/>
    <w:multiLevelType w:val="hybridMultilevel"/>
    <w:tmpl w:val="CD5268FC"/>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28">
    <w:nsid w:val="1D393AFB"/>
    <w:multiLevelType w:val="hybridMultilevel"/>
    <w:tmpl w:val="CA908338"/>
    <w:lvl w:ilvl="0">
      <w:start w:val="1"/>
      <w:numFmt w:val="decimal"/>
      <w:lvlText w:val="%1."/>
      <w:lvlJc w:val="left"/>
      <w:pPr>
        <w:ind w:left="146" w:hanging="122"/>
      </w:pPr>
      <w:rPr>
        <w:rFonts w:ascii="Calibri" w:eastAsia="Calibri" w:hAnsi="Calibri" w:cs="Calibri" w:hint="default"/>
        <w:spacing w:val="0"/>
        <w:w w:val="100"/>
        <w:sz w:val="12"/>
        <w:szCs w:val="12"/>
      </w:rPr>
    </w:lvl>
    <w:lvl w:ilvl="1">
      <w:start w:val="1"/>
      <w:numFmt w:val="decimal"/>
      <w:lvlText w:val="(%2)"/>
      <w:lvlJc w:val="left"/>
      <w:pPr>
        <w:ind w:left="25" w:hanging="155"/>
      </w:pPr>
      <w:rPr>
        <w:rFonts w:ascii="Calibri" w:eastAsia="Calibri" w:hAnsi="Calibri" w:cs="Calibri" w:hint="default"/>
        <w:spacing w:val="-4"/>
        <w:w w:val="100"/>
        <w:sz w:val="12"/>
        <w:szCs w:val="12"/>
      </w:rPr>
    </w:lvl>
    <w:lvl w:ilvl="2">
      <w:start w:val="0"/>
      <w:numFmt w:val="bullet"/>
      <w:lvlText w:val="•"/>
      <w:lvlJc w:val="left"/>
      <w:pPr>
        <w:ind w:left="510" w:hanging="155"/>
      </w:pPr>
      <w:rPr>
        <w:rFonts w:hint="default"/>
      </w:rPr>
    </w:lvl>
    <w:lvl w:ilvl="3">
      <w:start w:val="0"/>
      <w:numFmt w:val="bullet"/>
      <w:lvlText w:val="•"/>
      <w:lvlJc w:val="left"/>
      <w:pPr>
        <w:ind w:left="880" w:hanging="155"/>
      </w:pPr>
      <w:rPr>
        <w:rFonts w:hint="default"/>
      </w:rPr>
    </w:lvl>
    <w:lvl w:ilvl="4">
      <w:start w:val="0"/>
      <w:numFmt w:val="bullet"/>
      <w:lvlText w:val="•"/>
      <w:lvlJc w:val="left"/>
      <w:pPr>
        <w:ind w:left="1250" w:hanging="155"/>
      </w:pPr>
      <w:rPr>
        <w:rFonts w:hint="default"/>
      </w:rPr>
    </w:lvl>
    <w:lvl w:ilvl="5">
      <w:start w:val="0"/>
      <w:numFmt w:val="bullet"/>
      <w:lvlText w:val="•"/>
      <w:lvlJc w:val="left"/>
      <w:pPr>
        <w:ind w:left="1620" w:hanging="155"/>
      </w:pPr>
      <w:rPr>
        <w:rFonts w:hint="default"/>
      </w:rPr>
    </w:lvl>
    <w:lvl w:ilvl="6">
      <w:start w:val="0"/>
      <w:numFmt w:val="bullet"/>
      <w:lvlText w:val="•"/>
      <w:lvlJc w:val="left"/>
      <w:pPr>
        <w:ind w:left="1991" w:hanging="155"/>
      </w:pPr>
      <w:rPr>
        <w:rFonts w:hint="default"/>
      </w:rPr>
    </w:lvl>
    <w:lvl w:ilvl="7">
      <w:start w:val="0"/>
      <w:numFmt w:val="bullet"/>
      <w:lvlText w:val="•"/>
      <w:lvlJc w:val="left"/>
      <w:pPr>
        <w:ind w:left="2361" w:hanging="155"/>
      </w:pPr>
      <w:rPr>
        <w:rFonts w:hint="default"/>
      </w:rPr>
    </w:lvl>
    <w:lvl w:ilvl="8">
      <w:start w:val="0"/>
      <w:numFmt w:val="bullet"/>
      <w:lvlText w:val="•"/>
      <w:lvlJc w:val="left"/>
      <w:pPr>
        <w:ind w:left="2731" w:hanging="155"/>
      </w:pPr>
      <w:rPr>
        <w:rFonts w:hint="default"/>
      </w:rPr>
    </w:lvl>
  </w:abstractNum>
  <w:abstractNum w:abstractNumId="29">
    <w:nsid w:val="1D7C4976"/>
    <w:multiLevelType w:val="hybridMultilevel"/>
    <w:tmpl w:val="04DCD01E"/>
    <w:lvl w:ilvl="0">
      <w:start w:val="0"/>
      <w:numFmt w:val="bullet"/>
      <w:lvlText w:val="-"/>
      <w:lvlJc w:val="left"/>
      <w:pPr>
        <w:ind w:left="168" w:hanging="56"/>
      </w:pPr>
      <w:rPr>
        <w:rFonts w:ascii="Calibri" w:eastAsia="Calibri" w:hAnsi="Calibri" w:cs="Calibri" w:hint="default"/>
        <w:w w:val="100"/>
        <w:sz w:val="12"/>
        <w:szCs w:val="12"/>
      </w:rPr>
    </w:lvl>
    <w:lvl w:ilvl="1">
      <w:start w:val="0"/>
      <w:numFmt w:val="bullet"/>
      <w:lvlText w:val="•"/>
      <w:lvlJc w:val="left"/>
      <w:pPr>
        <w:ind w:left="497" w:hanging="56"/>
      </w:pPr>
      <w:rPr>
        <w:rFonts w:hint="default"/>
      </w:rPr>
    </w:lvl>
    <w:lvl w:ilvl="2">
      <w:start w:val="0"/>
      <w:numFmt w:val="bullet"/>
      <w:lvlText w:val="•"/>
      <w:lvlJc w:val="left"/>
      <w:pPr>
        <w:ind w:left="835" w:hanging="56"/>
      </w:pPr>
      <w:rPr>
        <w:rFonts w:hint="default"/>
      </w:rPr>
    </w:lvl>
    <w:lvl w:ilvl="3">
      <w:start w:val="0"/>
      <w:numFmt w:val="bullet"/>
      <w:lvlText w:val="•"/>
      <w:lvlJc w:val="left"/>
      <w:pPr>
        <w:ind w:left="1173" w:hanging="56"/>
      </w:pPr>
      <w:rPr>
        <w:rFonts w:hint="default"/>
      </w:rPr>
    </w:lvl>
    <w:lvl w:ilvl="4">
      <w:start w:val="0"/>
      <w:numFmt w:val="bullet"/>
      <w:lvlText w:val="•"/>
      <w:lvlJc w:val="left"/>
      <w:pPr>
        <w:ind w:left="1511" w:hanging="56"/>
      </w:pPr>
      <w:rPr>
        <w:rFonts w:hint="default"/>
      </w:rPr>
    </w:lvl>
    <w:lvl w:ilvl="5">
      <w:start w:val="0"/>
      <w:numFmt w:val="bullet"/>
      <w:lvlText w:val="•"/>
      <w:lvlJc w:val="left"/>
      <w:pPr>
        <w:ind w:left="1849" w:hanging="56"/>
      </w:pPr>
      <w:rPr>
        <w:rFonts w:hint="default"/>
      </w:rPr>
    </w:lvl>
    <w:lvl w:ilvl="6">
      <w:start w:val="0"/>
      <w:numFmt w:val="bullet"/>
      <w:lvlText w:val="•"/>
      <w:lvlJc w:val="left"/>
      <w:pPr>
        <w:ind w:left="2186" w:hanging="56"/>
      </w:pPr>
      <w:rPr>
        <w:rFonts w:hint="default"/>
      </w:rPr>
    </w:lvl>
    <w:lvl w:ilvl="7">
      <w:start w:val="0"/>
      <w:numFmt w:val="bullet"/>
      <w:lvlText w:val="•"/>
      <w:lvlJc w:val="left"/>
      <w:pPr>
        <w:ind w:left="2524" w:hanging="56"/>
      </w:pPr>
      <w:rPr>
        <w:rFonts w:hint="default"/>
      </w:rPr>
    </w:lvl>
    <w:lvl w:ilvl="8">
      <w:start w:val="0"/>
      <w:numFmt w:val="bullet"/>
      <w:lvlText w:val="•"/>
      <w:lvlJc w:val="left"/>
      <w:pPr>
        <w:ind w:left="2862" w:hanging="56"/>
      </w:pPr>
      <w:rPr>
        <w:rFonts w:hint="default"/>
      </w:rPr>
    </w:lvl>
  </w:abstractNum>
  <w:abstractNum w:abstractNumId="30">
    <w:nsid w:val="1DB72FE4"/>
    <w:multiLevelType w:val="hybridMultilevel"/>
    <w:tmpl w:val="191A6050"/>
    <w:lvl w:ilvl="0">
      <w:start w:val="0"/>
      <w:numFmt w:val="bullet"/>
      <w:lvlText w:val="-"/>
      <w:lvlJc w:val="left"/>
      <w:pPr>
        <w:ind w:left="25" w:hanging="56"/>
      </w:pPr>
      <w:rPr>
        <w:rFonts w:ascii="Calibri" w:eastAsia="Calibri" w:hAnsi="Calibri" w:cs="Calibri" w:hint="default"/>
        <w:w w:val="100"/>
        <w:sz w:val="12"/>
        <w:szCs w:val="12"/>
      </w:rPr>
    </w:lvl>
    <w:lvl w:ilvl="1">
      <w:start w:val="0"/>
      <w:numFmt w:val="bullet"/>
      <w:lvlText w:val="•"/>
      <w:lvlJc w:val="left"/>
      <w:pPr>
        <w:ind w:left="365" w:hanging="56"/>
      </w:pPr>
      <w:rPr>
        <w:rFonts w:hint="default"/>
      </w:rPr>
    </w:lvl>
    <w:lvl w:ilvl="2">
      <w:start w:val="0"/>
      <w:numFmt w:val="bullet"/>
      <w:lvlText w:val="•"/>
      <w:lvlJc w:val="left"/>
      <w:pPr>
        <w:ind w:left="710" w:hanging="56"/>
      </w:pPr>
      <w:rPr>
        <w:rFonts w:hint="default"/>
      </w:rPr>
    </w:lvl>
    <w:lvl w:ilvl="3">
      <w:start w:val="0"/>
      <w:numFmt w:val="bullet"/>
      <w:lvlText w:val="•"/>
      <w:lvlJc w:val="left"/>
      <w:pPr>
        <w:ind w:left="1055" w:hanging="56"/>
      </w:pPr>
      <w:rPr>
        <w:rFonts w:hint="default"/>
      </w:rPr>
    </w:lvl>
    <w:lvl w:ilvl="4">
      <w:start w:val="0"/>
      <w:numFmt w:val="bullet"/>
      <w:lvlText w:val="•"/>
      <w:lvlJc w:val="left"/>
      <w:pPr>
        <w:ind w:left="1400" w:hanging="56"/>
      </w:pPr>
      <w:rPr>
        <w:rFonts w:hint="default"/>
      </w:rPr>
    </w:lvl>
    <w:lvl w:ilvl="5">
      <w:start w:val="0"/>
      <w:numFmt w:val="bullet"/>
      <w:lvlText w:val="•"/>
      <w:lvlJc w:val="left"/>
      <w:pPr>
        <w:ind w:left="1746" w:hanging="56"/>
      </w:pPr>
      <w:rPr>
        <w:rFonts w:hint="default"/>
      </w:rPr>
    </w:lvl>
    <w:lvl w:ilvl="6">
      <w:start w:val="0"/>
      <w:numFmt w:val="bullet"/>
      <w:lvlText w:val="•"/>
      <w:lvlJc w:val="left"/>
      <w:pPr>
        <w:ind w:left="2091" w:hanging="56"/>
      </w:pPr>
      <w:rPr>
        <w:rFonts w:hint="default"/>
      </w:rPr>
    </w:lvl>
    <w:lvl w:ilvl="7">
      <w:start w:val="0"/>
      <w:numFmt w:val="bullet"/>
      <w:lvlText w:val="•"/>
      <w:lvlJc w:val="left"/>
      <w:pPr>
        <w:ind w:left="2436" w:hanging="56"/>
      </w:pPr>
      <w:rPr>
        <w:rFonts w:hint="default"/>
      </w:rPr>
    </w:lvl>
    <w:lvl w:ilvl="8">
      <w:start w:val="0"/>
      <w:numFmt w:val="bullet"/>
      <w:lvlText w:val="•"/>
      <w:lvlJc w:val="left"/>
      <w:pPr>
        <w:ind w:left="2781" w:hanging="56"/>
      </w:pPr>
      <w:rPr>
        <w:rFonts w:hint="default"/>
      </w:rPr>
    </w:lvl>
  </w:abstractNum>
  <w:abstractNum w:abstractNumId="31">
    <w:nsid w:val="1EBB1BD0"/>
    <w:multiLevelType w:val="hybridMultilevel"/>
    <w:tmpl w:val="7BE0C660"/>
    <w:lvl w:ilvl="0">
      <w:start w:val="1"/>
      <w:numFmt w:val="decimal"/>
      <w:lvlText w:val="%1."/>
      <w:lvlJc w:val="left"/>
      <w:pPr>
        <w:ind w:left="146" w:hanging="122"/>
      </w:pPr>
      <w:rPr>
        <w:rFonts w:ascii="Calibri" w:eastAsia="Calibri" w:hAnsi="Calibri" w:cs="Calibri" w:hint="default"/>
        <w:spacing w:val="0"/>
        <w:w w:val="100"/>
        <w:sz w:val="12"/>
        <w:szCs w:val="12"/>
      </w:rPr>
    </w:lvl>
    <w:lvl w:ilvl="1">
      <w:start w:val="0"/>
      <w:numFmt w:val="bullet"/>
      <w:lvlText w:val="•"/>
      <w:lvlJc w:val="left"/>
      <w:pPr>
        <w:ind w:left="244" w:hanging="122"/>
      </w:pPr>
      <w:rPr>
        <w:rFonts w:hint="default"/>
      </w:rPr>
    </w:lvl>
    <w:lvl w:ilvl="2">
      <w:start w:val="0"/>
      <w:numFmt w:val="bullet"/>
      <w:lvlText w:val="•"/>
      <w:lvlJc w:val="left"/>
      <w:pPr>
        <w:ind w:left="348" w:hanging="122"/>
      </w:pPr>
      <w:rPr>
        <w:rFonts w:hint="default"/>
      </w:rPr>
    </w:lvl>
    <w:lvl w:ilvl="3">
      <w:start w:val="0"/>
      <w:numFmt w:val="bullet"/>
      <w:lvlText w:val="•"/>
      <w:lvlJc w:val="left"/>
      <w:pPr>
        <w:ind w:left="453" w:hanging="122"/>
      </w:pPr>
      <w:rPr>
        <w:rFonts w:hint="default"/>
      </w:rPr>
    </w:lvl>
    <w:lvl w:ilvl="4">
      <w:start w:val="0"/>
      <w:numFmt w:val="bullet"/>
      <w:lvlText w:val="•"/>
      <w:lvlJc w:val="left"/>
      <w:pPr>
        <w:ind w:left="557" w:hanging="122"/>
      </w:pPr>
      <w:rPr>
        <w:rFonts w:hint="default"/>
      </w:rPr>
    </w:lvl>
    <w:lvl w:ilvl="5">
      <w:start w:val="0"/>
      <w:numFmt w:val="bullet"/>
      <w:lvlText w:val="•"/>
      <w:lvlJc w:val="left"/>
      <w:pPr>
        <w:ind w:left="662" w:hanging="122"/>
      </w:pPr>
      <w:rPr>
        <w:rFonts w:hint="default"/>
      </w:rPr>
    </w:lvl>
    <w:lvl w:ilvl="6">
      <w:start w:val="0"/>
      <w:numFmt w:val="bullet"/>
      <w:lvlText w:val="•"/>
      <w:lvlJc w:val="left"/>
      <w:pPr>
        <w:ind w:left="766" w:hanging="122"/>
      </w:pPr>
      <w:rPr>
        <w:rFonts w:hint="default"/>
      </w:rPr>
    </w:lvl>
    <w:lvl w:ilvl="7">
      <w:start w:val="0"/>
      <w:numFmt w:val="bullet"/>
      <w:lvlText w:val="•"/>
      <w:lvlJc w:val="left"/>
      <w:pPr>
        <w:ind w:left="870" w:hanging="122"/>
      </w:pPr>
      <w:rPr>
        <w:rFonts w:hint="default"/>
      </w:rPr>
    </w:lvl>
    <w:lvl w:ilvl="8">
      <w:start w:val="0"/>
      <w:numFmt w:val="bullet"/>
      <w:lvlText w:val="•"/>
      <w:lvlJc w:val="left"/>
      <w:pPr>
        <w:ind w:left="975" w:hanging="122"/>
      </w:pPr>
      <w:rPr>
        <w:rFonts w:hint="default"/>
      </w:rPr>
    </w:lvl>
  </w:abstractNum>
  <w:abstractNum w:abstractNumId="32">
    <w:nsid w:val="1EF7263C"/>
    <w:multiLevelType w:val="hybridMultilevel"/>
    <w:tmpl w:val="E550ECEA"/>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33">
    <w:nsid w:val="21C11590"/>
    <w:multiLevelType w:val="hybridMultilevel"/>
    <w:tmpl w:val="F252BBE8"/>
    <w:lvl w:ilvl="0">
      <w:start w:val="0"/>
      <w:numFmt w:val="bullet"/>
      <w:lvlText w:val="-"/>
      <w:lvlJc w:val="left"/>
      <w:pPr>
        <w:ind w:left="25" w:hanging="56"/>
      </w:pPr>
      <w:rPr>
        <w:rFonts w:ascii="Calibri" w:eastAsia="Calibri" w:hAnsi="Calibri" w:cs="Calibri" w:hint="default"/>
        <w:w w:val="100"/>
        <w:sz w:val="12"/>
        <w:szCs w:val="12"/>
      </w:rPr>
    </w:lvl>
    <w:lvl w:ilvl="1">
      <w:start w:val="0"/>
      <w:numFmt w:val="bullet"/>
      <w:lvlText w:val="•"/>
      <w:lvlJc w:val="left"/>
      <w:pPr>
        <w:ind w:left="371" w:hanging="56"/>
      </w:pPr>
      <w:rPr>
        <w:rFonts w:hint="default"/>
      </w:rPr>
    </w:lvl>
    <w:lvl w:ilvl="2">
      <w:start w:val="0"/>
      <w:numFmt w:val="bullet"/>
      <w:lvlText w:val="•"/>
      <w:lvlJc w:val="left"/>
      <w:pPr>
        <w:ind w:left="723" w:hanging="56"/>
      </w:pPr>
      <w:rPr>
        <w:rFonts w:hint="default"/>
      </w:rPr>
    </w:lvl>
    <w:lvl w:ilvl="3">
      <w:start w:val="0"/>
      <w:numFmt w:val="bullet"/>
      <w:lvlText w:val="•"/>
      <w:lvlJc w:val="left"/>
      <w:pPr>
        <w:ind w:left="1075" w:hanging="56"/>
      </w:pPr>
      <w:rPr>
        <w:rFonts w:hint="default"/>
      </w:rPr>
    </w:lvl>
    <w:lvl w:ilvl="4">
      <w:start w:val="0"/>
      <w:numFmt w:val="bullet"/>
      <w:lvlText w:val="•"/>
      <w:lvlJc w:val="left"/>
      <w:pPr>
        <w:ind w:left="1427" w:hanging="56"/>
      </w:pPr>
      <w:rPr>
        <w:rFonts w:hint="default"/>
      </w:rPr>
    </w:lvl>
    <w:lvl w:ilvl="5">
      <w:start w:val="0"/>
      <w:numFmt w:val="bullet"/>
      <w:lvlText w:val="•"/>
      <w:lvlJc w:val="left"/>
      <w:pPr>
        <w:ind w:left="1779" w:hanging="56"/>
      </w:pPr>
      <w:rPr>
        <w:rFonts w:hint="default"/>
      </w:rPr>
    </w:lvl>
    <w:lvl w:ilvl="6">
      <w:start w:val="0"/>
      <w:numFmt w:val="bullet"/>
      <w:lvlText w:val="•"/>
      <w:lvlJc w:val="left"/>
      <w:pPr>
        <w:ind w:left="2130" w:hanging="56"/>
      </w:pPr>
      <w:rPr>
        <w:rFonts w:hint="default"/>
      </w:rPr>
    </w:lvl>
    <w:lvl w:ilvl="7">
      <w:start w:val="0"/>
      <w:numFmt w:val="bullet"/>
      <w:lvlText w:val="•"/>
      <w:lvlJc w:val="left"/>
      <w:pPr>
        <w:ind w:left="2482" w:hanging="56"/>
      </w:pPr>
      <w:rPr>
        <w:rFonts w:hint="default"/>
      </w:rPr>
    </w:lvl>
    <w:lvl w:ilvl="8">
      <w:start w:val="0"/>
      <w:numFmt w:val="bullet"/>
      <w:lvlText w:val="•"/>
      <w:lvlJc w:val="left"/>
      <w:pPr>
        <w:ind w:left="2834" w:hanging="56"/>
      </w:pPr>
      <w:rPr>
        <w:rFonts w:hint="default"/>
      </w:rPr>
    </w:lvl>
  </w:abstractNum>
  <w:abstractNum w:abstractNumId="34">
    <w:nsid w:val="2B09362A"/>
    <w:multiLevelType w:val="hybridMultilevel"/>
    <w:tmpl w:val="43BCCEDA"/>
    <w:lvl w:ilvl="0">
      <w:start w:val="1"/>
      <w:numFmt w:val="decimal"/>
      <w:lvlText w:val="%1."/>
      <w:lvlJc w:val="left"/>
      <w:pPr>
        <w:ind w:left="25" w:hanging="100"/>
      </w:pPr>
      <w:rPr>
        <w:rFonts w:ascii="Calibri" w:eastAsia="Calibri" w:hAnsi="Calibri" w:cs="Calibri" w:hint="default"/>
        <w:spacing w:val="1"/>
        <w:w w:val="100"/>
        <w:sz w:val="10"/>
        <w:szCs w:val="10"/>
      </w:rPr>
    </w:lvl>
    <w:lvl w:ilvl="1">
      <w:start w:val="0"/>
      <w:numFmt w:val="bullet"/>
      <w:lvlText w:val="•"/>
      <w:lvlJc w:val="left"/>
      <w:pPr>
        <w:ind w:left="365" w:hanging="100"/>
      </w:pPr>
      <w:rPr>
        <w:rFonts w:hint="default"/>
      </w:rPr>
    </w:lvl>
    <w:lvl w:ilvl="2">
      <w:start w:val="0"/>
      <w:numFmt w:val="bullet"/>
      <w:lvlText w:val="•"/>
      <w:lvlJc w:val="left"/>
      <w:pPr>
        <w:ind w:left="710" w:hanging="100"/>
      </w:pPr>
      <w:rPr>
        <w:rFonts w:hint="default"/>
      </w:rPr>
    </w:lvl>
    <w:lvl w:ilvl="3">
      <w:start w:val="0"/>
      <w:numFmt w:val="bullet"/>
      <w:lvlText w:val="•"/>
      <w:lvlJc w:val="left"/>
      <w:pPr>
        <w:ind w:left="1055" w:hanging="100"/>
      </w:pPr>
      <w:rPr>
        <w:rFonts w:hint="default"/>
      </w:rPr>
    </w:lvl>
    <w:lvl w:ilvl="4">
      <w:start w:val="0"/>
      <w:numFmt w:val="bullet"/>
      <w:lvlText w:val="•"/>
      <w:lvlJc w:val="left"/>
      <w:pPr>
        <w:ind w:left="1400" w:hanging="100"/>
      </w:pPr>
      <w:rPr>
        <w:rFonts w:hint="default"/>
      </w:rPr>
    </w:lvl>
    <w:lvl w:ilvl="5">
      <w:start w:val="0"/>
      <w:numFmt w:val="bullet"/>
      <w:lvlText w:val="•"/>
      <w:lvlJc w:val="left"/>
      <w:pPr>
        <w:ind w:left="1746" w:hanging="100"/>
      </w:pPr>
      <w:rPr>
        <w:rFonts w:hint="default"/>
      </w:rPr>
    </w:lvl>
    <w:lvl w:ilvl="6">
      <w:start w:val="0"/>
      <w:numFmt w:val="bullet"/>
      <w:lvlText w:val="•"/>
      <w:lvlJc w:val="left"/>
      <w:pPr>
        <w:ind w:left="2091" w:hanging="100"/>
      </w:pPr>
      <w:rPr>
        <w:rFonts w:hint="default"/>
      </w:rPr>
    </w:lvl>
    <w:lvl w:ilvl="7">
      <w:start w:val="0"/>
      <w:numFmt w:val="bullet"/>
      <w:lvlText w:val="•"/>
      <w:lvlJc w:val="left"/>
      <w:pPr>
        <w:ind w:left="2436" w:hanging="100"/>
      </w:pPr>
      <w:rPr>
        <w:rFonts w:hint="default"/>
      </w:rPr>
    </w:lvl>
    <w:lvl w:ilvl="8">
      <w:start w:val="0"/>
      <w:numFmt w:val="bullet"/>
      <w:lvlText w:val="•"/>
      <w:lvlJc w:val="left"/>
      <w:pPr>
        <w:ind w:left="2781" w:hanging="100"/>
      </w:pPr>
      <w:rPr>
        <w:rFonts w:hint="default"/>
      </w:rPr>
    </w:lvl>
  </w:abstractNum>
  <w:abstractNum w:abstractNumId="35">
    <w:nsid w:val="2D9571C6"/>
    <w:multiLevelType w:val="multilevel"/>
    <w:tmpl w:val="4CE442BA"/>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2DF30DFA"/>
    <w:multiLevelType w:val="hybridMultilevel"/>
    <w:tmpl w:val="B73AE22E"/>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37">
    <w:nsid w:val="2FA45C70"/>
    <w:multiLevelType w:val="multilevel"/>
    <w:tmpl w:val="36BE9EF4"/>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300741E3"/>
    <w:multiLevelType w:val="hybridMultilevel"/>
    <w:tmpl w:val="A0C40176"/>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71" w:hanging="122"/>
      </w:pPr>
      <w:rPr>
        <w:rFonts w:hint="default"/>
      </w:rPr>
    </w:lvl>
    <w:lvl w:ilvl="2">
      <w:start w:val="0"/>
      <w:numFmt w:val="bullet"/>
      <w:lvlText w:val="•"/>
      <w:lvlJc w:val="left"/>
      <w:pPr>
        <w:ind w:left="723" w:hanging="122"/>
      </w:pPr>
      <w:rPr>
        <w:rFonts w:hint="default"/>
      </w:rPr>
    </w:lvl>
    <w:lvl w:ilvl="3">
      <w:start w:val="0"/>
      <w:numFmt w:val="bullet"/>
      <w:lvlText w:val="•"/>
      <w:lvlJc w:val="left"/>
      <w:pPr>
        <w:ind w:left="1075" w:hanging="122"/>
      </w:pPr>
      <w:rPr>
        <w:rFonts w:hint="default"/>
      </w:rPr>
    </w:lvl>
    <w:lvl w:ilvl="4">
      <w:start w:val="0"/>
      <w:numFmt w:val="bullet"/>
      <w:lvlText w:val="•"/>
      <w:lvlJc w:val="left"/>
      <w:pPr>
        <w:ind w:left="1427" w:hanging="122"/>
      </w:pPr>
      <w:rPr>
        <w:rFonts w:hint="default"/>
      </w:rPr>
    </w:lvl>
    <w:lvl w:ilvl="5">
      <w:start w:val="0"/>
      <w:numFmt w:val="bullet"/>
      <w:lvlText w:val="•"/>
      <w:lvlJc w:val="left"/>
      <w:pPr>
        <w:ind w:left="1779" w:hanging="122"/>
      </w:pPr>
      <w:rPr>
        <w:rFonts w:hint="default"/>
      </w:rPr>
    </w:lvl>
    <w:lvl w:ilvl="6">
      <w:start w:val="0"/>
      <w:numFmt w:val="bullet"/>
      <w:lvlText w:val="•"/>
      <w:lvlJc w:val="left"/>
      <w:pPr>
        <w:ind w:left="2130" w:hanging="122"/>
      </w:pPr>
      <w:rPr>
        <w:rFonts w:hint="default"/>
      </w:rPr>
    </w:lvl>
    <w:lvl w:ilvl="7">
      <w:start w:val="0"/>
      <w:numFmt w:val="bullet"/>
      <w:lvlText w:val="•"/>
      <w:lvlJc w:val="left"/>
      <w:pPr>
        <w:ind w:left="2482" w:hanging="122"/>
      </w:pPr>
      <w:rPr>
        <w:rFonts w:hint="default"/>
      </w:rPr>
    </w:lvl>
    <w:lvl w:ilvl="8">
      <w:start w:val="0"/>
      <w:numFmt w:val="bullet"/>
      <w:lvlText w:val="•"/>
      <w:lvlJc w:val="left"/>
      <w:pPr>
        <w:ind w:left="2834" w:hanging="122"/>
      </w:pPr>
      <w:rPr>
        <w:rFonts w:hint="default"/>
      </w:rPr>
    </w:lvl>
  </w:abstractNum>
  <w:abstractNum w:abstractNumId="39">
    <w:nsid w:val="318453FF"/>
    <w:multiLevelType w:val="hybridMultilevel"/>
    <w:tmpl w:val="46BAD9BC"/>
    <w:lvl w:ilvl="0">
      <w:start w:val="2"/>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71" w:hanging="122"/>
      </w:pPr>
      <w:rPr>
        <w:rFonts w:hint="default"/>
      </w:rPr>
    </w:lvl>
    <w:lvl w:ilvl="2">
      <w:start w:val="0"/>
      <w:numFmt w:val="bullet"/>
      <w:lvlText w:val="•"/>
      <w:lvlJc w:val="left"/>
      <w:pPr>
        <w:ind w:left="723" w:hanging="122"/>
      </w:pPr>
      <w:rPr>
        <w:rFonts w:hint="default"/>
      </w:rPr>
    </w:lvl>
    <w:lvl w:ilvl="3">
      <w:start w:val="0"/>
      <w:numFmt w:val="bullet"/>
      <w:lvlText w:val="•"/>
      <w:lvlJc w:val="left"/>
      <w:pPr>
        <w:ind w:left="1075" w:hanging="122"/>
      </w:pPr>
      <w:rPr>
        <w:rFonts w:hint="default"/>
      </w:rPr>
    </w:lvl>
    <w:lvl w:ilvl="4">
      <w:start w:val="0"/>
      <w:numFmt w:val="bullet"/>
      <w:lvlText w:val="•"/>
      <w:lvlJc w:val="left"/>
      <w:pPr>
        <w:ind w:left="1427" w:hanging="122"/>
      </w:pPr>
      <w:rPr>
        <w:rFonts w:hint="default"/>
      </w:rPr>
    </w:lvl>
    <w:lvl w:ilvl="5">
      <w:start w:val="0"/>
      <w:numFmt w:val="bullet"/>
      <w:lvlText w:val="•"/>
      <w:lvlJc w:val="left"/>
      <w:pPr>
        <w:ind w:left="1779" w:hanging="122"/>
      </w:pPr>
      <w:rPr>
        <w:rFonts w:hint="default"/>
      </w:rPr>
    </w:lvl>
    <w:lvl w:ilvl="6">
      <w:start w:val="0"/>
      <w:numFmt w:val="bullet"/>
      <w:lvlText w:val="•"/>
      <w:lvlJc w:val="left"/>
      <w:pPr>
        <w:ind w:left="2130" w:hanging="122"/>
      </w:pPr>
      <w:rPr>
        <w:rFonts w:hint="default"/>
      </w:rPr>
    </w:lvl>
    <w:lvl w:ilvl="7">
      <w:start w:val="0"/>
      <w:numFmt w:val="bullet"/>
      <w:lvlText w:val="•"/>
      <w:lvlJc w:val="left"/>
      <w:pPr>
        <w:ind w:left="2482" w:hanging="122"/>
      </w:pPr>
      <w:rPr>
        <w:rFonts w:hint="default"/>
      </w:rPr>
    </w:lvl>
    <w:lvl w:ilvl="8">
      <w:start w:val="0"/>
      <w:numFmt w:val="bullet"/>
      <w:lvlText w:val="•"/>
      <w:lvlJc w:val="left"/>
      <w:pPr>
        <w:ind w:left="2834" w:hanging="122"/>
      </w:pPr>
      <w:rPr>
        <w:rFonts w:hint="default"/>
      </w:rPr>
    </w:lvl>
  </w:abstractNum>
  <w:abstractNum w:abstractNumId="40">
    <w:nsid w:val="3303497C"/>
    <w:multiLevelType w:val="hybridMultilevel"/>
    <w:tmpl w:val="C5468F76"/>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41">
    <w:nsid w:val="331D2087"/>
    <w:multiLevelType w:val="hybridMultilevel"/>
    <w:tmpl w:val="22F2F3BC"/>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42">
    <w:nsid w:val="33D0723E"/>
    <w:multiLevelType w:val="hybridMultilevel"/>
    <w:tmpl w:val="07769EA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3534496A"/>
    <w:multiLevelType w:val="hybridMultilevel"/>
    <w:tmpl w:val="6F707CEE"/>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44">
    <w:nsid w:val="369E05DC"/>
    <w:multiLevelType w:val="hybridMultilevel"/>
    <w:tmpl w:val="00CE6026"/>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136" w:hanging="122"/>
      </w:pPr>
      <w:rPr>
        <w:rFonts w:hint="default"/>
      </w:rPr>
    </w:lvl>
    <w:lvl w:ilvl="2">
      <w:start w:val="0"/>
      <w:numFmt w:val="bullet"/>
      <w:lvlText w:val="•"/>
      <w:lvlJc w:val="left"/>
      <w:pPr>
        <w:ind w:left="252" w:hanging="122"/>
      </w:pPr>
      <w:rPr>
        <w:rFonts w:hint="default"/>
      </w:rPr>
    </w:lvl>
    <w:lvl w:ilvl="3">
      <w:start w:val="0"/>
      <w:numFmt w:val="bullet"/>
      <w:lvlText w:val="•"/>
      <w:lvlJc w:val="left"/>
      <w:pPr>
        <w:ind w:left="369" w:hanging="122"/>
      </w:pPr>
      <w:rPr>
        <w:rFonts w:hint="default"/>
      </w:rPr>
    </w:lvl>
    <w:lvl w:ilvl="4">
      <w:start w:val="0"/>
      <w:numFmt w:val="bullet"/>
      <w:lvlText w:val="•"/>
      <w:lvlJc w:val="left"/>
      <w:pPr>
        <w:ind w:left="485" w:hanging="122"/>
      </w:pPr>
      <w:rPr>
        <w:rFonts w:hint="default"/>
      </w:rPr>
    </w:lvl>
    <w:lvl w:ilvl="5">
      <w:start w:val="0"/>
      <w:numFmt w:val="bullet"/>
      <w:lvlText w:val="•"/>
      <w:lvlJc w:val="left"/>
      <w:pPr>
        <w:ind w:left="602" w:hanging="122"/>
      </w:pPr>
      <w:rPr>
        <w:rFonts w:hint="default"/>
      </w:rPr>
    </w:lvl>
    <w:lvl w:ilvl="6">
      <w:start w:val="0"/>
      <w:numFmt w:val="bullet"/>
      <w:lvlText w:val="•"/>
      <w:lvlJc w:val="left"/>
      <w:pPr>
        <w:ind w:left="718" w:hanging="122"/>
      </w:pPr>
      <w:rPr>
        <w:rFonts w:hint="default"/>
      </w:rPr>
    </w:lvl>
    <w:lvl w:ilvl="7">
      <w:start w:val="0"/>
      <w:numFmt w:val="bullet"/>
      <w:lvlText w:val="•"/>
      <w:lvlJc w:val="left"/>
      <w:pPr>
        <w:ind w:left="834" w:hanging="122"/>
      </w:pPr>
      <w:rPr>
        <w:rFonts w:hint="default"/>
      </w:rPr>
    </w:lvl>
    <w:lvl w:ilvl="8">
      <w:start w:val="0"/>
      <w:numFmt w:val="bullet"/>
      <w:lvlText w:val="•"/>
      <w:lvlJc w:val="left"/>
      <w:pPr>
        <w:ind w:left="951" w:hanging="122"/>
      </w:pPr>
      <w:rPr>
        <w:rFonts w:hint="default"/>
      </w:rPr>
    </w:lvl>
  </w:abstractNum>
  <w:abstractNum w:abstractNumId="45">
    <w:nsid w:val="381D74D3"/>
    <w:multiLevelType w:val="hybridMultilevel"/>
    <w:tmpl w:val="17A6B1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386E06B5"/>
    <w:multiLevelType w:val="hybridMultilevel"/>
    <w:tmpl w:val="01E89B90"/>
    <w:lvl w:ilvl="0">
      <w:start w:val="3"/>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71" w:hanging="122"/>
      </w:pPr>
      <w:rPr>
        <w:rFonts w:hint="default"/>
      </w:rPr>
    </w:lvl>
    <w:lvl w:ilvl="2">
      <w:start w:val="0"/>
      <w:numFmt w:val="bullet"/>
      <w:lvlText w:val="•"/>
      <w:lvlJc w:val="left"/>
      <w:pPr>
        <w:ind w:left="723" w:hanging="122"/>
      </w:pPr>
      <w:rPr>
        <w:rFonts w:hint="default"/>
      </w:rPr>
    </w:lvl>
    <w:lvl w:ilvl="3">
      <w:start w:val="0"/>
      <w:numFmt w:val="bullet"/>
      <w:lvlText w:val="•"/>
      <w:lvlJc w:val="left"/>
      <w:pPr>
        <w:ind w:left="1075" w:hanging="122"/>
      </w:pPr>
      <w:rPr>
        <w:rFonts w:hint="default"/>
      </w:rPr>
    </w:lvl>
    <w:lvl w:ilvl="4">
      <w:start w:val="0"/>
      <w:numFmt w:val="bullet"/>
      <w:lvlText w:val="•"/>
      <w:lvlJc w:val="left"/>
      <w:pPr>
        <w:ind w:left="1427" w:hanging="122"/>
      </w:pPr>
      <w:rPr>
        <w:rFonts w:hint="default"/>
      </w:rPr>
    </w:lvl>
    <w:lvl w:ilvl="5">
      <w:start w:val="0"/>
      <w:numFmt w:val="bullet"/>
      <w:lvlText w:val="•"/>
      <w:lvlJc w:val="left"/>
      <w:pPr>
        <w:ind w:left="1779" w:hanging="122"/>
      </w:pPr>
      <w:rPr>
        <w:rFonts w:hint="default"/>
      </w:rPr>
    </w:lvl>
    <w:lvl w:ilvl="6">
      <w:start w:val="0"/>
      <w:numFmt w:val="bullet"/>
      <w:lvlText w:val="•"/>
      <w:lvlJc w:val="left"/>
      <w:pPr>
        <w:ind w:left="2130" w:hanging="122"/>
      </w:pPr>
      <w:rPr>
        <w:rFonts w:hint="default"/>
      </w:rPr>
    </w:lvl>
    <w:lvl w:ilvl="7">
      <w:start w:val="0"/>
      <w:numFmt w:val="bullet"/>
      <w:lvlText w:val="•"/>
      <w:lvlJc w:val="left"/>
      <w:pPr>
        <w:ind w:left="2482" w:hanging="122"/>
      </w:pPr>
      <w:rPr>
        <w:rFonts w:hint="default"/>
      </w:rPr>
    </w:lvl>
    <w:lvl w:ilvl="8">
      <w:start w:val="0"/>
      <w:numFmt w:val="bullet"/>
      <w:lvlText w:val="•"/>
      <w:lvlJc w:val="left"/>
      <w:pPr>
        <w:ind w:left="2834" w:hanging="122"/>
      </w:pPr>
      <w:rPr>
        <w:rFonts w:hint="default"/>
      </w:rPr>
    </w:lvl>
  </w:abstractNum>
  <w:abstractNum w:abstractNumId="47">
    <w:nsid w:val="3914717D"/>
    <w:multiLevelType w:val="hybridMultilevel"/>
    <w:tmpl w:val="47E21544"/>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48">
    <w:nsid w:val="3D355AAF"/>
    <w:multiLevelType w:val="hybridMultilevel"/>
    <w:tmpl w:val="60BC9D5A"/>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136" w:hanging="122"/>
      </w:pPr>
      <w:rPr>
        <w:rFonts w:hint="default"/>
      </w:rPr>
    </w:lvl>
    <w:lvl w:ilvl="2">
      <w:start w:val="0"/>
      <w:numFmt w:val="bullet"/>
      <w:lvlText w:val="•"/>
      <w:lvlJc w:val="left"/>
      <w:pPr>
        <w:ind w:left="252" w:hanging="122"/>
      </w:pPr>
      <w:rPr>
        <w:rFonts w:hint="default"/>
      </w:rPr>
    </w:lvl>
    <w:lvl w:ilvl="3">
      <w:start w:val="0"/>
      <w:numFmt w:val="bullet"/>
      <w:lvlText w:val="•"/>
      <w:lvlJc w:val="left"/>
      <w:pPr>
        <w:ind w:left="369" w:hanging="122"/>
      </w:pPr>
      <w:rPr>
        <w:rFonts w:hint="default"/>
      </w:rPr>
    </w:lvl>
    <w:lvl w:ilvl="4">
      <w:start w:val="0"/>
      <w:numFmt w:val="bullet"/>
      <w:lvlText w:val="•"/>
      <w:lvlJc w:val="left"/>
      <w:pPr>
        <w:ind w:left="485" w:hanging="122"/>
      </w:pPr>
      <w:rPr>
        <w:rFonts w:hint="default"/>
      </w:rPr>
    </w:lvl>
    <w:lvl w:ilvl="5">
      <w:start w:val="0"/>
      <w:numFmt w:val="bullet"/>
      <w:lvlText w:val="•"/>
      <w:lvlJc w:val="left"/>
      <w:pPr>
        <w:ind w:left="602" w:hanging="122"/>
      </w:pPr>
      <w:rPr>
        <w:rFonts w:hint="default"/>
      </w:rPr>
    </w:lvl>
    <w:lvl w:ilvl="6">
      <w:start w:val="0"/>
      <w:numFmt w:val="bullet"/>
      <w:lvlText w:val="•"/>
      <w:lvlJc w:val="left"/>
      <w:pPr>
        <w:ind w:left="718" w:hanging="122"/>
      </w:pPr>
      <w:rPr>
        <w:rFonts w:hint="default"/>
      </w:rPr>
    </w:lvl>
    <w:lvl w:ilvl="7">
      <w:start w:val="0"/>
      <w:numFmt w:val="bullet"/>
      <w:lvlText w:val="•"/>
      <w:lvlJc w:val="left"/>
      <w:pPr>
        <w:ind w:left="834" w:hanging="122"/>
      </w:pPr>
      <w:rPr>
        <w:rFonts w:hint="default"/>
      </w:rPr>
    </w:lvl>
    <w:lvl w:ilvl="8">
      <w:start w:val="0"/>
      <w:numFmt w:val="bullet"/>
      <w:lvlText w:val="•"/>
      <w:lvlJc w:val="left"/>
      <w:pPr>
        <w:ind w:left="951" w:hanging="122"/>
      </w:pPr>
      <w:rPr>
        <w:rFonts w:hint="default"/>
      </w:rPr>
    </w:lvl>
  </w:abstractNum>
  <w:abstractNum w:abstractNumId="49">
    <w:nsid w:val="3D762B34"/>
    <w:multiLevelType w:val="hybridMultilevel"/>
    <w:tmpl w:val="6986CD5A"/>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71" w:hanging="122"/>
      </w:pPr>
      <w:rPr>
        <w:rFonts w:hint="default"/>
      </w:rPr>
    </w:lvl>
    <w:lvl w:ilvl="2">
      <w:start w:val="0"/>
      <w:numFmt w:val="bullet"/>
      <w:lvlText w:val="•"/>
      <w:lvlJc w:val="left"/>
      <w:pPr>
        <w:ind w:left="723" w:hanging="122"/>
      </w:pPr>
      <w:rPr>
        <w:rFonts w:hint="default"/>
      </w:rPr>
    </w:lvl>
    <w:lvl w:ilvl="3">
      <w:start w:val="0"/>
      <w:numFmt w:val="bullet"/>
      <w:lvlText w:val="•"/>
      <w:lvlJc w:val="left"/>
      <w:pPr>
        <w:ind w:left="1075" w:hanging="122"/>
      </w:pPr>
      <w:rPr>
        <w:rFonts w:hint="default"/>
      </w:rPr>
    </w:lvl>
    <w:lvl w:ilvl="4">
      <w:start w:val="0"/>
      <w:numFmt w:val="bullet"/>
      <w:lvlText w:val="•"/>
      <w:lvlJc w:val="left"/>
      <w:pPr>
        <w:ind w:left="1427" w:hanging="122"/>
      </w:pPr>
      <w:rPr>
        <w:rFonts w:hint="default"/>
      </w:rPr>
    </w:lvl>
    <w:lvl w:ilvl="5">
      <w:start w:val="0"/>
      <w:numFmt w:val="bullet"/>
      <w:lvlText w:val="•"/>
      <w:lvlJc w:val="left"/>
      <w:pPr>
        <w:ind w:left="1779" w:hanging="122"/>
      </w:pPr>
      <w:rPr>
        <w:rFonts w:hint="default"/>
      </w:rPr>
    </w:lvl>
    <w:lvl w:ilvl="6">
      <w:start w:val="0"/>
      <w:numFmt w:val="bullet"/>
      <w:lvlText w:val="•"/>
      <w:lvlJc w:val="left"/>
      <w:pPr>
        <w:ind w:left="2130" w:hanging="122"/>
      </w:pPr>
      <w:rPr>
        <w:rFonts w:hint="default"/>
      </w:rPr>
    </w:lvl>
    <w:lvl w:ilvl="7">
      <w:start w:val="0"/>
      <w:numFmt w:val="bullet"/>
      <w:lvlText w:val="•"/>
      <w:lvlJc w:val="left"/>
      <w:pPr>
        <w:ind w:left="2482" w:hanging="122"/>
      </w:pPr>
      <w:rPr>
        <w:rFonts w:hint="default"/>
      </w:rPr>
    </w:lvl>
    <w:lvl w:ilvl="8">
      <w:start w:val="0"/>
      <w:numFmt w:val="bullet"/>
      <w:lvlText w:val="•"/>
      <w:lvlJc w:val="left"/>
      <w:pPr>
        <w:ind w:left="2834" w:hanging="122"/>
      </w:pPr>
      <w:rPr>
        <w:rFonts w:hint="default"/>
      </w:rPr>
    </w:lvl>
  </w:abstractNum>
  <w:abstractNum w:abstractNumId="50">
    <w:nsid w:val="3F351318"/>
    <w:multiLevelType w:val="hybridMultilevel"/>
    <w:tmpl w:val="66D46D9C"/>
    <w:lvl w:ilvl="0">
      <w:start w:val="2"/>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71" w:hanging="122"/>
      </w:pPr>
      <w:rPr>
        <w:rFonts w:hint="default"/>
      </w:rPr>
    </w:lvl>
    <w:lvl w:ilvl="2">
      <w:start w:val="0"/>
      <w:numFmt w:val="bullet"/>
      <w:lvlText w:val="•"/>
      <w:lvlJc w:val="left"/>
      <w:pPr>
        <w:ind w:left="723" w:hanging="122"/>
      </w:pPr>
      <w:rPr>
        <w:rFonts w:hint="default"/>
      </w:rPr>
    </w:lvl>
    <w:lvl w:ilvl="3">
      <w:start w:val="0"/>
      <w:numFmt w:val="bullet"/>
      <w:lvlText w:val="•"/>
      <w:lvlJc w:val="left"/>
      <w:pPr>
        <w:ind w:left="1075" w:hanging="122"/>
      </w:pPr>
      <w:rPr>
        <w:rFonts w:hint="default"/>
      </w:rPr>
    </w:lvl>
    <w:lvl w:ilvl="4">
      <w:start w:val="0"/>
      <w:numFmt w:val="bullet"/>
      <w:lvlText w:val="•"/>
      <w:lvlJc w:val="left"/>
      <w:pPr>
        <w:ind w:left="1427" w:hanging="122"/>
      </w:pPr>
      <w:rPr>
        <w:rFonts w:hint="default"/>
      </w:rPr>
    </w:lvl>
    <w:lvl w:ilvl="5">
      <w:start w:val="0"/>
      <w:numFmt w:val="bullet"/>
      <w:lvlText w:val="•"/>
      <w:lvlJc w:val="left"/>
      <w:pPr>
        <w:ind w:left="1779" w:hanging="122"/>
      </w:pPr>
      <w:rPr>
        <w:rFonts w:hint="default"/>
      </w:rPr>
    </w:lvl>
    <w:lvl w:ilvl="6">
      <w:start w:val="0"/>
      <w:numFmt w:val="bullet"/>
      <w:lvlText w:val="•"/>
      <w:lvlJc w:val="left"/>
      <w:pPr>
        <w:ind w:left="2130" w:hanging="122"/>
      </w:pPr>
      <w:rPr>
        <w:rFonts w:hint="default"/>
      </w:rPr>
    </w:lvl>
    <w:lvl w:ilvl="7">
      <w:start w:val="0"/>
      <w:numFmt w:val="bullet"/>
      <w:lvlText w:val="•"/>
      <w:lvlJc w:val="left"/>
      <w:pPr>
        <w:ind w:left="2482" w:hanging="122"/>
      </w:pPr>
      <w:rPr>
        <w:rFonts w:hint="default"/>
      </w:rPr>
    </w:lvl>
    <w:lvl w:ilvl="8">
      <w:start w:val="0"/>
      <w:numFmt w:val="bullet"/>
      <w:lvlText w:val="•"/>
      <w:lvlJc w:val="left"/>
      <w:pPr>
        <w:ind w:left="2834" w:hanging="122"/>
      </w:pPr>
      <w:rPr>
        <w:rFonts w:hint="default"/>
      </w:rPr>
    </w:lvl>
  </w:abstractNum>
  <w:abstractNum w:abstractNumId="51">
    <w:nsid w:val="3F4322B1"/>
    <w:multiLevelType w:val="hybridMultilevel"/>
    <w:tmpl w:val="344A4BE8"/>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71" w:hanging="122"/>
      </w:pPr>
      <w:rPr>
        <w:rFonts w:hint="default"/>
      </w:rPr>
    </w:lvl>
    <w:lvl w:ilvl="2">
      <w:start w:val="0"/>
      <w:numFmt w:val="bullet"/>
      <w:lvlText w:val="•"/>
      <w:lvlJc w:val="left"/>
      <w:pPr>
        <w:ind w:left="723" w:hanging="122"/>
      </w:pPr>
      <w:rPr>
        <w:rFonts w:hint="default"/>
      </w:rPr>
    </w:lvl>
    <w:lvl w:ilvl="3">
      <w:start w:val="0"/>
      <w:numFmt w:val="bullet"/>
      <w:lvlText w:val="•"/>
      <w:lvlJc w:val="left"/>
      <w:pPr>
        <w:ind w:left="1075" w:hanging="122"/>
      </w:pPr>
      <w:rPr>
        <w:rFonts w:hint="default"/>
      </w:rPr>
    </w:lvl>
    <w:lvl w:ilvl="4">
      <w:start w:val="0"/>
      <w:numFmt w:val="bullet"/>
      <w:lvlText w:val="•"/>
      <w:lvlJc w:val="left"/>
      <w:pPr>
        <w:ind w:left="1427" w:hanging="122"/>
      </w:pPr>
      <w:rPr>
        <w:rFonts w:hint="default"/>
      </w:rPr>
    </w:lvl>
    <w:lvl w:ilvl="5">
      <w:start w:val="0"/>
      <w:numFmt w:val="bullet"/>
      <w:lvlText w:val="•"/>
      <w:lvlJc w:val="left"/>
      <w:pPr>
        <w:ind w:left="1779" w:hanging="122"/>
      </w:pPr>
      <w:rPr>
        <w:rFonts w:hint="default"/>
      </w:rPr>
    </w:lvl>
    <w:lvl w:ilvl="6">
      <w:start w:val="0"/>
      <w:numFmt w:val="bullet"/>
      <w:lvlText w:val="•"/>
      <w:lvlJc w:val="left"/>
      <w:pPr>
        <w:ind w:left="2130" w:hanging="122"/>
      </w:pPr>
      <w:rPr>
        <w:rFonts w:hint="default"/>
      </w:rPr>
    </w:lvl>
    <w:lvl w:ilvl="7">
      <w:start w:val="0"/>
      <w:numFmt w:val="bullet"/>
      <w:lvlText w:val="•"/>
      <w:lvlJc w:val="left"/>
      <w:pPr>
        <w:ind w:left="2482" w:hanging="122"/>
      </w:pPr>
      <w:rPr>
        <w:rFonts w:hint="default"/>
      </w:rPr>
    </w:lvl>
    <w:lvl w:ilvl="8">
      <w:start w:val="0"/>
      <w:numFmt w:val="bullet"/>
      <w:lvlText w:val="•"/>
      <w:lvlJc w:val="left"/>
      <w:pPr>
        <w:ind w:left="2834" w:hanging="122"/>
      </w:pPr>
      <w:rPr>
        <w:rFonts w:hint="default"/>
      </w:rPr>
    </w:lvl>
  </w:abstractNum>
  <w:abstractNum w:abstractNumId="52">
    <w:nsid w:val="410F1205"/>
    <w:multiLevelType w:val="hybridMultilevel"/>
    <w:tmpl w:val="5BAA1C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41272848"/>
    <w:multiLevelType w:val="hybridMultilevel"/>
    <w:tmpl w:val="2F3203D2"/>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54">
    <w:nsid w:val="416F7AF2"/>
    <w:multiLevelType w:val="hybridMultilevel"/>
    <w:tmpl w:val="E3C469C0"/>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55">
    <w:nsid w:val="422A07E3"/>
    <w:multiLevelType w:val="hybridMultilevel"/>
    <w:tmpl w:val="5A3C1C76"/>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136" w:hanging="122"/>
      </w:pPr>
      <w:rPr>
        <w:rFonts w:hint="default"/>
      </w:rPr>
    </w:lvl>
    <w:lvl w:ilvl="2">
      <w:start w:val="0"/>
      <w:numFmt w:val="bullet"/>
      <w:lvlText w:val="•"/>
      <w:lvlJc w:val="left"/>
      <w:pPr>
        <w:ind w:left="252" w:hanging="122"/>
      </w:pPr>
      <w:rPr>
        <w:rFonts w:hint="default"/>
      </w:rPr>
    </w:lvl>
    <w:lvl w:ilvl="3">
      <w:start w:val="0"/>
      <w:numFmt w:val="bullet"/>
      <w:lvlText w:val="•"/>
      <w:lvlJc w:val="left"/>
      <w:pPr>
        <w:ind w:left="369" w:hanging="122"/>
      </w:pPr>
      <w:rPr>
        <w:rFonts w:hint="default"/>
      </w:rPr>
    </w:lvl>
    <w:lvl w:ilvl="4">
      <w:start w:val="0"/>
      <w:numFmt w:val="bullet"/>
      <w:lvlText w:val="•"/>
      <w:lvlJc w:val="left"/>
      <w:pPr>
        <w:ind w:left="485" w:hanging="122"/>
      </w:pPr>
      <w:rPr>
        <w:rFonts w:hint="default"/>
      </w:rPr>
    </w:lvl>
    <w:lvl w:ilvl="5">
      <w:start w:val="0"/>
      <w:numFmt w:val="bullet"/>
      <w:lvlText w:val="•"/>
      <w:lvlJc w:val="left"/>
      <w:pPr>
        <w:ind w:left="602" w:hanging="122"/>
      </w:pPr>
      <w:rPr>
        <w:rFonts w:hint="default"/>
      </w:rPr>
    </w:lvl>
    <w:lvl w:ilvl="6">
      <w:start w:val="0"/>
      <w:numFmt w:val="bullet"/>
      <w:lvlText w:val="•"/>
      <w:lvlJc w:val="left"/>
      <w:pPr>
        <w:ind w:left="718" w:hanging="122"/>
      </w:pPr>
      <w:rPr>
        <w:rFonts w:hint="default"/>
      </w:rPr>
    </w:lvl>
    <w:lvl w:ilvl="7">
      <w:start w:val="0"/>
      <w:numFmt w:val="bullet"/>
      <w:lvlText w:val="•"/>
      <w:lvlJc w:val="left"/>
      <w:pPr>
        <w:ind w:left="834" w:hanging="122"/>
      </w:pPr>
      <w:rPr>
        <w:rFonts w:hint="default"/>
      </w:rPr>
    </w:lvl>
    <w:lvl w:ilvl="8">
      <w:start w:val="0"/>
      <w:numFmt w:val="bullet"/>
      <w:lvlText w:val="•"/>
      <w:lvlJc w:val="left"/>
      <w:pPr>
        <w:ind w:left="951" w:hanging="122"/>
      </w:pPr>
      <w:rPr>
        <w:rFonts w:hint="default"/>
      </w:rPr>
    </w:lvl>
  </w:abstractNum>
  <w:abstractNum w:abstractNumId="56">
    <w:nsid w:val="44122DFA"/>
    <w:multiLevelType w:val="multilevel"/>
    <w:tmpl w:val="A524D566"/>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nsid w:val="4430228D"/>
    <w:multiLevelType w:val="multilevel"/>
    <w:tmpl w:val="25581C5E"/>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nsid w:val="465B533A"/>
    <w:multiLevelType w:val="hybridMultilevel"/>
    <w:tmpl w:val="46FA5036"/>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59">
    <w:nsid w:val="478322A1"/>
    <w:multiLevelType w:val="hybridMultilevel"/>
    <w:tmpl w:val="6294647C"/>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60">
    <w:nsid w:val="47E31F30"/>
    <w:multiLevelType w:val="hybridMultilevel"/>
    <w:tmpl w:val="35B012F6"/>
    <w:lvl w:ilvl="0">
      <w:start w:val="1"/>
      <w:numFmt w:val="decimal"/>
      <w:lvlText w:val="%1."/>
      <w:lvlJc w:val="left"/>
      <w:pPr>
        <w:ind w:left="146" w:hanging="122"/>
      </w:pPr>
      <w:rPr>
        <w:rFonts w:ascii="Calibri" w:eastAsia="Calibri" w:hAnsi="Calibri" w:cs="Calibri" w:hint="default"/>
        <w:spacing w:val="0"/>
        <w:w w:val="100"/>
        <w:sz w:val="12"/>
        <w:szCs w:val="12"/>
      </w:rPr>
    </w:lvl>
    <w:lvl w:ilvl="1">
      <w:start w:val="0"/>
      <w:numFmt w:val="bullet"/>
      <w:lvlText w:val="•"/>
      <w:lvlJc w:val="left"/>
      <w:pPr>
        <w:ind w:left="479" w:hanging="122"/>
      </w:pPr>
      <w:rPr>
        <w:rFonts w:hint="default"/>
      </w:rPr>
    </w:lvl>
    <w:lvl w:ilvl="2">
      <w:start w:val="0"/>
      <w:numFmt w:val="bullet"/>
      <w:lvlText w:val="•"/>
      <w:lvlJc w:val="left"/>
      <w:pPr>
        <w:ind w:left="819" w:hanging="122"/>
      </w:pPr>
      <w:rPr>
        <w:rFonts w:hint="default"/>
      </w:rPr>
    </w:lvl>
    <w:lvl w:ilvl="3">
      <w:start w:val="0"/>
      <w:numFmt w:val="bullet"/>
      <w:lvlText w:val="•"/>
      <w:lvlJc w:val="left"/>
      <w:pPr>
        <w:ind w:left="1159" w:hanging="122"/>
      </w:pPr>
      <w:rPr>
        <w:rFonts w:hint="default"/>
      </w:rPr>
    </w:lvl>
    <w:lvl w:ilvl="4">
      <w:start w:val="0"/>
      <w:numFmt w:val="bullet"/>
      <w:lvlText w:val="•"/>
      <w:lvlJc w:val="left"/>
      <w:pPr>
        <w:ind w:left="1499" w:hanging="122"/>
      </w:pPr>
      <w:rPr>
        <w:rFonts w:hint="default"/>
      </w:rPr>
    </w:lvl>
    <w:lvl w:ilvl="5">
      <w:start w:val="0"/>
      <w:numFmt w:val="bullet"/>
      <w:lvlText w:val="•"/>
      <w:lvlJc w:val="left"/>
      <w:pPr>
        <w:ind w:left="1839" w:hanging="122"/>
      </w:pPr>
      <w:rPr>
        <w:rFonts w:hint="default"/>
      </w:rPr>
    </w:lvl>
    <w:lvl w:ilvl="6">
      <w:start w:val="0"/>
      <w:numFmt w:val="bullet"/>
      <w:lvlText w:val="•"/>
      <w:lvlJc w:val="left"/>
      <w:pPr>
        <w:ind w:left="2178" w:hanging="122"/>
      </w:pPr>
      <w:rPr>
        <w:rFonts w:hint="default"/>
      </w:rPr>
    </w:lvl>
    <w:lvl w:ilvl="7">
      <w:start w:val="0"/>
      <w:numFmt w:val="bullet"/>
      <w:lvlText w:val="•"/>
      <w:lvlJc w:val="left"/>
      <w:pPr>
        <w:ind w:left="2518" w:hanging="122"/>
      </w:pPr>
      <w:rPr>
        <w:rFonts w:hint="default"/>
      </w:rPr>
    </w:lvl>
    <w:lvl w:ilvl="8">
      <w:start w:val="0"/>
      <w:numFmt w:val="bullet"/>
      <w:lvlText w:val="•"/>
      <w:lvlJc w:val="left"/>
      <w:pPr>
        <w:ind w:left="2858" w:hanging="122"/>
      </w:pPr>
      <w:rPr>
        <w:rFonts w:hint="default"/>
      </w:rPr>
    </w:lvl>
  </w:abstractNum>
  <w:abstractNum w:abstractNumId="61">
    <w:nsid w:val="493A052C"/>
    <w:multiLevelType w:val="hybridMultilevel"/>
    <w:tmpl w:val="179C0502"/>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71" w:hanging="122"/>
      </w:pPr>
      <w:rPr>
        <w:rFonts w:hint="default"/>
      </w:rPr>
    </w:lvl>
    <w:lvl w:ilvl="2">
      <w:start w:val="0"/>
      <w:numFmt w:val="bullet"/>
      <w:lvlText w:val="•"/>
      <w:lvlJc w:val="left"/>
      <w:pPr>
        <w:ind w:left="723" w:hanging="122"/>
      </w:pPr>
      <w:rPr>
        <w:rFonts w:hint="default"/>
      </w:rPr>
    </w:lvl>
    <w:lvl w:ilvl="3">
      <w:start w:val="0"/>
      <w:numFmt w:val="bullet"/>
      <w:lvlText w:val="•"/>
      <w:lvlJc w:val="left"/>
      <w:pPr>
        <w:ind w:left="1075" w:hanging="122"/>
      </w:pPr>
      <w:rPr>
        <w:rFonts w:hint="default"/>
      </w:rPr>
    </w:lvl>
    <w:lvl w:ilvl="4">
      <w:start w:val="0"/>
      <w:numFmt w:val="bullet"/>
      <w:lvlText w:val="•"/>
      <w:lvlJc w:val="left"/>
      <w:pPr>
        <w:ind w:left="1427" w:hanging="122"/>
      </w:pPr>
      <w:rPr>
        <w:rFonts w:hint="default"/>
      </w:rPr>
    </w:lvl>
    <w:lvl w:ilvl="5">
      <w:start w:val="0"/>
      <w:numFmt w:val="bullet"/>
      <w:lvlText w:val="•"/>
      <w:lvlJc w:val="left"/>
      <w:pPr>
        <w:ind w:left="1779" w:hanging="122"/>
      </w:pPr>
      <w:rPr>
        <w:rFonts w:hint="default"/>
      </w:rPr>
    </w:lvl>
    <w:lvl w:ilvl="6">
      <w:start w:val="0"/>
      <w:numFmt w:val="bullet"/>
      <w:lvlText w:val="•"/>
      <w:lvlJc w:val="left"/>
      <w:pPr>
        <w:ind w:left="2130" w:hanging="122"/>
      </w:pPr>
      <w:rPr>
        <w:rFonts w:hint="default"/>
      </w:rPr>
    </w:lvl>
    <w:lvl w:ilvl="7">
      <w:start w:val="0"/>
      <w:numFmt w:val="bullet"/>
      <w:lvlText w:val="•"/>
      <w:lvlJc w:val="left"/>
      <w:pPr>
        <w:ind w:left="2482" w:hanging="122"/>
      </w:pPr>
      <w:rPr>
        <w:rFonts w:hint="default"/>
      </w:rPr>
    </w:lvl>
    <w:lvl w:ilvl="8">
      <w:start w:val="0"/>
      <w:numFmt w:val="bullet"/>
      <w:lvlText w:val="•"/>
      <w:lvlJc w:val="left"/>
      <w:pPr>
        <w:ind w:left="2834" w:hanging="122"/>
      </w:pPr>
      <w:rPr>
        <w:rFonts w:hint="default"/>
      </w:rPr>
    </w:lvl>
  </w:abstractNum>
  <w:abstractNum w:abstractNumId="62">
    <w:nsid w:val="4D852557"/>
    <w:multiLevelType w:val="hybridMultilevel"/>
    <w:tmpl w:val="875AFD90"/>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136" w:hanging="122"/>
      </w:pPr>
      <w:rPr>
        <w:rFonts w:hint="default"/>
      </w:rPr>
    </w:lvl>
    <w:lvl w:ilvl="2">
      <w:start w:val="0"/>
      <w:numFmt w:val="bullet"/>
      <w:lvlText w:val="•"/>
      <w:lvlJc w:val="left"/>
      <w:pPr>
        <w:ind w:left="252" w:hanging="122"/>
      </w:pPr>
      <w:rPr>
        <w:rFonts w:hint="default"/>
      </w:rPr>
    </w:lvl>
    <w:lvl w:ilvl="3">
      <w:start w:val="0"/>
      <w:numFmt w:val="bullet"/>
      <w:lvlText w:val="•"/>
      <w:lvlJc w:val="left"/>
      <w:pPr>
        <w:ind w:left="369" w:hanging="122"/>
      </w:pPr>
      <w:rPr>
        <w:rFonts w:hint="default"/>
      </w:rPr>
    </w:lvl>
    <w:lvl w:ilvl="4">
      <w:start w:val="0"/>
      <w:numFmt w:val="bullet"/>
      <w:lvlText w:val="•"/>
      <w:lvlJc w:val="left"/>
      <w:pPr>
        <w:ind w:left="485" w:hanging="122"/>
      </w:pPr>
      <w:rPr>
        <w:rFonts w:hint="default"/>
      </w:rPr>
    </w:lvl>
    <w:lvl w:ilvl="5">
      <w:start w:val="0"/>
      <w:numFmt w:val="bullet"/>
      <w:lvlText w:val="•"/>
      <w:lvlJc w:val="left"/>
      <w:pPr>
        <w:ind w:left="602" w:hanging="122"/>
      </w:pPr>
      <w:rPr>
        <w:rFonts w:hint="default"/>
      </w:rPr>
    </w:lvl>
    <w:lvl w:ilvl="6">
      <w:start w:val="0"/>
      <w:numFmt w:val="bullet"/>
      <w:lvlText w:val="•"/>
      <w:lvlJc w:val="left"/>
      <w:pPr>
        <w:ind w:left="718" w:hanging="122"/>
      </w:pPr>
      <w:rPr>
        <w:rFonts w:hint="default"/>
      </w:rPr>
    </w:lvl>
    <w:lvl w:ilvl="7">
      <w:start w:val="0"/>
      <w:numFmt w:val="bullet"/>
      <w:lvlText w:val="•"/>
      <w:lvlJc w:val="left"/>
      <w:pPr>
        <w:ind w:left="834" w:hanging="122"/>
      </w:pPr>
      <w:rPr>
        <w:rFonts w:hint="default"/>
      </w:rPr>
    </w:lvl>
    <w:lvl w:ilvl="8">
      <w:start w:val="0"/>
      <w:numFmt w:val="bullet"/>
      <w:lvlText w:val="•"/>
      <w:lvlJc w:val="left"/>
      <w:pPr>
        <w:ind w:left="951" w:hanging="122"/>
      </w:pPr>
      <w:rPr>
        <w:rFonts w:hint="default"/>
      </w:rPr>
    </w:lvl>
  </w:abstractNum>
  <w:abstractNum w:abstractNumId="63">
    <w:nsid w:val="4E850949"/>
    <w:multiLevelType w:val="hybridMultilevel"/>
    <w:tmpl w:val="B78C2E9C"/>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136" w:hanging="122"/>
      </w:pPr>
      <w:rPr>
        <w:rFonts w:hint="default"/>
      </w:rPr>
    </w:lvl>
    <w:lvl w:ilvl="2">
      <w:start w:val="0"/>
      <w:numFmt w:val="bullet"/>
      <w:lvlText w:val="•"/>
      <w:lvlJc w:val="left"/>
      <w:pPr>
        <w:ind w:left="252" w:hanging="122"/>
      </w:pPr>
      <w:rPr>
        <w:rFonts w:hint="default"/>
      </w:rPr>
    </w:lvl>
    <w:lvl w:ilvl="3">
      <w:start w:val="0"/>
      <w:numFmt w:val="bullet"/>
      <w:lvlText w:val="•"/>
      <w:lvlJc w:val="left"/>
      <w:pPr>
        <w:ind w:left="369" w:hanging="122"/>
      </w:pPr>
      <w:rPr>
        <w:rFonts w:hint="default"/>
      </w:rPr>
    </w:lvl>
    <w:lvl w:ilvl="4">
      <w:start w:val="0"/>
      <w:numFmt w:val="bullet"/>
      <w:lvlText w:val="•"/>
      <w:lvlJc w:val="left"/>
      <w:pPr>
        <w:ind w:left="485" w:hanging="122"/>
      </w:pPr>
      <w:rPr>
        <w:rFonts w:hint="default"/>
      </w:rPr>
    </w:lvl>
    <w:lvl w:ilvl="5">
      <w:start w:val="0"/>
      <w:numFmt w:val="bullet"/>
      <w:lvlText w:val="•"/>
      <w:lvlJc w:val="left"/>
      <w:pPr>
        <w:ind w:left="602" w:hanging="122"/>
      </w:pPr>
      <w:rPr>
        <w:rFonts w:hint="default"/>
      </w:rPr>
    </w:lvl>
    <w:lvl w:ilvl="6">
      <w:start w:val="0"/>
      <w:numFmt w:val="bullet"/>
      <w:lvlText w:val="•"/>
      <w:lvlJc w:val="left"/>
      <w:pPr>
        <w:ind w:left="718" w:hanging="122"/>
      </w:pPr>
      <w:rPr>
        <w:rFonts w:hint="default"/>
      </w:rPr>
    </w:lvl>
    <w:lvl w:ilvl="7">
      <w:start w:val="0"/>
      <w:numFmt w:val="bullet"/>
      <w:lvlText w:val="•"/>
      <w:lvlJc w:val="left"/>
      <w:pPr>
        <w:ind w:left="834" w:hanging="122"/>
      </w:pPr>
      <w:rPr>
        <w:rFonts w:hint="default"/>
      </w:rPr>
    </w:lvl>
    <w:lvl w:ilvl="8">
      <w:start w:val="0"/>
      <w:numFmt w:val="bullet"/>
      <w:lvlText w:val="•"/>
      <w:lvlJc w:val="left"/>
      <w:pPr>
        <w:ind w:left="951" w:hanging="122"/>
      </w:pPr>
      <w:rPr>
        <w:rFonts w:hint="default"/>
      </w:rPr>
    </w:lvl>
  </w:abstractNum>
  <w:abstractNum w:abstractNumId="64">
    <w:nsid w:val="4F4B2556"/>
    <w:multiLevelType w:val="hybridMultilevel"/>
    <w:tmpl w:val="18445E84"/>
    <w:lvl w:ilvl="0">
      <w:start w:val="1"/>
      <w:numFmt w:val="decimal"/>
      <w:lvlText w:val="%1."/>
      <w:lvlJc w:val="left"/>
      <w:pPr>
        <w:ind w:left="146" w:hanging="122"/>
      </w:pPr>
      <w:rPr>
        <w:rFonts w:ascii="Calibri" w:eastAsia="Calibri" w:hAnsi="Calibri" w:cs="Calibri" w:hint="default"/>
        <w:spacing w:val="0"/>
        <w:w w:val="100"/>
        <w:sz w:val="12"/>
        <w:szCs w:val="12"/>
      </w:rPr>
    </w:lvl>
    <w:lvl w:ilvl="1">
      <w:start w:val="0"/>
      <w:numFmt w:val="bullet"/>
      <w:lvlText w:val="•"/>
      <w:lvlJc w:val="left"/>
      <w:pPr>
        <w:ind w:left="244" w:hanging="122"/>
      </w:pPr>
      <w:rPr>
        <w:rFonts w:hint="default"/>
      </w:rPr>
    </w:lvl>
    <w:lvl w:ilvl="2">
      <w:start w:val="0"/>
      <w:numFmt w:val="bullet"/>
      <w:lvlText w:val="•"/>
      <w:lvlJc w:val="left"/>
      <w:pPr>
        <w:ind w:left="348" w:hanging="122"/>
      </w:pPr>
      <w:rPr>
        <w:rFonts w:hint="default"/>
      </w:rPr>
    </w:lvl>
    <w:lvl w:ilvl="3">
      <w:start w:val="0"/>
      <w:numFmt w:val="bullet"/>
      <w:lvlText w:val="•"/>
      <w:lvlJc w:val="left"/>
      <w:pPr>
        <w:ind w:left="453" w:hanging="122"/>
      </w:pPr>
      <w:rPr>
        <w:rFonts w:hint="default"/>
      </w:rPr>
    </w:lvl>
    <w:lvl w:ilvl="4">
      <w:start w:val="0"/>
      <w:numFmt w:val="bullet"/>
      <w:lvlText w:val="•"/>
      <w:lvlJc w:val="left"/>
      <w:pPr>
        <w:ind w:left="557" w:hanging="122"/>
      </w:pPr>
      <w:rPr>
        <w:rFonts w:hint="default"/>
      </w:rPr>
    </w:lvl>
    <w:lvl w:ilvl="5">
      <w:start w:val="0"/>
      <w:numFmt w:val="bullet"/>
      <w:lvlText w:val="•"/>
      <w:lvlJc w:val="left"/>
      <w:pPr>
        <w:ind w:left="662" w:hanging="122"/>
      </w:pPr>
      <w:rPr>
        <w:rFonts w:hint="default"/>
      </w:rPr>
    </w:lvl>
    <w:lvl w:ilvl="6">
      <w:start w:val="0"/>
      <w:numFmt w:val="bullet"/>
      <w:lvlText w:val="•"/>
      <w:lvlJc w:val="left"/>
      <w:pPr>
        <w:ind w:left="766" w:hanging="122"/>
      </w:pPr>
      <w:rPr>
        <w:rFonts w:hint="default"/>
      </w:rPr>
    </w:lvl>
    <w:lvl w:ilvl="7">
      <w:start w:val="0"/>
      <w:numFmt w:val="bullet"/>
      <w:lvlText w:val="•"/>
      <w:lvlJc w:val="left"/>
      <w:pPr>
        <w:ind w:left="870" w:hanging="122"/>
      </w:pPr>
      <w:rPr>
        <w:rFonts w:hint="default"/>
      </w:rPr>
    </w:lvl>
    <w:lvl w:ilvl="8">
      <w:start w:val="0"/>
      <w:numFmt w:val="bullet"/>
      <w:lvlText w:val="•"/>
      <w:lvlJc w:val="left"/>
      <w:pPr>
        <w:ind w:left="975" w:hanging="122"/>
      </w:pPr>
      <w:rPr>
        <w:rFonts w:hint="default"/>
      </w:rPr>
    </w:lvl>
  </w:abstractNum>
  <w:abstractNum w:abstractNumId="65">
    <w:nsid w:val="502C792B"/>
    <w:multiLevelType w:val="hybridMultilevel"/>
    <w:tmpl w:val="8DF6B7FA"/>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66">
    <w:nsid w:val="561F1841"/>
    <w:multiLevelType w:val="hybridMultilevel"/>
    <w:tmpl w:val="4E5210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57424ED7"/>
    <w:multiLevelType w:val="hybridMultilevel"/>
    <w:tmpl w:val="BA141002"/>
    <w:lvl w:ilvl="0">
      <w:start w:val="1"/>
      <w:numFmt w:val="decimal"/>
      <w:lvlText w:val="%1."/>
      <w:lvlJc w:val="left"/>
      <w:pPr>
        <w:ind w:left="25" w:hanging="100"/>
      </w:pPr>
      <w:rPr>
        <w:rFonts w:ascii="Calibri" w:eastAsia="Calibri" w:hAnsi="Calibri" w:cs="Calibri" w:hint="default"/>
        <w:spacing w:val="1"/>
        <w:w w:val="100"/>
        <w:sz w:val="10"/>
        <w:szCs w:val="10"/>
      </w:rPr>
    </w:lvl>
    <w:lvl w:ilvl="1">
      <w:start w:val="0"/>
      <w:numFmt w:val="bullet"/>
      <w:lvlText w:val="•"/>
      <w:lvlJc w:val="left"/>
      <w:pPr>
        <w:ind w:left="371" w:hanging="100"/>
      </w:pPr>
      <w:rPr>
        <w:rFonts w:hint="default"/>
      </w:rPr>
    </w:lvl>
    <w:lvl w:ilvl="2">
      <w:start w:val="0"/>
      <w:numFmt w:val="bullet"/>
      <w:lvlText w:val="•"/>
      <w:lvlJc w:val="left"/>
      <w:pPr>
        <w:ind w:left="723" w:hanging="100"/>
      </w:pPr>
      <w:rPr>
        <w:rFonts w:hint="default"/>
      </w:rPr>
    </w:lvl>
    <w:lvl w:ilvl="3">
      <w:start w:val="0"/>
      <w:numFmt w:val="bullet"/>
      <w:lvlText w:val="•"/>
      <w:lvlJc w:val="left"/>
      <w:pPr>
        <w:ind w:left="1075" w:hanging="100"/>
      </w:pPr>
      <w:rPr>
        <w:rFonts w:hint="default"/>
      </w:rPr>
    </w:lvl>
    <w:lvl w:ilvl="4">
      <w:start w:val="0"/>
      <w:numFmt w:val="bullet"/>
      <w:lvlText w:val="•"/>
      <w:lvlJc w:val="left"/>
      <w:pPr>
        <w:ind w:left="1427" w:hanging="100"/>
      </w:pPr>
      <w:rPr>
        <w:rFonts w:hint="default"/>
      </w:rPr>
    </w:lvl>
    <w:lvl w:ilvl="5">
      <w:start w:val="0"/>
      <w:numFmt w:val="bullet"/>
      <w:lvlText w:val="•"/>
      <w:lvlJc w:val="left"/>
      <w:pPr>
        <w:ind w:left="1779" w:hanging="100"/>
      </w:pPr>
      <w:rPr>
        <w:rFonts w:hint="default"/>
      </w:rPr>
    </w:lvl>
    <w:lvl w:ilvl="6">
      <w:start w:val="0"/>
      <w:numFmt w:val="bullet"/>
      <w:lvlText w:val="•"/>
      <w:lvlJc w:val="left"/>
      <w:pPr>
        <w:ind w:left="2130" w:hanging="100"/>
      </w:pPr>
      <w:rPr>
        <w:rFonts w:hint="default"/>
      </w:rPr>
    </w:lvl>
    <w:lvl w:ilvl="7">
      <w:start w:val="0"/>
      <w:numFmt w:val="bullet"/>
      <w:lvlText w:val="•"/>
      <w:lvlJc w:val="left"/>
      <w:pPr>
        <w:ind w:left="2482" w:hanging="100"/>
      </w:pPr>
      <w:rPr>
        <w:rFonts w:hint="default"/>
      </w:rPr>
    </w:lvl>
    <w:lvl w:ilvl="8">
      <w:start w:val="0"/>
      <w:numFmt w:val="bullet"/>
      <w:lvlText w:val="•"/>
      <w:lvlJc w:val="left"/>
      <w:pPr>
        <w:ind w:left="2834" w:hanging="100"/>
      </w:pPr>
      <w:rPr>
        <w:rFonts w:hint="default"/>
      </w:rPr>
    </w:lvl>
  </w:abstractNum>
  <w:abstractNum w:abstractNumId="68">
    <w:nsid w:val="582137E0"/>
    <w:multiLevelType w:val="hybridMultilevel"/>
    <w:tmpl w:val="9C34F1A0"/>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136" w:hanging="122"/>
      </w:pPr>
      <w:rPr>
        <w:rFonts w:hint="default"/>
      </w:rPr>
    </w:lvl>
    <w:lvl w:ilvl="2">
      <w:start w:val="0"/>
      <w:numFmt w:val="bullet"/>
      <w:lvlText w:val="•"/>
      <w:lvlJc w:val="left"/>
      <w:pPr>
        <w:ind w:left="252" w:hanging="122"/>
      </w:pPr>
      <w:rPr>
        <w:rFonts w:hint="default"/>
      </w:rPr>
    </w:lvl>
    <w:lvl w:ilvl="3">
      <w:start w:val="0"/>
      <w:numFmt w:val="bullet"/>
      <w:lvlText w:val="•"/>
      <w:lvlJc w:val="left"/>
      <w:pPr>
        <w:ind w:left="369" w:hanging="122"/>
      </w:pPr>
      <w:rPr>
        <w:rFonts w:hint="default"/>
      </w:rPr>
    </w:lvl>
    <w:lvl w:ilvl="4">
      <w:start w:val="0"/>
      <w:numFmt w:val="bullet"/>
      <w:lvlText w:val="•"/>
      <w:lvlJc w:val="left"/>
      <w:pPr>
        <w:ind w:left="485" w:hanging="122"/>
      </w:pPr>
      <w:rPr>
        <w:rFonts w:hint="default"/>
      </w:rPr>
    </w:lvl>
    <w:lvl w:ilvl="5">
      <w:start w:val="0"/>
      <w:numFmt w:val="bullet"/>
      <w:lvlText w:val="•"/>
      <w:lvlJc w:val="left"/>
      <w:pPr>
        <w:ind w:left="602" w:hanging="122"/>
      </w:pPr>
      <w:rPr>
        <w:rFonts w:hint="default"/>
      </w:rPr>
    </w:lvl>
    <w:lvl w:ilvl="6">
      <w:start w:val="0"/>
      <w:numFmt w:val="bullet"/>
      <w:lvlText w:val="•"/>
      <w:lvlJc w:val="left"/>
      <w:pPr>
        <w:ind w:left="718" w:hanging="122"/>
      </w:pPr>
      <w:rPr>
        <w:rFonts w:hint="default"/>
      </w:rPr>
    </w:lvl>
    <w:lvl w:ilvl="7">
      <w:start w:val="0"/>
      <w:numFmt w:val="bullet"/>
      <w:lvlText w:val="•"/>
      <w:lvlJc w:val="left"/>
      <w:pPr>
        <w:ind w:left="834" w:hanging="122"/>
      </w:pPr>
      <w:rPr>
        <w:rFonts w:hint="default"/>
      </w:rPr>
    </w:lvl>
    <w:lvl w:ilvl="8">
      <w:start w:val="0"/>
      <w:numFmt w:val="bullet"/>
      <w:lvlText w:val="•"/>
      <w:lvlJc w:val="left"/>
      <w:pPr>
        <w:ind w:left="951" w:hanging="122"/>
      </w:pPr>
      <w:rPr>
        <w:rFonts w:hint="default"/>
      </w:rPr>
    </w:lvl>
  </w:abstractNum>
  <w:abstractNum w:abstractNumId="69">
    <w:nsid w:val="59444640"/>
    <w:multiLevelType w:val="hybridMultilevel"/>
    <w:tmpl w:val="735E6140"/>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70">
    <w:nsid w:val="5A4C572A"/>
    <w:multiLevelType w:val="hybridMultilevel"/>
    <w:tmpl w:val="82021214"/>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71">
    <w:nsid w:val="5A867EC4"/>
    <w:multiLevelType w:val="hybridMultilevel"/>
    <w:tmpl w:val="FB96710A"/>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72">
    <w:nsid w:val="5C0A44D4"/>
    <w:multiLevelType w:val="hybridMultilevel"/>
    <w:tmpl w:val="708C0744"/>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73">
    <w:nsid w:val="5C1A0CFF"/>
    <w:multiLevelType w:val="hybridMultilevel"/>
    <w:tmpl w:val="A78E9B3A"/>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74">
    <w:nsid w:val="5CB37B0F"/>
    <w:multiLevelType w:val="hybridMultilevel"/>
    <w:tmpl w:val="7A3A7966"/>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136" w:hanging="122"/>
      </w:pPr>
      <w:rPr>
        <w:rFonts w:hint="default"/>
      </w:rPr>
    </w:lvl>
    <w:lvl w:ilvl="2">
      <w:start w:val="0"/>
      <w:numFmt w:val="bullet"/>
      <w:lvlText w:val="•"/>
      <w:lvlJc w:val="left"/>
      <w:pPr>
        <w:ind w:left="252" w:hanging="122"/>
      </w:pPr>
      <w:rPr>
        <w:rFonts w:hint="default"/>
      </w:rPr>
    </w:lvl>
    <w:lvl w:ilvl="3">
      <w:start w:val="0"/>
      <w:numFmt w:val="bullet"/>
      <w:lvlText w:val="•"/>
      <w:lvlJc w:val="left"/>
      <w:pPr>
        <w:ind w:left="369" w:hanging="122"/>
      </w:pPr>
      <w:rPr>
        <w:rFonts w:hint="default"/>
      </w:rPr>
    </w:lvl>
    <w:lvl w:ilvl="4">
      <w:start w:val="0"/>
      <w:numFmt w:val="bullet"/>
      <w:lvlText w:val="•"/>
      <w:lvlJc w:val="left"/>
      <w:pPr>
        <w:ind w:left="485" w:hanging="122"/>
      </w:pPr>
      <w:rPr>
        <w:rFonts w:hint="default"/>
      </w:rPr>
    </w:lvl>
    <w:lvl w:ilvl="5">
      <w:start w:val="0"/>
      <w:numFmt w:val="bullet"/>
      <w:lvlText w:val="•"/>
      <w:lvlJc w:val="left"/>
      <w:pPr>
        <w:ind w:left="602" w:hanging="122"/>
      </w:pPr>
      <w:rPr>
        <w:rFonts w:hint="default"/>
      </w:rPr>
    </w:lvl>
    <w:lvl w:ilvl="6">
      <w:start w:val="0"/>
      <w:numFmt w:val="bullet"/>
      <w:lvlText w:val="•"/>
      <w:lvlJc w:val="left"/>
      <w:pPr>
        <w:ind w:left="718" w:hanging="122"/>
      </w:pPr>
      <w:rPr>
        <w:rFonts w:hint="default"/>
      </w:rPr>
    </w:lvl>
    <w:lvl w:ilvl="7">
      <w:start w:val="0"/>
      <w:numFmt w:val="bullet"/>
      <w:lvlText w:val="•"/>
      <w:lvlJc w:val="left"/>
      <w:pPr>
        <w:ind w:left="834" w:hanging="122"/>
      </w:pPr>
      <w:rPr>
        <w:rFonts w:hint="default"/>
      </w:rPr>
    </w:lvl>
    <w:lvl w:ilvl="8">
      <w:start w:val="0"/>
      <w:numFmt w:val="bullet"/>
      <w:lvlText w:val="•"/>
      <w:lvlJc w:val="left"/>
      <w:pPr>
        <w:ind w:left="951" w:hanging="122"/>
      </w:pPr>
      <w:rPr>
        <w:rFonts w:hint="default"/>
      </w:rPr>
    </w:lvl>
  </w:abstractNum>
  <w:abstractNum w:abstractNumId="75">
    <w:nsid w:val="5E0248E4"/>
    <w:multiLevelType w:val="hybridMultilevel"/>
    <w:tmpl w:val="0EC4E32A"/>
    <w:lvl w:ilvl="0">
      <w:start w:val="1"/>
      <w:numFmt w:val="decimal"/>
      <w:lvlText w:val="%1."/>
      <w:lvlJc w:val="left"/>
      <w:pPr>
        <w:ind w:left="146" w:hanging="122"/>
      </w:pPr>
      <w:rPr>
        <w:rFonts w:ascii="Calibri" w:eastAsia="Calibri" w:hAnsi="Calibri" w:cs="Calibri" w:hint="default"/>
        <w:spacing w:val="0"/>
        <w:w w:val="100"/>
        <w:sz w:val="12"/>
        <w:szCs w:val="12"/>
      </w:rPr>
    </w:lvl>
    <w:lvl w:ilvl="1">
      <w:start w:val="0"/>
      <w:numFmt w:val="bullet"/>
      <w:lvlText w:val="•"/>
      <w:lvlJc w:val="left"/>
      <w:pPr>
        <w:ind w:left="244" w:hanging="122"/>
      </w:pPr>
      <w:rPr>
        <w:rFonts w:hint="default"/>
      </w:rPr>
    </w:lvl>
    <w:lvl w:ilvl="2">
      <w:start w:val="0"/>
      <w:numFmt w:val="bullet"/>
      <w:lvlText w:val="•"/>
      <w:lvlJc w:val="left"/>
      <w:pPr>
        <w:ind w:left="348" w:hanging="122"/>
      </w:pPr>
      <w:rPr>
        <w:rFonts w:hint="default"/>
      </w:rPr>
    </w:lvl>
    <w:lvl w:ilvl="3">
      <w:start w:val="0"/>
      <w:numFmt w:val="bullet"/>
      <w:lvlText w:val="•"/>
      <w:lvlJc w:val="left"/>
      <w:pPr>
        <w:ind w:left="453" w:hanging="122"/>
      </w:pPr>
      <w:rPr>
        <w:rFonts w:hint="default"/>
      </w:rPr>
    </w:lvl>
    <w:lvl w:ilvl="4">
      <w:start w:val="0"/>
      <w:numFmt w:val="bullet"/>
      <w:lvlText w:val="•"/>
      <w:lvlJc w:val="left"/>
      <w:pPr>
        <w:ind w:left="557" w:hanging="122"/>
      </w:pPr>
      <w:rPr>
        <w:rFonts w:hint="default"/>
      </w:rPr>
    </w:lvl>
    <w:lvl w:ilvl="5">
      <w:start w:val="0"/>
      <w:numFmt w:val="bullet"/>
      <w:lvlText w:val="•"/>
      <w:lvlJc w:val="left"/>
      <w:pPr>
        <w:ind w:left="662" w:hanging="122"/>
      </w:pPr>
      <w:rPr>
        <w:rFonts w:hint="default"/>
      </w:rPr>
    </w:lvl>
    <w:lvl w:ilvl="6">
      <w:start w:val="0"/>
      <w:numFmt w:val="bullet"/>
      <w:lvlText w:val="•"/>
      <w:lvlJc w:val="left"/>
      <w:pPr>
        <w:ind w:left="766" w:hanging="122"/>
      </w:pPr>
      <w:rPr>
        <w:rFonts w:hint="default"/>
      </w:rPr>
    </w:lvl>
    <w:lvl w:ilvl="7">
      <w:start w:val="0"/>
      <w:numFmt w:val="bullet"/>
      <w:lvlText w:val="•"/>
      <w:lvlJc w:val="left"/>
      <w:pPr>
        <w:ind w:left="870" w:hanging="122"/>
      </w:pPr>
      <w:rPr>
        <w:rFonts w:hint="default"/>
      </w:rPr>
    </w:lvl>
    <w:lvl w:ilvl="8">
      <w:start w:val="0"/>
      <w:numFmt w:val="bullet"/>
      <w:lvlText w:val="•"/>
      <w:lvlJc w:val="left"/>
      <w:pPr>
        <w:ind w:left="975" w:hanging="122"/>
      </w:pPr>
      <w:rPr>
        <w:rFonts w:hint="default"/>
      </w:rPr>
    </w:lvl>
  </w:abstractNum>
  <w:abstractNum w:abstractNumId="76">
    <w:nsid w:val="5E437D9B"/>
    <w:multiLevelType w:val="hybridMultilevel"/>
    <w:tmpl w:val="CB1C9BD6"/>
    <w:lvl w:ilvl="0">
      <w:start w:val="1"/>
      <w:numFmt w:val="decimal"/>
      <w:lvlText w:val="%1."/>
      <w:lvlJc w:val="left"/>
      <w:pPr>
        <w:ind w:left="146" w:hanging="122"/>
      </w:pPr>
      <w:rPr>
        <w:rFonts w:ascii="Calibri" w:eastAsia="Calibri" w:hAnsi="Calibri" w:cs="Calibri" w:hint="default"/>
        <w:spacing w:val="0"/>
        <w:w w:val="100"/>
        <w:sz w:val="12"/>
        <w:szCs w:val="12"/>
      </w:rPr>
    </w:lvl>
    <w:lvl w:ilvl="1">
      <w:start w:val="0"/>
      <w:numFmt w:val="bullet"/>
      <w:lvlText w:val="•"/>
      <w:lvlJc w:val="left"/>
      <w:pPr>
        <w:ind w:left="244" w:hanging="122"/>
      </w:pPr>
      <w:rPr>
        <w:rFonts w:hint="default"/>
      </w:rPr>
    </w:lvl>
    <w:lvl w:ilvl="2">
      <w:start w:val="0"/>
      <w:numFmt w:val="bullet"/>
      <w:lvlText w:val="•"/>
      <w:lvlJc w:val="left"/>
      <w:pPr>
        <w:ind w:left="348" w:hanging="122"/>
      </w:pPr>
      <w:rPr>
        <w:rFonts w:hint="default"/>
      </w:rPr>
    </w:lvl>
    <w:lvl w:ilvl="3">
      <w:start w:val="0"/>
      <w:numFmt w:val="bullet"/>
      <w:lvlText w:val="•"/>
      <w:lvlJc w:val="left"/>
      <w:pPr>
        <w:ind w:left="453" w:hanging="122"/>
      </w:pPr>
      <w:rPr>
        <w:rFonts w:hint="default"/>
      </w:rPr>
    </w:lvl>
    <w:lvl w:ilvl="4">
      <w:start w:val="0"/>
      <w:numFmt w:val="bullet"/>
      <w:lvlText w:val="•"/>
      <w:lvlJc w:val="left"/>
      <w:pPr>
        <w:ind w:left="557" w:hanging="122"/>
      </w:pPr>
      <w:rPr>
        <w:rFonts w:hint="default"/>
      </w:rPr>
    </w:lvl>
    <w:lvl w:ilvl="5">
      <w:start w:val="0"/>
      <w:numFmt w:val="bullet"/>
      <w:lvlText w:val="•"/>
      <w:lvlJc w:val="left"/>
      <w:pPr>
        <w:ind w:left="662" w:hanging="122"/>
      </w:pPr>
      <w:rPr>
        <w:rFonts w:hint="default"/>
      </w:rPr>
    </w:lvl>
    <w:lvl w:ilvl="6">
      <w:start w:val="0"/>
      <w:numFmt w:val="bullet"/>
      <w:lvlText w:val="•"/>
      <w:lvlJc w:val="left"/>
      <w:pPr>
        <w:ind w:left="766" w:hanging="122"/>
      </w:pPr>
      <w:rPr>
        <w:rFonts w:hint="default"/>
      </w:rPr>
    </w:lvl>
    <w:lvl w:ilvl="7">
      <w:start w:val="0"/>
      <w:numFmt w:val="bullet"/>
      <w:lvlText w:val="•"/>
      <w:lvlJc w:val="left"/>
      <w:pPr>
        <w:ind w:left="870" w:hanging="122"/>
      </w:pPr>
      <w:rPr>
        <w:rFonts w:hint="default"/>
      </w:rPr>
    </w:lvl>
    <w:lvl w:ilvl="8">
      <w:start w:val="0"/>
      <w:numFmt w:val="bullet"/>
      <w:lvlText w:val="•"/>
      <w:lvlJc w:val="left"/>
      <w:pPr>
        <w:ind w:left="975" w:hanging="122"/>
      </w:pPr>
      <w:rPr>
        <w:rFonts w:hint="default"/>
      </w:rPr>
    </w:lvl>
  </w:abstractNum>
  <w:abstractNum w:abstractNumId="77">
    <w:nsid w:val="5E633BA5"/>
    <w:multiLevelType w:val="hybridMultilevel"/>
    <w:tmpl w:val="EF30C168"/>
    <w:lvl w:ilvl="0">
      <w:start w:val="0"/>
      <w:numFmt w:val="bullet"/>
      <w:lvlText w:val="-"/>
      <w:lvlJc w:val="left"/>
      <w:pPr>
        <w:ind w:left="25" w:hanging="56"/>
      </w:pPr>
      <w:rPr>
        <w:rFonts w:ascii="Calibri" w:eastAsia="Calibri" w:hAnsi="Calibri" w:cs="Calibri" w:hint="default"/>
        <w:w w:val="100"/>
        <w:sz w:val="12"/>
        <w:szCs w:val="12"/>
      </w:rPr>
    </w:lvl>
    <w:lvl w:ilvl="1">
      <w:start w:val="0"/>
      <w:numFmt w:val="bullet"/>
      <w:lvlText w:val="•"/>
      <w:lvlJc w:val="left"/>
      <w:pPr>
        <w:ind w:left="371" w:hanging="56"/>
      </w:pPr>
      <w:rPr>
        <w:rFonts w:hint="default"/>
      </w:rPr>
    </w:lvl>
    <w:lvl w:ilvl="2">
      <w:start w:val="0"/>
      <w:numFmt w:val="bullet"/>
      <w:lvlText w:val="•"/>
      <w:lvlJc w:val="left"/>
      <w:pPr>
        <w:ind w:left="723" w:hanging="56"/>
      </w:pPr>
      <w:rPr>
        <w:rFonts w:hint="default"/>
      </w:rPr>
    </w:lvl>
    <w:lvl w:ilvl="3">
      <w:start w:val="0"/>
      <w:numFmt w:val="bullet"/>
      <w:lvlText w:val="•"/>
      <w:lvlJc w:val="left"/>
      <w:pPr>
        <w:ind w:left="1075" w:hanging="56"/>
      </w:pPr>
      <w:rPr>
        <w:rFonts w:hint="default"/>
      </w:rPr>
    </w:lvl>
    <w:lvl w:ilvl="4">
      <w:start w:val="0"/>
      <w:numFmt w:val="bullet"/>
      <w:lvlText w:val="•"/>
      <w:lvlJc w:val="left"/>
      <w:pPr>
        <w:ind w:left="1427" w:hanging="56"/>
      </w:pPr>
      <w:rPr>
        <w:rFonts w:hint="default"/>
      </w:rPr>
    </w:lvl>
    <w:lvl w:ilvl="5">
      <w:start w:val="0"/>
      <w:numFmt w:val="bullet"/>
      <w:lvlText w:val="•"/>
      <w:lvlJc w:val="left"/>
      <w:pPr>
        <w:ind w:left="1779" w:hanging="56"/>
      </w:pPr>
      <w:rPr>
        <w:rFonts w:hint="default"/>
      </w:rPr>
    </w:lvl>
    <w:lvl w:ilvl="6">
      <w:start w:val="0"/>
      <w:numFmt w:val="bullet"/>
      <w:lvlText w:val="•"/>
      <w:lvlJc w:val="left"/>
      <w:pPr>
        <w:ind w:left="2130" w:hanging="56"/>
      </w:pPr>
      <w:rPr>
        <w:rFonts w:hint="default"/>
      </w:rPr>
    </w:lvl>
    <w:lvl w:ilvl="7">
      <w:start w:val="0"/>
      <w:numFmt w:val="bullet"/>
      <w:lvlText w:val="•"/>
      <w:lvlJc w:val="left"/>
      <w:pPr>
        <w:ind w:left="2482" w:hanging="56"/>
      </w:pPr>
      <w:rPr>
        <w:rFonts w:hint="default"/>
      </w:rPr>
    </w:lvl>
    <w:lvl w:ilvl="8">
      <w:start w:val="0"/>
      <w:numFmt w:val="bullet"/>
      <w:lvlText w:val="•"/>
      <w:lvlJc w:val="left"/>
      <w:pPr>
        <w:ind w:left="2834" w:hanging="56"/>
      </w:pPr>
      <w:rPr>
        <w:rFonts w:hint="default"/>
      </w:rPr>
    </w:lvl>
  </w:abstractNum>
  <w:abstractNum w:abstractNumId="78">
    <w:nsid w:val="5F591575"/>
    <w:multiLevelType w:val="hybridMultilevel"/>
    <w:tmpl w:val="A3BE63A8"/>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136" w:hanging="122"/>
      </w:pPr>
      <w:rPr>
        <w:rFonts w:hint="default"/>
      </w:rPr>
    </w:lvl>
    <w:lvl w:ilvl="2">
      <w:start w:val="0"/>
      <w:numFmt w:val="bullet"/>
      <w:lvlText w:val="•"/>
      <w:lvlJc w:val="left"/>
      <w:pPr>
        <w:ind w:left="252" w:hanging="122"/>
      </w:pPr>
      <w:rPr>
        <w:rFonts w:hint="default"/>
      </w:rPr>
    </w:lvl>
    <w:lvl w:ilvl="3">
      <w:start w:val="0"/>
      <w:numFmt w:val="bullet"/>
      <w:lvlText w:val="•"/>
      <w:lvlJc w:val="left"/>
      <w:pPr>
        <w:ind w:left="369" w:hanging="122"/>
      </w:pPr>
      <w:rPr>
        <w:rFonts w:hint="default"/>
      </w:rPr>
    </w:lvl>
    <w:lvl w:ilvl="4">
      <w:start w:val="0"/>
      <w:numFmt w:val="bullet"/>
      <w:lvlText w:val="•"/>
      <w:lvlJc w:val="left"/>
      <w:pPr>
        <w:ind w:left="485" w:hanging="122"/>
      </w:pPr>
      <w:rPr>
        <w:rFonts w:hint="default"/>
      </w:rPr>
    </w:lvl>
    <w:lvl w:ilvl="5">
      <w:start w:val="0"/>
      <w:numFmt w:val="bullet"/>
      <w:lvlText w:val="•"/>
      <w:lvlJc w:val="left"/>
      <w:pPr>
        <w:ind w:left="602" w:hanging="122"/>
      </w:pPr>
      <w:rPr>
        <w:rFonts w:hint="default"/>
      </w:rPr>
    </w:lvl>
    <w:lvl w:ilvl="6">
      <w:start w:val="0"/>
      <w:numFmt w:val="bullet"/>
      <w:lvlText w:val="•"/>
      <w:lvlJc w:val="left"/>
      <w:pPr>
        <w:ind w:left="718" w:hanging="122"/>
      </w:pPr>
      <w:rPr>
        <w:rFonts w:hint="default"/>
      </w:rPr>
    </w:lvl>
    <w:lvl w:ilvl="7">
      <w:start w:val="0"/>
      <w:numFmt w:val="bullet"/>
      <w:lvlText w:val="•"/>
      <w:lvlJc w:val="left"/>
      <w:pPr>
        <w:ind w:left="834" w:hanging="122"/>
      </w:pPr>
      <w:rPr>
        <w:rFonts w:hint="default"/>
      </w:rPr>
    </w:lvl>
    <w:lvl w:ilvl="8">
      <w:start w:val="0"/>
      <w:numFmt w:val="bullet"/>
      <w:lvlText w:val="•"/>
      <w:lvlJc w:val="left"/>
      <w:pPr>
        <w:ind w:left="951" w:hanging="122"/>
      </w:pPr>
      <w:rPr>
        <w:rFonts w:hint="default"/>
      </w:rPr>
    </w:lvl>
  </w:abstractNum>
  <w:abstractNum w:abstractNumId="79">
    <w:nsid w:val="5FC95D24"/>
    <w:multiLevelType w:val="hybridMultilevel"/>
    <w:tmpl w:val="D2106C9E"/>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136" w:hanging="122"/>
      </w:pPr>
      <w:rPr>
        <w:rFonts w:hint="default"/>
      </w:rPr>
    </w:lvl>
    <w:lvl w:ilvl="2">
      <w:start w:val="0"/>
      <w:numFmt w:val="bullet"/>
      <w:lvlText w:val="•"/>
      <w:lvlJc w:val="left"/>
      <w:pPr>
        <w:ind w:left="252" w:hanging="122"/>
      </w:pPr>
      <w:rPr>
        <w:rFonts w:hint="default"/>
      </w:rPr>
    </w:lvl>
    <w:lvl w:ilvl="3">
      <w:start w:val="0"/>
      <w:numFmt w:val="bullet"/>
      <w:lvlText w:val="•"/>
      <w:lvlJc w:val="left"/>
      <w:pPr>
        <w:ind w:left="369" w:hanging="122"/>
      </w:pPr>
      <w:rPr>
        <w:rFonts w:hint="default"/>
      </w:rPr>
    </w:lvl>
    <w:lvl w:ilvl="4">
      <w:start w:val="0"/>
      <w:numFmt w:val="bullet"/>
      <w:lvlText w:val="•"/>
      <w:lvlJc w:val="left"/>
      <w:pPr>
        <w:ind w:left="485" w:hanging="122"/>
      </w:pPr>
      <w:rPr>
        <w:rFonts w:hint="default"/>
      </w:rPr>
    </w:lvl>
    <w:lvl w:ilvl="5">
      <w:start w:val="0"/>
      <w:numFmt w:val="bullet"/>
      <w:lvlText w:val="•"/>
      <w:lvlJc w:val="left"/>
      <w:pPr>
        <w:ind w:left="602" w:hanging="122"/>
      </w:pPr>
      <w:rPr>
        <w:rFonts w:hint="default"/>
      </w:rPr>
    </w:lvl>
    <w:lvl w:ilvl="6">
      <w:start w:val="0"/>
      <w:numFmt w:val="bullet"/>
      <w:lvlText w:val="•"/>
      <w:lvlJc w:val="left"/>
      <w:pPr>
        <w:ind w:left="718" w:hanging="122"/>
      </w:pPr>
      <w:rPr>
        <w:rFonts w:hint="default"/>
      </w:rPr>
    </w:lvl>
    <w:lvl w:ilvl="7">
      <w:start w:val="0"/>
      <w:numFmt w:val="bullet"/>
      <w:lvlText w:val="•"/>
      <w:lvlJc w:val="left"/>
      <w:pPr>
        <w:ind w:left="834" w:hanging="122"/>
      </w:pPr>
      <w:rPr>
        <w:rFonts w:hint="default"/>
      </w:rPr>
    </w:lvl>
    <w:lvl w:ilvl="8">
      <w:start w:val="0"/>
      <w:numFmt w:val="bullet"/>
      <w:lvlText w:val="•"/>
      <w:lvlJc w:val="left"/>
      <w:pPr>
        <w:ind w:left="951" w:hanging="122"/>
      </w:pPr>
      <w:rPr>
        <w:rFonts w:hint="default"/>
      </w:rPr>
    </w:lvl>
  </w:abstractNum>
  <w:abstractNum w:abstractNumId="80">
    <w:nsid w:val="60A02207"/>
    <w:multiLevelType w:val="hybridMultilevel"/>
    <w:tmpl w:val="1C984902"/>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136" w:hanging="122"/>
      </w:pPr>
      <w:rPr>
        <w:rFonts w:hint="default"/>
      </w:rPr>
    </w:lvl>
    <w:lvl w:ilvl="2">
      <w:start w:val="0"/>
      <w:numFmt w:val="bullet"/>
      <w:lvlText w:val="•"/>
      <w:lvlJc w:val="left"/>
      <w:pPr>
        <w:ind w:left="252" w:hanging="122"/>
      </w:pPr>
      <w:rPr>
        <w:rFonts w:hint="default"/>
      </w:rPr>
    </w:lvl>
    <w:lvl w:ilvl="3">
      <w:start w:val="0"/>
      <w:numFmt w:val="bullet"/>
      <w:lvlText w:val="•"/>
      <w:lvlJc w:val="left"/>
      <w:pPr>
        <w:ind w:left="369" w:hanging="122"/>
      </w:pPr>
      <w:rPr>
        <w:rFonts w:hint="default"/>
      </w:rPr>
    </w:lvl>
    <w:lvl w:ilvl="4">
      <w:start w:val="0"/>
      <w:numFmt w:val="bullet"/>
      <w:lvlText w:val="•"/>
      <w:lvlJc w:val="left"/>
      <w:pPr>
        <w:ind w:left="485" w:hanging="122"/>
      </w:pPr>
      <w:rPr>
        <w:rFonts w:hint="default"/>
      </w:rPr>
    </w:lvl>
    <w:lvl w:ilvl="5">
      <w:start w:val="0"/>
      <w:numFmt w:val="bullet"/>
      <w:lvlText w:val="•"/>
      <w:lvlJc w:val="left"/>
      <w:pPr>
        <w:ind w:left="602" w:hanging="122"/>
      </w:pPr>
      <w:rPr>
        <w:rFonts w:hint="default"/>
      </w:rPr>
    </w:lvl>
    <w:lvl w:ilvl="6">
      <w:start w:val="0"/>
      <w:numFmt w:val="bullet"/>
      <w:lvlText w:val="•"/>
      <w:lvlJc w:val="left"/>
      <w:pPr>
        <w:ind w:left="718" w:hanging="122"/>
      </w:pPr>
      <w:rPr>
        <w:rFonts w:hint="default"/>
      </w:rPr>
    </w:lvl>
    <w:lvl w:ilvl="7">
      <w:start w:val="0"/>
      <w:numFmt w:val="bullet"/>
      <w:lvlText w:val="•"/>
      <w:lvlJc w:val="left"/>
      <w:pPr>
        <w:ind w:left="834" w:hanging="122"/>
      </w:pPr>
      <w:rPr>
        <w:rFonts w:hint="default"/>
      </w:rPr>
    </w:lvl>
    <w:lvl w:ilvl="8">
      <w:start w:val="0"/>
      <w:numFmt w:val="bullet"/>
      <w:lvlText w:val="•"/>
      <w:lvlJc w:val="left"/>
      <w:pPr>
        <w:ind w:left="951" w:hanging="122"/>
      </w:pPr>
      <w:rPr>
        <w:rFonts w:hint="default"/>
      </w:rPr>
    </w:lvl>
  </w:abstractNum>
  <w:abstractNum w:abstractNumId="81">
    <w:nsid w:val="60EC1B87"/>
    <w:multiLevelType w:val="hybridMultilevel"/>
    <w:tmpl w:val="7D90917A"/>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136" w:hanging="122"/>
      </w:pPr>
      <w:rPr>
        <w:rFonts w:hint="default"/>
      </w:rPr>
    </w:lvl>
    <w:lvl w:ilvl="2">
      <w:start w:val="0"/>
      <w:numFmt w:val="bullet"/>
      <w:lvlText w:val="•"/>
      <w:lvlJc w:val="left"/>
      <w:pPr>
        <w:ind w:left="252" w:hanging="122"/>
      </w:pPr>
      <w:rPr>
        <w:rFonts w:hint="default"/>
      </w:rPr>
    </w:lvl>
    <w:lvl w:ilvl="3">
      <w:start w:val="0"/>
      <w:numFmt w:val="bullet"/>
      <w:lvlText w:val="•"/>
      <w:lvlJc w:val="left"/>
      <w:pPr>
        <w:ind w:left="369" w:hanging="122"/>
      </w:pPr>
      <w:rPr>
        <w:rFonts w:hint="default"/>
      </w:rPr>
    </w:lvl>
    <w:lvl w:ilvl="4">
      <w:start w:val="0"/>
      <w:numFmt w:val="bullet"/>
      <w:lvlText w:val="•"/>
      <w:lvlJc w:val="left"/>
      <w:pPr>
        <w:ind w:left="485" w:hanging="122"/>
      </w:pPr>
      <w:rPr>
        <w:rFonts w:hint="default"/>
      </w:rPr>
    </w:lvl>
    <w:lvl w:ilvl="5">
      <w:start w:val="0"/>
      <w:numFmt w:val="bullet"/>
      <w:lvlText w:val="•"/>
      <w:lvlJc w:val="left"/>
      <w:pPr>
        <w:ind w:left="602" w:hanging="122"/>
      </w:pPr>
      <w:rPr>
        <w:rFonts w:hint="default"/>
      </w:rPr>
    </w:lvl>
    <w:lvl w:ilvl="6">
      <w:start w:val="0"/>
      <w:numFmt w:val="bullet"/>
      <w:lvlText w:val="•"/>
      <w:lvlJc w:val="left"/>
      <w:pPr>
        <w:ind w:left="718" w:hanging="122"/>
      </w:pPr>
      <w:rPr>
        <w:rFonts w:hint="default"/>
      </w:rPr>
    </w:lvl>
    <w:lvl w:ilvl="7">
      <w:start w:val="0"/>
      <w:numFmt w:val="bullet"/>
      <w:lvlText w:val="•"/>
      <w:lvlJc w:val="left"/>
      <w:pPr>
        <w:ind w:left="834" w:hanging="122"/>
      </w:pPr>
      <w:rPr>
        <w:rFonts w:hint="default"/>
      </w:rPr>
    </w:lvl>
    <w:lvl w:ilvl="8">
      <w:start w:val="0"/>
      <w:numFmt w:val="bullet"/>
      <w:lvlText w:val="•"/>
      <w:lvlJc w:val="left"/>
      <w:pPr>
        <w:ind w:left="951" w:hanging="122"/>
      </w:pPr>
      <w:rPr>
        <w:rFonts w:hint="default"/>
      </w:rPr>
    </w:lvl>
  </w:abstractNum>
  <w:abstractNum w:abstractNumId="82">
    <w:nsid w:val="63F91862"/>
    <w:multiLevelType w:val="hybridMultilevel"/>
    <w:tmpl w:val="19C04882"/>
    <w:lvl w:ilvl="0">
      <w:start w:val="1"/>
      <w:numFmt w:val="decimal"/>
      <w:lvlText w:val="%1."/>
      <w:lvlJc w:val="left"/>
      <w:pPr>
        <w:ind w:left="146" w:hanging="122"/>
      </w:pPr>
      <w:rPr>
        <w:rFonts w:ascii="Calibri" w:eastAsia="Calibri" w:hAnsi="Calibri" w:cs="Calibri" w:hint="default"/>
        <w:spacing w:val="0"/>
        <w:w w:val="100"/>
        <w:sz w:val="12"/>
        <w:szCs w:val="12"/>
      </w:rPr>
    </w:lvl>
    <w:lvl w:ilvl="1">
      <w:start w:val="0"/>
      <w:numFmt w:val="bullet"/>
      <w:lvlText w:val="•"/>
      <w:lvlJc w:val="left"/>
      <w:pPr>
        <w:ind w:left="244" w:hanging="122"/>
      </w:pPr>
      <w:rPr>
        <w:rFonts w:hint="default"/>
      </w:rPr>
    </w:lvl>
    <w:lvl w:ilvl="2">
      <w:start w:val="0"/>
      <w:numFmt w:val="bullet"/>
      <w:lvlText w:val="•"/>
      <w:lvlJc w:val="left"/>
      <w:pPr>
        <w:ind w:left="348" w:hanging="122"/>
      </w:pPr>
      <w:rPr>
        <w:rFonts w:hint="default"/>
      </w:rPr>
    </w:lvl>
    <w:lvl w:ilvl="3">
      <w:start w:val="0"/>
      <w:numFmt w:val="bullet"/>
      <w:lvlText w:val="•"/>
      <w:lvlJc w:val="left"/>
      <w:pPr>
        <w:ind w:left="453" w:hanging="122"/>
      </w:pPr>
      <w:rPr>
        <w:rFonts w:hint="default"/>
      </w:rPr>
    </w:lvl>
    <w:lvl w:ilvl="4">
      <w:start w:val="0"/>
      <w:numFmt w:val="bullet"/>
      <w:lvlText w:val="•"/>
      <w:lvlJc w:val="left"/>
      <w:pPr>
        <w:ind w:left="557" w:hanging="122"/>
      </w:pPr>
      <w:rPr>
        <w:rFonts w:hint="default"/>
      </w:rPr>
    </w:lvl>
    <w:lvl w:ilvl="5">
      <w:start w:val="0"/>
      <w:numFmt w:val="bullet"/>
      <w:lvlText w:val="•"/>
      <w:lvlJc w:val="left"/>
      <w:pPr>
        <w:ind w:left="662" w:hanging="122"/>
      </w:pPr>
      <w:rPr>
        <w:rFonts w:hint="default"/>
      </w:rPr>
    </w:lvl>
    <w:lvl w:ilvl="6">
      <w:start w:val="0"/>
      <w:numFmt w:val="bullet"/>
      <w:lvlText w:val="•"/>
      <w:lvlJc w:val="left"/>
      <w:pPr>
        <w:ind w:left="766" w:hanging="122"/>
      </w:pPr>
      <w:rPr>
        <w:rFonts w:hint="default"/>
      </w:rPr>
    </w:lvl>
    <w:lvl w:ilvl="7">
      <w:start w:val="0"/>
      <w:numFmt w:val="bullet"/>
      <w:lvlText w:val="•"/>
      <w:lvlJc w:val="left"/>
      <w:pPr>
        <w:ind w:left="870" w:hanging="122"/>
      </w:pPr>
      <w:rPr>
        <w:rFonts w:hint="default"/>
      </w:rPr>
    </w:lvl>
    <w:lvl w:ilvl="8">
      <w:start w:val="0"/>
      <w:numFmt w:val="bullet"/>
      <w:lvlText w:val="•"/>
      <w:lvlJc w:val="left"/>
      <w:pPr>
        <w:ind w:left="975" w:hanging="122"/>
      </w:pPr>
      <w:rPr>
        <w:rFonts w:hint="default"/>
      </w:rPr>
    </w:lvl>
  </w:abstractNum>
  <w:abstractNum w:abstractNumId="83">
    <w:nsid w:val="650123F4"/>
    <w:multiLevelType w:val="hybridMultilevel"/>
    <w:tmpl w:val="EEE09BF8"/>
    <w:lvl w:ilvl="0">
      <w:start w:val="1"/>
      <w:numFmt w:val="decimal"/>
      <w:lvlText w:val="%1."/>
      <w:lvlJc w:val="left"/>
      <w:pPr>
        <w:ind w:left="146" w:hanging="122"/>
      </w:pPr>
      <w:rPr>
        <w:rFonts w:ascii="Calibri" w:eastAsia="Calibri" w:hAnsi="Calibri" w:cs="Calibri" w:hint="default"/>
        <w:spacing w:val="0"/>
        <w:w w:val="100"/>
        <w:sz w:val="12"/>
        <w:szCs w:val="12"/>
      </w:rPr>
    </w:lvl>
    <w:lvl w:ilvl="1">
      <w:start w:val="0"/>
      <w:numFmt w:val="bullet"/>
      <w:lvlText w:val="•"/>
      <w:lvlJc w:val="left"/>
      <w:pPr>
        <w:ind w:left="244" w:hanging="122"/>
      </w:pPr>
      <w:rPr>
        <w:rFonts w:hint="default"/>
      </w:rPr>
    </w:lvl>
    <w:lvl w:ilvl="2">
      <w:start w:val="0"/>
      <w:numFmt w:val="bullet"/>
      <w:lvlText w:val="•"/>
      <w:lvlJc w:val="left"/>
      <w:pPr>
        <w:ind w:left="348" w:hanging="122"/>
      </w:pPr>
      <w:rPr>
        <w:rFonts w:hint="default"/>
      </w:rPr>
    </w:lvl>
    <w:lvl w:ilvl="3">
      <w:start w:val="0"/>
      <w:numFmt w:val="bullet"/>
      <w:lvlText w:val="•"/>
      <w:lvlJc w:val="left"/>
      <w:pPr>
        <w:ind w:left="453" w:hanging="122"/>
      </w:pPr>
      <w:rPr>
        <w:rFonts w:hint="default"/>
      </w:rPr>
    </w:lvl>
    <w:lvl w:ilvl="4">
      <w:start w:val="0"/>
      <w:numFmt w:val="bullet"/>
      <w:lvlText w:val="•"/>
      <w:lvlJc w:val="left"/>
      <w:pPr>
        <w:ind w:left="557" w:hanging="122"/>
      </w:pPr>
      <w:rPr>
        <w:rFonts w:hint="default"/>
      </w:rPr>
    </w:lvl>
    <w:lvl w:ilvl="5">
      <w:start w:val="0"/>
      <w:numFmt w:val="bullet"/>
      <w:lvlText w:val="•"/>
      <w:lvlJc w:val="left"/>
      <w:pPr>
        <w:ind w:left="662" w:hanging="122"/>
      </w:pPr>
      <w:rPr>
        <w:rFonts w:hint="default"/>
      </w:rPr>
    </w:lvl>
    <w:lvl w:ilvl="6">
      <w:start w:val="0"/>
      <w:numFmt w:val="bullet"/>
      <w:lvlText w:val="•"/>
      <w:lvlJc w:val="left"/>
      <w:pPr>
        <w:ind w:left="766" w:hanging="122"/>
      </w:pPr>
      <w:rPr>
        <w:rFonts w:hint="default"/>
      </w:rPr>
    </w:lvl>
    <w:lvl w:ilvl="7">
      <w:start w:val="0"/>
      <w:numFmt w:val="bullet"/>
      <w:lvlText w:val="•"/>
      <w:lvlJc w:val="left"/>
      <w:pPr>
        <w:ind w:left="870" w:hanging="122"/>
      </w:pPr>
      <w:rPr>
        <w:rFonts w:hint="default"/>
      </w:rPr>
    </w:lvl>
    <w:lvl w:ilvl="8">
      <w:start w:val="0"/>
      <w:numFmt w:val="bullet"/>
      <w:lvlText w:val="•"/>
      <w:lvlJc w:val="left"/>
      <w:pPr>
        <w:ind w:left="975" w:hanging="122"/>
      </w:pPr>
      <w:rPr>
        <w:rFonts w:hint="default"/>
      </w:rPr>
    </w:lvl>
  </w:abstractNum>
  <w:abstractNum w:abstractNumId="84">
    <w:nsid w:val="66186109"/>
    <w:multiLevelType w:val="hybridMultilevel"/>
    <w:tmpl w:val="A70623F4"/>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136" w:hanging="122"/>
      </w:pPr>
      <w:rPr>
        <w:rFonts w:hint="default"/>
      </w:rPr>
    </w:lvl>
    <w:lvl w:ilvl="2">
      <w:start w:val="0"/>
      <w:numFmt w:val="bullet"/>
      <w:lvlText w:val="•"/>
      <w:lvlJc w:val="left"/>
      <w:pPr>
        <w:ind w:left="252" w:hanging="122"/>
      </w:pPr>
      <w:rPr>
        <w:rFonts w:hint="default"/>
      </w:rPr>
    </w:lvl>
    <w:lvl w:ilvl="3">
      <w:start w:val="0"/>
      <w:numFmt w:val="bullet"/>
      <w:lvlText w:val="•"/>
      <w:lvlJc w:val="left"/>
      <w:pPr>
        <w:ind w:left="369" w:hanging="122"/>
      </w:pPr>
      <w:rPr>
        <w:rFonts w:hint="default"/>
      </w:rPr>
    </w:lvl>
    <w:lvl w:ilvl="4">
      <w:start w:val="0"/>
      <w:numFmt w:val="bullet"/>
      <w:lvlText w:val="•"/>
      <w:lvlJc w:val="left"/>
      <w:pPr>
        <w:ind w:left="485" w:hanging="122"/>
      </w:pPr>
      <w:rPr>
        <w:rFonts w:hint="default"/>
      </w:rPr>
    </w:lvl>
    <w:lvl w:ilvl="5">
      <w:start w:val="0"/>
      <w:numFmt w:val="bullet"/>
      <w:lvlText w:val="•"/>
      <w:lvlJc w:val="left"/>
      <w:pPr>
        <w:ind w:left="602" w:hanging="122"/>
      </w:pPr>
      <w:rPr>
        <w:rFonts w:hint="default"/>
      </w:rPr>
    </w:lvl>
    <w:lvl w:ilvl="6">
      <w:start w:val="0"/>
      <w:numFmt w:val="bullet"/>
      <w:lvlText w:val="•"/>
      <w:lvlJc w:val="left"/>
      <w:pPr>
        <w:ind w:left="718" w:hanging="122"/>
      </w:pPr>
      <w:rPr>
        <w:rFonts w:hint="default"/>
      </w:rPr>
    </w:lvl>
    <w:lvl w:ilvl="7">
      <w:start w:val="0"/>
      <w:numFmt w:val="bullet"/>
      <w:lvlText w:val="•"/>
      <w:lvlJc w:val="left"/>
      <w:pPr>
        <w:ind w:left="834" w:hanging="122"/>
      </w:pPr>
      <w:rPr>
        <w:rFonts w:hint="default"/>
      </w:rPr>
    </w:lvl>
    <w:lvl w:ilvl="8">
      <w:start w:val="0"/>
      <w:numFmt w:val="bullet"/>
      <w:lvlText w:val="•"/>
      <w:lvlJc w:val="left"/>
      <w:pPr>
        <w:ind w:left="951" w:hanging="122"/>
      </w:pPr>
      <w:rPr>
        <w:rFonts w:hint="default"/>
      </w:rPr>
    </w:lvl>
  </w:abstractNum>
  <w:abstractNum w:abstractNumId="85">
    <w:nsid w:val="67015C92"/>
    <w:multiLevelType w:val="hybridMultilevel"/>
    <w:tmpl w:val="426CBD20"/>
    <w:lvl w:ilvl="0">
      <w:start w:val="1"/>
      <w:numFmt w:val="decimal"/>
      <w:lvlText w:val="%1."/>
      <w:lvlJc w:val="left"/>
      <w:pPr>
        <w:ind w:left="168" w:hanging="122"/>
      </w:pPr>
      <w:rPr>
        <w:rFonts w:ascii="Calibri" w:eastAsia="Calibri" w:hAnsi="Calibri" w:cs="Calibri" w:hint="default"/>
        <w:spacing w:val="0"/>
        <w:w w:val="100"/>
        <w:sz w:val="12"/>
        <w:szCs w:val="12"/>
      </w:rPr>
    </w:lvl>
    <w:lvl w:ilvl="1">
      <w:start w:val="0"/>
      <w:numFmt w:val="bullet"/>
      <w:lvlText w:val="•"/>
      <w:lvlJc w:val="left"/>
      <w:pPr>
        <w:ind w:left="497" w:hanging="122"/>
      </w:pPr>
      <w:rPr>
        <w:rFonts w:hint="default"/>
      </w:rPr>
    </w:lvl>
    <w:lvl w:ilvl="2">
      <w:start w:val="0"/>
      <w:numFmt w:val="bullet"/>
      <w:lvlText w:val="•"/>
      <w:lvlJc w:val="left"/>
      <w:pPr>
        <w:ind w:left="835" w:hanging="122"/>
      </w:pPr>
      <w:rPr>
        <w:rFonts w:hint="default"/>
      </w:rPr>
    </w:lvl>
    <w:lvl w:ilvl="3">
      <w:start w:val="0"/>
      <w:numFmt w:val="bullet"/>
      <w:lvlText w:val="•"/>
      <w:lvlJc w:val="left"/>
      <w:pPr>
        <w:ind w:left="1173" w:hanging="122"/>
      </w:pPr>
      <w:rPr>
        <w:rFonts w:hint="default"/>
      </w:rPr>
    </w:lvl>
    <w:lvl w:ilvl="4">
      <w:start w:val="0"/>
      <w:numFmt w:val="bullet"/>
      <w:lvlText w:val="•"/>
      <w:lvlJc w:val="left"/>
      <w:pPr>
        <w:ind w:left="1511" w:hanging="122"/>
      </w:pPr>
      <w:rPr>
        <w:rFonts w:hint="default"/>
      </w:rPr>
    </w:lvl>
    <w:lvl w:ilvl="5">
      <w:start w:val="0"/>
      <w:numFmt w:val="bullet"/>
      <w:lvlText w:val="•"/>
      <w:lvlJc w:val="left"/>
      <w:pPr>
        <w:ind w:left="1849" w:hanging="122"/>
      </w:pPr>
      <w:rPr>
        <w:rFonts w:hint="default"/>
      </w:rPr>
    </w:lvl>
    <w:lvl w:ilvl="6">
      <w:start w:val="0"/>
      <w:numFmt w:val="bullet"/>
      <w:lvlText w:val="•"/>
      <w:lvlJc w:val="left"/>
      <w:pPr>
        <w:ind w:left="2186" w:hanging="122"/>
      </w:pPr>
      <w:rPr>
        <w:rFonts w:hint="default"/>
      </w:rPr>
    </w:lvl>
    <w:lvl w:ilvl="7">
      <w:start w:val="0"/>
      <w:numFmt w:val="bullet"/>
      <w:lvlText w:val="•"/>
      <w:lvlJc w:val="left"/>
      <w:pPr>
        <w:ind w:left="2524" w:hanging="122"/>
      </w:pPr>
      <w:rPr>
        <w:rFonts w:hint="default"/>
      </w:rPr>
    </w:lvl>
    <w:lvl w:ilvl="8">
      <w:start w:val="0"/>
      <w:numFmt w:val="bullet"/>
      <w:lvlText w:val="•"/>
      <w:lvlJc w:val="left"/>
      <w:pPr>
        <w:ind w:left="2862" w:hanging="122"/>
      </w:pPr>
      <w:rPr>
        <w:rFonts w:hint="default"/>
      </w:rPr>
    </w:lvl>
  </w:abstractNum>
  <w:abstractNum w:abstractNumId="86">
    <w:nsid w:val="67E7432F"/>
    <w:multiLevelType w:val="hybridMultilevel"/>
    <w:tmpl w:val="34DE7136"/>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71" w:hanging="122"/>
      </w:pPr>
      <w:rPr>
        <w:rFonts w:hint="default"/>
      </w:rPr>
    </w:lvl>
    <w:lvl w:ilvl="2">
      <w:start w:val="0"/>
      <w:numFmt w:val="bullet"/>
      <w:lvlText w:val="•"/>
      <w:lvlJc w:val="left"/>
      <w:pPr>
        <w:ind w:left="723" w:hanging="122"/>
      </w:pPr>
      <w:rPr>
        <w:rFonts w:hint="default"/>
      </w:rPr>
    </w:lvl>
    <w:lvl w:ilvl="3">
      <w:start w:val="0"/>
      <w:numFmt w:val="bullet"/>
      <w:lvlText w:val="•"/>
      <w:lvlJc w:val="left"/>
      <w:pPr>
        <w:ind w:left="1075" w:hanging="122"/>
      </w:pPr>
      <w:rPr>
        <w:rFonts w:hint="default"/>
      </w:rPr>
    </w:lvl>
    <w:lvl w:ilvl="4">
      <w:start w:val="0"/>
      <w:numFmt w:val="bullet"/>
      <w:lvlText w:val="•"/>
      <w:lvlJc w:val="left"/>
      <w:pPr>
        <w:ind w:left="1427" w:hanging="122"/>
      </w:pPr>
      <w:rPr>
        <w:rFonts w:hint="default"/>
      </w:rPr>
    </w:lvl>
    <w:lvl w:ilvl="5">
      <w:start w:val="0"/>
      <w:numFmt w:val="bullet"/>
      <w:lvlText w:val="•"/>
      <w:lvlJc w:val="left"/>
      <w:pPr>
        <w:ind w:left="1779" w:hanging="122"/>
      </w:pPr>
      <w:rPr>
        <w:rFonts w:hint="default"/>
      </w:rPr>
    </w:lvl>
    <w:lvl w:ilvl="6">
      <w:start w:val="0"/>
      <w:numFmt w:val="bullet"/>
      <w:lvlText w:val="•"/>
      <w:lvlJc w:val="left"/>
      <w:pPr>
        <w:ind w:left="2130" w:hanging="122"/>
      </w:pPr>
      <w:rPr>
        <w:rFonts w:hint="default"/>
      </w:rPr>
    </w:lvl>
    <w:lvl w:ilvl="7">
      <w:start w:val="0"/>
      <w:numFmt w:val="bullet"/>
      <w:lvlText w:val="•"/>
      <w:lvlJc w:val="left"/>
      <w:pPr>
        <w:ind w:left="2482" w:hanging="122"/>
      </w:pPr>
      <w:rPr>
        <w:rFonts w:hint="default"/>
      </w:rPr>
    </w:lvl>
    <w:lvl w:ilvl="8">
      <w:start w:val="0"/>
      <w:numFmt w:val="bullet"/>
      <w:lvlText w:val="•"/>
      <w:lvlJc w:val="left"/>
      <w:pPr>
        <w:ind w:left="2834" w:hanging="122"/>
      </w:pPr>
      <w:rPr>
        <w:rFonts w:hint="default"/>
      </w:rPr>
    </w:lvl>
  </w:abstractNum>
  <w:abstractNum w:abstractNumId="87">
    <w:nsid w:val="6AF87052"/>
    <w:multiLevelType w:val="hybridMultilevel"/>
    <w:tmpl w:val="AC780A16"/>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88">
    <w:nsid w:val="6E806D59"/>
    <w:multiLevelType w:val="hybridMultilevel"/>
    <w:tmpl w:val="5B147172"/>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89">
    <w:nsid w:val="6FC53035"/>
    <w:multiLevelType w:val="multilevel"/>
    <w:tmpl w:val="3E883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0C04182"/>
    <w:multiLevelType w:val="hybridMultilevel"/>
    <w:tmpl w:val="B018FA22"/>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71" w:hanging="122"/>
      </w:pPr>
      <w:rPr>
        <w:rFonts w:hint="default"/>
      </w:rPr>
    </w:lvl>
    <w:lvl w:ilvl="2">
      <w:start w:val="0"/>
      <w:numFmt w:val="bullet"/>
      <w:lvlText w:val="•"/>
      <w:lvlJc w:val="left"/>
      <w:pPr>
        <w:ind w:left="723" w:hanging="122"/>
      </w:pPr>
      <w:rPr>
        <w:rFonts w:hint="default"/>
      </w:rPr>
    </w:lvl>
    <w:lvl w:ilvl="3">
      <w:start w:val="0"/>
      <w:numFmt w:val="bullet"/>
      <w:lvlText w:val="•"/>
      <w:lvlJc w:val="left"/>
      <w:pPr>
        <w:ind w:left="1075" w:hanging="122"/>
      </w:pPr>
      <w:rPr>
        <w:rFonts w:hint="default"/>
      </w:rPr>
    </w:lvl>
    <w:lvl w:ilvl="4">
      <w:start w:val="0"/>
      <w:numFmt w:val="bullet"/>
      <w:lvlText w:val="•"/>
      <w:lvlJc w:val="left"/>
      <w:pPr>
        <w:ind w:left="1427" w:hanging="122"/>
      </w:pPr>
      <w:rPr>
        <w:rFonts w:hint="default"/>
      </w:rPr>
    </w:lvl>
    <w:lvl w:ilvl="5">
      <w:start w:val="0"/>
      <w:numFmt w:val="bullet"/>
      <w:lvlText w:val="•"/>
      <w:lvlJc w:val="left"/>
      <w:pPr>
        <w:ind w:left="1779" w:hanging="122"/>
      </w:pPr>
      <w:rPr>
        <w:rFonts w:hint="default"/>
      </w:rPr>
    </w:lvl>
    <w:lvl w:ilvl="6">
      <w:start w:val="0"/>
      <w:numFmt w:val="bullet"/>
      <w:lvlText w:val="•"/>
      <w:lvlJc w:val="left"/>
      <w:pPr>
        <w:ind w:left="2130" w:hanging="122"/>
      </w:pPr>
      <w:rPr>
        <w:rFonts w:hint="default"/>
      </w:rPr>
    </w:lvl>
    <w:lvl w:ilvl="7">
      <w:start w:val="0"/>
      <w:numFmt w:val="bullet"/>
      <w:lvlText w:val="•"/>
      <w:lvlJc w:val="left"/>
      <w:pPr>
        <w:ind w:left="2482" w:hanging="122"/>
      </w:pPr>
      <w:rPr>
        <w:rFonts w:hint="default"/>
      </w:rPr>
    </w:lvl>
    <w:lvl w:ilvl="8">
      <w:start w:val="0"/>
      <w:numFmt w:val="bullet"/>
      <w:lvlText w:val="•"/>
      <w:lvlJc w:val="left"/>
      <w:pPr>
        <w:ind w:left="2834" w:hanging="122"/>
      </w:pPr>
      <w:rPr>
        <w:rFonts w:hint="default"/>
      </w:rPr>
    </w:lvl>
  </w:abstractNum>
  <w:abstractNum w:abstractNumId="91">
    <w:nsid w:val="72F8573C"/>
    <w:multiLevelType w:val="hybridMultilevel"/>
    <w:tmpl w:val="9CE0A580"/>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71" w:hanging="122"/>
      </w:pPr>
      <w:rPr>
        <w:rFonts w:hint="default"/>
      </w:rPr>
    </w:lvl>
    <w:lvl w:ilvl="2">
      <w:start w:val="0"/>
      <w:numFmt w:val="bullet"/>
      <w:lvlText w:val="•"/>
      <w:lvlJc w:val="left"/>
      <w:pPr>
        <w:ind w:left="723" w:hanging="122"/>
      </w:pPr>
      <w:rPr>
        <w:rFonts w:hint="default"/>
      </w:rPr>
    </w:lvl>
    <w:lvl w:ilvl="3">
      <w:start w:val="0"/>
      <w:numFmt w:val="bullet"/>
      <w:lvlText w:val="•"/>
      <w:lvlJc w:val="left"/>
      <w:pPr>
        <w:ind w:left="1075" w:hanging="122"/>
      </w:pPr>
      <w:rPr>
        <w:rFonts w:hint="default"/>
      </w:rPr>
    </w:lvl>
    <w:lvl w:ilvl="4">
      <w:start w:val="0"/>
      <w:numFmt w:val="bullet"/>
      <w:lvlText w:val="•"/>
      <w:lvlJc w:val="left"/>
      <w:pPr>
        <w:ind w:left="1427" w:hanging="122"/>
      </w:pPr>
      <w:rPr>
        <w:rFonts w:hint="default"/>
      </w:rPr>
    </w:lvl>
    <w:lvl w:ilvl="5">
      <w:start w:val="0"/>
      <w:numFmt w:val="bullet"/>
      <w:lvlText w:val="•"/>
      <w:lvlJc w:val="left"/>
      <w:pPr>
        <w:ind w:left="1779" w:hanging="122"/>
      </w:pPr>
      <w:rPr>
        <w:rFonts w:hint="default"/>
      </w:rPr>
    </w:lvl>
    <w:lvl w:ilvl="6">
      <w:start w:val="0"/>
      <w:numFmt w:val="bullet"/>
      <w:lvlText w:val="•"/>
      <w:lvlJc w:val="left"/>
      <w:pPr>
        <w:ind w:left="2130" w:hanging="122"/>
      </w:pPr>
      <w:rPr>
        <w:rFonts w:hint="default"/>
      </w:rPr>
    </w:lvl>
    <w:lvl w:ilvl="7">
      <w:start w:val="0"/>
      <w:numFmt w:val="bullet"/>
      <w:lvlText w:val="•"/>
      <w:lvlJc w:val="left"/>
      <w:pPr>
        <w:ind w:left="2482" w:hanging="122"/>
      </w:pPr>
      <w:rPr>
        <w:rFonts w:hint="default"/>
      </w:rPr>
    </w:lvl>
    <w:lvl w:ilvl="8">
      <w:start w:val="0"/>
      <w:numFmt w:val="bullet"/>
      <w:lvlText w:val="•"/>
      <w:lvlJc w:val="left"/>
      <w:pPr>
        <w:ind w:left="2834" w:hanging="122"/>
      </w:pPr>
      <w:rPr>
        <w:rFonts w:hint="default"/>
      </w:rPr>
    </w:lvl>
  </w:abstractNum>
  <w:abstractNum w:abstractNumId="92">
    <w:nsid w:val="733B6688"/>
    <w:multiLevelType w:val="hybridMultilevel"/>
    <w:tmpl w:val="8D44D7A2"/>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93">
    <w:nsid w:val="73AC4EB7"/>
    <w:multiLevelType w:val="hybridMultilevel"/>
    <w:tmpl w:val="289413DC"/>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65" w:hanging="122"/>
      </w:pPr>
      <w:rPr>
        <w:rFonts w:hint="default"/>
      </w:rPr>
    </w:lvl>
    <w:lvl w:ilvl="2">
      <w:start w:val="0"/>
      <w:numFmt w:val="bullet"/>
      <w:lvlText w:val="•"/>
      <w:lvlJc w:val="left"/>
      <w:pPr>
        <w:ind w:left="710" w:hanging="122"/>
      </w:pPr>
      <w:rPr>
        <w:rFonts w:hint="default"/>
      </w:rPr>
    </w:lvl>
    <w:lvl w:ilvl="3">
      <w:start w:val="0"/>
      <w:numFmt w:val="bullet"/>
      <w:lvlText w:val="•"/>
      <w:lvlJc w:val="left"/>
      <w:pPr>
        <w:ind w:left="1055" w:hanging="122"/>
      </w:pPr>
      <w:rPr>
        <w:rFonts w:hint="default"/>
      </w:rPr>
    </w:lvl>
    <w:lvl w:ilvl="4">
      <w:start w:val="0"/>
      <w:numFmt w:val="bullet"/>
      <w:lvlText w:val="•"/>
      <w:lvlJc w:val="left"/>
      <w:pPr>
        <w:ind w:left="1400" w:hanging="122"/>
      </w:pPr>
      <w:rPr>
        <w:rFonts w:hint="default"/>
      </w:rPr>
    </w:lvl>
    <w:lvl w:ilvl="5">
      <w:start w:val="0"/>
      <w:numFmt w:val="bullet"/>
      <w:lvlText w:val="•"/>
      <w:lvlJc w:val="left"/>
      <w:pPr>
        <w:ind w:left="1746" w:hanging="122"/>
      </w:pPr>
      <w:rPr>
        <w:rFonts w:hint="default"/>
      </w:rPr>
    </w:lvl>
    <w:lvl w:ilvl="6">
      <w:start w:val="0"/>
      <w:numFmt w:val="bullet"/>
      <w:lvlText w:val="•"/>
      <w:lvlJc w:val="left"/>
      <w:pPr>
        <w:ind w:left="2091" w:hanging="122"/>
      </w:pPr>
      <w:rPr>
        <w:rFonts w:hint="default"/>
      </w:rPr>
    </w:lvl>
    <w:lvl w:ilvl="7">
      <w:start w:val="0"/>
      <w:numFmt w:val="bullet"/>
      <w:lvlText w:val="•"/>
      <w:lvlJc w:val="left"/>
      <w:pPr>
        <w:ind w:left="2436" w:hanging="122"/>
      </w:pPr>
      <w:rPr>
        <w:rFonts w:hint="default"/>
      </w:rPr>
    </w:lvl>
    <w:lvl w:ilvl="8">
      <w:start w:val="0"/>
      <w:numFmt w:val="bullet"/>
      <w:lvlText w:val="•"/>
      <w:lvlJc w:val="left"/>
      <w:pPr>
        <w:ind w:left="2781" w:hanging="122"/>
      </w:pPr>
      <w:rPr>
        <w:rFonts w:hint="default"/>
      </w:rPr>
    </w:lvl>
  </w:abstractNum>
  <w:abstractNum w:abstractNumId="94">
    <w:nsid w:val="744F3E69"/>
    <w:multiLevelType w:val="hybridMultilevel"/>
    <w:tmpl w:val="069E559C"/>
    <w:lvl w:ilvl="0">
      <w:start w:val="1"/>
      <w:numFmt w:val="decimal"/>
      <w:lvlText w:val="%1."/>
      <w:lvlJc w:val="left"/>
      <w:pPr>
        <w:ind w:left="25" w:hanging="100"/>
      </w:pPr>
      <w:rPr>
        <w:rFonts w:ascii="Calibri" w:eastAsia="Calibri" w:hAnsi="Calibri" w:cs="Calibri" w:hint="default"/>
        <w:spacing w:val="1"/>
        <w:w w:val="100"/>
        <w:sz w:val="10"/>
        <w:szCs w:val="10"/>
      </w:rPr>
    </w:lvl>
    <w:lvl w:ilvl="1">
      <w:start w:val="0"/>
      <w:numFmt w:val="bullet"/>
      <w:lvlText w:val="•"/>
      <w:lvlJc w:val="left"/>
      <w:pPr>
        <w:ind w:left="371" w:hanging="100"/>
      </w:pPr>
      <w:rPr>
        <w:rFonts w:hint="default"/>
      </w:rPr>
    </w:lvl>
    <w:lvl w:ilvl="2">
      <w:start w:val="0"/>
      <w:numFmt w:val="bullet"/>
      <w:lvlText w:val="•"/>
      <w:lvlJc w:val="left"/>
      <w:pPr>
        <w:ind w:left="723" w:hanging="100"/>
      </w:pPr>
      <w:rPr>
        <w:rFonts w:hint="default"/>
      </w:rPr>
    </w:lvl>
    <w:lvl w:ilvl="3">
      <w:start w:val="0"/>
      <w:numFmt w:val="bullet"/>
      <w:lvlText w:val="•"/>
      <w:lvlJc w:val="left"/>
      <w:pPr>
        <w:ind w:left="1075" w:hanging="100"/>
      </w:pPr>
      <w:rPr>
        <w:rFonts w:hint="default"/>
      </w:rPr>
    </w:lvl>
    <w:lvl w:ilvl="4">
      <w:start w:val="0"/>
      <w:numFmt w:val="bullet"/>
      <w:lvlText w:val="•"/>
      <w:lvlJc w:val="left"/>
      <w:pPr>
        <w:ind w:left="1427" w:hanging="100"/>
      </w:pPr>
      <w:rPr>
        <w:rFonts w:hint="default"/>
      </w:rPr>
    </w:lvl>
    <w:lvl w:ilvl="5">
      <w:start w:val="0"/>
      <w:numFmt w:val="bullet"/>
      <w:lvlText w:val="•"/>
      <w:lvlJc w:val="left"/>
      <w:pPr>
        <w:ind w:left="1779" w:hanging="100"/>
      </w:pPr>
      <w:rPr>
        <w:rFonts w:hint="default"/>
      </w:rPr>
    </w:lvl>
    <w:lvl w:ilvl="6">
      <w:start w:val="0"/>
      <w:numFmt w:val="bullet"/>
      <w:lvlText w:val="•"/>
      <w:lvlJc w:val="left"/>
      <w:pPr>
        <w:ind w:left="2130" w:hanging="100"/>
      </w:pPr>
      <w:rPr>
        <w:rFonts w:hint="default"/>
      </w:rPr>
    </w:lvl>
    <w:lvl w:ilvl="7">
      <w:start w:val="0"/>
      <w:numFmt w:val="bullet"/>
      <w:lvlText w:val="•"/>
      <w:lvlJc w:val="left"/>
      <w:pPr>
        <w:ind w:left="2482" w:hanging="100"/>
      </w:pPr>
      <w:rPr>
        <w:rFonts w:hint="default"/>
      </w:rPr>
    </w:lvl>
    <w:lvl w:ilvl="8">
      <w:start w:val="0"/>
      <w:numFmt w:val="bullet"/>
      <w:lvlText w:val="•"/>
      <w:lvlJc w:val="left"/>
      <w:pPr>
        <w:ind w:left="2834" w:hanging="100"/>
      </w:pPr>
      <w:rPr>
        <w:rFonts w:hint="default"/>
      </w:rPr>
    </w:lvl>
  </w:abstractNum>
  <w:abstractNum w:abstractNumId="95">
    <w:nsid w:val="75F21273"/>
    <w:multiLevelType w:val="hybridMultilevel"/>
    <w:tmpl w:val="22EAF0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79904F28"/>
    <w:multiLevelType w:val="hybridMultilevel"/>
    <w:tmpl w:val="07188D88"/>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71" w:hanging="122"/>
      </w:pPr>
      <w:rPr>
        <w:rFonts w:hint="default"/>
      </w:rPr>
    </w:lvl>
    <w:lvl w:ilvl="2">
      <w:start w:val="0"/>
      <w:numFmt w:val="bullet"/>
      <w:lvlText w:val="•"/>
      <w:lvlJc w:val="left"/>
      <w:pPr>
        <w:ind w:left="723" w:hanging="122"/>
      </w:pPr>
      <w:rPr>
        <w:rFonts w:hint="default"/>
      </w:rPr>
    </w:lvl>
    <w:lvl w:ilvl="3">
      <w:start w:val="0"/>
      <w:numFmt w:val="bullet"/>
      <w:lvlText w:val="•"/>
      <w:lvlJc w:val="left"/>
      <w:pPr>
        <w:ind w:left="1075" w:hanging="122"/>
      </w:pPr>
      <w:rPr>
        <w:rFonts w:hint="default"/>
      </w:rPr>
    </w:lvl>
    <w:lvl w:ilvl="4">
      <w:start w:val="0"/>
      <w:numFmt w:val="bullet"/>
      <w:lvlText w:val="•"/>
      <w:lvlJc w:val="left"/>
      <w:pPr>
        <w:ind w:left="1427" w:hanging="122"/>
      </w:pPr>
      <w:rPr>
        <w:rFonts w:hint="default"/>
      </w:rPr>
    </w:lvl>
    <w:lvl w:ilvl="5">
      <w:start w:val="0"/>
      <w:numFmt w:val="bullet"/>
      <w:lvlText w:val="•"/>
      <w:lvlJc w:val="left"/>
      <w:pPr>
        <w:ind w:left="1779" w:hanging="122"/>
      </w:pPr>
      <w:rPr>
        <w:rFonts w:hint="default"/>
      </w:rPr>
    </w:lvl>
    <w:lvl w:ilvl="6">
      <w:start w:val="0"/>
      <w:numFmt w:val="bullet"/>
      <w:lvlText w:val="•"/>
      <w:lvlJc w:val="left"/>
      <w:pPr>
        <w:ind w:left="2130" w:hanging="122"/>
      </w:pPr>
      <w:rPr>
        <w:rFonts w:hint="default"/>
      </w:rPr>
    </w:lvl>
    <w:lvl w:ilvl="7">
      <w:start w:val="0"/>
      <w:numFmt w:val="bullet"/>
      <w:lvlText w:val="•"/>
      <w:lvlJc w:val="left"/>
      <w:pPr>
        <w:ind w:left="2482" w:hanging="122"/>
      </w:pPr>
      <w:rPr>
        <w:rFonts w:hint="default"/>
      </w:rPr>
    </w:lvl>
    <w:lvl w:ilvl="8">
      <w:start w:val="0"/>
      <w:numFmt w:val="bullet"/>
      <w:lvlText w:val="•"/>
      <w:lvlJc w:val="left"/>
      <w:pPr>
        <w:ind w:left="2834" w:hanging="122"/>
      </w:pPr>
      <w:rPr>
        <w:rFonts w:hint="default"/>
      </w:rPr>
    </w:lvl>
  </w:abstractNum>
  <w:abstractNum w:abstractNumId="97">
    <w:nsid w:val="79F86F28"/>
    <w:multiLevelType w:val="hybridMultilevel"/>
    <w:tmpl w:val="2CC03B06"/>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371" w:hanging="122"/>
      </w:pPr>
      <w:rPr>
        <w:rFonts w:hint="default"/>
      </w:rPr>
    </w:lvl>
    <w:lvl w:ilvl="2">
      <w:start w:val="0"/>
      <w:numFmt w:val="bullet"/>
      <w:lvlText w:val="•"/>
      <w:lvlJc w:val="left"/>
      <w:pPr>
        <w:ind w:left="723" w:hanging="122"/>
      </w:pPr>
      <w:rPr>
        <w:rFonts w:hint="default"/>
      </w:rPr>
    </w:lvl>
    <w:lvl w:ilvl="3">
      <w:start w:val="0"/>
      <w:numFmt w:val="bullet"/>
      <w:lvlText w:val="•"/>
      <w:lvlJc w:val="left"/>
      <w:pPr>
        <w:ind w:left="1075" w:hanging="122"/>
      </w:pPr>
      <w:rPr>
        <w:rFonts w:hint="default"/>
      </w:rPr>
    </w:lvl>
    <w:lvl w:ilvl="4">
      <w:start w:val="0"/>
      <w:numFmt w:val="bullet"/>
      <w:lvlText w:val="•"/>
      <w:lvlJc w:val="left"/>
      <w:pPr>
        <w:ind w:left="1427" w:hanging="122"/>
      </w:pPr>
      <w:rPr>
        <w:rFonts w:hint="default"/>
      </w:rPr>
    </w:lvl>
    <w:lvl w:ilvl="5">
      <w:start w:val="0"/>
      <w:numFmt w:val="bullet"/>
      <w:lvlText w:val="•"/>
      <w:lvlJc w:val="left"/>
      <w:pPr>
        <w:ind w:left="1779" w:hanging="122"/>
      </w:pPr>
      <w:rPr>
        <w:rFonts w:hint="default"/>
      </w:rPr>
    </w:lvl>
    <w:lvl w:ilvl="6">
      <w:start w:val="0"/>
      <w:numFmt w:val="bullet"/>
      <w:lvlText w:val="•"/>
      <w:lvlJc w:val="left"/>
      <w:pPr>
        <w:ind w:left="2130" w:hanging="122"/>
      </w:pPr>
      <w:rPr>
        <w:rFonts w:hint="default"/>
      </w:rPr>
    </w:lvl>
    <w:lvl w:ilvl="7">
      <w:start w:val="0"/>
      <w:numFmt w:val="bullet"/>
      <w:lvlText w:val="•"/>
      <w:lvlJc w:val="left"/>
      <w:pPr>
        <w:ind w:left="2482" w:hanging="122"/>
      </w:pPr>
      <w:rPr>
        <w:rFonts w:hint="default"/>
      </w:rPr>
    </w:lvl>
    <w:lvl w:ilvl="8">
      <w:start w:val="0"/>
      <w:numFmt w:val="bullet"/>
      <w:lvlText w:val="•"/>
      <w:lvlJc w:val="left"/>
      <w:pPr>
        <w:ind w:left="2834" w:hanging="122"/>
      </w:pPr>
      <w:rPr>
        <w:rFonts w:hint="default"/>
      </w:rPr>
    </w:lvl>
  </w:abstractNum>
  <w:abstractNum w:abstractNumId="98">
    <w:nsid w:val="7CDC658F"/>
    <w:multiLevelType w:val="hybridMultilevel"/>
    <w:tmpl w:val="CD443F44"/>
    <w:lvl w:ilvl="0">
      <w:start w:val="1"/>
      <w:numFmt w:val="decimal"/>
      <w:lvlText w:val="%1."/>
      <w:lvlJc w:val="left"/>
      <w:pPr>
        <w:ind w:left="25" w:hanging="122"/>
      </w:pPr>
      <w:rPr>
        <w:rFonts w:ascii="Calibri" w:eastAsia="Calibri" w:hAnsi="Calibri" w:cs="Calibri" w:hint="default"/>
        <w:spacing w:val="0"/>
        <w:w w:val="100"/>
        <w:sz w:val="12"/>
        <w:szCs w:val="12"/>
      </w:rPr>
    </w:lvl>
    <w:lvl w:ilvl="1">
      <w:start w:val="0"/>
      <w:numFmt w:val="bullet"/>
      <w:lvlText w:val="•"/>
      <w:lvlJc w:val="left"/>
      <w:pPr>
        <w:ind w:left="136" w:hanging="122"/>
      </w:pPr>
      <w:rPr>
        <w:rFonts w:hint="default"/>
      </w:rPr>
    </w:lvl>
    <w:lvl w:ilvl="2">
      <w:start w:val="0"/>
      <w:numFmt w:val="bullet"/>
      <w:lvlText w:val="•"/>
      <w:lvlJc w:val="left"/>
      <w:pPr>
        <w:ind w:left="252" w:hanging="122"/>
      </w:pPr>
      <w:rPr>
        <w:rFonts w:hint="default"/>
      </w:rPr>
    </w:lvl>
    <w:lvl w:ilvl="3">
      <w:start w:val="0"/>
      <w:numFmt w:val="bullet"/>
      <w:lvlText w:val="•"/>
      <w:lvlJc w:val="left"/>
      <w:pPr>
        <w:ind w:left="369" w:hanging="122"/>
      </w:pPr>
      <w:rPr>
        <w:rFonts w:hint="default"/>
      </w:rPr>
    </w:lvl>
    <w:lvl w:ilvl="4">
      <w:start w:val="0"/>
      <w:numFmt w:val="bullet"/>
      <w:lvlText w:val="•"/>
      <w:lvlJc w:val="left"/>
      <w:pPr>
        <w:ind w:left="485" w:hanging="122"/>
      </w:pPr>
      <w:rPr>
        <w:rFonts w:hint="default"/>
      </w:rPr>
    </w:lvl>
    <w:lvl w:ilvl="5">
      <w:start w:val="0"/>
      <w:numFmt w:val="bullet"/>
      <w:lvlText w:val="•"/>
      <w:lvlJc w:val="left"/>
      <w:pPr>
        <w:ind w:left="602" w:hanging="122"/>
      </w:pPr>
      <w:rPr>
        <w:rFonts w:hint="default"/>
      </w:rPr>
    </w:lvl>
    <w:lvl w:ilvl="6">
      <w:start w:val="0"/>
      <w:numFmt w:val="bullet"/>
      <w:lvlText w:val="•"/>
      <w:lvlJc w:val="left"/>
      <w:pPr>
        <w:ind w:left="718" w:hanging="122"/>
      </w:pPr>
      <w:rPr>
        <w:rFonts w:hint="default"/>
      </w:rPr>
    </w:lvl>
    <w:lvl w:ilvl="7">
      <w:start w:val="0"/>
      <w:numFmt w:val="bullet"/>
      <w:lvlText w:val="•"/>
      <w:lvlJc w:val="left"/>
      <w:pPr>
        <w:ind w:left="834" w:hanging="122"/>
      </w:pPr>
      <w:rPr>
        <w:rFonts w:hint="default"/>
      </w:rPr>
    </w:lvl>
    <w:lvl w:ilvl="8">
      <w:start w:val="0"/>
      <w:numFmt w:val="bullet"/>
      <w:lvlText w:val="•"/>
      <w:lvlJc w:val="left"/>
      <w:pPr>
        <w:ind w:left="951" w:hanging="122"/>
      </w:pPr>
      <w:rPr>
        <w:rFonts w:hint="default"/>
      </w:rPr>
    </w:lvl>
  </w:abstractNum>
  <w:num w:numId="1" w16cid:durableId="1360743934">
    <w:abstractNumId w:val="13"/>
  </w:num>
  <w:num w:numId="2" w16cid:durableId="946620662">
    <w:abstractNumId w:val="35"/>
  </w:num>
  <w:num w:numId="3" w16cid:durableId="1341129158">
    <w:abstractNumId w:val="56"/>
  </w:num>
  <w:num w:numId="4" w16cid:durableId="97222171">
    <w:abstractNumId w:val="37"/>
  </w:num>
  <w:num w:numId="5" w16cid:durableId="1763070321">
    <w:abstractNumId w:val="57"/>
  </w:num>
  <w:num w:numId="6" w16cid:durableId="1354266483">
    <w:abstractNumId w:val="95"/>
  </w:num>
  <w:num w:numId="7" w16cid:durableId="856232858">
    <w:abstractNumId w:val="4"/>
  </w:num>
  <w:num w:numId="8" w16cid:durableId="1243442829">
    <w:abstractNumId w:val="58"/>
  </w:num>
  <w:num w:numId="9" w16cid:durableId="1466854326">
    <w:abstractNumId w:val="84"/>
  </w:num>
  <w:num w:numId="10" w16cid:durableId="541866574">
    <w:abstractNumId w:val="96"/>
  </w:num>
  <w:num w:numId="11" w16cid:durableId="1687554843">
    <w:abstractNumId w:val="36"/>
  </w:num>
  <w:num w:numId="12" w16cid:durableId="570771043">
    <w:abstractNumId w:val="62"/>
  </w:num>
  <w:num w:numId="13" w16cid:durableId="536891319">
    <w:abstractNumId w:val="24"/>
  </w:num>
  <w:num w:numId="14" w16cid:durableId="1429692755">
    <w:abstractNumId w:val="59"/>
  </w:num>
  <w:num w:numId="15" w16cid:durableId="590161975">
    <w:abstractNumId w:val="8"/>
  </w:num>
  <w:num w:numId="16" w16cid:durableId="431053727">
    <w:abstractNumId w:val="12"/>
  </w:num>
  <w:num w:numId="17" w16cid:durableId="455805320">
    <w:abstractNumId w:val="65"/>
  </w:num>
  <w:num w:numId="18" w16cid:durableId="458114743">
    <w:abstractNumId w:val="31"/>
  </w:num>
  <w:num w:numId="19" w16cid:durableId="1340305737">
    <w:abstractNumId w:val="81"/>
  </w:num>
  <w:num w:numId="20" w16cid:durableId="1577399423">
    <w:abstractNumId w:val="82"/>
  </w:num>
  <w:num w:numId="21" w16cid:durableId="915819887">
    <w:abstractNumId w:val="17"/>
  </w:num>
  <w:num w:numId="22" w16cid:durableId="1530071926">
    <w:abstractNumId w:val="60"/>
  </w:num>
  <w:num w:numId="23" w16cid:durableId="1968776760">
    <w:abstractNumId w:val="75"/>
  </w:num>
  <w:num w:numId="24" w16cid:durableId="1169101486">
    <w:abstractNumId w:val="2"/>
  </w:num>
  <w:num w:numId="25" w16cid:durableId="535854368">
    <w:abstractNumId w:val="77"/>
  </w:num>
  <w:num w:numId="26" w16cid:durableId="1153716437">
    <w:abstractNumId w:val="87"/>
  </w:num>
  <w:num w:numId="27" w16cid:durableId="1814063371">
    <w:abstractNumId w:val="97"/>
  </w:num>
  <w:num w:numId="28" w16cid:durableId="1749884255">
    <w:abstractNumId w:val="88"/>
  </w:num>
  <w:num w:numId="29" w16cid:durableId="1161699203">
    <w:abstractNumId w:val="80"/>
  </w:num>
  <w:num w:numId="30" w16cid:durableId="912005892">
    <w:abstractNumId w:val="33"/>
  </w:num>
  <w:num w:numId="31" w16cid:durableId="412901558">
    <w:abstractNumId w:val="26"/>
  </w:num>
  <w:num w:numId="32" w16cid:durableId="1888711943">
    <w:abstractNumId w:val="10"/>
  </w:num>
  <w:num w:numId="33" w16cid:durableId="2082478601">
    <w:abstractNumId w:val="64"/>
  </w:num>
  <w:num w:numId="34" w16cid:durableId="2063016216">
    <w:abstractNumId w:val="43"/>
  </w:num>
  <w:num w:numId="35" w16cid:durableId="370887535">
    <w:abstractNumId w:val="40"/>
  </w:num>
  <w:num w:numId="36" w16cid:durableId="1170021386">
    <w:abstractNumId w:val="7"/>
  </w:num>
  <w:num w:numId="37" w16cid:durableId="2106729827">
    <w:abstractNumId w:val="61"/>
  </w:num>
  <w:num w:numId="38" w16cid:durableId="550000847">
    <w:abstractNumId w:val="41"/>
  </w:num>
  <w:num w:numId="39" w16cid:durableId="1132213903">
    <w:abstractNumId w:val="5"/>
  </w:num>
  <w:num w:numId="40" w16cid:durableId="922031212">
    <w:abstractNumId w:val="22"/>
  </w:num>
  <w:num w:numId="41" w16cid:durableId="67970962">
    <w:abstractNumId w:val="63"/>
  </w:num>
  <w:num w:numId="42" w16cid:durableId="148642610">
    <w:abstractNumId w:val="20"/>
  </w:num>
  <w:num w:numId="43" w16cid:durableId="1231187032">
    <w:abstractNumId w:val="27"/>
  </w:num>
  <w:num w:numId="44" w16cid:durableId="200868843">
    <w:abstractNumId w:val="9"/>
  </w:num>
  <w:num w:numId="45" w16cid:durableId="990251986">
    <w:abstractNumId w:val="0"/>
  </w:num>
  <w:num w:numId="46" w16cid:durableId="1764640630">
    <w:abstractNumId w:val="76"/>
  </w:num>
  <w:num w:numId="47" w16cid:durableId="1861696194">
    <w:abstractNumId w:val="54"/>
  </w:num>
  <w:num w:numId="48" w16cid:durableId="1910113433">
    <w:abstractNumId w:val="71"/>
  </w:num>
  <w:num w:numId="49" w16cid:durableId="1108546410">
    <w:abstractNumId w:val="83"/>
  </w:num>
  <w:num w:numId="50" w16cid:durableId="1884831094">
    <w:abstractNumId w:val="19"/>
  </w:num>
  <w:num w:numId="51" w16cid:durableId="703940885">
    <w:abstractNumId w:val="78"/>
  </w:num>
  <w:num w:numId="52" w16cid:durableId="1028945885">
    <w:abstractNumId w:val="91"/>
  </w:num>
  <w:num w:numId="53" w16cid:durableId="9376543">
    <w:abstractNumId w:val="47"/>
  </w:num>
  <w:num w:numId="54" w16cid:durableId="444422218">
    <w:abstractNumId w:val="55"/>
  </w:num>
  <w:num w:numId="55" w16cid:durableId="1899781660">
    <w:abstractNumId w:val="73"/>
  </w:num>
  <w:num w:numId="56" w16cid:durableId="805119590">
    <w:abstractNumId w:val="23"/>
  </w:num>
  <w:num w:numId="57" w16cid:durableId="911701826">
    <w:abstractNumId w:val="51"/>
  </w:num>
  <w:num w:numId="58" w16cid:durableId="532380876">
    <w:abstractNumId w:val="34"/>
  </w:num>
  <w:num w:numId="59" w16cid:durableId="2030988652">
    <w:abstractNumId w:val="48"/>
  </w:num>
  <w:num w:numId="60" w16cid:durableId="220289416">
    <w:abstractNumId w:val="94"/>
  </w:num>
  <w:num w:numId="61" w16cid:durableId="333729388">
    <w:abstractNumId w:val="79"/>
  </w:num>
  <w:num w:numId="62" w16cid:durableId="157771622">
    <w:abstractNumId w:val="86"/>
  </w:num>
  <w:num w:numId="63" w16cid:durableId="531307376">
    <w:abstractNumId w:val="93"/>
  </w:num>
  <w:num w:numId="64" w16cid:durableId="1854957692">
    <w:abstractNumId w:val="44"/>
  </w:num>
  <w:num w:numId="65" w16cid:durableId="291134952">
    <w:abstractNumId w:val="67"/>
  </w:num>
  <w:num w:numId="66" w16cid:durableId="1819107355">
    <w:abstractNumId w:val="72"/>
  </w:num>
  <w:num w:numId="67" w16cid:durableId="331446962">
    <w:abstractNumId w:val="74"/>
  </w:num>
  <w:num w:numId="68" w16cid:durableId="217783461">
    <w:abstractNumId w:val="92"/>
  </w:num>
  <w:num w:numId="69" w16cid:durableId="491681090">
    <w:abstractNumId w:val="38"/>
  </w:num>
  <w:num w:numId="70" w16cid:durableId="1593513974">
    <w:abstractNumId w:val="70"/>
  </w:num>
  <w:num w:numId="71" w16cid:durableId="1372925091">
    <w:abstractNumId w:val="98"/>
  </w:num>
  <w:num w:numId="72" w16cid:durableId="675308140">
    <w:abstractNumId w:val="3"/>
  </w:num>
  <w:num w:numId="73" w16cid:durableId="865099566">
    <w:abstractNumId w:val="28"/>
  </w:num>
  <w:num w:numId="74" w16cid:durableId="87165984">
    <w:abstractNumId w:val="68"/>
  </w:num>
  <w:num w:numId="75" w16cid:durableId="994724898">
    <w:abstractNumId w:val="46"/>
  </w:num>
  <w:num w:numId="76" w16cid:durableId="1406411668">
    <w:abstractNumId w:val="16"/>
  </w:num>
  <w:num w:numId="77" w16cid:durableId="984240626">
    <w:abstractNumId w:val="90"/>
  </w:num>
  <w:num w:numId="78" w16cid:durableId="517357511">
    <w:abstractNumId w:val="32"/>
  </w:num>
  <w:num w:numId="79" w16cid:durableId="711613630">
    <w:abstractNumId w:val="6"/>
  </w:num>
  <w:num w:numId="80" w16cid:durableId="1684045451">
    <w:abstractNumId w:val="49"/>
  </w:num>
  <w:num w:numId="81" w16cid:durableId="236327030">
    <w:abstractNumId w:val="69"/>
  </w:num>
  <w:num w:numId="82" w16cid:durableId="2029794705">
    <w:abstractNumId w:val="21"/>
  </w:num>
  <w:num w:numId="83" w16cid:durableId="1805467718">
    <w:abstractNumId w:val="1"/>
  </w:num>
  <w:num w:numId="84" w16cid:durableId="928735861">
    <w:abstractNumId w:val="15"/>
  </w:num>
  <w:num w:numId="85" w16cid:durableId="84420112">
    <w:abstractNumId w:val="30"/>
  </w:num>
  <w:num w:numId="86" w16cid:durableId="679429456">
    <w:abstractNumId w:val="11"/>
  </w:num>
  <w:num w:numId="87" w16cid:durableId="1530337324">
    <w:abstractNumId w:val="50"/>
  </w:num>
  <w:num w:numId="88" w16cid:durableId="646858248">
    <w:abstractNumId w:val="25"/>
  </w:num>
  <w:num w:numId="89" w16cid:durableId="276067739">
    <w:abstractNumId w:val="29"/>
  </w:num>
  <w:num w:numId="90" w16cid:durableId="804007214">
    <w:abstractNumId w:val="85"/>
  </w:num>
  <w:num w:numId="91" w16cid:durableId="1631856411">
    <w:abstractNumId w:val="53"/>
  </w:num>
  <w:num w:numId="92" w16cid:durableId="1395927147">
    <w:abstractNumId w:val="18"/>
  </w:num>
  <w:num w:numId="93" w16cid:durableId="362559962">
    <w:abstractNumId w:val="39"/>
  </w:num>
  <w:num w:numId="94" w16cid:durableId="1234586090">
    <w:abstractNumId w:val="66"/>
  </w:num>
  <w:num w:numId="95" w16cid:durableId="361713843">
    <w:abstractNumId w:val="42"/>
  </w:num>
  <w:num w:numId="96" w16cid:durableId="1929534702">
    <w:abstractNumId w:val="45"/>
  </w:num>
  <w:num w:numId="97" w16cid:durableId="677319075">
    <w:abstractNumId w:val="52"/>
  </w:num>
  <w:num w:numId="98" w16cid:durableId="757867765">
    <w:abstractNumId w:val="14"/>
  </w:num>
  <w:num w:numId="99" w16cid:durableId="256329290">
    <w:abstractNumId w:val="8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9B3"/>
    <w:rsid w:val="00000245"/>
    <w:rsid w:val="000028C0"/>
    <w:rsid w:val="00002C9F"/>
    <w:rsid w:val="00002E2E"/>
    <w:rsid w:val="000031FC"/>
    <w:rsid w:val="0000381D"/>
    <w:rsid w:val="000040C0"/>
    <w:rsid w:val="000042CB"/>
    <w:rsid w:val="000044AC"/>
    <w:rsid w:val="0000469C"/>
    <w:rsid w:val="0000533B"/>
    <w:rsid w:val="00005C63"/>
    <w:rsid w:val="000062D4"/>
    <w:rsid w:val="00007BD3"/>
    <w:rsid w:val="000104DC"/>
    <w:rsid w:val="00010652"/>
    <w:rsid w:val="000119B6"/>
    <w:rsid w:val="00011EEB"/>
    <w:rsid w:val="00012F5A"/>
    <w:rsid w:val="00013BB5"/>
    <w:rsid w:val="00013C54"/>
    <w:rsid w:val="000145D9"/>
    <w:rsid w:val="00014F27"/>
    <w:rsid w:val="00015052"/>
    <w:rsid w:val="00015111"/>
    <w:rsid w:val="00015E8B"/>
    <w:rsid w:val="000171D5"/>
    <w:rsid w:val="00017214"/>
    <w:rsid w:val="00017D22"/>
    <w:rsid w:val="0002232A"/>
    <w:rsid w:val="00023AE1"/>
    <w:rsid w:val="00024DA1"/>
    <w:rsid w:val="00025689"/>
    <w:rsid w:val="00025A14"/>
    <w:rsid w:val="00025B4A"/>
    <w:rsid w:val="000261F3"/>
    <w:rsid w:val="00026577"/>
    <w:rsid w:val="00027F31"/>
    <w:rsid w:val="0003049B"/>
    <w:rsid w:val="00030B3B"/>
    <w:rsid w:val="00031083"/>
    <w:rsid w:val="000310CF"/>
    <w:rsid w:val="00032547"/>
    <w:rsid w:val="000327B6"/>
    <w:rsid w:val="00033968"/>
    <w:rsid w:val="00035FA3"/>
    <w:rsid w:val="0003621F"/>
    <w:rsid w:val="0003655F"/>
    <w:rsid w:val="000377BB"/>
    <w:rsid w:val="0004087E"/>
    <w:rsid w:val="0004176B"/>
    <w:rsid w:val="00041A0D"/>
    <w:rsid w:val="0004275E"/>
    <w:rsid w:val="00043655"/>
    <w:rsid w:val="000439D0"/>
    <w:rsid w:val="00043A4B"/>
    <w:rsid w:val="00043D4C"/>
    <w:rsid w:val="000444F6"/>
    <w:rsid w:val="00044A59"/>
    <w:rsid w:val="00045A16"/>
    <w:rsid w:val="00047916"/>
    <w:rsid w:val="00047B01"/>
    <w:rsid w:val="00047C61"/>
    <w:rsid w:val="00050039"/>
    <w:rsid w:val="0005093D"/>
    <w:rsid w:val="00050B8D"/>
    <w:rsid w:val="00051251"/>
    <w:rsid w:val="00051326"/>
    <w:rsid w:val="000515AE"/>
    <w:rsid w:val="000516BB"/>
    <w:rsid w:val="000524F1"/>
    <w:rsid w:val="00052BF1"/>
    <w:rsid w:val="0005415F"/>
    <w:rsid w:val="00054C7C"/>
    <w:rsid w:val="00054E1F"/>
    <w:rsid w:val="0005585E"/>
    <w:rsid w:val="000558C3"/>
    <w:rsid w:val="00055B96"/>
    <w:rsid w:val="00055BEB"/>
    <w:rsid w:val="00056308"/>
    <w:rsid w:val="00056A97"/>
    <w:rsid w:val="000570B9"/>
    <w:rsid w:val="000577FE"/>
    <w:rsid w:val="0005789C"/>
    <w:rsid w:val="000579B3"/>
    <w:rsid w:val="00057BCF"/>
    <w:rsid w:val="00061570"/>
    <w:rsid w:val="00061A71"/>
    <w:rsid w:val="00062926"/>
    <w:rsid w:val="00063721"/>
    <w:rsid w:val="000654E9"/>
    <w:rsid w:val="00065552"/>
    <w:rsid w:val="000671B6"/>
    <w:rsid w:val="000671D9"/>
    <w:rsid w:val="00067B20"/>
    <w:rsid w:val="00067D1B"/>
    <w:rsid w:val="0007086E"/>
    <w:rsid w:val="00070DB5"/>
    <w:rsid w:val="00071931"/>
    <w:rsid w:val="00073B08"/>
    <w:rsid w:val="000746DA"/>
    <w:rsid w:val="00076234"/>
    <w:rsid w:val="00076430"/>
    <w:rsid w:val="00076DEC"/>
    <w:rsid w:val="000773D5"/>
    <w:rsid w:val="0008015B"/>
    <w:rsid w:val="0008015C"/>
    <w:rsid w:val="00080959"/>
    <w:rsid w:val="00081247"/>
    <w:rsid w:val="00082A22"/>
    <w:rsid w:val="00082B6F"/>
    <w:rsid w:val="00083A00"/>
    <w:rsid w:val="00090406"/>
    <w:rsid w:val="00090880"/>
    <w:rsid w:val="0009132F"/>
    <w:rsid w:val="00091FC6"/>
    <w:rsid w:val="0009227B"/>
    <w:rsid w:val="000922E8"/>
    <w:rsid w:val="0009321A"/>
    <w:rsid w:val="0009419C"/>
    <w:rsid w:val="00094270"/>
    <w:rsid w:val="00095731"/>
    <w:rsid w:val="0009602E"/>
    <w:rsid w:val="00096169"/>
    <w:rsid w:val="000970D0"/>
    <w:rsid w:val="000A0018"/>
    <w:rsid w:val="000A00F7"/>
    <w:rsid w:val="000A1D3C"/>
    <w:rsid w:val="000A275C"/>
    <w:rsid w:val="000A294C"/>
    <w:rsid w:val="000A3975"/>
    <w:rsid w:val="000A3AA9"/>
    <w:rsid w:val="000A519C"/>
    <w:rsid w:val="000A5BE3"/>
    <w:rsid w:val="000A6986"/>
    <w:rsid w:val="000B048F"/>
    <w:rsid w:val="000B08E7"/>
    <w:rsid w:val="000B0A27"/>
    <w:rsid w:val="000B0FC9"/>
    <w:rsid w:val="000B1161"/>
    <w:rsid w:val="000B11C5"/>
    <w:rsid w:val="000B1C56"/>
    <w:rsid w:val="000B206E"/>
    <w:rsid w:val="000B292A"/>
    <w:rsid w:val="000B3286"/>
    <w:rsid w:val="000B3C3E"/>
    <w:rsid w:val="000B460B"/>
    <w:rsid w:val="000B50C9"/>
    <w:rsid w:val="000B52D9"/>
    <w:rsid w:val="000B59DA"/>
    <w:rsid w:val="000B671D"/>
    <w:rsid w:val="000C083A"/>
    <w:rsid w:val="000C0E9A"/>
    <w:rsid w:val="000C1897"/>
    <w:rsid w:val="000C2108"/>
    <w:rsid w:val="000C3296"/>
    <w:rsid w:val="000C6300"/>
    <w:rsid w:val="000C6A8D"/>
    <w:rsid w:val="000C74A4"/>
    <w:rsid w:val="000C789D"/>
    <w:rsid w:val="000C793C"/>
    <w:rsid w:val="000D05BC"/>
    <w:rsid w:val="000D08A5"/>
    <w:rsid w:val="000D112D"/>
    <w:rsid w:val="000D142E"/>
    <w:rsid w:val="000D170F"/>
    <w:rsid w:val="000D1B6F"/>
    <w:rsid w:val="000D3AEA"/>
    <w:rsid w:val="000D5A7E"/>
    <w:rsid w:val="000D5EE8"/>
    <w:rsid w:val="000D5F15"/>
    <w:rsid w:val="000D6E85"/>
    <w:rsid w:val="000D740B"/>
    <w:rsid w:val="000E05B8"/>
    <w:rsid w:val="000E1B26"/>
    <w:rsid w:val="000E1C27"/>
    <w:rsid w:val="000E35A2"/>
    <w:rsid w:val="000E5190"/>
    <w:rsid w:val="000E5C61"/>
    <w:rsid w:val="000E758E"/>
    <w:rsid w:val="000E79E6"/>
    <w:rsid w:val="000F2954"/>
    <w:rsid w:val="000F2E5E"/>
    <w:rsid w:val="000F350B"/>
    <w:rsid w:val="000F3687"/>
    <w:rsid w:val="000F38F2"/>
    <w:rsid w:val="000F3D3A"/>
    <w:rsid w:val="000F4050"/>
    <w:rsid w:val="000F450D"/>
    <w:rsid w:val="000F48E2"/>
    <w:rsid w:val="000F4926"/>
    <w:rsid w:val="000F5DB0"/>
    <w:rsid w:val="000F5DCF"/>
    <w:rsid w:val="000F5DF8"/>
    <w:rsid w:val="000F610F"/>
    <w:rsid w:val="00100DB2"/>
    <w:rsid w:val="001013F7"/>
    <w:rsid w:val="001018CA"/>
    <w:rsid w:val="00101973"/>
    <w:rsid w:val="00102068"/>
    <w:rsid w:val="00102AAA"/>
    <w:rsid w:val="001033F4"/>
    <w:rsid w:val="00104078"/>
    <w:rsid w:val="00104819"/>
    <w:rsid w:val="00104CBE"/>
    <w:rsid w:val="00105641"/>
    <w:rsid w:val="001058A0"/>
    <w:rsid w:val="0010727E"/>
    <w:rsid w:val="001076A1"/>
    <w:rsid w:val="00107808"/>
    <w:rsid w:val="00107BF0"/>
    <w:rsid w:val="00107F02"/>
    <w:rsid w:val="00107F4D"/>
    <w:rsid w:val="0011027E"/>
    <w:rsid w:val="001103E2"/>
    <w:rsid w:val="00111638"/>
    <w:rsid w:val="00111AC5"/>
    <w:rsid w:val="001123B3"/>
    <w:rsid w:val="001125A6"/>
    <w:rsid w:val="0011266D"/>
    <w:rsid w:val="00112694"/>
    <w:rsid w:val="001128BD"/>
    <w:rsid w:val="00112912"/>
    <w:rsid w:val="00113C12"/>
    <w:rsid w:val="00114D95"/>
    <w:rsid w:val="001157F0"/>
    <w:rsid w:val="00115FA5"/>
    <w:rsid w:val="00117F2D"/>
    <w:rsid w:val="0012004E"/>
    <w:rsid w:val="00120D31"/>
    <w:rsid w:val="00121837"/>
    <w:rsid w:val="00121B13"/>
    <w:rsid w:val="00121E03"/>
    <w:rsid w:val="0012263E"/>
    <w:rsid w:val="0012278F"/>
    <w:rsid w:val="00122AD7"/>
    <w:rsid w:val="00123901"/>
    <w:rsid w:val="00123A35"/>
    <w:rsid w:val="0012603D"/>
    <w:rsid w:val="001269A0"/>
    <w:rsid w:val="00126DEE"/>
    <w:rsid w:val="001273F9"/>
    <w:rsid w:val="00130D11"/>
    <w:rsid w:val="0013129F"/>
    <w:rsid w:val="0013142F"/>
    <w:rsid w:val="00132528"/>
    <w:rsid w:val="0013270C"/>
    <w:rsid w:val="00132D00"/>
    <w:rsid w:val="00133E82"/>
    <w:rsid w:val="001341D4"/>
    <w:rsid w:val="0013439B"/>
    <w:rsid w:val="00134F4B"/>
    <w:rsid w:val="00135714"/>
    <w:rsid w:val="00136418"/>
    <w:rsid w:val="00136D3E"/>
    <w:rsid w:val="00137552"/>
    <w:rsid w:val="00137D61"/>
    <w:rsid w:val="00137EE7"/>
    <w:rsid w:val="00140958"/>
    <w:rsid w:val="00140D8E"/>
    <w:rsid w:val="00140E5B"/>
    <w:rsid w:val="001410C4"/>
    <w:rsid w:val="00142626"/>
    <w:rsid w:val="00142813"/>
    <w:rsid w:val="00142845"/>
    <w:rsid w:val="00143DBE"/>
    <w:rsid w:val="001441E5"/>
    <w:rsid w:val="00144577"/>
    <w:rsid w:val="00144779"/>
    <w:rsid w:val="00145AAC"/>
    <w:rsid w:val="00145E0B"/>
    <w:rsid w:val="00146FE8"/>
    <w:rsid w:val="00147136"/>
    <w:rsid w:val="001471B9"/>
    <w:rsid w:val="0014720E"/>
    <w:rsid w:val="00147AAC"/>
    <w:rsid w:val="00150044"/>
    <w:rsid w:val="00150D03"/>
    <w:rsid w:val="00151123"/>
    <w:rsid w:val="00151834"/>
    <w:rsid w:val="00152F96"/>
    <w:rsid w:val="00154AFD"/>
    <w:rsid w:val="00154F6B"/>
    <w:rsid w:val="001550CB"/>
    <w:rsid w:val="0015605C"/>
    <w:rsid w:val="001570D2"/>
    <w:rsid w:val="0015724A"/>
    <w:rsid w:val="00160388"/>
    <w:rsid w:val="00161241"/>
    <w:rsid w:val="001619CC"/>
    <w:rsid w:val="00162D1F"/>
    <w:rsid w:val="001632C9"/>
    <w:rsid w:val="00165F85"/>
    <w:rsid w:val="00170055"/>
    <w:rsid w:val="001721E8"/>
    <w:rsid w:val="00172960"/>
    <w:rsid w:val="00172EE1"/>
    <w:rsid w:val="00172FD7"/>
    <w:rsid w:val="00173663"/>
    <w:rsid w:val="0017422C"/>
    <w:rsid w:val="00174D66"/>
    <w:rsid w:val="00175898"/>
    <w:rsid w:val="00175C0D"/>
    <w:rsid w:val="00175E4A"/>
    <w:rsid w:val="001764C0"/>
    <w:rsid w:val="0017701E"/>
    <w:rsid w:val="001777B8"/>
    <w:rsid w:val="001802CA"/>
    <w:rsid w:val="00180BBB"/>
    <w:rsid w:val="00181043"/>
    <w:rsid w:val="00181357"/>
    <w:rsid w:val="001830A0"/>
    <w:rsid w:val="001832BF"/>
    <w:rsid w:val="00183CE5"/>
    <w:rsid w:val="001855A4"/>
    <w:rsid w:val="001859C7"/>
    <w:rsid w:val="00186AF0"/>
    <w:rsid w:val="00187696"/>
    <w:rsid w:val="00187CE3"/>
    <w:rsid w:val="00187F83"/>
    <w:rsid w:val="00190091"/>
    <w:rsid w:val="00190607"/>
    <w:rsid w:val="00190FD4"/>
    <w:rsid w:val="00191834"/>
    <w:rsid w:val="00192DA3"/>
    <w:rsid w:val="001939BB"/>
    <w:rsid w:val="00194174"/>
    <w:rsid w:val="001945CE"/>
    <w:rsid w:val="00194846"/>
    <w:rsid w:val="00196C39"/>
    <w:rsid w:val="00197C26"/>
    <w:rsid w:val="001A0160"/>
    <w:rsid w:val="001A0DAC"/>
    <w:rsid w:val="001A324F"/>
    <w:rsid w:val="001A3823"/>
    <w:rsid w:val="001A3AF1"/>
    <w:rsid w:val="001A447C"/>
    <w:rsid w:val="001A44D1"/>
    <w:rsid w:val="001A4EDF"/>
    <w:rsid w:val="001A50AB"/>
    <w:rsid w:val="001A59FF"/>
    <w:rsid w:val="001A6B63"/>
    <w:rsid w:val="001A6CC9"/>
    <w:rsid w:val="001B0879"/>
    <w:rsid w:val="001B17E9"/>
    <w:rsid w:val="001B1E19"/>
    <w:rsid w:val="001B2440"/>
    <w:rsid w:val="001B2AC4"/>
    <w:rsid w:val="001B2D48"/>
    <w:rsid w:val="001B3925"/>
    <w:rsid w:val="001B3A91"/>
    <w:rsid w:val="001B3AFB"/>
    <w:rsid w:val="001B57BA"/>
    <w:rsid w:val="001B6146"/>
    <w:rsid w:val="001B64FF"/>
    <w:rsid w:val="001B697D"/>
    <w:rsid w:val="001B6E91"/>
    <w:rsid w:val="001B7461"/>
    <w:rsid w:val="001C0C66"/>
    <w:rsid w:val="001C1AB8"/>
    <w:rsid w:val="001C2447"/>
    <w:rsid w:val="001C25AC"/>
    <w:rsid w:val="001C3AC3"/>
    <w:rsid w:val="001C3F64"/>
    <w:rsid w:val="001C47E6"/>
    <w:rsid w:val="001C63AD"/>
    <w:rsid w:val="001C672F"/>
    <w:rsid w:val="001C693A"/>
    <w:rsid w:val="001C6E29"/>
    <w:rsid w:val="001C7379"/>
    <w:rsid w:val="001C7822"/>
    <w:rsid w:val="001C7FC3"/>
    <w:rsid w:val="001D018F"/>
    <w:rsid w:val="001D09A1"/>
    <w:rsid w:val="001D1126"/>
    <w:rsid w:val="001D1C40"/>
    <w:rsid w:val="001D22BD"/>
    <w:rsid w:val="001D2542"/>
    <w:rsid w:val="001D3E23"/>
    <w:rsid w:val="001D426D"/>
    <w:rsid w:val="001D5F65"/>
    <w:rsid w:val="001D6DC2"/>
    <w:rsid w:val="001E01CB"/>
    <w:rsid w:val="001E05E4"/>
    <w:rsid w:val="001E0DD7"/>
    <w:rsid w:val="001E12BB"/>
    <w:rsid w:val="001E1510"/>
    <w:rsid w:val="001E1809"/>
    <w:rsid w:val="001E19B0"/>
    <w:rsid w:val="001E21DF"/>
    <w:rsid w:val="001E231E"/>
    <w:rsid w:val="001E349B"/>
    <w:rsid w:val="001E36FD"/>
    <w:rsid w:val="001E3782"/>
    <w:rsid w:val="001E39A0"/>
    <w:rsid w:val="001E3D29"/>
    <w:rsid w:val="001E479D"/>
    <w:rsid w:val="001E5BF3"/>
    <w:rsid w:val="001E6BD3"/>
    <w:rsid w:val="001F0316"/>
    <w:rsid w:val="001F06BC"/>
    <w:rsid w:val="001F16BD"/>
    <w:rsid w:val="001F3F28"/>
    <w:rsid w:val="001F413C"/>
    <w:rsid w:val="001F4815"/>
    <w:rsid w:val="001F5152"/>
    <w:rsid w:val="001F6670"/>
    <w:rsid w:val="001F6AA2"/>
    <w:rsid w:val="001F6E34"/>
    <w:rsid w:val="001F7B01"/>
    <w:rsid w:val="001F7D55"/>
    <w:rsid w:val="0020000D"/>
    <w:rsid w:val="00201AD2"/>
    <w:rsid w:val="00202270"/>
    <w:rsid w:val="002026C3"/>
    <w:rsid w:val="002028C5"/>
    <w:rsid w:val="00203978"/>
    <w:rsid w:val="00203BA3"/>
    <w:rsid w:val="00203EF8"/>
    <w:rsid w:val="00204131"/>
    <w:rsid w:val="00207D30"/>
    <w:rsid w:val="002102CE"/>
    <w:rsid w:val="002111D4"/>
    <w:rsid w:val="00211B83"/>
    <w:rsid w:val="00212852"/>
    <w:rsid w:val="00212961"/>
    <w:rsid w:val="00212B0C"/>
    <w:rsid w:val="002133CC"/>
    <w:rsid w:val="00213BF7"/>
    <w:rsid w:val="002158B2"/>
    <w:rsid w:val="00215CE1"/>
    <w:rsid w:val="0021629C"/>
    <w:rsid w:val="00216344"/>
    <w:rsid w:val="00216E95"/>
    <w:rsid w:val="00217025"/>
    <w:rsid w:val="00217160"/>
    <w:rsid w:val="0021755F"/>
    <w:rsid w:val="00217896"/>
    <w:rsid w:val="0022090F"/>
    <w:rsid w:val="0022128C"/>
    <w:rsid w:val="00221724"/>
    <w:rsid w:val="002219C2"/>
    <w:rsid w:val="00222279"/>
    <w:rsid w:val="0022287A"/>
    <w:rsid w:val="002229A7"/>
    <w:rsid w:val="00222A53"/>
    <w:rsid w:val="00222B36"/>
    <w:rsid w:val="00222D33"/>
    <w:rsid w:val="002231FF"/>
    <w:rsid w:val="00223274"/>
    <w:rsid w:val="0022582E"/>
    <w:rsid w:val="00225C3C"/>
    <w:rsid w:val="00225DEB"/>
    <w:rsid w:val="002271FB"/>
    <w:rsid w:val="0022796E"/>
    <w:rsid w:val="00227C5D"/>
    <w:rsid w:val="00230813"/>
    <w:rsid w:val="00230A38"/>
    <w:rsid w:val="00230C3E"/>
    <w:rsid w:val="00230F27"/>
    <w:rsid w:val="0023120F"/>
    <w:rsid w:val="00232134"/>
    <w:rsid w:val="00234224"/>
    <w:rsid w:val="00234587"/>
    <w:rsid w:val="00234B6A"/>
    <w:rsid w:val="00234CE5"/>
    <w:rsid w:val="00236D46"/>
    <w:rsid w:val="00236E8A"/>
    <w:rsid w:val="00236EC5"/>
    <w:rsid w:val="00240BFE"/>
    <w:rsid w:val="002412A5"/>
    <w:rsid w:val="002417C8"/>
    <w:rsid w:val="00241F0C"/>
    <w:rsid w:val="002421DB"/>
    <w:rsid w:val="002425DF"/>
    <w:rsid w:val="00242C03"/>
    <w:rsid w:val="00243B35"/>
    <w:rsid w:val="00244484"/>
    <w:rsid w:val="00244C72"/>
    <w:rsid w:val="00245020"/>
    <w:rsid w:val="0024507E"/>
    <w:rsid w:val="00246466"/>
    <w:rsid w:val="00246E89"/>
    <w:rsid w:val="0024A216"/>
    <w:rsid w:val="002501C1"/>
    <w:rsid w:val="00251DCF"/>
    <w:rsid w:val="0025220A"/>
    <w:rsid w:val="002527AE"/>
    <w:rsid w:val="00252838"/>
    <w:rsid w:val="00252D77"/>
    <w:rsid w:val="002536C2"/>
    <w:rsid w:val="00254A3A"/>
    <w:rsid w:val="002553A8"/>
    <w:rsid w:val="00255ADE"/>
    <w:rsid w:val="00255E81"/>
    <w:rsid w:val="00256A63"/>
    <w:rsid w:val="00256C05"/>
    <w:rsid w:val="0025768C"/>
    <w:rsid w:val="002601C6"/>
    <w:rsid w:val="00260346"/>
    <w:rsid w:val="002612CE"/>
    <w:rsid w:val="00261C41"/>
    <w:rsid w:val="002642CE"/>
    <w:rsid w:val="002645D1"/>
    <w:rsid w:val="002651A9"/>
    <w:rsid w:val="00265570"/>
    <w:rsid w:val="00265E68"/>
    <w:rsid w:val="00266367"/>
    <w:rsid w:val="00266D3B"/>
    <w:rsid w:val="002672A6"/>
    <w:rsid w:val="002679B7"/>
    <w:rsid w:val="0026FE76"/>
    <w:rsid w:val="00270587"/>
    <w:rsid w:val="0027271F"/>
    <w:rsid w:val="00272C9A"/>
    <w:rsid w:val="002731BF"/>
    <w:rsid w:val="0027325C"/>
    <w:rsid w:val="00273B25"/>
    <w:rsid w:val="0027458A"/>
    <w:rsid w:val="00274AA7"/>
    <w:rsid w:val="00274EAB"/>
    <w:rsid w:val="00276097"/>
    <w:rsid w:val="00276E8F"/>
    <w:rsid w:val="00277E26"/>
    <w:rsid w:val="00280DF2"/>
    <w:rsid w:val="0028275A"/>
    <w:rsid w:val="00283527"/>
    <w:rsid w:val="00283A50"/>
    <w:rsid w:val="002841F9"/>
    <w:rsid w:val="00284534"/>
    <w:rsid w:val="00284B69"/>
    <w:rsid w:val="00284DDA"/>
    <w:rsid w:val="00285372"/>
    <w:rsid w:val="00285676"/>
    <w:rsid w:val="00286E5A"/>
    <w:rsid w:val="00291FBA"/>
    <w:rsid w:val="0029201D"/>
    <w:rsid w:val="002925B3"/>
    <w:rsid w:val="00292D6C"/>
    <w:rsid w:val="00293007"/>
    <w:rsid w:val="00295644"/>
    <w:rsid w:val="00295680"/>
    <w:rsid w:val="002957DF"/>
    <w:rsid w:val="002960FD"/>
    <w:rsid w:val="002961C7"/>
    <w:rsid w:val="002965D2"/>
    <w:rsid w:val="00296CDB"/>
    <w:rsid w:val="00297812"/>
    <w:rsid w:val="00297D17"/>
    <w:rsid w:val="002A0121"/>
    <w:rsid w:val="002A0B7A"/>
    <w:rsid w:val="002A25C0"/>
    <w:rsid w:val="002A318A"/>
    <w:rsid w:val="002A7AFE"/>
    <w:rsid w:val="002B0284"/>
    <w:rsid w:val="002B1028"/>
    <w:rsid w:val="002B1AA4"/>
    <w:rsid w:val="002B2E25"/>
    <w:rsid w:val="002B4841"/>
    <w:rsid w:val="002B5FD3"/>
    <w:rsid w:val="002B7011"/>
    <w:rsid w:val="002B7C6B"/>
    <w:rsid w:val="002C021C"/>
    <w:rsid w:val="002C0F68"/>
    <w:rsid w:val="002C1D51"/>
    <w:rsid w:val="002C1ECB"/>
    <w:rsid w:val="002C39C1"/>
    <w:rsid w:val="002C3BE6"/>
    <w:rsid w:val="002C4B27"/>
    <w:rsid w:val="002C5B73"/>
    <w:rsid w:val="002C5B9B"/>
    <w:rsid w:val="002C6968"/>
    <w:rsid w:val="002C70BB"/>
    <w:rsid w:val="002C73E4"/>
    <w:rsid w:val="002C74BF"/>
    <w:rsid w:val="002C75DC"/>
    <w:rsid w:val="002D0E93"/>
    <w:rsid w:val="002D0FB1"/>
    <w:rsid w:val="002D1FCE"/>
    <w:rsid w:val="002D4DAC"/>
    <w:rsid w:val="002D5A73"/>
    <w:rsid w:val="002D5FFF"/>
    <w:rsid w:val="002D7E3B"/>
    <w:rsid w:val="002E12CD"/>
    <w:rsid w:val="002E263A"/>
    <w:rsid w:val="002E2ADE"/>
    <w:rsid w:val="002E5079"/>
    <w:rsid w:val="002E5CDA"/>
    <w:rsid w:val="002E6813"/>
    <w:rsid w:val="002E7BC5"/>
    <w:rsid w:val="002E7E93"/>
    <w:rsid w:val="002F092A"/>
    <w:rsid w:val="002F1971"/>
    <w:rsid w:val="002F273C"/>
    <w:rsid w:val="002F2BA8"/>
    <w:rsid w:val="002F2F82"/>
    <w:rsid w:val="002F50EA"/>
    <w:rsid w:val="002F590C"/>
    <w:rsid w:val="002F649A"/>
    <w:rsid w:val="002F74F5"/>
    <w:rsid w:val="002F7C5F"/>
    <w:rsid w:val="003000D0"/>
    <w:rsid w:val="0030046C"/>
    <w:rsid w:val="003007BE"/>
    <w:rsid w:val="00300A71"/>
    <w:rsid w:val="00301280"/>
    <w:rsid w:val="003022CD"/>
    <w:rsid w:val="00303073"/>
    <w:rsid w:val="003030F6"/>
    <w:rsid w:val="003034E1"/>
    <w:rsid w:val="003034FF"/>
    <w:rsid w:val="00304278"/>
    <w:rsid w:val="00304CBD"/>
    <w:rsid w:val="003058AE"/>
    <w:rsid w:val="00305D3C"/>
    <w:rsid w:val="00306669"/>
    <w:rsid w:val="00306AC0"/>
    <w:rsid w:val="00307B19"/>
    <w:rsid w:val="00307B93"/>
    <w:rsid w:val="003117B4"/>
    <w:rsid w:val="0031316C"/>
    <w:rsid w:val="00313462"/>
    <w:rsid w:val="003135CB"/>
    <w:rsid w:val="0031376F"/>
    <w:rsid w:val="0031494D"/>
    <w:rsid w:val="00314A53"/>
    <w:rsid w:val="0031515E"/>
    <w:rsid w:val="00316CB3"/>
    <w:rsid w:val="0031711D"/>
    <w:rsid w:val="0032027C"/>
    <w:rsid w:val="003215C1"/>
    <w:rsid w:val="00321FAC"/>
    <w:rsid w:val="003220A4"/>
    <w:rsid w:val="0032254F"/>
    <w:rsid w:val="00323018"/>
    <w:rsid w:val="00323475"/>
    <w:rsid w:val="00323F74"/>
    <w:rsid w:val="003253B4"/>
    <w:rsid w:val="0032541E"/>
    <w:rsid w:val="00325B59"/>
    <w:rsid w:val="00326AF8"/>
    <w:rsid w:val="00326D05"/>
    <w:rsid w:val="00326E3D"/>
    <w:rsid w:val="0032712E"/>
    <w:rsid w:val="0033153E"/>
    <w:rsid w:val="00332DBA"/>
    <w:rsid w:val="003333EC"/>
    <w:rsid w:val="00333DA1"/>
    <w:rsid w:val="00335865"/>
    <w:rsid w:val="00335C3C"/>
    <w:rsid w:val="003370EF"/>
    <w:rsid w:val="003373EC"/>
    <w:rsid w:val="00337A29"/>
    <w:rsid w:val="00337CF2"/>
    <w:rsid w:val="0034093E"/>
    <w:rsid w:val="00341FC3"/>
    <w:rsid w:val="003428EF"/>
    <w:rsid w:val="00342C1A"/>
    <w:rsid w:val="00343117"/>
    <w:rsid w:val="003434EC"/>
    <w:rsid w:val="00343FAB"/>
    <w:rsid w:val="003440BD"/>
    <w:rsid w:val="003450CB"/>
    <w:rsid w:val="00345169"/>
    <w:rsid w:val="00346283"/>
    <w:rsid w:val="00346524"/>
    <w:rsid w:val="00347632"/>
    <w:rsid w:val="00350BC7"/>
    <w:rsid w:val="00350E2E"/>
    <w:rsid w:val="00351036"/>
    <w:rsid w:val="00352262"/>
    <w:rsid w:val="003527C0"/>
    <w:rsid w:val="00352F01"/>
    <w:rsid w:val="0035370D"/>
    <w:rsid w:val="00353B35"/>
    <w:rsid w:val="0035418E"/>
    <w:rsid w:val="00354656"/>
    <w:rsid w:val="003551B3"/>
    <w:rsid w:val="00357602"/>
    <w:rsid w:val="00357BA8"/>
    <w:rsid w:val="00360251"/>
    <w:rsid w:val="003608AD"/>
    <w:rsid w:val="00361A99"/>
    <w:rsid w:val="00361C27"/>
    <w:rsid w:val="003630F8"/>
    <w:rsid w:val="003635A4"/>
    <w:rsid w:val="00364167"/>
    <w:rsid w:val="003641C8"/>
    <w:rsid w:val="00364962"/>
    <w:rsid w:val="003658DF"/>
    <w:rsid w:val="0036768A"/>
    <w:rsid w:val="003713E5"/>
    <w:rsid w:val="00371424"/>
    <w:rsid w:val="003725B9"/>
    <w:rsid w:val="00372FE9"/>
    <w:rsid w:val="003733D4"/>
    <w:rsid w:val="00375244"/>
    <w:rsid w:val="0037580D"/>
    <w:rsid w:val="0037591E"/>
    <w:rsid w:val="00375B73"/>
    <w:rsid w:val="003765BD"/>
    <w:rsid w:val="00376F79"/>
    <w:rsid w:val="0037703E"/>
    <w:rsid w:val="00377937"/>
    <w:rsid w:val="0037794D"/>
    <w:rsid w:val="00377FFE"/>
    <w:rsid w:val="0038034C"/>
    <w:rsid w:val="0038089C"/>
    <w:rsid w:val="00380C44"/>
    <w:rsid w:val="00381C46"/>
    <w:rsid w:val="00382CE6"/>
    <w:rsid w:val="00382FA9"/>
    <w:rsid w:val="00383020"/>
    <w:rsid w:val="003837D5"/>
    <w:rsid w:val="003841B2"/>
    <w:rsid w:val="00384C43"/>
    <w:rsid w:val="00386A77"/>
    <w:rsid w:val="00386FEB"/>
    <w:rsid w:val="00387CBD"/>
    <w:rsid w:val="00390814"/>
    <w:rsid w:val="00391282"/>
    <w:rsid w:val="00391A2E"/>
    <w:rsid w:val="00391F6A"/>
    <w:rsid w:val="00392A95"/>
    <w:rsid w:val="00392EE7"/>
    <w:rsid w:val="00393473"/>
    <w:rsid w:val="00393BA4"/>
    <w:rsid w:val="00393DB7"/>
    <w:rsid w:val="003943D0"/>
    <w:rsid w:val="0039512F"/>
    <w:rsid w:val="0039600F"/>
    <w:rsid w:val="00396563"/>
    <w:rsid w:val="00396A42"/>
    <w:rsid w:val="003A0EE2"/>
    <w:rsid w:val="003A0FD8"/>
    <w:rsid w:val="003A121B"/>
    <w:rsid w:val="003A148D"/>
    <w:rsid w:val="003A15DA"/>
    <w:rsid w:val="003A3070"/>
    <w:rsid w:val="003A56BD"/>
    <w:rsid w:val="003A5BE2"/>
    <w:rsid w:val="003A6F5F"/>
    <w:rsid w:val="003A7A5B"/>
    <w:rsid w:val="003B00B1"/>
    <w:rsid w:val="003B06D4"/>
    <w:rsid w:val="003B1476"/>
    <w:rsid w:val="003B2B73"/>
    <w:rsid w:val="003B2BAE"/>
    <w:rsid w:val="003B3071"/>
    <w:rsid w:val="003B4C4B"/>
    <w:rsid w:val="003B548B"/>
    <w:rsid w:val="003B66A5"/>
    <w:rsid w:val="003B6821"/>
    <w:rsid w:val="003B6DB0"/>
    <w:rsid w:val="003B749E"/>
    <w:rsid w:val="003C2405"/>
    <w:rsid w:val="003C2606"/>
    <w:rsid w:val="003C3EA9"/>
    <w:rsid w:val="003C3EE1"/>
    <w:rsid w:val="003C5C9C"/>
    <w:rsid w:val="003C644A"/>
    <w:rsid w:val="003C6B2B"/>
    <w:rsid w:val="003C6F66"/>
    <w:rsid w:val="003C7214"/>
    <w:rsid w:val="003C793A"/>
    <w:rsid w:val="003C7D2D"/>
    <w:rsid w:val="003D036E"/>
    <w:rsid w:val="003D071A"/>
    <w:rsid w:val="003D0897"/>
    <w:rsid w:val="003D0DF5"/>
    <w:rsid w:val="003D140E"/>
    <w:rsid w:val="003D1CF2"/>
    <w:rsid w:val="003D28FE"/>
    <w:rsid w:val="003D352B"/>
    <w:rsid w:val="003D36A4"/>
    <w:rsid w:val="003D3EBF"/>
    <w:rsid w:val="003D4733"/>
    <w:rsid w:val="003D4B29"/>
    <w:rsid w:val="003D4C0B"/>
    <w:rsid w:val="003D5868"/>
    <w:rsid w:val="003D76F7"/>
    <w:rsid w:val="003D774D"/>
    <w:rsid w:val="003E1A49"/>
    <w:rsid w:val="003E312B"/>
    <w:rsid w:val="003E3882"/>
    <w:rsid w:val="003E3B5A"/>
    <w:rsid w:val="003E4AAE"/>
    <w:rsid w:val="003E4C83"/>
    <w:rsid w:val="003E4CCE"/>
    <w:rsid w:val="003E4E4C"/>
    <w:rsid w:val="003E5016"/>
    <w:rsid w:val="003E6CAB"/>
    <w:rsid w:val="003E7362"/>
    <w:rsid w:val="003E77C4"/>
    <w:rsid w:val="003E7A32"/>
    <w:rsid w:val="003E7ACE"/>
    <w:rsid w:val="003F1A07"/>
    <w:rsid w:val="003F1C2F"/>
    <w:rsid w:val="003F26D8"/>
    <w:rsid w:val="003F2EF8"/>
    <w:rsid w:val="003F2F5B"/>
    <w:rsid w:val="003F37FD"/>
    <w:rsid w:val="003F3D59"/>
    <w:rsid w:val="003F56E0"/>
    <w:rsid w:val="003F7753"/>
    <w:rsid w:val="00400753"/>
    <w:rsid w:val="00400838"/>
    <w:rsid w:val="004010F8"/>
    <w:rsid w:val="004022A9"/>
    <w:rsid w:val="0040299C"/>
    <w:rsid w:val="004031C1"/>
    <w:rsid w:val="00405A87"/>
    <w:rsid w:val="00406CFB"/>
    <w:rsid w:val="00407C3F"/>
    <w:rsid w:val="00407EE3"/>
    <w:rsid w:val="00411484"/>
    <w:rsid w:val="00411A51"/>
    <w:rsid w:val="00412E99"/>
    <w:rsid w:val="004130E1"/>
    <w:rsid w:val="00413293"/>
    <w:rsid w:val="00413707"/>
    <w:rsid w:val="004147E2"/>
    <w:rsid w:val="004151AA"/>
    <w:rsid w:val="00416121"/>
    <w:rsid w:val="00416881"/>
    <w:rsid w:val="004207CC"/>
    <w:rsid w:val="00420FC4"/>
    <w:rsid w:val="0042134E"/>
    <w:rsid w:val="00421A17"/>
    <w:rsid w:val="00421E99"/>
    <w:rsid w:val="00423C8D"/>
    <w:rsid w:val="00423CE0"/>
    <w:rsid w:val="00424216"/>
    <w:rsid w:val="004251BD"/>
    <w:rsid w:val="0042659A"/>
    <w:rsid w:val="00426622"/>
    <w:rsid w:val="00427F4D"/>
    <w:rsid w:val="004309BF"/>
    <w:rsid w:val="00430CDB"/>
    <w:rsid w:val="00431066"/>
    <w:rsid w:val="0043203B"/>
    <w:rsid w:val="0043353F"/>
    <w:rsid w:val="00433A4B"/>
    <w:rsid w:val="00434570"/>
    <w:rsid w:val="00435924"/>
    <w:rsid w:val="00435E9C"/>
    <w:rsid w:val="004374F6"/>
    <w:rsid w:val="00440A25"/>
    <w:rsid w:val="0044192A"/>
    <w:rsid w:val="004425BD"/>
    <w:rsid w:val="00442624"/>
    <w:rsid w:val="004426AA"/>
    <w:rsid w:val="00443151"/>
    <w:rsid w:val="0044347D"/>
    <w:rsid w:val="004438BA"/>
    <w:rsid w:val="00445041"/>
    <w:rsid w:val="00445840"/>
    <w:rsid w:val="00446177"/>
    <w:rsid w:val="004463A1"/>
    <w:rsid w:val="00446B01"/>
    <w:rsid w:val="004501F6"/>
    <w:rsid w:val="00451127"/>
    <w:rsid w:val="0045141C"/>
    <w:rsid w:val="004526EA"/>
    <w:rsid w:val="004530E2"/>
    <w:rsid w:val="004544FA"/>
    <w:rsid w:val="00455CCB"/>
    <w:rsid w:val="00456430"/>
    <w:rsid w:val="00460CF4"/>
    <w:rsid w:val="00461303"/>
    <w:rsid w:val="004614CC"/>
    <w:rsid w:val="00461A69"/>
    <w:rsid w:val="00461B20"/>
    <w:rsid w:val="004624CF"/>
    <w:rsid w:val="00462772"/>
    <w:rsid w:val="00462B85"/>
    <w:rsid w:val="00462F2C"/>
    <w:rsid w:val="00463512"/>
    <w:rsid w:val="00464515"/>
    <w:rsid w:val="00464B49"/>
    <w:rsid w:val="004659D6"/>
    <w:rsid w:val="004661EA"/>
    <w:rsid w:val="00466918"/>
    <w:rsid w:val="004676BD"/>
    <w:rsid w:val="004700A2"/>
    <w:rsid w:val="004701B6"/>
    <w:rsid w:val="004713EF"/>
    <w:rsid w:val="0047257F"/>
    <w:rsid w:val="00474A72"/>
    <w:rsid w:val="0047630B"/>
    <w:rsid w:val="00476646"/>
    <w:rsid w:val="00476676"/>
    <w:rsid w:val="00477086"/>
    <w:rsid w:val="00477610"/>
    <w:rsid w:val="0048033B"/>
    <w:rsid w:val="004803DA"/>
    <w:rsid w:val="0048045E"/>
    <w:rsid w:val="004804D7"/>
    <w:rsid w:val="0048052D"/>
    <w:rsid w:val="00480A4F"/>
    <w:rsid w:val="00480FCA"/>
    <w:rsid w:val="00481283"/>
    <w:rsid w:val="00481EDD"/>
    <w:rsid w:val="00481FA5"/>
    <w:rsid w:val="004826E3"/>
    <w:rsid w:val="00482FE7"/>
    <w:rsid w:val="00483840"/>
    <w:rsid w:val="00483A02"/>
    <w:rsid w:val="00484785"/>
    <w:rsid w:val="00484A85"/>
    <w:rsid w:val="0048706B"/>
    <w:rsid w:val="0049095E"/>
    <w:rsid w:val="00490BAC"/>
    <w:rsid w:val="0049107E"/>
    <w:rsid w:val="004918C5"/>
    <w:rsid w:val="00492C50"/>
    <w:rsid w:val="00493A08"/>
    <w:rsid w:val="00493E95"/>
    <w:rsid w:val="004945FA"/>
    <w:rsid w:val="00494B9F"/>
    <w:rsid w:val="004966E9"/>
    <w:rsid w:val="00497658"/>
    <w:rsid w:val="00497F98"/>
    <w:rsid w:val="004A12F6"/>
    <w:rsid w:val="004A18C4"/>
    <w:rsid w:val="004A1902"/>
    <w:rsid w:val="004A1B60"/>
    <w:rsid w:val="004A2E3A"/>
    <w:rsid w:val="004A36AF"/>
    <w:rsid w:val="004A4084"/>
    <w:rsid w:val="004A41B0"/>
    <w:rsid w:val="004A431F"/>
    <w:rsid w:val="004A43CC"/>
    <w:rsid w:val="004A696D"/>
    <w:rsid w:val="004A703C"/>
    <w:rsid w:val="004A73A0"/>
    <w:rsid w:val="004A73D6"/>
    <w:rsid w:val="004B0DB4"/>
    <w:rsid w:val="004B102B"/>
    <w:rsid w:val="004B114A"/>
    <w:rsid w:val="004B1264"/>
    <w:rsid w:val="004B3291"/>
    <w:rsid w:val="004B4D66"/>
    <w:rsid w:val="004B5376"/>
    <w:rsid w:val="004B6814"/>
    <w:rsid w:val="004B6BF9"/>
    <w:rsid w:val="004B6D07"/>
    <w:rsid w:val="004B6E26"/>
    <w:rsid w:val="004C15E0"/>
    <w:rsid w:val="004C1D49"/>
    <w:rsid w:val="004C23E2"/>
    <w:rsid w:val="004C2571"/>
    <w:rsid w:val="004C2F2D"/>
    <w:rsid w:val="004C2FE5"/>
    <w:rsid w:val="004C3451"/>
    <w:rsid w:val="004C3474"/>
    <w:rsid w:val="004C3984"/>
    <w:rsid w:val="004C795F"/>
    <w:rsid w:val="004D0326"/>
    <w:rsid w:val="004D07D8"/>
    <w:rsid w:val="004D0ADE"/>
    <w:rsid w:val="004D127A"/>
    <w:rsid w:val="004D187D"/>
    <w:rsid w:val="004D1A1E"/>
    <w:rsid w:val="004D257E"/>
    <w:rsid w:val="004D29F2"/>
    <w:rsid w:val="004D2FE1"/>
    <w:rsid w:val="004D38AD"/>
    <w:rsid w:val="004D41EB"/>
    <w:rsid w:val="004D469A"/>
    <w:rsid w:val="004D5229"/>
    <w:rsid w:val="004D56F7"/>
    <w:rsid w:val="004D6D96"/>
    <w:rsid w:val="004D751A"/>
    <w:rsid w:val="004D7F27"/>
    <w:rsid w:val="004E1C10"/>
    <w:rsid w:val="004E2177"/>
    <w:rsid w:val="004E21E6"/>
    <w:rsid w:val="004E22E5"/>
    <w:rsid w:val="004E2494"/>
    <w:rsid w:val="004E350C"/>
    <w:rsid w:val="004E394A"/>
    <w:rsid w:val="004E3B3D"/>
    <w:rsid w:val="004E46AF"/>
    <w:rsid w:val="004E6D34"/>
    <w:rsid w:val="004E6D8A"/>
    <w:rsid w:val="004E73B1"/>
    <w:rsid w:val="004F114A"/>
    <w:rsid w:val="004F1406"/>
    <w:rsid w:val="004F173D"/>
    <w:rsid w:val="004F232D"/>
    <w:rsid w:val="004F4538"/>
    <w:rsid w:val="004F459F"/>
    <w:rsid w:val="004F6472"/>
    <w:rsid w:val="004F79E4"/>
    <w:rsid w:val="005009ED"/>
    <w:rsid w:val="00500B49"/>
    <w:rsid w:val="005018DF"/>
    <w:rsid w:val="005024DA"/>
    <w:rsid w:val="00502738"/>
    <w:rsid w:val="0050351D"/>
    <w:rsid w:val="005039F5"/>
    <w:rsid w:val="00503B59"/>
    <w:rsid w:val="005041E9"/>
    <w:rsid w:val="00504BA6"/>
    <w:rsid w:val="005053F4"/>
    <w:rsid w:val="00506CB5"/>
    <w:rsid w:val="005070D0"/>
    <w:rsid w:val="00507FFC"/>
    <w:rsid w:val="00510055"/>
    <w:rsid w:val="00510E00"/>
    <w:rsid w:val="00511459"/>
    <w:rsid w:val="00511895"/>
    <w:rsid w:val="00513678"/>
    <w:rsid w:val="005138D7"/>
    <w:rsid w:val="00514C04"/>
    <w:rsid w:val="00514ED6"/>
    <w:rsid w:val="00515005"/>
    <w:rsid w:val="005178EB"/>
    <w:rsid w:val="00520152"/>
    <w:rsid w:val="00520853"/>
    <w:rsid w:val="00520C07"/>
    <w:rsid w:val="00520F0B"/>
    <w:rsid w:val="005218C0"/>
    <w:rsid w:val="00521993"/>
    <w:rsid w:val="0052353E"/>
    <w:rsid w:val="00523BBC"/>
    <w:rsid w:val="00523DC0"/>
    <w:rsid w:val="00524630"/>
    <w:rsid w:val="00524B13"/>
    <w:rsid w:val="005254AD"/>
    <w:rsid w:val="005259E8"/>
    <w:rsid w:val="005264B5"/>
    <w:rsid w:val="005273C5"/>
    <w:rsid w:val="0053014A"/>
    <w:rsid w:val="005307FB"/>
    <w:rsid w:val="005311E8"/>
    <w:rsid w:val="005313E5"/>
    <w:rsid w:val="00532315"/>
    <w:rsid w:val="005326AB"/>
    <w:rsid w:val="0053392D"/>
    <w:rsid w:val="005339A5"/>
    <w:rsid w:val="00534C22"/>
    <w:rsid w:val="005355A2"/>
    <w:rsid w:val="00540B64"/>
    <w:rsid w:val="005423FC"/>
    <w:rsid w:val="00542424"/>
    <w:rsid w:val="00542454"/>
    <w:rsid w:val="00542506"/>
    <w:rsid w:val="00542C21"/>
    <w:rsid w:val="0054570A"/>
    <w:rsid w:val="005457ED"/>
    <w:rsid w:val="00545F75"/>
    <w:rsid w:val="00546F7C"/>
    <w:rsid w:val="00550082"/>
    <w:rsid w:val="0055069D"/>
    <w:rsid w:val="0055104B"/>
    <w:rsid w:val="00552C22"/>
    <w:rsid w:val="00552E13"/>
    <w:rsid w:val="0055311C"/>
    <w:rsid w:val="005538D3"/>
    <w:rsid w:val="00555448"/>
    <w:rsid w:val="0055578C"/>
    <w:rsid w:val="00555D16"/>
    <w:rsid w:val="00556D5C"/>
    <w:rsid w:val="00557F39"/>
    <w:rsid w:val="00560BC9"/>
    <w:rsid w:val="00560E98"/>
    <w:rsid w:val="0056116C"/>
    <w:rsid w:val="005617D8"/>
    <w:rsid w:val="00563E85"/>
    <w:rsid w:val="00564E17"/>
    <w:rsid w:val="00564F09"/>
    <w:rsid w:val="0056516C"/>
    <w:rsid w:val="00565328"/>
    <w:rsid w:val="005659CD"/>
    <w:rsid w:val="005661F2"/>
    <w:rsid w:val="00566DA7"/>
    <w:rsid w:val="00567420"/>
    <w:rsid w:val="0056C0B7"/>
    <w:rsid w:val="00570A06"/>
    <w:rsid w:val="00570C05"/>
    <w:rsid w:val="00572F02"/>
    <w:rsid w:val="00573AEE"/>
    <w:rsid w:val="0057403D"/>
    <w:rsid w:val="00574BE7"/>
    <w:rsid w:val="00576393"/>
    <w:rsid w:val="005770BB"/>
    <w:rsid w:val="005774B7"/>
    <w:rsid w:val="005776B0"/>
    <w:rsid w:val="00580B77"/>
    <w:rsid w:val="00580E90"/>
    <w:rsid w:val="005817B9"/>
    <w:rsid w:val="00585EAA"/>
    <w:rsid w:val="00586A0C"/>
    <w:rsid w:val="00586CDD"/>
    <w:rsid w:val="00587413"/>
    <w:rsid w:val="00587932"/>
    <w:rsid w:val="00587968"/>
    <w:rsid w:val="00587ABA"/>
    <w:rsid w:val="00587C3B"/>
    <w:rsid w:val="00591082"/>
    <w:rsid w:val="00591A8B"/>
    <w:rsid w:val="0059302E"/>
    <w:rsid w:val="005930B2"/>
    <w:rsid w:val="00593728"/>
    <w:rsid w:val="00593777"/>
    <w:rsid w:val="005951B7"/>
    <w:rsid w:val="00595216"/>
    <w:rsid w:val="00595A69"/>
    <w:rsid w:val="00596BFC"/>
    <w:rsid w:val="00596C03"/>
    <w:rsid w:val="005A0263"/>
    <w:rsid w:val="005A0FF8"/>
    <w:rsid w:val="005A1B39"/>
    <w:rsid w:val="005A1B94"/>
    <w:rsid w:val="005A1F1C"/>
    <w:rsid w:val="005A317A"/>
    <w:rsid w:val="005A32B5"/>
    <w:rsid w:val="005A3785"/>
    <w:rsid w:val="005A3AAB"/>
    <w:rsid w:val="005A3D7F"/>
    <w:rsid w:val="005A3E82"/>
    <w:rsid w:val="005A410B"/>
    <w:rsid w:val="005A5C8B"/>
    <w:rsid w:val="005A6CA7"/>
    <w:rsid w:val="005A6D90"/>
    <w:rsid w:val="005A6E25"/>
    <w:rsid w:val="005A725D"/>
    <w:rsid w:val="005A7E69"/>
    <w:rsid w:val="005A7F28"/>
    <w:rsid w:val="005B0616"/>
    <w:rsid w:val="005B18B8"/>
    <w:rsid w:val="005B1A92"/>
    <w:rsid w:val="005B2D37"/>
    <w:rsid w:val="005B335C"/>
    <w:rsid w:val="005B355F"/>
    <w:rsid w:val="005B36C3"/>
    <w:rsid w:val="005B428F"/>
    <w:rsid w:val="005B5AFD"/>
    <w:rsid w:val="005B5F17"/>
    <w:rsid w:val="005B6278"/>
    <w:rsid w:val="005B6659"/>
    <w:rsid w:val="005B719D"/>
    <w:rsid w:val="005C0CC0"/>
    <w:rsid w:val="005C1746"/>
    <w:rsid w:val="005C2D7E"/>
    <w:rsid w:val="005C4311"/>
    <w:rsid w:val="005C48B5"/>
    <w:rsid w:val="005C4DB8"/>
    <w:rsid w:val="005C5B38"/>
    <w:rsid w:val="005C6A41"/>
    <w:rsid w:val="005C79E3"/>
    <w:rsid w:val="005D08B9"/>
    <w:rsid w:val="005D1349"/>
    <w:rsid w:val="005D1EE6"/>
    <w:rsid w:val="005D2946"/>
    <w:rsid w:val="005D2E03"/>
    <w:rsid w:val="005D38F7"/>
    <w:rsid w:val="005D3DC2"/>
    <w:rsid w:val="005D4D1F"/>
    <w:rsid w:val="005D50A1"/>
    <w:rsid w:val="005D5CC7"/>
    <w:rsid w:val="005D64AC"/>
    <w:rsid w:val="005D67C0"/>
    <w:rsid w:val="005D6DB5"/>
    <w:rsid w:val="005D7B88"/>
    <w:rsid w:val="005D7E86"/>
    <w:rsid w:val="005E0019"/>
    <w:rsid w:val="005E242D"/>
    <w:rsid w:val="005E31B9"/>
    <w:rsid w:val="005E4341"/>
    <w:rsid w:val="005E4B5A"/>
    <w:rsid w:val="005E4DE9"/>
    <w:rsid w:val="005E4F85"/>
    <w:rsid w:val="005E5889"/>
    <w:rsid w:val="005E5F91"/>
    <w:rsid w:val="005E68A5"/>
    <w:rsid w:val="005E6949"/>
    <w:rsid w:val="005E707F"/>
    <w:rsid w:val="005E7AEA"/>
    <w:rsid w:val="005F019F"/>
    <w:rsid w:val="005F07A2"/>
    <w:rsid w:val="005F0954"/>
    <w:rsid w:val="005F0A0D"/>
    <w:rsid w:val="005F1A06"/>
    <w:rsid w:val="005F1AEA"/>
    <w:rsid w:val="005F2775"/>
    <w:rsid w:val="005F28F9"/>
    <w:rsid w:val="005F45FD"/>
    <w:rsid w:val="005F46D0"/>
    <w:rsid w:val="005F5D2E"/>
    <w:rsid w:val="005F63B6"/>
    <w:rsid w:val="005F6E6B"/>
    <w:rsid w:val="005F7478"/>
    <w:rsid w:val="005F760E"/>
    <w:rsid w:val="006003CC"/>
    <w:rsid w:val="00600990"/>
    <w:rsid w:val="00601116"/>
    <w:rsid w:val="0060187D"/>
    <w:rsid w:val="00601C30"/>
    <w:rsid w:val="006028B6"/>
    <w:rsid w:val="006031D9"/>
    <w:rsid w:val="006032CD"/>
    <w:rsid w:val="006036B3"/>
    <w:rsid w:val="00604155"/>
    <w:rsid w:val="0060418F"/>
    <w:rsid w:val="00604DC3"/>
    <w:rsid w:val="0060570C"/>
    <w:rsid w:val="0061142D"/>
    <w:rsid w:val="00611593"/>
    <w:rsid w:val="00611BD2"/>
    <w:rsid w:val="006122A7"/>
    <w:rsid w:val="00612712"/>
    <w:rsid w:val="00612765"/>
    <w:rsid w:val="00612B92"/>
    <w:rsid w:val="00615332"/>
    <w:rsid w:val="00615755"/>
    <w:rsid w:val="00615831"/>
    <w:rsid w:val="00615880"/>
    <w:rsid w:val="00615F42"/>
    <w:rsid w:val="00615FA3"/>
    <w:rsid w:val="006162A9"/>
    <w:rsid w:val="006173A7"/>
    <w:rsid w:val="0062086A"/>
    <w:rsid w:val="00621885"/>
    <w:rsid w:val="00621EBB"/>
    <w:rsid w:val="00623229"/>
    <w:rsid w:val="00623477"/>
    <w:rsid w:val="00623490"/>
    <w:rsid w:val="006237DA"/>
    <w:rsid w:val="00623F83"/>
    <w:rsid w:val="00623F9F"/>
    <w:rsid w:val="00624949"/>
    <w:rsid w:val="0062509A"/>
    <w:rsid w:val="00625D2D"/>
    <w:rsid w:val="0062796D"/>
    <w:rsid w:val="006308FD"/>
    <w:rsid w:val="0063097A"/>
    <w:rsid w:val="006309FB"/>
    <w:rsid w:val="006314C8"/>
    <w:rsid w:val="00631E77"/>
    <w:rsid w:val="006328C7"/>
    <w:rsid w:val="0063290D"/>
    <w:rsid w:val="00632EE4"/>
    <w:rsid w:val="006336D5"/>
    <w:rsid w:val="00633AEE"/>
    <w:rsid w:val="00634704"/>
    <w:rsid w:val="00634A59"/>
    <w:rsid w:val="00634F63"/>
    <w:rsid w:val="00635D3A"/>
    <w:rsid w:val="00636F1A"/>
    <w:rsid w:val="006408C2"/>
    <w:rsid w:val="00643588"/>
    <w:rsid w:val="00645133"/>
    <w:rsid w:val="00645815"/>
    <w:rsid w:val="00645AEC"/>
    <w:rsid w:val="00645E68"/>
    <w:rsid w:val="006479F4"/>
    <w:rsid w:val="00647FD2"/>
    <w:rsid w:val="006511CF"/>
    <w:rsid w:val="006512B9"/>
    <w:rsid w:val="00651C7E"/>
    <w:rsid w:val="00651EDC"/>
    <w:rsid w:val="00651F67"/>
    <w:rsid w:val="00652E3D"/>
    <w:rsid w:val="00652E67"/>
    <w:rsid w:val="00653446"/>
    <w:rsid w:val="0065435B"/>
    <w:rsid w:val="006549A4"/>
    <w:rsid w:val="0065539F"/>
    <w:rsid w:val="00660078"/>
    <w:rsid w:val="006606B8"/>
    <w:rsid w:val="006607E5"/>
    <w:rsid w:val="00661D93"/>
    <w:rsid w:val="006634AA"/>
    <w:rsid w:val="00663549"/>
    <w:rsid w:val="0066444C"/>
    <w:rsid w:val="0066452D"/>
    <w:rsid w:val="00664799"/>
    <w:rsid w:val="0066597F"/>
    <w:rsid w:val="00665EDB"/>
    <w:rsid w:val="00666ED5"/>
    <w:rsid w:val="00670088"/>
    <w:rsid w:val="00670B64"/>
    <w:rsid w:val="00671126"/>
    <w:rsid w:val="0067273E"/>
    <w:rsid w:val="00673690"/>
    <w:rsid w:val="00673AB3"/>
    <w:rsid w:val="00673B30"/>
    <w:rsid w:val="00673EC1"/>
    <w:rsid w:val="00674150"/>
    <w:rsid w:val="00674D60"/>
    <w:rsid w:val="00674EBC"/>
    <w:rsid w:val="00675E54"/>
    <w:rsid w:val="006765FF"/>
    <w:rsid w:val="00676A04"/>
    <w:rsid w:val="00676D7B"/>
    <w:rsid w:val="00676F11"/>
    <w:rsid w:val="0067712B"/>
    <w:rsid w:val="00677573"/>
    <w:rsid w:val="00680362"/>
    <w:rsid w:val="00680EBB"/>
    <w:rsid w:val="0068175A"/>
    <w:rsid w:val="00681D9F"/>
    <w:rsid w:val="00683138"/>
    <w:rsid w:val="006836D0"/>
    <w:rsid w:val="00683FF0"/>
    <w:rsid w:val="00684110"/>
    <w:rsid w:val="006843EB"/>
    <w:rsid w:val="0068506A"/>
    <w:rsid w:val="006857A5"/>
    <w:rsid w:val="0068707E"/>
    <w:rsid w:val="00687A27"/>
    <w:rsid w:val="006900CB"/>
    <w:rsid w:val="00691ECF"/>
    <w:rsid w:val="0069268A"/>
    <w:rsid w:val="006927B0"/>
    <w:rsid w:val="00693FC9"/>
    <w:rsid w:val="00694207"/>
    <w:rsid w:val="00695C15"/>
    <w:rsid w:val="00695E79"/>
    <w:rsid w:val="00697211"/>
    <w:rsid w:val="0069778F"/>
    <w:rsid w:val="006A019A"/>
    <w:rsid w:val="006A1B2D"/>
    <w:rsid w:val="006A1E42"/>
    <w:rsid w:val="006A2AB9"/>
    <w:rsid w:val="006A3A9E"/>
    <w:rsid w:val="006A54E4"/>
    <w:rsid w:val="006A6667"/>
    <w:rsid w:val="006A6845"/>
    <w:rsid w:val="006A6D8A"/>
    <w:rsid w:val="006B266C"/>
    <w:rsid w:val="006B277D"/>
    <w:rsid w:val="006B28F7"/>
    <w:rsid w:val="006B297F"/>
    <w:rsid w:val="006B3C74"/>
    <w:rsid w:val="006B46D2"/>
    <w:rsid w:val="006B4B92"/>
    <w:rsid w:val="006B5260"/>
    <w:rsid w:val="006B70A1"/>
    <w:rsid w:val="006C0690"/>
    <w:rsid w:val="006C1578"/>
    <w:rsid w:val="006C16B4"/>
    <w:rsid w:val="006C1A8D"/>
    <w:rsid w:val="006C275B"/>
    <w:rsid w:val="006C4152"/>
    <w:rsid w:val="006C4592"/>
    <w:rsid w:val="006C4762"/>
    <w:rsid w:val="006C50E1"/>
    <w:rsid w:val="006C5940"/>
    <w:rsid w:val="006C77C3"/>
    <w:rsid w:val="006C79D9"/>
    <w:rsid w:val="006C7D8B"/>
    <w:rsid w:val="006D1743"/>
    <w:rsid w:val="006D1955"/>
    <w:rsid w:val="006D1DC7"/>
    <w:rsid w:val="006D1E04"/>
    <w:rsid w:val="006D240C"/>
    <w:rsid w:val="006D27AD"/>
    <w:rsid w:val="006D2975"/>
    <w:rsid w:val="006D2C18"/>
    <w:rsid w:val="006D407F"/>
    <w:rsid w:val="006D425F"/>
    <w:rsid w:val="006D4E1A"/>
    <w:rsid w:val="006D54D4"/>
    <w:rsid w:val="006D589E"/>
    <w:rsid w:val="006D5C9F"/>
    <w:rsid w:val="006D5CEB"/>
    <w:rsid w:val="006D5E78"/>
    <w:rsid w:val="006D614B"/>
    <w:rsid w:val="006D61E2"/>
    <w:rsid w:val="006D648F"/>
    <w:rsid w:val="006D73E7"/>
    <w:rsid w:val="006E246F"/>
    <w:rsid w:val="006E3EE3"/>
    <w:rsid w:val="006E4A64"/>
    <w:rsid w:val="006E5938"/>
    <w:rsid w:val="006E6F13"/>
    <w:rsid w:val="006E7076"/>
    <w:rsid w:val="006E8AEC"/>
    <w:rsid w:val="006F0287"/>
    <w:rsid w:val="006F2236"/>
    <w:rsid w:val="006F30F9"/>
    <w:rsid w:val="006F36C5"/>
    <w:rsid w:val="006F3D60"/>
    <w:rsid w:val="006F5433"/>
    <w:rsid w:val="006F5518"/>
    <w:rsid w:val="006F73DA"/>
    <w:rsid w:val="00700A14"/>
    <w:rsid w:val="00701577"/>
    <w:rsid w:val="0070293F"/>
    <w:rsid w:val="00703229"/>
    <w:rsid w:val="007032A9"/>
    <w:rsid w:val="007039C6"/>
    <w:rsid w:val="00703EC2"/>
    <w:rsid w:val="007045CD"/>
    <w:rsid w:val="00705C88"/>
    <w:rsid w:val="0070623F"/>
    <w:rsid w:val="00706286"/>
    <w:rsid w:val="00706A5C"/>
    <w:rsid w:val="00706C6C"/>
    <w:rsid w:val="00706F89"/>
    <w:rsid w:val="0070705E"/>
    <w:rsid w:val="007074D5"/>
    <w:rsid w:val="00711A06"/>
    <w:rsid w:val="00711B63"/>
    <w:rsid w:val="007139B5"/>
    <w:rsid w:val="00713C85"/>
    <w:rsid w:val="00713D53"/>
    <w:rsid w:val="00715980"/>
    <w:rsid w:val="00715CEA"/>
    <w:rsid w:val="00715FE2"/>
    <w:rsid w:val="00716D77"/>
    <w:rsid w:val="00717326"/>
    <w:rsid w:val="007177B6"/>
    <w:rsid w:val="007211A7"/>
    <w:rsid w:val="00721C50"/>
    <w:rsid w:val="00721EDB"/>
    <w:rsid w:val="00722A2D"/>
    <w:rsid w:val="00722EE8"/>
    <w:rsid w:val="00723340"/>
    <w:rsid w:val="0072353E"/>
    <w:rsid w:val="007241FB"/>
    <w:rsid w:val="007252F0"/>
    <w:rsid w:val="00725BD3"/>
    <w:rsid w:val="00726EC4"/>
    <w:rsid w:val="007274AB"/>
    <w:rsid w:val="0073030B"/>
    <w:rsid w:val="00733627"/>
    <w:rsid w:val="00733D2A"/>
    <w:rsid w:val="007340F5"/>
    <w:rsid w:val="00734618"/>
    <w:rsid w:val="007347C0"/>
    <w:rsid w:val="00737A9D"/>
    <w:rsid w:val="007405AE"/>
    <w:rsid w:val="00741E73"/>
    <w:rsid w:val="007422E1"/>
    <w:rsid w:val="00745238"/>
    <w:rsid w:val="007453E7"/>
    <w:rsid w:val="00745629"/>
    <w:rsid w:val="00746952"/>
    <w:rsid w:val="00746EBD"/>
    <w:rsid w:val="00747335"/>
    <w:rsid w:val="00747676"/>
    <w:rsid w:val="0075045C"/>
    <w:rsid w:val="00750B25"/>
    <w:rsid w:val="0075282C"/>
    <w:rsid w:val="00752DFA"/>
    <w:rsid w:val="00754385"/>
    <w:rsid w:val="00756733"/>
    <w:rsid w:val="00756AD6"/>
    <w:rsid w:val="00760D13"/>
    <w:rsid w:val="007613C5"/>
    <w:rsid w:val="00763411"/>
    <w:rsid w:val="00763758"/>
    <w:rsid w:val="00763CB9"/>
    <w:rsid w:val="00764AFE"/>
    <w:rsid w:val="00765B39"/>
    <w:rsid w:val="0076649F"/>
    <w:rsid w:val="00767347"/>
    <w:rsid w:val="00767775"/>
    <w:rsid w:val="00767CAD"/>
    <w:rsid w:val="00770646"/>
    <w:rsid w:val="00770EE6"/>
    <w:rsid w:val="007715E1"/>
    <w:rsid w:val="00772422"/>
    <w:rsid w:val="00772629"/>
    <w:rsid w:val="007727BF"/>
    <w:rsid w:val="00772B48"/>
    <w:rsid w:val="00772FDA"/>
    <w:rsid w:val="00773FFA"/>
    <w:rsid w:val="00774927"/>
    <w:rsid w:val="00775894"/>
    <w:rsid w:val="007762BD"/>
    <w:rsid w:val="00776D0F"/>
    <w:rsid w:val="00776E4C"/>
    <w:rsid w:val="007770AA"/>
    <w:rsid w:val="007775FF"/>
    <w:rsid w:val="007778BF"/>
    <w:rsid w:val="00777A1C"/>
    <w:rsid w:val="00781876"/>
    <w:rsid w:val="00781939"/>
    <w:rsid w:val="00782139"/>
    <w:rsid w:val="0078304E"/>
    <w:rsid w:val="007834AA"/>
    <w:rsid w:val="00783E1A"/>
    <w:rsid w:val="007841EB"/>
    <w:rsid w:val="00784707"/>
    <w:rsid w:val="007856BC"/>
    <w:rsid w:val="00785ADE"/>
    <w:rsid w:val="007866E5"/>
    <w:rsid w:val="00786E18"/>
    <w:rsid w:val="007879EB"/>
    <w:rsid w:val="00790422"/>
    <w:rsid w:val="0079161F"/>
    <w:rsid w:val="0079315B"/>
    <w:rsid w:val="00793206"/>
    <w:rsid w:val="00794967"/>
    <w:rsid w:val="00795C00"/>
    <w:rsid w:val="00796187"/>
    <w:rsid w:val="007968C7"/>
    <w:rsid w:val="00796D2E"/>
    <w:rsid w:val="00796D4C"/>
    <w:rsid w:val="00796E2A"/>
    <w:rsid w:val="00797451"/>
    <w:rsid w:val="007A092A"/>
    <w:rsid w:val="007A0B2B"/>
    <w:rsid w:val="007A1299"/>
    <w:rsid w:val="007A2E92"/>
    <w:rsid w:val="007A51E9"/>
    <w:rsid w:val="007A5486"/>
    <w:rsid w:val="007A5C9E"/>
    <w:rsid w:val="007A61DC"/>
    <w:rsid w:val="007A6BED"/>
    <w:rsid w:val="007A6CF8"/>
    <w:rsid w:val="007B0261"/>
    <w:rsid w:val="007B0B5C"/>
    <w:rsid w:val="007B21B5"/>
    <w:rsid w:val="007B47FD"/>
    <w:rsid w:val="007B6679"/>
    <w:rsid w:val="007B73CF"/>
    <w:rsid w:val="007C0202"/>
    <w:rsid w:val="007C0437"/>
    <w:rsid w:val="007C235A"/>
    <w:rsid w:val="007C4262"/>
    <w:rsid w:val="007C4B00"/>
    <w:rsid w:val="007C7918"/>
    <w:rsid w:val="007D1BC7"/>
    <w:rsid w:val="007D2AFD"/>
    <w:rsid w:val="007D30D7"/>
    <w:rsid w:val="007D5B68"/>
    <w:rsid w:val="007D5BC5"/>
    <w:rsid w:val="007D61A4"/>
    <w:rsid w:val="007D62EA"/>
    <w:rsid w:val="007D698F"/>
    <w:rsid w:val="007D76C6"/>
    <w:rsid w:val="007E0105"/>
    <w:rsid w:val="007E0589"/>
    <w:rsid w:val="007E0E17"/>
    <w:rsid w:val="007E16D1"/>
    <w:rsid w:val="007E2023"/>
    <w:rsid w:val="007E2616"/>
    <w:rsid w:val="007E2912"/>
    <w:rsid w:val="007E304C"/>
    <w:rsid w:val="007E326C"/>
    <w:rsid w:val="007E34D3"/>
    <w:rsid w:val="007E355F"/>
    <w:rsid w:val="007E4C0D"/>
    <w:rsid w:val="007E53F1"/>
    <w:rsid w:val="007E64A4"/>
    <w:rsid w:val="007E7AA6"/>
    <w:rsid w:val="007F0000"/>
    <w:rsid w:val="007F0800"/>
    <w:rsid w:val="007F0C88"/>
    <w:rsid w:val="007F1CD4"/>
    <w:rsid w:val="007F219D"/>
    <w:rsid w:val="007F28E2"/>
    <w:rsid w:val="007F381F"/>
    <w:rsid w:val="007F3BDE"/>
    <w:rsid w:val="007F4F47"/>
    <w:rsid w:val="007F65DF"/>
    <w:rsid w:val="007F6FDC"/>
    <w:rsid w:val="007F71C9"/>
    <w:rsid w:val="007F72E5"/>
    <w:rsid w:val="007F7647"/>
    <w:rsid w:val="007F7D4E"/>
    <w:rsid w:val="007F7E41"/>
    <w:rsid w:val="00800402"/>
    <w:rsid w:val="00800AFE"/>
    <w:rsid w:val="00801D67"/>
    <w:rsid w:val="0080237D"/>
    <w:rsid w:val="00802D17"/>
    <w:rsid w:val="00802E88"/>
    <w:rsid w:val="00802F62"/>
    <w:rsid w:val="00803509"/>
    <w:rsid w:val="0080367E"/>
    <w:rsid w:val="00803C87"/>
    <w:rsid w:val="008051C7"/>
    <w:rsid w:val="00805404"/>
    <w:rsid w:val="00807031"/>
    <w:rsid w:val="008076D4"/>
    <w:rsid w:val="008108C7"/>
    <w:rsid w:val="00812271"/>
    <w:rsid w:val="0081327F"/>
    <w:rsid w:val="00813427"/>
    <w:rsid w:val="00813C60"/>
    <w:rsid w:val="008157F5"/>
    <w:rsid w:val="008159EC"/>
    <w:rsid w:val="00815E53"/>
    <w:rsid w:val="0082002B"/>
    <w:rsid w:val="0082035B"/>
    <w:rsid w:val="00820731"/>
    <w:rsid w:val="00821E8C"/>
    <w:rsid w:val="00822C9B"/>
    <w:rsid w:val="00823727"/>
    <w:rsid w:val="008238E3"/>
    <w:rsid w:val="00823BBF"/>
    <w:rsid w:val="00823DF9"/>
    <w:rsid w:val="008241F9"/>
    <w:rsid w:val="00824652"/>
    <w:rsid w:val="0082468C"/>
    <w:rsid w:val="00824BCC"/>
    <w:rsid w:val="00824C96"/>
    <w:rsid w:val="008260B4"/>
    <w:rsid w:val="0082653C"/>
    <w:rsid w:val="00826C7F"/>
    <w:rsid w:val="00827F9B"/>
    <w:rsid w:val="0083004F"/>
    <w:rsid w:val="00830A66"/>
    <w:rsid w:val="0083308D"/>
    <w:rsid w:val="008334FD"/>
    <w:rsid w:val="00836303"/>
    <w:rsid w:val="0083696B"/>
    <w:rsid w:val="00837DA5"/>
    <w:rsid w:val="0084004A"/>
    <w:rsid w:val="0084022C"/>
    <w:rsid w:val="00840EF7"/>
    <w:rsid w:val="008416F3"/>
    <w:rsid w:val="0084188B"/>
    <w:rsid w:val="00842208"/>
    <w:rsid w:val="008423E1"/>
    <w:rsid w:val="00843081"/>
    <w:rsid w:val="008434E9"/>
    <w:rsid w:val="0084352E"/>
    <w:rsid w:val="00844222"/>
    <w:rsid w:val="008450AB"/>
    <w:rsid w:val="00845B51"/>
    <w:rsid w:val="00846063"/>
    <w:rsid w:val="00846E56"/>
    <w:rsid w:val="00847220"/>
    <w:rsid w:val="00850ACB"/>
    <w:rsid w:val="0085111E"/>
    <w:rsid w:val="00852395"/>
    <w:rsid w:val="00854154"/>
    <w:rsid w:val="00854440"/>
    <w:rsid w:val="00855B9E"/>
    <w:rsid w:val="00856D7A"/>
    <w:rsid w:val="00857E54"/>
    <w:rsid w:val="008607DA"/>
    <w:rsid w:val="00861A36"/>
    <w:rsid w:val="00862BCA"/>
    <w:rsid w:val="008636C3"/>
    <w:rsid w:val="008645A6"/>
    <w:rsid w:val="008645F1"/>
    <w:rsid w:val="00866384"/>
    <w:rsid w:val="00867280"/>
    <w:rsid w:val="0086739A"/>
    <w:rsid w:val="00867ACB"/>
    <w:rsid w:val="008703E2"/>
    <w:rsid w:val="0087042E"/>
    <w:rsid w:val="008704EC"/>
    <w:rsid w:val="008734DE"/>
    <w:rsid w:val="00873610"/>
    <w:rsid w:val="00873B92"/>
    <w:rsid w:val="008748D6"/>
    <w:rsid w:val="00874A4E"/>
    <w:rsid w:val="00874B31"/>
    <w:rsid w:val="00876D76"/>
    <w:rsid w:val="00877ED5"/>
    <w:rsid w:val="0088057F"/>
    <w:rsid w:val="008810DC"/>
    <w:rsid w:val="00882847"/>
    <w:rsid w:val="00882A1A"/>
    <w:rsid w:val="00882B49"/>
    <w:rsid w:val="00882B64"/>
    <w:rsid w:val="00882FA8"/>
    <w:rsid w:val="00883392"/>
    <w:rsid w:val="00884222"/>
    <w:rsid w:val="008852E6"/>
    <w:rsid w:val="008861BF"/>
    <w:rsid w:val="00887135"/>
    <w:rsid w:val="0089031D"/>
    <w:rsid w:val="00891119"/>
    <w:rsid w:val="00891363"/>
    <w:rsid w:val="00891524"/>
    <w:rsid w:val="0089226C"/>
    <w:rsid w:val="00892795"/>
    <w:rsid w:val="008936AB"/>
    <w:rsid w:val="00894F9A"/>
    <w:rsid w:val="0089675B"/>
    <w:rsid w:val="00897B5A"/>
    <w:rsid w:val="008A02E5"/>
    <w:rsid w:val="008A0AAB"/>
    <w:rsid w:val="008A0C15"/>
    <w:rsid w:val="008A0F5F"/>
    <w:rsid w:val="008A1597"/>
    <w:rsid w:val="008A2B91"/>
    <w:rsid w:val="008A3BF7"/>
    <w:rsid w:val="008A3EB0"/>
    <w:rsid w:val="008A450A"/>
    <w:rsid w:val="008A54C0"/>
    <w:rsid w:val="008A5590"/>
    <w:rsid w:val="008A6C51"/>
    <w:rsid w:val="008A6F18"/>
    <w:rsid w:val="008A700D"/>
    <w:rsid w:val="008B0160"/>
    <w:rsid w:val="008B0192"/>
    <w:rsid w:val="008B0869"/>
    <w:rsid w:val="008B29BE"/>
    <w:rsid w:val="008B4353"/>
    <w:rsid w:val="008B4738"/>
    <w:rsid w:val="008B58A1"/>
    <w:rsid w:val="008B6A3F"/>
    <w:rsid w:val="008B6A65"/>
    <w:rsid w:val="008B7A1E"/>
    <w:rsid w:val="008C1E5C"/>
    <w:rsid w:val="008C27E1"/>
    <w:rsid w:val="008C2820"/>
    <w:rsid w:val="008C2DB0"/>
    <w:rsid w:val="008C3124"/>
    <w:rsid w:val="008C386A"/>
    <w:rsid w:val="008C4429"/>
    <w:rsid w:val="008C5175"/>
    <w:rsid w:val="008C5AD6"/>
    <w:rsid w:val="008C64B7"/>
    <w:rsid w:val="008C6C5C"/>
    <w:rsid w:val="008C7B67"/>
    <w:rsid w:val="008C7BB1"/>
    <w:rsid w:val="008D054F"/>
    <w:rsid w:val="008D0665"/>
    <w:rsid w:val="008D0787"/>
    <w:rsid w:val="008D16DC"/>
    <w:rsid w:val="008D1B52"/>
    <w:rsid w:val="008D25D5"/>
    <w:rsid w:val="008D27AF"/>
    <w:rsid w:val="008D3D35"/>
    <w:rsid w:val="008D3E95"/>
    <w:rsid w:val="008D6A95"/>
    <w:rsid w:val="008D76EA"/>
    <w:rsid w:val="008D7A45"/>
    <w:rsid w:val="008D7A60"/>
    <w:rsid w:val="008D7AF6"/>
    <w:rsid w:val="008E0238"/>
    <w:rsid w:val="008E057E"/>
    <w:rsid w:val="008E0969"/>
    <w:rsid w:val="008E11F9"/>
    <w:rsid w:val="008E264C"/>
    <w:rsid w:val="008E3BF7"/>
    <w:rsid w:val="008E4096"/>
    <w:rsid w:val="008E5D93"/>
    <w:rsid w:val="008E649B"/>
    <w:rsid w:val="008E64B5"/>
    <w:rsid w:val="008F1971"/>
    <w:rsid w:val="008F2E67"/>
    <w:rsid w:val="008F2F17"/>
    <w:rsid w:val="008F4000"/>
    <w:rsid w:val="008F461E"/>
    <w:rsid w:val="008F5071"/>
    <w:rsid w:val="008F51C7"/>
    <w:rsid w:val="008F5201"/>
    <w:rsid w:val="008F5747"/>
    <w:rsid w:val="008F5E49"/>
    <w:rsid w:val="008F5E9D"/>
    <w:rsid w:val="008F62A1"/>
    <w:rsid w:val="008F641A"/>
    <w:rsid w:val="008F68CA"/>
    <w:rsid w:val="008F6AC7"/>
    <w:rsid w:val="008F6BDD"/>
    <w:rsid w:val="00901106"/>
    <w:rsid w:val="009022E3"/>
    <w:rsid w:val="00902943"/>
    <w:rsid w:val="00902E0A"/>
    <w:rsid w:val="009031C0"/>
    <w:rsid w:val="009034CB"/>
    <w:rsid w:val="00903783"/>
    <w:rsid w:val="009040E3"/>
    <w:rsid w:val="00904E53"/>
    <w:rsid w:val="0090522F"/>
    <w:rsid w:val="009056DE"/>
    <w:rsid w:val="009068DC"/>
    <w:rsid w:val="00906F79"/>
    <w:rsid w:val="00910892"/>
    <w:rsid w:val="00911789"/>
    <w:rsid w:val="00911A6E"/>
    <w:rsid w:val="00911FB6"/>
    <w:rsid w:val="00912664"/>
    <w:rsid w:val="00913681"/>
    <w:rsid w:val="00913C53"/>
    <w:rsid w:val="009149CB"/>
    <w:rsid w:val="00914EAB"/>
    <w:rsid w:val="009150F1"/>
    <w:rsid w:val="009154B2"/>
    <w:rsid w:val="0091605E"/>
    <w:rsid w:val="00916A31"/>
    <w:rsid w:val="00916C5E"/>
    <w:rsid w:val="00923317"/>
    <w:rsid w:val="009248EA"/>
    <w:rsid w:val="009256F6"/>
    <w:rsid w:val="0092694D"/>
    <w:rsid w:val="00926955"/>
    <w:rsid w:val="00926E6C"/>
    <w:rsid w:val="009270B9"/>
    <w:rsid w:val="00927CAF"/>
    <w:rsid w:val="00930E4D"/>
    <w:rsid w:val="009312B5"/>
    <w:rsid w:val="00931CC8"/>
    <w:rsid w:val="00932374"/>
    <w:rsid w:val="009327BC"/>
    <w:rsid w:val="00932992"/>
    <w:rsid w:val="00933D90"/>
    <w:rsid w:val="00934CBC"/>
    <w:rsid w:val="00936243"/>
    <w:rsid w:val="00936675"/>
    <w:rsid w:val="00936794"/>
    <w:rsid w:val="00936923"/>
    <w:rsid w:val="00937174"/>
    <w:rsid w:val="00940046"/>
    <w:rsid w:val="009401F4"/>
    <w:rsid w:val="00940A4C"/>
    <w:rsid w:val="00940EE5"/>
    <w:rsid w:val="00941002"/>
    <w:rsid w:val="00942813"/>
    <w:rsid w:val="00942E38"/>
    <w:rsid w:val="00942F65"/>
    <w:rsid w:val="0094343E"/>
    <w:rsid w:val="0094381B"/>
    <w:rsid w:val="009446FE"/>
    <w:rsid w:val="00945837"/>
    <w:rsid w:val="009461BE"/>
    <w:rsid w:val="00946EA8"/>
    <w:rsid w:val="00947155"/>
    <w:rsid w:val="00947B35"/>
    <w:rsid w:val="009528D3"/>
    <w:rsid w:val="009530EC"/>
    <w:rsid w:val="00953376"/>
    <w:rsid w:val="009533D5"/>
    <w:rsid w:val="0095394D"/>
    <w:rsid w:val="009549A6"/>
    <w:rsid w:val="00955229"/>
    <w:rsid w:val="0096012D"/>
    <w:rsid w:val="00960444"/>
    <w:rsid w:val="00960479"/>
    <w:rsid w:val="009605AB"/>
    <w:rsid w:val="00960CF6"/>
    <w:rsid w:val="00961310"/>
    <w:rsid w:val="0096212C"/>
    <w:rsid w:val="00962153"/>
    <w:rsid w:val="00962B7E"/>
    <w:rsid w:val="00963E4B"/>
    <w:rsid w:val="009663C3"/>
    <w:rsid w:val="00967264"/>
    <w:rsid w:val="00967BE8"/>
    <w:rsid w:val="00967BF7"/>
    <w:rsid w:val="009708A3"/>
    <w:rsid w:val="009719EA"/>
    <w:rsid w:val="00971A3C"/>
    <w:rsid w:val="00971B88"/>
    <w:rsid w:val="00971D4B"/>
    <w:rsid w:val="00973060"/>
    <w:rsid w:val="00973085"/>
    <w:rsid w:val="00973D08"/>
    <w:rsid w:val="00974193"/>
    <w:rsid w:val="00974B25"/>
    <w:rsid w:val="00976F0C"/>
    <w:rsid w:val="00977229"/>
    <w:rsid w:val="0097761F"/>
    <w:rsid w:val="00980206"/>
    <w:rsid w:val="009804AB"/>
    <w:rsid w:val="00980F4D"/>
    <w:rsid w:val="009812DA"/>
    <w:rsid w:val="00982B9F"/>
    <w:rsid w:val="009839A2"/>
    <w:rsid w:val="00984C7B"/>
    <w:rsid w:val="00984C84"/>
    <w:rsid w:val="00984E26"/>
    <w:rsid w:val="00985103"/>
    <w:rsid w:val="009856A5"/>
    <w:rsid w:val="009856EF"/>
    <w:rsid w:val="009857D5"/>
    <w:rsid w:val="00985BC2"/>
    <w:rsid w:val="00986702"/>
    <w:rsid w:val="009873C2"/>
    <w:rsid w:val="0098763E"/>
    <w:rsid w:val="00990300"/>
    <w:rsid w:val="009904C6"/>
    <w:rsid w:val="00990808"/>
    <w:rsid w:val="009920E2"/>
    <w:rsid w:val="00993118"/>
    <w:rsid w:val="00993FA0"/>
    <w:rsid w:val="009946A6"/>
    <w:rsid w:val="0099473D"/>
    <w:rsid w:val="00995738"/>
    <w:rsid w:val="00995B19"/>
    <w:rsid w:val="00995BD0"/>
    <w:rsid w:val="00996021"/>
    <w:rsid w:val="00996E98"/>
    <w:rsid w:val="009970E6"/>
    <w:rsid w:val="0099753A"/>
    <w:rsid w:val="00997773"/>
    <w:rsid w:val="009A30CF"/>
    <w:rsid w:val="009A3CEB"/>
    <w:rsid w:val="009A42BE"/>
    <w:rsid w:val="009A5079"/>
    <w:rsid w:val="009A538E"/>
    <w:rsid w:val="009A5637"/>
    <w:rsid w:val="009A573F"/>
    <w:rsid w:val="009A61A8"/>
    <w:rsid w:val="009A65F7"/>
    <w:rsid w:val="009A7F34"/>
    <w:rsid w:val="009B0882"/>
    <w:rsid w:val="009B10AB"/>
    <w:rsid w:val="009B137C"/>
    <w:rsid w:val="009B1A3C"/>
    <w:rsid w:val="009B1F1C"/>
    <w:rsid w:val="009B391E"/>
    <w:rsid w:val="009B3F2A"/>
    <w:rsid w:val="009B41B5"/>
    <w:rsid w:val="009B4500"/>
    <w:rsid w:val="009B6664"/>
    <w:rsid w:val="009B7476"/>
    <w:rsid w:val="009C066B"/>
    <w:rsid w:val="009C0B31"/>
    <w:rsid w:val="009C137A"/>
    <w:rsid w:val="009C1A6D"/>
    <w:rsid w:val="009C1E47"/>
    <w:rsid w:val="009C24B3"/>
    <w:rsid w:val="009C2AEA"/>
    <w:rsid w:val="009C4D37"/>
    <w:rsid w:val="009C4E2E"/>
    <w:rsid w:val="009C5286"/>
    <w:rsid w:val="009C5809"/>
    <w:rsid w:val="009C6463"/>
    <w:rsid w:val="009C6D3F"/>
    <w:rsid w:val="009C6D66"/>
    <w:rsid w:val="009C6E24"/>
    <w:rsid w:val="009C74FD"/>
    <w:rsid w:val="009C7D41"/>
    <w:rsid w:val="009C7D77"/>
    <w:rsid w:val="009D0A06"/>
    <w:rsid w:val="009D0E4D"/>
    <w:rsid w:val="009D1F95"/>
    <w:rsid w:val="009D2B80"/>
    <w:rsid w:val="009D2E92"/>
    <w:rsid w:val="009D3299"/>
    <w:rsid w:val="009D59A1"/>
    <w:rsid w:val="009D735E"/>
    <w:rsid w:val="009E0178"/>
    <w:rsid w:val="009E06FF"/>
    <w:rsid w:val="009E0739"/>
    <w:rsid w:val="009E076D"/>
    <w:rsid w:val="009E0E50"/>
    <w:rsid w:val="009E2DC6"/>
    <w:rsid w:val="009E3F7E"/>
    <w:rsid w:val="009E5DBF"/>
    <w:rsid w:val="009E63A5"/>
    <w:rsid w:val="009E6406"/>
    <w:rsid w:val="009E6EF9"/>
    <w:rsid w:val="009F0FF1"/>
    <w:rsid w:val="009F1CA1"/>
    <w:rsid w:val="009F207B"/>
    <w:rsid w:val="009F226E"/>
    <w:rsid w:val="009F273C"/>
    <w:rsid w:val="009F340E"/>
    <w:rsid w:val="009F4CB9"/>
    <w:rsid w:val="009F4EE7"/>
    <w:rsid w:val="009F6B7B"/>
    <w:rsid w:val="009F7BC3"/>
    <w:rsid w:val="009F7D30"/>
    <w:rsid w:val="00A01304"/>
    <w:rsid w:val="00A017C7"/>
    <w:rsid w:val="00A03DD1"/>
    <w:rsid w:val="00A0560D"/>
    <w:rsid w:val="00A068D6"/>
    <w:rsid w:val="00A06CD6"/>
    <w:rsid w:val="00A074D4"/>
    <w:rsid w:val="00A076E7"/>
    <w:rsid w:val="00A07BED"/>
    <w:rsid w:val="00A1092A"/>
    <w:rsid w:val="00A11535"/>
    <w:rsid w:val="00A123BA"/>
    <w:rsid w:val="00A1265D"/>
    <w:rsid w:val="00A14032"/>
    <w:rsid w:val="00A14096"/>
    <w:rsid w:val="00A151EB"/>
    <w:rsid w:val="00A1576A"/>
    <w:rsid w:val="00A16AF9"/>
    <w:rsid w:val="00A16B58"/>
    <w:rsid w:val="00A20516"/>
    <w:rsid w:val="00A223E7"/>
    <w:rsid w:val="00A2256D"/>
    <w:rsid w:val="00A22689"/>
    <w:rsid w:val="00A238EB"/>
    <w:rsid w:val="00A23DA1"/>
    <w:rsid w:val="00A245AC"/>
    <w:rsid w:val="00A24FE5"/>
    <w:rsid w:val="00A25607"/>
    <w:rsid w:val="00A25979"/>
    <w:rsid w:val="00A25C9B"/>
    <w:rsid w:val="00A25F66"/>
    <w:rsid w:val="00A26325"/>
    <w:rsid w:val="00A27425"/>
    <w:rsid w:val="00A30CB1"/>
    <w:rsid w:val="00A311C4"/>
    <w:rsid w:val="00A318F0"/>
    <w:rsid w:val="00A31F57"/>
    <w:rsid w:val="00A322F6"/>
    <w:rsid w:val="00A3239D"/>
    <w:rsid w:val="00A324EB"/>
    <w:rsid w:val="00A32823"/>
    <w:rsid w:val="00A3377D"/>
    <w:rsid w:val="00A33826"/>
    <w:rsid w:val="00A3424F"/>
    <w:rsid w:val="00A344A6"/>
    <w:rsid w:val="00A34BE3"/>
    <w:rsid w:val="00A3544D"/>
    <w:rsid w:val="00A368E7"/>
    <w:rsid w:val="00A368FF"/>
    <w:rsid w:val="00A370B7"/>
    <w:rsid w:val="00A37146"/>
    <w:rsid w:val="00A37997"/>
    <w:rsid w:val="00A404E4"/>
    <w:rsid w:val="00A408EE"/>
    <w:rsid w:val="00A421DC"/>
    <w:rsid w:val="00A4223F"/>
    <w:rsid w:val="00A42274"/>
    <w:rsid w:val="00A426FC"/>
    <w:rsid w:val="00A42896"/>
    <w:rsid w:val="00A43E14"/>
    <w:rsid w:val="00A4439A"/>
    <w:rsid w:val="00A4447D"/>
    <w:rsid w:val="00A44623"/>
    <w:rsid w:val="00A46084"/>
    <w:rsid w:val="00A46911"/>
    <w:rsid w:val="00A46FAC"/>
    <w:rsid w:val="00A47489"/>
    <w:rsid w:val="00A50EEB"/>
    <w:rsid w:val="00A51A3D"/>
    <w:rsid w:val="00A53F25"/>
    <w:rsid w:val="00A54677"/>
    <w:rsid w:val="00A55946"/>
    <w:rsid w:val="00A55BB6"/>
    <w:rsid w:val="00A56883"/>
    <w:rsid w:val="00A57528"/>
    <w:rsid w:val="00A60CB4"/>
    <w:rsid w:val="00A61BC8"/>
    <w:rsid w:val="00A6215A"/>
    <w:rsid w:val="00A63768"/>
    <w:rsid w:val="00A63893"/>
    <w:rsid w:val="00A63B0A"/>
    <w:rsid w:val="00A63C57"/>
    <w:rsid w:val="00A66430"/>
    <w:rsid w:val="00A6719B"/>
    <w:rsid w:val="00A6744C"/>
    <w:rsid w:val="00A7015C"/>
    <w:rsid w:val="00A70E94"/>
    <w:rsid w:val="00A70F9D"/>
    <w:rsid w:val="00A718F5"/>
    <w:rsid w:val="00A726F4"/>
    <w:rsid w:val="00A733DB"/>
    <w:rsid w:val="00A73E87"/>
    <w:rsid w:val="00A746AF"/>
    <w:rsid w:val="00A74F32"/>
    <w:rsid w:val="00A81183"/>
    <w:rsid w:val="00A81778"/>
    <w:rsid w:val="00A82349"/>
    <w:rsid w:val="00A83693"/>
    <w:rsid w:val="00A838F3"/>
    <w:rsid w:val="00A83B11"/>
    <w:rsid w:val="00A8447B"/>
    <w:rsid w:val="00A85259"/>
    <w:rsid w:val="00A8610A"/>
    <w:rsid w:val="00A86ADB"/>
    <w:rsid w:val="00A87304"/>
    <w:rsid w:val="00A87E18"/>
    <w:rsid w:val="00A90269"/>
    <w:rsid w:val="00A93F25"/>
    <w:rsid w:val="00A940B9"/>
    <w:rsid w:val="00A95B83"/>
    <w:rsid w:val="00A9747F"/>
    <w:rsid w:val="00AA022E"/>
    <w:rsid w:val="00AA19FC"/>
    <w:rsid w:val="00AA1D8F"/>
    <w:rsid w:val="00AA21EF"/>
    <w:rsid w:val="00AA2717"/>
    <w:rsid w:val="00AA3D80"/>
    <w:rsid w:val="00AA4382"/>
    <w:rsid w:val="00AA50A6"/>
    <w:rsid w:val="00AA72F8"/>
    <w:rsid w:val="00AA75F6"/>
    <w:rsid w:val="00AA7B2A"/>
    <w:rsid w:val="00AA7F57"/>
    <w:rsid w:val="00AB07A0"/>
    <w:rsid w:val="00AB0CEB"/>
    <w:rsid w:val="00AB23F5"/>
    <w:rsid w:val="00AB343D"/>
    <w:rsid w:val="00AB3B57"/>
    <w:rsid w:val="00AB486C"/>
    <w:rsid w:val="00AB53DE"/>
    <w:rsid w:val="00AB5C61"/>
    <w:rsid w:val="00AB7558"/>
    <w:rsid w:val="00AB78E5"/>
    <w:rsid w:val="00AB7D72"/>
    <w:rsid w:val="00AB7E27"/>
    <w:rsid w:val="00AC0D69"/>
    <w:rsid w:val="00AC0F2D"/>
    <w:rsid w:val="00AC0F8F"/>
    <w:rsid w:val="00AC1269"/>
    <w:rsid w:val="00AC1332"/>
    <w:rsid w:val="00AC146E"/>
    <w:rsid w:val="00AC16D3"/>
    <w:rsid w:val="00AC17B1"/>
    <w:rsid w:val="00AC27E4"/>
    <w:rsid w:val="00AC2AA9"/>
    <w:rsid w:val="00AC2BEE"/>
    <w:rsid w:val="00AC2F8A"/>
    <w:rsid w:val="00AC3747"/>
    <w:rsid w:val="00AC4075"/>
    <w:rsid w:val="00AC4AB5"/>
    <w:rsid w:val="00AC4DA9"/>
    <w:rsid w:val="00AC5D0E"/>
    <w:rsid w:val="00AC6C04"/>
    <w:rsid w:val="00AC7F1F"/>
    <w:rsid w:val="00AD2EF6"/>
    <w:rsid w:val="00AD4FFF"/>
    <w:rsid w:val="00AD566B"/>
    <w:rsid w:val="00AD5B4C"/>
    <w:rsid w:val="00AD6F5A"/>
    <w:rsid w:val="00AD73BB"/>
    <w:rsid w:val="00AD7CAE"/>
    <w:rsid w:val="00AE0CA0"/>
    <w:rsid w:val="00AE1543"/>
    <w:rsid w:val="00AE1761"/>
    <w:rsid w:val="00AE18A9"/>
    <w:rsid w:val="00AE21C7"/>
    <w:rsid w:val="00AE483D"/>
    <w:rsid w:val="00AE4A70"/>
    <w:rsid w:val="00AE60BA"/>
    <w:rsid w:val="00AE6184"/>
    <w:rsid w:val="00AE6B9E"/>
    <w:rsid w:val="00AE6C14"/>
    <w:rsid w:val="00AE702C"/>
    <w:rsid w:val="00AE7E75"/>
    <w:rsid w:val="00AF039B"/>
    <w:rsid w:val="00AF07E0"/>
    <w:rsid w:val="00AF1DA9"/>
    <w:rsid w:val="00AF212B"/>
    <w:rsid w:val="00AF2C76"/>
    <w:rsid w:val="00AF3093"/>
    <w:rsid w:val="00AF4447"/>
    <w:rsid w:val="00AF4E73"/>
    <w:rsid w:val="00AF5A02"/>
    <w:rsid w:val="00AF5CC7"/>
    <w:rsid w:val="00AF5DC2"/>
    <w:rsid w:val="00AF6AE7"/>
    <w:rsid w:val="00AF792A"/>
    <w:rsid w:val="00B01224"/>
    <w:rsid w:val="00B013D0"/>
    <w:rsid w:val="00B0172A"/>
    <w:rsid w:val="00B019C0"/>
    <w:rsid w:val="00B01C7F"/>
    <w:rsid w:val="00B02B59"/>
    <w:rsid w:val="00B03189"/>
    <w:rsid w:val="00B039D6"/>
    <w:rsid w:val="00B06FD0"/>
    <w:rsid w:val="00B076C0"/>
    <w:rsid w:val="00B07BFE"/>
    <w:rsid w:val="00B07E88"/>
    <w:rsid w:val="00B10E78"/>
    <w:rsid w:val="00B10EAE"/>
    <w:rsid w:val="00B11347"/>
    <w:rsid w:val="00B116E4"/>
    <w:rsid w:val="00B11C5A"/>
    <w:rsid w:val="00B11EC2"/>
    <w:rsid w:val="00B127A5"/>
    <w:rsid w:val="00B1288F"/>
    <w:rsid w:val="00B135E4"/>
    <w:rsid w:val="00B1391F"/>
    <w:rsid w:val="00B13B9D"/>
    <w:rsid w:val="00B14A0E"/>
    <w:rsid w:val="00B15CB9"/>
    <w:rsid w:val="00B16873"/>
    <w:rsid w:val="00B16B29"/>
    <w:rsid w:val="00B1A6C7"/>
    <w:rsid w:val="00B2084A"/>
    <w:rsid w:val="00B20E18"/>
    <w:rsid w:val="00B217B9"/>
    <w:rsid w:val="00B21928"/>
    <w:rsid w:val="00B21B8C"/>
    <w:rsid w:val="00B227FE"/>
    <w:rsid w:val="00B22EFB"/>
    <w:rsid w:val="00B232C8"/>
    <w:rsid w:val="00B24170"/>
    <w:rsid w:val="00B24390"/>
    <w:rsid w:val="00B24B14"/>
    <w:rsid w:val="00B2542A"/>
    <w:rsid w:val="00B260F0"/>
    <w:rsid w:val="00B2673F"/>
    <w:rsid w:val="00B2711F"/>
    <w:rsid w:val="00B279B3"/>
    <w:rsid w:val="00B27EB5"/>
    <w:rsid w:val="00B305B2"/>
    <w:rsid w:val="00B3089C"/>
    <w:rsid w:val="00B3103A"/>
    <w:rsid w:val="00B31926"/>
    <w:rsid w:val="00B32849"/>
    <w:rsid w:val="00B34112"/>
    <w:rsid w:val="00B35380"/>
    <w:rsid w:val="00B35753"/>
    <w:rsid w:val="00B36074"/>
    <w:rsid w:val="00B365C1"/>
    <w:rsid w:val="00B36707"/>
    <w:rsid w:val="00B36B55"/>
    <w:rsid w:val="00B37105"/>
    <w:rsid w:val="00B371E5"/>
    <w:rsid w:val="00B400B1"/>
    <w:rsid w:val="00B41155"/>
    <w:rsid w:val="00B41247"/>
    <w:rsid w:val="00B41AB2"/>
    <w:rsid w:val="00B41E3F"/>
    <w:rsid w:val="00B422E5"/>
    <w:rsid w:val="00B438BD"/>
    <w:rsid w:val="00B43F38"/>
    <w:rsid w:val="00B4475C"/>
    <w:rsid w:val="00B44B17"/>
    <w:rsid w:val="00B45567"/>
    <w:rsid w:val="00B46758"/>
    <w:rsid w:val="00B4679D"/>
    <w:rsid w:val="00B468AB"/>
    <w:rsid w:val="00B46B7A"/>
    <w:rsid w:val="00B474E5"/>
    <w:rsid w:val="00B47B0A"/>
    <w:rsid w:val="00B50B78"/>
    <w:rsid w:val="00B512E3"/>
    <w:rsid w:val="00B53787"/>
    <w:rsid w:val="00B54DA8"/>
    <w:rsid w:val="00B55137"/>
    <w:rsid w:val="00B55FA9"/>
    <w:rsid w:val="00B5623A"/>
    <w:rsid w:val="00B5638A"/>
    <w:rsid w:val="00B564A0"/>
    <w:rsid w:val="00B565DB"/>
    <w:rsid w:val="00B56E28"/>
    <w:rsid w:val="00B5750C"/>
    <w:rsid w:val="00B6002D"/>
    <w:rsid w:val="00B60380"/>
    <w:rsid w:val="00B61E16"/>
    <w:rsid w:val="00B627F7"/>
    <w:rsid w:val="00B633BB"/>
    <w:rsid w:val="00B64311"/>
    <w:rsid w:val="00B64ABD"/>
    <w:rsid w:val="00B65DF5"/>
    <w:rsid w:val="00B668A6"/>
    <w:rsid w:val="00B66AAF"/>
    <w:rsid w:val="00B674E8"/>
    <w:rsid w:val="00B70306"/>
    <w:rsid w:val="00B716E9"/>
    <w:rsid w:val="00B71B32"/>
    <w:rsid w:val="00B72E45"/>
    <w:rsid w:val="00B7442B"/>
    <w:rsid w:val="00B7455B"/>
    <w:rsid w:val="00B74BA9"/>
    <w:rsid w:val="00B751CD"/>
    <w:rsid w:val="00B755A9"/>
    <w:rsid w:val="00B75B53"/>
    <w:rsid w:val="00B75B6B"/>
    <w:rsid w:val="00B763D2"/>
    <w:rsid w:val="00B77E7D"/>
    <w:rsid w:val="00B80128"/>
    <w:rsid w:val="00B8079E"/>
    <w:rsid w:val="00B81350"/>
    <w:rsid w:val="00B81477"/>
    <w:rsid w:val="00B82D9F"/>
    <w:rsid w:val="00B82DC7"/>
    <w:rsid w:val="00B834E5"/>
    <w:rsid w:val="00B83865"/>
    <w:rsid w:val="00B83F27"/>
    <w:rsid w:val="00B845C4"/>
    <w:rsid w:val="00B854F6"/>
    <w:rsid w:val="00B86B4C"/>
    <w:rsid w:val="00B86BC5"/>
    <w:rsid w:val="00B87C34"/>
    <w:rsid w:val="00B9135A"/>
    <w:rsid w:val="00B91B36"/>
    <w:rsid w:val="00B9216F"/>
    <w:rsid w:val="00B93DFE"/>
    <w:rsid w:val="00B947BC"/>
    <w:rsid w:val="00B97A33"/>
    <w:rsid w:val="00B97B95"/>
    <w:rsid w:val="00B97D72"/>
    <w:rsid w:val="00BA2034"/>
    <w:rsid w:val="00BA24A9"/>
    <w:rsid w:val="00BA35C1"/>
    <w:rsid w:val="00BA382C"/>
    <w:rsid w:val="00BA3DB3"/>
    <w:rsid w:val="00BA3F48"/>
    <w:rsid w:val="00BA402C"/>
    <w:rsid w:val="00BA40D7"/>
    <w:rsid w:val="00BA457B"/>
    <w:rsid w:val="00BA4764"/>
    <w:rsid w:val="00BA5ADA"/>
    <w:rsid w:val="00BA603C"/>
    <w:rsid w:val="00BA6A08"/>
    <w:rsid w:val="00BA7E74"/>
    <w:rsid w:val="00BB2579"/>
    <w:rsid w:val="00BB2AE5"/>
    <w:rsid w:val="00BB2C39"/>
    <w:rsid w:val="00BB3977"/>
    <w:rsid w:val="00BB3FB0"/>
    <w:rsid w:val="00BB4F17"/>
    <w:rsid w:val="00BB5470"/>
    <w:rsid w:val="00BB5E55"/>
    <w:rsid w:val="00BB6BF0"/>
    <w:rsid w:val="00BB6EB3"/>
    <w:rsid w:val="00BB7F22"/>
    <w:rsid w:val="00BC067B"/>
    <w:rsid w:val="00BC19C3"/>
    <w:rsid w:val="00BC19F3"/>
    <w:rsid w:val="00BC2571"/>
    <w:rsid w:val="00BC3251"/>
    <w:rsid w:val="00BC3B88"/>
    <w:rsid w:val="00BC411F"/>
    <w:rsid w:val="00BC44A3"/>
    <w:rsid w:val="00BC53E6"/>
    <w:rsid w:val="00BC5737"/>
    <w:rsid w:val="00BC5DD2"/>
    <w:rsid w:val="00BC784A"/>
    <w:rsid w:val="00BC7CAF"/>
    <w:rsid w:val="00BD0826"/>
    <w:rsid w:val="00BD1629"/>
    <w:rsid w:val="00BD196C"/>
    <w:rsid w:val="00BD1B9B"/>
    <w:rsid w:val="00BD1C05"/>
    <w:rsid w:val="00BD1E42"/>
    <w:rsid w:val="00BD239E"/>
    <w:rsid w:val="00BD257A"/>
    <w:rsid w:val="00BD4453"/>
    <w:rsid w:val="00BD555F"/>
    <w:rsid w:val="00BD6849"/>
    <w:rsid w:val="00BD6D29"/>
    <w:rsid w:val="00BE0378"/>
    <w:rsid w:val="00BE03F7"/>
    <w:rsid w:val="00BE091D"/>
    <w:rsid w:val="00BE0D29"/>
    <w:rsid w:val="00BE1E45"/>
    <w:rsid w:val="00BE2AAF"/>
    <w:rsid w:val="00BE2C40"/>
    <w:rsid w:val="00BE2C82"/>
    <w:rsid w:val="00BE2E8B"/>
    <w:rsid w:val="00BE3F60"/>
    <w:rsid w:val="00BE424B"/>
    <w:rsid w:val="00BE4930"/>
    <w:rsid w:val="00BE6000"/>
    <w:rsid w:val="00BE664E"/>
    <w:rsid w:val="00BE7248"/>
    <w:rsid w:val="00BE7AEF"/>
    <w:rsid w:val="00BE7DAA"/>
    <w:rsid w:val="00BF124E"/>
    <w:rsid w:val="00BF1E34"/>
    <w:rsid w:val="00BF21A3"/>
    <w:rsid w:val="00BF2D4E"/>
    <w:rsid w:val="00BF3DD7"/>
    <w:rsid w:val="00BF3FF0"/>
    <w:rsid w:val="00BF51B8"/>
    <w:rsid w:val="00BF52E4"/>
    <w:rsid w:val="00BF5BBE"/>
    <w:rsid w:val="00BF631F"/>
    <w:rsid w:val="00BF63BC"/>
    <w:rsid w:val="00BF6CA1"/>
    <w:rsid w:val="00C001C2"/>
    <w:rsid w:val="00C01AD1"/>
    <w:rsid w:val="00C030FE"/>
    <w:rsid w:val="00C04BC6"/>
    <w:rsid w:val="00C04CC6"/>
    <w:rsid w:val="00C051C2"/>
    <w:rsid w:val="00C059C6"/>
    <w:rsid w:val="00C07A5B"/>
    <w:rsid w:val="00C104DD"/>
    <w:rsid w:val="00C10864"/>
    <w:rsid w:val="00C11065"/>
    <w:rsid w:val="00C111F3"/>
    <w:rsid w:val="00C11AAA"/>
    <w:rsid w:val="00C13762"/>
    <w:rsid w:val="00C14BE1"/>
    <w:rsid w:val="00C14F01"/>
    <w:rsid w:val="00C15120"/>
    <w:rsid w:val="00C1535B"/>
    <w:rsid w:val="00C165B3"/>
    <w:rsid w:val="00C16B3A"/>
    <w:rsid w:val="00C170ED"/>
    <w:rsid w:val="00C1781A"/>
    <w:rsid w:val="00C20539"/>
    <w:rsid w:val="00C214D3"/>
    <w:rsid w:val="00C220D3"/>
    <w:rsid w:val="00C224A1"/>
    <w:rsid w:val="00C22872"/>
    <w:rsid w:val="00C24603"/>
    <w:rsid w:val="00C25B43"/>
    <w:rsid w:val="00C2627A"/>
    <w:rsid w:val="00C2699B"/>
    <w:rsid w:val="00C26C03"/>
    <w:rsid w:val="00C274D2"/>
    <w:rsid w:val="00C276E8"/>
    <w:rsid w:val="00C3018D"/>
    <w:rsid w:val="00C30819"/>
    <w:rsid w:val="00C3098F"/>
    <w:rsid w:val="00C319D3"/>
    <w:rsid w:val="00C328BD"/>
    <w:rsid w:val="00C329FF"/>
    <w:rsid w:val="00C331EA"/>
    <w:rsid w:val="00C334F3"/>
    <w:rsid w:val="00C33CE6"/>
    <w:rsid w:val="00C34AF1"/>
    <w:rsid w:val="00C351B6"/>
    <w:rsid w:val="00C35217"/>
    <w:rsid w:val="00C3571F"/>
    <w:rsid w:val="00C358CC"/>
    <w:rsid w:val="00C35D56"/>
    <w:rsid w:val="00C36A60"/>
    <w:rsid w:val="00C37C64"/>
    <w:rsid w:val="00C40A26"/>
    <w:rsid w:val="00C40D75"/>
    <w:rsid w:val="00C42341"/>
    <w:rsid w:val="00C4253B"/>
    <w:rsid w:val="00C42BC5"/>
    <w:rsid w:val="00C42E98"/>
    <w:rsid w:val="00C433D4"/>
    <w:rsid w:val="00C436CA"/>
    <w:rsid w:val="00C44413"/>
    <w:rsid w:val="00C45526"/>
    <w:rsid w:val="00C45A80"/>
    <w:rsid w:val="00C475C4"/>
    <w:rsid w:val="00C479B2"/>
    <w:rsid w:val="00C47AC5"/>
    <w:rsid w:val="00C512BE"/>
    <w:rsid w:val="00C517ED"/>
    <w:rsid w:val="00C5202F"/>
    <w:rsid w:val="00C52E8D"/>
    <w:rsid w:val="00C53679"/>
    <w:rsid w:val="00C53A6B"/>
    <w:rsid w:val="00C54709"/>
    <w:rsid w:val="00C54D2D"/>
    <w:rsid w:val="00C57336"/>
    <w:rsid w:val="00C57830"/>
    <w:rsid w:val="00C57BD0"/>
    <w:rsid w:val="00C605A3"/>
    <w:rsid w:val="00C60983"/>
    <w:rsid w:val="00C61B32"/>
    <w:rsid w:val="00C620B1"/>
    <w:rsid w:val="00C62577"/>
    <w:rsid w:val="00C6357B"/>
    <w:rsid w:val="00C637F6"/>
    <w:rsid w:val="00C6642A"/>
    <w:rsid w:val="00C66769"/>
    <w:rsid w:val="00C66A5A"/>
    <w:rsid w:val="00C66B6E"/>
    <w:rsid w:val="00C66C8F"/>
    <w:rsid w:val="00C67C07"/>
    <w:rsid w:val="00C70028"/>
    <w:rsid w:val="00C72529"/>
    <w:rsid w:val="00C72C8A"/>
    <w:rsid w:val="00C74C29"/>
    <w:rsid w:val="00C75A6A"/>
    <w:rsid w:val="00C767FB"/>
    <w:rsid w:val="00C76A03"/>
    <w:rsid w:val="00C76D9F"/>
    <w:rsid w:val="00C77FC0"/>
    <w:rsid w:val="00C80DF0"/>
    <w:rsid w:val="00C80F60"/>
    <w:rsid w:val="00C8178D"/>
    <w:rsid w:val="00C81C6F"/>
    <w:rsid w:val="00C84249"/>
    <w:rsid w:val="00C8475E"/>
    <w:rsid w:val="00C847A9"/>
    <w:rsid w:val="00C84B9C"/>
    <w:rsid w:val="00C85BFF"/>
    <w:rsid w:val="00C85D4E"/>
    <w:rsid w:val="00C85F1E"/>
    <w:rsid w:val="00C86770"/>
    <w:rsid w:val="00C8679F"/>
    <w:rsid w:val="00C87222"/>
    <w:rsid w:val="00C874D2"/>
    <w:rsid w:val="00C914D3"/>
    <w:rsid w:val="00C929D8"/>
    <w:rsid w:val="00C93041"/>
    <w:rsid w:val="00C94214"/>
    <w:rsid w:val="00C94E3F"/>
    <w:rsid w:val="00C95E42"/>
    <w:rsid w:val="00C9664C"/>
    <w:rsid w:val="00C968A3"/>
    <w:rsid w:val="00C96F64"/>
    <w:rsid w:val="00CA0AF6"/>
    <w:rsid w:val="00CA114E"/>
    <w:rsid w:val="00CA1EAE"/>
    <w:rsid w:val="00CA1FF3"/>
    <w:rsid w:val="00CA3957"/>
    <w:rsid w:val="00CA560D"/>
    <w:rsid w:val="00CA6C26"/>
    <w:rsid w:val="00CA7167"/>
    <w:rsid w:val="00CB00CA"/>
    <w:rsid w:val="00CB0190"/>
    <w:rsid w:val="00CB0330"/>
    <w:rsid w:val="00CB0DD4"/>
    <w:rsid w:val="00CB1E07"/>
    <w:rsid w:val="00CB21FA"/>
    <w:rsid w:val="00CB3031"/>
    <w:rsid w:val="00CB46B1"/>
    <w:rsid w:val="00CB4960"/>
    <w:rsid w:val="00CB4A47"/>
    <w:rsid w:val="00CB4CA8"/>
    <w:rsid w:val="00CB52EE"/>
    <w:rsid w:val="00CB5BF8"/>
    <w:rsid w:val="00CB5D55"/>
    <w:rsid w:val="00CB76AA"/>
    <w:rsid w:val="00CC0C9D"/>
    <w:rsid w:val="00CC1E82"/>
    <w:rsid w:val="00CC2C5E"/>
    <w:rsid w:val="00CC5B44"/>
    <w:rsid w:val="00CC60C4"/>
    <w:rsid w:val="00CC6622"/>
    <w:rsid w:val="00CC6729"/>
    <w:rsid w:val="00CD2BA7"/>
    <w:rsid w:val="00CD3DD1"/>
    <w:rsid w:val="00CD5EA3"/>
    <w:rsid w:val="00CD63B9"/>
    <w:rsid w:val="00CD6786"/>
    <w:rsid w:val="00CD7EEB"/>
    <w:rsid w:val="00CE0E29"/>
    <w:rsid w:val="00CE2089"/>
    <w:rsid w:val="00CE3615"/>
    <w:rsid w:val="00CE3CAF"/>
    <w:rsid w:val="00CE3E84"/>
    <w:rsid w:val="00CE41AE"/>
    <w:rsid w:val="00CE4E47"/>
    <w:rsid w:val="00CE54B3"/>
    <w:rsid w:val="00CE610D"/>
    <w:rsid w:val="00CE6566"/>
    <w:rsid w:val="00CF1864"/>
    <w:rsid w:val="00CF1ECA"/>
    <w:rsid w:val="00CF26EF"/>
    <w:rsid w:val="00CF3A04"/>
    <w:rsid w:val="00CF3FFB"/>
    <w:rsid w:val="00CF4105"/>
    <w:rsid w:val="00CF4ABA"/>
    <w:rsid w:val="00CF544D"/>
    <w:rsid w:val="00CF5960"/>
    <w:rsid w:val="00CF5B55"/>
    <w:rsid w:val="00CF5C36"/>
    <w:rsid w:val="00CF6D7D"/>
    <w:rsid w:val="00D0071E"/>
    <w:rsid w:val="00D0237E"/>
    <w:rsid w:val="00D0338D"/>
    <w:rsid w:val="00D038A3"/>
    <w:rsid w:val="00D04245"/>
    <w:rsid w:val="00D0539A"/>
    <w:rsid w:val="00D05EAB"/>
    <w:rsid w:val="00D0625F"/>
    <w:rsid w:val="00D06295"/>
    <w:rsid w:val="00D06482"/>
    <w:rsid w:val="00D07CD0"/>
    <w:rsid w:val="00D1048C"/>
    <w:rsid w:val="00D105D9"/>
    <w:rsid w:val="00D11609"/>
    <w:rsid w:val="00D11CAE"/>
    <w:rsid w:val="00D11F91"/>
    <w:rsid w:val="00D123F6"/>
    <w:rsid w:val="00D12C47"/>
    <w:rsid w:val="00D13430"/>
    <w:rsid w:val="00D13877"/>
    <w:rsid w:val="00D1556A"/>
    <w:rsid w:val="00D15B0D"/>
    <w:rsid w:val="00D16519"/>
    <w:rsid w:val="00D17047"/>
    <w:rsid w:val="00D1744C"/>
    <w:rsid w:val="00D20FD6"/>
    <w:rsid w:val="00D2273B"/>
    <w:rsid w:val="00D227CA"/>
    <w:rsid w:val="00D2331A"/>
    <w:rsid w:val="00D23991"/>
    <w:rsid w:val="00D239FD"/>
    <w:rsid w:val="00D24AF6"/>
    <w:rsid w:val="00D25230"/>
    <w:rsid w:val="00D25F98"/>
    <w:rsid w:val="00D269E7"/>
    <w:rsid w:val="00D26D81"/>
    <w:rsid w:val="00D27828"/>
    <w:rsid w:val="00D27C12"/>
    <w:rsid w:val="00D27D6D"/>
    <w:rsid w:val="00D3132B"/>
    <w:rsid w:val="00D31B09"/>
    <w:rsid w:val="00D323B5"/>
    <w:rsid w:val="00D326E7"/>
    <w:rsid w:val="00D32D43"/>
    <w:rsid w:val="00D35988"/>
    <w:rsid w:val="00D36F61"/>
    <w:rsid w:val="00D3767E"/>
    <w:rsid w:val="00D37F80"/>
    <w:rsid w:val="00D407FA"/>
    <w:rsid w:val="00D40D13"/>
    <w:rsid w:val="00D4159F"/>
    <w:rsid w:val="00D41D7F"/>
    <w:rsid w:val="00D43774"/>
    <w:rsid w:val="00D43980"/>
    <w:rsid w:val="00D43BBD"/>
    <w:rsid w:val="00D451ED"/>
    <w:rsid w:val="00D45339"/>
    <w:rsid w:val="00D456E4"/>
    <w:rsid w:val="00D45768"/>
    <w:rsid w:val="00D458AA"/>
    <w:rsid w:val="00D4595A"/>
    <w:rsid w:val="00D46358"/>
    <w:rsid w:val="00D475C9"/>
    <w:rsid w:val="00D502B7"/>
    <w:rsid w:val="00D50CE5"/>
    <w:rsid w:val="00D50F6E"/>
    <w:rsid w:val="00D5179B"/>
    <w:rsid w:val="00D51A2F"/>
    <w:rsid w:val="00D51BCD"/>
    <w:rsid w:val="00D51C9F"/>
    <w:rsid w:val="00D52577"/>
    <w:rsid w:val="00D5299B"/>
    <w:rsid w:val="00D52C98"/>
    <w:rsid w:val="00D52CA0"/>
    <w:rsid w:val="00D5359A"/>
    <w:rsid w:val="00D53E58"/>
    <w:rsid w:val="00D54084"/>
    <w:rsid w:val="00D5418C"/>
    <w:rsid w:val="00D5504D"/>
    <w:rsid w:val="00D5543C"/>
    <w:rsid w:val="00D56050"/>
    <w:rsid w:val="00D567A4"/>
    <w:rsid w:val="00D56A85"/>
    <w:rsid w:val="00D56CA0"/>
    <w:rsid w:val="00D605B9"/>
    <w:rsid w:val="00D61132"/>
    <w:rsid w:val="00D61447"/>
    <w:rsid w:val="00D61C9E"/>
    <w:rsid w:val="00D623B1"/>
    <w:rsid w:val="00D62FE6"/>
    <w:rsid w:val="00D630A6"/>
    <w:rsid w:val="00D640BE"/>
    <w:rsid w:val="00D641DC"/>
    <w:rsid w:val="00D64890"/>
    <w:rsid w:val="00D64AC8"/>
    <w:rsid w:val="00D64F69"/>
    <w:rsid w:val="00D65921"/>
    <w:rsid w:val="00D67011"/>
    <w:rsid w:val="00D6775F"/>
    <w:rsid w:val="00D67762"/>
    <w:rsid w:val="00D710A8"/>
    <w:rsid w:val="00D7213D"/>
    <w:rsid w:val="00D72AA1"/>
    <w:rsid w:val="00D72E24"/>
    <w:rsid w:val="00D732E4"/>
    <w:rsid w:val="00D73E6B"/>
    <w:rsid w:val="00D7416B"/>
    <w:rsid w:val="00D745D9"/>
    <w:rsid w:val="00D7647E"/>
    <w:rsid w:val="00D778F7"/>
    <w:rsid w:val="00D812F0"/>
    <w:rsid w:val="00D816AC"/>
    <w:rsid w:val="00D81A6A"/>
    <w:rsid w:val="00D826EA"/>
    <w:rsid w:val="00D82F74"/>
    <w:rsid w:val="00D84411"/>
    <w:rsid w:val="00D84DF2"/>
    <w:rsid w:val="00D852FF"/>
    <w:rsid w:val="00D86674"/>
    <w:rsid w:val="00D867B3"/>
    <w:rsid w:val="00D868A0"/>
    <w:rsid w:val="00D86CB4"/>
    <w:rsid w:val="00D870EC"/>
    <w:rsid w:val="00D87FD4"/>
    <w:rsid w:val="00D8FA97"/>
    <w:rsid w:val="00D90D47"/>
    <w:rsid w:val="00D90DE9"/>
    <w:rsid w:val="00D91DA3"/>
    <w:rsid w:val="00D9203A"/>
    <w:rsid w:val="00D92849"/>
    <w:rsid w:val="00D928D5"/>
    <w:rsid w:val="00D93785"/>
    <w:rsid w:val="00D95035"/>
    <w:rsid w:val="00D95FC1"/>
    <w:rsid w:val="00D96423"/>
    <w:rsid w:val="00D968E1"/>
    <w:rsid w:val="00D9693B"/>
    <w:rsid w:val="00D97C37"/>
    <w:rsid w:val="00DA07EF"/>
    <w:rsid w:val="00DA0B78"/>
    <w:rsid w:val="00DA423C"/>
    <w:rsid w:val="00DA4A77"/>
    <w:rsid w:val="00DA4ED8"/>
    <w:rsid w:val="00DA6062"/>
    <w:rsid w:val="00DA636F"/>
    <w:rsid w:val="00DA68EB"/>
    <w:rsid w:val="00DA6A82"/>
    <w:rsid w:val="00DA6BC3"/>
    <w:rsid w:val="00DB02E3"/>
    <w:rsid w:val="00DB0F89"/>
    <w:rsid w:val="00DB108B"/>
    <w:rsid w:val="00DB1354"/>
    <w:rsid w:val="00DB168F"/>
    <w:rsid w:val="00DB2166"/>
    <w:rsid w:val="00DB28E4"/>
    <w:rsid w:val="00DB351C"/>
    <w:rsid w:val="00DB3F55"/>
    <w:rsid w:val="00DB42F0"/>
    <w:rsid w:val="00DB5136"/>
    <w:rsid w:val="00DB5229"/>
    <w:rsid w:val="00DB534B"/>
    <w:rsid w:val="00DB5629"/>
    <w:rsid w:val="00DC0FF0"/>
    <w:rsid w:val="00DC1584"/>
    <w:rsid w:val="00DC2821"/>
    <w:rsid w:val="00DC2DAB"/>
    <w:rsid w:val="00DC35D8"/>
    <w:rsid w:val="00DC3845"/>
    <w:rsid w:val="00DC7740"/>
    <w:rsid w:val="00DD13FB"/>
    <w:rsid w:val="00DD46D3"/>
    <w:rsid w:val="00DD476B"/>
    <w:rsid w:val="00DD4A65"/>
    <w:rsid w:val="00DD4E1A"/>
    <w:rsid w:val="00DD53C3"/>
    <w:rsid w:val="00DD5612"/>
    <w:rsid w:val="00DD6A55"/>
    <w:rsid w:val="00DD7050"/>
    <w:rsid w:val="00DD720C"/>
    <w:rsid w:val="00DD7486"/>
    <w:rsid w:val="00DE082F"/>
    <w:rsid w:val="00DE1207"/>
    <w:rsid w:val="00DE1B31"/>
    <w:rsid w:val="00DE2111"/>
    <w:rsid w:val="00DE2BC2"/>
    <w:rsid w:val="00DE5E71"/>
    <w:rsid w:val="00DE608C"/>
    <w:rsid w:val="00DE652B"/>
    <w:rsid w:val="00DE68AB"/>
    <w:rsid w:val="00DE6ECF"/>
    <w:rsid w:val="00DF086F"/>
    <w:rsid w:val="00DF0F9A"/>
    <w:rsid w:val="00DF145B"/>
    <w:rsid w:val="00DF14C7"/>
    <w:rsid w:val="00DF1676"/>
    <w:rsid w:val="00DF2A79"/>
    <w:rsid w:val="00DF3277"/>
    <w:rsid w:val="00DF3E58"/>
    <w:rsid w:val="00DF3F40"/>
    <w:rsid w:val="00DF5D98"/>
    <w:rsid w:val="00DF60F4"/>
    <w:rsid w:val="00DF6EAA"/>
    <w:rsid w:val="00DF755C"/>
    <w:rsid w:val="00DF7A12"/>
    <w:rsid w:val="00E011D4"/>
    <w:rsid w:val="00E0154A"/>
    <w:rsid w:val="00E02438"/>
    <w:rsid w:val="00E04689"/>
    <w:rsid w:val="00E10440"/>
    <w:rsid w:val="00E11EEA"/>
    <w:rsid w:val="00E128C2"/>
    <w:rsid w:val="00E12A1F"/>
    <w:rsid w:val="00E12F4F"/>
    <w:rsid w:val="00E1302A"/>
    <w:rsid w:val="00E13515"/>
    <w:rsid w:val="00E13F87"/>
    <w:rsid w:val="00E144D4"/>
    <w:rsid w:val="00E1625A"/>
    <w:rsid w:val="00E166FF"/>
    <w:rsid w:val="00E1687F"/>
    <w:rsid w:val="00E16DF7"/>
    <w:rsid w:val="00E20900"/>
    <w:rsid w:val="00E20E5C"/>
    <w:rsid w:val="00E20FE2"/>
    <w:rsid w:val="00E21165"/>
    <w:rsid w:val="00E21C9A"/>
    <w:rsid w:val="00E223FD"/>
    <w:rsid w:val="00E2313F"/>
    <w:rsid w:val="00E23726"/>
    <w:rsid w:val="00E237D0"/>
    <w:rsid w:val="00E24092"/>
    <w:rsid w:val="00E242D9"/>
    <w:rsid w:val="00E24DC5"/>
    <w:rsid w:val="00E25267"/>
    <w:rsid w:val="00E25727"/>
    <w:rsid w:val="00E25DFC"/>
    <w:rsid w:val="00E26919"/>
    <w:rsid w:val="00E2781B"/>
    <w:rsid w:val="00E27E1E"/>
    <w:rsid w:val="00E30183"/>
    <w:rsid w:val="00E30677"/>
    <w:rsid w:val="00E30D2E"/>
    <w:rsid w:val="00E30DAE"/>
    <w:rsid w:val="00E31C4C"/>
    <w:rsid w:val="00E32658"/>
    <w:rsid w:val="00E33286"/>
    <w:rsid w:val="00E34030"/>
    <w:rsid w:val="00E36904"/>
    <w:rsid w:val="00E36C2F"/>
    <w:rsid w:val="00E37253"/>
    <w:rsid w:val="00E37A0B"/>
    <w:rsid w:val="00E3900D"/>
    <w:rsid w:val="00E40225"/>
    <w:rsid w:val="00E40488"/>
    <w:rsid w:val="00E40C05"/>
    <w:rsid w:val="00E4152B"/>
    <w:rsid w:val="00E4391D"/>
    <w:rsid w:val="00E4394C"/>
    <w:rsid w:val="00E43971"/>
    <w:rsid w:val="00E43A92"/>
    <w:rsid w:val="00E44705"/>
    <w:rsid w:val="00E50306"/>
    <w:rsid w:val="00E5059D"/>
    <w:rsid w:val="00E506A8"/>
    <w:rsid w:val="00E50948"/>
    <w:rsid w:val="00E51D12"/>
    <w:rsid w:val="00E52258"/>
    <w:rsid w:val="00E536E5"/>
    <w:rsid w:val="00E53FE6"/>
    <w:rsid w:val="00E54D3C"/>
    <w:rsid w:val="00E55C7F"/>
    <w:rsid w:val="00E567E8"/>
    <w:rsid w:val="00E571C5"/>
    <w:rsid w:val="00E57254"/>
    <w:rsid w:val="00E57E34"/>
    <w:rsid w:val="00E606D3"/>
    <w:rsid w:val="00E61555"/>
    <w:rsid w:val="00E62107"/>
    <w:rsid w:val="00E621B2"/>
    <w:rsid w:val="00E62304"/>
    <w:rsid w:val="00E623C2"/>
    <w:rsid w:val="00E625CD"/>
    <w:rsid w:val="00E625FA"/>
    <w:rsid w:val="00E63851"/>
    <w:rsid w:val="00E63E6A"/>
    <w:rsid w:val="00E63E7B"/>
    <w:rsid w:val="00E643AC"/>
    <w:rsid w:val="00E65486"/>
    <w:rsid w:val="00E663E2"/>
    <w:rsid w:val="00E666A4"/>
    <w:rsid w:val="00E6745B"/>
    <w:rsid w:val="00E67C62"/>
    <w:rsid w:val="00E70D6D"/>
    <w:rsid w:val="00E70E70"/>
    <w:rsid w:val="00E7139E"/>
    <w:rsid w:val="00E7349F"/>
    <w:rsid w:val="00E73E93"/>
    <w:rsid w:val="00E767EB"/>
    <w:rsid w:val="00E76E80"/>
    <w:rsid w:val="00E7751F"/>
    <w:rsid w:val="00E81184"/>
    <w:rsid w:val="00E815CB"/>
    <w:rsid w:val="00E81AC0"/>
    <w:rsid w:val="00E821F4"/>
    <w:rsid w:val="00E841CA"/>
    <w:rsid w:val="00E841CF"/>
    <w:rsid w:val="00E84841"/>
    <w:rsid w:val="00E849C9"/>
    <w:rsid w:val="00E84B52"/>
    <w:rsid w:val="00E85375"/>
    <w:rsid w:val="00E8617C"/>
    <w:rsid w:val="00E864FC"/>
    <w:rsid w:val="00E86C23"/>
    <w:rsid w:val="00E872F4"/>
    <w:rsid w:val="00E8738A"/>
    <w:rsid w:val="00E87A57"/>
    <w:rsid w:val="00E905C7"/>
    <w:rsid w:val="00E906EE"/>
    <w:rsid w:val="00E90C02"/>
    <w:rsid w:val="00E91315"/>
    <w:rsid w:val="00E91701"/>
    <w:rsid w:val="00E919E5"/>
    <w:rsid w:val="00E922FE"/>
    <w:rsid w:val="00E936D8"/>
    <w:rsid w:val="00E94426"/>
    <w:rsid w:val="00E949CB"/>
    <w:rsid w:val="00E95134"/>
    <w:rsid w:val="00E96516"/>
    <w:rsid w:val="00E971CE"/>
    <w:rsid w:val="00EA049B"/>
    <w:rsid w:val="00EA092B"/>
    <w:rsid w:val="00EA1626"/>
    <w:rsid w:val="00EA18D4"/>
    <w:rsid w:val="00EA1AC7"/>
    <w:rsid w:val="00EA2186"/>
    <w:rsid w:val="00EA2310"/>
    <w:rsid w:val="00EA2DF7"/>
    <w:rsid w:val="00EA3B1E"/>
    <w:rsid w:val="00EA3C59"/>
    <w:rsid w:val="00EA52DC"/>
    <w:rsid w:val="00EA5581"/>
    <w:rsid w:val="00EA66B5"/>
    <w:rsid w:val="00EA73A1"/>
    <w:rsid w:val="00EA765D"/>
    <w:rsid w:val="00EB057D"/>
    <w:rsid w:val="00EB07CF"/>
    <w:rsid w:val="00EB18A1"/>
    <w:rsid w:val="00EB1D5A"/>
    <w:rsid w:val="00EB3C80"/>
    <w:rsid w:val="00EB409A"/>
    <w:rsid w:val="00EB4A2E"/>
    <w:rsid w:val="00EB5832"/>
    <w:rsid w:val="00EB670C"/>
    <w:rsid w:val="00EB74D8"/>
    <w:rsid w:val="00EB7780"/>
    <w:rsid w:val="00EC006E"/>
    <w:rsid w:val="00EC03CB"/>
    <w:rsid w:val="00EC040B"/>
    <w:rsid w:val="00EC3060"/>
    <w:rsid w:val="00EC42DF"/>
    <w:rsid w:val="00EC4B59"/>
    <w:rsid w:val="00EC799E"/>
    <w:rsid w:val="00EC7DEF"/>
    <w:rsid w:val="00ED03D0"/>
    <w:rsid w:val="00ED0AF6"/>
    <w:rsid w:val="00ED1E11"/>
    <w:rsid w:val="00ED2560"/>
    <w:rsid w:val="00ED4291"/>
    <w:rsid w:val="00ED5753"/>
    <w:rsid w:val="00ED5BAA"/>
    <w:rsid w:val="00ED5E26"/>
    <w:rsid w:val="00ED62B0"/>
    <w:rsid w:val="00ED730E"/>
    <w:rsid w:val="00ED7B61"/>
    <w:rsid w:val="00ED7EC3"/>
    <w:rsid w:val="00ED7EFC"/>
    <w:rsid w:val="00ED7F99"/>
    <w:rsid w:val="00EE0956"/>
    <w:rsid w:val="00EE151B"/>
    <w:rsid w:val="00EE18FC"/>
    <w:rsid w:val="00EE2F87"/>
    <w:rsid w:val="00EE375C"/>
    <w:rsid w:val="00EE49D1"/>
    <w:rsid w:val="00EE52E0"/>
    <w:rsid w:val="00EE53E3"/>
    <w:rsid w:val="00EE6CB4"/>
    <w:rsid w:val="00EE7C86"/>
    <w:rsid w:val="00EF01F2"/>
    <w:rsid w:val="00EF0225"/>
    <w:rsid w:val="00EF09B2"/>
    <w:rsid w:val="00EF0D4B"/>
    <w:rsid w:val="00EF18F6"/>
    <w:rsid w:val="00EF2D2F"/>
    <w:rsid w:val="00EF3E79"/>
    <w:rsid w:val="00EF5F86"/>
    <w:rsid w:val="00EF5FB8"/>
    <w:rsid w:val="00EF6155"/>
    <w:rsid w:val="00EF6269"/>
    <w:rsid w:val="00EF7D90"/>
    <w:rsid w:val="00F009A6"/>
    <w:rsid w:val="00F0140B"/>
    <w:rsid w:val="00F02B9E"/>
    <w:rsid w:val="00F04FBE"/>
    <w:rsid w:val="00F0579C"/>
    <w:rsid w:val="00F0658F"/>
    <w:rsid w:val="00F078A0"/>
    <w:rsid w:val="00F07C86"/>
    <w:rsid w:val="00F07D8B"/>
    <w:rsid w:val="00F1053D"/>
    <w:rsid w:val="00F10E1A"/>
    <w:rsid w:val="00F12A74"/>
    <w:rsid w:val="00F1351A"/>
    <w:rsid w:val="00F14279"/>
    <w:rsid w:val="00F15190"/>
    <w:rsid w:val="00F152FD"/>
    <w:rsid w:val="00F159A1"/>
    <w:rsid w:val="00F15F0E"/>
    <w:rsid w:val="00F163E8"/>
    <w:rsid w:val="00F1641C"/>
    <w:rsid w:val="00F17DAC"/>
    <w:rsid w:val="00F20321"/>
    <w:rsid w:val="00F20870"/>
    <w:rsid w:val="00F210B5"/>
    <w:rsid w:val="00F21F80"/>
    <w:rsid w:val="00F22370"/>
    <w:rsid w:val="00F2496F"/>
    <w:rsid w:val="00F26BBE"/>
    <w:rsid w:val="00F273DB"/>
    <w:rsid w:val="00F27446"/>
    <w:rsid w:val="00F274A8"/>
    <w:rsid w:val="00F276DA"/>
    <w:rsid w:val="00F3032E"/>
    <w:rsid w:val="00F30EDA"/>
    <w:rsid w:val="00F311A2"/>
    <w:rsid w:val="00F327DD"/>
    <w:rsid w:val="00F337B3"/>
    <w:rsid w:val="00F4091F"/>
    <w:rsid w:val="00F41A33"/>
    <w:rsid w:val="00F41B4C"/>
    <w:rsid w:val="00F44620"/>
    <w:rsid w:val="00F45B61"/>
    <w:rsid w:val="00F45F4E"/>
    <w:rsid w:val="00F46107"/>
    <w:rsid w:val="00F47825"/>
    <w:rsid w:val="00F5024D"/>
    <w:rsid w:val="00F50D05"/>
    <w:rsid w:val="00F5135E"/>
    <w:rsid w:val="00F5194E"/>
    <w:rsid w:val="00F52C9B"/>
    <w:rsid w:val="00F530BA"/>
    <w:rsid w:val="00F532CB"/>
    <w:rsid w:val="00F53824"/>
    <w:rsid w:val="00F5478D"/>
    <w:rsid w:val="00F5497E"/>
    <w:rsid w:val="00F54EA7"/>
    <w:rsid w:val="00F55B36"/>
    <w:rsid w:val="00F55F7F"/>
    <w:rsid w:val="00F5636B"/>
    <w:rsid w:val="00F5695B"/>
    <w:rsid w:val="00F5751C"/>
    <w:rsid w:val="00F58069"/>
    <w:rsid w:val="00F610B1"/>
    <w:rsid w:val="00F61918"/>
    <w:rsid w:val="00F61AD6"/>
    <w:rsid w:val="00F6222C"/>
    <w:rsid w:val="00F624F2"/>
    <w:rsid w:val="00F626AB"/>
    <w:rsid w:val="00F638F1"/>
    <w:rsid w:val="00F641EA"/>
    <w:rsid w:val="00F642AF"/>
    <w:rsid w:val="00F64D9D"/>
    <w:rsid w:val="00F661EE"/>
    <w:rsid w:val="00F66236"/>
    <w:rsid w:val="00F673DC"/>
    <w:rsid w:val="00F67893"/>
    <w:rsid w:val="00F67F2D"/>
    <w:rsid w:val="00F722C2"/>
    <w:rsid w:val="00F76FD3"/>
    <w:rsid w:val="00F80A7E"/>
    <w:rsid w:val="00F80F28"/>
    <w:rsid w:val="00F82A36"/>
    <w:rsid w:val="00F8308E"/>
    <w:rsid w:val="00F84256"/>
    <w:rsid w:val="00F851C0"/>
    <w:rsid w:val="00F85E4F"/>
    <w:rsid w:val="00F85F2E"/>
    <w:rsid w:val="00F862D9"/>
    <w:rsid w:val="00F8691B"/>
    <w:rsid w:val="00F8694C"/>
    <w:rsid w:val="00F873D9"/>
    <w:rsid w:val="00F8770A"/>
    <w:rsid w:val="00F877B2"/>
    <w:rsid w:val="00F87D5B"/>
    <w:rsid w:val="00F87ED0"/>
    <w:rsid w:val="00F915A6"/>
    <w:rsid w:val="00F91A1A"/>
    <w:rsid w:val="00F92DAA"/>
    <w:rsid w:val="00F92DDA"/>
    <w:rsid w:val="00F94C2B"/>
    <w:rsid w:val="00F95BC8"/>
    <w:rsid w:val="00F966B5"/>
    <w:rsid w:val="00FA0FB4"/>
    <w:rsid w:val="00FA1E02"/>
    <w:rsid w:val="00FA24DC"/>
    <w:rsid w:val="00FA2E31"/>
    <w:rsid w:val="00FA33BA"/>
    <w:rsid w:val="00FA3D1B"/>
    <w:rsid w:val="00FA42A0"/>
    <w:rsid w:val="00FA4AE1"/>
    <w:rsid w:val="00FA64DE"/>
    <w:rsid w:val="00FA6E96"/>
    <w:rsid w:val="00FA7679"/>
    <w:rsid w:val="00FA7BFB"/>
    <w:rsid w:val="00FB0DCC"/>
    <w:rsid w:val="00FB10C2"/>
    <w:rsid w:val="00FB195C"/>
    <w:rsid w:val="00FB2105"/>
    <w:rsid w:val="00FB25EB"/>
    <w:rsid w:val="00FB2BFB"/>
    <w:rsid w:val="00FB381F"/>
    <w:rsid w:val="00FB3E27"/>
    <w:rsid w:val="00FB4109"/>
    <w:rsid w:val="00FB5461"/>
    <w:rsid w:val="00FB67FA"/>
    <w:rsid w:val="00FC00C5"/>
    <w:rsid w:val="00FC1261"/>
    <w:rsid w:val="00FC1910"/>
    <w:rsid w:val="00FC1AED"/>
    <w:rsid w:val="00FC1BBB"/>
    <w:rsid w:val="00FC1E97"/>
    <w:rsid w:val="00FC1F38"/>
    <w:rsid w:val="00FC2053"/>
    <w:rsid w:val="00FC2437"/>
    <w:rsid w:val="00FC2BDE"/>
    <w:rsid w:val="00FC33E8"/>
    <w:rsid w:val="00FC39FF"/>
    <w:rsid w:val="00FC466C"/>
    <w:rsid w:val="00FC4905"/>
    <w:rsid w:val="00FC58B9"/>
    <w:rsid w:val="00FC695F"/>
    <w:rsid w:val="00FC6DD7"/>
    <w:rsid w:val="00FC720D"/>
    <w:rsid w:val="00FC76AB"/>
    <w:rsid w:val="00FC7B6E"/>
    <w:rsid w:val="00FD13A9"/>
    <w:rsid w:val="00FD1934"/>
    <w:rsid w:val="00FD27AD"/>
    <w:rsid w:val="00FD2B82"/>
    <w:rsid w:val="00FD36BF"/>
    <w:rsid w:val="00FD3A8A"/>
    <w:rsid w:val="00FD3BE9"/>
    <w:rsid w:val="00FD4234"/>
    <w:rsid w:val="00FD4994"/>
    <w:rsid w:val="00FD5A8C"/>
    <w:rsid w:val="00FD5EF7"/>
    <w:rsid w:val="00FD6119"/>
    <w:rsid w:val="00FD667F"/>
    <w:rsid w:val="00FD6845"/>
    <w:rsid w:val="00FD6980"/>
    <w:rsid w:val="00FD70E2"/>
    <w:rsid w:val="00FE07D1"/>
    <w:rsid w:val="00FE2632"/>
    <w:rsid w:val="00FE2962"/>
    <w:rsid w:val="00FE3352"/>
    <w:rsid w:val="00FE381F"/>
    <w:rsid w:val="00FE433E"/>
    <w:rsid w:val="00FE5198"/>
    <w:rsid w:val="00FE6351"/>
    <w:rsid w:val="00FE65B1"/>
    <w:rsid w:val="00FE781B"/>
    <w:rsid w:val="00FF14FE"/>
    <w:rsid w:val="00FF30D4"/>
    <w:rsid w:val="00FF3923"/>
    <w:rsid w:val="00FF4D78"/>
    <w:rsid w:val="00FF4DA8"/>
    <w:rsid w:val="00FF599B"/>
    <w:rsid w:val="00FF75DC"/>
    <w:rsid w:val="00FF7F4E"/>
    <w:rsid w:val="0109B70A"/>
    <w:rsid w:val="010D9360"/>
    <w:rsid w:val="012A7C3C"/>
    <w:rsid w:val="0135B3A8"/>
    <w:rsid w:val="01615230"/>
    <w:rsid w:val="016158FF"/>
    <w:rsid w:val="018E5C17"/>
    <w:rsid w:val="01BBA339"/>
    <w:rsid w:val="01BE6EDB"/>
    <w:rsid w:val="01CEFF4C"/>
    <w:rsid w:val="01D366C7"/>
    <w:rsid w:val="01F63444"/>
    <w:rsid w:val="01FF5742"/>
    <w:rsid w:val="020697D0"/>
    <w:rsid w:val="023D15FF"/>
    <w:rsid w:val="02594DA0"/>
    <w:rsid w:val="0273D5C8"/>
    <w:rsid w:val="027463B7"/>
    <w:rsid w:val="027BBDFB"/>
    <w:rsid w:val="0283C43B"/>
    <w:rsid w:val="02859C76"/>
    <w:rsid w:val="029ECAAA"/>
    <w:rsid w:val="02A37FEC"/>
    <w:rsid w:val="02B51D55"/>
    <w:rsid w:val="02B8159F"/>
    <w:rsid w:val="02C08F28"/>
    <w:rsid w:val="02C96D9A"/>
    <w:rsid w:val="02CA967F"/>
    <w:rsid w:val="03044EC7"/>
    <w:rsid w:val="031B7884"/>
    <w:rsid w:val="03309C1F"/>
    <w:rsid w:val="035E7B7D"/>
    <w:rsid w:val="0361B232"/>
    <w:rsid w:val="036A859E"/>
    <w:rsid w:val="037077C8"/>
    <w:rsid w:val="03728A0B"/>
    <w:rsid w:val="037FF34A"/>
    <w:rsid w:val="0381EDF2"/>
    <w:rsid w:val="0399862A"/>
    <w:rsid w:val="03B417ED"/>
    <w:rsid w:val="03C1CD94"/>
    <w:rsid w:val="03C3BC5C"/>
    <w:rsid w:val="03D33135"/>
    <w:rsid w:val="03D79D6C"/>
    <w:rsid w:val="03E09067"/>
    <w:rsid w:val="03EFAD6F"/>
    <w:rsid w:val="0441B40E"/>
    <w:rsid w:val="04424753"/>
    <w:rsid w:val="04498FDB"/>
    <w:rsid w:val="044F1CB8"/>
    <w:rsid w:val="045CFF4F"/>
    <w:rsid w:val="046E7BA9"/>
    <w:rsid w:val="04720841"/>
    <w:rsid w:val="048433AF"/>
    <w:rsid w:val="04935BBA"/>
    <w:rsid w:val="049CB7AB"/>
    <w:rsid w:val="04AB5B4E"/>
    <w:rsid w:val="04D594EA"/>
    <w:rsid w:val="04D99F94"/>
    <w:rsid w:val="04D9CB4B"/>
    <w:rsid w:val="04F96479"/>
    <w:rsid w:val="0503C2BB"/>
    <w:rsid w:val="050D9A2F"/>
    <w:rsid w:val="05248DF3"/>
    <w:rsid w:val="0541FC0F"/>
    <w:rsid w:val="0546330D"/>
    <w:rsid w:val="05673C22"/>
    <w:rsid w:val="0578C458"/>
    <w:rsid w:val="057CAA93"/>
    <w:rsid w:val="05870CE5"/>
    <w:rsid w:val="058D0570"/>
    <w:rsid w:val="059B6A0B"/>
    <w:rsid w:val="05C65F05"/>
    <w:rsid w:val="05CC59AC"/>
    <w:rsid w:val="05F6070A"/>
    <w:rsid w:val="0601575F"/>
    <w:rsid w:val="0607CD45"/>
    <w:rsid w:val="06213649"/>
    <w:rsid w:val="062CD1B2"/>
    <w:rsid w:val="0636C091"/>
    <w:rsid w:val="06472BAF"/>
    <w:rsid w:val="066AD0B8"/>
    <w:rsid w:val="067455BC"/>
    <w:rsid w:val="0678DADD"/>
    <w:rsid w:val="067ACFC4"/>
    <w:rsid w:val="0684997F"/>
    <w:rsid w:val="068CDE0D"/>
    <w:rsid w:val="06955C2E"/>
    <w:rsid w:val="069F931C"/>
    <w:rsid w:val="06D5CB39"/>
    <w:rsid w:val="06F676F6"/>
    <w:rsid w:val="0701C9FA"/>
    <w:rsid w:val="07075636"/>
    <w:rsid w:val="0726834E"/>
    <w:rsid w:val="0753D832"/>
    <w:rsid w:val="076A6C2A"/>
    <w:rsid w:val="0797E07D"/>
    <w:rsid w:val="07ACC67F"/>
    <w:rsid w:val="08072942"/>
    <w:rsid w:val="0815DADE"/>
    <w:rsid w:val="08308003"/>
    <w:rsid w:val="083A3FD4"/>
    <w:rsid w:val="0856FA00"/>
    <w:rsid w:val="085DE7DA"/>
    <w:rsid w:val="0863201C"/>
    <w:rsid w:val="086F55FD"/>
    <w:rsid w:val="0875B277"/>
    <w:rsid w:val="08855D4F"/>
    <w:rsid w:val="088C2BCF"/>
    <w:rsid w:val="0898580E"/>
    <w:rsid w:val="08CFB0AA"/>
    <w:rsid w:val="08DC27DB"/>
    <w:rsid w:val="08DE7C7C"/>
    <w:rsid w:val="08EC27BF"/>
    <w:rsid w:val="08F8846B"/>
    <w:rsid w:val="08FCE27E"/>
    <w:rsid w:val="09078B4B"/>
    <w:rsid w:val="0908824C"/>
    <w:rsid w:val="090A0278"/>
    <w:rsid w:val="09134B98"/>
    <w:rsid w:val="0922C62E"/>
    <w:rsid w:val="0928DDD6"/>
    <w:rsid w:val="093F5594"/>
    <w:rsid w:val="094B5EA4"/>
    <w:rsid w:val="097227DB"/>
    <w:rsid w:val="0979E490"/>
    <w:rsid w:val="099E7B97"/>
    <w:rsid w:val="09AA1B22"/>
    <w:rsid w:val="09B06255"/>
    <w:rsid w:val="09DFD7C7"/>
    <w:rsid w:val="09EB8286"/>
    <w:rsid w:val="09F492FF"/>
    <w:rsid w:val="09F9B1B1"/>
    <w:rsid w:val="0A02E9AD"/>
    <w:rsid w:val="0A0A0D1C"/>
    <w:rsid w:val="0A14A7CC"/>
    <w:rsid w:val="0A2E4B6D"/>
    <w:rsid w:val="0A3758AC"/>
    <w:rsid w:val="0A59FE7F"/>
    <w:rsid w:val="0A6AEF26"/>
    <w:rsid w:val="0A7732FC"/>
    <w:rsid w:val="0A8D3C74"/>
    <w:rsid w:val="0AAAB16A"/>
    <w:rsid w:val="0AAF3496"/>
    <w:rsid w:val="0ACC7767"/>
    <w:rsid w:val="0AE80691"/>
    <w:rsid w:val="0AF0C182"/>
    <w:rsid w:val="0AFD54F5"/>
    <w:rsid w:val="0AFD8FFC"/>
    <w:rsid w:val="0AFE533C"/>
    <w:rsid w:val="0B06565B"/>
    <w:rsid w:val="0B17C101"/>
    <w:rsid w:val="0B1C7E7B"/>
    <w:rsid w:val="0B33D571"/>
    <w:rsid w:val="0B355E36"/>
    <w:rsid w:val="0B3C9622"/>
    <w:rsid w:val="0B83AE4E"/>
    <w:rsid w:val="0B862753"/>
    <w:rsid w:val="0B88BD02"/>
    <w:rsid w:val="0BA7D96C"/>
    <w:rsid w:val="0BB04C7C"/>
    <w:rsid w:val="0BB65CD0"/>
    <w:rsid w:val="0BD49829"/>
    <w:rsid w:val="0BD8FDB6"/>
    <w:rsid w:val="0BE7A87F"/>
    <w:rsid w:val="0C0972C1"/>
    <w:rsid w:val="0C1776B8"/>
    <w:rsid w:val="0C297773"/>
    <w:rsid w:val="0C3F2802"/>
    <w:rsid w:val="0C422AD1"/>
    <w:rsid w:val="0C44C871"/>
    <w:rsid w:val="0C4F373B"/>
    <w:rsid w:val="0C5464B1"/>
    <w:rsid w:val="0C59AA2F"/>
    <w:rsid w:val="0C5BE359"/>
    <w:rsid w:val="0C893069"/>
    <w:rsid w:val="0CA44AD8"/>
    <w:rsid w:val="0CAD9AE9"/>
    <w:rsid w:val="0CBC97E9"/>
    <w:rsid w:val="0CCC608C"/>
    <w:rsid w:val="0CD929A8"/>
    <w:rsid w:val="0CE81C61"/>
    <w:rsid w:val="0CF19A5B"/>
    <w:rsid w:val="0D0D7C17"/>
    <w:rsid w:val="0D16103A"/>
    <w:rsid w:val="0D24F0BC"/>
    <w:rsid w:val="0D3CB4D2"/>
    <w:rsid w:val="0D78C686"/>
    <w:rsid w:val="0DB8706A"/>
    <w:rsid w:val="0DC10058"/>
    <w:rsid w:val="0DF6B0B3"/>
    <w:rsid w:val="0DFA1B42"/>
    <w:rsid w:val="0E12DF2A"/>
    <w:rsid w:val="0E494B41"/>
    <w:rsid w:val="0E49903D"/>
    <w:rsid w:val="0E5007DC"/>
    <w:rsid w:val="0E58AE83"/>
    <w:rsid w:val="0E5E2181"/>
    <w:rsid w:val="0E847A51"/>
    <w:rsid w:val="0E8BE6AC"/>
    <w:rsid w:val="0E8CB9DC"/>
    <w:rsid w:val="0E8FF627"/>
    <w:rsid w:val="0EAAF98F"/>
    <w:rsid w:val="0EB6FCE1"/>
    <w:rsid w:val="0EC54965"/>
    <w:rsid w:val="0ECA65AC"/>
    <w:rsid w:val="0EF0A1E8"/>
    <w:rsid w:val="0F10B1E3"/>
    <w:rsid w:val="0F44DC67"/>
    <w:rsid w:val="0F4FD2F1"/>
    <w:rsid w:val="0F5E599F"/>
    <w:rsid w:val="0F635484"/>
    <w:rsid w:val="0F76E389"/>
    <w:rsid w:val="0FABEF17"/>
    <w:rsid w:val="0FE8BAFE"/>
    <w:rsid w:val="0FF703BC"/>
    <w:rsid w:val="102420EC"/>
    <w:rsid w:val="102FF6AF"/>
    <w:rsid w:val="1030A3F1"/>
    <w:rsid w:val="10320A1A"/>
    <w:rsid w:val="10353A13"/>
    <w:rsid w:val="103887B7"/>
    <w:rsid w:val="105470C4"/>
    <w:rsid w:val="105BA1F7"/>
    <w:rsid w:val="10AEA1A1"/>
    <w:rsid w:val="10C51745"/>
    <w:rsid w:val="10E1B7CF"/>
    <w:rsid w:val="10F2872E"/>
    <w:rsid w:val="10FC1332"/>
    <w:rsid w:val="110D6668"/>
    <w:rsid w:val="110DFB3A"/>
    <w:rsid w:val="11214ECC"/>
    <w:rsid w:val="11380355"/>
    <w:rsid w:val="114A2DD9"/>
    <w:rsid w:val="114CE260"/>
    <w:rsid w:val="1174C79C"/>
    <w:rsid w:val="117B0ADE"/>
    <w:rsid w:val="1188312A"/>
    <w:rsid w:val="11888048"/>
    <w:rsid w:val="11919619"/>
    <w:rsid w:val="11AA46F6"/>
    <w:rsid w:val="11B09499"/>
    <w:rsid w:val="11C6A051"/>
    <w:rsid w:val="11CF17AD"/>
    <w:rsid w:val="11F2E17D"/>
    <w:rsid w:val="11FB84BB"/>
    <w:rsid w:val="11FBAB58"/>
    <w:rsid w:val="120ACA62"/>
    <w:rsid w:val="1224F08E"/>
    <w:rsid w:val="1258C3D5"/>
    <w:rsid w:val="125EFB0F"/>
    <w:rsid w:val="125F9273"/>
    <w:rsid w:val="126678C2"/>
    <w:rsid w:val="1266A0CD"/>
    <w:rsid w:val="12944283"/>
    <w:rsid w:val="12A77FA8"/>
    <w:rsid w:val="12BF067B"/>
    <w:rsid w:val="12C4546D"/>
    <w:rsid w:val="12F3669E"/>
    <w:rsid w:val="12FFC7EC"/>
    <w:rsid w:val="1306D6BD"/>
    <w:rsid w:val="1306E141"/>
    <w:rsid w:val="130ACC27"/>
    <w:rsid w:val="13254F7D"/>
    <w:rsid w:val="132C82B4"/>
    <w:rsid w:val="1346005F"/>
    <w:rsid w:val="135CF770"/>
    <w:rsid w:val="13631E39"/>
    <w:rsid w:val="13707117"/>
    <w:rsid w:val="137918FA"/>
    <w:rsid w:val="138BBBA9"/>
    <w:rsid w:val="13B5FB11"/>
    <w:rsid w:val="13B7E4D7"/>
    <w:rsid w:val="13BDD17A"/>
    <w:rsid w:val="13D9BE0C"/>
    <w:rsid w:val="13DEAE69"/>
    <w:rsid w:val="13E38458"/>
    <w:rsid w:val="13E54C7A"/>
    <w:rsid w:val="13E5B88A"/>
    <w:rsid w:val="13FC2015"/>
    <w:rsid w:val="142D839F"/>
    <w:rsid w:val="142DA466"/>
    <w:rsid w:val="1431C23B"/>
    <w:rsid w:val="143C76FE"/>
    <w:rsid w:val="144D34FB"/>
    <w:rsid w:val="1451D83D"/>
    <w:rsid w:val="1454841B"/>
    <w:rsid w:val="145BD7CE"/>
    <w:rsid w:val="1463C439"/>
    <w:rsid w:val="147C43C1"/>
    <w:rsid w:val="1481F6B3"/>
    <w:rsid w:val="14890048"/>
    <w:rsid w:val="148BACA6"/>
    <w:rsid w:val="14959B98"/>
    <w:rsid w:val="14A10327"/>
    <w:rsid w:val="14A93124"/>
    <w:rsid w:val="14C89B80"/>
    <w:rsid w:val="14CCE6F6"/>
    <w:rsid w:val="14DB04CE"/>
    <w:rsid w:val="14FA286D"/>
    <w:rsid w:val="14FA82EF"/>
    <w:rsid w:val="14FC98AB"/>
    <w:rsid w:val="14FF6A49"/>
    <w:rsid w:val="1551252B"/>
    <w:rsid w:val="1575513D"/>
    <w:rsid w:val="15795198"/>
    <w:rsid w:val="15840E6A"/>
    <w:rsid w:val="15864DCA"/>
    <w:rsid w:val="159143CE"/>
    <w:rsid w:val="1595A3C9"/>
    <w:rsid w:val="15B0B91C"/>
    <w:rsid w:val="15B496A5"/>
    <w:rsid w:val="15DC3E86"/>
    <w:rsid w:val="15E363A9"/>
    <w:rsid w:val="15EE182E"/>
    <w:rsid w:val="15F4E63E"/>
    <w:rsid w:val="161D4051"/>
    <w:rsid w:val="16442958"/>
    <w:rsid w:val="16599EB6"/>
    <w:rsid w:val="16607FDF"/>
    <w:rsid w:val="166825A5"/>
    <w:rsid w:val="16930021"/>
    <w:rsid w:val="169E0E70"/>
    <w:rsid w:val="16A8E438"/>
    <w:rsid w:val="16BDA46C"/>
    <w:rsid w:val="16D85781"/>
    <w:rsid w:val="17138245"/>
    <w:rsid w:val="1741A8A0"/>
    <w:rsid w:val="175326C1"/>
    <w:rsid w:val="1758F4C0"/>
    <w:rsid w:val="1761BDD0"/>
    <w:rsid w:val="17631258"/>
    <w:rsid w:val="176C8BE9"/>
    <w:rsid w:val="1770BDEE"/>
    <w:rsid w:val="17782D56"/>
    <w:rsid w:val="1781D503"/>
    <w:rsid w:val="1794EF00"/>
    <w:rsid w:val="17CB327B"/>
    <w:rsid w:val="17F36E56"/>
    <w:rsid w:val="17F7D0C9"/>
    <w:rsid w:val="180BFC7A"/>
    <w:rsid w:val="180CD84B"/>
    <w:rsid w:val="180EC950"/>
    <w:rsid w:val="1822C501"/>
    <w:rsid w:val="185815DE"/>
    <w:rsid w:val="185BA591"/>
    <w:rsid w:val="186365B0"/>
    <w:rsid w:val="186D4B22"/>
    <w:rsid w:val="1874B475"/>
    <w:rsid w:val="187AD907"/>
    <w:rsid w:val="187C8360"/>
    <w:rsid w:val="1894DEA2"/>
    <w:rsid w:val="189BABFE"/>
    <w:rsid w:val="18C7E3DE"/>
    <w:rsid w:val="18D40D11"/>
    <w:rsid w:val="1904323A"/>
    <w:rsid w:val="1912EF83"/>
    <w:rsid w:val="192905F2"/>
    <w:rsid w:val="19295738"/>
    <w:rsid w:val="193BDAC1"/>
    <w:rsid w:val="1947CA47"/>
    <w:rsid w:val="1954D487"/>
    <w:rsid w:val="19606EA1"/>
    <w:rsid w:val="19630AD8"/>
    <w:rsid w:val="197C79D9"/>
    <w:rsid w:val="19842F59"/>
    <w:rsid w:val="1987A64C"/>
    <w:rsid w:val="19A5013A"/>
    <w:rsid w:val="19AA3E77"/>
    <w:rsid w:val="19AE6BB0"/>
    <w:rsid w:val="19C1C9DC"/>
    <w:rsid w:val="19E2C407"/>
    <w:rsid w:val="19E87298"/>
    <w:rsid w:val="1A276B14"/>
    <w:rsid w:val="1A61DA27"/>
    <w:rsid w:val="1A7BC979"/>
    <w:rsid w:val="1A85797C"/>
    <w:rsid w:val="1A8BBAC7"/>
    <w:rsid w:val="1AB2C5D4"/>
    <w:rsid w:val="1AC3FE52"/>
    <w:rsid w:val="1ACC5D59"/>
    <w:rsid w:val="1AD76C38"/>
    <w:rsid w:val="1B038EA7"/>
    <w:rsid w:val="1B2F00ED"/>
    <w:rsid w:val="1B37D4E6"/>
    <w:rsid w:val="1B4D9497"/>
    <w:rsid w:val="1B4FC804"/>
    <w:rsid w:val="1B5535D4"/>
    <w:rsid w:val="1B602B82"/>
    <w:rsid w:val="1B7BC4FC"/>
    <w:rsid w:val="1B7FB23C"/>
    <w:rsid w:val="1B814C96"/>
    <w:rsid w:val="1B9C635A"/>
    <w:rsid w:val="1BA82AB1"/>
    <w:rsid w:val="1BAF6F40"/>
    <w:rsid w:val="1BB89A06"/>
    <w:rsid w:val="1BCB0DDE"/>
    <w:rsid w:val="1BEDC694"/>
    <w:rsid w:val="1BFBEB50"/>
    <w:rsid w:val="1C1655E4"/>
    <w:rsid w:val="1C1A7BA1"/>
    <w:rsid w:val="1C2CF7FE"/>
    <w:rsid w:val="1C2E6807"/>
    <w:rsid w:val="1C341C67"/>
    <w:rsid w:val="1C40EDE6"/>
    <w:rsid w:val="1C43C1B1"/>
    <w:rsid w:val="1C5E0CCA"/>
    <w:rsid w:val="1C67EB04"/>
    <w:rsid w:val="1C740A36"/>
    <w:rsid w:val="1C7869F4"/>
    <w:rsid w:val="1C9CE0BE"/>
    <w:rsid w:val="1CB0CB00"/>
    <w:rsid w:val="1CBA895A"/>
    <w:rsid w:val="1CCAF786"/>
    <w:rsid w:val="1CD44723"/>
    <w:rsid w:val="1CD5A3F1"/>
    <w:rsid w:val="1CE2DD93"/>
    <w:rsid w:val="1CFC5F7A"/>
    <w:rsid w:val="1D2CE5F0"/>
    <w:rsid w:val="1D38C0D9"/>
    <w:rsid w:val="1D411F03"/>
    <w:rsid w:val="1D43FB12"/>
    <w:rsid w:val="1D57B863"/>
    <w:rsid w:val="1D58365F"/>
    <w:rsid w:val="1D5F87F1"/>
    <w:rsid w:val="1D64E169"/>
    <w:rsid w:val="1D85E6A4"/>
    <w:rsid w:val="1D8B5253"/>
    <w:rsid w:val="1D8C5FB3"/>
    <w:rsid w:val="1D8C92DC"/>
    <w:rsid w:val="1E068BAE"/>
    <w:rsid w:val="1E1A184F"/>
    <w:rsid w:val="1E1E5EA4"/>
    <w:rsid w:val="1E62EAA0"/>
    <w:rsid w:val="1E774ECA"/>
    <w:rsid w:val="1EAB713E"/>
    <w:rsid w:val="1EADDDEB"/>
    <w:rsid w:val="1EB2C51B"/>
    <w:rsid w:val="1ED1C1B5"/>
    <w:rsid w:val="1EEF3EBD"/>
    <w:rsid w:val="1EF328AA"/>
    <w:rsid w:val="1F19EF5A"/>
    <w:rsid w:val="1F22174F"/>
    <w:rsid w:val="1F43265A"/>
    <w:rsid w:val="1F4654AD"/>
    <w:rsid w:val="1F4B4BD6"/>
    <w:rsid w:val="1F59F054"/>
    <w:rsid w:val="1F5E2D4E"/>
    <w:rsid w:val="1F6F853B"/>
    <w:rsid w:val="1F8BF885"/>
    <w:rsid w:val="1FF7B901"/>
    <w:rsid w:val="1FF84FBD"/>
    <w:rsid w:val="1FFE21E3"/>
    <w:rsid w:val="201EA397"/>
    <w:rsid w:val="202DAC65"/>
    <w:rsid w:val="2081AF59"/>
    <w:rsid w:val="20844F6F"/>
    <w:rsid w:val="209F6DEB"/>
    <w:rsid w:val="20B9F45E"/>
    <w:rsid w:val="20D340AC"/>
    <w:rsid w:val="20DF91A2"/>
    <w:rsid w:val="210A283E"/>
    <w:rsid w:val="211A7DE5"/>
    <w:rsid w:val="21255F08"/>
    <w:rsid w:val="212DC3E9"/>
    <w:rsid w:val="2142F735"/>
    <w:rsid w:val="2148AE29"/>
    <w:rsid w:val="214C1521"/>
    <w:rsid w:val="21690A55"/>
    <w:rsid w:val="2175B251"/>
    <w:rsid w:val="217612BE"/>
    <w:rsid w:val="2181CB00"/>
    <w:rsid w:val="218C9838"/>
    <w:rsid w:val="21A1B0F3"/>
    <w:rsid w:val="21ABEB30"/>
    <w:rsid w:val="21ACF47B"/>
    <w:rsid w:val="21B2D723"/>
    <w:rsid w:val="21BE257F"/>
    <w:rsid w:val="21DF8CCA"/>
    <w:rsid w:val="2219721D"/>
    <w:rsid w:val="22248AF4"/>
    <w:rsid w:val="2225512C"/>
    <w:rsid w:val="22396782"/>
    <w:rsid w:val="223BA617"/>
    <w:rsid w:val="223C47DB"/>
    <w:rsid w:val="224CB6A3"/>
    <w:rsid w:val="2265DB9F"/>
    <w:rsid w:val="22896AEF"/>
    <w:rsid w:val="2293757A"/>
    <w:rsid w:val="229382AE"/>
    <w:rsid w:val="22A24595"/>
    <w:rsid w:val="22D4193E"/>
    <w:rsid w:val="2301EB29"/>
    <w:rsid w:val="2332BB23"/>
    <w:rsid w:val="235A3E9C"/>
    <w:rsid w:val="23773675"/>
    <w:rsid w:val="2377F2A5"/>
    <w:rsid w:val="2382A025"/>
    <w:rsid w:val="238B8A4C"/>
    <w:rsid w:val="238FF108"/>
    <w:rsid w:val="23A36E95"/>
    <w:rsid w:val="23AE7505"/>
    <w:rsid w:val="23DEEBE4"/>
    <w:rsid w:val="23E809A4"/>
    <w:rsid w:val="23FFF1EA"/>
    <w:rsid w:val="2401FB7E"/>
    <w:rsid w:val="24148636"/>
    <w:rsid w:val="24159FC8"/>
    <w:rsid w:val="241C2328"/>
    <w:rsid w:val="24294E5F"/>
    <w:rsid w:val="242CA296"/>
    <w:rsid w:val="24352512"/>
    <w:rsid w:val="243C90BD"/>
    <w:rsid w:val="244C8A9A"/>
    <w:rsid w:val="244CC5F7"/>
    <w:rsid w:val="2453D146"/>
    <w:rsid w:val="247A7E9B"/>
    <w:rsid w:val="248B4A43"/>
    <w:rsid w:val="24C72A97"/>
    <w:rsid w:val="24C73F23"/>
    <w:rsid w:val="24D10D2C"/>
    <w:rsid w:val="24DC2540"/>
    <w:rsid w:val="24EDF0DE"/>
    <w:rsid w:val="24FA7EB7"/>
    <w:rsid w:val="24FAEDCE"/>
    <w:rsid w:val="250266C1"/>
    <w:rsid w:val="2504CEE9"/>
    <w:rsid w:val="25165236"/>
    <w:rsid w:val="251CE038"/>
    <w:rsid w:val="25519AE4"/>
    <w:rsid w:val="256BD62F"/>
    <w:rsid w:val="259530A2"/>
    <w:rsid w:val="2599C859"/>
    <w:rsid w:val="25B6D2B9"/>
    <w:rsid w:val="25C89715"/>
    <w:rsid w:val="25D3C084"/>
    <w:rsid w:val="25D711E4"/>
    <w:rsid w:val="25F3632A"/>
    <w:rsid w:val="25F77017"/>
    <w:rsid w:val="25F8E911"/>
    <w:rsid w:val="2606195D"/>
    <w:rsid w:val="2614DE89"/>
    <w:rsid w:val="2626A664"/>
    <w:rsid w:val="26480313"/>
    <w:rsid w:val="26511CA0"/>
    <w:rsid w:val="2663CFC1"/>
    <w:rsid w:val="269112F1"/>
    <w:rsid w:val="26987F3E"/>
    <w:rsid w:val="26B92A67"/>
    <w:rsid w:val="26C474FA"/>
    <w:rsid w:val="26D3B4D1"/>
    <w:rsid w:val="27201807"/>
    <w:rsid w:val="2726D503"/>
    <w:rsid w:val="272AD36A"/>
    <w:rsid w:val="27330693"/>
    <w:rsid w:val="27368D11"/>
    <w:rsid w:val="274F7EEF"/>
    <w:rsid w:val="275D4743"/>
    <w:rsid w:val="276589C1"/>
    <w:rsid w:val="2775BBCC"/>
    <w:rsid w:val="27763134"/>
    <w:rsid w:val="2793FBEB"/>
    <w:rsid w:val="27A5D7D9"/>
    <w:rsid w:val="27A673CB"/>
    <w:rsid w:val="27AD57C9"/>
    <w:rsid w:val="27D49B02"/>
    <w:rsid w:val="27DED188"/>
    <w:rsid w:val="27E5D6A4"/>
    <w:rsid w:val="27F8D59A"/>
    <w:rsid w:val="280DCC8D"/>
    <w:rsid w:val="28238F9A"/>
    <w:rsid w:val="2847341D"/>
    <w:rsid w:val="285A13F7"/>
    <w:rsid w:val="288245F0"/>
    <w:rsid w:val="2885EC82"/>
    <w:rsid w:val="2891CBB9"/>
    <w:rsid w:val="28938B06"/>
    <w:rsid w:val="28AAC27D"/>
    <w:rsid w:val="28AE8D7A"/>
    <w:rsid w:val="28AF751E"/>
    <w:rsid w:val="28B350C1"/>
    <w:rsid w:val="28C65506"/>
    <w:rsid w:val="28E3327E"/>
    <w:rsid w:val="28EE7ED3"/>
    <w:rsid w:val="28EF4929"/>
    <w:rsid w:val="28FAD801"/>
    <w:rsid w:val="29085A3D"/>
    <w:rsid w:val="29169E00"/>
    <w:rsid w:val="291C2E93"/>
    <w:rsid w:val="293D9F62"/>
    <w:rsid w:val="293EBF19"/>
    <w:rsid w:val="294C4EA8"/>
    <w:rsid w:val="295A7AC4"/>
    <w:rsid w:val="295E2990"/>
    <w:rsid w:val="29621811"/>
    <w:rsid w:val="2976DC38"/>
    <w:rsid w:val="2996357E"/>
    <w:rsid w:val="29A1C907"/>
    <w:rsid w:val="29A28B06"/>
    <w:rsid w:val="29A35F98"/>
    <w:rsid w:val="29A5CA38"/>
    <w:rsid w:val="29B309E1"/>
    <w:rsid w:val="29BF9838"/>
    <w:rsid w:val="2A043336"/>
    <w:rsid w:val="2A1201D8"/>
    <w:rsid w:val="2A1B86D8"/>
    <w:rsid w:val="2A213AA2"/>
    <w:rsid w:val="2A215EA6"/>
    <w:rsid w:val="2A2A919D"/>
    <w:rsid w:val="2A2AA893"/>
    <w:rsid w:val="2A3AA33E"/>
    <w:rsid w:val="2A668FBB"/>
    <w:rsid w:val="2A69D982"/>
    <w:rsid w:val="2A731008"/>
    <w:rsid w:val="2A886AFE"/>
    <w:rsid w:val="2A94871F"/>
    <w:rsid w:val="2AAA7F94"/>
    <w:rsid w:val="2AB49BB9"/>
    <w:rsid w:val="2AB57CF0"/>
    <w:rsid w:val="2AB6D18B"/>
    <w:rsid w:val="2AB75DC9"/>
    <w:rsid w:val="2ABBB02D"/>
    <w:rsid w:val="2AC361A6"/>
    <w:rsid w:val="2AC7EF06"/>
    <w:rsid w:val="2AD9249A"/>
    <w:rsid w:val="2AFD54CF"/>
    <w:rsid w:val="2B2774CA"/>
    <w:rsid w:val="2B2B6F2D"/>
    <w:rsid w:val="2B33BBA7"/>
    <w:rsid w:val="2B505C42"/>
    <w:rsid w:val="2B71816E"/>
    <w:rsid w:val="2B7EDD6C"/>
    <w:rsid w:val="2B8785E0"/>
    <w:rsid w:val="2B96B1A6"/>
    <w:rsid w:val="2BA781CA"/>
    <w:rsid w:val="2BCE288C"/>
    <w:rsid w:val="2BE36508"/>
    <w:rsid w:val="2BE999E6"/>
    <w:rsid w:val="2C107365"/>
    <w:rsid w:val="2C2A7BC7"/>
    <w:rsid w:val="2C401EF9"/>
    <w:rsid w:val="2C5C910A"/>
    <w:rsid w:val="2C7B2684"/>
    <w:rsid w:val="2C83C997"/>
    <w:rsid w:val="2CA28AA5"/>
    <w:rsid w:val="2D0C0939"/>
    <w:rsid w:val="2D208DD0"/>
    <w:rsid w:val="2D2409BF"/>
    <w:rsid w:val="2D330727"/>
    <w:rsid w:val="2D33970F"/>
    <w:rsid w:val="2D3D90C5"/>
    <w:rsid w:val="2D4CDC3E"/>
    <w:rsid w:val="2D4EF254"/>
    <w:rsid w:val="2D580A1E"/>
    <w:rsid w:val="2D7DB7EA"/>
    <w:rsid w:val="2D82EE03"/>
    <w:rsid w:val="2DB88C06"/>
    <w:rsid w:val="2DE7ED63"/>
    <w:rsid w:val="2E3FA673"/>
    <w:rsid w:val="2E4DB26B"/>
    <w:rsid w:val="2E582520"/>
    <w:rsid w:val="2E6BAE77"/>
    <w:rsid w:val="2E81C0D2"/>
    <w:rsid w:val="2E850159"/>
    <w:rsid w:val="2E939BE2"/>
    <w:rsid w:val="2E94541D"/>
    <w:rsid w:val="2EB8E81E"/>
    <w:rsid w:val="2EBE5CAB"/>
    <w:rsid w:val="2EDF323C"/>
    <w:rsid w:val="2EEE7866"/>
    <w:rsid w:val="2EF346A1"/>
    <w:rsid w:val="2F0EE79F"/>
    <w:rsid w:val="2F3AC970"/>
    <w:rsid w:val="2F3C2E50"/>
    <w:rsid w:val="2F59D277"/>
    <w:rsid w:val="2F5C2563"/>
    <w:rsid w:val="2F5C31A3"/>
    <w:rsid w:val="2F9B0997"/>
    <w:rsid w:val="2F9D3AFB"/>
    <w:rsid w:val="2FAA2D3A"/>
    <w:rsid w:val="2FBFA67B"/>
    <w:rsid w:val="2FD0F8E8"/>
    <w:rsid w:val="2FE374DF"/>
    <w:rsid w:val="2FE7F2EE"/>
    <w:rsid w:val="300D9DAA"/>
    <w:rsid w:val="30107FE5"/>
    <w:rsid w:val="301BD29C"/>
    <w:rsid w:val="301DD9F0"/>
    <w:rsid w:val="3051669C"/>
    <w:rsid w:val="305C2365"/>
    <w:rsid w:val="305DC9F7"/>
    <w:rsid w:val="3068DEF8"/>
    <w:rsid w:val="30743442"/>
    <w:rsid w:val="308859B2"/>
    <w:rsid w:val="308AC7E4"/>
    <w:rsid w:val="308D72C8"/>
    <w:rsid w:val="30AA7049"/>
    <w:rsid w:val="30E80CF9"/>
    <w:rsid w:val="310146F1"/>
    <w:rsid w:val="31165F84"/>
    <w:rsid w:val="311F6C71"/>
    <w:rsid w:val="312B19E3"/>
    <w:rsid w:val="313D223F"/>
    <w:rsid w:val="3141F557"/>
    <w:rsid w:val="3147E6B9"/>
    <w:rsid w:val="3161C5B5"/>
    <w:rsid w:val="316FB1FF"/>
    <w:rsid w:val="3195FB3F"/>
    <w:rsid w:val="31B0F6EA"/>
    <w:rsid w:val="31B49F68"/>
    <w:rsid w:val="31DBE250"/>
    <w:rsid w:val="31DE8439"/>
    <w:rsid w:val="31E51424"/>
    <w:rsid w:val="31FEE082"/>
    <w:rsid w:val="3202AF55"/>
    <w:rsid w:val="322D03E1"/>
    <w:rsid w:val="3239AFD0"/>
    <w:rsid w:val="323DB47F"/>
    <w:rsid w:val="3269B9C5"/>
    <w:rsid w:val="327C2324"/>
    <w:rsid w:val="32836800"/>
    <w:rsid w:val="32B134D7"/>
    <w:rsid w:val="32C81B74"/>
    <w:rsid w:val="32D212B9"/>
    <w:rsid w:val="32D285CF"/>
    <w:rsid w:val="32DBA486"/>
    <w:rsid w:val="32FD6F2F"/>
    <w:rsid w:val="3311178F"/>
    <w:rsid w:val="3315C88F"/>
    <w:rsid w:val="3354C18C"/>
    <w:rsid w:val="3354F1CB"/>
    <w:rsid w:val="33885468"/>
    <w:rsid w:val="33A0A595"/>
    <w:rsid w:val="33C5501A"/>
    <w:rsid w:val="33C9ED02"/>
    <w:rsid w:val="33DCD164"/>
    <w:rsid w:val="33DE0327"/>
    <w:rsid w:val="33E9D2B9"/>
    <w:rsid w:val="33F2970C"/>
    <w:rsid w:val="33FB20E6"/>
    <w:rsid w:val="34231DB4"/>
    <w:rsid w:val="3425F69C"/>
    <w:rsid w:val="342BEA6D"/>
    <w:rsid w:val="344D0538"/>
    <w:rsid w:val="3453BD49"/>
    <w:rsid w:val="3469AD24"/>
    <w:rsid w:val="347B25D5"/>
    <w:rsid w:val="34A66652"/>
    <w:rsid w:val="34B488E0"/>
    <w:rsid w:val="34BFD05C"/>
    <w:rsid w:val="34D96BEE"/>
    <w:rsid w:val="350F34BE"/>
    <w:rsid w:val="3512412F"/>
    <w:rsid w:val="3519A15E"/>
    <w:rsid w:val="351F536B"/>
    <w:rsid w:val="35432202"/>
    <w:rsid w:val="354C0DDD"/>
    <w:rsid w:val="354C686E"/>
    <w:rsid w:val="3556900E"/>
    <w:rsid w:val="355BF63E"/>
    <w:rsid w:val="35D27322"/>
    <w:rsid w:val="35E26EBD"/>
    <w:rsid w:val="35E8D599"/>
    <w:rsid w:val="35EDFA1D"/>
    <w:rsid w:val="360940E7"/>
    <w:rsid w:val="360CC557"/>
    <w:rsid w:val="362744E0"/>
    <w:rsid w:val="3629ACFA"/>
    <w:rsid w:val="3635D655"/>
    <w:rsid w:val="36560E4F"/>
    <w:rsid w:val="3657E045"/>
    <w:rsid w:val="365DDF72"/>
    <w:rsid w:val="366C7214"/>
    <w:rsid w:val="36A6EA62"/>
    <w:rsid w:val="36B3DAE7"/>
    <w:rsid w:val="36BE3C5D"/>
    <w:rsid w:val="36C9B10F"/>
    <w:rsid w:val="36D77431"/>
    <w:rsid w:val="36D93812"/>
    <w:rsid w:val="36DBD972"/>
    <w:rsid w:val="36E7E5D9"/>
    <w:rsid w:val="36E7ED22"/>
    <w:rsid w:val="36F2BAA8"/>
    <w:rsid w:val="370A9C6C"/>
    <w:rsid w:val="370B993D"/>
    <w:rsid w:val="370DC85A"/>
    <w:rsid w:val="370FB437"/>
    <w:rsid w:val="373368BE"/>
    <w:rsid w:val="373F50D3"/>
    <w:rsid w:val="37491D0B"/>
    <w:rsid w:val="376C1F29"/>
    <w:rsid w:val="3780178B"/>
    <w:rsid w:val="37945920"/>
    <w:rsid w:val="37AD150D"/>
    <w:rsid w:val="3808AF42"/>
    <w:rsid w:val="383D7907"/>
    <w:rsid w:val="383F5E4E"/>
    <w:rsid w:val="3848C2DD"/>
    <w:rsid w:val="38580F98"/>
    <w:rsid w:val="38759E66"/>
    <w:rsid w:val="3877BDC5"/>
    <w:rsid w:val="387C55A6"/>
    <w:rsid w:val="38AF6892"/>
    <w:rsid w:val="38B54A25"/>
    <w:rsid w:val="38B9D744"/>
    <w:rsid w:val="38C36A13"/>
    <w:rsid w:val="38E208BF"/>
    <w:rsid w:val="38E71531"/>
    <w:rsid w:val="3909622F"/>
    <w:rsid w:val="3912C21D"/>
    <w:rsid w:val="395FB162"/>
    <w:rsid w:val="3960F7B3"/>
    <w:rsid w:val="3966F4F3"/>
    <w:rsid w:val="3969890D"/>
    <w:rsid w:val="3970CC7A"/>
    <w:rsid w:val="39797ADF"/>
    <w:rsid w:val="397ED48A"/>
    <w:rsid w:val="3988887C"/>
    <w:rsid w:val="39980E39"/>
    <w:rsid w:val="39BB3418"/>
    <w:rsid w:val="39C17E7B"/>
    <w:rsid w:val="39CCD1D4"/>
    <w:rsid w:val="3A0D6A6B"/>
    <w:rsid w:val="3A1B3C0E"/>
    <w:rsid w:val="3A22E7DC"/>
    <w:rsid w:val="3A266D58"/>
    <w:rsid w:val="3A287207"/>
    <w:rsid w:val="3A584B11"/>
    <w:rsid w:val="3A5DB2DB"/>
    <w:rsid w:val="3A7CFDF3"/>
    <w:rsid w:val="3A7F353E"/>
    <w:rsid w:val="3AA33ABA"/>
    <w:rsid w:val="3AC389DC"/>
    <w:rsid w:val="3AC3A5A2"/>
    <w:rsid w:val="3ADB3688"/>
    <w:rsid w:val="3AF155F2"/>
    <w:rsid w:val="3B2511A4"/>
    <w:rsid w:val="3B3EC8FD"/>
    <w:rsid w:val="3B51F82B"/>
    <w:rsid w:val="3B531E08"/>
    <w:rsid w:val="3B604A50"/>
    <w:rsid w:val="3B81F90E"/>
    <w:rsid w:val="3B852A0B"/>
    <w:rsid w:val="3B880209"/>
    <w:rsid w:val="3BB9E05B"/>
    <w:rsid w:val="3BDD74C5"/>
    <w:rsid w:val="3BE0C2CD"/>
    <w:rsid w:val="3BE6A6C9"/>
    <w:rsid w:val="3BFE3511"/>
    <w:rsid w:val="3C095B19"/>
    <w:rsid w:val="3C1855C2"/>
    <w:rsid w:val="3C58171D"/>
    <w:rsid w:val="3C696229"/>
    <w:rsid w:val="3C6DB7C2"/>
    <w:rsid w:val="3C903E6F"/>
    <w:rsid w:val="3C90F571"/>
    <w:rsid w:val="3C95A9FA"/>
    <w:rsid w:val="3CA6AF73"/>
    <w:rsid w:val="3CB3952B"/>
    <w:rsid w:val="3CC272BB"/>
    <w:rsid w:val="3CD6C2A0"/>
    <w:rsid w:val="3D001B81"/>
    <w:rsid w:val="3D43DBDC"/>
    <w:rsid w:val="3D53FD89"/>
    <w:rsid w:val="3D62A5A8"/>
    <w:rsid w:val="3D672011"/>
    <w:rsid w:val="3D6866A5"/>
    <w:rsid w:val="3D82D9E6"/>
    <w:rsid w:val="3D8654C6"/>
    <w:rsid w:val="3D926A35"/>
    <w:rsid w:val="3DBB28A1"/>
    <w:rsid w:val="3DC1FA65"/>
    <w:rsid w:val="3DDAEB77"/>
    <w:rsid w:val="3DF3E77E"/>
    <w:rsid w:val="3E03D8F6"/>
    <w:rsid w:val="3E078DFC"/>
    <w:rsid w:val="3E0C1EBD"/>
    <w:rsid w:val="3E1CEE6C"/>
    <w:rsid w:val="3E20AF0A"/>
    <w:rsid w:val="3E211985"/>
    <w:rsid w:val="3E38BD02"/>
    <w:rsid w:val="3E467C24"/>
    <w:rsid w:val="3E5188B8"/>
    <w:rsid w:val="3E5C7D63"/>
    <w:rsid w:val="3E78994A"/>
    <w:rsid w:val="3E9E4175"/>
    <w:rsid w:val="3EAC155A"/>
    <w:rsid w:val="3EB75248"/>
    <w:rsid w:val="3EC13239"/>
    <w:rsid w:val="3ED74865"/>
    <w:rsid w:val="3EF087C0"/>
    <w:rsid w:val="3EF2DEED"/>
    <w:rsid w:val="3F23C3D2"/>
    <w:rsid w:val="3F3E8E48"/>
    <w:rsid w:val="3F599EC7"/>
    <w:rsid w:val="3F738F67"/>
    <w:rsid w:val="3F7BFE20"/>
    <w:rsid w:val="3F8E3167"/>
    <w:rsid w:val="3FCA07BF"/>
    <w:rsid w:val="3FE0D96E"/>
    <w:rsid w:val="40103540"/>
    <w:rsid w:val="40248E1B"/>
    <w:rsid w:val="40267206"/>
    <w:rsid w:val="4032C029"/>
    <w:rsid w:val="404B9484"/>
    <w:rsid w:val="406D92D5"/>
    <w:rsid w:val="408EF84A"/>
    <w:rsid w:val="4094B754"/>
    <w:rsid w:val="40A409F0"/>
    <w:rsid w:val="40AE13F9"/>
    <w:rsid w:val="40B9FFD0"/>
    <w:rsid w:val="40E23218"/>
    <w:rsid w:val="40E33411"/>
    <w:rsid w:val="40F9D912"/>
    <w:rsid w:val="40FF1268"/>
    <w:rsid w:val="4109A115"/>
    <w:rsid w:val="41280009"/>
    <w:rsid w:val="412B7471"/>
    <w:rsid w:val="413639F0"/>
    <w:rsid w:val="418113AA"/>
    <w:rsid w:val="418F97AD"/>
    <w:rsid w:val="41ACA7E9"/>
    <w:rsid w:val="41CA910E"/>
    <w:rsid w:val="41D02719"/>
    <w:rsid w:val="41DE2C23"/>
    <w:rsid w:val="420E2CB0"/>
    <w:rsid w:val="42185EE4"/>
    <w:rsid w:val="42246461"/>
    <w:rsid w:val="422982E1"/>
    <w:rsid w:val="422A350C"/>
    <w:rsid w:val="423938E2"/>
    <w:rsid w:val="424D11F4"/>
    <w:rsid w:val="42612819"/>
    <w:rsid w:val="4261FAE2"/>
    <w:rsid w:val="42734B6A"/>
    <w:rsid w:val="427A112A"/>
    <w:rsid w:val="42B9CB59"/>
    <w:rsid w:val="42D3A282"/>
    <w:rsid w:val="42DF3876"/>
    <w:rsid w:val="42FC553B"/>
    <w:rsid w:val="4306801E"/>
    <w:rsid w:val="430A3DBA"/>
    <w:rsid w:val="432AC809"/>
    <w:rsid w:val="4357CF48"/>
    <w:rsid w:val="4359EB72"/>
    <w:rsid w:val="435AA58F"/>
    <w:rsid w:val="43608418"/>
    <w:rsid w:val="4364C9B1"/>
    <w:rsid w:val="436D7680"/>
    <w:rsid w:val="43B21DCE"/>
    <w:rsid w:val="43CC947C"/>
    <w:rsid w:val="43E1DD31"/>
    <w:rsid w:val="43EBDD30"/>
    <w:rsid w:val="43F21B6A"/>
    <w:rsid w:val="43FB6BB0"/>
    <w:rsid w:val="44014590"/>
    <w:rsid w:val="440FF34A"/>
    <w:rsid w:val="441A123F"/>
    <w:rsid w:val="442E917A"/>
    <w:rsid w:val="446FA299"/>
    <w:rsid w:val="448B6729"/>
    <w:rsid w:val="449D456A"/>
    <w:rsid w:val="44A7CFCA"/>
    <w:rsid w:val="44B74D2B"/>
    <w:rsid w:val="44C1C62E"/>
    <w:rsid w:val="44C472AB"/>
    <w:rsid w:val="44C5184E"/>
    <w:rsid w:val="44C74E1B"/>
    <w:rsid w:val="44D12834"/>
    <w:rsid w:val="44E8BA47"/>
    <w:rsid w:val="44EA2464"/>
    <w:rsid w:val="44ED7490"/>
    <w:rsid w:val="44F76FD5"/>
    <w:rsid w:val="45079879"/>
    <w:rsid w:val="450C899C"/>
    <w:rsid w:val="450F1B03"/>
    <w:rsid w:val="451FC748"/>
    <w:rsid w:val="452DE4FC"/>
    <w:rsid w:val="4536AC1D"/>
    <w:rsid w:val="456A4FF7"/>
    <w:rsid w:val="45960BF1"/>
    <w:rsid w:val="4597EED5"/>
    <w:rsid w:val="4598DC25"/>
    <w:rsid w:val="459CA52C"/>
    <w:rsid w:val="45B311DE"/>
    <w:rsid w:val="45B4D45B"/>
    <w:rsid w:val="45B76033"/>
    <w:rsid w:val="45BE7B28"/>
    <w:rsid w:val="45C4B28F"/>
    <w:rsid w:val="45D4A738"/>
    <w:rsid w:val="45E04856"/>
    <w:rsid w:val="45F386C1"/>
    <w:rsid w:val="45F84101"/>
    <w:rsid w:val="460F98DE"/>
    <w:rsid w:val="462A201D"/>
    <w:rsid w:val="464A4778"/>
    <w:rsid w:val="464F23CA"/>
    <w:rsid w:val="46AC44D9"/>
    <w:rsid w:val="46B28E73"/>
    <w:rsid w:val="46DCA62E"/>
    <w:rsid w:val="47135738"/>
    <w:rsid w:val="472F80CC"/>
    <w:rsid w:val="47364629"/>
    <w:rsid w:val="4739FBE3"/>
    <w:rsid w:val="478581DB"/>
    <w:rsid w:val="47A17ADE"/>
    <w:rsid w:val="47A27D8A"/>
    <w:rsid w:val="47BD01C9"/>
    <w:rsid w:val="47BF2FFF"/>
    <w:rsid w:val="47CDF445"/>
    <w:rsid w:val="47E692C4"/>
    <w:rsid w:val="47FC2F2A"/>
    <w:rsid w:val="480A59F2"/>
    <w:rsid w:val="482147FE"/>
    <w:rsid w:val="48463019"/>
    <w:rsid w:val="484F49C8"/>
    <w:rsid w:val="486915DC"/>
    <w:rsid w:val="48717913"/>
    <w:rsid w:val="4899B6FC"/>
    <w:rsid w:val="48A85667"/>
    <w:rsid w:val="48D5C829"/>
    <w:rsid w:val="490D6A34"/>
    <w:rsid w:val="49131FE7"/>
    <w:rsid w:val="4914DDF7"/>
    <w:rsid w:val="49159202"/>
    <w:rsid w:val="49178659"/>
    <w:rsid w:val="492BCB09"/>
    <w:rsid w:val="492E1FEC"/>
    <w:rsid w:val="496D832C"/>
    <w:rsid w:val="497998C4"/>
    <w:rsid w:val="49967BFA"/>
    <w:rsid w:val="49D39356"/>
    <w:rsid w:val="49D9840A"/>
    <w:rsid w:val="49E412E5"/>
    <w:rsid w:val="49EE2693"/>
    <w:rsid w:val="49FCE157"/>
    <w:rsid w:val="4A0193D9"/>
    <w:rsid w:val="4A06027C"/>
    <w:rsid w:val="4A0CBB21"/>
    <w:rsid w:val="4A22713D"/>
    <w:rsid w:val="4A57A38B"/>
    <w:rsid w:val="4A641A56"/>
    <w:rsid w:val="4A98EF33"/>
    <w:rsid w:val="4AB02EEA"/>
    <w:rsid w:val="4AB61DFA"/>
    <w:rsid w:val="4ABD900F"/>
    <w:rsid w:val="4AC87810"/>
    <w:rsid w:val="4AD5DF66"/>
    <w:rsid w:val="4AFAC6B1"/>
    <w:rsid w:val="4B085712"/>
    <w:rsid w:val="4B0F15DA"/>
    <w:rsid w:val="4B185070"/>
    <w:rsid w:val="4B276F07"/>
    <w:rsid w:val="4B5A27A6"/>
    <w:rsid w:val="4B721498"/>
    <w:rsid w:val="4B9CBFE9"/>
    <w:rsid w:val="4BA25B58"/>
    <w:rsid w:val="4BE75385"/>
    <w:rsid w:val="4C11F6AF"/>
    <w:rsid w:val="4C223986"/>
    <w:rsid w:val="4C282513"/>
    <w:rsid w:val="4C4E7A3C"/>
    <w:rsid w:val="4C6E57F5"/>
    <w:rsid w:val="4C76B773"/>
    <w:rsid w:val="4C916BD9"/>
    <w:rsid w:val="4C9B3A09"/>
    <w:rsid w:val="4C9BFAA2"/>
    <w:rsid w:val="4CACCC5D"/>
    <w:rsid w:val="4CB335F3"/>
    <w:rsid w:val="4CC14B47"/>
    <w:rsid w:val="4CEF5D56"/>
    <w:rsid w:val="4CF47980"/>
    <w:rsid w:val="4D027F20"/>
    <w:rsid w:val="4D1186F3"/>
    <w:rsid w:val="4D1B5106"/>
    <w:rsid w:val="4D1D4050"/>
    <w:rsid w:val="4D25255E"/>
    <w:rsid w:val="4D2837F0"/>
    <w:rsid w:val="4D2BE6CC"/>
    <w:rsid w:val="4D347415"/>
    <w:rsid w:val="4D47B84A"/>
    <w:rsid w:val="4D4840DD"/>
    <w:rsid w:val="4D5ABDF7"/>
    <w:rsid w:val="4D60EE9E"/>
    <w:rsid w:val="4D9DB911"/>
    <w:rsid w:val="4DAA25F5"/>
    <w:rsid w:val="4DADC710"/>
    <w:rsid w:val="4DBFD7D7"/>
    <w:rsid w:val="4DCAE4D6"/>
    <w:rsid w:val="4DD49B12"/>
    <w:rsid w:val="4E09FCBB"/>
    <w:rsid w:val="4E11F8CE"/>
    <w:rsid w:val="4E59F422"/>
    <w:rsid w:val="4E9664AA"/>
    <w:rsid w:val="4EA3B336"/>
    <w:rsid w:val="4EAAEC1E"/>
    <w:rsid w:val="4EC49098"/>
    <w:rsid w:val="4EF79A71"/>
    <w:rsid w:val="4F0EF5CA"/>
    <w:rsid w:val="4F11A6B8"/>
    <w:rsid w:val="4F1E9571"/>
    <w:rsid w:val="4F1EB3F6"/>
    <w:rsid w:val="4F3467D2"/>
    <w:rsid w:val="4F3699E8"/>
    <w:rsid w:val="4F419151"/>
    <w:rsid w:val="4F4BE19B"/>
    <w:rsid w:val="4F584BD5"/>
    <w:rsid w:val="4F6CF60E"/>
    <w:rsid w:val="4F74D6A1"/>
    <w:rsid w:val="4F91CC15"/>
    <w:rsid w:val="4F990A17"/>
    <w:rsid w:val="4FAEC0A4"/>
    <w:rsid w:val="4FBDA3F0"/>
    <w:rsid w:val="4FBE8FC5"/>
    <w:rsid w:val="4FC79DAC"/>
    <w:rsid w:val="4FDA3356"/>
    <w:rsid w:val="4FE523C4"/>
    <w:rsid w:val="4FE9BBB7"/>
    <w:rsid w:val="4FF00E59"/>
    <w:rsid w:val="4FFB7FE4"/>
    <w:rsid w:val="5001974C"/>
    <w:rsid w:val="5001A21F"/>
    <w:rsid w:val="501C509E"/>
    <w:rsid w:val="5021FD45"/>
    <w:rsid w:val="5033D8A5"/>
    <w:rsid w:val="503BF46B"/>
    <w:rsid w:val="50434C8E"/>
    <w:rsid w:val="505D0348"/>
    <w:rsid w:val="505D6A21"/>
    <w:rsid w:val="50810E02"/>
    <w:rsid w:val="50A609E8"/>
    <w:rsid w:val="50BEB355"/>
    <w:rsid w:val="50DD0611"/>
    <w:rsid w:val="50E2142B"/>
    <w:rsid w:val="51096156"/>
    <w:rsid w:val="512013C8"/>
    <w:rsid w:val="512F2DD6"/>
    <w:rsid w:val="51307133"/>
    <w:rsid w:val="5135A9D0"/>
    <w:rsid w:val="513AC181"/>
    <w:rsid w:val="5193A991"/>
    <w:rsid w:val="519FBAAC"/>
    <w:rsid w:val="51A1E802"/>
    <w:rsid w:val="51A331EB"/>
    <w:rsid w:val="51B6A9E8"/>
    <w:rsid w:val="51BB10E3"/>
    <w:rsid w:val="51C542FD"/>
    <w:rsid w:val="51C81F64"/>
    <w:rsid w:val="51D10212"/>
    <w:rsid w:val="51D11C12"/>
    <w:rsid w:val="51DBB6AB"/>
    <w:rsid w:val="51E04AD2"/>
    <w:rsid w:val="51E33051"/>
    <w:rsid w:val="51FAB497"/>
    <w:rsid w:val="5203B03B"/>
    <w:rsid w:val="5268DEFF"/>
    <w:rsid w:val="526B1EA4"/>
    <w:rsid w:val="52AA7685"/>
    <w:rsid w:val="52AFDC58"/>
    <w:rsid w:val="52EB5D5D"/>
    <w:rsid w:val="531F6A95"/>
    <w:rsid w:val="532535F4"/>
    <w:rsid w:val="53394D18"/>
    <w:rsid w:val="53421A67"/>
    <w:rsid w:val="53460951"/>
    <w:rsid w:val="53488DC8"/>
    <w:rsid w:val="53554A63"/>
    <w:rsid w:val="535B96E6"/>
    <w:rsid w:val="53BEFF47"/>
    <w:rsid w:val="53C920B2"/>
    <w:rsid w:val="53E1A5D9"/>
    <w:rsid w:val="53E857A4"/>
    <w:rsid w:val="53E8832E"/>
    <w:rsid w:val="540680FA"/>
    <w:rsid w:val="541D2BAE"/>
    <w:rsid w:val="542643DF"/>
    <w:rsid w:val="543A8563"/>
    <w:rsid w:val="5445DA49"/>
    <w:rsid w:val="5446B08F"/>
    <w:rsid w:val="544AA343"/>
    <w:rsid w:val="545F9A0E"/>
    <w:rsid w:val="54A4A667"/>
    <w:rsid w:val="54A9F084"/>
    <w:rsid w:val="54E3C5CD"/>
    <w:rsid w:val="54E65CEB"/>
    <w:rsid w:val="54E7957E"/>
    <w:rsid w:val="54EDA99F"/>
    <w:rsid w:val="54F3E887"/>
    <w:rsid w:val="55066474"/>
    <w:rsid w:val="5533B738"/>
    <w:rsid w:val="55362642"/>
    <w:rsid w:val="553E34CD"/>
    <w:rsid w:val="554279EC"/>
    <w:rsid w:val="55621D14"/>
    <w:rsid w:val="55739117"/>
    <w:rsid w:val="5578EE51"/>
    <w:rsid w:val="557AA86F"/>
    <w:rsid w:val="55AE76B1"/>
    <w:rsid w:val="55BEB938"/>
    <w:rsid w:val="55C43239"/>
    <w:rsid w:val="55C5173D"/>
    <w:rsid w:val="55ED32B9"/>
    <w:rsid w:val="55FF430E"/>
    <w:rsid w:val="55FF4C5B"/>
    <w:rsid w:val="56049A91"/>
    <w:rsid w:val="56534040"/>
    <w:rsid w:val="565928CB"/>
    <w:rsid w:val="566C41EF"/>
    <w:rsid w:val="5679A9F1"/>
    <w:rsid w:val="56815425"/>
    <w:rsid w:val="568A5EC8"/>
    <w:rsid w:val="56EAC140"/>
    <w:rsid w:val="56F40563"/>
    <w:rsid w:val="57023307"/>
    <w:rsid w:val="5713F093"/>
    <w:rsid w:val="57237985"/>
    <w:rsid w:val="5727D2DB"/>
    <w:rsid w:val="573C2CDB"/>
    <w:rsid w:val="575D037B"/>
    <w:rsid w:val="5763120C"/>
    <w:rsid w:val="5779EFEB"/>
    <w:rsid w:val="57982B5F"/>
    <w:rsid w:val="579950E0"/>
    <w:rsid w:val="579E2BB1"/>
    <w:rsid w:val="57B02044"/>
    <w:rsid w:val="57BE7E33"/>
    <w:rsid w:val="57CC668A"/>
    <w:rsid w:val="57EDA23D"/>
    <w:rsid w:val="57EF5278"/>
    <w:rsid w:val="57F4BFEA"/>
    <w:rsid w:val="58454B3D"/>
    <w:rsid w:val="58542E6A"/>
    <w:rsid w:val="58737BE8"/>
    <w:rsid w:val="587ECFE4"/>
    <w:rsid w:val="58865C48"/>
    <w:rsid w:val="58ABF260"/>
    <w:rsid w:val="58B524B7"/>
    <w:rsid w:val="58BE6C77"/>
    <w:rsid w:val="58C0127A"/>
    <w:rsid w:val="58C4B17C"/>
    <w:rsid w:val="58D41F94"/>
    <w:rsid w:val="58E99092"/>
    <w:rsid w:val="58FFA372"/>
    <w:rsid w:val="59072EE1"/>
    <w:rsid w:val="590AEA5E"/>
    <w:rsid w:val="591DBA08"/>
    <w:rsid w:val="5928413D"/>
    <w:rsid w:val="595C2A1F"/>
    <w:rsid w:val="595F03D9"/>
    <w:rsid w:val="596332E1"/>
    <w:rsid w:val="596A8665"/>
    <w:rsid w:val="597031C2"/>
    <w:rsid w:val="5974DC5A"/>
    <w:rsid w:val="599FAB77"/>
    <w:rsid w:val="59A0A11E"/>
    <w:rsid w:val="59A7382E"/>
    <w:rsid w:val="59DCD708"/>
    <w:rsid w:val="59DD4B4A"/>
    <w:rsid w:val="59E45527"/>
    <w:rsid w:val="5A0652FD"/>
    <w:rsid w:val="5A07A1C1"/>
    <w:rsid w:val="5A1C50A5"/>
    <w:rsid w:val="5A275885"/>
    <w:rsid w:val="5A30F861"/>
    <w:rsid w:val="5A379C62"/>
    <w:rsid w:val="5A3EC8D7"/>
    <w:rsid w:val="5A3FB1C9"/>
    <w:rsid w:val="5A45E179"/>
    <w:rsid w:val="5A5E1717"/>
    <w:rsid w:val="5A5E5F30"/>
    <w:rsid w:val="5A698E9B"/>
    <w:rsid w:val="5A72260D"/>
    <w:rsid w:val="5A856D50"/>
    <w:rsid w:val="5A90C8AD"/>
    <w:rsid w:val="5AB9813A"/>
    <w:rsid w:val="5AC8E454"/>
    <w:rsid w:val="5AD0F622"/>
    <w:rsid w:val="5AD71EAF"/>
    <w:rsid w:val="5AE9FF5E"/>
    <w:rsid w:val="5B003C7C"/>
    <w:rsid w:val="5B25F55A"/>
    <w:rsid w:val="5B275A77"/>
    <w:rsid w:val="5B3798BF"/>
    <w:rsid w:val="5B3B6FF6"/>
    <w:rsid w:val="5B411FF4"/>
    <w:rsid w:val="5B528BDD"/>
    <w:rsid w:val="5B6BA230"/>
    <w:rsid w:val="5B72262E"/>
    <w:rsid w:val="5BC37025"/>
    <w:rsid w:val="5BE09BD9"/>
    <w:rsid w:val="5BF73B36"/>
    <w:rsid w:val="5BFA8B34"/>
    <w:rsid w:val="5BFEB8EC"/>
    <w:rsid w:val="5C0EFAE4"/>
    <w:rsid w:val="5C2663AE"/>
    <w:rsid w:val="5C2D7876"/>
    <w:rsid w:val="5C5C86A1"/>
    <w:rsid w:val="5C9DC72F"/>
    <w:rsid w:val="5CB7ED88"/>
    <w:rsid w:val="5CDD488D"/>
    <w:rsid w:val="5CE0122A"/>
    <w:rsid w:val="5CE7DF8A"/>
    <w:rsid w:val="5CEB8156"/>
    <w:rsid w:val="5CFA0036"/>
    <w:rsid w:val="5D1D9345"/>
    <w:rsid w:val="5D2402DB"/>
    <w:rsid w:val="5D352F76"/>
    <w:rsid w:val="5D36DC0B"/>
    <w:rsid w:val="5D3CBA1C"/>
    <w:rsid w:val="5D4F4DF8"/>
    <w:rsid w:val="5D5D9DA2"/>
    <w:rsid w:val="5D6A547D"/>
    <w:rsid w:val="5D6E8B41"/>
    <w:rsid w:val="5D8034DC"/>
    <w:rsid w:val="5D8B4D2F"/>
    <w:rsid w:val="5DA38B23"/>
    <w:rsid w:val="5DABDF1A"/>
    <w:rsid w:val="5DDA03AD"/>
    <w:rsid w:val="5DE73924"/>
    <w:rsid w:val="5DE7B814"/>
    <w:rsid w:val="5E0B4128"/>
    <w:rsid w:val="5E285012"/>
    <w:rsid w:val="5E2FA2CA"/>
    <w:rsid w:val="5E58BFC3"/>
    <w:rsid w:val="5E7241A8"/>
    <w:rsid w:val="5E89BC10"/>
    <w:rsid w:val="5EADE7D9"/>
    <w:rsid w:val="5EAE1334"/>
    <w:rsid w:val="5ED0037D"/>
    <w:rsid w:val="5ED0EC2D"/>
    <w:rsid w:val="5EE0D7A0"/>
    <w:rsid w:val="5EE30AC0"/>
    <w:rsid w:val="5EEC99E2"/>
    <w:rsid w:val="5EF0C406"/>
    <w:rsid w:val="5EFEEC71"/>
    <w:rsid w:val="5F12B3BA"/>
    <w:rsid w:val="5F534D08"/>
    <w:rsid w:val="5F837674"/>
    <w:rsid w:val="5F9E1527"/>
    <w:rsid w:val="5FACA43D"/>
    <w:rsid w:val="5FB6937A"/>
    <w:rsid w:val="5FCD70A1"/>
    <w:rsid w:val="6007509B"/>
    <w:rsid w:val="60151303"/>
    <w:rsid w:val="604A50FA"/>
    <w:rsid w:val="605CEB4F"/>
    <w:rsid w:val="605F06D0"/>
    <w:rsid w:val="60BAEDFD"/>
    <w:rsid w:val="60C1EB84"/>
    <w:rsid w:val="60C77E84"/>
    <w:rsid w:val="61461D92"/>
    <w:rsid w:val="615FBD5A"/>
    <w:rsid w:val="617B8016"/>
    <w:rsid w:val="618A0CCB"/>
    <w:rsid w:val="618D9FD0"/>
    <w:rsid w:val="619854F6"/>
    <w:rsid w:val="61A9D571"/>
    <w:rsid w:val="61BA162A"/>
    <w:rsid w:val="61DCB8BB"/>
    <w:rsid w:val="620F74F7"/>
    <w:rsid w:val="62326A6A"/>
    <w:rsid w:val="624FD436"/>
    <w:rsid w:val="625C7052"/>
    <w:rsid w:val="6280F7A6"/>
    <w:rsid w:val="62895C14"/>
    <w:rsid w:val="6290F4EC"/>
    <w:rsid w:val="62A22464"/>
    <w:rsid w:val="62AD37B5"/>
    <w:rsid w:val="62B5E12F"/>
    <w:rsid w:val="62D8A021"/>
    <w:rsid w:val="62ED170E"/>
    <w:rsid w:val="62F0BB8A"/>
    <w:rsid w:val="63055D3E"/>
    <w:rsid w:val="631AEAF0"/>
    <w:rsid w:val="63228A61"/>
    <w:rsid w:val="632A4DB9"/>
    <w:rsid w:val="633DB446"/>
    <w:rsid w:val="6368AEFA"/>
    <w:rsid w:val="636E0C39"/>
    <w:rsid w:val="636FAC79"/>
    <w:rsid w:val="63803E8C"/>
    <w:rsid w:val="6383CE97"/>
    <w:rsid w:val="639087C8"/>
    <w:rsid w:val="63A8C6A2"/>
    <w:rsid w:val="63AC9383"/>
    <w:rsid w:val="63B743D0"/>
    <w:rsid w:val="63BA09EA"/>
    <w:rsid w:val="63BF30CB"/>
    <w:rsid w:val="63C1496F"/>
    <w:rsid w:val="63D46305"/>
    <w:rsid w:val="63D7BE8A"/>
    <w:rsid w:val="63E16717"/>
    <w:rsid w:val="6412E533"/>
    <w:rsid w:val="642C5E98"/>
    <w:rsid w:val="642F0A56"/>
    <w:rsid w:val="64345E43"/>
    <w:rsid w:val="644AC515"/>
    <w:rsid w:val="644F35AB"/>
    <w:rsid w:val="6455BEBF"/>
    <w:rsid w:val="6476B9D2"/>
    <w:rsid w:val="647F9963"/>
    <w:rsid w:val="64831180"/>
    <w:rsid w:val="6499F061"/>
    <w:rsid w:val="64AE9A47"/>
    <w:rsid w:val="64B2A132"/>
    <w:rsid w:val="64DA92C0"/>
    <w:rsid w:val="650D7478"/>
    <w:rsid w:val="6527C1D3"/>
    <w:rsid w:val="6529E368"/>
    <w:rsid w:val="6535CA60"/>
    <w:rsid w:val="65430FDB"/>
    <w:rsid w:val="65802679"/>
    <w:rsid w:val="6588039D"/>
    <w:rsid w:val="65BB66B5"/>
    <w:rsid w:val="65BE24CC"/>
    <w:rsid w:val="65C9C0D5"/>
    <w:rsid w:val="65D56E68"/>
    <w:rsid w:val="65E96E52"/>
    <w:rsid w:val="660140E2"/>
    <w:rsid w:val="6610806B"/>
    <w:rsid w:val="6618DC48"/>
    <w:rsid w:val="664032EA"/>
    <w:rsid w:val="6640A7D6"/>
    <w:rsid w:val="66459BA4"/>
    <w:rsid w:val="66625C7A"/>
    <w:rsid w:val="6663C880"/>
    <w:rsid w:val="6663F439"/>
    <w:rsid w:val="666FF96E"/>
    <w:rsid w:val="668A857B"/>
    <w:rsid w:val="66983E6D"/>
    <w:rsid w:val="66A69B8C"/>
    <w:rsid w:val="66C52500"/>
    <w:rsid w:val="66CE96E7"/>
    <w:rsid w:val="66D5AA92"/>
    <w:rsid w:val="66E7BAAF"/>
    <w:rsid w:val="66EE6C05"/>
    <w:rsid w:val="66F05A61"/>
    <w:rsid w:val="66F22412"/>
    <w:rsid w:val="671215B4"/>
    <w:rsid w:val="672717AD"/>
    <w:rsid w:val="674AC206"/>
    <w:rsid w:val="67696137"/>
    <w:rsid w:val="67A7F029"/>
    <w:rsid w:val="67AC7042"/>
    <w:rsid w:val="67BAC646"/>
    <w:rsid w:val="67BFAAF6"/>
    <w:rsid w:val="67E9D492"/>
    <w:rsid w:val="6809E5E0"/>
    <w:rsid w:val="680D227B"/>
    <w:rsid w:val="6816F24E"/>
    <w:rsid w:val="683599A8"/>
    <w:rsid w:val="6840C49B"/>
    <w:rsid w:val="6842318F"/>
    <w:rsid w:val="6845473B"/>
    <w:rsid w:val="684567B6"/>
    <w:rsid w:val="684F0785"/>
    <w:rsid w:val="6850BD5C"/>
    <w:rsid w:val="6869A4C6"/>
    <w:rsid w:val="687A0ADD"/>
    <w:rsid w:val="68B1B951"/>
    <w:rsid w:val="68BAE128"/>
    <w:rsid w:val="68D4329B"/>
    <w:rsid w:val="68EC40B4"/>
    <w:rsid w:val="68FDAC1B"/>
    <w:rsid w:val="6917B1E7"/>
    <w:rsid w:val="6951EC71"/>
    <w:rsid w:val="6953B54B"/>
    <w:rsid w:val="6956D97D"/>
    <w:rsid w:val="695AC78A"/>
    <w:rsid w:val="69861A26"/>
    <w:rsid w:val="6990035C"/>
    <w:rsid w:val="69960032"/>
    <w:rsid w:val="69A3A660"/>
    <w:rsid w:val="69A3D7C9"/>
    <w:rsid w:val="69A7AAEF"/>
    <w:rsid w:val="69BE416E"/>
    <w:rsid w:val="69BEA513"/>
    <w:rsid w:val="69BFAB8C"/>
    <w:rsid w:val="69C0DDE4"/>
    <w:rsid w:val="69C45CF7"/>
    <w:rsid w:val="69D229AC"/>
    <w:rsid w:val="69D45C3D"/>
    <w:rsid w:val="69D79E15"/>
    <w:rsid w:val="69DA4EF2"/>
    <w:rsid w:val="69DD9754"/>
    <w:rsid w:val="69F1673B"/>
    <w:rsid w:val="6A040A5E"/>
    <w:rsid w:val="6A6589C9"/>
    <w:rsid w:val="6A6AD33C"/>
    <w:rsid w:val="6A7D2AE2"/>
    <w:rsid w:val="6A8761BD"/>
    <w:rsid w:val="6A953099"/>
    <w:rsid w:val="6AB01CC7"/>
    <w:rsid w:val="6ABC6C0F"/>
    <w:rsid w:val="6AC5509F"/>
    <w:rsid w:val="6ACA000D"/>
    <w:rsid w:val="6AD02898"/>
    <w:rsid w:val="6AD7A0E7"/>
    <w:rsid w:val="6AFF4332"/>
    <w:rsid w:val="6B113FF1"/>
    <w:rsid w:val="6B674237"/>
    <w:rsid w:val="6B6D1385"/>
    <w:rsid w:val="6B752C96"/>
    <w:rsid w:val="6B77EFA1"/>
    <w:rsid w:val="6B813D7A"/>
    <w:rsid w:val="6B858F2D"/>
    <w:rsid w:val="6B90D7E6"/>
    <w:rsid w:val="6B9B4B45"/>
    <w:rsid w:val="6BAAA327"/>
    <w:rsid w:val="6BB0B1A7"/>
    <w:rsid w:val="6BBBB895"/>
    <w:rsid w:val="6BC9099C"/>
    <w:rsid w:val="6BDC103A"/>
    <w:rsid w:val="6C08FA3C"/>
    <w:rsid w:val="6C1631EA"/>
    <w:rsid w:val="6C266CD4"/>
    <w:rsid w:val="6C42D9AE"/>
    <w:rsid w:val="6C43EED1"/>
    <w:rsid w:val="6C4637E0"/>
    <w:rsid w:val="6C57D2B1"/>
    <w:rsid w:val="6C875F30"/>
    <w:rsid w:val="6C94782E"/>
    <w:rsid w:val="6CB416DE"/>
    <w:rsid w:val="6CB513C4"/>
    <w:rsid w:val="6CB8B6B7"/>
    <w:rsid w:val="6CCCA134"/>
    <w:rsid w:val="6CF8C757"/>
    <w:rsid w:val="6D135BCD"/>
    <w:rsid w:val="6D2D35E2"/>
    <w:rsid w:val="6D599AA0"/>
    <w:rsid w:val="6D638D2A"/>
    <w:rsid w:val="6D6539AC"/>
    <w:rsid w:val="6D734043"/>
    <w:rsid w:val="6D76B521"/>
    <w:rsid w:val="6D83B4D0"/>
    <w:rsid w:val="6D91484E"/>
    <w:rsid w:val="6DA8F79E"/>
    <w:rsid w:val="6DB93795"/>
    <w:rsid w:val="6DBBA942"/>
    <w:rsid w:val="6DE7E177"/>
    <w:rsid w:val="6DEF1E7C"/>
    <w:rsid w:val="6E036DA1"/>
    <w:rsid w:val="6E0801B8"/>
    <w:rsid w:val="6E26CAB0"/>
    <w:rsid w:val="6E28DE2B"/>
    <w:rsid w:val="6E3012B6"/>
    <w:rsid w:val="6E31CD4C"/>
    <w:rsid w:val="6E502295"/>
    <w:rsid w:val="6E548718"/>
    <w:rsid w:val="6E55BC03"/>
    <w:rsid w:val="6E5D6442"/>
    <w:rsid w:val="6E6595CE"/>
    <w:rsid w:val="6E8E7F1B"/>
    <w:rsid w:val="6E8F5F4A"/>
    <w:rsid w:val="6EA475C8"/>
    <w:rsid w:val="6EAD8722"/>
    <w:rsid w:val="6EE581F1"/>
    <w:rsid w:val="6F0B19D1"/>
    <w:rsid w:val="6F0EB43E"/>
    <w:rsid w:val="6F116B2B"/>
    <w:rsid w:val="6F21BDD0"/>
    <w:rsid w:val="6F3E31E4"/>
    <w:rsid w:val="6F59E5E1"/>
    <w:rsid w:val="6F5E7FEC"/>
    <w:rsid w:val="6F6D31AF"/>
    <w:rsid w:val="6F7B7360"/>
    <w:rsid w:val="6F936289"/>
    <w:rsid w:val="6F9A08C0"/>
    <w:rsid w:val="6FC65C28"/>
    <w:rsid w:val="6FCE7771"/>
    <w:rsid w:val="6FD290FE"/>
    <w:rsid w:val="6FDF1729"/>
    <w:rsid w:val="6FEBD9DA"/>
    <w:rsid w:val="6FF587EF"/>
    <w:rsid w:val="6FF9D498"/>
    <w:rsid w:val="701DAD57"/>
    <w:rsid w:val="7021443F"/>
    <w:rsid w:val="7026B50D"/>
    <w:rsid w:val="704EB2B0"/>
    <w:rsid w:val="705281F9"/>
    <w:rsid w:val="707CD9C5"/>
    <w:rsid w:val="708CBB8D"/>
    <w:rsid w:val="709CBE80"/>
    <w:rsid w:val="70BF79FA"/>
    <w:rsid w:val="70E60627"/>
    <w:rsid w:val="70EA380F"/>
    <w:rsid w:val="70ED224C"/>
    <w:rsid w:val="70F478F4"/>
    <w:rsid w:val="71025EB5"/>
    <w:rsid w:val="71047AAA"/>
    <w:rsid w:val="710D4226"/>
    <w:rsid w:val="71195E69"/>
    <w:rsid w:val="71351E74"/>
    <w:rsid w:val="715B4A6C"/>
    <w:rsid w:val="71700288"/>
    <w:rsid w:val="7179654C"/>
    <w:rsid w:val="717CDB0D"/>
    <w:rsid w:val="71D73792"/>
    <w:rsid w:val="71ED29D0"/>
    <w:rsid w:val="72077376"/>
    <w:rsid w:val="72100A84"/>
    <w:rsid w:val="72154A8A"/>
    <w:rsid w:val="722F8686"/>
    <w:rsid w:val="7243535D"/>
    <w:rsid w:val="72549509"/>
    <w:rsid w:val="72603C60"/>
    <w:rsid w:val="72729EB6"/>
    <w:rsid w:val="72BA5620"/>
    <w:rsid w:val="72BCB51F"/>
    <w:rsid w:val="72C5A438"/>
    <w:rsid w:val="72D96C26"/>
    <w:rsid w:val="72EE579D"/>
    <w:rsid w:val="7308CBFD"/>
    <w:rsid w:val="730A7090"/>
    <w:rsid w:val="730FCE42"/>
    <w:rsid w:val="73181905"/>
    <w:rsid w:val="73224E98"/>
    <w:rsid w:val="73295FB1"/>
    <w:rsid w:val="732C9A36"/>
    <w:rsid w:val="732E61A4"/>
    <w:rsid w:val="734D7EBB"/>
    <w:rsid w:val="7391368F"/>
    <w:rsid w:val="7397E4DA"/>
    <w:rsid w:val="739A29DE"/>
    <w:rsid w:val="73AD696F"/>
    <w:rsid w:val="73B34959"/>
    <w:rsid w:val="73C377C3"/>
    <w:rsid w:val="73C7EDB1"/>
    <w:rsid w:val="73CF70AB"/>
    <w:rsid w:val="73DD2FE1"/>
    <w:rsid w:val="73E5933A"/>
    <w:rsid w:val="73F15F17"/>
    <w:rsid w:val="73FDE12E"/>
    <w:rsid w:val="73FE352D"/>
    <w:rsid w:val="7435F523"/>
    <w:rsid w:val="7445A211"/>
    <w:rsid w:val="74481E83"/>
    <w:rsid w:val="74505F4C"/>
    <w:rsid w:val="7452714B"/>
    <w:rsid w:val="7464722A"/>
    <w:rsid w:val="74754B65"/>
    <w:rsid w:val="7483B862"/>
    <w:rsid w:val="748D9FD7"/>
    <w:rsid w:val="74A96175"/>
    <w:rsid w:val="74B75772"/>
    <w:rsid w:val="74CE8B25"/>
    <w:rsid w:val="7519E717"/>
    <w:rsid w:val="753EA000"/>
    <w:rsid w:val="754B408F"/>
    <w:rsid w:val="757317C9"/>
    <w:rsid w:val="757334E0"/>
    <w:rsid w:val="7577C807"/>
    <w:rsid w:val="757FE5F3"/>
    <w:rsid w:val="758571E2"/>
    <w:rsid w:val="758A2AE5"/>
    <w:rsid w:val="75934A96"/>
    <w:rsid w:val="75C7C1B4"/>
    <w:rsid w:val="75CB0D5B"/>
    <w:rsid w:val="75D450E8"/>
    <w:rsid w:val="75D54367"/>
    <w:rsid w:val="75E22B9B"/>
    <w:rsid w:val="75E6BA8C"/>
    <w:rsid w:val="75FB1436"/>
    <w:rsid w:val="75FBCAD7"/>
    <w:rsid w:val="7619C73F"/>
    <w:rsid w:val="761A24C7"/>
    <w:rsid w:val="76249079"/>
    <w:rsid w:val="763B73C1"/>
    <w:rsid w:val="763FC2BD"/>
    <w:rsid w:val="76511E11"/>
    <w:rsid w:val="76548E25"/>
    <w:rsid w:val="768ACB6B"/>
    <w:rsid w:val="76996778"/>
    <w:rsid w:val="769F24B3"/>
    <w:rsid w:val="76B30985"/>
    <w:rsid w:val="76D365B5"/>
    <w:rsid w:val="76D40049"/>
    <w:rsid w:val="76F09E90"/>
    <w:rsid w:val="76FA1D9E"/>
    <w:rsid w:val="76FDB02B"/>
    <w:rsid w:val="7704DD69"/>
    <w:rsid w:val="7707C9A8"/>
    <w:rsid w:val="77170FD1"/>
    <w:rsid w:val="7731F7D4"/>
    <w:rsid w:val="77383ABE"/>
    <w:rsid w:val="774DA271"/>
    <w:rsid w:val="777CF2C5"/>
    <w:rsid w:val="77952D30"/>
    <w:rsid w:val="77BC0456"/>
    <w:rsid w:val="77C91245"/>
    <w:rsid w:val="77D86CDA"/>
    <w:rsid w:val="77E118C1"/>
    <w:rsid w:val="77FABC36"/>
    <w:rsid w:val="7803C12F"/>
    <w:rsid w:val="78179DD1"/>
    <w:rsid w:val="782037F0"/>
    <w:rsid w:val="7835FE4C"/>
    <w:rsid w:val="7842C368"/>
    <w:rsid w:val="7844D625"/>
    <w:rsid w:val="784D337E"/>
    <w:rsid w:val="78611B85"/>
    <w:rsid w:val="7883CE85"/>
    <w:rsid w:val="78A3AECD"/>
    <w:rsid w:val="78A6A876"/>
    <w:rsid w:val="78BB2A67"/>
    <w:rsid w:val="78C98969"/>
    <w:rsid w:val="78D19BA8"/>
    <w:rsid w:val="78E4AD2A"/>
    <w:rsid w:val="78E86C20"/>
    <w:rsid w:val="790063F8"/>
    <w:rsid w:val="79021091"/>
    <w:rsid w:val="79109806"/>
    <w:rsid w:val="7921E692"/>
    <w:rsid w:val="7923A531"/>
    <w:rsid w:val="792D9549"/>
    <w:rsid w:val="79328038"/>
    <w:rsid w:val="7964B06F"/>
    <w:rsid w:val="7973DF5F"/>
    <w:rsid w:val="797D514C"/>
    <w:rsid w:val="798B81E4"/>
    <w:rsid w:val="79A13D68"/>
    <w:rsid w:val="79B2D59C"/>
    <w:rsid w:val="79ECB3EC"/>
    <w:rsid w:val="7A36F2CA"/>
    <w:rsid w:val="7A51B66C"/>
    <w:rsid w:val="7A586D8C"/>
    <w:rsid w:val="7A5C14C7"/>
    <w:rsid w:val="7A85CDF8"/>
    <w:rsid w:val="7AAF8A2C"/>
    <w:rsid w:val="7AB47F08"/>
    <w:rsid w:val="7AB8C47D"/>
    <w:rsid w:val="7ADA2576"/>
    <w:rsid w:val="7AE3CE7B"/>
    <w:rsid w:val="7AEBC098"/>
    <w:rsid w:val="7AF12864"/>
    <w:rsid w:val="7B0CD74B"/>
    <w:rsid w:val="7B0E16BD"/>
    <w:rsid w:val="7B0FE37E"/>
    <w:rsid w:val="7B24BEB9"/>
    <w:rsid w:val="7B339F27"/>
    <w:rsid w:val="7B3A63F7"/>
    <w:rsid w:val="7B411BC1"/>
    <w:rsid w:val="7B4B8B18"/>
    <w:rsid w:val="7B4CE536"/>
    <w:rsid w:val="7B791C59"/>
    <w:rsid w:val="7B8425CE"/>
    <w:rsid w:val="7B90CEEA"/>
    <w:rsid w:val="7BC86D59"/>
    <w:rsid w:val="7BE87584"/>
    <w:rsid w:val="7BEAACE4"/>
    <w:rsid w:val="7C028665"/>
    <w:rsid w:val="7C030ABC"/>
    <w:rsid w:val="7C11201C"/>
    <w:rsid w:val="7C291F25"/>
    <w:rsid w:val="7C49F9F3"/>
    <w:rsid w:val="7C600441"/>
    <w:rsid w:val="7C705E35"/>
    <w:rsid w:val="7C7223A5"/>
    <w:rsid w:val="7C7990B0"/>
    <w:rsid w:val="7C806F73"/>
    <w:rsid w:val="7C80A8C0"/>
    <w:rsid w:val="7C87A264"/>
    <w:rsid w:val="7CB1D184"/>
    <w:rsid w:val="7CB8DBD6"/>
    <w:rsid w:val="7CC46A6A"/>
    <w:rsid w:val="7CE4E391"/>
    <w:rsid w:val="7CEC0D42"/>
    <w:rsid w:val="7CF522DA"/>
    <w:rsid w:val="7CFBEB1B"/>
    <w:rsid w:val="7D0A17AA"/>
    <w:rsid w:val="7D102D50"/>
    <w:rsid w:val="7D2FB13A"/>
    <w:rsid w:val="7D32BAA2"/>
    <w:rsid w:val="7D56703C"/>
    <w:rsid w:val="7D58C3A9"/>
    <w:rsid w:val="7D65E8C8"/>
    <w:rsid w:val="7D6D1B64"/>
    <w:rsid w:val="7D8F4D2D"/>
    <w:rsid w:val="7DA18D86"/>
    <w:rsid w:val="7DC03C50"/>
    <w:rsid w:val="7DC7C518"/>
    <w:rsid w:val="7DE17D39"/>
    <w:rsid w:val="7DF11A85"/>
    <w:rsid w:val="7E176920"/>
    <w:rsid w:val="7E1E6AF7"/>
    <w:rsid w:val="7E3286A6"/>
    <w:rsid w:val="7E541B47"/>
    <w:rsid w:val="7E646003"/>
    <w:rsid w:val="7E661C8F"/>
    <w:rsid w:val="7E6E146E"/>
    <w:rsid w:val="7E7734D9"/>
    <w:rsid w:val="7E8D09E8"/>
    <w:rsid w:val="7E925B36"/>
    <w:rsid w:val="7E9C925E"/>
    <w:rsid w:val="7EC1A317"/>
    <w:rsid w:val="7ED2BA8A"/>
    <w:rsid w:val="7ED807CB"/>
    <w:rsid w:val="7EFF7219"/>
    <w:rsid w:val="7F04B4C7"/>
    <w:rsid w:val="7FAF42C7"/>
    <w:rsid w:val="7FC05505"/>
    <w:rsid w:val="7FC9A57B"/>
    <w:rsid w:val="7FD93EDF"/>
    <w:rsid w:val="7FF2E676"/>
  </w:rsids>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x0rrrtie9szqere98x9rdltdv2wxw9t0r2&quot;&gt;My EndNote Library_0808&lt;record-ids&gt;&lt;item&gt;1&lt;/item&gt;&lt;item&gt;5&lt;/item&gt;&lt;item&gt;6&lt;/item&gt;&lt;item&gt;28&lt;/item&gt;&lt;item&gt;35&lt;/item&gt;&lt;item&gt;39&lt;/item&gt;&lt;item&gt;40&lt;/item&gt;&lt;item&gt;42&lt;/item&gt;&lt;item&gt;43&lt;/item&gt;&lt;item&gt;49&lt;/item&gt;&lt;item&gt;54&lt;/item&gt;&lt;item&gt;55&lt;/item&gt;&lt;item&gt;58&lt;/item&gt;&lt;item&gt;68&lt;/item&gt;&lt;item&gt;72&lt;/item&gt;&lt;item&gt;73&lt;/item&gt;&lt;item&gt;74&lt;/item&gt;&lt;item&gt;75&lt;/item&gt;&lt;item&gt;78&lt;/item&gt;&lt;item&gt;81&lt;/item&gt;&lt;item&gt;86&lt;/item&gt;&lt;item&gt;87&lt;/item&gt;&lt;item&gt;90&lt;/item&gt;&lt;item&gt;94&lt;/item&gt;&lt;item&gt;95&lt;/item&gt;&lt;item&gt;96&lt;/item&gt;&lt;item&gt;97&lt;/item&gt;&lt;item&gt;101&lt;/item&gt;&lt;item&gt;103&lt;/item&gt;&lt;item&gt;104&lt;/item&gt;&lt;item&gt;106&lt;/item&gt;&lt;item&gt;109&lt;/item&gt;&lt;item&gt;110&lt;/item&gt;&lt;item&gt;112&lt;/item&gt;&lt;item&gt;113&lt;/item&gt;&lt;item&gt;117&lt;/item&gt;&lt;item&gt;119&lt;/item&gt;&lt;item&gt;123&lt;/item&gt;&lt;item&gt;124&lt;/item&gt;&lt;item&gt;127&lt;/item&gt;&lt;item&gt;129&lt;/item&gt;&lt;item&gt;133&lt;/item&gt;&lt;item&gt;134&lt;/item&gt;&lt;item&gt;144&lt;/item&gt;&lt;item&gt;147&lt;/item&gt;&lt;item&gt;154&lt;/item&gt;&lt;item&gt;156&lt;/item&gt;&lt;item&gt;159&lt;/item&gt;&lt;item&gt;160&lt;/item&gt;&lt;item&gt;164&lt;/item&gt;&lt;item&gt;166&lt;/item&gt;&lt;item&gt;172&lt;/item&gt;&lt;item&gt;177&lt;/item&gt;&lt;item&gt;179&lt;/item&gt;&lt;item&gt;186&lt;/item&gt;&lt;item&gt;190&lt;/item&gt;&lt;item&gt;192&lt;/item&gt;&lt;item&gt;199&lt;/item&gt;&lt;item&gt;224&lt;/item&gt;&lt;item&gt;249&lt;/item&gt;&lt;item&gt;275&lt;/item&gt;&lt;item&gt;286&lt;/item&gt;&lt;item&gt;308&lt;/item&gt;&lt;item&gt;322&lt;/item&gt;&lt;item&gt;326&lt;/item&gt;&lt;item&gt;327&lt;/item&gt;&lt;item&gt;331&lt;/item&gt;&lt;item&gt;332&lt;/item&gt;&lt;item&gt;333&lt;/item&gt;&lt;item&gt;334&lt;/item&gt;&lt;item&gt;335&lt;/item&gt;&lt;item&gt;337&lt;/item&gt;&lt;item&gt;339&lt;/item&gt;&lt;item&gt;341&lt;/item&gt;&lt;item&gt;342&lt;/item&gt;&lt;item&gt;343&lt;/item&gt;&lt;/record-ids&gt;&lt;/item&gt;&lt;/Libraries&gt;"/>
  </w:docVars>
  <m:mathPr>
    <m:mathFont m:val="Cambria Math"/>
  </m:mathPr>
  <w:themeFontLang w:val="en-US" w:eastAsia="zh-CN" w:bidi="ar-SA"/>
  <w:clrSchemeMapping w:bg1="light1" w:t1="dark1" w:bg2="light2" w:t2="dark2" w:accent1="accent1" w:accent2="accent2" w:accent3="accent3" w:accent4="accent4" w:accent5="accent5" w:accent6="accent6" w:hyperlink="hyperlink" w:followedHyperlink="followedHyperlink"/>
  <w14:docId w14:val="15E20FB4"/>
  <w15:chartTrackingRefBased/>
  <w15:docId w15:val="{1A85A25E-3773-4CAC-B999-D022BD6C8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05B9"/>
    <w:pPr>
      <w:spacing w:after="240"/>
      <w:outlineLvl w:val="0"/>
    </w:pPr>
    <w:rPr>
      <w:rFonts w:cstheme="minorHAnsi"/>
      <w:b/>
      <w:sz w:val="24"/>
      <w:szCs w:val="24"/>
    </w:rPr>
  </w:style>
  <w:style w:type="paragraph" w:styleId="Heading2">
    <w:name w:val="heading 2"/>
    <w:basedOn w:val="Normal"/>
    <w:next w:val="Normal"/>
    <w:link w:val="Heading2Char"/>
    <w:uiPriority w:val="9"/>
    <w:unhideWhenUsed/>
    <w:qFormat/>
    <w:rsid w:val="008F5E9D"/>
    <w:pPr>
      <w:spacing w:after="240"/>
      <w:outlineLvl w:val="1"/>
    </w:pPr>
    <w:rPr>
      <w:rFonts w:cstheme="min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E6351"/>
    <w:pPr>
      <w:spacing w:after="0" w:line="240" w:lineRule="auto"/>
    </w:pPr>
    <w:rPr>
      <w:rFonts w:ascii="Calibri" w:eastAsia="Calibri"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FE6351"/>
    <w:pPr>
      <w:spacing w:after="0" w:line="240" w:lineRule="auto"/>
      <w:ind w:left="720"/>
      <w:contextualSpacing/>
    </w:pPr>
    <w:rPr>
      <w:rFonts w:ascii="Times New Roman" w:eastAsia="Calibri" w:hAnsi="Times New Roman" w:cs="Times New Roman"/>
      <w:sz w:val="24"/>
      <w:lang w:eastAsia="en-US"/>
    </w:rPr>
  </w:style>
  <w:style w:type="paragraph" w:styleId="CommentText">
    <w:name w:val="annotation text"/>
    <w:basedOn w:val="Normal"/>
    <w:link w:val="CommentTextChar"/>
    <w:uiPriority w:val="99"/>
    <w:unhideWhenUsed/>
    <w:rsid w:val="00FE6351"/>
    <w:pPr>
      <w:spacing w:after="200" w:line="240" w:lineRule="auto"/>
    </w:pPr>
    <w:rPr>
      <w:sz w:val="20"/>
      <w:szCs w:val="20"/>
    </w:rPr>
  </w:style>
  <w:style w:type="character" w:customStyle="1" w:styleId="CommentTextChar">
    <w:name w:val="Comment Text Char"/>
    <w:basedOn w:val="DefaultParagraphFont"/>
    <w:link w:val="CommentText"/>
    <w:uiPriority w:val="99"/>
    <w:rsid w:val="00FE6351"/>
    <w:rPr>
      <w:sz w:val="20"/>
      <w:szCs w:val="20"/>
    </w:rPr>
  </w:style>
  <w:style w:type="paragraph" w:styleId="Header">
    <w:name w:val="header"/>
    <w:basedOn w:val="Normal"/>
    <w:link w:val="HeaderChar"/>
    <w:uiPriority w:val="99"/>
    <w:unhideWhenUsed/>
    <w:rsid w:val="00FE63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351"/>
  </w:style>
  <w:style w:type="paragraph" w:styleId="Footer">
    <w:name w:val="footer"/>
    <w:basedOn w:val="Normal"/>
    <w:link w:val="FooterChar"/>
    <w:uiPriority w:val="99"/>
    <w:unhideWhenUsed/>
    <w:rsid w:val="00FE63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351"/>
  </w:style>
  <w:style w:type="character" w:styleId="Hyperlink">
    <w:name w:val="Hyperlink"/>
    <w:basedOn w:val="DefaultParagraphFont"/>
    <w:uiPriority w:val="99"/>
    <w:unhideWhenUsed/>
    <w:rsid w:val="00E4391D"/>
    <w:rPr>
      <w:color w:val="0000FF"/>
      <w:u w:val="single"/>
    </w:rPr>
  </w:style>
  <w:style w:type="character" w:styleId="Emphasis">
    <w:name w:val="Emphasis"/>
    <w:basedOn w:val="DefaultParagraphFont"/>
    <w:uiPriority w:val="20"/>
    <w:qFormat/>
    <w:rsid w:val="00E4391D"/>
    <w:rPr>
      <w:i/>
      <w:iCs/>
    </w:rPr>
  </w:style>
  <w:style w:type="character" w:customStyle="1" w:styleId="UnresolvedMention1">
    <w:name w:val="Unresolved Mention1"/>
    <w:basedOn w:val="DefaultParagraphFont"/>
    <w:uiPriority w:val="99"/>
    <w:semiHidden/>
    <w:unhideWhenUsed/>
    <w:rsid w:val="00DB534B"/>
    <w:rPr>
      <w:color w:val="605E5C"/>
      <w:shd w:val="clear" w:color="auto" w:fill="E1DFDD"/>
    </w:rPr>
  </w:style>
  <w:style w:type="paragraph" w:styleId="FootnoteText">
    <w:name w:val="footnote text"/>
    <w:basedOn w:val="Normal"/>
    <w:link w:val="FootnoteTextChar"/>
    <w:uiPriority w:val="99"/>
    <w:semiHidden/>
    <w:unhideWhenUsed/>
    <w:rsid w:val="00DB534B"/>
    <w:pPr>
      <w:spacing w:before="100" w:beforeAutospacing="1" w:after="100" w:afterAutospacing="1" w:line="240" w:lineRule="auto"/>
      <w:ind w:left="720" w:right="720"/>
      <w:jc w:val="both"/>
    </w:pPr>
    <w:rPr>
      <w:rFonts w:ascii="Calibri" w:eastAsia="Calibri" w:hAnsi="Calibri" w:cs="Times New Roman"/>
      <w:sz w:val="20"/>
      <w:szCs w:val="20"/>
      <w:lang w:eastAsia="en-US"/>
    </w:rPr>
  </w:style>
  <w:style w:type="character" w:customStyle="1" w:styleId="FootnoteTextChar">
    <w:name w:val="Footnote Text Char"/>
    <w:basedOn w:val="DefaultParagraphFont"/>
    <w:link w:val="FootnoteText"/>
    <w:uiPriority w:val="99"/>
    <w:semiHidden/>
    <w:rsid w:val="00DB534B"/>
    <w:rPr>
      <w:rFonts w:ascii="Calibri" w:eastAsia="Calibri" w:hAnsi="Calibri" w:cs="Times New Roman"/>
      <w:sz w:val="20"/>
      <w:szCs w:val="20"/>
      <w:lang w:eastAsia="en-US"/>
    </w:rPr>
  </w:style>
  <w:style w:type="character" w:styleId="FootnoteReference">
    <w:name w:val="footnote reference"/>
    <w:basedOn w:val="DefaultParagraphFont"/>
    <w:uiPriority w:val="99"/>
    <w:semiHidden/>
    <w:unhideWhenUsed/>
    <w:rsid w:val="00DB534B"/>
    <w:rPr>
      <w:vertAlign w:val="superscript"/>
    </w:rPr>
  </w:style>
  <w:style w:type="paragraph" w:styleId="BalloonText">
    <w:name w:val="Balloon Text"/>
    <w:basedOn w:val="Normal"/>
    <w:link w:val="BalloonTextChar"/>
    <w:uiPriority w:val="99"/>
    <w:semiHidden/>
    <w:unhideWhenUsed/>
    <w:rsid w:val="00DB534B"/>
    <w:pPr>
      <w:spacing w:beforeAutospacing="1" w:after="0" w:afterAutospacing="1" w:line="240" w:lineRule="auto"/>
      <w:ind w:left="720" w:right="720"/>
      <w:jc w:val="both"/>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DB534B"/>
    <w:rPr>
      <w:rFonts w:ascii="Tahoma" w:eastAsia="Calibri" w:hAnsi="Tahoma" w:cs="Tahoma"/>
      <w:sz w:val="16"/>
      <w:szCs w:val="16"/>
      <w:lang w:eastAsia="en-US"/>
    </w:rPr>
  </w:style>
  <w:style w:type="table" w:customStyle="1" w:styleId="TableGrid0">
    <w:name w:val="TableGrid"/>
    <w:rsid w:val="00DB534B"/>
    <w:pPr>
      <w:spacing w:after="0" w:line="240" w:lineRule="auto"/>
    </w:pPr>
    <w:rPr>
      <w:rFonts w:ascii="Calibri" w:eastAsia="Times New Roman" w:hAnsi="Calibri" w:cs="Times New Roman"/>
      <w:lang w:eastAsia="en-US"/>
    </w:rPr>
    <w:tblPr>
      <w:tblCellMar>
        <w:top w:w="0" w:type="dxa"/>
        <w:left w:w="0" w:type="dxa"/>
        <w:bottom w:w="0" w:type="dxa"/>
        <w:right w:w="0" w:type="dxa"/>
      </w:tblCellMar>
    </w:tblPr>
  </w:style>
  <w:style w:type="table" w:customStyle="1" w:styleId="TableGrid1">
    <w:name w:val="TableGrid1"/>
    <w:rsid w:val="00DB534B"/>
    <w:pPr>
      <w:spacing w:after="0" w:line="240" w:lineRule="auto"/>
    </w:pPr>
    <w:rPr>
      <w:rFonts w:ascii="Calibri" w:eastAsia="Times New Roman" w:hAnsi="Calibri" w:cs="Times New Roman"/>
      <w:lang w:eastAsia="en-US"/>
    </w:rPr>
    <w:tblPr>
      <w:tblCellMar>
        <w:top w:w="0" w:type="dxa"/>
        <w:left w:w="0" w:type="dxa"/>
        <w:bottom w:w="0" w:type="dxa"/>
        <w:right w:w="0" w:type="dxa"/>
      </w:tblCellMar>
    </w:tblPr>
  </w:style>
  <w:style w:type="table" w:customStyle="1" w:styleId="TableGrid2">
    <w:name w:val="TableGrid2"/>
    <w:rsid w:val="00DB534B"/>
    <w:pPr>
      <w:spacing w:after="0" w:line="240" w:lineRule="auto"/>
    </w:pPr>
    <w:rPr>
      <w:rFonts w:ascii="Calibri" w:eastAsia="Times New Roman" w:hAnsi="Calibri" w:cs="Times New Roman"/>
      <w:lang w:eastAsia="en-US"/>
    </w:rPr>
    <w:tblPr>
      <w:tblCellMar>
        <w:top w:w="0" w:type="dxa"/>
        <w:left w:w="0" w:type="dxa"/>
        <w:bottom w:w="0" w:type="dxa"/>
        <w:right w:w="0" w:type="dxa"/>
      </w:tblCellMar>
    </w:tblPr>
  </w:style>
  <w:style w:type="table" w:customStyle="1" w:styleId="TableGrid10">
    <w:name w:val="Table Grid1"/>
    <w:basedOn w:val="TableNormal"/>
    <w:next w:val="TableGrid"/>
    <w:uiPriority w:val="59"/>
    <w:rsid w:val="00DB5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B534B"/>
    <w:rPr>
      <w:sz w:val="16"/>
      <w:szCs w:val="16"/>
    </w:rPr>
  </w:style>
  <w:style w:type="paragraph" w:styleId="CommentSubject">
    <w:name w:val="annotation subject"/>
    <w:basedOn w:val="CommentText"/>
    <w:next w:val="CommentText"/>
    <w:link w:val="CommentSubjectChar"/>
    <w:uiPriority w:val="99"/>
    <w:semiHidden/>
    <w:unhideWhenUsed/>
    <w:rsid w:val="00DB534B"/>
    <w:pPr>
      <w:spacing w:before="100" w:beforeAutospacing="1" w:after="100" w:afterAutospacing="1"/>
      <w:ind w:left="720" w:right="720"/>
      <w:jc w:val="both"/>
    </w:pPr>
    <w:rPr>
      <w:rFonts w:ascii="Calibri" w:eastAsia="Calibri" w:hAnsi="Calibri" w:cs="Times New Roman"/>
      <w:b/>
      <w:bCs/>
      <w:lang w:eastAsia="en-US"/>
    </w:rPr>
  </w:style>
  <w:style w:type="character" w:customStyle="1" w:styleId="CommentSubjectChar">
    <w:name w:val="Comment Subject Char"/>
    <w:basedOn w:val="CommentTextChar"/>
    <w:link w:val="CommentSubject"/>
    <w:uiPriority w:val="99"/>
    <w:semiHidden/>
    <w:rsid w:val="00DB534B"/>
    <w:rPr>
      <w:rFonts w:ascii="Calibri" w:eastAsia="Calibri" w:hAnsi="Calibri" w:cs="Times New Roman"/>
      <w:b/>
      <w:bCs/>
      <w:sz w:val="20"/>
      <w:szCs w:val="20"/>
      <w:lang w:eastAsia="en-US"/>
    </w:rPr>
  </w:style>
  <w:style w:type="paragraph" w:customStyle="1" w:styleId="EndNoteBibliography">
    <w:name w:val="EndNote Bibliography"/>
    <w:basedOn w:val="Normal"/>
    <w:link w:val="EndNoteBibliographyChar"/>
    <w:rsid w:val="00DB534B"/>
    <w:pPr>
      <w:spacing w:after="200" w:line="240" w:lineRule="auto"/>
    </w:pPr>
    <w:rPr>
      <w:rFonts w:ascii="Calibri" w:hAnsi="Calibri" w:eastAsiaTheme="minorHAnsi"/>
      <w:noProof/>
      <w:lang w:eastAsia="en-US"/>
    </w:rPr>
  </w:style>
  <w:style w:type="character" w:customStyle="1" w:styleId="EndNoteBibliographyChar">
    <w:name w:val="EndNote Bibliography Char"/>
    <w:basedOn w:val="DefaultParagraphFont"/>
    <w:link w:val="EndNoteBibliography"/>
    <w:rsid w:val="00DB534B"/>
    <w:rPr>
      <w:rFonts w:ascii="Calibri" w:hAnsi="Calibri" w:eastAsiaTheme="minorHAnsi"/>
      <w:noProof/>
      <w:lang w:eastAsia="en-US"/>
    </w:rPr>
  </w:style>
  <w:style w:type="paragraph" w:styleId="Revision">
    <w:name w:val="Revision"/>
    <w:hidden/>
    <w:uiPriority w:val="99"/>
    <w:semiHidden/>
    <w:rsid w:val="00DB534B"/>
    <w:pPr>
      <w:spacing w:after="0" w:line="240" w:lineRule="auto"/>
    </w:pPr>
    <w:rPr>
      <w:rFonts w:ascii="Calibri" w:eastAsia="Calibri" w:hAnsi="Calibri" w:cs="Times New Roman"/>
      <w:lang w:eastAsia="en-US"/>
    </w:rPr>
  </w:style>
  <w:style w:type="paragraph" w:styleId="BodyText">
    <w:name w:val="Body Text"/>
    <w:basedOn w:val="Normal"/>
    <w:link w:val="BodyTextChar"/>
    <w:uiPriority w:val="1"/>
    <w:qFormat/>
    <w:rsid w:val="00DB534B"/>
    <w:pPr>
      <w:widowControl w:val="0"/>
      <w:autoSpaceDE w:val="0"/>
      <w:autoSpaceDN w:val="0"/>
      <w:spacing w:after="0" w:line="240" w:lineRule="auto"/>
    </w:pPr>
    <w:rPr>
      <w:rFonts w:ascii="Arial" w:eastAsia="Arial" w:hAnsi="Arial" w:cs="Arial"/>
      <w:sz w:val="16"/>
      <w:szCs w:val="16"/>
      <w:lang w:eastAsia="en-US"/>
    </w:rPr>
  </w:style>
  <w:style w:type="character" w:customStyle="1" w:styleId="BodyTextChar">
    <w:name w:val="Body Text Char"/>
    <w:basedOn w:val="DefaultParagraphFont"/>
    <w:link w:val="BodyText"/>
    <w:uiPriority w:val="1"/>
    <w:rsid w:val="00DB534B"/>
    <w:rPr>
      <w:rFonts w:ascii="Arial" w:eastAsia="Arial" w:hAnsi="Arial" w:cs="Arial"/>
      <w:sz w:val="16"/>
      <w:szCs w:val="16"/>
      <w:lang w:eastAsia="en-US"/>
    </w:rPr>
  </w:style>
  <w:style w:type="paragraph" w:customStyle="1" w:styleId="TableParagraph">
    <w:name w:val="Table Paragraph"/>
    <w:basedOn w:val="Normal"/>
    <w:uiPriority w:val="1"/>
    <w:qFormat/>
    <w:rsid w:val="00DB534B"/>
    <w:pPr>
      <w:widowControl w:val="0"/>
      <w:autoSpaceDE w:val="0"/>
      <w:autoSpaceDN w:val="0"/>
      <w:spacing w:after="0" w:line="240" w:lineRule="auto"/>
      <w:ind w:left="25"/>
    </w:pPr>
    <w:rPr>
      <w:rFonts w:ascii="Calibri" w:eastAsia="Calibri" w:hAnsi="Calibri" w:cs="Calibri"/>
      <w:lang w:eastAsia="en-US"/>
    </w:rPr>
  </w:style>
  <w:style w:type="character" w:customStyle="1" w:styleId="Heading1Char">
    <w:name w:val="Heading 1 Char"/>
    <w:basedOn w:val="DefaultParagraphFont"/>
    <w:link w:val="Heading1"/>
    <w:uiPriority w:val="9"/>
    <w:rsid w:val="00D605B9"/>
    <w:rPr>
      <w:rFonts w:cstheme="minorHAnsi"/>
      <w:b/>
      <w:sz w:val="24"/>
      <w:szCs w:val="24"/>
    </w:rPr>
  </w:style>
  <w:style w:type="character" w:customStyle="1" w:styleId="Heading2Char">
    <w:name w:val="Heading 2 Char"/>
    <w:basedOn w:val="DefaultParagraphFont"/>
    <w:link w:val="Heading2"/>
    <w:uiPriority w:val="9"/>
    <w:rsid w:val="008F5E9D"/>
    <w:rPr>
      <w:rFonts w:cstheme="minorHAnsi"/>
      <w:b/>
    </w:rPr>
  </w:style>
  <w:style w:type="paragraph" w:styleId="TOCHeading">
    <w:name w:val="TOC Heading"/>
    <w:basedOn w:val="Heading1"/>
    <w:next w:val="Normal"/>
    <w:uiPriority w:val="39"/>
    <w:unhideWhenUsed/>
    <w:qFormat/>
    <w:rsid w:val="00B2673F"/>
    <w:pPr>
      <w:keepNext/>
      <w:keepLines/>
      <w:spacing w:before="240" w:after="0"/>
      <w:outlineLvl w:val="9"/>
    </w:pPr>
    <w:rPr>
      <w:rFonts w:asciiTheme="majorHAnsi" w:eastAsiaTheme="majorEastAsia" w:hAnsiTheme="majorHAnsi" w:cstheme="majorBidi"/>
      <w:b w:val="0"/>
      <w:color w:val="2F5496" w:themeColor="accent1" w:themeShade="BF"/>
      <w:sz w:val="32"/>
      <w:szCs w:val="32"/>
      <w:lang w:eastAsia="en-US"/>
    </w:rPr>
  </w:style>
  <w:style w:type="paragraph" w:styleId="TOC1">
    <w:name w:val="toc 1"/>
    <w:basedOn w:val="Normal"/>
    <w:next w:val="Normal"/>
    <w:autoRedefine/>
    <w:uiPriority w:val="39"/>
    <w:unhideWhenUsed/>
    <w:rsid w:val="00361A99"/>
    <w:pPr>
      <w:tabs>
        <w:tab w:val="right" w:leader="dot" w:pos="9350"/>
      </w:tabs>
      <w:spacing w:after="100"/>
      <w:ind w:firstLine="220"/>
    </w:pPr>
  </w:style>
  <w:style w:type="paragraph" w:styleId="TOC2">
    <w:name w:val="toc 2"/>
    <w:basedOn w:val="Normal"/>
    <w:next w:val="Normal"/>
    <w:autoRedefine/>
    <w:uiPriority w:val="39"/>
    <w:unhideWhenUsed/>
    <w:rsid w:val="0013439B"/>
    <w:pPr>
      <w:tabs>
        <w:tab w:val="right" w:leader="dot" w:pos="9350"/>
      </w:tabs>
      <w:spacing w:after="100"/>
      <w:ind w:left="220"/>
    </w:pPr>
  </w:style>
  <w:style w:type="character" w:styleId="UnresolvedMention">
    <w:name w:val="Unresolved Mention"/>
    <w:basedOn w:val="DefaultParagraphFont"/>
    <w:uiPriority w:val="99"/>
    <w:unhideWhenUsed/>
    <w:rsid w:val="00AA4382"/>
    <w:rPr>
      <w:color w:val="605E5C"/>
      <w:shd w:val="clear" w:color="auto" w:fill="E1DFDD"/>
    </w:rPr>
  </w:style>
  <w:style w:type="character" w:styleId="Mention">
    <w:name w:val="Mention"/>
    <w:basedOn w:val="DefaultParagraphFont"/>
    <w:uiPriority w:val="99"/>
    <w:unhideWhenUsed/>
    <w:rsid w:val="00AA4382"/>
    <w:rPr>
      <w:color w:val="2B579A"/>
      <w:shd w:val="clear" w:color="auto" w:fill="E1DFDD"/>
    </w:rPr>
  </w:style>
  <w:style w:type="character" w:customStyle="1" w:styleId="identifier">
    <w:name w:val="identifier"/>
    <w:basedOn w:val="DefaultParagraphFont"/>
    <w:rsid w:val="009256F6"/>
  </w:style>
  <w:style w:type="character" w:customStyle="1" w:styleId="u-visually-hidden">
    <w:name w:val="u-visually-hidden"/>
    <w:basedOn w:val="DefaultParagraphFont"/>
    <w:rsid w:val="009256F6"/>
  </w:style>
  <w:style w:type="character" w:styleId="FollowedHyperlink">
    <w:name w:val="FollowedHyperlink"/>
    <w:basedOn w:val="DefaultParagraphFont"/>
    <w:uiPriority w:val="99"/>
    <w:semiHidden/>
    <w:unhideWhenUsed/>
    <w:rsid w:val="009256F6"/>
    <w:rPr>
      <w:color w:val="954F72" w:themeColor="followedHyperlink"/>
      <w:u w:val="single"/>
    </w:rPr>
  </w:style>
  <w:style w:type="character" w:customStyle="1" w:styleId="jnlarticle">
    <w:name w:val="jnlarticle"/>
    <w:basedOn w:val="DefaultParagraphFont"/>
    <w:rsid w:val="009256F6"/>
  </w:style>
  <w:style w:type="character" w:customStyle="1" w:styleId="ui-provider">
    <w:name w:val="ui-provider"/>
    <w:basedOn w:val="DefaultParagraphFont"/>
    <w:rsid w:val="005027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00" Type="http://schemas.openxmlformats.org/officeDocument/2006/relationships/image" Target="media/image89.png" /><Relationship Id="rId101" Type="http://schemas.openxmlformats.org/officeDocument/2006/relationships/image" Target="media/image90.png" /><Relationship Id="rId102" Type="http://schemas.openxmlformats.org/officeDocument/2006/relationships/image" Target="media/image91.png" /><Relationship Id="rId103" Type="http://schemas.openxmlformats.org/officeDocument/2006/relationships/image" Target="media/image92.png" /><Relationship Id="rId104" Type="http://schemas.openxmlformats.org/officeDocument/2006/relationships/image" Target="media/image93.png" /><Relationship Id="rId105" Type="http://schemas.openxmlformats.org/officeDocument/2006/relationships/image" Target="media/image94.png" /><Relationship Id="rId106" Type="http://schemas.openxmlformats.org/officeDocument/2006/relationships/image" Target="media/image95.png" /><Relationship Id="rId107" Type="http://schemas.openxmlformats.org/officeDocument/2006/relationships/image" Target="media/image96.png" /><Relationship Id="rId108" Type="http://schemas.openxmlformats.org/officeDocument/2006/relationships/image" Target="media/image97.png" /><Relationship Id="rId109" Type="http://schemas.openxmlformats.org/officeDocument/2006/relationships/image" Target="media/image98.png" /><Relationship Id="rId11" Type="http://schemas.openxmlformats.org/officeDocument/2006/relationships/image" Target="media/image3.jpeg" /><Relationship Id="rId110" Type="http://schemas.openxmlformats.org/officeDocument/2006/relationships/image" Target="media/image99.png" /><Relationship Id="rId111" Type="http://schemas.openxmlformats.org/officeDocument/2006/relationships/image" Target="media/image100.png" /><Relationship Id="rId112" Type="http://schemas.openxmlformats.org/officeDocument/2006/relationships/image" Target="media/image101.png" /><Relationship Id="rId113" Type="http://schemas.openxmlformats.org/officeDocument/2006/relationships/image" Target="media/image102.png" /><Relationship Id="rId114" Type="http://schemas.openxmlformats.org/officeDocument/2006/relationships/image" Target="media/image103.png" /><Relationship Id="rId115" Type="http://schemas.openxmlformats.org/officeDocument/2006/relationships/image" Target="media/image104.png" /><Relationship Id="rId116" Type="http://schemas.openxmlformats.org/officeDocument/2006/relationships/image" Target="media/image105.png" /><Relationship Id="rId117" Type="http://schemas.openxmlformats.org/officeDocument/2006/relationships/image" Target="media/image106.png" /><Relationship Id="rId118" Type="http://schemas.openxmlformats.org/officeDocument/2006/relationships/image" Target="media/image107.png" /><Relationship Id="rId119" Type="http://schemas.openxmlformats.org/officeDocument/2006/relationships/image" Target="media/image108.png" /><Relationship Id="rId12" Type="http://schemas.openxmlformats.org/officeDocument/2006/relationships/image" Target="media/image4.png" /><Relationship Id="rId120" Type="http://schemas.openxmlformats.org/officeDocument/2006/relationships/image" Target="media/image109.png" /><Relationship Id="rId121" Type="http://schemas.openxmlformats.org/officeDocument/2006/relationships/image" Target="media/image110.png" /><Relationship Id="rId122" Type="http://schemas.openxmlformats.org/officeDocument/2006/relationships/image" Target="media/image111.png" /><Relationship Id="rId123" Type="http://schemas.openxmlformats.org/officeDocument/2006/relationships/image" Target="media/image112.png" /><Relationship Id="rId124" Type="http://schemas.openxmlformats.org/officeDocument/2006/relationships/image" Target="media/image113.png" /><Relationship Id="rId125" Type="http://schemas.openxmlformats.org/officeDocument/2006/relationships/image" Target="media/image114.png" /><Relationship Id="rId126" Type="http://schemas.openxmlformats.org/officeDocument/2006/relationships/image" Target="media/image115.png" /><Relationship Id="rId127" Type="http://schemas.openxmlformats.org/officeDocument/2006/relationships/image" Target="media/image116.png" /><Relationship Id="rId128" Type="http://schemas.openxmlformats.org/officeDocument/2006/relationships/image" Target="media/image117.png" /><Relationship Id="rId129" Type="http://schemas.openxmlformats.org/officeDocument/2006/relationships/image" Target="media/image118.png" /><Relationship Id="rId13" Type="http://schemas.openxmlformats.org/officeDocument/2006/relationships/image" Target="media/image5.jpeg" /><Relationship Id="rId130" Type="http://schemas.openxmlformats.org/officeDocument/2006/relationships/image" Target="media/image119.png" /><Relationship Id="rId131" Type="http://schemas.openxmlformats.org/officeDocument/2006/relationships/image" Target="media/image120.png" /><Relationship Id="rId132" Type="http://schemas.openxmlformats.org/officeDocument/2006/relationships/hyperlink" Target="https://foodinsight.org/ific-survey-fop-labeling/" TargetMode="External" /><Relationship Id="rId133" Type="http://schemas.openxmlformats.org/officeDocument/2006/relationships/theme" Target="theme/theme1.xml" /><Relationship Id="rId134" Type="http://schemas.openxmlformats.org/officeDocument/2006/relationships/numbering" Target="numbering.xml" /><Relationship Id="rId135" Type="http://schemas.openxmlformats.org/officeDocument/2006/relationships/styles" Target="styles.xml" /><Relationship Id="rId14" Type="http://schemas.openxmlformats.org/officeDocument/2006/relationships/image" Target="media/image6.jpeg" /><Relationship Id="rId15" Type="http://schemas.openxmlformats.org/officeDocument/2006/relationships/image" Target="media/image7.jpeg" /><Relationship Id="rId16" Type="http://schemas.openxmlformats.org/officeDocument/2006/relationships/image" Target="media/image8.png" /><Relationship Id="rId17" Type="http://schemas.openxmlformats.org/officeDocument/2006/relationships/image" Target="media/image9.jpeg" /><Relationship Id="rId18" Type="http://schemas.openxmlformats.org/officeDocument/2006/relationships/image" Target="media/image10.png" /><Relationship Id="rId19" Type="http://schemas.openxmlformats.org/officeDocument/2006/relationships/header" Target="header1.xml" /><Relationship Id="rId2" Type="http://schemas.openxmlformats.org/officeDocument/2006/relationships/webSettings" Target="webSettings.xml" /><Relationship Id="rId20" Type="http://schemas.openxmlformats.org/officeDocument/2006/relationships/footer" Target="footer2.xml"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image" Target="media/image15.png" /><Relationship Id="rId26" Type="http://schemas.openxmlformats.org/officeDocument/2006/relationships/image" Target="media/image16.png" /><Relationship Id="rId27" Type="http://schemas.openxmlformats.org/officeDocument/2006/relationships/image" Target="media/image17.png" /><Relationship Id="rId28" Type="http://schemas.openxmlformats.org/officeDocument/2006/relationships/image" Target="media/image18.png" /><Relationship Id="rId29" Type="http://schemas.openxmlformats.org/officeDocument/2006/relationships/image" Target="media/image19.png" /><Relationship Id="rId3" Type="http://schemas.openxmlformats.org/officeDocument/2006/relationships/fontTable" Target="fontTable.xml" /><Relationship Id="rId30" Type="http://schemas.openxmlformats.org/officeDocument/2006/relationships/image" Target="media/image20.png" /><Relationship Id="rId31" Type="http://schemas.openxmlformats.org/officeDocument/2006/relationships/image" Target="media/image21.png" /><Relationship Id="rId32" Type="http://schemas.openxmlformats.org/officeDocument/2006/relationships/image" Target="media/image22.png" /><Relationship Id="rId33" Type="http://schemas.openxmlformats.org/officeDocument/2006/relationships/header" Target="header2.xml" /><Relationship Id="rId34" Type="http://schemas.openxmlformats.org/officeDocument/2006/relationships/image" Target="media/image23.png" /><Relationship Id="rId35" Type="http://schemas.openxmlformats.org/officeDocument/2006/relationships/image" Target="media/image24.png" /><Relationship Id="rId36" Type="http://schemas.openxmlformats.org/officeDocument/2006/relationships/image" Target="media/image25.png" /><Relationship Id="rId37" Type="http://schemas.openxmlformats.org/officeDocument/2006/relationships/image" Target="media/image26.png" /><Relationship Id="rId38" Type="http://schemas.openxmlformats.org/officeDocument/2006/relationships/image" Target="media/image27.png" /><Relationship Id="rId39" Type="http://schemas.openxmlformats.org/officeDocument/2006/relationships/image" Target="media/image28.png" /><Relationship Id="rId4" Type="http://schemas.openxmlformats.org/officeDocument/2006/relationships/customXml" Target="../customXml/item1.xml" /><Relationship Id="rId40" Type="http://schemas.openxmlformats.org/officeDocument/2006/relationships/image" Target="media/image29.png" /><Relationship Id="rId41" Type="http://schemas.openxmlformats.org/officeDocument/2006/relationships/image" Target="media/image30.png" /><Relationship Id="rId42" Type="http://schemas.openxmlformats.org/officeDocument/2006/relationships/image" Target="media/image31.png" /><Relationship Id="rId43" Type="http://schemas.openxmlformats.org/officeDocument/2006/relationships/image" Target="media/image32.png" /><Relationship Id="rId44" Type="http://schemas.openxmlformats.org/officeDocument/2006/relationships/image" Target="media/image33.png" /><Relationship Id="rId45" Type="http://schemas.openxmlformats.org/officeDocument/2006/relationships/image" Target="media/image34.png" /><Relationship Id="rId46" Type="http://schemas.openxmlformats.org/officeDocument/2006/relationships/image" Target="media/image35.png" /><Relationship Id="rId47" Type="http://schemas.openxmlformats.org/officeDocument/2006/relationships/image" Target="media/image36.png" /><Relationship Id="rId48" Type="http://schemas.openxmlformats.org/officeDocument/2006/relationships/image" Target="media/image37.png" /><Relationship Id="rId49" Type="http://schemas.openxmlformats.org/officeDocument/2006/relationships/image" Target="media/image38.png" /><Relationship Id="rId5" Type="http://schemas.openxmlformats.org/officeDocument/2006/relationships/customXml" Target="../customXml/item2.xml" /><Relationship Id="rId50" Type="http://schemas.openxmlformats.org/officeDocument/2006/relationships/image" Target="media/image39.png" /><Relationship Id="rId51" Type="http://schemas.openxmlformats.org/officeDocument/2006/relationships/image" Target="media/image40.png" /><Relationship Id="rId52" Type="http://schemas.openxmlformats.org/officeDocument/2006/relationships/image" Target="media/image41.png" /><Relationship Id="rId53" Type="http://schemas.openxmlformats.org/officeDocument/2006/relationships/image" Target="media/image42.png" /><Relationship Id="rId54" Type="http://schemas.openxmlformats.org/officeDocument/2006/relationships/image" Target="media/image43.png" /><Relationship Id="rId55" Type="http://schemas.openxmlformats.org/officeDocument/2006/relationships/image" Target="media/image44.png" /><Relationship Id="rId56" Type="http://schemas.openxmlformats.org/officeDocument/2006/relationships/image" Target="media/image45.png" /><Relationship Id="rId57" Type="http://schemas.openxmlformats.org/officeDocument/2006/relationships/image" Target="media/image46.png" /><Relationship Id="rId58" Type="http://schemas.openxmlformats.org/officeDocument/2006/relationships/image" Target="media/image47.png" /><Relationship Id="rId59" Type="http://schemas.openxmlformats.org/officeDocument/2006/relationships/image" Target="media/image48.png" /><Relationship Id="rId6" Type="http://schemas.openxmlformats.org/officeDocument/2006/relationships/customXml" Target="../customXml/item3.xml" /><Relationship Id="rId60" Type="http://schemas.openxmlformats.org/officeDocument/2006/relationships/image" Target="media/image49.png" /><Relationship Id="rId61" Type="http://schemas.openxmlformats.org/officeDocument/2006/relationships/image" Target="media/image50.png" /><Relationship Id="rId62" Type="http://schemas.openxmlformats.org/officeDocument/2006/relationships/image" Target="media/image51.png" /><Relationship Id="rId63" Type="http://schemas.openxmlformats.org/officeDocument/2006/relationships/image" Target="media/image52.png" /><Relationship Id="rId64" Type="http://schemas.openxmlformats.org/officeDocument/2006/relationships/image" Target="media/image53.png" /><Relationship Id="rId65" Type="http://schemas.openxmlformats.org/officeDocument/2006/relationships/image" Target="media/image54.png" /><Relationship Id="rId66" Type="http://schemas.openxmlformats.org/officeDocument/2006/relationships/image" Target="media/image55.png" /><Relationship Id="rId67" Type="http://schemas.openxmlformats.org/officeDocument/2006/relationships/image" Target="media/image56.png" /><Relationship Id="rId68" Type="http://schemas.openxmlformats.org/officeDocument/2006/relationships/image" Target="media/image57.png" /><Relationship Id="rId69" Type="http://schemas.openxmlformats.org/officeDocument/2006/relationships/image" Target="media/image58.png" /><Relationship Id="rId7" Type="http://schemas.openxmlformats.org/officeDocument/2006/relationships/customXml" Target="../customXml/item4.xml" /><Relationship Id="rId70" Type="http://schemas.openxmlformats.org/officeDocument/2006/relationships/image" Target="media/image59.emf" /><Relationship Id="rId71" Type="http://schemas.openxmlformats.org/officeDocument/2006/relationships/image" Target="media/image60.png" /><Relationship Id="rId72" Type="http://schemas.openxmlformats.org/officeDocument/2006/relationships/image" Target="media/image61.png" /><Relationship Id="rId73" Type="http://schemas.openxmlformats.org/officeDocument/2006/relationships/image" Target="media/image62.png" /><Relationship Id="rId74" Type="http://schemas.openxmlformats.org/officeDocument/2006/relationships/image" Target="media/image63.png" /><Relationship Id="rId75" Type="http://schemas.openxmlformats.org/officeDocument/2006/relationships/image" Target="media/image64.png" /><Relationship Id="rId76" Type="http://schemas.openxmlformats.org/officeDocument/2006/relationships/image" Target="media/image65.png" /><Relationship Id="rId77" Type="http://schemas.openxmlformats.org/officeDocument/2006/relationships/image" Target="media/image66.png" /><Relationship Id="rId78" Type="http://schemas.openxmlformats.org/officeDocument/2006/relationships/image" Target="media/image67.png" /><Relationship Id="rId79" Type="http://schemas.openxmlformats.org/officeDocument/2006/relationships/image" Target="media/image68.png" /><Relationship Id="rId8" Type="http://schemas.openxmlformats.org/officeDocument/2006/relationships/image" Target="media/image1.png" /><Relationship Id="rId80" Type="http://schemas.openxmlformats.org/officeDocument/2006/relationships/image" Target="media/image69.emf" /><Relationship Id="rId81" Type="http://schemas.openxmlformats.org/officeDocument/2006/relationships/image" Target="media/image70.png" /><Relationship Id="rId82" Type="http://schemas.openxmlformats.org/officeDocument/2006/relationships/image" Target="media/image71.png" /><Relationship Id="rId83" Type="http://schemas.openxmlformats.org/officeDocument/2006/relationships/image" Target="media/image72.png" /><Relationship Id="rId84" Type="http://schemas.openxmlformats.org/officeDocument/2006/relationships/image" Target="media/image73.png" /><Relationship Id="rId85" Type="http://schemas.openxmlformats.org/officeDocument/2006/relationships/image" Target="media/image74.png" /><Relationship Id="rId86" Type="http://schemas.openxmlformats.org/officeDocument/2006/relationships/image" Target="media/image75.png" /><Relationship Id="rId87" Type="http://schemas.openxmlformats.org/officeDocument/2006/relationships/image" Target="media/image76.png" /><Relationship Id="rId88" Type="http://schemas.openxmlformats.org/officeDocument/2006/relationships/image" Target="media/image77.png" /><Relationship Id="rId89" Type="http://schemas.openxmlformats.org/officeDocument/2006/relationships/image" Target="media/image78.png" /><Relationship Id="rId9" Type="http://schemas.openxmlformats.org/officeDocument/2006/relationships/image" Target="media/image2.png" /><Relationship Id="rId90" Type="http://schemas.openxmlformats.org/officeDocument/2006/relationships/image" Target="media/image79.png" /><Relationship Id="rId91" Type="http://schemas.openxmlformats.org/officeDocument/2006/relationships/image" Target="media/image80.png" /><Relationship Id="rId92" Type="http://schemas.openxmlformats.org/officeDocument/2006/relationships/image" Target="media/image81.png" /><Relationship Id="rId93" Type="http://schemas.openxmlformats.org/officeDocument/2006/relationships/image" Target="media/image82.png" /><Relationship Id="rId94" Type="http://schemas.openxmlformats.org/officeDocument/2006/relationships/image" Target="media/image83.png" /><Relationship Id="rId95" Type="http://schemas.openxmlformats.org/officeDocument/2006/relationships/image" Target="media/image84.png" /><Relationship Id="rId96" Type="http://schemas.openxmlformats.org/officeDocument/2006/relationships/image" Target="media/image85.png" /><Relationship Id="rId97" Type="http://schemas.openxmlformats.org/officeDocument/2006/relationships/image" Target="media/image86.png" /><Relationship Id="rId98" Type="http://schemas.openxmlformats.org/officeDocument/2006/relationships/image" Target="media/image87.png" /><Relationship Id="rId99" Type="http://schemas.openxmlformats.org/officeDocument/2006/relationships/image" Target="media/image88.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867c8d-1cc9-4acd-a073-94634f6a764f" xsi:nil="true"/>
    <lcf76f155ced4ddcb4097134ff3c332f xmlns="6f38b1c7-e28f-49bf-938a-b360dcb916c0">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SharedWithUsers xmlns="14c8ce7b-d2df-469d-b2c3-96f4c56193cb">
      <UserInfo>
        <DisplayName>Wu, Fanfan</DisplayName>
        <AccountId>229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C7FE18A5CA9B548BDD1DEA2CDEA1044" ma:contentTypeVersion="15" ma:contentTypeDescription="Create a new document." ma:contentTypeScope="" ma:versionID="ffa6d1a9690cea8169e4483e355160b5">
  <xsd:schema xmlns:xsd="http://www.w3.org/2001/XMLSchema" xmlns:xs="http://www.w3.org/2001/XMLSchema" xmlns:p="http://schemas.microsoft.com/office/2006/metadata/properties" xmlns:ns1="http://schemas.microsoft.com/sharepoint/v3" xmlns:ns2="6f38b1c7-e28f-49bf-938a-b360dcb916c0" xmlns:ns3="14c8ce7b-d2df-469d-b2c3-96f4c56193cb" xmlns:ns4="20867c8d-1cc9-4acd-a073-94634f6a764f" targetNamespace="http://schemas.microsoft.com/office/2006/metadata/properties" ma:root="true" ma:fieldsID="81f5a1bb5b482852acbd4cfb8e817e12" ns1:_="" ns2:_="" ns3:_="" ns4:_="">
    <xsd:import namespace="http://schemas.microsoft.com/sharepoint/v3"/>
    <xsd:import namespace="6f38b1c7-e28f-49bf-938a-b360dcb916c0"/>
    <xsd:import namespace="14c8ce7b-d2df-469d-b2c3-96f4c56193cb"/>
    <xsd:import namespace="20867c8d-1cc9-4acd-a073-94634f6a764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4:TaxCatchAll"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38b1c7-e28f-49bf-938a-b360dcb91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cf906e-e933-44a8-8421-1c91ada6f122"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c8ce7b-d2df-469d-b2c3-96f4c56193c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867c8d-1cc9-4acd-a073-94634f6a764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29919b5-cc35-461a-b198-8a2241ea1f88}" ma:internalName="TaxCatchAll" ma:showField="CatchAllData" ma:web="14c8ce7b-d2df-469d-b2c3-96f4c56193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00400A-17AA-4A9A-B982-4068BA319E8E}">
  <ds:schemaRefs>
    <ds:schemaRef ds:uri="14c8ce7b-d2df-469d-b2c3-96f4c56193cb"/>
    <ds:schemaRef ds:uri="http://schemas.microsoft.com/office/2006/metadata/properties"/>
    <ds:schemaRef ds:uri="6f38b1c7-e28f-49bf-938a-b360dcb916c0"/>
    <ds:schemaRef ds:uri="http://schemas.microsoft.com/sharepoint/v3"/>
    <ds:schemaRef ds:uri="http://schemas.microsoft.com/office/2006/documentManagement/types"/>
    <ds:schemaRef ds:uri="http://purl.org/dc/terms/"/>
    <ds:schemaRef ds:uri="http://schemas.openxmlformats.org/package/2006/metadata/core-properties"/>
    <ds:schemaRef ds:uri="http://purl.org/dc/elements/1.1/"/>
    <ds:schemaRef ds:uri="http://schemas.microsoft.com/office/infopath/2007/PartnerControls"/>
    <ds:schemaRef ds:uri="20867c8d-1cc9-4acd-a073-94634f6a764f"/>
    <ds:schemaRef ds:uri="http://www.w3.org/XML/1998/namespace"/>
    <ds:schemaRef ds:uri="http://purl.org/dc/dcmitype/"/>
  </ds:schemaRefs>
</ds:datastoreItem>
</file>

<file path=customXml/itemProps2.xml><?xml version="1.0" encoding="utf-8"?>
<ds:datastoreItem xmlns:ds="http://schemas.openxmlformats.org/officeDocument/2006/customXml" ds:itemID="{2DD38852-E9F8-459E-A192-93B9D10F504F}">
  <ds:schemaRefs>
    <ds:schemaRef ds:uri="http://schemas.microsoft.com/sharepoint/v3/contenttype/forms"/>
  </ds:schemaRefs>
</ds:datastoreItem>
</file>

<file path=customXml/itemProps3.xml><?xml version="1.0" encoding="utf-8"?>
<ds:datastoreItem xmlns:ds="http://schemas.openxmlformats.org/officeDocument/2006/customXml" ds:itemID="{E3EC9A5E-6D27-43F7-BDD0-E05385C94A07}">
  <ds:schemaRefs>
    <ds:schemaRef ds:uri="http://schemas.openxmlformats.org/officeDocument/2006/bibliography"/>
  </ds:schemaRefs>
</ds:datastoreItem>
</file>

<file path=customXml/itemProps4.xml><?xml version="1.0" encoding="utf-8"?>
<ds:datastoreItem xmlns:ds="http://schemas.openxmlformats.org/officeDocument/2006/customXml" ds:itemID="{79C03124-9DBB-4295-A505-DB91BB6C4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38b1c7-e28f-49bf-938a-b360dcb916c0"/>
    <ds:schemaRef ds:uri="14c8ce7b-d2df-469d-b2c3-96f4c56193cb"/>
    <ds:schemaRef ds:uri="20867c8d-1cc9-4acd-a073-94634f6a76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82</Pages>
  <Words>36931</Words>
  <Characters>210513</Characters>
  <Application>Microsoft Office Word</Application>
  <DocSecurity>0</DocSecurity>
  <Lines>1754</Lines>
  <Paragraphs>493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 Fanfan</dc:creator>
  <cp:lastModifiedBy>Capezzuto, JonnaLynn</cp:lastModifiedBy>
  <cp:revision>2</cp:revision>
  <dcterms:created xsi:type="dcterms:W3CDTF">2023-06-12T12:41:00Z</dcterms:created>
  <dcterms:modified xsi:type="dcterms:W3CDTF">2023-06-12T12:41:00Z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0x0101007C7FE18A5CA9B548BDD1DEA2CDEA1044</vt:lpwstr>
  </property>
  <property fmtid="{D5CDD505-2E9C-101B-9397-08002B2CF9AE}" pid="3" name="MediaServiceImageTags">
    <vt:lpwstr/>
  </property>
</Properties>
</file>