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15C9D" w:rsidRPr="00FD2086" w:rsidP="00F15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JUSTIFICATION FOR CHANGE</w:t>
      </w:r>
    </w:p>
    <w:p w:rsidR="00F15C9D" w:rsidRPr="00FD2086" w:rsidP="00F15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20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U.S. Department of Commerce</w:t>
      </w:r>
    </w:p>
    <w:p w:rsidR="00F15C9D" w:rsidRPr="00FD2086" w:rsidP="00F15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20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National Oceanic &amp; Atmospheric Administration</w:t>
      </w:r>
    </w:p>
    <w:p w:rsidR="00F15C9D" w:rsidRPr="00FD2086" w:rsidP="00F15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20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Western and Central Pacific Fisheries Convention Vessel Information Family of Forms</w:t>
      </w:r>
    </w:p>
    <w:p w:rsidR="005160AC" w:rsidP="00F15C9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20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OMB Control No. 0648-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0595</w:t>
      </w:r>
    </w:p>
    <w:p w:rsidR="00F15C9D" w:rsidP="00F15C9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048F5" w:rsidRPr="00C01CE7" w:rsidP="00C01CE7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</w:rPr>
      </w:pPr>
      <w:r w:rsidRPr="00C01CE7">
        <w:rPr>
          <w:rFonts w:cstheme="minorHAnsi"/>
        </w:rPr>
        <w:t>The National Marine Fisheries Service (NMFS) requests OMB merge the recently approved 0648-07</w:t>
      </w:r>
      <w:r w:rsidRPr="00C01CE7">
        <w:rPr>
          <w:rFonts w:cstheme="minorHAnsi"/>
        </w:rPr>
        <w:t>98</w:t>
      </w:r>
      <w:r w:rsidRPr="00C01CE7">
        <w:rPr>
          <w:rFonts w:cstheme="minorHAnsi"/>
        </w:rPr>
        <w:t xml:space="preserve"> information collection into the approved </w:t>
      </w:r>
      <w:r w:rsidRPr="00C01CE7">
        <w:rPr>
          <w:rFonts w:cstheme="minorHAnsi"/>
          <w:b/>
        </w:rPr>
        <w:t>0648-</w:t>
      </w:r>
      <w:r w:rsidRPr="00C01CE7">
        <w:rPr>
          <w:rFonts w:cstheme="minorHAnsi"/>
          <w:b/>
        </w:rPr>
        <w:t>0595</w:t>
      </w:r>
      <w:r w:rsidRPr="00C01CE7">
        <w:rPr>
          <w:rFonts w:cstheme="minorHAnsi"/>
        </w:rPr>
        <w:t xml:space="preserve"> information collection, </w:t>
      </w:r>
      <w:r w:rsidRPr="00C01CE7">
        <w:rPr>
          <w:rFonts w:cstheme="minorHAnsi"/>
          <w:b/>
          <w:bCs/>
          <w:i/>
          <w:color w:val="000000"/>
        </w:rPr>
        <w:t>Western and Central Pacific Fisheries Convention Vessel Information Family of Forms</w:t>
      </w:r>
      <w:r w:rsidRPr="00C01CE7">
        <w:rPr>
          <w:rFonts w:cstheme="minorHAnsi"/>
          <w:b/>
          <w:bCs/>
          <w:i/>
          <w:color w:val="000000"/>
        </w:rPr>
        <w:t>.</w:t>
      </w:r>
      <w:r w:rsidRPr="00C01CE7" w:rsidR="00C01CE7">
        <w:rPr>
          <w:rFonts w:cstheme="minorHAnsi"/>
          <w:b/>
          <w:bCs/>
          <w:i/>
          <w:color w:val="000000"/>
        </w:rPr>
        <w:t xml:space="preserve"> </w:t>
      </w:r>
      <w:r w:rsidRPr="00C01CE7" w:rsidR="00C01CE7">
        <w:rPr>
          <w:rFonts w:cstheme="minorHAnsi"/>
        </w:rPr>
        <w:t>Due to the concurrent timing of the rulemaking and the timing of the renewal of the collection of information 0648-0595, Western and Central Pacific Fisheries Convention Vessel Information Family of Forms, a temporary collection was created for the rule-related collection. This request seeks to merge the new temporary collection (0648-0798) with 0648-0595 now that all actions have been resolved.</w:t>
      </w:r>
    </w:p>
    <w:p w:rsidR="00C01CE7" w:rsidP="00C01CE7">
      <w:pPr>
        <w:spacing w:after="120"/>
        <w:rPr>
          <w:rFonts w:cstheme="minorHAnsi"/>
        </w:rPr>
      </w:pPr>
      <w:r w:rsidRPr="00C01CE7">
        <w:rPr>
          <w:rFonts w:cstheme="minorHAnsi"/>
        </w:rPr>
        <w:t>The National Marine Fisheries Service (NMFS) promulgat</w:t>
      </w:r>
      <w:r w:rsidRPr="00C01CE7">
        <w:rPr>
          <w:rFonts w:cstheme="minorHAnsi"/>
        </w:rPr>
        <w:t>ed</w:t>
      </w:r>
      <w:r w:rsidRPr="00C01CE7">
        <w:rPr>
          <w:rFonts w:cstheme="minorHAnsi"/>
        </w:rPr>
        <w:t xml:space="preserve"> a rule </w:t>
      </w:r>
      <w:r w:rsidRPr="00C01CE7">
        <w:rPr>
          <w:rFonts w:cstheme="minorHAnsi"/>
        </w:rPr>
        <w:t xml:space="preserve">(0648-BI79) </w:t>
      </w:r>
      <w:r w:rsidRPr="00C01CE7" w:rsidR="00477806">
        <w:rPr>
          <w:rFonts w:cstheme="minorHAnsi"/>
        </w:rPr>
        <w:t xml:space="preserve">in 2021 </w:t>
      </w:r>
      <w:r w:rsidRPr="00C01CE7">
        <w:rPr>
          <w:rFonts w:cstheme="minorHAnsi"/>
        </w:rPr>
        <w:t>to implement a decision of the Commission on the Conservation and Management of Highly Migratory Fish Stocks in the Western and Central Pacific Ocean (WCPFC or the Commission)</w:t>
      </w:r>
      <w:r w:rsidRPr="00C01CE7">
        <w:rPr>
          <w:rFonts w:cstheme="minorHAnsi"/>
        </w:rPr>
        <w:t xml:space="preserve">, </w:t>
      </w:r>
      <w:r w:rsidRPr="00C01CE7">
        <w:rPr>
          <w:rFonts w:cstheme="minorHAnsi"/>
        </w:rPr>
        <w:t xml:space="preserve">which requires that </w:t>
      </w:r>
      <w:r w:rsidRPr="00C01CE7">
        <w:rPr>
          <w:rFonts w:cstheme="minorHAnsi"/>
          <w:color w:val="000000"/>
        </w:rPr>
        <w:t xml:space="preserve">the United States provide to the Commission a vessel’s International Maritime Organization (IMO) number for vessels at least 100 Gross Tonnage (GT) or 100 Gross Registered Tonnage (GRT) in size, or for </w:t>
      </w:r>
      <w:r w:rsidRPr="00C01CE7">
        <w:rPr>
          <w:rFonts w:cstheme="minorHAnsi"/>
          <w:shd w:val="clear" w:color="auto" w:fill="FFFFFF"/>
        </w:rPr>
        <w:t>motorized inboard fishing vessels of less than 100 GRT (or 100 GRT) down to a size of 12 meters in length overall (LOA), for those vessels authorized to be used for fishing in the Convention Area beyond the U.S. exclusive economic zone</w:t>
      </w:r>
      <w:r w:rsidRPr="00C01CE7">
        <w:rPr>
          <w:rFonts w:cstheme="minorHAnsi"/>
          <w:color w:val="000000"/>
        </w:rPr>
        <w:t xml:space="preserve">. Previously, the requirement applied only to vessels at least 100 GT or 100 GRT in size, so the new requirement that </w:t>
      </w:r>
      <w:r w:rsidRPr="00C01CE7">
        <w:rPr>
          <w:rFonts w:cstheme="minorHAnsi"/>
          <w:color w:val="000000"/>
        </w:rPr>
        <w:t>was</w:t>
      </w:r>
      <w:r w:rsidRPr="00C01CE7">
        <w:rPr>
          <w:rFonts w:cstheme="minorHAnsi"/>
          <w:color w:val="000000"/>
        </w:rPr>
        <w:t xml:space="preserve"> implemented by NMFS through rulemaking would extend the requirement to motorized inboard fishing vessels of less than 100 GT or 100 GRT down to a size of 12 meters in length overall.</w:t>
      </w:r>
      <w:r w:rsidRPr="00C01CE7">
        <w:rPr>
          <w:rFonts w:cstheme="minorHAnsi"/>
        </w:rPr>
        <w:t xml:space="preserve"> </w:t>
      </w:r>
    </w:p>
    <w:tbl>
      <w:tblPr>
        <w:tblpPr w:leftFromText="180" w:rightFromText="180" w:vertAnchor="page" w:horzAnchor="margin" w:tblpY="10336"/>
        <w:tblOverlap w:val="never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5"/>
        <w:gridCol w:w="810"/>
        <w:gridCol w:w="990"/>
        <w:gridCol w:w="720"/>
        <w:gridCol w:w="990"/>
        <w:gridCol w:w="720"/>
        <w:gridCol w:w="990"/>
        <w:gridCol w:w="3065"/>
      </w:tblGrid>
      <w:tr w:rsidTr="00976AB4">
        <w:tblPrEx>
          <w:tblW w:w="100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89"/>
        </w:trPr>
        <w:tc>
          <w:tcPr>
            <w:tcW w:w="1795" w:type="dxa"/>
            <w:vMerge w:val="restart"/>
            <w:shd w:val="clear" w:color="auto" w:fill="5B9BD5" w:themeFill="accent1"/>
            <w:vAlign w:val="center"/>
          </w:tcPr>
          <w:p w:rsidR="00C01CE7" w:rsidRPr="00A110F0" w:rsidP="00C01CE7">
            <w:pPr>
              <w:keepNext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A110F0">
              <w:rPr>
                <w:rFonts w:eastAsia="Calibri"/>
                <w:b/>
                <w:sz w:val="16"/>
                <w:szCs w:val="16"/>
              </w:rPr>
              <w:t>Information Collection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5B9BD5" w:themeFill="accent1"/>
            <w:vAlign w:val="center"/>
          </w:tcPr>
          <w:p w:rsidR="00C01CE7" w:rsidRPr="00A110F0" w:rsidP="00C01CE7">
            <w:pPr>
              <w:keepNext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A110F0">
              <w:rPr>
                <w:rFonts w:eastAsia="Calibri"/>
                <w:b/>
                <w:sz w:val="16"/>
                <w:szCs w:val="16"/>
              </w:rPr>
              <w:t>Respondents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shd w:val="clear" w:color="auto" w:fill="5B9BD5" w:themeFill="accent1"/>
            <w:vAlign w:val="center"/>
          </w:tcPr>
          <w:p w:rsidR="00C01CE7" w:rsidRPr="00A110F0" w:rsidP="00C01CE7">
            <w:pPr>
              <w:keepNext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A110F0">
              <w:rPr>
                <w:rFonts w:eastAsia="Calibri"/>
                <w:b/>
                <w:sz w:val="16"/>
                <w:szCs w:val="16"/>
              </w:rPr>
              <w:t>Responses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shd w:val="clear" w:color="auto" w:fill="5B9BD5" w:themeFill="accent1"/>
            <w:vAlign w:val="center"/>
          </w:tcPr>
          <w:p w:rsidR="00C01CE7" w:rsidRPr="00A110F0" w:rsidP="00C01CE7">
            <w:pPr>
              <w:keepNext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A110F0">
              <w:rPr>
                <w:rFonts w:eastAsia="Calibri"/>
                <w:b/>
                <w:sz w:val="16"/>
                <w:szCs w:val="16"/>
              </w:rPr>
              <w:t>Burden Hours</w:t>
            </w:r>
          </w:p>
        </w:tc>
        <w:tc>
          <w:tcPr>
            <w:tcW w:w="3065" w:type="dxa"/>
            <w:vMerge w:val="restart"/>
            <w:shd w:val="clear" w:color="auto" w:fill="5B9BD5" w:themeFill="accent1"/>
            <w:vAlign w:val="center"/>
          </w:tcPr>
          <w:p w:rsidR="00C01CE7" w:rsidRPr="00A110F0" w:rsidP="00C01CE7">
            <w:pPr>
              <w:keepNext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A110F0">
              <w:rPr>
                <w:rFonts w:eastAsia="Calibri"/>
                <w:b/>
                <w:sz w:val="16"/>
                <w:szCs w:val="16"/>
              </w:rPr>
              <w:t>Reason for change or adjustment</w:t>
            </w:r>
          </w:p>
        </w:tc>
      </w:tr>
      <w:tr w:rsidTr="00976AB4">
        <w:tblPrEx>
          <w:tblW w:w="10080" w:type="dxa"/>
          <w:tblLook w:val="04A0"/>
        </w:tblPrEx>
        <w:trPr>
          <w:trHeight w:val="857"/>
        </w:trPr>
        <w:tc>
          <w:tcPr>
            <w:tcW w:w="1795" w:type="dxa"/>
            <w:vMerge/>
            <w:shd w:val="clear" w:color="auto" w:fill="5B9BD5" w:themeFill="accent1"/>
            <w:vAlign w:val="center"/>
          </w:tcPr>
          <w:p w:rsidR="00C01CE7" w:rsidRPr="00A110F0" w:rsidP="00C01CE7">
            <w:pPr>
              <w:keepNext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  <w:right w:val="dashed" w:sz="4" w:space="0" w:color="auto"/>
            </w:tcBorders>
            <w:shd w:val="clear" w:color="auto" w:fill="FBE4D5"/>
            <w:vAlign w:val="center"/>
          </w:tcPr>
          <w:p w:rsidR="00C01CE7" w:rsidRPr="00A110F0" w:rsidP="00C01CE7">
            <w:pPr>
              <w:keepNext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After Merge</w:t>
            </w:r>
          </w:p>
        </w:tc>
        <w:tc>
          <w:tcPr>
            <w:tcW w:w="990" w:type="dxa"/>
            <w:tcBorders>
              <w:left w:val="dashed" w:sz="4" w:space="0" w:color="auto"/>
              <w:bottom w:val="single" w:sz="4" w:space="0" w:color="auto"/>
            </w:tcBorders>
            <w:shd w:val="clear" w:color="auto" w:fill="FBE4D5"/>
            <w:vAlign w:val="center"/>
          </w:tcPr>
          <w:p w:rsidR="00C01CE7" w:rsidRPr="00A110F0" w:rsidP="00C01CE7">
            <w:pPr>
              <w:keepNext/>
              <w:jc w:val="center"/>
              <w:rPr>
                <w:rFonts w:eastAsia="Calibri"/>
                <w:sz w:val="16"/>
                <w:szCs w:val="16"/>
              </w:rPr>
            </w:pPr>
            <w:r w:rsidRPr="00A110F0">
              <w:rPr>
                <w:rFonts w:eastAsia="Calibri"/>
                <w:sz w:val="16"/>
                <w:szCs w:val="16"/>
              </w:rPr>
              <w:t xml:space="preserve">Previous Renewal </w:t>
            </w:r>
            <w:r>
              <w:rPr>
                <w:rFonts w:eastAsia="Calibri"/>
                <w:sz w:val="16"/>
                <w:szCs w:val="16"/>
              </w:rPr>
              <w:t>0648-0595</w:t>
            </w:r>
          </w:p>
        </w:tc>
        <w:tc>
          <w:tcPr>
            <w:tcW w:w="720" w:type="dxa"/>
            <w:tcBorders>
              <w:right w:val="dashed" w:sz="4" w:space="0" w:color="auto"/>
            </w:tcBorders>
            <w:shd w:val="clear" w:color="auto" w:fill="FBE4D5"/>
            <w:vAlign w:val="center"/>
          </w:tcPr>
          <w:p w:rsidR="00C01CE7" w:rsidRPr="00A110F0" w:rsidP="00C01CE7">
            <w:pPr>
              <w:keepNext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After Merge</w:t>
            </w:r>
          </w:p>
        </w:tc>
        <w:tc>
          <w:tcPr>
            <w:tcW w:w="990" w:type="dxa"/>
            <w:tcBorders>
              <w:left w:val="dashed" w:sz="4" w:space="0" w:color="auto"/>
            </w:tcBorders>
            <w:shd w:val="clear" w:color="auto" w:fill="FBE4D5"/>
            <w:vAlign w:val="center"/>
          </w:tcPr>
          <w:p w:rsidR="00C01CE7" w:rsidRPr="00A110F0" w:rsidP="00976AB4">
            <w:pPr>
              <w:keepNext/>
              <w:jc w:val="center"/>
              <w:rPr>
                <w:rFonts w:eastAsia="Calibri"/>
                <w:sz w:val="16"/>
                <w:szCs w:val="16"/>
              </w:rPr>
            </w:pPr>
            <w:r w:rsidRPr="00A110F0">
              <w:rPr>
                <w:rFonts w:eastAsia="Calibri"/>
                <w:sz w:val="16"/>
                <w:szCs w:val="16"/>
              </w:rPr>
              <w:t xml:space="preserve">Previous Renewal </w:t>
            </w:r>
            <w:r w:rsidR="00976AB4">
              <w:rPr>
                <w:rFonts w:eastAsia="Calibri"/>
                <w:sz w:val="16"/>
                <w:szCs w:val="16"/>
              </w:rPr>
              <w:t>0648-0595</w:t>
            </w:r>
          </w:p>
        </w:tc>
        <w:tc>
          <w:tcPr>
            <w:tcW w:w="720" w:type="dxa"/>
            <w:tcBorders>
              <w:bottom w:val="single" w:sz="4" w:space="0" w:color="auto"/>
              <w:right w:val="dashed" w:sz="4" w:space="0" w:color="auto"/>
            </w:tcBorders>
            <w:shd w:val="clear" w:color="auto" w:fill="FBE4D5"/>
            <w:vAlign w:val="center"/>
          </w:tcPr>
          <w:p w:rsidR="00C01CE7" w:rsidRPr="00A110F0" w:rsidP="00C01CE7">
            <w:pPr>
              <w:keepNext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After Merge</w:t>
            </w:r>
          </w:p>
        </w:tc>
        <w:tc>
          <w:tcPr>
            <w:tcW w:w="990" w:type="dxa"/>
            <w:tcBorders>
              <w:left w:val="dashed" w:sz="4" w:space="0" w:color="auto"/>
            </w:tcBorders>
            <w:shd w:val="clear" w:color="auto" w:fill="FBE4D5"/>
            <w:vAlign w:val="center"/>
          </w:tcPr>
          <w:p w:rsidR="00C01CE7" w:rsidRPr="00A110F0" w:rsidP="00976AB4">
            <w:pPr>
              <w:keepNext/>
              <w:jc w:val="center"/>
              <w:rPr>
                <w:rFonts w:eastAsia="Calibri"/>
                <w:sz w:val="16"/>
                <w:szCs w:val="16"/>
              </w:rPr>
            </w:pPr>
            <w:r w:rsidRPr="00A110F0">
              <w:rPr>
                <w:rFonts w:eastAsia="Calibri"/>
                <w:sz w:val="16"/>
                <w:szCs w:val="16"/>
              </w:rPr>
              <w:t xml:space="preserve">Previous Renewal </w:t>
            </w:r>
            <w:r w:rsidR="00976AB4">
              <w:rPr>
                <w:rFonts w:eastAsia="Calibri"/>
                <w:sz w:val="16"/>
                <w:szCs w:val="16"/>
              </w:rPr>
              <w:t>0648-0595</w:t>
            </w:r>
          </w:p>
        </w:tc>
        <w:tc>
          <w:tcPr>
            <w:tcW w:w="3065" w:type="dxa"/>
            <w:vMerge/>
            <w:shd w:val="clear" w:color="auto" w:fill="FBE4D5"/>
            <w:vAlign w:val="center"/>
          </w:tcPr>
          <w:p w:rsidR="00C01CE7" w:rsidRPr="00A110F0" w:rsidP="00C01CE7">
            <w:pPr>
              <w:keepNext/>
              <w:rPr>
                <w:rFonts w:eastAsia="Calibri"/>
                <w:sz w:val="16"/>
                <w:szCs w:val="16"/>
              </w:rPr>
            </w:pPr>
          </w:p>
        </w:tc>
      </w:tr>
      <w:tr w:rsidTr="00976AB4">
        <w:tblPrEx>
          <w:tblW w:w="10080" w:type="dxa"/>
          <w:tblLook w:val="04A0"/>
        </w:tblPrEx>
        <w:trPr>
          <w:trHeight w:val="725"/>
        </w:trPr>
        <w:tc>
          <w:tcPr>
            <w:tcW w:w="1795" w:type="dxa"/>
            <w:shd w:val="clear" w:color="auto" w:fill="auto"/>
            <w:vAlign w:val="center"/>
          </w:tcPr>
          <w:p w:rsidR="00C01CE7" w:rsidRPr="00A110F0" w:rsidP="00C01CE7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Request for IMO Ship Identification Number</w:t>
            </w:r>
          </w:p>
        </w:tc>
        <w:tc>
          <w:tcPr>
            <w:tcW w:w="810" w:type="dxa"/>
            <w:tcBorders>
              <w:bottom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01CE7" w:rsidRPr="00A110F0" w:rsidP="00C01CE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48</w:t>
            </w:r>
          </w:p>
        </w:tc>
        <w:tc>
          <w:tcPr>
            <w:tcW w:w="990" w:type="dxa"/>
            <w:tcBorders>
              <w:left w:val="dash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01CE7" w:rsidRPr="00A110F0" w:rsidP="00C01CE7">
            <w:pPr>
              <w:keepNext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bottom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01CE7" w:rsidRPr="00A110F0" w:rsidP="00C01CE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48</w:t>
            </w:r>
          </w:p>
        </w:tc>
        <w:tc>
          <w:tcPr>
            <w:tcW w:w="990" w:type="dxa"/>
            <w:tcBorders>
              <w:left w:val="dash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01CE7" w:rsidRPr="00A110F0" w:rsidP="00C01CE7">
            <w:pPr>
              <w:keepNext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bottom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01CE7" w:rsidRPr="00A110F0" w:rsidP="00C01CE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24</w:t>
            </w:r>
          </w:p>
        </w:tc>
        <w:tc>
          <w:tcPr>
            <w:tcW w:w="990" w:type="dxa"/>
            <w:tcBorders>
              <w:left w:val="dash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01CE7" w:rsidRPr="00A110F0" w:rsidP="00C01CE7">
            <w:pPr>
              <w:keepNext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065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01CE7" w:rsidRPr="00A110F0" w:rsidP="00C01CE7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Number of respondents changed as the requirement expanded to include more vessels than it was previously applicable to </w:t>
            </w:r>
          </w:p>
        </w:tc>
      </w:tr>
      <w:tr w:rsidTr="00976AB4">
        <w:tblPrEx>
          <w:tblW w:w="10080" w:type="dxa"/>
          <w:tblLook w:val="04A0"/>
        </w:tblPrEx>
        <w:trPr>
          <w:trHeight w:val="365"/>
        </w:trPr>
        <w:tc>
          <w:tcPr>
            <w:tcW w:w="1795" w:type="dxa"/>
            <w:shd w:val="clear" w:color="auto" w:fill="BDD6EE" w:themeFill="accent1" w:themeFillTint="66"/>
            <w:vAlign w:val="center"/>
          </w:tcPr>
          <w:p w:rsidR="00C01CE7" w:rsidRPr="00A110F0" w:rsidP="00C01CE7">
            <w:pPr>
              <w:keepNext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A110F0">
              <w:rPr>
                <w:rFonts w:eastAsia="Calibri"/>
                <w:b/>
                <w:sz w:val="16"/>
                <w:szCs w:val="16"/>
              </w:rPr>
              <w:t>Total for Collection</w:t>
            </w:r>
          </w:p>
        </w:tc>
        <w:tc>
          <w:tcPr>
            <w:tcW w:w="810" w:type="dxa"/>
            <w:tcBorders>
              <w:right w:val="dashed" w:sz="4" w:space="0" w:color="auto"/>
            </w:tcBorders>
            <w:shd w:val="clear" w:color="auto" w:fill="BDD6EE" w:themeFill="accent1" w:themeFillTint="66"/>
            <w:vAlign w:val="center"/>
          </w:tcPr>
          <w:p w:rsidR="00C01CE7" w:rsidRPr="00A110F0" w:rsidP="00C01CE7">
            <w:pPr>
              <w:keepNext/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48</w:t>
            </w:r>
          </w:p>
        </w:tc>
        <w:tc>
          <w:tcPr>
            <w:tcW w:w="990" w:type="dxa"/>
            <w:tcBorders>
              <w:left w:val="dashed" w:sz="4" w:space="0" w:color="auto"/>
            </w:tcBorders>
            <w:shd w:val="clear" w:color="auto" w:fill="BDD6EE" w:themeFill="accent1" w:themeFillTint="66"/>
            <w:vAlign w:val="center"/>
          </w:tcPr>
          <w:p w:rsidR="00C01CE7" w:rsidRPr="00A110F0" w:rsidP="00C01CE7">
            <w:pPr>
              <w:keepNext/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right w:val="dashed" w:sz="4" w:space="0" w:color="auto"/>
            </w:tcBorders>
            <w:shd w:val="clear" w:color="auto" w:fill="BDD6EE" w:themeFill="accent1" w:themeFillTint="66"/>
            <w:vAlign w:val="center"/>
          </w:tcPr>
          <w:p w:rsidR="00C01CE7" w:rsidRPr="00A110F0" w:rsidP="00C01CE7">
            <w:pPr>
              <w:keepNext/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48</w:t>
            </w:r>
          </w:p>
        </w:tc>
        <w:tc>
          <w:tcPr>
            <w:tcW w:w="990" w:type="dxa"/>
            <w:tcBorders>
              <w:left w:val="dashed" w:sz="4" w:space="0" w:color="auto"/>
            </w:tcBorders>
            <w:shd w:val="clear" w:color="auto" w:fill="BDD6EE" w:themeFill="accent1" w:themeFillTint="66"/>
            <w:vAlign w:val="center"/>
          </w:tcPr>
          <w:p w:rsidR="00C01CE7" w:rsidRPr="00A110F0" w:rsidP="00C01CE7">
            <w:pPr>
              <w:keepNext/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right w:val="dashed" w:sz="4" w:space="0" w:color="auto"/>
            </w:tcBorders>
            <w:shd w:val="clear" w:color="auto" w:fill="BDD6EE" w:themeFill="accent1" w:themeFillTint="66"/>
            <w:vAlign w:val="center"/>
          </w:tcPr>
          <w:p w:rsidR="00C01CE7" w:rsidRPr="00A110F0" w:rsidP="00C01CE7">
            <w:pPr>
              <w:keepNext/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24</w:t>
            </w:r>
          </w:p>
        </w:tc>
        <w:tc>
          <w:tcPr>
            <w:tcW w:w="990" w:type="dxa"/>
            <w:tcBorders>
              <w:left w:val="dashed" w:sz="4" w:space="0" w:color="auto"/>
            </w:tcBorders>
            <w:shd w:val="clear" w:color="auto" w:fill="BDD6EE" w:themeFill="accent1" w:themeFillTint="66"/>
            <w:vAlign w:val="center"/>
          </w:tcPr>
          <w:p w:rsidR="00C01CE7" w:rsidRPr="00A110F0" w:rsidP="00C01CE7">
            <w:pPr>
              <w:keepNext/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3065" w:type="dxa"/>
            <w:tcBorders>
              <w:left w:val="dotted" w:sz="4" w:space="0" w:color="auto"/>
            </w:tcBorders>
            <w:shd w:val="clear" w:color="auto" w:fill="BDD6EE" w:themeFill="accent1" w:themeFillTint="66"/>
            <w:vAlign w:val="center"/>
          </w:tcPr>
          <w:p w:rsidR="00C01CE7" w:rsidRPr="00A110F0" w:rsidP="00C01CE7">
            <w:pPr>
              <w:keepNext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</w:tr>
      <w:tr w:rsidTr="00976AB4">
        <w:tblPrEx>
          <w:tblW w:w="10080" w:type="dxa"/>
          <w:tblLook w:val="04A0"/>
        </w:tblPrEx>
        <w:trPr>
          <w:trHeight w:val="317"/>
        </w:trPr>
        <w:tc>
          <w:tcPr>
            <w:tcW w:w="1795" w:type="dxa"/>
            <w:tcBorders>
              <w:bottom w:val="single" w:sz="4" w:space="0" w:color="auto"/>
            </w:tcBorders>
            <w:shd w:val="clear" w:color="auto" w:fill="FBE5D5" w:themeFill="accent2" w:themeFillTint="33"/>
            <w:vAlign w:val="center"/>
          </w:tcPr>
          <w:p w:rsidR="00C01CE7" w:rsidRPr="00A110F0" w:rsidP="00C01CE7">
            <w:pPr>
              <w:keepNext/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Difference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FBE5D5" w:themeFill="accent2" w:themeFillTint="33"/>
            <w:vAlign w:val="center"/>
          </w:tcPr>
          <w:p w:rsidR="00C01CE7" w:rsidP="00C01CE7">
            <w:pPr>
              <w:keepNext/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+46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shd w:val="clear" w:color="auto" w:fill="FBE5D5" w:themeFill="accent2" w:themeFillTint="33"/>
            <w:vAlign w:val="center"/>
          </w:tcPr>
          <w:p w:rsidR="00C01CE7" w:rsidP="00976AB4">
            <w:pPr>
              <w:keepNext/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+4</w:t>
            </w:r>
            <w:r w:rsidR="00976AB4">
              <w:rPr>
                <w:rFonts w:eastAsia="Calibri"/>
                <w:b/>
                <w:sz w:val="16"/>
                <w:szCs w:val="16"/>
              </w:rPr>
              <w:t>6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shd w:val="clear" w:color="auto" w:fill="FBE5D5" w:themeFill="accent2" w:themeFillTint="33"/>
            <w:vAlign w:val="center"/>
          </w:tcPr>
          <w:p w:rsidR="00C01CE7" w:rsidP="00976AB4">
            <w:pPr>
              <w:keepNext/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+23</w:t>
            </w:r>
          </w:p>
        </w:tc>
        <w:tc>
          <w:tcPr>
            <w:tcW w:w="3065" w:type="dxa"/>
            <w:tcBorders>
              <w:left w:val="dotted" w:sz="4" w:space="0" w:color="auto"/>
              <w:bottom w:val="single" w:sz="4" w:space="0" w:color="auto"/>
            </w:tcBorders>
            <w:shd w:val="clear" w:color="auto" w:fill="FBE5D5" w:themeFill="accent2" w:themeFillTint="33"/>
            <w:vAlign w:val="center"/>
          </w:tcPr>
          <w:p w:rsidR="00C01CE7" w:rsidRPr="00A110F0" w:rsidP="00C01CE7">
            <w:pPr>
              <w:keepNext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</w:tr>
    </w:tbl>
    <w:p w:rsidR="00C01CE7" w:rsidP="00C01CE7">
      <w:pPr>
        <w:spacing w:after="120"/>
        <w:rPr>
          <w:rFonts w:cstheme="minorHAnsi"/>
        </w:rPr>
      </w:pPr>
      <w:r w:rsidRPr="00C01CE7">
        <w:rPr>
          <w:rFonts w:cstheme="minorHAnsi"/>
        </w:rPr>
        <w:t xml:space="preserve">Notice was provided to the public in both the proposed rule (86 FR 55790) and final rule (88 FR 30671) of the creation of a temporary collection for the collection of an International Maritime Organization (IMO) number that would be merged into 0648-0595 upon resolution of the extension to 0648-0595 and the approval of the final rule package in 0648-0798.  </w:t>
      </w:r>
      <w:r>
        <w:rPr>
          <w:rFonts w:cstheme="minorHAnsi"/>
        </w:rPr>
        <w:t>The merging of these collections would add 4</w:t>
      </w:r>
      <w:r w:rsidR="00976AB4">
        <w:rPr>
          <w:rFonts w:cstheme="minorHAnsi"/>
        </w:rPr>
        <w:t>6</w:t>
      </w:r>
      <w:r>
        <w:rPr>
          <w:rFonts w:cstheme="minorHAnsi"/>
        </w:rPr>
        <w:t xml:space="preserve"> responses, 24 burden hours, and $48 in miscellaneous costs to 0648-0595.</w:t>
      </w:r>
    </w:p>
    <w:p w:rsidR="00C01CE7" w:rsidP="00C01CE7">
      <w:pPr>
        <w:spacing w:after="120"/>
        <w:rPr>
          <w:rFonts w:cstheme="minorHAnsi"/>
        </w:rPr>
      </w:pPr>
    </w:p>
    <w:p w:rsidR="00C01CE7" w:rsidP="00C01CE7">
      <w:pPr>
        <w:spacing w:after="120"/>
        <w:rPr>
          <w:rFonts w:cstheme="minorHAnsi"/>
        </w:rPr>
      </w:pPr>
    </w:p>
    <w:tbl>
      <w:tblPr>
        <w:tblW w:w="10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810"/>
        <w:gridCol w:w="900"/>
        <w:gridCol w:w="818"/>
        <w:gridCol w:w="1219"/>
        <w:gridCol w:w="4366"/>
      </w:tblGrid>
      <w:tr w:rsidTr="003E2413">
        <w:tblPrEx>
          <w:tblW w:w="10093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9"/>
        </w:trPr>
        <w:tc>
          <w:tcPr>
            <w:tcW w:w="1980" w:type="dxa"/>
            <w:vMerge w:val="restart"/>
            <w:shd w:val="clear" w:color="auto" w:fill="5B9BD5" w:themeFill="accent1"/>
            <w:vAlign w:val="center"/>
          </w:tcPr>
          <w:p w:rsidR="00976AB4" w:rsidRPr="00A110F0" w:rsidP="003E2413">
            <w:pPr>
              <w:keepNext/>
              <w:shd w:val="clear" w:color="auto" w:fill="5B9BD5" w:themeFill="accent1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A110F0">
              <w:rPr>
                <w:rFonts w:eastAsia="Calibri"/>
                <w:b/>
                <w:sz w:val="16"/>
                <w:szCs w:val="16"/>
              </w:rPr>
              <w:t>Information Collection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shd w:val="clear" w:color="auto" w:fill="5B9BD5" w:themeFill="accent1"/>
            <w:vAlign w:val="center"/>
          </w:tcPr>
          <w:p w:rsidR="00976AB4" w:rsidRPr="00A110F0" w:rsidP="003E2413">
            <w:pPr>
              <w:keepNext/>
              <w:shd w:val="clear" w:color="auto" w:fill="5B9BD5" w:themeFill="accent1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A110F0">
              <w:rPr>
                <w:rFonts w:eastAsia="Calibri"/>
                <w:b/>
                <w:sz w:val="16"/>
                <w:szCs w:val="16"/>
              </w:rPr>
              <w:t>Labor Costs</w:t>
            </w:r>
          </w:p>
        </w:tc>
        <w:tc>
          <w:tcPr>
            <w:tcW w:w="2037" w:type="dxa"/>
            <w:gridSpan w:val="2"/>
            <w:shd w:val="clear" w:color="auto" w:fill="5B9BD5" w:themeFill="accent1"/>
          </w:tcPr>
          <w:p w:rsidR="00976AB4" w:rsidRPr="00A110F0" w:rsidP="003E2413">
            <w:pPr>
              <w:keepNext/>
              <w:shd w:val="clear" w:color="auto" w:fill="5B9BD5" w:themeFill="accent1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A110F0">
              <w:rPr>
                <w:rFonts w:eastAsia="Calibri"/>
                <w:b/>
                <w:sz w:val="16"/>
                <w:szCs w:val="16"/>
              </w:rPr>
              <w:t>Miscellaneous Costs</w:t>
            </w:r>
          </w:p>
        </w:tc>
        <w:tc>
          <w:tcPr>
            <w:tcW w:w="4366" w:type="dxa"/>
            <w:vMerge w:val="restart"/>
            <w:tcBorders>
              <w:right w:val="single" w:sz="4" w:space="0" w:color="auto"/>
            </w:tcBorders>
            <w:shd w:val="clear" w:color="auto" w:fill="5B9BD5" w:themeFill="accent1"/>
            <w:vAlign w:val="center"/>
          </w:tcPr>
          <w:p w:rsidR="00976AB4" w:rsidRPr="00A110F0" w:rsidP="003E2413">
            <w:pPr>
              <w:keepNext/>
              <w:shd w:val="clear" w:color="auto" w:fill="5B9BD5" w:themeFill="accent1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A110F0">
              <w:rPr>
                <w:rFonts w:eastAsia="Calibri"/>
                <w:b/>
                <w:sz w:val="16"/>
                <w:szCs w:val="16"/>
              </w:rPr>
              <w:t>Reason for change or adjustment</w:t>
            </w:r>
          </w:p>
        </w:tc>
      </w:tr>
      <w:tr w:rsidTr="003E2413">
        <w:tblPrEx>
          <w:tblW w:w="10093" w:type="dxa"/>
          <w:tblInd w:w="-5" w:type="dxa"/>
          <w:tblLayout w:type="fixed"/>
          <w:tblLook w:val="04A0"/>
        </w:tblPrEx>
        <w:trPr>
          <w:trHeight w:val="370"/>
        </w:trPr>
        <w:tc>
          <w:tcPr>
            <w:tcW w:w="1980" w:type="dxa"/>
            <w:vMerge/>
            <w:shd w:val="clear" w:color="auto" w:fill="5B9BD5" w:themeFill="accent1"/>
            <w:vAlign w:val="center"/>
          </w:tcPr>
          <w:p w:rsidR="00976AB4" w:rsidRPr="00A110F0" w:rsidP="003E2413">
            <w:pPr>
              <w:keepNext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FBE4D5"/>
            <w:vAlign w:val="center"/>
          </w:tcPr>
          <w:p w:rsidR="00976AB4" w:rsidRPr="00A110F0" w:rsidP="003E2413">
            <w:pPr>
              <w:keepNext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After Merge</w:t>
            </w:r>
          </w:p>
        </w:tc>
        <w:tc>
          <w:tcPr>
            <w:tcW w:w="900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FBE4D5"/>
            <w:vAlign w:val="center"/>
          </w:tcPr>
          <w:p w:rsidR="00976AB4" w:rsidRPr="00A110F0" w:rsidP="003E2413">
            <w:pPr>
              <w:keepNext/>
              <w:jc w:val="center"/>
              <w:rPr>
                <w:rFonts w:eastAsia="Calibri"/>
                <w:sz w:val="16"/>
                <w:szCs w:val="16"/>
              </w:rPr>
            </w:pPr>
            <w:r w:rsidRPr="00A110F0">
              <w:rPr>
                <w:rFonts w:eastAsia="Calibri"/>
                <w:sz w:val="16"/>
                <w:szCs w:val="16"/>
              </w:rPr>
              <w:t>Previous</w:t>
            </w:r>
          </w:p>
        </w:tc>
        <w:tc>
          <w:tcPr>
            <w:tcW w:w="818" w:type="dxa"/>
            <w:tcBorders>
              <w:right w:val="dashSmallGap" w:sz="4" w:space="0" w:color="auto"/>
            </w:tcBorders>
            <w:shd w:val="clear" w:color="auto" w:fill="FBE4D5"/>
            <w:vAlign w:val="center"/>
          </w:tcPr>
          <w:p w:rsidR="00976AB4" w:rsidRPr="00A110F0" w:rsidP="003E2413">
            <w:pPr>
              <w:keepNext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After Merge</w:t>
            </w:r>
          </w:p>
        </w:tc>
        <w:tc>
          <w:tcPr>
            <w:tcW w:w="1219" w:type="dxa"/>
            <w:tcBorders>
              <w:left w:val="dashSmallGap" w:sz="4" w:space="0" w:color="auto"/>
            </w:tcBorders>
            <w:shd w:val="clear" w:color="auto" w:fill="FBE4D5"/>
            <w:vAlign w:val="center"/>
          </w:tcPr>
          <w:p w:rsidR="00976AB4" w:rsidRPr="00A110F0" w:rsidP="003E2413">
            <w:pPr>
              <w:keepNext/>
              <w:jc w:val="center"/>
              <w:rPr>
                <w:rFonts w:eastAsia="Calibri"/>
                <w:sz w:val="16"/>
                <w:szCs w:val="16"/>
              </w:rPr>
            </w:pPr>
            <w:r w:rsidRPr="00A110F0">
              <w:rPr>
                <w:rFonts w:eastAsia="Calibri"/>
                <w:sz w:val="16"/>
                <w:szCs w:val="16"/>
              </w:rPr>
              <w:t>Previous</w:t>
            </w:r>
          </w:p>
        </w:tc>
        <w:tc>
          <w:tcPr>
            <w:tcW w:w="4366" w:type="dxa"/>
            <w:vMerge/>
            <w:tcBorders>
              <w:right w:val="single" w:sz="4" w:space="0" w:color="auto"/>
            </w:tcBorders>
            <w:shd w:val="clear" w:color="auto" w:fill="FBE4D5"/>
            <w:vAlign w:val="center"/>
          </w:tcPr>
          <w:p w:rsidR="00976AB4" w:rsidRPr="00A110F0" w:rsidP="003E2413">
            <w:pPr>
              <w:keepNext/>
              <w:rPr>
                <w:rFonts w:eastAsia="Calibri"/>
                <w:sz w:val="16"/>
                <w:szCs w:val="16"/>
              </w:rPr>
            </w:pPr>
          </w:p>
        </w:tc>
      </w:tr>
      <w:tr w:rsidTr="00976AB4">
        <w:tblPrEx>
          <w:tblW w:w="10093" w:type="dxa"/>
          <w:tblInd w:w="-5" w:type="dxa"/>
          <w:tblLayout w:type="fixed"/>
          <w:tblLook w:val="04A0"/>
        </w:tblPrEx>
        <w:trPr>
          <w:trHeight w:val="638"/>
        </w:trPr>
        <w:tc>
          <w:tcPr>
            <w:tcW w:w="1980" w:type="dxa"/>
            <w:shd w:val="clear" w:color="auto" w:fill="auto"/>
            <w:vAlign w:val="bottom"/>
          </w:tcPr>
          <w:p w:rsidR="00976AB4" w:rsidRPr="00A110F0" w:rsidP="003E2413">
            <w:pPr>
              <w:keepNext/>
              <w:rPr>
                <w:rFonts w:eastAsia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Request for IMO Ship Identification Number</w:t>
            </w:r>
          </w:p>
        </w:tc>
        <w:tc>
          <w:tcPr>
            <w:tcW w:w="810" w:type="dxa"/>
            <w:tcBorders>
              <w:bottom w:val="dotted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76AB4" w:rsidRPr="00A110F0" w:rsidP="003E241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$627.84</w:t>
            </w:r>
          </w:p>
        </w:tc>
        <w:tc>
          <w:tcPr>
            <w:tcW w:w="900" w:type="dxa"/>
            <w:tcBorders>
              <w:left w:val="dashSmallGap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76AB4" w:rsidRPr="00A110F0" w:rsidP="003E2413">
            <w:pPr>
              <w:keepNext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$26.16</w:t>
            </w:r>
          </w:p>
        </w:tc>
        <w:tc>
          <w:tcPr>
            <w:tcW w:w="818" w:type="dxa"/>
            <w:tcBorders>
              <w:left w:val="dotted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:rsidR="00976AB4" w:rsidRPr="00A110F0" w:rsidP="003E2413">
            <w:pPr>
              <w:keepNext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$48</w:t>
            </w:r>
          </w:p>
        </w:tc>
        <w:tc>
          <w:tcPr>
            <w:tcW w:w="1219" w:type="dxa"/>
            <w:tcBorders>
              <w:left w:val="dashSmallGap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6AB4" w:rsidRPr="00A110F0" w:rsidP="003E2413">
            <w:pPr>
              <w:keepNext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$2</w:t>
            </w:r>
          </w:p>
        </w:tc>
        <w:tc>
          <w:tcPr>
            <w:tcW w:w="436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AB4" w:rsidRPr="00A110F0" w:rsidP="003E2413">
            <w:pPr>
              <w:keepNext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Number of respondents changed as the requirement expanded to include more vessels than it was previously applicable to </w:t>
            </w:r>
          </w:p>
        </w:tc>
      </w:tr>
      <w:tr w:rsidTr="003E2413">
        <w:tblPrEx>
          <w:tblW w:w="10093" w:type="dxa"/>
          <w:tblInd w:w="-5" w:type="dxa"/>
          <w:tblLayout w:type="fixed"/>
          <w:tblLook w:val="04A0"/>
        </w:tblPrEx>
        <w:trPr>
          <w:trHeight w:val="370"/>
        </w:trPr>
        <w:tc>
          <w:tcPr>
            <w:tcW w:w="1980" w:type="dxa"/>
            <w:shd w:val="clear" w:color="auto" w:fill="BDD6EE" w:themeFill="accent1" w:themeFillTint="66"/>
            <w:vAlign w:val="center"/>
          </w:tcPr>
          <w:p w:rsidR="00976AB4" w:rsidRPr="00A110F0" w:rsidP="003E2413">
            <w:pPr>
              <w:keepNext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A110F0">
              <w:rPr>
                <w:rFonts w:eastAsia="Calibri"/>
                <w:b/>
                <w:sz w:val="16"/>
                <w:szCs w:val="16"/>
              </w:rPr>
              <w:t>Total for Collection</w:t>
            </w:r>
          </w:p>
        </w:tc>
        <w:tc>
          <w:tcPr>
            <w:tcW w:w="810" w:type="dxa"/>
            <w:tcBorders>
              <w:right w:val="dashSmallGap" w:sz="4" w:space="0" w:color="auto"/>
            </w:tcBorders>
            <w:shd w:val="clear" w:color="auto" w:fill="BDD6EE" w:themeFill="accent1" w:themeFillTint="66"/>
            <w:vAlign w:val="center"/>
          </w:tcPr>
          <w:p w:rsidR="00976AB4" w:rsidRPr="00A110F0" w:rsidP="003E2413">
            <w:pPr>
              <w:keepNext/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$627.84</w:t>
            </w:r>
          </w:p>
        </w:tc>
        <w:tc>
          <w:tcPr>
            <w:tcW w:w="900" w:type="dxa"/>
            <w:tcBorders>
              <w:left w:val="dashSmallGap" w:sz="4" w:space="0" w:color="auto"/>
            </w:tcBorders>
            <w:shd w:val="clear" w:color="auto" w:fill="BDD6EE" w:themeFill="accent1" w:themeFillTint="66"/>
            <w:vAlign w:val="center"/>
          </w:tcPr>
          <w:p w:rsidR="00976AB4" w:rsidRPr="00A110F0" w:rsidP="003E2413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</w:rPr>
              <w:t>$26.16</w:t>
            </w:r>
          </w:p>
        </w:tc>
        <w:tc>
          <w:tcPr>
            <w:tcW w:w="818" w:type="dxa"/>
            <w:tcBorders>
              <w:left w:val="dotted" w:sz="4" w:space="0" w:color="auto"/>
              <w:right w:val="dashSmallGap" w:sz="4" w:space="0" w:color="auto"/>
            </w:tcBorders>
            <w:shd w:val="clear" w:color="auto" w:fill="BDD6EE" w:themeFill="accent1" w:themeFillTint="66"/>
            <w:vAlign w:val="center"/>
          </w:tcPr>
          <w:p w:rsidR="00976AB4" w:rsidRPr="00A110F0" w:rsidP="003E2413">
            <w:pPr>
              <w:keepNext/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$48</w:t>
            </w:r>
          </w:p>
        </w:tc>
        <w:tc>
          <w:tcPr>
            <w:tcW w:w="1219" w:type="dxa"/>
            <w:tcBorders>
              <w:left w:val="dashSmallGap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976AB4" w:rsidRPr="00A110F0" w:rsidP="003E2413">
            <w:pPr>
              <w:keepNext/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$2</w:t>
            </w:r>
          </w:p>
        </w:tc>
        <w:tc>
          <w:tcPr>
            <w:tcW w:w="4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976AB4" w:rsidRPr="00A110F0" w:rsidP="003E2413">
            <w:pPr>
              <w:keepNext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</w:tr>
      <w:tr w:rsidTr="003E2413">
        <w:tblPrEx>
          <w:tblW w:w="10093" w:type="dxa"/>
          <w:tblInd w:w="-5" w:type="dxa"/>
          <w:tblLayout w:type="fixed"/>
          <w:tblLook w:val="04A0"/>
        </w:tblPrEx>
        <w:trPr>
          <w:trHeight w:val="370"/>
        </w:trPr>
        <w:tc>
          <w:tcPr>
            <w:tcW w:w="1980" w:type="dxa"/>
            <w:shd w:val="clear" w:color="auto" w:fill="FBE5D5" w:themeFill="accent2" w:themeFillTint="33"/>
            <w:vAlign w:val="center"/>
          </w:tcPr>
          <w:p w:rsidR="00976AB4" w:rsidRPr="00A110F0" w:rsidP="003E2413">
            <w:pPr>
              <w:keepNext/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Difference</w:t>
            </w:r>
          </w:p>
        </w:tc>
        <w:tc>
          <w:tcPr>
            <w:tcW w:w="1710" w:type="dxa"/>
            <w:gridSpan w:val="2"/>
            <w:shd w:val="clear" w:color="auto" w:fill="FBE5D5" w:themeFill="accent2" w:themeFillTint="33"/>
            <w:vAlign w:val="center"/>
          </w:tcPr>
          <w:p w:rsidR="00976AB4" w:rsidP="003E2413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</w:rPr>
              <w:t>+$601.68</w:t>
            </w:r>
          </w:p>
        </w:tc>
        <w:tc>
          <w:tcPr>
            <w:tcW w:w="2037" w:type="dxa"/>
            <w:gridSpan w:val="2"/>
            <w:tcBorders>
              <w:left w:val="dotted" w:sz="4" w:space="0" w:color="auto"/>
              <w:right w:val="single" w:sz="4" w:space="0" w:color="auto"/>
            </w:tcBorders>
            <w:shd w:val="clear" w:color="auto" w:fill="FBE5D5" w:themeFill="accent2" w:themeFillTint="33"/>
            <w:vAlign w:val="center"/>
          </w:tcPr>
          <w:p w:rsidR="00976AB4" w:rsidP="003E2413">
            <w:pPr>
              <w:keepNext/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+$46</w:t>
            </w:r>
          </w:p>
        </w:tc>
        <w:tc>
          <w:tcPr>
            <w:tcW w:w="4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5D5" w:themeFill="accent2" w:themeFillTint="33"/>
            <w:vAlign w:val="center"/>
          </w:tcPr>
          <w:p w:rsidR="00976AB4" w:rsidRPr="00A110F0" w:rsidP="003E2413">
            <w:pPr>
              <w:keepNext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</w:tr>
    </w:tbl>
    <w:p w:rsidR="00C01CE7" w:rsidP="00C01CE7">
      <w:pPr>
        <w:spacing w:after="120"/>
        <w:rPr>
          <w:rFonts w:cstheme="minorHAnsi"/>
        </w:rPr>
      </w:pPr>
    </w:p>
    <w:p w:rsidR="00C01CE7" w:rsidRPr="00C01CE7" w:rsidP="00C01CE7">
      <w:pPr>
        <w:spacing w:after="120"/>
        <w:rPr>
          <w:rFonts w:cstheme="minorHAnsi"/>
        </w:rPr>
      </w:pPr>
      <w:r>
        <w:rPr>
          <w:rFonts w:cstheme="minorHAnsi"/>
        </w:rPr>
        <w:t>There are no other changes to 0648-0595.  Upon approval by OMB of this change request, a discontinuation request will be submitted for information collection 0648-0798.</w:t>
      </w:r>
      <w:bookmarkStart w:id="0" w:name="_GoBack"/>
      <w:bookmarkEnd w:id="0"/>
    </w:p>
    <w:p w:rsidR="00C01CE7" w:rsidP="00C01CE7">
      <w:pPr>
        <w:spacing w:after="120"/>
        <w:rPr>
          <w:rFonts w:cstheme="minorHAnsi"/>
        </w:rPr>
      </w:pPr>
    </w:p>
    <w:p w:rsidR="00C01CE7" w:rsidRPr="00C01CE7" w:rsidP="00C01CE7">
      <w:pPr>
        <w:spacing w:after="120"/>
        <w:rPr>
          <w:rFonts w:cstheme="minorHAnsi"/>
        </w:rPr>
      </w:pPr>
    </w:p>
    <w:sectPr w:rsidSect="00C01CE7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C9D"/>
    <w:rsid w:val="003E2413"/>
    <w:rsid w:val="00477806"/>
    <w:rsid w:val="005160AC"/>
    <w:rsid w:val="00976AB4"/>
    <w:rsid w:val="00A048F5"/>
    <w:rsid w:val="00A110F0"/>
    <w:rsid w:val="00C01CE7"/>
    <w:rsid w:val="00F15C9D"/>
    <w:rsid w:val="00FD208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EA5FBA"/>
  <w15:chartTrackingRefBased/>
  <w15:docId w15:val="{D0918B44-1625-4557-818D-E4008007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Adrienne.Thomas</cp:lastModifiedBy>
  <cp:revision>2</cp:revision>
  <dcterms:created xsi:type="dcterms:W3CDTF">2023-06-13T17:38:00Z</dcterms:created>
  <dcterms:modified xsi:type="dcterms:W3CDTF">2023-06-13T18:27:00Z</dcterms:modified>
</cp:coreProperties>
</file>