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DEE" w:rsidRPr="004B7038" w:rsidP="004F1BC5" w14:paraId="2B6DA464" w14:textId="77777777">
      <w:pPr>
        <w:widowControl/>
        <w:suppressAutoHyphens/>
        <w:ind w:left="2160" w:firstLine="720"/>
        <w:rPr>
          <w:b/>
          <w:sz w:val="22"/>
          <w:szCs w:val="22"/>
        </w:rPr>
      </w:pPr>
      <w:r w:rsidRPr="004B7038">
        <w:rPr>
          <w:b/>
          <w:sz w:val="22"/>
          <w:szCs w:val="22"/>
        </w:rPr>
        <w:t>SUPPORTING STATEMENT</w:t>
      </w:r>
    </w:p>
    <w:p w:rsidR="003747DC" w:rsidRPr="004B7038" w:rsidP="00047C52" w14:paraId="284862FA" w14:textId="77777777">
      <w:pPr>
        <w:widowControl/>
        <w:tabs>
          <w:tab w:val="left" w:pos="2350"/>
        </w:tabs>
        <w:suppressAutoHyphens/>
        <w:rPr>
          <w:b/>
          <w:sz w:val="22"/>
          <w:szCs w:val="22"/>
        </w:rPr>
      </w:pPr>
    </w:p>
    <w:p w:rsidR="00067385" w:rsidRPr="004B7038" w:rsidP="00047C52" w14:paraId="7C09D1B4" w14:textId="77777777">
      <w:pPr>
        <w:widowControl/>
        <w:tabs>
          <w:tab w:val="left" w:pos="2350"/>
        </w:tabs>
        <w:suppressAutoHyphens/>
        <w:rPr>
          <w:sz w:val="22"/>
          <w:szCs w:val="22"/>
          <w:u w:val="single"/>
        </w:rPr>
      </w:pPr>
      <w:r w:rsidRPr="004B7038">
        <w:rPr>
          <w:b/>
          <w:sz w:val="22"/>
          <w:szCs w:val="22"/>
        </w:rPr>
        <w:t xml:space="preserve">A.  </w:t>
      </w:r>
      <w:r w:rsidRPr="004B7038">
        <w:rPr>
          <w:b/>
          <w:sz w:val="22"/>
          <w:szCs w:val="22"/>
          <w:u w:val="single"/>
        </w:rPr>
        <w:t>Justification</w:t>
      </w:r>
      <w:r w:rsidRPr="004B7038">
        <w:rPr>
          <w:b/>
          <w:sz w:val="22"/>
          <w:szCs w:val="22"/>
        </w:rPr>
        <w:t>:</w:t>
      </w:r>
    </w:p>
    <w:p w:rsidR="00DA51FC" w:rsidRPr="004B7038" w:rsidP="00067385" w14:paraId="1FBEF222" w14:textId="77777777">
      <w:pPr>
        <w:widowControl/>
        <w:suppressAutoHyphens/>
        <w:ind w:left="360" w:hanging="360"/>
        <w:rPr>
          <w:sz w:val="22"/>
          <w:szCs w:val="22"/>
        </w:rPr>
      </w:pPr>
    </w:p>
    <w:p w:rsidR="00384519" w:rsidRPr="004B7038" w:rsidP="00073DDE" w14:paraId="7B5BD30C" w14:textId="77777777">
      <w:pPr>
        <w:pStyle w:val="ListParagraph"/>
        <w:numPr>
          <w:ilvl w:val="0"/>
          <w:numId w:val="18"/>
        </w:numPr>
        <w:tabs>
          <w:tab w:val="left" w:pos="-720"/>
        </w:tabs>
        <w:suppressAutoHyphens/>
        <w:rPr>
          <w:spacing w:val="-3"/>
          <w:sz w:val="22"/>
          <w:szCs w:val="22"/>
        </w:rPr>
      </w:pPr>
      <w:r w:rsidRPr="004B7038">
        <w:rPr>
          <w:i/>
          <w:spacing w:val="-3"/>
          <w:sz w:val="22"/>
          <w:szCs w:val="22"/>
        </w:rPr>
        <w:t>Circumstances that make the collection necessary:</w:t>
      </w:r>
    </w:p>
    <w:p w:rsidR="00384519" w:rsidRPr="004B7038" w:rsidP="00D67C85" w14:paraId="0CBC6541" w14:textId="77777777">
      <w:pPr>
        <w:tabs>
          <w:tab w:val="left" w:pos="-720"/>
        </w:tabs>
        <w:suppressAutoHyphens/>
        <w:rPr>
          <w:spacing w:val="-3"/>
          <w:sz w:val="22"/>
          <w:szCs w:val="22"/>
        </w:rPr>
      </w:pPr>
    </w:p>
    <w:p w:rsidR="00E4402B" w:rsidRPr="004B7038" w:rsidP="005F3758" w14:paraId="328525B0" w14:textId="77777777">
      <w:pPr>
        <w:tabs>
          <w:tab w:val="left" w:pos="-720"/>
        </w:tabs>
        <w:suppressAutoHyphens/>
        <w:rPr>
          <w:sz w:val="22"/>
          <w:szCs w:val="22"/>
        </w:rPr>
      </w:pPr>
      <w:r w:rsidRPr="004B7038">
        <w:rPr>
          <w:sz w:val="22"/>
          <w:szCs w:val="22"/>
        </w:rPr>
        <w:tab/>
      </w:r>
      <w:r w:rsidRPr="004B7038" w:rsidR="00801EA8">
        <w:rPr>
          <w:sz w:val="22"/>
          <w:szCs w:val="22"/>
        </w:rPr>
        <w:t>On April 28</w:t>
      </w:r>
      <w:r w:rsidRPr="004B7038" w:rsidR="00A36AF9">
        <w:rPr>
          <w:sz w:val="22"/>
          <w:szCs w:val="22"/>
        </w:rPr>
        <w:t xml:space="preserve">, 2017, the Commission </w:t>
      </w:r>
      <w:r w:rsidRPr="004B7038" w:rsidR="00801EA8">
        <w:rPr>
          <w:sz w:val="22"/>
          <w:szCs w:val="22"/>
        </w:rPr>
        <w:t xml:space="preserve">released </w:t>
      </w:r>
      <w:r w:rsidRPr="004B7038" w:rsidR="00A36AF9">
        <w:rPr>
          <w:sz w:val="22"/>
          <w:szCs w:val="22"/>
        </w:rPr>
        <w:t xml:space="preserve">the </w:t>
      </w:r>
      <w:r w:rsidRPr="004B7038" w:rsidR="00A36AF9">
        <w:rPr>
          <w:i/>
          <w:sz w:val="22"/>
          <w:szCs w:val="22"/>
        </w:rPr>
        <w:t>Business Data Services Order</w:t>
      </w:r>
      <w:r w:rsidRPr="004B7038" w:rsidR="00A36AF9">
        <w:rPr>
          <w:sz w:val="22"/>
          <w:szCs w:val="22"/>
        </w:rPr>
        <w:t>,</w:t>
      </w:r>
      <w:r>
        <w:rPr>
          <w:rStyle w:val="FootnoteReference"/>
          <w:sz w:val="22"/>
          <w:szCs w:val="22"/>
        </w:rPr>
        <w:footnoteReference w:id="2"/>
      </w:r>
      <w:r w:rsidRPr="004B7038" w:rsidR="00A36AF9">
        <w:rPr>
          <w:sz w:val="22"/>
          <w:szCs w:val="22"/>
        </w:rPr>
        <w:t xml:space="preserve"> reforming the business data services/special access regulations for incumbent and competitive LECs</w:t>
      </w:r>
      <w:r w:rsidRPr="004B7038" w:rsidR="00FB2390">
        <w:rPr>
          <w:sz w:val="22"/>
          <w:szCs w:val="22"/>
        </w:rPr>
        <w:t>.</w:t>
      </w:r>
      <w:r w:rsidRPr="004B7038" w:rsidR="00A36AF9">
        <w:rPr>
          <w:sz w:val="22"/>
          <w:szCs w:val="22"/>
        </w:rPr>
        <w:t xml:space="preserve"> </w:t>
      </w:r>
      <w:r w:rsidRPr="004B7038" w:rsidR="00FB2390">
        <w:rPr>
          <w:sz w:val="22"/>
          <w:szCs w:val="22"/>
        </w:rPr>
        <w:t xml:space="preserve"> </w:t>
      </w:r>
      <w:r w:rsidRPr="004B7038">
        <w:rPr>
          <w:sz w:val="22"/>
          <w:szCs w:val="22"/>
        </w:rPr>
        <w:t>The</w:t>
      </w:r>
      <w:r w:rsidRPr="004B7038" w:rsidR="00096E5D">
        <w:rPr>
          <w:sz w:val="22"/>
          <w:szCs w:val="22"/>
        </w:rPr>
        <w:t xml:space="preserve"> Commission’s </w:t>
      </w:r>
      <w:r w:rsidRPr="004B7038">
        <w:rPr>
          <w:sz w:val="22"/>
          <w:szCs w:val="22"/>
        </w:rPr>
        <w:t xml:space="preserve">reforms included replacing the application-based pricing flexibility rules </w:t>
      </w:r>
      <w:r w:rsidRPr="004B7038" w:rsidR="001B480B">
        <w:rPr>
          <w:sz w:val="22"/>
          <w:szCs w:val="22"/>
        </w:rPr>
        <w:t xml:space="preserve">for price cap LECs </w:t>
      </w:r>
      <w:r w:rsidRPr="004B7038">
        <w:rPr>
          <w:sz w:val="22"/>
          <w:szCs w:val="22"/>
        </w:rPr>
        <w:t xml:space="preserve">with a new </w:t>
      </w:r>
      <w:r w:rsidRPr="004B7038" w:rsidR="001B480B">
        <w:rPr>
          <w:sz w:val="22"/>
          <w:szCs w:val="22"/>
        </w:rPr>
        <w:t xml:space="preserve">less-burdensome </w:t>
      </w:r>
      <w:r w:rsidRPr="004B7038">
        <w:rPr>
          <w:sz w:val="22"/>
          <w:szCs w:val="22"/>
        </w:rPr>
        <w:t>framework under which:</w:t>
      </w:r>
    </w:p>
    <w:p w:rsidR="00E4402B" w:rsidRPr="004B7038" w:rsidP="003B4A20" w14:paraId="390397D2" w14:textId="77777777">
      <w:pPr>
        <w:pStyle w:val="ParaNumCharChar"/>
        <w:widowControl w:val="0"/>
        <w:tabs>
          <w:tab w:val="clear" w:pos="360"/>
          <w:tab w:val="left" w:pos="720"/>
        </w:tabs>
        <w:autoSpaceDE/>
        <w:adjustRightInd/>
        <w:snapToGrid w:val="0"/>
        <w:spacing w:after="0"/>
      </w:pPr>
    </w:p>
    <w:p w:rsidR="002C3B6E" w:rsidRPr="004B7038" w:rsidP="00F74175" w14:paraId="59E426AF" w14:textId="77777777">
      <w:pPr>
        <w:pStyle w:val="ParaNumCharChar"/>
        <w:widowControl w:val="0"/>
        <w:tabs>
          <w:tab w:val="clear" w:pos="360"/>
          <w:tab w:val="left" w:pos="720"/>
        </w:tabs>
        <w:autoSpaceDE/>
        <w:adjustRightInd/>
        <w:snapToGrid w:val="0"/>
        <w:spacing w:after="0"/>
        <w:ind w:left="720" w:hanging="720"/>
      </w:pPr>
      <w:r w:rsidRPr="004B7038">
        <w:t>-</w:t>
      </w:r>
      <w:r w:rsidRPr="004B7038">
        <w:tab/>
      </w:r>
      <w:r w:rsidRPr="004B7038" w:rsidR="00E4402B">
        <w:t xml:space="preserve">Packet-based services, time division multiplexing (TDM) services with bandwidth greater than 45 </w:t>
      </w:r>
      <w:r w:rsidRPr="004B7038" w:rsidR="00E4402B">
        <w:t>mbps</w:t>
      </w:r>
      <w:r w:rsidRPr="004B7038" w:rsidR="00E4402B">
        <w:t xml:space="preserve"> and TDM transport services are not subject to ex ante pricing regulation.</w:t>
      </w:r>
    </w:p>
    <w:p w:rsidR="002C3B6E" w:rsidRPr="004B7038" w:rsidP="002C3B6E" w14:paraId="20ACE7C9" w14:textId="77777777">
      <w:pPr>
        <w:pStyle w:val="ParaNumCharChar"/>
        <w:widowControl w:val="0"/>
        <w:tabs>
          <w:tab w:val="clear" w:pos="360"/>
          <w:tab w:val="left" w:pos="720"/>
        </w:tabs>
        <w:autoSpaceDE/>
        <w:adjustRightInd/>
        <w:snapToGrid w:val="0"/>
        <w:spacing w:after="0"/>
      </w:pPr>
    </w:p>
    <w:p w:rsidR="006A35D6" w:rsidRPr="004B7038" w:rsidP="00F74175" w14:paraId="2444C630" w14:textId="77777777">
      <w:pPr>
        <w:pStyle w:val="ParaNumCharChar"/>
        <w:widowControl w:val="0"/>
        <w:tabs>
          <w:tab w:val="clear" w:pos="360"/>
          <w:tab w:val="left" w:pos="720"/>
        </w:tabs>
        <w:autoSpaceDE/>
        <w:adjustRightInd/>
        <w:snapToGrid w:val="0"/>
        <w:spacing w:after="0"/>
        <w:ind w:left="720" w:hanging="720"/>
      </w:pPr>
      <w:r w:rsidRPr="004B7038">
        <w:t>-</w:t>
      </w:r>
      <w:r w:rsidRPr="004B7038">
        <w:tab/>
        <w:t xml:space="preserve">A </w:t>
      </w:r>
      <w:r w:rsidRPr="004B7038" w:rsidR="00340727">
        <w:t>new standard</w:t>
      </w:r>
      <w:r w:rsidRPr="004B7038">
        <w:t xml:space="preserve"> is applied to determine the extent to which the Commission regulates price cap LECs’ TDM </w:t>
      </w:r>
      <w:r w:rsidRPr="004B7038" w:rsidR="006053FD">
        <w:t xml:space="preserve">end user channel terminations with bandwidth less than 45 </w:t>
      </w:r>
      <w:r w:rsidRPr="004B7038" w:rsidR="006053FD">
        <w:t>mbps</w:t>
      </w:r>
      <w:r w:rsidRPr="004B7038" w:rsidR="00305A34">
        <w:t xml:space="preserve"> and certain other low bandwidth business data services</w:t>
      </w:r>
      <w:r w:rsidRPr="004B7038">
        <w:t xml:space="preserve">.  </w:t>
      </w:r>
    </w:p>
    <w:p w:rsidR="006A35D6" w:rsidRPr="004B7038" w:rsidP="00F74175" w14:paraId="7D73F3CE" w14:textId="77777777">
      <w:pPr>
        <w:pStyle w:val="ParaNumCharChar"/>
        <w:widowControl w:val="0"/>
        <w:tabs>
          <w:tab w:val="clear" w:pos="360"/>
          <w:tab w:val="left" w:pos="720"/>
        </w:tabs>
        <w:autoSpaceDE/>
        <w:adjustRightInd/>
        <w:snapToGrid w:val="0"/>
        <w:spacing w:after="0"/>
        <w:ind w:left="720" w:hanging="720"/>
      </w:pPr>
    </w:p>
    <w:p w:rsidR="006A35D6" w:rsidRPr="004B7038" w:rsidP="00F74175" w14:paraId="645D13E7" w14:textId="77777777">
      <w:pPr>
        <w:pStyle w:val="ParaNumCharChar"/>
        <w:widowControl w:val="0"/>
        <w:tabs>
          <w:tab w:val="clear" w:pos="360"/>
          <w:tab w:val="left" w:pos="720"/>
        </w:tabs>
        <w:autoSpaceDE/>
        <w:adjustRightInd/>
        <w:snapToGrid w:val="0"/>
        <w:spacing w:after="0"/>
        <w:ind w:left="1440" w:hanging="720"/>
      </w:pPr>
      <w:r w:rsidRPr="004B7038">
        <w:t>-</w:t>
      </w:r>
      <w:r w:rsidRPr="004B7038">
        <w:tab/>
      </w:r>
      <w:r w:rsidRPr="004B7038" w:rsidR="00305A34">
        <w:t>Under this standard, a</w:t>
      </w:r>
      <w:r w:rsidRPr="004B7038" w:rsidR="003A335A">
        <w:t xml:space="preserve"> p</w:t>
      </w:r>
      <w:r w:rsidRPr="004B7038">
        <w:t xml:space="preserve">rice cap LEC </w:t>
      </w:r>
      <w:r w:rsidRPr="004B7038" w:rsidR="003A335A">
        <w:t xml:space="preserve">is </w:t>
      </w:r>
      <w:r w:rsidRPr="004B7038">
        <w:t xml:space="preserve">not subject to ex ante pricing regulation in the provision of </w:t>
      </w:r>
      <w:r w:rsidRPr="004B7038" w:rsidR="00E6689F">
        <w:t xml:space="preserve">these </w:t>
      </w:r>
      <w:r w:rsidRPr="004B7038">
        <w:t xml:space="preserve">services in counties deemed competitive under the </w:t>
      </w:r>
      <w:r w:rsidRPr="004B7038" w:rsidR="00E6689F">
        <w:t xml:space="preserve">Commission’s </w:t>
      </w:r>
      <w:r w:rsidRPr="004B7038">
        <w:t>competitive market test</w:t>
      </w:r>
      <w:r w:rsidRPr="004B7038" w:rsidR="00E6689F">
        <w:t xml:space="preserve"> </w:t>
      </w:r>
      <w:r w:rsidRPr="004B7038">
        <w:t xml:space="preserve">or </w:t>
      </w:r>
      <w:r w:rsidRPr="004B7038" w:rsidR="004E509D">
        <w:t xml:space="preserve">for which </w:t>
      </w:r>
      <w:r w:rsidRPr="004B7038" w:rsidR="00E6689F">
        <w:t xml:space="preserve">the price cap LEC </w:t>
      </w:r>
      <w:r w:rsidRPr="004B7038">
        <w:t xml:space="preserve">previously </w:t>
      </w:r>
      <w:r w:rsidRPr="004B7038" w:rsidR="00E6689F">
        <w:t xml:space="preserve">obtained </w:t>
      </w:r>
      <w:r w:rsidRPr="004B7038">
        <w:t>Phase II pricing flexibility.</w:t>
      </w:r>
    </w:p>
    <w:p w:rsidR="006A35D6" w:rsidRPr="004B7038" w:rsidP="00F74175" w14:paraId="61D17EAD" w14:textId="77777777">
      <w:pPr>
        <w:pStyle w:val="ParaNumCharChar"/>
        <w:widowControl w:val="0"/>
        <w:tabs>
          <w:tab w:val="clear" w:pos="360"/>
          <w:tab w:val="left" w:pos="720"/>
        </w:tabs>
        <w:autoSpaceDE/>
        <w:adjustRightInd/>
        <w:snapToGrid w:val="0"/>
        <w:spacing w:after="0"/>
        <w:ind w:left="720" w:hanging="720"/>
      </w:pPr>
    </w:p>
    <w:p w:rsidR="006C66BB" w:rsidRPr="004B7038" w:rsidP="00237CD9" w14:paraId="3CF5930E" w14:textId="77777777">
      <w:pPr>
        <w:pStyle w:val="ParaNumCharChar"/>
        <w:widowControl w:val="0"/>
        <w:tabs>
          <w:tab w:val="clear" w:pos="360"/>
          <w:tab w:val="left" w:pos="720"/>
        </w:tabs>
        <w:autoSpaceDE/>
        <w:adjustRightInd/>
        <w:snapToGrid w:val="0"/>
        <w:spacing w:after="0"/>
        <w:ind w:left="1440" w:hanging="720"/>
      </w:pPr>
      <w:r w:rsidRPr="004B7038">
        <w:t>-</w:t>
      </w:r>
      <w:r w:rsidRPr="004B7038">
        <w:tab/>
      </w:r>
      <w:r w:rsidRPr="004B7038" w:rsidR="0074353E">
        <w:t xml:space="preserve">The </w:t>
      </w:r>
      <w:r w:rsidRPr="004B7038" w:rsidR="003A335A">
        <w:t xml:space="preserve">price cap </w:t>
      </w:r>
      <w:r w:rsidRPr="004B7038" w:rsidR="007F62BB">
        <w:t xml:space="preserve">LEC </w:t>
      </w:r>
      <w:r w:rsidRPr="004B7038" w:rsidR="003A335A">
        <w:t xml:space="preserve">is subject to </w:t>
      </w:r>
      <w:r w:rsidRPr="004B7038" w:rsidR="0074353E">
        <w:t xml:space="preserve">ex ante pricing regulation in other counties where it is the incumbent LEC, but in these counties the price cap LEC has downward pricing flexibility (i.e., the equivalent of </w:t>
      </w:r>
      <w:r w:rsidRPr="004B7038" w:rsidR="007D59AA">
        <w:t>Phase I pricing flexibility</w:t>
      </w:r>
      <w:r w:rsidRPr="004B7038" w:rsidR="0067287E">
        <w:t xml:space="preserve"> under the prior rules).</w:t>
      </w:r>
      <w:r w:rsidRPr="004B7038">
        <w:t xml:space="preserve"> </w:t>
      </w:r>
    </w:p>
    <w:p w:rsidR="006C66BB" w:rsidRPr="004B7038" w:rsidP="001675D9" w14:paraId="3417629E" w14:textId="77777777">
      <w:pPr>
        <w:pStyle w:val="ParaNumCharChar"/>
        <w:widowControl w:val="0"/>
        <w:tabs>
          <w:tab w:val="clear" w:pos="360"/>
          <w:tab w:val="left" w:pos="720"/>
        </w:tabs>
        <w:autoSpaceDE/>
        <w:adjustRightInd/>
        <w:snapToGrid w:val="0"/>
        <w:spacing w:after="0"/>
        <w:ind w:left="720" w:hanging="720"/>
      </w:pPr>
    </w:p>
    <w:p w:rsidR="003D4B2D" w:rsidRPr="004B7038" w:rsidP="007C6426" w14:paraId="002F1BC6" w14:textId="03266584">
      <w:pPr>
        <w:pStyle w:val="ParaNumCharChar"/>
        <w:widowControl w:val="0"/>
        <w:tabs>
          <w:tab w:val="clear" w:pos="360"/>
          <w:tab w:val="left" w:pos="720"/>
        </w:tabs>
        <w:autoSpaceDE/>
        <w:adjustRightInd/>
        <w:snapToGrid w:val="0"/>
        <w:spacing w:after="0"/>
      </w:pPr>
      <w:r w:rsidRPr="004B7038">
        <w:tab/>
      </w:r>
      <w:r w:rsidRPr="004B7038" w:rsidR="007D59AA">
        <w:t xml:space="preserve">The Commission </w:t>
      </w:r>
      <w:r w:rsidR="00D26AB1">
        <w:t>currently updates the competitive market test every three years using data collected in FCC Form 477</w:t>
      </w:r>
      <w:r w:rsidRPr="004B7038" w:rsidR="002963B4">
        <w:t>.</w:t>
      </w:r>
      <w:r>
        <w:rPr>
          <w:rStyle w:val="FootnoteReference"/>
          <w:sz w:val="22"/>
        </w:rPr>
        <w:footnoteReference w:id="3"/>
      </w:r>
    </w:p>
    <w:p w:rsidR="00BB5FE8" w:rsidRPr="004B7038" w:rsidP="007C6426" w14:paraId="2A491C46" w14:textId="77777777">
      <w:pPr>
        <w:pStyle w:val="ParaNumCharChar"/>
        <w:widowControl w:val="0"/>
        <w:tabs>
          <w:tab w:val="clear" w:pos="360"/>
          <w:tab w:val="left" w:pos="720"/>
        </w:tabs>
        <w:autoSpaceDE/>
        <w:adjustRightInd/>
        <w:snapToGrid w:val="0"/>
        <w:spacing w:after="0"/>
      </w:pPr>
    </w:p>
    <w:p w:rsidR="003D4B2D" w:rsidRPr="004B7038" w:rsidP="003D4B2D" w14:paraId="51CE7CC0" w14:textId="77777777">
      <w:pPr>
        <w:pStyle w:val="ParaNumCharChar"/>
        <w:widowControl w:val="0"/>
        <w:tabs>
          <w:tab w:val="clear" w:pos="360"/>
          <w:tab w:val="left" w:pos="720"/>
        </w:tabs>
        <w:autoSpaceDE/>
        <w:adjustRightInd/>
        <w:snapToGrid w:val="0"/>
        <w:spacing w:after="0"/>
      </w:pPr>
      <w:r w:rsidRPr="004B7038">
        <w:tab/>
        <w:t xml:space="preserve">Among other rules changes, the </w:t>
      </w:r>
      <w:r w:rsidRPr="004B7038">
        <w:rPr>
          <w:i/>
        </w:rPr>
        <w:t xml:space="preserve">Business Data Services Order </w:t>
      </w:r>
      <w:r w:rsidRPr="004B7038">
        <w:t xml:space="preserve">repealed section </w:t>
      </w:r>
      <w:r w:rsidRPr="004B7038">
        <w:rPr>
          <w:bCs/>
        </w:rPr>
        <w:t>1.774, which set forth requirements for pricing flexibility applications, and added section 1.776, which limits the circumstances under which price cap LECs must file their business data services contract</w:t>
      </w:r>
      <w:r w:rsidRPr="004B7038" w:rsidR="007F62BB">
        <w:rPr>
          <w:bCs/>
        </w:rPr>
        <w:t>s</w:t>
      </w:r>
      <w:r w:rsidRPr="004B7038">
        <w:rPr>
          <w:bCs/>
        </w:rPr>
        <w:t xml:space="preserve"> as contract-based tariffs.  The Commission also amended section 69.701 of its rules to specify that its pricing flexibility rules no longer apply to business data services.</w:t>
      </w:r>
    </w:p>
    <w:p w:rsidR="00B25E9D" w:rsidRPr="004B7038" w:rsidP="003B4A20" w14:paraId="7994B95F" w14:textId="77777777">
      <w:pPr>
        <w:pStyle w:val="ParaNumCharChar"/>
        <w:widowControl w:val="0"/>
        <w:tabs>
          <w:tab w:val="clear" w:pos="360"/>
          <w:tab w:val="left" w:pos="720"/>
        </w:tabs>
        <w:autoSpaceDE/>
        <w:adjustRightInd/>
        <w:snapToGrid w:val="0"/>
        <w:spacing w:after="0"/>
      </w:pPr>
      <w:r w:rsidRPr="004B7038">
        <w:t xml:space="preserve"> </w:t>
      </w:r>
    </w:p>
    <w:p w:rsidR="00EE3306" w:rsidRPr="004B7038" w:rsidP="003B4A20" w14:paraId="599879BB" w14:textId="77777777">
      <w:pPr>
        <w:pStyle w:val="ParaNumCharChar"/>
        <w:widowControl w:val="0"/>
        <w:tabs>
          <w:tab w:val="clear" w:pos="360"/>
          <w:tab w:val="left" w:pos="720"/>
        </w:tabs>
        <w:autoSpaceDE/>
        <w:adjustRightInd/>
        <w:snapToGrid w:val="0"/>
        <w:spacing w:after="0"/>
      </w:pPr>
      <w:r w:rsidRPr="004B7038">
        <w:rPr>
          <w:bCs/>
        </w:rPr>
        <w:t xml:space="preserve">This </w:t>
      </w:r>
      <w:r w:rsidRPr="004B7038">
        <w:rPr>
          <w:bCs/>
        </w:rPr>
        <w:t xml:space="preserve">information collection </w:t>
      </w:r>
      <w:r w:rsidRPr="004B7038" w:rsidR="006D5E36">
        <w:rPr>
          <w:bCs/>
        </w:rPr>
        <w:t>does not affect individuals or h</w:t>
      </w:r>
      <w:r w:rsidRPr="004B7038">
        <w:rPr>
          <w:bCs/>
        </w:rPr>
        <w:t>ouseholds; thus, there are no impacts under the Privacy Act.</w:t>
      </w:r>
    </w:p>
    <w:p w:rsidR="00402CE6" w:rsidRPr="004B7038" w:rsidP="00073DDE" w14:paraId="4982DD77" w14:textId="77777777">
      <w:pPr>
        <w:widowControl/>
        <w:suppressAutoHyphens/>
        <w:rPr>
          <w:bCs/>
          <w:sz w:val="22"/>
          <w:szCs w:val="22"/>
        </w:rPr>
      </w:pPr>
    </w:p>
    <w:p w:rsidR="00402CE6" w:rsidRPr="004B7038" w:rsidP="001B3030" w14:paraId="3C76F29A" w14:textId="77777777">
      <w:pPr>
        <w:widowControl/>
        <w:suppressAutoHyphens/>
        <w:ind w:left="360" w:hanging="360"/>
        <w:rPr>
          <w:sz w:val="22"/>
          <w:szCs w:val="22"/>
        </w:rPr>
      </w:pPr>
      <w:r w:rsidRPr="004B7038">
        <w:rPr>
          <w:sz w:val="22"/>
          <w:szCs w:val="22"/>
        </w:rPr>
        <w:t xml:space="preserve">The </w:t>
      </w:r>
      <w:r w:rsidRPr="004B7038" w:rsidR="000526D1">
        <w:rPr>
          <w:sz w:val="22"/>
          <w:szCs w:val="22"/>
        </w:rPr>
        <w:t xml:space="preserve">statutory authority for this collection is contained in </w:t>
      </w:r>
      <w:r w:rsidRPr="004B7038" w:rsidR="00237CD9">
        <w:rPr>
          <w:sz w:val="22"/>
          <w:szCs w:val="22"/>
        </w:rPr>
        <w:t>sections</w:t>
      </w:r>
      <w:r w:rsidRPr="004B7038" w:rsidR="00EE243A">
        <w:rPr>
          <w:sz w:val="22"/>
          <w:szCs w:val="22"/>
        </w:rPr>
        <w:t xml:space="preserve"> </w:t>
      </w:r>
      <w:r w:rsidRPr="004B7038">
        <w:rPr>
          <w:sz w:val="22"/>
          <w:szCs w:val="22"/>
        </w:rPr>
        <w:t xml:space="preserve">47 U.S.C. §§ 151, 152, 154(i)-(j), 201-205, and </w:t>
      </w:r>
    </w:p>
    <w:p w:rsidR="00001DEE" w:rsidRPr="004B7038" w:rsidP="001B3030" w14:paraId="3A45C5A7" w14:textId="77777777">
      <w:pPr>
        <w:widowControl/>
        <w:suppressAutoHyphens/>
        <w:ind w:left="360" w:hanging="360"/>
        <w:rPr>
          <w:sz w:val="22"/>
          <w:szCs w:val="22"/>
        </w:rPr>
      </w:pPr>
      <w:r w:rsidRPr="004B7038">
        <w:rPr>
          <w:sz w:val="22"/>
          <w:szCs w:val="22"/>
        </w:rPr>
        <w:t>303(r) of the Communi</w:t>
      </w:r>
      <w:r w:rsidRPr="004B7038" w:rsidR="00FD1182">
        <w:rPr>
          <w:sz w:val="22"/>
          <w:szCs w:val="22"/>
        </w:rPr>
        <w:t>cations Act of 1934, as amended (Act).</w:t>
      </w:r>
    </w:p>
    <w:p w:rsidR="00B74385" w:rsidRPr="004B7038" w:rsidP="000526D1" w14:paraId="21BC6AFE" w14:textId="77777777">
      <w:pPr>
        <w:widowControl/>
        <w:suppressAutoHyphens/>
        <w:rPr>
          <w:sz w:val="22"/>
          <w:szCs w:val="22"/>
        </w:rPr>
      </w:pPr>
    </w:p>
    <w:p w:rsidR="00532A9E" w:rsidRPr="004B7038" w:rsidP="00073DDE" w14:paraId="54614526" w14:textId="77777777">
      <w:pPr>
        <w:pStyle w:val="ListParagraph"/>
        <w:widowControl/>
        <w:numPr>
          <w:ilvl w:val="0"/>
          <w:numId w:val="18"/>
        </w:numPr>
        <w:suppressAutoHyphens/>
        <w:rPr>
          <w:sz w:val="22"/>
          <w:szCs w:val="22"/>
          <w:shd w:val="clear" w:color="auto" w:fill="FFFF99"/>
        </w:rPr>
      </w:pPr>
      <w:r w:rsidRPr="004B7038">
        <w:rPr>
          <w:sz w:val="22"/>
          <w:szCs w:val="22"/>
        </w:rPr>
        <w:t xml:space="preserve">The information </w:t>
      </w:r>
      <w:r w:rsidRPr="004B7038" w:rsidR="00FD1182">
        <w:rPr>
          <w:sz w:val="22"/>
          <w:szCs w:val="22"/>
        </w:rPr>
        <w:t>to b</w:t>
      </w:r>
      <w:r w:rsidRPr="004B7038" w:rsidR="0041721E">
        <w:rPr>
          <w:sz w:val="22"/>
          <w:szCs w:val="22"/>
        </w:rPr>
        <w:t>e collected would</w:t>
      </w:r>
      <w:r w:rsidRPr="004B7038" w:rsidR="009B4C9B">
        <w:rPr>
          <w:sz w:val="22"/>
          <w:szCs w:val="22"/>
        </w:rPr>
        <w:t xml:space="preserve"> assist the Commission</w:t>
      </w:r>
      <w:r w:rsidRPr="004B7038" w:rsidR="00FD1182">
        <w:rPr>
          <w:sz w:val="22"/>
          <w:szCs w:val="22"/>
        </w:rPr>
        <w:t xml:space="preserve"> in determining whether </w:t>
      </w:r>
      <w:r w:rsidRPr="004B7038" w:rsidR="00305A34">
        <w:rPr>
          <w:sz w:val="22"/>
          <w:szCs w:val="22"/>
        </w:rPr>
        <w:t xml:space="preserve">price cap LECs’ </w:t>
      </w:r>
      <w:r w:rsidRPr="004B7038" w:rsidR="00FD1182">
        <w:rPr>
          <w:sz w:val="22"/>
          <w:szCs w:val="22"/>
        </w:rPr>
        <w:t>access charges are just and reasonable</w:t>
      </w:r>
      <w:r w:rsidRPr="004B7038" w:rsidR="007C4334">
        <w:rPr>
          <w:sz w:val="22"/>
          <w:szCs w:val="22"/>
        </w:rPr>
        <w:t xml:space="preserve"> under the Act</w:t>
      </w:r>
      <w:r w:rsidRPr="004B7038" w:rsidR="009B4C9B">
        <w:rPr>
          <w:sz w:val="22"/>
          <w:szCs w:val="22"/>
        </w:rPr>
        <w:t>.</w:t>
      </w:r>
    </w:p>
    <w:p w:rsidR="00532A9E" w:rsidRPr="004B7038" w:rsidP="00FD1182" w14:paraId="32A6A975" w14:textId="77777777">
      <w:pPr>
        <w:widowControl/>
        <w:suppressAutoHyphens/>
        <w:rPr>
          <w:sz w:val="22"/>
          <w:szCs w:val="22"/>
          <w:shd w:val="clear" w:color="auto" w:fill="FFFF99"/>
        </w:rPr>
      </w:pPr>
    </w:p>
    <w:p w:rsidR="00532A9E" w:rsidRPr="004B7038" w:rsidP="00BF176C" w14:paraId="3EBFC180" w14:textId="66FF2E8F">
      <w:pPr>
        <w:pStyle w:val="ListParagraph"/>
        <w:widowControl/>
        <w:numPr>
          <w:ilvl w:val="0"/>
          <w:numId w:val="18"/>
        </w:numPr>
        <w:suppressAutoHyphens/>
        <w:rPr>
          <w:sz w:val="22"/>
          <w:szCs w:val="22"/>
          <w:shd w:val="clear" w:color="auto" w:fill="FFFF99"/>
        </w:rPr>
      </w:pPr>
      <w:r w:rsidRPr="004B7038">
        <w:rPr>
          <w:sz w:val="22"/>
          <w:szCs w:val="22"/>
        </w:rPr>
        <w:t xml:space="preserve">The Commission has established a program of mandatory electronic filing of tariffs and associated documents by incumbent LECs.  </w:t>
      </w:r>
      <w:r w:rsidRPr="004B7038" w:rsidR="00305A34">
        <w:rPr>
          <w:sz w:val="22"/>
          <w:szCs w:val="22"/>
        </w:rPr>
        <w:t xml:space="preserve">For certain business data services, price cap </w:t>
      </w:r>
      <w:r w:rsidRPr="004B7038">
        <w:rPr>
          <w:sz w:val="22"/>
          <w:szCs w:val="22"/>
        </w:rPr>
        <w:t xml:space="preserve">LECs </w:t>
      </w:r>
      <w:r w:rsidRPr="004B7038" w:rsidR="009229C7">
        <w:rPr>
          <w:sz w:val="22"/>
          <w:szCs w:val="22"/>
        </w:rPr>
        <w:t xml:space="preserve">in non-competitive counties </w:t>
      </w:r>
      <w:r w:rsidRPr="004B7038" w:rsidR="00305A34">
        <w:rPr>
          <w:sz w:val="22"/>
          <w:szCs w:val="22"/>
        </w:rPr>
        <w:t xml:space="preserve">for which the LECs </w:t>
      </w:r>
      <w:r w:rsidRPr="004B7038" w:rsidR="009229C7">
        <w:rPr>
          <w:sz w:val="22"/>
          <w:szCs w:val="22"/>
        </w:rPr>
        <w:t xml:space="preserve">were not previously granted Phase II price flexibility will continue to file </w:t>
      </w:r>
      <w:r w:rsidRPr="004B7038" w:rsidR="00C84F2E">
        <w:rPr>
          <w:sz w:val="22"/>
          <w:szCs w:val="22"/>
        </w:rPr>
        <w:t xml:space="preserve">tariffs </w:t>
      </w:r>
      <w:r w:rsidRPr="004B7038" w:rsidR="00546761">
        <w:rPr>
          <w:sz w:val="22"/>
          <w:szCs w:val="22"/>
        </w:rPr>
        <w:t>and associated documents electronically in accordance with the requirements established by the Wireline Competition Bureau.  Other parties may also file documents in tariff proceeding</w:t>
      </w:r>
      <w:r w:rsidRPr="004B7038" w:rsidR="00B0268B">
        <w:rPr>
          <w:sz w:val="22"/>
          <w:szCs w:val="22"/>
        </w:rPr>
        <w:t>s</w:t>
      </w:r>
      <w:r w:rsidRPr="004B7038" w:rsidR="00546761">
        <w:rPr>
          <w:sz w:val="22"/>
          <w:szCs w:val="22"/>
        </w:rPr>
        <w:t xml:space="preserve"> via the Electronic</w:t>
      </w:r>
      <w:r w:rsidRPr="004B7038">
        <w:rPr>
          <w:sz w:val="22"/>
          <w:szCs w:val="22"/>
        </w:rPr>
        <w:t xml:space="preserve"> Tariff Filing Sy</w:t>
      </w:r>
      <w:r w:rsidRPr="004B7038" w:rsidR="00546761">
        <w:rPr>
          <w:sz w:val="22"/>
          <w:szCs w:val="22"/>
        </w:rPr>
        <w:t>stem.  See 47 CFR § 1.774(e).</w:t>
      </w:r>
    </w:p>
    <w:p w:rsidR="009004CD" w:rsidRPr="004B7038" w:rsidP="00E00A09" w14:paraId="5D6F16BA" w14:textId="77777777">
      <w:pPr>
        <w:widowControl/>
        <w:suppressAutoHyphens/>
        <w:ind w:left="360" w:hanging="360"/>
        <w:rPr>
          <w:sz w:val="22"/>
          <w:szCs w:val="22"/>
        </w:rPr>
      </w:pPr>
    </w:p>
    <w:p w:rsidR="00001DEE" w:rsidRPr="004B7038" w:rsidP="00073DDE" w14:paraId="09C7C580" w14:textId="77777777">
      <w:pPr>
        <w:pStyle w:val="ListParagraph"/>
        <w:widowControl/>
        <w:numPr>
          <w:ilvl w:val="0"/>
          <w:numId w:val="18"/>
        </w:numPr>
        <w:suppressAutoHyphens/>
        <w:rPr>
          <w:sz w:val="22"/>
          <w:szCs w:val="22"/>
        </w:rPr>
      </w:pPr>
      <w:r w:rsidRPr="004B7038">
        <w:rPr>
          <w:sz w:val="22"/>
          <w:szCs w:val="22"/>
        </w:rPr>
        <w:t xml:space="preserve">We know of no duplication of this information.  There is no existing information that would suit our purposes. </w:t>
      </w:r>
    </w:p>
    <w:p w:rsidR="009A1DD7" w:rsidRPr="004B7038" w:rsidP="00E00A09" w14:paraId="4FF07081" w14:textId="77777777">
      <w:pPr>
        <w:widowControl/>
        <w:suppressAutoHyphens/>
        <w:ind w:left="360" w:hanging="360"/>
        <w:rPr>
          <w:sz w:val="22"/>
          <w:szCs w:val="22"/>
        </w:rPr>
      </w:pPr>
    </w:p>
    <w:p w:rsidR="00001DEE" w:rsidRPr="004B7038" w:rsidP="00073DDE" w14:paraId="5618D6C2" w14:textId="77777777">
      <w:pPr>
        <w:pStyle w:val="ListParagraph"/>
        <w:widowControl/>
        <w:numPr>
          <w:ilvl w:val="0"/>
          <w:numId w:val="18"/>
        </w:numPr>
        <w:suppressAutoHyphens/>
        <w:rPr>
          <w:sz w:val="22"/>
          <w:szCs w:val="22"/>
        </w:rPr>
      </w:pPr>
      <w:r w:rsidRPr="004B7038">
        <w:rPr>
          <w:sz w:val="22"/>
          <w:szCs w:val="22"/>
        </w:rPr>
        <w:t>This collection has been carefully designed to minimize the burden on all carriers, regardless of size.</w:t>
      </w:r>
    </w:p>
    <w:p w:rsidR="00001DEE" w:rsidRPr="004B7038" w:rsidP="00E00A09" w14:paraId="11F3BEC6" w14:textId="77777777">
      <w:pPr>
        <w:widowControl/>
        <w:suppressAutoHyphens/>
        <w:ind w:left="360" w:hanging="360"/>
        <w:rPr>
          <w:sz w:val="22"/>
          <w:szCs w:val="22"/>
        </w:rPr>
      </w:pPr>
    </w:p>
    <w:p w:rsidR="00001DEE" w:rsidRPr="004B7038" w:rsidP="00073DDE" w14:paraId="4EEA73CB" w14:textId="77777777">
      <w:pPr>
        <w:pStyle w:val="ListParagraph"/>
        <w:widowControl/>
        <w:numPr>
          <w:ilvl w:val="0"/>
          <w:numId w:val="18"/>
        </w:numPr>
        <w:suppressAutoHyphens/>
        <w:rPr>
          <w:sz w:val="22"/>
          <w:szCs w:val="22"/>
        </w:rPr>
      </w:pPr>
      <w:r w:rsidRPr="004B7038">
        <w:rPr>
          <w:sz w:val="22"/>
          <w:szCs w:val="22"/>
        </w:rPr>
        <w:t>These information collection requirements</w:t>
      </w:r>
      <w:r w:rsidRPr="004B7038" w:rsidR="00F45F93">
        <w:rPr>
          <w:sz w:val="22"/>
          <w:szCs w:val="22"/>
        </w:rPr>
        <w:t xml:space="preserve"> are necessary to allow the C</w:t>
      </w:r>
      <w:r w:rsidRPr="004B7038">
        <w:rPr>
          <w:sz w:val="22"/>
          <w:szCs w:val="22"/>
        </w:rPr>
        <w:t>ommission to become aware of unjust and unreasonable charges in a timely manner.  Without these information requirements, the Commission would be unable to minimize any adverse effects on the public.</w:t>
      </w:r>
    </w:p>
    <w:p w:rsidR="00001DEE" w:rsidRPr="004B7038" w:rsidP="00E00A09" w14:paraId="1368FFA0" w14:textId="77777777">
      <w:pPr>
        <w:widowControl/>
        <w:suppressAutoHyphens/>
        <w:ind w:left="360" w:hanging="360"/>
        <w:rPr>
          <w:sz w:val="22"/>
          <w:szCs w:val="22"/>
        </w:rPr>
      </w:pPr>
    </w:p>
    <w:p w:rsidR="00001DEE" w:rsidRPr="004B7038" w:rsidP="00073DDE" w14:paraId="3E235E8A" w14:textId="77777777">
      <w:pPr>
        <w:pStyle w:val="ListParagraph"/>
        <w:widowControl/>
        <w:numPr>
          <w:ilvl w:val="0"/>
          <w:numId w:val="18"/>
        </w:numPr>
        <w:suppressAutoHyphens/>
        <w:rPr>
          <w:sz w:val="22"/>
          <w:szCs w:val="22"/>
        </w:rPr>
      </w:pPr>
      <w:r w:rsidRPr="004B7038">
        <w:rPr>
          <w:sz w:val="22"/>
          <w:szCs w:val="22"/>
        </w:rPr>
        <w:t>We are not aware of any circumstances that require the collection to be conducted in any manner inconsistent with the guidelines in 5 CFR §1320.5.</w:t>
      </w:r>
    </w:p>
    <w:p w:rsidR="00A971BD" w:rsidRPr="004B7038" w:rsidP="00A971BD" w14:paraId="6DEE9D8F" w14:textId="77777777">
      <w:pPr>
        <w:widowControl/>
        <w:suppressAutoHyphens/>
        <w:rPr>
          <w:sz w:val="22"/>
          <w:szCs w:val="22"/>
        </w:rPr>
      </w:pPr>
    </w:p>
    <w:p w:rsidR="00A971BD" w:rsidRPr="004B7038" w:rsidP="00A971BD" w14:paraId="761F7773" w14:textId="7EF68F67">
      <w:pPr>
        <w:pStyle w:val="ListParagraph"/>
        <w:widowControl/>
        <w:numPr>
          <w:ilvl w:val="0"/>
          <w:numId w:val="18"/>
        </w:numPr>
        <w:suppressAutoHyphens/>
        <w:rPr>
          <w:sz w:val="22"/>
          <w:szCs w:val="22"/>
        </w:rPr>
      </w:pPr>
      <w:r w:rsidRPr="004B7038">
        <w:rPr>
          <w:sz w:val="22"/>
          <w:szCs w:val="22"/>
        </w:rPr>
        <w:t xml:space="preserve">Pursuant to 5 CFR § 1320.8(d), the Commission published a 60-day notice in the </w:t>
      </w:r>
      <w:r w:rsidRPr="004B7038">
        <w:rPr>
          <w:i/>
          <w:sz w:val="22"/>
          <w:szCs w:val="22"/>
        </w:rPr>
        <w:t>Federal Register</w:t>
      </w:r>
      <w:r w:rsidRPr="004B7038">
        <w:rPr>
          <w:sz w:val="22"/>
          <w:szCs w:val="22"/>
        </w:rPr>
        <w:t xml:space="preserve"> on </w:t>
      </w:r>
      <w:r w:rsidR="00E263CB">
        <w:rPr>
          <w:sz w:val="22"/>
          <w:szCs w:val="22"/>
        </w:rPr>
        <w:t>March 7</w:t>
      </w:r>
      <w:r w:rsidRPr="004B7038" w:rsidR="006D40DE">
        <w:rPr>
          <w:sz w:val="22"/>
          <w:szCs w:val="22"/>
        </w:rPr>
        <w:t>, 202</w:t>
      </w:r>
      <w:r w:rsidRPr="004B7038" w:rsidR="005F6059">
        <w:rPr>
          <w:sz w:val="22"/>
          <w:szCs w:val="22"/>
        </w:rPr>
        <w:t>3</w:t>
      </w:r>
      <w:r w:rsidRPr="004B7038" w:rsidR="006D40DE">
        <w:rPr>
          <w:sz w:val="22"/>
          <w:szCs w:val="22"/>
        </w:rPr>
        <w:t xml:space="preserve"> </w:t>
      </w:r>
      <w:r w:rsidRPr="004B7038">
        <w:rPr>
          <w:sz w:val="22"/>
          <w:szCs w:val="22"/>
        </w:rPr>
        <w:t>(</w:t>
      </w:r>
      <w:r w:rsidRPr="004B7038">
        <w:rPr>
          <w:i/>
          <w:sz w:val="22"/>
          <w:szCs w:val="22"/>
        </w:rPr>
        <w:t xml:space="preserve">See </w:t>
      </w:r>
      <w:r w:rsidR="00E263CB">
        <w:rPr>
          <w:sz w:val="22"/>
          <w:szCs w:val="22"/>
        </w:rPr>
        <w:t>88</w:t>
      </w:r>
      <w:r w:rsidRPr="004B7038" w:rsidR="00205B89">
        <w:rPr>
          <w:sz w:val="22"/>
          <w:szCs w:val="22"/>
        </w:rPr>
        <w:t xml:space="preserve"> FR </w:t>
      </w:r>
      <w:r w:rsidR="00E263CB">
        <w:rPr>
          <w:sz w:val="22"/>
          <w:szCs w:val="22"/>
        </w:rPr>
        <w:t>14166</w:t>
      </w:r>
      <w:r w:rsidRPr="004B7038" w:rsidR="00205B89">
        <w:rPr>
          <w:sz w:val="22"/>
          <w:szCs w:val="22"/>
        </w:rPr>
        <w:t xml:space="preserve">). No comments were received. </w:t>
      </w:r>
    </w:p>
    <w:p w:rsidR="00A971BD" w:rsidRPr="004B7038" w:rsidP="00A971BD" w14:paraId="30366466" w14:textId="77777777">
      <w:pPr>
        <w:widowControl/>
        <w:suppressAutoHyphens/>
        <w:rPr>
          <w:sz w:val="22"/>
          <w:szCs w:val="22"/>
        </w:rPr>
      </w:pPr>
    </w:p>
    <w:p w:rsidR="00A971BD" w:rsidRPr="004B7038" w:rsidP="00073DDE" w14:paraId="31B66D01" w14:textId="77777777">
      <w:pPr>
        <w:pStyle w:val="ListParagraph"/>
        <w:widowControl/>
        <w:numPr>
          <w:ilvl w:val="0"/>
          <w:numId w:val="18"/>
        </w:numPr>
        <w:suppressAutoHyphens/>
        <w:rPr>
          <w:sz w:val="22"/>
          <w:szCs w:val="22"/>
        </w:rPr>
      </w:pPr>
      <w:r w:rsidRPr="004B7038">
        <w:rPr>
          <w:sz w:val="22"/>
          <w:szCs w:val="22"/>
        </w:rPr>
        <w:t>The Commission does not anticipate providing any payment or gift to respondents.</w:t>
      </w:r>
    </w:p>
    <w:p w:rsidR="00A971BD" w:rsidRPr="004B7038" w:rsidP="00A971BD" w14:paraId="3E8091EF" w14:textId="77777777">
      <w:pPr>
        <w:widowControl/>
        <w:suppressAutoHyphens/>
        <w:rPr>
          <w:sz w:val="22"/>
          <w:szCs w:val="22"/>
        </w:rPr>
      </w:pPr>
    </w:p>
    <w:p w:rsidR="00A971BD" w:rsidRPr="004B7038" w:rsidP="00A971BD" w14:paraId="656B5E1B" w14:textId="77777777">
      <w:pPr>
        <w:pStyle w:val="ListParagraph"/>
        <w:widowControl/>
        <w:numPr>
          <w:ilvl w:val="0"/>
          <w:numId w:val="18"/>
        </w:numPr>
        <w:suppressAutoHyphens/>
        <w:rPr>
          <w:sz w:val="22"/>
          <w:szCs w:val="22"/>
        </w:rPr>
      </w:pPr>
      <w:r w:rsidRPr="004B7038">
        <w:rPr>
          <w:sz w:val="22"/>
          <w:szCs w:val="22"/>
        </w:rPr>
        <w:t>The information is not of a confidential nature.  Respondents who believe certain information to be of a proprietary nature may request confidential treatment in accordance with the procedures described in 47 CFR § 0.459.  See also 47 CFR § 1.774(b).</w:t>
      </w:r>
    </w:p>
    <w:p w:rsidR="00A971BD" w:rsidRPr="004B7038" w:rsidP="00A971BD" w14:paraId="63061B4E" w14:textId="77777777">
      <w:pPr>
        <w:widowControl/>
        <w:suppressAutoHyphens/>
        <w:rPr>
          <w:sz w:val="22"/>
          <w:szCs w:val="22"/>
        </w:rPr>
      </w:pPr>
    </w:p>
    <w:p w:rsidR="00A971BD" w:rsidRPr="004B7038" w:rsidP="00073DDE" w14:paraId="7C5275F2" w14:textId="77777777">
      <w:pPr>
        <w:pStyle w:val="ListParagraph"/>
        <w:widowControl/>
        <w:numPr>
          <w:ilvl w:val="0"/>
          <w:numId w:val="18"/>
        </w:numPr>
        <w:suppressAutoHyphens/>
        <w:rPr>
          <w:sz w:val="22"/>
          <w:szCs w:val="22"/>
        </w:rPr>
      </w:pPr>
      <w:r w:rsidRPr="004B7038">
        <w:rPr>
          <w:sz w:val="22"/>
          <w:szCs w:val="22"/>
        </w:rPr>
        <w:t>There are no questions of a sensitive nature with respect to this information collection.</w:t>
      </w:r>
    </w:p>
    <w:p w:rsidR="00A90EF9" w:rsidRPr="004B7038" w:rsidP="00A971BD" w14:paraId="0283B35D" w14:textId="77777777">
      <w:pPr>
        <w:widowControl/>
        <w:suppressAutoHyphens/>
        <w:rPr>
          <w:sz w:val="22"/>
          <w:szCs w:val="22"/>
        </w:rPr>
      </w:pPr>
    </w:p>
    <w:p w:rsidR="00001DEE" w:rsidRPr="004B7038" w:rsidP="00073DDE" w14:paraId="1184A060" w14:textId="77777777">
      <w:pPr>
        <w:pStyle w:val="ListParagraph"/>
        <w:widowControl/>
        <w:numPr>
          <w:ilvl w:val="0"/>
          <w:numId w:val="18"/>
        </w:numPr>
        <w:suppressAutoHyphens/>
        <w:rPr>
          <w:sz w:val="22"/>
          <w:szCs w:val="22"/>
        </w:rPr>
      </w:pPr>
      <w:r w:rsidRPr="004B7038">
        <w:rPr>
          <w:sz w:val="22"/>
          <w:szCs w:val="22"/>
        </w:rPr>
        <w:t>The</w:t>
      </w:r>
      <w:r w:rsidRPr="004B7038" w:rsidR="004757BB">
        <w:rPr>
          <w:sz w:val="22"/>
          <w:szCs w:val="22"/>
        </w:rPr>
        <w:t xml:space="preserve"> information collection requirements are as follows</w:t>
      </w:r>
      <w:r w:rsidRPr="004B7038">
        <w:rPr>
          <w:sz w:val="22"/>
          <w:szCs w:val="22"/>
        </w:rPr>
        <w:t>:</w:t>
      </w:r>
    </w:p>
    <w:p w:rsidR="00264F1F" w:rsidRPr="004B7038" w:rsidP="000C7AD3" w14:paraId="28092F16" w14:textId="77777777">
      <w:pPr>
        <w:widowControl/>
        <w:suppressAutoHyphens/>
        <w:rPr>
          <w:sz w:val="22"/>
          <w:szCs w:val="22"/>
        </w:rPr>
      </w:pPr>
      <w:r w:rsidRPr="004B7038">
        <w:rPr>
          <w:sz w:val="22"/>
          <w:szCs w:val="22"/>
        </w:rPr>
        <w:tab/>
      </w:r>
    </w:p>
    <w:p w:rsidR="00001DEE" w:rsidRPr="004B7038" w:rsidP="001B3030" w14:paraId="03602FEB" w14:textId="77777777">
      <w:pPr>
        <w:widowControl/>
        <w:tabs>
          <w:tab w:val="left" w:pos="-720"/>
        </w:tabs>
        <w:suppressAutoHyphens/>
        <w:ind w:left="360" w:hanging="360"/>
        <w:rPr>
          <w:sz w:val="22"/>
          <w:szCs w:val="22"/>
        </w:rPr>
      </w:pPr>
      <w:r w:rsidRPr="004B7038">
        <w:rPr>
          <w:sz w:val="22"/>
          <w:szCs w:val="22"/>
        </w:rPr>
        <w:tab/>
      </w:r>
      <w:r w:rsidRPr="004B7038" w:rsidR="009F102D">
        <w:rPr>
          <w:sz w:val="22"/>
          <w:szCs w:val="22"/>
        </w:rPr>
        <w:t>A</w:t>
      </w:r>
      <w:r w:rsidRPr="004B7038" w:rsidR="00C534F9">
        <w:rPr>
          <w:sz w:val="22"/>
          <w:szCs w:val="22"/>
        </w:rPr>
        <w:t>.</w:t>
      </w:r>
      <w:r w:rsidRPr="004B7038">
        <w:rPr>
          <w:sz w:val="22"/>
          <w:szCs w:val="22"/>
        </w:rPr>
        <w:t xml:space="preserve">  </w:t>
      </w:r>
      <w:r w:rsidRPr="004B7038" w:rsidR="00E5308C">
        <w:rPr>
          <w:b/>
          <w:sz w:val="22"/>
          <w:szCs w:val="22"/>
          <w:u w:val="single"/>
        </w:rPr>
        <w:t xml:space="preserve">Reporting Requirement:  </w:t>
      </w:r>
      <w:r w:rsidRPr="004B7038">
        <w:rPr>
          <w:b/>
          <w:sz w:val="22"/>
          <w:szCs w:val="22"/>
          <w:u w:val="single"/>
        </w:rPr>
        <w:t>Contract-</w:t>
      </w:r>
      <w:r w:rsidRPr="004B7038" w:rsidR="004D5C34">
        <w:rPr>
          <w:b/>
          <w:sz w:val="22"/>
          <w:szCs w:val="22"/>
          <w:u w:val="single"/>
        </w:rPr>
        <w:t>B</w:t>
      </w:r>
      <w:r w:rsidRPr="004B7038">
        <w:rPr>
          <w:b/>
          <w:sz w:val="22"/>
          <w:szCs w:val="22"/>
          <w:u w:val="single"/>
        </w:rPr>
        <w:t>ased Tariff Filings</w:t>
      </w:r>
    </w:p>
    <w:p w:rsidR="00001DEE" w:rsidRPr="004B7038" w:rsidP="001B3030" w14:paraId="1C1B0471" w14:textId="77777777">
      <w:pPr>
        <w:widowControl/>
        <w:tabs>
          <w:tab w:val="left" w:pos="-720"/>
        </w:tabs>
        <w:suppressAutoHyphens/>
        <w:ind w:left="360" w:hanging="360"/>
        <w:rPr>
          <w:sz w:val="22"/>
          <w:szCs w:val="22"/>
        </w:rPr>
      </w:pPr>
    </w:p>
    <w:p w:rsidR="00001DEE" w:rsidRPr="004B7038" w:rsidP="00AA3350" w14:paraId="5386341F" w14:textId="77777777">
      <w:pPr>
        <w:widowControl/>
        <w:tabs>
          <w:tab w:val="left" w:pos="-720"/>
        </w:tabs>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sidR="00C534F9">
        <w:rPr>
          <w:sz w:val="22"/>
          <w:szCs w:val="22"/>
        </w:rPr>
        <w:t xml:space="preserve"> </w:t>
      </w:r>
      <w:r w:rsidRPr="004B7038">
        <w:rPr>
          <w:b/>
          <w:sz w:val="22"/>
          <w:szCs w:val="22"/>
        </w:rPr>
        <w:t>1</w:t>
      </w:r>
      <w:r w:rsidRPr="004B7038" w:rsidR="00D63BF5">
        <w:rPr>
          <w:b/>
          <w:sz w:val="22"/>
          <w:szCs w:val="22"/>
        </w:rPr>
        <w:t>3</w:t>
      </w:r>
      <w:r w:rsidRPr="004B7038">
        <w:rPr>
          <w:sz w:val="22"/>
          <w:szCs w:val="22"/>
        </w:rPr>
        <w:t>.</w:t>
      </w:r>
    </w:p>
    <w:p w:rsidR="00DA51FC" w:rsidRPr="004B7038" w:rsidP="00AA3350" w14:paraId="5E8A77A1" w14:textId="77777777">
      <w:pPr>
        <w:widowControl/>
        <w:tabs>
          <w:tab w:val="left" w:pos="-720"/>
        </w:tabs>
        <w:suppressAutoHyphens/>
        <w:ind w:left="1080" w:hanging="360"/>
        <w:rPr>
          <w:sz w:val="22"/>
          <w:szCs w:val="22"/>
        </w:rPr>
      </w:pPr>
    </w:p>
    <w:p w:rsidR="00DA51FC" w:rsidRPr="004B7038" w:rsidP="00AA3350" w14:paraId="011C4AB0" w14:textId="77777777">
      <w:pPr>
        <w:widowControl/>
        <w:tabs>
          <w:tab w:val="left" w:pos="-720"/>
        </w:tabs>
        <w:suppressAutoHyphens/>
        <w:ind w:left="1080" w:hanging="360"/>
        <w:rPr>
          <w:bCs/>
          <w:sz w:val="22"/>
          <w:szCs w:val="22"/>
        </w:rPr>
      </w:pPr>
      <w:r w:rsidRPr="004B7038">
        <w:rPr>
          <w:sz w:val="22"/>
          <w:szCs w:val="22"/>
        </w:rPr>
        <w:t xml:space="preserve">2.  </w:t>
      </w:r>
      <w:r w:rsidRPr="004B7038" w:rsidR="00001DEE">
        <w:rPr>
          <w:sz w:val="22"/>
          <w:szCs w:val="22"/>
          <w:u w:val="single"/>
        </w:rPr>
        <w:t>Frequency of response</w:t>
      </w:r>
      <w:r w:rsidRPr="004B7038" w:rsidR="00001DEE">
        <w:rPr>
          <w:sz w:val="22"/>
          <w:szCs w:val="22"/>
        </w:rPr>
        <w:t xml:space="preserve">:  </w:t>
      </w:r>
      <w:r w:rsidRPr="004B7038" w:rsidR="00AE3754">
        <w:rPr>
          <w:bCs/>
          <w:sz w:val="22"/>
          <w:szCs w:val="22"/>
        </w:rPr>
        <w:t xml:space="preserve">On occasion </w:t>
      </w:r>
      <w:r w:rsidRPr="004B7038" w:rsidR="00BD34E7">
        <w:rPr>
          <w:bCs/>
          <w:sz w:val="22"/>
          <w:szCs w:val="22"/>
        </w:rPr>
        <w:t>reporting requirement</w:t>
      </w:r>
      <w:r w:rsidRPr="004B7038" w:rsidR="00EC35AA">
        <w:rPr>
          <w:bCs/>
          <w:sz w:val="22"/>
          <w:szCs w:val="22"/>
        </w:rPr>
        <w:t xml:space="preserve"> as needed by filer.</w:t>
      </w:r>
    </w:p>
    <w:p w:rsidR="00B74A70" w:rsidRPr="004B7038" w:rsidP="00AA3350" w14:paraId="3569E455" w14:textId="77777777">
      <w:pPr>
        <w:widowControl/>
        <w:tabs>
          <w:tab w:val="left" w:pos="-720"/>
        </w:tabs>
        <w:suppressAutoHyphens/>
        <w:ind w:left="1080" w:hanging="360"/>
        <w:rPr>
          <w:sz w:val="22"/>
          <w:szCs w:val="22"/>
        </w:rPr>
      </w:pPr>
    </w:p>
    <w:p w:rsidR="006A4B2D" w:rsidRPr="004B7038" w:rsidP="00AA3350" w14:paraId="3A6952AB" w14:textId="77777777">
      <w:pPr>
        <w:widowControl/>
        <w:tabs>
          <w:tab w:val="left" w:pos="-720"/>
        </w:tabs>
        <w:suppressAutoHyphens/>
        <w:ind w:left="1080" w:hanging="360"/>
        <w:rPr>
          <w:bCs/>
          <w:sz w:val="22"/>
          <w:szCs w:val="22"/>
        </w:rPr>
      </w:pPr>
      <w:r w:rsidRPr="004B7038">
        <w:rPr>
          <w:sz w:val="22"/>
          <w:szCs w:val="22"/>
        </w:rPr>
        <w:t xml:space="preserve">3.  </w:t>
      </w:r>
      <w:r w:rsidRPr="004B7038">
        <w:rPr>
          <w:sz w:val="22"/>
          <w:szCs w:val="22"/>
          <w:u w:val="single"/>
        </w:rPr>
        <w:t xml:space="preserve">Total </w:t>
      </w:r>
      <w:r w:rsidRPr="004B7038" w:rsidR="002F53E0">
        <w:rPr>
          <w:sz w:val="22"/>
          <w:szCs w:val="22"/>
          <w:u w:val="single"/>
        </w:rPr>
        <w:t xml:space="preserve">number of </w:t>
      </w:r>
      <w:r w:rsidRPr="004B7038">
        <w:rPr>
          <w:sz w:val="22"/>
          <w:szCs w:val="22"/>
          <w:u w:val="single"/>
        </w:rPr>
        <w:t>responses</w:t>
      </w:r>
      <w:r w:rsidRPr="004B7038" w:rsidR="002F53E0">
        <w:rPr>
          <w:sz w:val="22"/>
          <w:szCs w:val="22"/>
          <w:u w:val="single"/>
        </w:rPr>
        <w:t xml:space="preserve"> annually</w:t>
      </w:r>
      <w:r w:rsidRPr="004B7038">
        <w:rPr>
          <w:sz w:val="22"/>
          <w:szCs w:val="22"/>
        </w:rPr>
        <w:t xml:space="preserve">:  </w:t>
      </w:r>
      <w:r w:rsidRPr="004B7038">
        <w:rPr>
          <w:bCs/>
          <w:sz w:val="22"/>
          <w:szCs w:val="22"/>
        </w:rPr>
        <w:t xml:space="preserve">Approximately </w:t>
      </w:r>
      <w:r w:rsidRPr="004B7038" w:rsidR="00D83B34">
        <w:rPr>
          <w:bCs/>
          <w:sz w:val="22"/>
          <w:szCs w:val="22"/>
        </w:rPr>
        <w:t>50</w:t>
      </w:r>
      <w:r w:rsidRPr="004B7038" w:rsidR="009F102D">
        <w:rPr>
          <w:bCs/>
          <w:sz w:val="22"/>
          <w:szCs w:val="22"/>
        </w:rPr>
        <w:t xml:space="preserve"> re</w:t>
      </w:r>
      <w:r w:rsidRPr="004B7038" w:rsidR="0023086C">
        <w:rPr>
          <w:bCs/>
          <w:sz w:val="22"/>
          <w:szCs w:val="22"/>
        </w:rPr>
        <w:t>sponses</w:t>
      </w:r>
      <w:r w:rsidRPr="004B7038" w:rsidR="002F53E0">
        <w:rPr>
          <w:bCs/>
          <w:sz w:val="22"/>
          <w:szCs w:val="22"/>
        </w:rPr>
        <w:t>.</w:t>
      </w:r>
      <w:r w:rsidRPr="004B7038" w:rsidR="0091531F">
        <w:rPr>
          <w:bCs/>
          <w:sz w:val="22"/>
          <w:szCs w:val="22"/>
        </w:rPr>
        <w:t xml:space="preserve"> </w:t>
      </w:r>
      <w:r w:rsidRPr="004B7038" w:rsidR="00D83B34">
        <w:rPr>
          <w:bCs/>
          <w:sz w:val="22"/>
          <w:szCs w:val="22"/>
        </w:rPr>
        <w:t xml:space="preserve">  </w:t>
      </w:r>
    </w:p>
    <w:p w:rsidR="0023086C" w:rsidRPr="004B7038" w:rsidP="00AA3350" w14:paraId="75953B7E" w14:textId="77777777">
      <w:pPr>
        <w:widowControl/>
        <w:tabs>
          <w:tab w:val="left" w:pos="-720"/>
        </w:tabs>
        <w:suppressAutoHyphens/>
        <w:ind w:left="1080" w:hanging="360"/>
        <w:rPr>
          <w:bCs/>
          <w:sz w:val="22"/>
          <w:szCs w:val="22"/>
        </w:rPr>
      </w:pPr>
    </w:p>
    <w:p w:rsidR="002F53E0" w:rsidRPr="004B7038" w:rsidP="00AA3350" w14:paraId="791834A6" w14:textId="77777777">
      <w:pPr>
        <w:widowControl/>
        <w:tabs>
          <w:tab w:val="left" w:pos="-720"/>
        </w:tabs>
        <w:suppressAutoHyphens/>
        <w:ind w:left="1080" w:hanging="360"/>
        <w:rPr>
          <w:bCs/>
          <w:sz w:val="22"/>
          <w:szCs w:val="22"/>
        </w:rPr>
      </w:pPr>
      <w:r w:rsidRPr="004B7038">
        <w:rPr>
          <w:sz w:val="22"/>
          <w:szCs w:val="22"/>
        </w:rPr>
        <w:t xml:space="preserve">4.   </w:t>
      </w:r>
      <w:r w:rsidRPr="004B7038" w:rsidR="004D5C34">
        <w:rPr>
          <w:sz w:val="22"/>
          <w:szCs w:val="22"/>
          <w:u w:val="single"/>
        </w:rPr>
        <w:t>Estimated time p</w:t>
      </w:r>
      <w:r w:rsidRPr="004B7038">
        <w:rPr>
          <w:sz w:val="22"/>
          <w:szCs w:val="22"/>
          <w:u w:val="single"/>
        </w:rPr>
        <w:t>e</w:t>
      </w:r>
      <w:r w:rsidRPr="004B7038" w:rsidR="004D5C34">
        <w:rPr>
          <w:sz w:val="22"/>
          <w:szCs w:val="22"/>
          <w:u w:val="single"/>
        </w:rPr>
        <w:t>r</w:t>
      </w:r>
      <w:r w:rsidRPr="004B7038">
        <w:rPr>
          <w:sz w:val="22"/>
          <w:szCs w:val="22"/>
          <w:u w:val="single"/>
        </w:rPr>
        <w:t xml:space="preserve"> response</w:t>
      </w:r>
      <w:r w:rsidRPr="004B7038">
        <w:rPr>
          <w:sz w:val="22"/>
          <w:szCs w:val="22"/>
        </w:rPr>
        <w:t xml:space="preserve">:  </w:t>
      </w:r>
      <w:r w:rsidRPr="004B7038">
        <w:rPr>
          <w:bCs/>
          <w:sz w:val="22"/>
          <w:szCs w:val="22"/>
        </w:rPr>
        <w:t>3 hours.</w:t>
      </w:r>
    </w:p>
    <w:p w:rsidR="006A4B2D" w:rsidRPr="004B7038" w:rsidP="002F53E0" w14:paraId="30A8C974" w14:textId="77777777">
      <w:pPr>
        <w:widowControl/>
        <w:tabs>
          <w:tab w:val="left" w:pos="-720"/>
        </w:tabs>
        <w:suppressAutoHyphens/>
        <w:rPr>
          <w:sz w:val="22"/>
          <w:szCs w:val="22"/>
        </w:rPr>
      </w:pPr>
    </w:p>
    <w:p w:rsidR="00001DEE" w:rsidRPr="004B7038" w:rsidP="00AA3350" w14:paraId="56453870" w14:textId="77777777">
      <w:pPr>
        <w:widowControl/>
        <w:tabs>
          <w:tab w:val="left" w:pos="-720"/>
        </w:tabs>
        <w:suppressAutoHyphens/>
        <w:ind w:left="1080" w:hanging="360"/>
        <w:rPr>
          <w:b/>
          <w:sz w:val="22"/>
          <w:szCs w:val="22"/>
        </w:rPr>
      </w:pPr>
      <w:r w:rsidRPr="004B7038">
        <w:rPr>
          <w:sz w:val="22"/>
          <w:szCs w:val="22"/>
        </w:rPr>
        <w:t>5</w:t>
      </w:r>
      <w:r w:rsidRPr="004B7038" w:rsidR="00DA51FC">
        <w:rPr>
          <w:sz w:val="22"/>
          <w:szCs w:val="22"/>
        </w:rPr>
        <w:t xml:space="preserve">.  </w:t>
      </w:r>
      <w:r w:rsidRPr="004B7038" w:rsidR="006A4B2D">
        <w:rPr>
          <w:sz w:val="22"/>
          <w:szCs w:val="22"/>
          <w:u w:val="single"/>
        </w:rPr>
        <w:t>Total annual burden</w:t>
      </w:r>
      <w:r w:rsidRPr="004B7038">
        <w:rPr>
          <w:sz w:val="22"/>
          <w:szCs w:val="22"/>
        </w:rPr>
        <w:t xml:space="preserve">:  </w:t>
      </w:r>
      <w:r w:rsidRPr="004B7038" w:rsidR="00D83B34">
        <w:rPr>
          <w:b/>
          <w:sz w:val="22"/>
          <w:szCs w:val="22"/>
        </w:rPr>
        <w:t xml:space="preserve">156 </w:t>
      </w:r>
      <w:r w:rsidRPr="004B7038">
        <w:rPr>
          <w:b/>
          <w:sz w:val="22"/>
          <w:szCs w:val="22"/>
        </w:rPr>
        <w:t>hours.</w:t>
      </w:r>
    </w:p>
    <w:p w:rsidR="00DA51FC" w:rsidRPr="004B7038" w:rsidP="00AA3350" w14:paraId="3892FD99" w14:textId="77777777">
      <w:pPr>
        <w:widowControl/>
        <w:tabs>
          <w:tab w:val="left" w:pos="-720"/>
        </w:tabs>
        <w:suppressAutoHyphens/>
        <w:ind w:left="1080" w:hanging="360"/>
        <w:rPr>
          <w:sz w:val="22"/>
          <w:szCs w:val="22"/>
        </w:rPr>
      </w:pPr>
    </w:p>
    <w:p w:rsidR="006A4B2D" w:rsidRPr="004B7038" w:rsidP="00AA3350" w14:paraId="7A17B969" w14:textId="77777777">
      <w:pPr>
        <w:widowControl/>
        <w:tabs>
          <w:tab w:val="left" w:pos="-720"/>
        </w:tabs>
        <w:suppressAutoHyphens/>
        <w:ind w:left="1080" w:hanging="360"/>
        <w:rPr>
          <w:sz w:val="22"/>
          <w:szCs w:val="22"/>
        </w:rPr>
      </w:pPr>
      <w:r w:rsidRPr="004B7038">
        <w:rPr>
          <w:sz w:val="22"/>
          <w:szCs w:val="22"/>
        </w:rPr>
        <w:tab/>
        <w:t xml:space="preserve">The Commission estimates that </w:t>
      </w:r>
      <w:r w:rsidRPr="004B7038" w:rsidR="004D5C34">
        <w:rPr>
          <w:sz w:val="22"/>
          <w:szCs w:val="22"/>
        </w:rPr>
        <w:t>approximately</w:t>
      </w:r>
      <w:r w:rsidRPr="004B7038" w:rsidR="002F53E0">
        <w:rPr>
          <w:sz w:val="22"/>
          <w:szCs w:val="22"/>
        </w:rPr>
        <w:t xml:space="preserve"> </w:t>
      </w:r>
      <w:r w:rsidRPr="004B7038" w:rsidR="00CC2E71">
        <w:rPr>
          <w:sz w:val="22"/>
          <w:szCs w:val="22"/>
        </w:rPr>
        <w:t>13</w:t>
      </w:r>
      <w:r w:rsidRPr="004B7038" w:rsidR="002F53E0">
        <w:rPr>
          <w:sz w:val="22"/>
          <w:szCs w:val="22"/>
        </w:rPr>
        <w:t xml:space="preserve"> entities </w:t>
      </w:r>
      <w:r w:rsidRPr="004B7038">
        <w:rPr>
          <w:sz w:val="22"/>
          <w:szCs w:val="22"/>
        </w:rPr>
        <w:t xml:space="preserve">will </w:t>
      </w:r>
      <w:r w:rsidRPr="004B7038" w:rsidR="002F53E0">
        <w:rPr>
          <w:sz w:val="22"/>
          <w:szCs w:val="22"/>
        </w:rPr>
        <w:t>require</w:t>
      </w:r>
      <w:r w:rsidRPr="004B7038">
        <w:rPr>
          <w:sz w:val="22"/>
          <w:szCs w:val="22"/>
        </w:rPr>
        <w:t xml:space="preserve"> approximately 3 hours </w:t>
      </w:r>
      <w:r w:rsidRPr="004B7038" w:rsidR="002F53E0">
        <w:rPr>
          <w:sz w:val="22"/>
          <w:szCs w:val="22"/>
        </w:rPr>
        <w:t xml:space="preserve">of reporting time per filing.  </w:t>
      </w:r>
    </w:p>
    <w:p w:rsidR="00D83B34" w:rsidRPr="004B7038" w:rsidP="00D83B34" w14:paraId="7B30E162" w14:textId="77777777">
      <w:pPr>
        <w:widowControl/>
        <w:tabs>
          <w:tab w:val="left" w:pos="-720"/>
        </w:tabs>
        <w:suppressAutoHyphens/>
        <w:rPr>
          <w:sz w:val="22"/>
          <w:szCs w:val="22"/>
        </w:rPr>
      </w:pPr>
      <w:r w:rsidRPr="004B7038">
        <w:rPr>
          <w:sz w:val="22"/>
          <w:szCs w:val="22"/>
        </w:rPr>
        <w:t xml:space="preserve"> </w:t>
      </w:r>
    </w:p>
    <w:p w:rsidR="006A4B2D" w:rsidRPr="004B7038" w:rsidP="00AA3350" w14:paraId="1D4370B4" w14:textId="77777777">
      <w:pPr>
        <w:widowControl/>
        <w:tabs>
          <w:tab w:val="left" w:pos="-720"/>
        </w:tabs>
        <w:suppressAutoHyphens/>
        <w:ind w:left="1080" w:hanging="360"/>
        <w:rPr>
          <w:sz w:val="22"/>
          <w:szCs w:val="22"/>
        </w:rPr>
      </w:pPr>
      <w:r w:rsidRPr="004B7038">
        <w:rPr>
          <w:sz w:val="22"/>
          <w:szCs w:val="22"/>
        </w:rPr>
        <w:tab/>
      </w:r>
      <w:r w:rsidRPr="004B7038" w:rsidR="00545E7C">
        <w:rPr>
          <w:sz w:val="22"/>
          <w:szCs w:val="22"/>
        </w:rPr>
        <w:t xml:space="preserve">13 </w:t>
      </w:r>
      <w:r w:rsidRPr="004B7038">
        <w:rPr>
          <w:sz w:val="22"/>
          <w:szCs w:val="22"/>
        </w:rPr>
        <w:t xml:space="preserve">respondents x </w:t>
      </w:r>
      <w:r w:rsidRPr="004B7038">
        <w:rPr>
          <w:sz w:val="22"/>
          <w:szCs w:val="22"/>
        </w:rPr>
        <w:t>4</w:t>
      </w:r>
      <w:r w:rsidRPr="004B7038" w:rsidR="0091531F">
        <w:rPr>
          <w:sz w:val="22"/>
          <w:szCs w:val="22"/>
        </w:rPr>
        <w:t xml:space="preserve"> </w:t>
      </w:r>
      <w:r w:rsidRPr="004B7038">
        <w:rPr>
          <w:sz w:val="22"/>
          <w:szCs w:val="22"/>
        </w:rPr>
        <w:t>submissions</w:t>
      </w:r>
      <w:r w:rsidRPr="004B7038" w:rsidR="0021500E">
        <w:rPr>
          <w:sz w:val="22"/>
          <w:szCs w:val="22"/>
        </w:rPr>
        <w:t>/year</w:t>
      </w:r>
      <w:r w:rsidRPr="004B7038">
        <w:rPr>
          <w:sz w:val="22"/>
          <w:szCs w:val="22"/>
        </w:rPr>
        <w:t xml:space="preserve"> x 3 hours = </w:t>
      </w:r>
      <w:r w:rsidRPr="004B7038">
        <w:rPr>
          <w:sz w:val="22"/>
          <w:szCs w:val="22"/>
        </w:rPr>
        <w:t>156</w:t>
      </w:r>
      <w:r w:rsidRPr="004B7038" w:rsidR="00DF41D8">
        <w:rPr>
          <w:sz w:val="22"/>
          <w:szCs w:val="22"/>
        </w:rPr>
        <w:t xml:space="preserve"> </w:t>
      </w:r>
      <w:r w:rsidRPr="004B7038" w:rsidR="0021500E">
        <w:rPr>
          <w:sz w:val="22"/>
          <w:szCs w:val="22"/>
        </w:rPr>
        <w:t>hours</w:t>
      </w:r>
      <w:r w:rsidRPr="004B7038">
        <w:rPr>
          <w:sz w:val="22"/>
          <w:szCs w:val="22"/>
        </w:rPr>
        <w:t>.</w:t>
      </w:r>
    </w:p>
    <w:p w:rsidR="006A4B2D" w:rsidRPr="004B7038" w:rsidP="00AA3350" w14:paraId="3F4765DC" w14:textId="77777777">
      <w:pPr>
        <w:widowControl/>
        <w:tabs>
          <w:tab w:val="left" w:pos="-720"/>
        </w:tabs>
        <w:suppressAutoHyphens/>
        <w:ind w:left="1080" w:hanging="360"/>
        <w:rPr>
          <w:sz w:val="22"/>
          <w:szCs w:val="22"/>
        </w:rPr>
      </w:pPr>
    </w:p>
    <w:p w:rsidR="00001DEE" w:rsidRPr="004B7038" w:rsidP="00AA3350" w14:paraId="311B72CD" w14:textId="5F88178B">
      <w:pPr>
        <w:widowControl/>
        <w:tabs>
          <w:tab w:val="left" w:pos="-720"/>
        </w:tabs>
        <w:suppressAutoHyphens/>
        <w:ind w:left="1080" w:hanging="360"/>
        <w:rPr>
          <w:sz w:val="22"/>
          <w:szCs w:val="22"/>
        </w:rPr>
      </w:pPr>
      <w:r w:rsidRPr="004B7038">
        <w:rPr>
          <w:sz w:val="22"/>
          <w:szCs w:val="22"/>
        </w:rPr>
        <w:t>6</w:t>
      </w:r>
      <w:r w:rsidRPr="004B7038" w:rsidR="00DA51FC">
        <w:rPr>
          <w:sz w:val="22"/>
          <w:szCs w:val="22"/>
        </w:rPr>
        <w:t xml:space="preserve">.  </w:t>
      </w:r>
      <w:r w:rsidRPr="004B7038">
        <w:rPr>
          <w:sz w:val="22"/>
          <w:szCs w:val="22"/>
          <w:u w:val="single"/>
        </w:rPr>
        <w:t xml:space="preserve">Total estimate of </w:t>
      </w:r>
      <w:r w:rsidRPr="004B7038">
        <w:rPr>
          <w:sz w:val="22"/>
          <w:szCs w:val="22"/>
          <w:u w:val="single"/>
        </w:rPr>
        <w:t>“in</w:t>
      </w:r>
      <w:r w:rsidRPr="004B7038" w:rsidR="008D1024">
        <w:rPr>
          <w:sz w:val="22"/>
          <w:szCs w:val="22"/>
          <w:u w:val="single"/>
        </w:rPr>
        <w:t>-</w:t>
      </w:r>
      <w:r w:rsidRPr="004B7038">
        <w:rPr>
          <w:sz w:val="22"/>
          <w:szCs w:val="22"/>
          <w:u w:val="single"/>
        </w:rPr>
        <w:t>house”</w:t>
      </w:r>
      <w:r w:rsidRPr="004B7038">
        <w:rPr>
          <w:sz w:val="22"/>
          <w:szCs w:val="22"/>
          <w:u w:val="single"/>
        </w:rPr>
        <w:t xml:space="preserve"> cost to </w:t>
      </w:r>
      <w:r w:rsidRPr="004B7038" w:rsidR="006A4B2D">
        <w:rPr>
          <w:sz w:val="22"/>
          <w:szCs w:val="22"/>
          <w:u w:val="single"/>
        </w:rPr>
        <w:t>respondents</w:t>
      </w:r>
      <w:r w:rsidRPr="004B7038">
        <w:rPr>
          <w:sz w:val="22"/>
          <w:szCs w:val="22"/>
        </w:rPr>
        <w:t xml:space="preserve">:  </w:t>
      </w:r>
      <w:bookmarkStart w:id="0" w:name="_Hlk127907896"/>
      <w:r w:rsidRPr="004B7038">
        <w:rPr>
          <w:b/>
          <w:sz w:val="22"/>
          <w:szCs w:val="22"/>
        </w:rPr>
        <w:t>$</w:t>
      </w:r>
      <w:r w:rsidRPr="004B7038" w:rsidR="00EE085A">
        <w:rPr>
          <w:b/>
          <w:sz w:val="22"/>
          <w:szCs w:val="22"/>
        </w:rPr>
        <w:t>9,489.48</w:t>
      </w:r>
      <w:bookmarkEnd w:id="0"/>
      <w:r w:rsidRPr="004B7038" w:rsidR="00EE085A">
        <w:rPr>
          <w:b/>
          <w:sz w:val="22"/>
          <w:szCs w:val="22"/>
        </w:rPr>
        <w:t>.</w:t>
      </w:r>
    </w:p>
    <w:p w:rsidR="004D5C34" w:rsidRPr="004B7038" w:rsidP="004D5C34" w14:paraId="05100010" w14:textId="77777777">
      <w:pPr>
        <w:widowControl/>
        <w:tabs>
          <w:tab w:val="left" w:pos="-720"/>
        </w:tabs>
        <w:suppressAutoHyphens/>
        <w:rPr>
          <w:sz w:val="22"/>
          <w:szCs w:val="22"/>
        </w:rPr>
      </w:pPr>
    </w:p>
    <w:p w:rsidR="004D5C34" w:rsidRPr="004B7038" w:rsidP="004D5C34" w14:paraId="51DF1444" w14:textId="77777777">
      <w:pPr>
        <w:widowControl/>
        <w:numPr>
          <w:ilvl w:val="0"/>
          <w:numId w:val="10"/>
        </w:numPr>
        <w:tabs>
          <w:tab w:val="left" w:pos="-720"/>
        </w:tabs>
        <w:suppressAutoHyphens/>
        <w:rPr>
          <w:sz w:val="22"/>
          <w:szCs w:val="22"/>
        </w:rPr>
      </w:pPr>
      <w:r w:rsidRPr="004B7038">
        <w:rPr>
          <w:sz w:val="22"/>
          <w:szCs w:val="22"/>
          <w:u w:val="single"/>
        </w:rPr>
        <w:t>Explanation of calculation</w:t>
      </w:r>
      <w:r w:rsidRPr="004B7038">
        <w:rPr>
          <w:sz w:val="22"/>
          <w:szCs w:val="22"/>
        </w:rPr>
        <w:t xml:space="preserve">: </w:t>
      </w:r>
    </w:p>
    <w:p w:rsidR="00477189" w:rsidRPr="004B7038" w:rsidP="009F102D" w14:paraId="76196637" w14:textId="77777777">
      <w:pPr>
        <w:widowControl/>
        <w:tabs>
          <w:tab w:val="left" w:pos="-720"/>
        </w:tabs>
        <w:suppressAutoHyphens/>
        <w:rPr>
          <w:sz w:val="22"/>
          <w:szCs w:val="22"/>
        </w:rPr>
      </w:pPr>
    </w:p>
    <w:p w:rsidR="009F102D" w:rsidRPr="004B7038" w:rsidP="009F102D" w14:paraId="4773534D" w14:textId="72C657F4">
      <w:pPr>
        <w:widowControl/>
        <w:tabs>
          <w:tab w:val="left" w:pos="-720"/>
        </w:tabs>
        <w:suppressAutoHyphens/>
        <w:ind w:left="1080"/>
        <w:rPr>
          <w:sz w:val="22"/>
          <w:szCs w:val="22"/>
        </w:rPr>
      </w:pPr>
      <w:r w:rsidRPr="004B7038">
        <w:rPr>
          <w:sz w:val="22"/>
          <w:szCs w:val="22"/>
        </w:rPr>
        <w:t>The Commission estimates that respondents will use personnel comparable in pay to a GS 1</w:t>
      </w:r>
      <w:r w:rsidRPr="004B7038" w:rsidR="00D50BB2">
        <w:rPr>
          <w:sz w:val="22"/>
          <w:szCs w:val="22"/>
        </w:rPr>
        <w:t>3</w:t>
      </w:r>
      <w:r w:rsidRPr="004B7038">
        <w:rPr>
          <w:sz w:val="22"/>
          <w:szCs w:val="22"/>
        </w:rPr>
        <w:t>/Step 5</w:t>
      </w:r>
      <w:r w:rsidRPr="004B7038" w:rsidR="008A6BAA">
        <w:rPr>
          <w:sz w:val="22"/>
          <w:szCs w:val="22"/>
        </w:rPr>
        <w:t xml:space="preserve"> employee</w:t>
      </w:r>
      <w:r w:rsidRPr="004B7038" w:rsidR="00A70F2A">
        <w:rPr>
          <w:sz w:val="22"/>
          <w:szCs w:val="22"/>
        </w:rPr>
        <w:t xml:space="preserve"> </w:t>
      </w:r>
      <w:r w:rsidRPr="004B7038">
        <w:rPr>
          <w:sz w:val="22"/>
          <w:szCs w:val="22"/>
        </w:rPr>
        <w:t>earning $</w:t>
      </w:r>
      <w:r w:rsidRPr="004B7038" w:rsidR="00EE085A">
        <w:rPr>
          <w:sz w:val="22"/>
          <w:szCs w:val="22"/>
        </w:rPr>
        <w:t>60.83</w:t>
      </w:r>
      <w:r w:rsidRPr="004B7038">
        <w:rPr>
          <w:sz w:val="22"/>
          <w:szCs w:val="22"/>
        </w:rPr>
        <w:t xml:space="preserve"> per hour.  Thus:</w:t>
      </w:r>
    </w:p>
    <w:p w:rsidR="009F102D" w:rsidRPr="004B7038" w:rsidP="00D83B34" w14:paraId="2E4F8C9D" w14:textId="77777777">
      <w:pPr>
        <w:widowControl/>
        <w:tabs>
          <w:tab w:val="left" w:pos="-720"/>
        </w:tabs>
        <w:suppressAutoHyphens/>
        <w:rPr>
          <w:sz w:val="22"/>
          <w:szCs w:val="22"/>
        </w:rPr>
      </w:pPr>
    </w:p>
    <w:p w:rsidR="00001DEE" w:rsidRPr="004B7038" w:rsidP="00AA3350" w14:paraId="3CD21C22" w14:textId="253ACED9">
      <w:pPr>
        <w:widowControl/>
        <w:tabs>
          <w:tab w:val="left" w:pos="-720"/>
        </w:tabs>
        <w:suppressAutoHyphens/>
        <w:ind w:left="1080" w:hanging="360"/>
        <w:rPr>
          <w:sz w:val="22"/>
          <w:szCs w:val="22"/>
        </w:rPr>
      </w:pPr>
      <w:r w:rsidRPr="004B7038">
        <w:rPr>
          <w:sz w:val="22"/>
          <w:szCs w:val="22"/>
        </w:rPr>
        <w:t xml:space="preserve">13 </w:t>
      </w:r>
      <w:r w:rsidRPr="004B7038">
        <w:rPr>
          <w:sz w:val="22"/>
          <w:szCs w:val="22"/>
        </w:rPr>
        <w:t xml:space="preserve">respondents x </w:t>
      </w:r>
      <w:r w:rsidRPr="004B7038" w:rsidR="00DF41D8">
        <w:rPr>
          <w:sz w:val="22"/>
          <w:szCs w:val="22"/>
        </w:rPr>
        <w:t xml:space="preserve">4 </w:t>
      </w:r>
      <w:r w:rsidRPr="004B7038">
        <w:rPr>
          <w:sz w:val="22"/>
          <w:szCs w:val="22"/>
        </w:rPr>
        <w:t>filings</w:t>
      </w:r>
      <w:r w:rsidRPr="004B7038" w:rsidR="0048616C">
        <w:rPr>
          <w:sz w:val="22"/>
          <w:szCs w:val="22"/>
        </w:rPr>
        <w:t>/year</w:t>
      </w:r>
      <w:r w:rsidRPr="004B7038">
        <w:rPr>
          <w:sz w:val="22"/>
          <w:szCs w:val="22"/>
        </w:rPr>
        <w:t xml:space="preserve"> x 3 hours/filing x $</w:t>
      </w:r>
      <w:r w:rsidRPr="004B7038" w:rsidR="00EE085A">
        <w:rPr>
          <w:sz w:val="22"/>
          <w:szCs w:val="22"/>
        </w:rPr>
        <w:t>60.83</w:t>
      </w:r>
      <w:r w:rsidRPr="004B7038">
        <w:rPr>
          <w:sz w:val="22"/>
          <w:szCs w:val="22"/>
        </w:rPr>
        <w:t xml:space="preserve">/hour = </w:t>
      </w:r>
      <w:r w:rsidRPr="004B7038" w:rsidR="009F102D">
        <w:rPr>
          <w:sz w:val="22"/>
          <w:szCs w:val="22"/>
        </w:rPr>
        <w:t>$</w:t>
      </w:r>
      <w:r w:rsidRPr="004B7038" w:rsidR="00EE085A">
        <w:rPr>
          <w:sz w:val="22"/>
          <w:szCs w:val="22"/>
        </w:rPr>
        <w:t>9,489.48.</w:t>
      </w:r>
    </w:p>
    <w:p w:rsidR="00001DEE" w:rsidRPr="004B7038" w:rsidP="00AA3350" w14:paraId="638E078F" w14:textId="77777777">
      <w:pPr>
        <w:widowControl/>
        <w:tabs>
          <w:tab w:val="left" w:pos="-720"/>
        </w:tabs>
        <w:suppressAutoHyphens/>
        <w:ind w:left="1080" w:hanging="360"/>
        <w:rPr>
          <w:sz w:val="22"/>
          <w:szCs w:val="22"/>
        </w:rPr>
      </w:pPr>
    </w:p>
    <w:p w:rsidR="00F207D7" w:rsidRPr="004B7038" w:rsidP="00CC403F" w14:paraId="5AC4F687" w14:textId="77777777">
      <w:pPr>
        <w:widowControl/>
        <w:suppressAutoHyphens/>
        <w:rPr>
          <w:sz w:val="22"/>
          <w:szCs w:val="22"/>
        </w:rPr>
      </w:pPr>
      <w:r w:rsidRPr="004B7038">
        <w:rPr>
          <w:sz w:val="22"/>
          <w:szCs w:val="22"/>
        </w:rPr>
        <w:t>B</w:t>
      </w:r>
      <w:r w:rsidRPr="004B7038" w:rsidR="00001DEE">
        <w:rPr>
          <w:sz w:val="22"/>
          <w:szCs w:val="22"/>
        </w:rPr>
        <w:t xml:space="preserve">.  </w:t>
      </w:r>
      <w:r w:rsidRPr="004B7038" w:rsidR="000D62AF">
        <w:rPr>
          <w:b/>
          <w:spacing w:val="-3"/>
          <w:sz w:val="22"/>
          <w:szCs w:val="22"/>
          <w:u w:val="single"/>
        </w:rPr>
        <w:t>Reporting requirement:  C</w:t>
      </w:r>
      <w:r w:rsidRPr="004B7038" w:rsidR="00DD544B">
        <w:rPr>
          <w:b/>
          <w:spacing w:val="-3"/>
          <w:sz w:val="22"/>
          <w:szCs w:val="22"/>
          <w:u w:val="single"/>
        </w:rPr>
        <w:t>ontract Tariff Certification</w:t>
      </w:r>
      <w:r w:rsidRPr="004B7038">
        <w:rPr>
          <w:sz w:val="22"/>
          <w:szCs w:val="22"/>
        </w:rPr>
        <w:t>:</w:t>
      </w:r>
    </w:p>
    <w:p w:rsidR="00DA51FC" w:rsidRPr="004B7038" w:rsidP="001B3030" w14:paraId="5132835E" w14:textId="77777777">
      <w:pPr>
        <w:widowControl/>
        <w:suppressAutoHyphens/>
        <w:ind w:left="360" w:hanging="360"/>
        <w:rPr>
          <w:sz w:val="22"/>
          <w:szCs w:val="22"/>
        </w:rPr>
      </w:pPr>
    </w:p>
    <w:p w:rsidR="00F207D7" w:rsidRPr="004B7038" w:rsidP="00535C2D" w14:paraId="19E67D53" w14:textId="77777777">
      <w:pPr>
        <w:widowControl/>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Pr>
          <w:b/>
          <w:sz w:val="22"/>
          <w:szCs w:val="22"/>
        </w:rPr>
        <w:t>3</w:t>
      </w:r>
      <w:r w:rsidRPr="004B7038" w:rsidR="000D62AF">
        <w:rPr>
          <w:sz w:val="22"/>
          <w:szCs w:val="22"/>
        </w:rPr>
        <w:t>.</w:t>
      </w:r>
    </w:p>
    <w:p w:rsidR="00DA51FC" w:rsidRPr="004B7038" w:rsidP="00535C2D" w14:paraId="3A629A44" w14:textId="77777777">
      <w:pPr>
        <w:widowControl/>
        <w:suppressAutoHyphens/>
        <w:ind w:left="1080" w:hanging="360"/>
        <w:rPr>
          <w:sz w:val="22"/>
          <w:szCs w:val="22"/>
        </w:rPr>
      </w:pPr>
    </w:p>
    <w:p w:rsidR="006C034E" w:rsidRPr="004B7038" w:rsidP="00535C2D" w14:paraId="73C4F69F" w14:textId="77777777">
      <w:pPr>
        <w:widowControl/>
        <w:suppressAutoHyphens/>
        <w:ind w:left="1080" w:hanging="360"/>
        <w:rPr>
          <w:sz w:val="22"/>
          <w:szCs w:val="22"/>
        </w:rPr>
      </w:pPr>
      <w:r w:rsidRPr="004B7038">
        <w:rPr>
          <w:sz w:val="22"/>
          <w:szCs w:val="22"/>
        </w:rPr>
        <w:t xml:space="preserve">2.  </w:t>
      </w:r>
      <w:r w:rsidRPr="004B7038" w:rsidR="00F207D7">
        <w:rPr>
          <w:sz w:val="22"/>
          <w:szCs w:val="22"/>
          <w:u w:val="single"/>
        </w:rPr>
        <w:t>Frequency of response</w:t>
      </w:r>
      <w:r w:rsidRPr="004B7038" w:rsidR="00F207D7">
        <w:rPr>
          <w:sz w:val="22"/>
          <w:szCs w:val="22"/>
        </w:rPr>
        <w:t>:  O</w:t>
      </w:r>
      <w:r w:rsidRPr="004B7038" w:rsidR="00D36ACD">
        <w:rPr>
          <w:sz w:val="22"/>
          <w:szCs w:val="22"/>
        </w:rPr>
        <w:t>n o</w:t>
      </w:r>
      <w:r w:rsidRPr="004B7038" w:rsidR="00F207D7">
        <w:rPr>
          <w:sz w:val="22"/>
          <w:szCs w:val="22"/>
        </w:rPr>
        <w:t>ccasion</w:t>
      </w:r>
      <w:r w:rsidRPr="004B7038" w:rsidR="005473E4">
        <w:rPr>
          <w:sz w:val="22"/>
          <w:szCs w:val="22"/>
        </w:rPr>
        <w:t xml:space="preserve"> reporting requir</w:t>
      </w:r>
      <w:r w:rsidRPr="004B7038" w:rsidR="00956704">
        <w:rPr>
          <w:sz w:val="22"/>
          <w:szCs w:val="22"/>
        </w:rPr>
        <w:t>e</w:t>
      </w:r>
      <w:r w:rsidRPr="004B7038" w:rsidR="005473E4">
        <w:rPr>
          <w:sz w:val="22"/>
          <w:szCs w:val="22"/>
        </w:rPr>
        <w:t>ment</w:t>
      </w:r>
      <w:r w:rsidRPr="004B7038" w:rsidR="00F207D7">
        <w:rPr>
          <w:sz w:val="22"/>
          <w:szCs w:val="22"/>
        </w:rPr>
        <w:t xml:space="preserve">.  </w:t>
      </w:r>
    </w:p>
    <w:p w:rsidR="006C034E" w:rsidRPr="004B7038" w:rsidP="00535C2D" w14:paraId="66361C62" w14:textId="77777777">
      <w:pPr>
        <w:widowControl/>
        <w:suppressAutoHyphens/>
        <w:ind w:left="1080" w:hanging="360"/>
        <w:rPr>
          <w:sz w:val="22"/>
          <w:szCs w:val="22"/>
        </w:rPr>
      </w:pPr>
    </w:p>
    <w:p w:rsidR="00F207D7" w:rsidRPr="004B7038" w:rsidP="006C034E" w14:paraId="44EBC7B9" w14:textId="77777777">
      <w:pPr>
        <w:widowControl/>
        <w:suppressAutoHyphens/>
        <w:ind w:left="1080"/>
        <w:rPr>
          <w:sz w:val="22"/>
          <w:szCs w:val="22"/>
        </w:rPr>
      </w:pPr>
      <w:r w:rsidRPr="004B7038">
        <w:rPr>
          <w:sz w:val="22"/>
          <w:szCs w:val="22"/>
        </w:rPr>
        <w:t xml:space="preserve">This obligation is required each time each respondent provides contract tariff services to itself or to any affiliate that is neither a section 272 nor a rule 64.1903 separate affiliate for use in the provision of any in-region, long distance services. </w:t>
      </w:r>
    </w:p>
    <w:p w:rsidR="00DA51FC" w:rsidRPr="004B7038" w:rsidP="00535C2D" w14:paraId="2459E22B" w14:textId="77777777">
      <w:pPr>
        <w:widowControl/>
        <w:suppressAutoHyphens/>
        <w:ind w:left="1080" w:hanging="360"/>
        <w:rPr>
          <w:sz w:val="22"/>
          <w:szCs w:val="22"/>
        </w:rPr>
      </w:pPr>
    </w:p>
    <w:p w:rsidR="00A17748" w:rsidRPr="004B7038" w:rsidP="00535C2D" w14:paraId="27465CEC" w14:textId="77777777">
      <w:pPr>
        <w:widowControl/>
        <w:suppressAutoHyphens/>
        <w:ind w:left="1080" w:hanging="360"/>
        <w:rPr>
          <w:sz w:val="22"/>
          <w:szCs w:val="22"/>
        </w:rPr>
      </w:pPr>
      <w:r w:rsidRPr="004B7038">
        <w:rPr>
          <w:sz w:val="22"/>
          <w:szCs w:val="22"/>
        </w:rPr>
        <w:t xml:space="preserve">3.  </w:t>
      </w:r>
      <w:r w:rsidRPr="004B7038">
        <w:rPr>
          <w:sz w:val="22"/>
          <w:szCs w:val="22"/>
          <w:u w:val="single"/>
        </w:rPr>
        <w:t xml:space="preserve">Total </w:t>
      </w:r>
      <w:r w:rsidRPr="004B7038" w:rsidR="000D62AF">
        <w:rPr>
          <w:sz w:val="22"/>
          <w:szCs w:val="22"/>
          <w:u w:val="single"/>
        </w:rPr>
        <w:t xml:space="preserve">number of responses </w:t>
      </w:r>
      <w:r w:rsidRPr="004B7038">
        <w:rPr>
          <w:sz w:val="22"/>
          <w:szCs w:val="22"/>
          <w:u w:val="single"/>
        </w:rPr>
        <w:t>annual</w:t>
      </w:r>
      <w:r w:rsidRPr="004B7038" w:rsidR="000D62AF">
        <w:rPr>
          <w:sz w:val="22"/>
          <w:szCs w:val="22"/>
          <w:u w:val="single"/>
        </w:rPr>
        <w:t>ly</w:t>
      </w:r>
      <w:r w:rsidRPr="004B7038">
        <w:rPr>
          <w:sz w:val="22"/>
          <w:szCs w:val="22"/>
        </w:rPr>
        <w:t xml:space="preserve">:  </w:t>
      </w:r>
      <w:r w:rsidRPr="004B7038">
        <w:rPr>
          <w:b/>
          <w:sz w:val="22"/>
          <w:szCs w:val="22"/>
        </w:rPr>
        <w:t>3</w:t>
      </w:r>
      <w:r w:rsidRPr="004B7038" w:rsidR="000D62AF">
        <w:rPr>
          <w:sz w:val="22"/>
          <w:szCs w:val="22"/>
        </w:rPr>
        <w:t>.</w:t>
      </w:r>
    </w:p>
    <w:p w:rsidR="00A17748" w:rsidRPr="004B7038" w:rsidP="000D62AF" w14:paraId="51678048" w14:textId="77777777">
      <w:pPr>
        <w:widowControl/>
        <w:suppressAutoHyphens/>
        <w:rPr>
          <w:sz w:val="22"/>
          <w:szCs w:val="22"/>
        </w:rPr>
      </w:pPr>
    </w:p>
    <w:p w:rsidR="000D62AF" w:rsidRPr="004B7038" w:rsidP="000D62AF" w14:paraId="0AB12CFE" w14:textId="77777777">
      <w:pPr>
        <w:widowControl/>
        <w:suppressAutoHyphens/>
        <w:rPr>
          <w:b/>
          <w:sz w:val="22"/>
          <w:szCs w:val="22"/>
          <w:u w:val="single"/>
        </w:rPr>
      </w:pPr>
      <w:r w:rsidRPr="004B7038">
        <w:rPr>
          <w:sz w:val="22"/>
          <w:szCs w:val="22"/>
        </w:rPr>
        <w:tab/>
        <w:t xml:space="preserve">4.   </w:t>
      </w:r>
      <w:r w:rsidRPr="004B7038">
        <w:rPr>
          <w:sz w:val="22"/>
          <w:szCs w:val="22"/>
          <w:u w:val="single"/>
        </w:rPr>
        <w:t>Estimated time per response</w:t>
      </w:r>
      <w:r w:rsidRPr="004B7038">
        <w:rPr>
          <w:sz w:val="22"/>
          <w:szCs w:val="22"/>
        </w:rPr>
        <w:t xml:space="preserve">:  </w:t>
      </w:r>
      <w:r w:rsidRPr="004B7038">
        <w:rPr>
          <w:b/>
          <w:sz w:val="22"/>
          <w:szCs w:val="22"/>
        </w:rPr>
        <w:t>20 hours.</w:t>
      </w:r>
    </w:p>
    <w:p w:rsidR="000D62AF" w:rsidRPr="004B7038" w:rsidP="000D62AF" w14:paraId="4A17AFCA" w14:textId="77777777">
      <w:pPr>
        <w:widowControl/>
        <w:suppressAutoHyphens/>
        <w:rPr>
          <w:sz w:val="22"/>
          <w:szCs w:val="22"/>
        </w:rPr>
      </w:pPr>
    </w:p>
    <w:p w:rsidR="00F207D7" w:rsidRPr="004B7038" w:rsidP="00E948FC" w14:paraId="09BFB5F9" w14:textId="77777777">
      <w:pPr>
        <w:widowControl/>
        <w:suppressAutoHyphens/>
        <w:ind w:left="720"/>
        <w:rPr>
          <w:sz w:val="22"/>
          <w:szCs w:val="22"/>
        </w:rPr>
      </w:pPr>
      <w:r w:rsidRPr="004B7038">
        <w:rPr>
          <w:sz w:val="22"/>
          <w:szCs w:val="22"/>
        </w:rPr>
        <w:t>5</w:t>
      </w:r>
      <w:r w:rsidRPr="004B7038" w:rsidR="00E948FC">
        <w:rPr>
          <w:sz w:val="22"/>
          <w:szCs w:val="22"/>
        </w:rPr>
        <w:t xml:space="preserve">.   </w:t>
      </w:r>
      <w:r w:rsidRPr="004B7038">
        <w:rPr>
          <w:sz w:val="22"/>
          <w:szCs w:val="22"/>
          <w:u w:val="single"/>
        </w:rPr>
        <w:t>Total annual burden</w:t>
      </w:r>
      <w:r w:rsidRPr="004B7038">
        <w:rPr>
          <w:sz w:val="22"/>
          <w:szCs w:val="22"/>
        </w:rPr>
        <w:t xml:space="preserve">: </w:t>
      </w:r>
      <w:r w:rsidRPr="004B7038">
        <w:rPr>
          <w:sz w:val="22"/>
          <w:szCs w:val="22"/>
        </w:rPr>
        <w:t xml:space="preserve"> </w:t>
      </w:r>
      <w:r w:rsidRPr="004B7038">
        <w:rPr>
          <w:b/>
          <w:sz w:val="22"/>
          <w:szCs w:val="22"/>
        </w:rPr>
        <w:t>60 hours</w:t>
      </w:r>
      <w:r w:rsidRPr="004B7038">
        <w:rPr>
          <w:sz w:val="22"/>
          <w:szCs w:val="22"/>
        </w:rPr>
        <w:t>.</w:t>
      </w:r>
    </w:p>
    <w:p w:rsidR="00DA51FC" w:rsidRPr="004B7038" w:rsidP="00535C2D" w14:paraId="1AB4BFEA" w14:textId="77777777">
      <w:pPr>
        <w:widowControl/>
        <w:suppressAutoHyphens/>
        <w:ind w:left="1080" w:hanging="360"/>
        <w:rPr>
          <w:sz w:val="22"/>
          <w:szCs w:val="22"/>
        </w:rPr>
      </w:pPr>
    </w:p>
    <w:p w:rsidR="00A17748" w:rsidRPr="004B7038" w:rsidP="00535C2D" w14:paraId="23333F2A" w14:textId="77777777">
      <w:pPr>
        <w:widowControl/>
        <w:suppressAutoHyphens/>
        <w:ind w:left="1080" w:hanging="360"/>
        <w:rPr>
          <w:sz w:val="22"/>
          <w:szCs w:val="22"/>
        </w:rPr>
      </w:pPr>
      <w:r w:rsidRPr="004B7038">
        <w:rPr>
          <w:sz w:val="22"/>
          <w:szCs w:val="22"/>
        </w:rPr>
        <w:tab/>
        <w:t xml:space="preserve">The Commission estimates that this requirement will take approximately 20 hours and that </w:t>
      </w:r>
      <w:r w:rsidRPr="004B7038" w:rsidR="006C034E">
        <w:rPr>
          <w:sz w:val="22"/>
          <w:szCs w:val="22"/>
        </w:rPr>
        <w:t xml:space="preserve">the 3 </w:t>
      </w:r>
      <w:r w:rsidRPr="004B7038" w:rsidR="004431A5">
        <w:rPr>
          <w:sz w:val="22"/>
          <w:szCs w:val="22"/>
        </w:rPr>
        <w:t xml:space="preserve">respondent </w:t>
      </w:r>
      <w:r w:rsidRPr="004B7038">
        <w:rPr>
          <w:sz w:val="22"/>
          <w:szCs w:val="22"/>
        </w:rPr>
        <w:t xml:space="preserve">entities </w:t>
      </w:r>
      <w:r w:rsidRPr="004B7038" w:rsidR="004431A5">
        <w:rPr>
          <w:sz w:val="22"/>
          <w:szCs w:val="22"/>
        </w:rPr>
        <w:t xml:space="preserve">(BOCs) </w:t>
      </w:r>
      <w:r w:rsidRPr="004B7038">
        <w:rPr>
          <w:sz w:val="22"/>
          <w:szCs w:val="22"/>
        </w:rPr>
        <w:t>will respond once a year.</w:t>
      </w:r>
    </w:p>
    <w:p w:rsidR="004518A2" w:rsidRPr="004B7038" w:rsidP="00535C2D" w14:paraId="000AE8DB" w14:textId="77777777">
      <w:pPr>
        <w:widowControl/>
        <w:suppressAutoHyphens/>
        <w:ind w:left="1080" w:hanging="360"/>
        <w:rPr>
          <w:sz w:val="22"/>
          <w:szCs w:val="22"/>
        </w:rPr>
      </w:pPr>
      <w:r w:rsidRPr="004B7038">
        <w:rPr>
          <w:sz w:val="22"/>
          <w:szCs w:val="22"/>
        </w:rPr>
        <w:tab/>
      </w:r>
    </w:p>
    <w:p w:rsidR="00A17748" w:rsidRPr="004B7038" w:rsidP="004518A2" w14:paraId="3D93CEAF" w14:textId="77777777">
      <w:pPr>
        <w:widowControl/>
        <w:suppressAutoHyphens/>
        <w:ind w:left="1080"/>
        <w:rPr>
          <w:sz w:val="22"/>
          <w:szCs w:val="22"/>
        </w:rPr>
      </w:pPr>
      <w:r w:rsidRPr="004B7038">
        <w:rPr>
          <w:sz w:val="22"/>
          <w:szCs w:val="22"/>
        </w:rPr>
        <w:t>3 respondents x 1 submission</w:t>
      </w:r>
      <w:r w:rsidRPr="004B7038" w:rsidR="00BE1179">
        <w:rPr>
          <w:sz w:val="22"/>
          <w:szCs w:val="22"/>
        </w:rPr>
        <w:t>/year</w:t>
      </w:r>
      <w:r w:rsidRPr="004B7038">
        <w:rPr>
          <w:sz w:val="22"/>
          <w:szCs w:val="22"/>
        </w:rPr>
        <w:t xml:space="preserve"> x 2</w:t>
      </w:r>
      <w:r w:rsidRPr="004B7038" w:rsidR="00E55C4C">
        <w:rPr>
          <w:sz w:val="22"/>
          <w:szCs w:val="22"/>
        </w:rPr>
        <w:t>0</w:t>
      </w:r>
      <w:r w:rsidRPr="004B7038">
        <w:rPr>
          <w:sz w:val="22"/>
          <w:szCs w:val="22"/>
        </w:rPr>
        <w:t xml:space="preserve"> hours = 6</w:t>
      </w:r>
      <w:r w:rsidRPr="004B7038" w:rsidR="00E55C4C">
        <w:rPr>
          <w:sz w:val="22"/>
          <w:szCs w:val="22"/>
        </w:rPr>
        <w:t>0</w:t>
      </w:r>
      <w:r w:rsidRPr="004B7038">
        <w:rPr>
          <w:sz w:val="22"/>
          <w:szCs w:val="22"/>
        </w:rPr>
        <w:t xml:space="preserve"> hours</w:t>
      </w:r>
    </w:p>
    <w:p w:rsidR="00A17748" w:rsidRPr="004B7038" w:rsidP="00535C2D" w14:paraId="6A6CE118" w14:textId="77777777">
      <w:pPr>
        <w:widowControl/>
        <w:suppressAutoHyphens/>
        <w:ind w:left="1080" w:hanging="360"/>
        <w:rPr>
          <w:sz w:val="22"/>
          <w:szCs w:val="22"/>
        </w:rPr>
      </w:pPr>
    </w:p>
    <w:p w:rsidR="008A6BAA" w:rsidRPr="004B7038" w:rsidP="008A6BAA" w14:paraId="6E04552B" w14:textId="5373BBD0">
      <w:pPr>
        <w:widowControl/>
        <w:suppressAutoHyphens/>
        <w:ind w:left="1080" w:hanging="360"/>
        <w:rPr>
          <w:b/>
          <w:sz w:val="22"/>
          <w:szCs w:val="22"/>
        </w:rPr>
      </w:pPr>
      <w:r w:rsidRPr="004B7038">
        <w:rPr>
          <w:sz w:val="22"/>
          <w:szCs w:val="22"/>
        </w:rPr>
        <w:t>6</w:t>
      </w:r>
      <w:r w:rsidRPr="004B7038" w:rsidR="00DA51FC">
        <w:rPr>
          <w:sz w:val="22"/>
          <w:szCs w:val="22"/>
        </w:rPr>
        <w:t xml:space="preserve">.  </w:t>
      </w:r>
      <w:r w:rsidRPr="004B7038" w:rsidR="00F207D7">
        <w:rPr>
          <w:sz w:val="22"/>
          <w:szCs w:val="22"/>
          <w:u w:val="single"/>
        </w:rPr>
        <w:t xml:space="preserve">Total estimate of </w:t>
      </w:r>
      <w:r w:rsidRPr="004B7038">
        <w:rPr>
          <w:sz w:val="22"/>
          <w:szCs w:val="22"/>
          <w:u w:val="single"/>
        </w:rPr>
        <w:t>“in</w:t>
      </w:r>
      <w:r w:rsidRPr="004B7038" w:rsidR="00FE2EBE">
        <w:rPr>
          <w:sz w:val="22"/>
          <w:szCs w:val="22"/>
          <w:u w:val="single"/>
        </w:rPr>
        <w:t>-</w:t>
      </w:r>
      <w:r w:rsidRPr="004B7038">
        <w:rPr>
          <w:sz w:val="22"/>
          <w:szCs w:val="22"/>
          <w:u w:val="single"/>
        </w:rPr>
        <w:t>house”</w:t>
      </w:r>
      <w:r w:rsidRPr="004B7038" w:rsidR="00F207D7">
        <w:rPr>
          <w:sz w:val="22"/>
          <w:szCs w:val="22"/>
          <w:u w:val="single"/>
        </w:rPr>
        <w:t xml:space="preserve"> cost to respondents</w:t>
      </w:r>
      <w:r w:rsidRPr="004B7038" w:rsidR="00F207D7">
        <w:rPr>
          <w:sz w:val="22"/>
          <w:szCs w:val="22"/>
        </w:rPr>
        <w:t xml:space="preserve">:  </w:t>
      </w:r>
      <w:bookmarkStart w:id="1" w:name="_Hlk127907929"/>
      <w:r w:rsidRPr="004B7038">
        <w:rPr>
          <w:b/>
          <w:sz w:val="22"/>
          <w:szCs w:val="22"/>
        </w:rPr>
        <w:t>$</w:t>
      </w:r>
      <w:r w:rsidRPr="004B7038" w:rsidR="00EE085A">
        <w:rPr>
          <w:b/>
          <w:sz w:val="22"/>
          <w:szCs w:val="22"/>
        </w:rPr>
        <w:t>3,649.80</w:t>
      </w:r>
      <w:bookmarkEnd w:id="1"/>
      <w:r w:rsidRPr="004B7038" w:rsidR="00EE085A">
        <w:rPr>
          <w:b/>
          <w:sz w:val="22"/>
          <w:szCs w:val="22"/>
        </w:rPr>
        <w:t>.</w:t>
      </w:r>
    </w:p>
    <w:p w:rsidR="00DA51FC" w:rsidRPr="004B7038" w:rsidP="008A6BAA" w14:paraId="374451B3" w14:textId="77777777">
      <w:pPr>
        <w:widowControl/>
        <w:suppressAutoHyphens/>
        <w:rPr>
          <w:sz w:val="22"/>
          <w:szCs w:val="22"/>
        </w:rPr>
      </w:pPr>
    </w:p>
    <w:p w:rsidR="000D62AF" w:rsidRPr="004B7038" w:rsidP="000D62AF" w14:paraId="52FF1C43" w14:textId="77777777">
      <w:pPr>
        <w:widowControl/>
        <w:numPr>
          <w:ilvl w:val="0"/>
          <w:numId w:val="12"/>
        </w:numPr>
        <w:tabs>
          <w:tab w:val="left" w:pos="-720"/>
        </w:tabs>
        <w:suppressAutoHyphens/>
        <w:rPr>
          <w:sz w:val="22"/>
          <w:szCs w:val="22"/>
        </w:rPr>
      </w:pPr>
      <w:r w:rsidRPr="004B7038">
        <w:rPr>
          <w:sz w:val="22"/>
          <w:szCs w:val="22"/>
          <w:u w:val="single"/>
        </w:rPr>
        <w:t>Explanation</w:t>
      </w:r>
      <w:r w:rsidRPr="004B7038" w:rsidR="00200C20">
        <w:rPr>
          <w:sz w:val="22"/>
          <w:szCs w:val="22"/>
          <w:u w:val="single"/>
        </w:rPr>
        <w:t xml:space="preserve"> of calculation</w:t>
      </w:r>
      <w:r w:rsidRPr="004B7038" w:rsidR="00200C20">
        <w:rPr>
          <w:sz w:val="22"/>
          <w:szCs w:val="22"/>
        </w:rPr>
        <w:t xml:space="preserve">:  </w:t>
      </w:r>
    </w:p>
    <w:p w:rsidR="000D62AF" w:rsidRPr="004B7038" w:rsidP="000D62AF" w14:paraId="1FEC272F" w14:textId="77777777">
      <w:pPr>
        <w:widowControl/>
        <w:tabs>
          <w:tab w:val="left" w:pos="-720"/>
        </w:tabs>
        <w:suppressAutoHyphens/>
        <w:ind w:left="720"/>
        <w:rPr>
          <w:sz w:val="22"/>
          <w:szCs w:val="22"/>
          <w:u w:val="single"/>
        </w:rPr>
      </w:pPr>
    </w:p>
    <w:p w:rsidR="008A6BAA" w:rsidRPr="004B7038" w:rsidP="008A6BAA" w14:paraId="41A7FEAE" w14:textId="1A1B98E1">
      <w:pPr>
        <w:widowControl/>
        <w:tabs>
          <w:tab w:val="left" w:pos="-720"/>
        </w:tabs>
        <w:suppressAutoHyphens/>
        <w:ind w:left="720"/>
        <w:rPr>
          <w:sz w:val="22"/>
          <w:szCs w:val="22"/>
        </w:rPr>
      </w:pPr>
      <w:r w:rsidRPr="004B7038">
        <w:rPr>
          <w:sz w:val="22"/>
          <w:szCs w:val="22"/>
        </w:rPr>
        <w:t>The Commission estimates that respondents will use personnel comparable in pay to a GS 1</w:t>
      </w:r>
      <w:r w:rsidRPr="004B7038" w:rsidR="00C31DBF">
        <w:rPr>
          <w:sz w:val="22"/>
          <w:szCs w:val="22"/>
        </w:rPr>
        <w:t>3</w:t>
      </w:r>
      <w:r w:rsidRPr="004B7038">
        <w:rPr>
          <w:sz w:val="22"/>
          <w:szCs w:val="22"/>
        </w:rPr>
        <w:t>/Step 5 employee earning $</w:t>
      </w:r>
      <w:r w:rsidRPr="004B7038" w:rsidR="00EE085A">
        <w:rPr>
          <w:sz w:val="22"/>
          <w:szCs w:val="22"/>
        </w:rPr>
        <w:t>60.83</w:t>
      </w:r>
      <w:r w:rsidRPr="004B7038" w:rsidR="001C67E9">
        <w:rPr>
          <w:sz w:val="22"/>
          <w:szCs w:val="22"/>
        </w:rPr>
        <w:t xml:space="preserve"> </w:t>
      </w:r>
      <w:r w:rsidRPr="004B7038">
        <w:rPr>
          <w:sz w:val="22"/>
          <w:szCs w:val="22"/>
        </w:rPr>
        <w:t>per hour.  Thus:</w:t>
      </w:r>
    </w:p>
    <w:p w:rsidR="004A7753" w:rsidRPr="004B7038" w:rsidP="008A6BAA" w14:paraId="64E2336C" w14:textId="77777777">
      <w:pPr>
        <w:widowControl/>
        <w:suppressAutoHyphens/>
        <w:rPr>
          <w:sz w:val="22"/>
          <w:szCs w:val="22"/>
        </w:rPr>
      </w:pPr>
    </w:p>
    <w:p w:rsidR="00AF47DC" w:rsidRPr="004B7038" w:rsidP="004A7753" w14:paraId="54DBAABF" w14:textId="77777777">
      <w:pPr>
        <w:widowControl/>
        <w:suppressAutoHyphens/>
        <w:ind w:firstLine="720"/>
        <w:rPr>
          <w:sz w:val="22"/>
          <w:szCs w:val="22"/>
        </w:rPr>
      </w:pPr>
      <w:r w:rsidRPr="004B7038">
        <w:rPr>
          <w:sz w:val="22"/>
          <w:szCs w:val="22"/>
        </w:rPr>
        <w:t xml:space="preserve">We estimate it will take approximately </w:t>
      </w:r>
      <w:r w:rsidRPr="004B7038" w:rsidR="00DA3A3D">
        <w:rPr>
          <w:sz w:val="22"/>
          <w:szCs w:val="22"/>
        </w:rPr>
        <w:t>2</w:t>
      </w:r>
      <w:r w:rsidRPr="004B7038">
        <w:rPr>
          <w:sz w:val="22"/>
          <w:szCs w:val="22"/>
        </w:rPr>
        <w:t>0 hours to comply with the requirement</w:t>
      </w:r>
      <w:r w:rsidRPr="004B7038">
        <w:rPr>
          <w:sz w:val="22"/>
          <w:szCs w:val="22"/>
        </w:rPr>
        <w:t>:</w:t>
      </w:r>
    </w:p>
    <w:p w:rsidR="004B396E" w:rsidRPr="004B7038" w:rsidP="00535C2D" w14:paraId="0A324C8A" w14:textId="77777777">
      <w:pPr>
        <w:widowControl/>
        <w:suppressAutoHyphens/>
        <w:ind w:left="1080" w:hanging="360"/>
        <w:rPr>
          <w:sz w:val="22"/>
          <w:szCs w:val="22"/>
        </w:rPr>
      </w:pPr>
      <w:r w:rsidRPr="004B7038">
        <w:rPr>
          <w:sz w:val="22"/>
          <w:szCs w:val="22"/>
        </w:rPr>
        <w:tab/>
      </w:r>
    </w:p>
    <w:p w:rsidR="00A17748" w:rsidRPr="004B7038" w:rsidP="00535C2D" w14:paraId="46AEF3DE" w14:textId="51A58A31">
      <w:pPr>
        <w:widowControl/>
        <w:suppressAutoHyphens/>
        <w:ind w:left="1080" w:hanging="360"/>
        <w:rPr>
          <w:sz w:val="22"/>
          <w:szCs w:val="22"/>
        </w:rPr>
      </w:pPr>
      <w:r w:rsidRPr="004B7038">
        <w:rPr>
          <w:sz w:val="22"/>
          <w:szCs w:val="22"/>
        </w:rPr>
        <w:t xml:space="preserve">3 respondents x 20 hours per filing x </w:t>
      </w:r>
      <w:r w:rsidRPr="004B7038" w:rsidR="000D62AF">
        <w:rPr>
          <w:sz w:val="22"/>
          <w:szCs w:val="22"/>
        </w:rPr>
        <w:t>$</w:t>
      </w:r>
      <w:r w:rsidRPr="004B7038" w:rsidR="00EE085A">
        <w:rPr>
          <w:sz w:val="22"/>
          <w:szCs w:val="22"/>
        </w:rPr>
        <w:t>60.83</w:t>
      </w:r>
      <w:r w:rsidRPr="004B7038" w:rsidR="00AF47DC">
        <w:rPr>
          <w:sz w:val="22"/>
          <w:szCs w:val="22"/>
        </w:rPr>
        <w:t>/</w:t>
      </w:r>
      <w:r w:rsidRPr="004B7038" w:rsidR="008A6BAA">
        <w:rPr>
          <w:sz w:val="22"/>
          <w:szCs w:val="22"/>
        </w:rPr>
        <w:t>hour = $</w:t>
      </w:r>
      <w:r w:rsidRPr="004B7038" w:rsidR="00EE085A">
        <w:rPr>
          <w:sz w:val="22"/>
          <w:szCs w:val="22"/>
        </w:rPr>
        <w:t>3,649.80.</w:t>
      </w:r>
    </w:p>
    <w:p w:rsidR="00AE3754" w:rsidRPr="004B7038" w:rsidP="00AE3754" w14:paraId="40CE6C28" w14:textId="77777777">
      <w:pPr>
        <w:widowControl/>
        <w:suppressAutoHyphens/>
        <w:rPr>
          <w:sz w:val="22"/>
          <w:szCs w:val="22"/>
        </w:rPr>
      </w:pPr>
    </w:p>
    <w:p w:rsidR="00371D09" w:rsidRPr="004B7038" w:rsidP="00AE3754" w14:paraId="4A181292" w14:textId="393662EB">
      <w:pPr>
        <w:widowControl/>
        <w:suppressAutoHyphens/>
        <w:ind w:left="720" w:hanging="720"/>
        <w:rPr>
          <w:i/>
          <w:sz w:val="22"/>
          <w:szCs w:val="22"/>
        </w:rPr>
      </w:pPr>
      <w:r w:rsidRPr="004B7038">
        <w:rPr>
          <w:sz w:val="22"/>
          <w:szCs w:val="22"/>
        </w:rPr>
        <w:t>C.</w:t>
      </w:r>
      <w:r w:rsidRPr="004B7038">
        <w:rPr>
          <w:sz w:val="22"/>
          <w:szCs w:val="22"/>
        </w:rPr>
        <w:tab/>
      </w:r>
      <w:r w:rsidRPr="004B7038" w:rsidR="00575EE2">
        <w:rPr>
          <w:b/>
          <w:sz w:val="22"/>
          <w:szCs w:val="22"/>
          <w:u w:val="single"/>
        </w:rPr>
        <w:t>Third</w:t>
      </w:r>
      <w:r w:rsidRPr="004B7038" w:rsidR="00575EE2">
        <w:rPr>
          <w:b/>
          <w:spacing w:val="-3"/>
          <w:sz w:val="22"/>
          <w:szCs w:val="22"/>
          <w:u w:val="single"/>
        </w:rPr>
        <w:t xml:space="preserve">-Party </w:t>
      </w:r>
      <w:r w:rsidRPr="004B7038" w:rsidR="00D4455D">
        <w:rPr>
          <w:b/>
          <w:spacing w:val="-3"/>
          <w:sz w:val="22"/>
          <w:szCs w:val="22"/>
          <w:u w:val="single"/>
        </w:rPr>
        <w:t>Disclosure</w:t>
      </w:r>
      <w:r w:rsidRPr="004B7038" w:rsidR="00575EE2">
        <w:rPr>
          <w:b/>
          <w:spacing w:val="-3"/>
          <w:sz w:val="22"/>
          <w:szCs w:val="22"/>
          <w:u w:val="single"/>
        </w:rPr>
        <w:t xml:space="preserve"> R</w:t>
      </w:r>
      <w:r w:rsidRPr="004B7038">
        <w:rPr>
          <w:b/>
          <w:spacing w:val="-3"/>
          <w:sz w:val="22"/>
          <w:szCs w:val="22"/>
          <w:u w:val="single"/>
        </w:rPr>
        <w:t>equirement:  Provision of Customer-Specific Presubscribed Interexchange Carrier Charge (PICC)  Data to Interexchange Carriers (IXCs)</w:t>
      </w:r>
      <w:r>
        <w:rPr>
          <w:rStyle w:val="FootnoteReference"/>
          <w:b/>
          <w:spacing w:val="-3"/>
          <w:szCs w:val="22"/>
          <w:u w:val="single"/>
        </w:rPr>
        <w:footnoteReference w:id="4"/>
      </w:r>
      <w:r w:rsidRPr="004B7038" w:rsidR="005A23FD">
        <w:rPr>
          <w:b/>
          <w:spacing w:val="-3"/>
          <w:sz w:val="22"/>
          <w:szCs w:val="22"/>
          <w:u w:val="single"/>
        </w:rPr>
        <w:t xml:space="preserve">  </w:t>
      </w:r>
    </w:p>
    <w:p w:rsidR="00371D09" w:rsidRPr="004B7038" w:rsidP="00371D09" w14:paraId="188D554A" w14:textId="77777777">
      <w:pPr>
        <w:widowControl/>
        <w:suppressAutoHyphens/>
        <w:ind w:left="360" w:hanging="360"/>
        <w:rPr>
          <w:sz w:val="22"/>
          <w:szCs w:val="22"/>
        </w:rPr>
      </w:pPr>
    </w:p>
    <w:p w:rsidR="00371D09" w:rsidRPr="004B7038" w:rsidP="00371D09" w14:paraId="010DC118" w14:textId="77777777">
      <w:pPr>
        <w:widowControl/>
        <w:suppressAutoHyphens/>
        <w:ind w:left="1080" w:hanging="360"/>
        <w:rPr>
          <w:sz w:val="22"/>
          <w:szCs w:val="22"/>
        </w:rPr>
      </w:pPr>
      <w:r w:rsidRPr="004B7038">
        <w:rPr>
          <w:sz w:val="22"/>
          <w:szCs w:val="22"/>
        </w:rPr>
        <w:t xml:space="preserve">1.  </w:t>
      </w:r>
      <w:r w:rsidRPr="004B7038">
        <w:rPr>
          <w:sz w:val="22"/>
          <w:szCs w:val="22"/>
          <w:u w:val="single"/>
        </w:rPr>
        <w:t>Number of respondents</w:t>
      </w:r>
      <w:r w:rsidRPr="004B7038">
        <w:rPr>
          <w:sz w:val="22"/>
          <w:szCs w:val="22"/>
        </w:rPr>
        <w:t xml:space="preserve">:  </w:t>
      </w:r>
      <w:r w:rsidRPr="004B7038">
        <w:rPr>
          <w:b/>
          <w:sz w:val="22"/>
          <w:szCs w:val="22"/>
        </w:rPr>
        <w:t>13</w:t>
      </w:r>
      <w:r w:rsidRPr="004B7038">
        <w:rPr>
          <w:sz w:val="22"/>
          <w:szCs w:val="22"/>
        </w:rPr>
        <w:t>.</w:t>
      </w:r>
    </w:p>
    <w:p w:rsidR="00371D09" w:rsidRPr="004B7038" w:rsidP="00371D09" w14:paraId="07B55498" w14:textId="77777777">
      <w:pPr>
        <w:widowControl/>
        <w:suppressAutoHyphens/>
        <w:ind w:left="1080" w:hanging="360"/>
        <w:rPr>
          <w:sz w:val="22"/>
          <w:szCs w:val="22"/>
        </w:rPr>
      </w:pPr>
    </w:p>
    <w:p w:rsidR="00371D09" w:rsidRPr="004B7038" w:rsidP="00371D09" w14:paraId="527AF867" w14:textId="77777777">
      <w:pPr>
        <w:widowControl/>
        <w:suppressAutoHyphens/>
        <w:ind w:left="1080" w:hanging="360"/>
        <w:rPr>
          <w:sz w:val="22"/>
          <w:szCs w:val="22"/>
        </w:rPr>
      </w:pPr>
      <w:r w:rsidRPr="004B7038">
        <w:rPr>
          <w:sz w:val="22"/>
          <w:szCs w:val="22"/>
        </w:rPr>
        <w:t xml:space="preserve">2.  </w:t>
      </w:r>
      <w:r w:rsidRPr="004B7038">
        <w:rPr>
          <w:sz w:val="22"/>
          <w:szCs w:val="22"/>
          <w:u w:val="single"/>
        </w:rPr>
        <w:t>Frequency of response</w:t>
      </w:r>
      <w:r w:rsidRPr="004B7038">
        <w:rPr>
          <w:sz w:val="22"/>
          <w:szCs w:val="22"/>
        </w:rPr>
        <w:t xml:space="preserve">:  </w:t>
      </w:r>
      <w:r w:rsidRPr="004B7038" w:rsidR="00575EE2">
        <w:rPr>
          <w:b/>
          <w:sz w:val="22"/>
          <w:szCs w:val="22"/>
        </w:rPr>
        <w:t>T</w:t>
      </w:r>
      <w:r w:rsidRPr="004B7038">
        <w:rPr>
          <w:b/>
          <w:sz w:val="22"/>
          <w:szCs w:val="22"/>
        </w:rPr>
        <w:t>hird-party disclosure requirement.</w:t>
      </w:r>
      <w:r w:rsidRPr="004B7038">
        <w:rPr>
          <w:sz w:val="22"/>
          <w:szCs w:val="22"/>
        </w:rPr>
        <w:t xml:space="preserve">  </w:t>
      </w:r>
    </w:p>
    <w:p w:rsidR="00371D09" w:rsidRPr="004B7038" w:rsidP="00371D09" w14:paraId="52985AB3" w14:textId="77777777">
      <w:pPr>
        <w:widowControl/>
        <w:suppressAutoHyphens/>
        <w:ind w:left="1080" w:hanging="360"/>
        <w:rPr>
          <w:sz w:val="22"/>
          <w:szCs w:val="22"/>
        </w:rPr>
      </w:pPr>
    </w:p>
    <w:p w:rsidR="00371D09" w:rsidRPr="004B7038" w:rsidP="00371D09" w14:paraId="39DC6DED" w14:textId="77777777">
      <w:pPr>
        <w:widowControl/>
        <w:suppressAutoHyphens/>
        <w:ind w:left="1080" w:hanging="360"/>
        <w:rPr>
          <w:sz w:val="22"/>
          <w:szCs w:val="22"/>
        </w:rPr>
      </w:pPr>
      <w:r w:rsidRPr="004B7038">
        <w:rPr>
          <w:sz w:val="22"/>
          <w:szCs w:val="22"/>
        </w:rPr>
        <w:t xml:space="preserve">3.  </w:t>
      </w:r>
      <w:r w:rsidRPr="004B7038">
        <w:rPr>
          <w:sz w:val="22"/>
          <w:szCs w:val="22"/>
          <w:u w:val="single"/>
        </w:rPr>
        <w:t>Total number of responses annually</w:t>
      </w:r>
      <w:r w:rsidRPr="004B7038">
        <w:rPr>
          <w:sz w:val="22"/>
          <w:szCs w:val="22"/>
        </w:rPr>
        <w:t xml:space="preserve">:  </w:t>
      </w:r>
      <w:r w:rsidRPr="004B7038">
        <w:rPr>
          <w:b/>
          <w:sz w:val="22"/>
          <w:szCs w:val="22"/>
        </w:rPr>
        <w:t>13.</w:t>
      </w:r>
    </w:p>
    <w:p w:rsidR="00371D09" w:rsidRPr="004B7038" w:rsidP="00371D09" w14:paraId="58720253" w14:textId="77777777">
      <w:pPr>
        <w:widowControl/>
        <w:suppressAutoHyphens/>
        <w:rPr>
          <w:sz w:val="22"/>
          <w:szCs w:val="22"/>
        </w:rPr>
      </w:pPr>
    </w:p>
    <w:p w:rsidR="00371D09" w:rsidRPr="004B7038" w:rsidP="00371D09" w14:paraId="28D01334" w14:textId="77777777">
      <w:pPr>
        <w:widowControl/>
        <w:suppressAutoHyphens/>
        <w:rPr>
          <w:b/>
          <w:sz w:val="22"/>
          <w:szCs w:val="22"/>
          <w:u w:val="single"/>
        </w:rPr>
      </w:pPr>
      <w:r w:rsidRPr="004B7038">
        <w:rPr>
          <w:sz w:val="22"/>
          <w:szCs w:val="22"/>
        </w:rPr>
        <w:tab/>
        <w:t xml:space="preserve">4.   </w:t>
      </w:r>
      <w:r w:rsidRPr="004B7038">
        <w:rPr>
          <w:sz w:val="22"/>
          <w:szCs w:val="22"/>
          <w:u w:val="single"/>
        </w:rPr>
        <w:t>Estimated time per response</w:t>
      </w:r>
      <w:r w:rsidRPr="004B7038">
        <w:rPr>
          <w:sz w:val="22"/>
          <w:szCs w:val="22"/>
        </w:rPr>
        <w:t xml:space="preserve">:  </w:t>
      </w:r>
      <w:r w:rsidRPr="004B7038">
        <w:rPr>
          <w:b/>
          <w:sz w:val="22"/>
          <w:szCs w:val="22"/>
        </w:rPr>
        <w:t>80 hours.</w:t>
      </w:r>
    </w:p>
    <w:p w:rsidR="00371D09" w:rsidRPr="004B7038" w:rsidP="00371D09" w14:paraId="517D7EB1" w14:textId="77777777">
      <w:pPr>
        <w:widowControl/>
        <w:suppressAutoHyphens/>
        <w:rPr>
          <w:sz w:val="22"/>
          <w:szCs w:val="22"/>
        </w:rPr>
      </w:pPr>
    </w:p>
    <w:p w:rsidR="00371D09" w:rsidRPr="004B7038" w:rsidP="00371D09" w14:paraId="56722D1B" w14:textId="77777777">
      <w:pPr>
        <w:widowControl/>
        <w:suppressAutoHyphens/>
        <w:ind w:left="720"/>
        <w:rPr>
          <w:sz w:val="22"/>
          <w:szCs w:val="22"/>
        </w:rPr>
      </w:pPr>
      <w:r w:rsidRPr="004B7038">
        <w:rPr>
          <w:sz w:val="22"/>
          <w:szCs w:val="22"/>
        </w:rPr>
        <w:t xml:space="preserve">5.   </w:t>
      </w:r>
      <w:r w:rsidRPr="004B7038">
        <w:rPr>
          <w:sz w:val="22"/>
          <w:szCs w:val="22"/>
          <w:u w:val="single"/>
        </w:rPr>
        <w:t>Total annual burden</w:t>
      </w:r>
      <w:r w:rsidRPr="004B7038">
        <w:rPr>
          <w:sz w:val="22"/>
          <w:szCs w:val="22"/>
        </w:rPr>
        <w:t xml:space="preserve">:  </w:t>
      </w:r>
      <w:r w:rsidRPr="004B7038">
        <w:rPr>
          <w:b/>
          <w:sz w:val="22"/>
          <w:szCs w:val="22"/>
        </w:rPr>
        <w:t xml:space="preserve"> 1,040 hours</w:t>
      </w:r>
      <w:r w:rsidRPr="004B7038">
        <w:rPr>
          <w:sz w:val="22"/>
          <w:szCs w:val="22"/>
        </w:rPr>
        <w:t>.</w:t>
      </w:r>
    </w:p>
    <w:p w:rsidR="00371D09" w:rsidRPr="004B7038" w:rsidP="00371D09" w14:paraId="753958B8" w14:textId="77777777">
      <w:pPr>
        <w:widowControl/>
        <w:suppressAutoHyphens/>
        <w:ind w:left="1080" w:hanging="360"/>
        <w:rPr>
          <w:sz w:val="22"/>
          <w:szCs w:val="22"/>
        </w:rPr>
      </w:pPr>
    </w:p>
    <w:p w:rsidR="00371D09" w:rsidRPr="004B7038" w:rsidP="00662B10" w14:paraId="340D8AF9" w14:textId="77777777">
      <w:pPr>
        <w:widowControl/>
        <w:suppressAutoHyphens/>
        <w:ind w:left="1080"/>
        <w:rPr>
          <w:sz w:val="22"/>
          <w:szCs w:val="22"/>
        </w:rPr>
      </w:pPr>
      <w:r w:rsidRPr="004B7038">
        <w:rPr>
          <w:sz w:val="22"/>
          <w:szCs w:val="22"/>
        </w:rPr>
        <w:t>The Commission estimates that this requirement will take approximately 80 hours</w:t>
      </w:r>
      <w:r w:rsidRPr="004B7038" w:rsidR="00575EE2">
        <w:rPr>
          <w:sz w:val="22"/>
          <w:szCs w:val="22"/>
        </w:rPr>
        <w:t xml:space="preserve"> </w:t>
      </w:r>
      <w:r w:rsidRPr="004B7038">
        <w:rPr>
          <w:sz w:val="22"/>
          <w:szCs w:val="22"/>
        </w:rPr>
        <w:t>and that the 13 respondent entities will respond once a year.</w:t>
      </w:r>
    </w:p>
    <w:p w:rsidR="00371D09" w:rsidRPr="001105CB" w:rsidP="00371D09" w14:paraId="06993D50" w14:textId="77777777">
      <w:pPr>
        <w:widowControl/>
        <w:suppressAutoHyphens/>
        <w:ind w:left="1080" w:hanging="360"/>
        <w:rPr>
          <w:sz w:val="20"/>
        </w:rPr>
      </w:pPr>
      <w:r w:rsidRPr="004B7038">
        <w:rPr>
          <w:sz w:val="22"/>
          <w:szCs w:val="22"/>
        </w:rPr>
        <w:tab/>
      </w:r>
    </w:p>
    <w:p w:rsidR="00371D09" w:rsidRPr="004B7038" w:rsidP="00371D09" w14:paraId="3FD1EB26" w14:textId="77777777">
      <w:pPr>
        <w:widowControl/>
        <w:suppressAutoHyphens/>
        <w:ind w:left="1080"/>
        <w:rPr>
          <w:sz w:val="22"/>
          <w:szCs w:val="22"/>
        </w:rPr>
      </w:pPr>
      <w:r w:rsidRPr="004B7038">
        <w:rPr>
          <w:sz w:val="22"/>
          <w:szCs w:val="22"/>
        </w:rPr>
        <w:t>13 respondents x 1 submission/year x 80 hours = 1,040 hours</w:t>
      </w:r>
    </w:p>
    <w:p w:rsidR="00371D09" w:rsidRPr="004B7038" w:rsidP="00371D09" w14:paraId="7336D669" w14:textId="77777777">
      <w:pPr>
        <w:widowControl/>
        <w:suppressAutoHyphens/>
        <w:ind w:left="1080" w:hanging="360"/>
        <w:rPr>
          <w:sz w:val="22"/>
          <w:szCs w:val="22"/>
        </w:rPr>
      </w:pPr>
    </w:p>
    <w:p w:rsidR="00371D09" w:rsidRPr="004B7038" w:rsidP="00371D09" w14:paraId="19CC7089" w14:textId="10666111">
      <w:pPr>
        <w:widowControl/>
        <w:suppressAutoHyphens/>
        <w:ind w:left="1080" w:hanging="360"/>
        <w:rPr>
          <w:sz w:val="22"/>
          <w:szCs w:val="22"/>
        </w:rPr>
      </w:pPr>
      <w:r w:rsidRPr="004B7038">
        <w:rPr>
          <w:sz w:val="22"/>
          <w:szCs w:val="22"/>
        </w:rPr>
        <w:t xml:space="preserve">6.  </w:t>
      </w:r>
      <w:r w:rsidRPr="004B7038">
        <w:rPr>
          <w:sz w:val="22"/>
          <w:szCs w:val="22"/>
          <w:u w:val="single"/>
        </w:rPr>
        <w:t>Total estimate of “in</w:t>
      </w:r>
      <w:r w:rsidRPr="004B7038" w:rsidR="008D1024">
        <w:rPr>
          <w:sz w:val="22"/>
          <w:szCs w:val="22"/>
          <w:u w:val="single"/>
        </w:rPr>
        <w:t>-</w:t>
      </w:r>
      <w:r w:rsidRPr="004B7038">
        <w:rPr>
          <w:sz w:val="22"/>
          <w:szCs w:val="22"/>
          <w:u w:val="single"/>
        </w:rPr>
        <w:t>house” cost to respondents</w:t>
      </w:r>
      <w:r w:rsidRPr="004B7038">
        <w:rPr>
          <w:sz w:val="22"/>
          <w:szCs w:val="22"/>
        </w:rPr>
        <w:t xml:space="preserve">:  </w:t>
      </w:r>
      <w:r w:rsidRPr="004B7038" w:rsidR="000A6D63">
        <w:rPr>
          <w:b/>
          <w:sz w:val="22"/>
          <w:szCs w:val="22"/>
        </w:rPr>
        <w:t>$</w:t>
      </w:r>
      <w:r w:rsidRPr="004B7038" w:rsidR="00C31DBF">
        <w:rPr>
          <w:b/>
          <w:sz w:val="22"/>
          <w:szCs w:val="22"/>
        </w:rPr>
        <w:t>63,263.20.</w:t>
      </w:r>
    </w:p>
    <w:p w:rsidR="00371D09" w:rsidRPr="004B7038" w:rsidP="00371D09" w14:paraId="5305EAF2" w14:textId="77777777">
      <w:pPr>
        <w:widowControl/>
        <w:suppressAutoHyphens/>
        <w:ind w:left="1080" w:hanging="360"/>
        <w:rPr>
          <w:sz w:val="22"/>
          <w:szCs w:val="22"/>
        </w:rPr>
      </w:pPr>
    </w:p>
    <w:p w:rsidR="00371D09" w:rsidRPr="004B7038" w:rsidP="00B32E95" w14:paraId="25132214" w14:textId="77777777">
      <w:pPr>
        <w:widowControl/>
        <w:numPr>
          <w:ilvl w:val="0"/>
          <w:numId w:val="38"/>
        </w:numPr>
        <w:tabs>
          <w:tab w:val="left" w:pos="-720"/>
        </w:tabs>
        <w:suppressAutoHyphens/>
        <w:rPr>
          <w:sz w:val="22"/>
          <w:szCs w:val="22"/>
        </w:rPr>
      </w:pPr>
      <w:r w:rsidRPr="004B7038">
        <w:rPr>
          <w:sz w:val="22"/>
          <w:szCs w:val="22"/>
          <w:u w:val="single"/>
        </w:rPr>
        <w:t>Explanation of calculation</w:t>
      </w:r>
      <w:r w:rsidRPr="004B7038">
        <w:rPr>
          <w:sz w:val="22"/>
          <w:szCs w:val="22"/>
        </w:rPr>
        <w:t xml:space="preserve">:  </w:t>
      </w:r>
    </w:p>
    <w:p w:rsidR="00371D09" w:rsidRPr="004B7038" w:rsidP="00371D09" w14:paraId="6A0F1CC6" w14:textId="77777777">
      <w:pPr>
        <w:widowControl/>
        <w:tabs>
          <w:tab w:val="left" w:pos="-720"/>
        </w:tabs>
        <w:suppressAutoHyphens/>
        <w:ind w:left="720"/>
        <w:rPr>
          <w:sz w:val="22"/>
          <w:szCs w:val="22"/>
          <w:u w:val="single"/>
        </w:rPr>
      </w:pPr>
    </w:p>
    <w:p w:rsidR="000A6D63" w:rsidRPr="004B7038" w:rsidP="000A6D63" w14:paraId="60CFCB05" w14:textId="57FE855B">
      <w:pPr>
        <w:widowControl/>
        <w:suppressAutoHyphens/>
        <w:ind w:left="720"/>
        <w:rPr>
          <w:sz w:val="22"/>
          <w:szCs w:val="22"/>
        </w:rPr>
      </w:pPr>
      <w:r w:rsidRPr="004B7038">
        <w:rPr>
          <w:sz w:val="22"/>
          <w:szCs w:val="22"/>
        </w:rPr>
        <w:t>The Commission estimates that respondents will use personnel comparable in pay to a GS 1</w:t>
      </w:r>
      <w:r w:rsidRPr="004B7038" w:rsidR="00C31DBF">
        <w:rPr>
          <w:sz w:val="22"/>
          <w:szCs w:val="22"/>
        </w:rPr>
        <w:t>3</w:t>
      </w:r>
      <w:r w:rsidRPr="004B7038">
        <w:rPr>
          <w:sz w:val="22"/>
          <w:szCs w:val="22"/>
        </w:rPr>
        <w:t xml:space="preserve">/Step 5 employee earning </w:t>
      </w:r>
      <w:r w:rsidRPr="004B7038" w:rsidR="00C31DBF">
        <w:rPr>
          <w:sz w:val="22"/>
          <w:szCs w:val="22"/>
        </w:rPr>
        <w:t>$60.83</w:t>
      </w:r>
      <w:r w:rsidRPr="004B7038" w:rsidR="007B0713">
        <w:rPr>
          <w:sz w:val="22"/>
          <w:szCs w:val="22"/>
        </w:rPr>
        <w:t xml:space="preserve"> </w:t>
      </w:r>
      <w:r w:rsidRPr="004B7038">
        <w:rPr>
          <w:sz w:val="22"/>
          <w:szCs w:val="22"/>
        </w:rPr>
        <w:t>per hour.  Thus:</w:t>
      </w:r>
    </w:p>
    <w:p w:rsidR="000A6D63" w:rsidRPr="004B7038" w:rsidP="000A6D63" w14:paraId="1EAC58A8" w14:textId="77777777">
      <w:pPr>
        <w:widowControl/>
        <w:suppressAutoHyphens/>
        <w:rPr>
          <w:sz w:val="22"/>
          <w:szCs w:val="22"/>
        </w:rPr>
      </w:pPr>
    </w:p>
    <w:p w:rsidR="00371D09" w:rsidRPr="004B7038" w:rsidP="00371D09" w14:paraId="54D1F6B4" w14:textId="6DEB5E73">
      <w:pPr>
        <w:widowControl/>
        <w:suppressAutoHyphens/>
        <w:ind w:left="1080" w:hanging="360"/>
        <w:rPr>
          <w:sz w:val="22"/>
          <w:szCs w:val="22"/>
        </w:rPr>
      </w:pPr>
      <w:r w:rsidRPr="004B7038">
        <w:rPr>
          <w:sz w:val="22"/>
          <w:szCs w:val="22"/>
        </w:rPr>
        <w:t xml:space="preserve">13 respondents x 80 hours per filing x </w:t>
      </w:r>
      <w:r w:rsidRPr="004B7038" w:rsidR="000A6D63">
        <w:rPr>
          <w:sz w:val="22"/>
          <w:szCs w:val="22"/>
        </w:rPr>
        <w:t>$</w:t>
      </w:r>
      <w:r w:rsidRPr="004B7038" w:rsidR="00C31DBF">
        <w:rPr>
          <w:sz w:val="22"/>
          <w:szCs w:val="22"/>
        </w:rPr>
        <w:t>60.83</w:t>
      </w:r>
      <w:r w:rsidRPr="004B7038" w:rsidR="004A7753">
        <w:rPr>
          <w:sz w:val="22"/>
          <w:szCs w:val="22"/>
        </w:rPr>
        <w:t xml:space="preserve">/hour = </w:t>
      </w:r>
      <w:r w:rsidRPr="004B7038" w:rsidR="000A6D63">
        <w:rPr>
          <w:sz w:val="22"/>
          <w:szCs w:val="22"/>
        </w:rPr>
        <w:t>$</w:t>
      </w:r>
      <w:r w:rsidRPr="004B7038" w:rsidR="00C31DBF">
        <w:rPr>
          <w:sz w:val="22"/>
          <w:szCs w:val="22"/>
        </w:rPr>
        <w:t>63,263.20.</w:t>
      </w:r>
    </w:p>
    <w:p w:rsidR="0087573B" w:rsidRPr="004B7038" w:rsidP="00535C2D" w14:paraId="15F230C8" w14:textId="77777777">
      <w:pPr>
        <w:widowControl/>
        <w:suppressAutoHyphens/>
        <w:ind w:left="1080" w:hanging="360"/>
        <w:rPr>
          <w:sz w:val="22"/>
          <w:szCs w:val="22"/>
        </w:rPr>
      </w:pPr>
    </w:p>
    <w:p w:rsidR="00175BDE" w:rsidRPr="004B7038" w:rsidP="00247A5B" w14:paraId="074636E3" w14:textId="77777777">
      <w:pPr>
        <w:widowControl/>
        <w:tabs>
          <w:tab w:val="left" w:pos="-720"/>
        </w:tabs>
        <w:suppressAutoHyphens/>
        <w:rPr>
          <w:sz w:val="22"/>
          <w:szCs w:val="22"/>
        </w:rPr>
      </w:pPr>
    </w:p>
    <w:p w:rsidR="00312730" w:rsidRPr="004B7038" w:rsidP="00535C2D" w14:paraId="2BB447DB" w14:textId="77777777">
      <w:pPr>
        <w:widowControl/>
        <w:tabs>
          <w:tab w:val="left" w:pos="-720"/>
        </w:tabs>
        <w:suppressAutoHyphens/>
        <w:ind w:left="1080" w:hanging="360"/>
        <w:rPr>
          <w:b/>
          <w:sz w:val="22"/>
          <w:szCs w:val="22"/>
        </w:rPr>
      </w:pPr>
      <w:r w:rsidRPr="004B7038">
        <w:rPr>
          <w:b/>
          <w:sz w:val="22"/>
          <w:szCs w:val="22"/>
          <w:u w:val="single"/>
        </w:rPr>
        <w:t>Total Number of Respondents</w:t>
      </w:r>
      <w:r w:rsidRPr="004B7038">
        <w:rPr>
          <w:b/>
          <w:sz w:val="22"/>
          <w:szCs w:val="22"/>
        </w:rPr>
        <w:t>:</w:t>
      </w:r>
      <w:r w:rsidRPr="004B7038" w:rsidR="004F1293">
        <w:rPr>
          <w:b/>
          <w:sz w:val="22"/>
          <w:szCs w:val="22"/>
        </w:rPr>
        <w:t xml:space="preserve"> </w:t>
      </w:r>
      <w:r w:rsidRPr="004B7038" w:rsidR="001A3808">
        <w:rPr>
          <w:b/>
          <w:sz w:val="22"/>
          <w:szCs w:val="22"/>
        </w:rPr>
        <w:t xml:space="preserve"> </w:t>
      </w:r>
      <w:r w:rsidRPr="004B7038" w:rsidR="00046EB7">
        <w:rPr>
          <w:b/>
          <w:sz w:val="22"/>
          <w:szCs w:val="22"/>
        </w:rPr>
        <w:t>1</w:t>
      </w:r>
      <w:r w:rsidRPr="004B7038" w:rsidR="00D11182">
        <w:rPr>
          <w:b/>
          <w:sz w:val="22"/>
          <w:szCs w:val="22"/>
        </w:rPr>
        <w:t>3</w:t>
      </w:r>
    </w:p>
    <w:p w:rsidR="00CA62C4" w:rsidRPr="004B7038" w:rsidP="00535C2D" w14:paraId="3E356889" w14:textId="77777777">
      <w:pPr>
        <w:widowControl/>
        <w:tabs>
          <w:tab w:val="left" w:pos="-720"/>
        </w:tabs>
        <w:suppressAutoHyphens/>
        <w:ind w:left="1080" w:hanging="360"/>
        <w:rPr>
          <w:b/>
          <w:sz w:val="22"/>
          <w:szCs w:val="22"/>
        </w:rPr>
      </w:pPr>
    </w:p>
    <w:p w:rsidR="00312730" w:rsidRPr="004B7038" w:rsidP="00535C2D" w14:paraId="21F830A7" w14:textId="77777777">
      <w:pPr>
        <w:widowControl/>
        <w:tabs>
          <w:tab w:val="left" w:pos="-720"/>
        </w:tabs>
        <w:suppressAutoHyphens/>
        <w:ind w:left="1080" w:hanging="360"/>
        <w:rPr>
          <w:b/>
          <w:sz w:val="22"/>
          <w:szCs w:val="22"/>
        </w:rPr>
      </w:pPr>
      <w:r w:rsidRPr="004B7038">
        <w:rPr>
          <w:b/>
          <w:sz w:val="22"/>
          <w:szCs w:val="22"/>
          <w:u w:val="single"/>
        </w:rPr>
        <w:t>Total Number of Responses Annually</w:t>
      </w:r>
      <w:r w:rsidRPr="004B7038">
        <w:rPr>
          <w:b/>
          <w:sz w:val="22"/>
          <w:szCs w:val="22"/>
        </w:rPr>
        <w:t>:</w:t>
      </w:r>
      <w:r w:rsidRPr="004B7038" w:rsidR="0034223E">
        <w:rPr>
          <w:b/>
          <w:sz w:val="22"/>
          <w:szCs w:val="22"/>
        </w:rPr>
        <w:t xml:space="preserve"> </w:t>
      </w:r>
      <w:r w:rsidRPr="004B7038" w:rsidR="005F7F5C">
        <w:rPr>
          <w:b/>
          <w:sz w:val="22"/>
          <w:szCs w:val="22"/>
        </w:rPr>
        <w:t xml:space="preserve"> </w:t>
      </w:r>
      <w:r w:rsidRPr="004B7038" w:rsidR="00460912">
        <w:rPr>
          <w:b/>
          <w:sz w:val="22"/>
          <w:szCs w:val="22"/>
        </w:rPr>
        <w:t xml:space="preserve">50 + 3 + </w:t>
      </w:r>
      <w:r w:rsidRPr="004B7038" w:rsidR="00782F1F">
        <w:rPr>
          <w:b/>
          <w:sz w:val="22"/>
          <w:szCs w:val="22"/>
        </w:rPr>
        <w:t>13 = 66.</w:t>
      </w:r>
    </w:p>
    <w:p w:rsidR="00312730" w:rsidRPr="004B7038" w:rsidP="00247A5B" w14:paraId="496F4B30" w14:textId="77777777">
      <w:pPr>
        <w:widowControl/>
        <w:tabs>
          <w:tab w:val="left" w:pos="-720"/>
        </w:tabs>
        <w:suppressAutoHyphens/>
        <w:rPr>
          <w:sz w:val="22"/>
          <w:szCs w:val="22"/>
        </w:rPr>
      </w:pPr>
    </w:p>
    <w:p w:rsidR="00312730" w:rsidRPr="004B7038" w:rsidP="00535C2D" w14:paraId="4DA44614" w14:textId="77777777">
      <w:pPr>
        <w:widowControl/>
        <w:tabs>
          <w:tab w:val="left" w:pos="-720"/>
        </w:tabs>
        <w:suppressAutoHyphens/>
        <w:ind w:left="1080" w:hanging="360"/>
        <w:rPr>
          <w:b/>
          <w:sz w:val="22"/>
          <w:szCs w:val="22"/>
        </w:rPr>
      </w:pPr>
      <w:r w:rsidRPr="004B7038">
        <w:rPr>
          <w:b/>
          <w:sz w:val="22"/>
          <w:szCs w:val="22"/>
          <w:u w:val="single"/>
        </w:rPr>
        <w:t>Total Annual Burden Hours</w:t>
      </w:r>
      <w:r w:rsidRPr="004B7038">
        <w:rPr>
          <w:b/>
          <w:sz w:val="22"/>
          <w:szCs w:val="22"/>
        </w:rPr>
        <w:t>:</w:t>
      </w:r>
      <w:r w:rsidRPr="004B7038" w:rsidR="00FD660E">
        <w:rPr>
          <w:b/>
          <w:sz w:val="22"/>
          <w:szCs w:val="22"/>
        </w:rPr>
        <w:t xml:space="preserve"> </w:t>
      </w:r>
      <w:r w:rsidRPr="004B7038" w:rsidR="000D62AF">
        <w:rPr>
          <w:b/>
          <w:sz w:val="22"/>
          <w:szCs w:val="22"/>
        </w:rPr>
        <w:t xml:space="preserve"> </w:t>
      </w:r>
      <w:r w:rsidRPr="004B7038" w:rsidR="0079542D">
        <w:rPr>
          <w:b/>
          <w:sz w:val="22"/>
          <w:szCs w:val="22"/>
        </w:rPr>
        <w:t xml:space="preserve">156 + 60 + 1,040 = </w:t>
      </w:r>
      <w:r w:rsidRPr="004B7038" w:rsidR="00782F1F">
        <w:rPr>
          <w:b/>
          <w:sz w:val="22"/>
          <w:szCs w:val="22"/>
        </w:rPr>
        <w:t>1,256</w:t>
      </w:r>
      <w:r w:rsidRPr="004B7038" w:rsidR="00A80886">
        <w:rPr>
          <w:b/>
          <w:sz w:val="22"/>
          <w:szCs w:val="22"/>
        </w:rPr>
        <w:t xml:space="preserve"> </w:t>
      </w:r>
      <w:r w:rsidRPr="004B7038" w:rsidR="00FD660E">
        <w:rPr>
          <w:b/>
          <w:sz w:val="22"/>
          <w:szCs w:val="22"/>
        </w:rPr>
        <w:t>hours</w:t>
      </w:r>
      <w:r w:rsidRPr="004B7038" w:rsidR="004248A9">
        <w:rPr>
          <w:b/>
          <w:sz w:val="22"/>
          <w:szCs w:val="22"/>
        </w:rPr>
        <w:t>.</w:t>
      </w:r>
    </w:p>
    <w:p w:rsidR="0046231A" w:rsidRPr="004B7038" w:rsidP="00535C2D" w14:paraId="32215EB5" w14:textId="77777777">
      <w:pPr>
        <w:widowControl/>
        <w:tabs>
          <w:tab w:val="left" w:pos="-720"/>
        </w:tabs>
        <w:suppressAutoHyphens/>
        <w:ind w:left="1080" w:hanging="360"/>
        <w:rPr>
          <w:b/>
          <w:sz w:val="22"/>
          <w:szCs w:val="22"/>
        </w:rPr>
      </w:pPr>
    </w:p>
    <w:p w:rsidR="00247A5B" w:rsidRPr="004B7038" w:rsidP="00535C2D" w14:paraId="453B1FBE" w14:textId="01D9EB40">
      <w:pPr>
        <w:widowControl/>
        <w:tabs>
          <w:tab w:val="left" w:pos="-720"/>
        </w:tabs>
        <w:suppressAutoHyphens/>
        <w:ind w:left="1080" w:hanging="360"/>
        <w:rPr>
          <w:sz w:val="22"/>
          <w:szCs w:val="22"/>
        </w:rPr>
      </w:pPr>
      <w:r w:rsidRPr="004B7038">
        <w:rPr>
          <w:b/>
          <w:sz w:val="22"/>
          <w:szCs w:val="22"/>
          <w:u w:val="single"/>
        </w:rPr>
        <w:t xml:space="preserve">Total </w:t>
      </w:r>
      <w:r w:rsidRPr="004B7038">
        <w:rPr>
          <w:b/>
          <w:sz w:val="22"/>
          <w:szCs w:val="22"/>
          <w:u w:val="single"/>
        </w:rPr>
        <w:t>“In-House”</w:t>
      </w:r>
      <w:r w:rsidRPr="004B7038" w:rsidR="00554F75">
        <w:rPr>
          <w:b/>
          <w:sz w:val="22"/>
          <w:szCs w:val="22"/>
          <w:u w:val="single"/>
        </w:rPr>
        <w:t xml:space="preserve"> </w:t>
      </w:r>
      <w:r w:rsidRPr="004B7038">
        <w:rPr>
          <w:b/>
          <w:sz w:val="22"/>
          <w:szCs w:val="22"/>
          <w:u w:val="single"/>
        </w:rPr>
        <w:t>Costs</w:t>
      </w:r>
      <w:r w:rsidRPr="004B7038">
        <w:rPr>
          <w:b/>
          <w:sz w:val="22"/>
          <w:szCs w:val="22"/>
        </w:rPr>
        <w:t xml:space="preserve">: </w:t>
      </w:r>
      <w:r w:rsidRPr="004B7038" w:rsidR="00137662">
        <w:rPr>
          <w:b/>
          <w:sz w:val="22"/>
          <w:szCs w:val="22"/>
        </w:rPr>
        <w:t xml:space="preserve"> $</w:t>
      </w:r>
      <w:r w:rsidRPr="004B7038" w:rsidR="00D73FA3">
        <w:rPr>
          <w:b/>
          <w:sz w:val="22"/>
          <w:szCs w:val="22"/>
        </w:rPr>
        <w:t>9,489.48</w:t>
      </w:r>
      <w:r w:rsidRPr="004B7038" w:rsidR="0079542D">
        <w:rPr>
          <w:b/>
          <w:sz w:val="22"/>
          <w:szCs w:val="22"/>
        </w:rPr>
        <w:t xml:space="preserve"> + $</w:t>
      </w:r>
      <w:r w:rsidRPr="004B7038" w:rsidR="00D73FA3">
        <w:rPr>
          <w:b/>
          <w:sz w:val="22"/>
          <w:szCs w:val="22"/>
        </w:rPr>
        <w:t>3,649.80</w:t>
      </w:r>
      <w:r w:rsidRPr="004B7038" w:rsidR="0079542D">
        <w:rPr>
          <w:b/>
          <w:sz w:val="22"/>
          <w:szCs w:val="22"/>
        </w:rPr>
        <w:t xml:space="preserve"> + $</w:t>
      </w:r>
      <w:r w:rsidRPr="004B7038" w:rsidR="00D73FA3">
        <w:rPr>
          <w:b/>
          <w:sz w:val="22"/>
          <w:szCs w:val="22"/>
        </w:rPr>
        <w:t>63,263.20</w:t>
      </w:r>
      <w:r w:rsidRPr="004B7038" w:rsidR="0079542D">
        <w:rPr>
          <w:b/>
          <w:sz w:val="22"/>
          <w:szCs w:val="22"/>
        </w:rPr>
        <w:t xml:space="preserve"> = $</w:t>
      </w:r>
      <w:r w:rsidRPr="004B7038" w:rsidR="00D73FA3">
        <w:rPr>
          <w:b/>
          <w:sz w:val="22"/>
          <w:szCs w:val="22"/>
        </w:rPr>
        <w:t>76,402.48.</w:t>
      </w:r>
    </w:p>
    <w:p w:rsidR="00247A5B" w:rsidRPr="004B7038" w:rsidP="00535C2D" w14:paraId="083D9BA3" w14:textId="77777777">
      <w:pPr>
        <w:widowControl/>
        <w:tabs>
          <w:tab w:val="left" w:pos="-720"/>
        </w:tabs>
        <w:suppressAutoHyphens/>
        <w:ind w:left="1080" w:hanging="360"/>
        <w:rPr>
          <w:sz w:val="22"/>
          <w:szCs w:val="22"/>
        </w:rPr>
      </w:pPr>
    </w:p>
    <w:p w:rsidR="00A96AB9" w:rsidRPr="004B7038" w:rsidP="009B6106" w14:paraId="3E886700" w14:textId="77777777">
      <w:pPr>
        <w:widowControl/>
        <w:tabs>
          <w:tab w:val="left" w:pos="720"/>
        </w:tabs>
        <w:suppressAutoHyphens/>
        <w:ind w:left="360" w:hanging="360"/>
        <w:rPr>
          <w:sz w:val="22"/>
          <w:szCs w:val="22"/>
        </w:rPr>
      </w:pPr>
      <w:r w:rsidRPr="004B7038">
        <w:rPr>
          <w:sz w:val="22"/>
          <w:szCs w:val="22"/>
        </w:rPr>
        <w:t>13</w:t>
      </w:r>
      <w:r w:rsidRPr="004B7038" w:rsidR="007C15BE">
        <w:rPr>
          <w:sz w:val="22"/>
          <w:szCs w:val="22"/>
        </w:rPr>
        <w:t>.</w:t>
      </w:r>
      <w:r w:rsidRPr="004B7038" w:rsidR="00D40BFF">
        <w:rPr>
          <w:sz w:val="22"/>
          <w:szCs w:val="22"/>
        </w:rPr>
        <w:tab/>
      </w:r>
      <w:r w:rsidRPr="004B7038" w:rsidR="00427047">
        <w:rPr>
          <w:sz w:val="22"/>
          <w:szCs w:val="22"/>
        </w:rPr>
        <w:t xml:space="preserve"> </w:t>
      </w:r>
      <w:r w:rsidRPr="004B7038" w:rsidR="00001DEE">
        <w:rPr>
          <w:sz w:val="22"/>
          <w:szCs w:val="22"/>
        </w:rPr>
        <w:t xml:space="preserve">a. The following represents the Commission’s estimate of the annual cost burden to respondents or </w:t>
      </w:r>
      <w:r w:rsidRPr="004B7038" w:rsidR="00596028">
        <w:rPr>
          <w:sz w:val="22"/>
          <w:szCs w:val="22"/>
        </w:rPr>
        <w:t>record keepers</w:t>
      </w:r>
      <w:r w:rsidRPr="004B7038" w:rsidR="00001DEE">
        <w:rPr>
          <w:sz w:val="22"/>
          <w:szCs w:val="22"/>
        </w:rPr>
        <w:t xml:space="preserve"> resulting from this collection of information:  </w:t>
      </w:r>
    </w:p>
    <w:p w:rsidR="00A96AB9" w:rsidRPr="004B7038" w:rsidP="009B6106" w14:paraId="11E439FA" w14:textId="77777777">
      <w:pPr>
        <w:widowControl/>
        <w:tabs>
          <w:tab w:val="left" w:pos="720"/>
        </w:tabs>
        <w:suppressAutoHyphens/>
        <w:ind w:left="360"/>
        <w:rPr>
          <w:sz w:val="22"/>
          <w:szCs w:val="22"/>
        </w:rPr>
      </w:pPr>
    </w:p>
    <w:p w:rsidR="00001DEE" w:rsidRPr="004B7038" w:rsidP="009B6106" w14:paraId="7B90F087" w14:textId="77777777">
      <w:pPr>
        <w:widowControl/>
        <w:tabs>
          <w:tab w:val="left" w:pos="720"/>
        </w:tabs>
        <w:suppressAutoHyphens/>
        <w:ind w:left="360"/>
        <w:rPr>
          <w:sz w:val="22"/>
          <w:szCs w:val="22"/>
        </w:rPr>
      </w:pPr>
      <w:r w:rsidRPr="004B7038">
        <w:rPr>
          <w:sz w:val="22"/>
          <w:szCs w:val="22"/>
        </w:rPr>
        <w:t>These information collection requirements impose no start-up costs on respondents.</w:t>
      </w:r>
    </w:p>
    <w:p w:rsidR="00001DEE" w:rsidRPr="004B7038" w:rsidP="009B6106" w14:paraId="02685A8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00F833AB" w:rsidRPr="004B7038" w:rsidP="00DD5067" w14:paraId="78661E65" w14:textId="28ADA053">
      <w:pPr>
        <w:widowControl/>
        <w:tabs>
          <w:tab w:val="left" w:pos="720"/>
        </w:tabs>
        <w:suppressAutoHyphens/>
        <w:ind w:left="360"/>
        <w:rPr>
          <w:sz w:val="22"/>
          <w:szCs w:val="22"/>
        </w:rPr>
      </w:pPr>
      <w:r w:rsidRPr="004B7038">
        <w:rPr>
          <w:sz w:val="22"/>
          <w:szCs w:val="22"/>
        </w:rPr>
        <w:t xml:space="preserve"> </w:t>
      </w:r>
      <w:r w:rsidRPr="004B7038" w:rsidR="00CA62C4">
        <w:rPr>
          <w:sz w:val="22"/>
          <w:szCs w:val="22"/>
        </w:rPr>
        <w:t xml:space="preserve">b. </w:t>
      </w:r>
      <w:r w:rsidRPr="004B7038" w:rsidR="00001DEE">
        <w:rPr>
          <w:sz w:val="22"/>
          <w:szCs w:val="22"/>
        </w:rPr>
        <w:t xml:space="preserve">Estimated operations and maintenance and purchase of services component:  </w:t>
      </w:r>
    </w:p>
    <w:p w:rsidR="00DD5067" w:rsidRPr="004B7038" w:rsidP="00EF76C0" w14:paraId="28A8B5D7" w14:textId="77777777">
      <w:pPr>
        <w:widowControl/>
        <w:tabs>
          <w:tab w:val="left" w:pos="720"/>
        </w:tabs>
        <w:suppressAutoHyphens/>
        <w:rPr>
          <w:sz w:val="22"/>
          <w:szCs w:val="22"/>
        </w:rPr>
      </w:pPr>
    </w:p>
    <w:p w:rsidR="00DD5067" w:rsidRPr="004B7038" w:rsidP="00EF76C0" w14:paraId="3E55DE88" w14:textId="25C90F44">
      <w:pPr>
        <w:widowControl/>
        <w:tabs>
          <w:tab w:val="left" w:pos="720"/>
        </w:tabs>
        <w:suppressAutoHyphens/>
        <w:ind w:left="720"/>
        <w:rPr>
          <w:sz w:val="22"/>
          <w:szCs w:val="22"/>
        </w:rPr>
      </w:pPr>
      <w:r w:rsidRPr="004B7038">
        <w:rPr>
          <w:sz w:val="22"/>
          <w:szCs w:val="22"/>
        </w:rPr>
        <w:t xml:space="preserve">Respondents are subject to a </w:t>
      </w:r>
      <w:r w:rsidRPr="004B7038" w:rsidR="00EF76C0">
        <w:rPr>
          <w:sz w:val="22"/>
          <w:szCs w:val="22"/>
        </w:rPr>
        <w:t xml:space="preserve">tariff filing of $1,040.  </w:t>
      </w:r>
      <w:r w:rsidRPr="004B7038" w:rsidR="002E4B50">
        <w:rPr>
          <w:sz w:val="22"/>
          <w:szCs w:val="22"/>
        </w:rPr>
        <w:t>Thus:</w:t>
      </w:r>
    </w:p>
    <w:p w:rsidR="002E4B50" w:rsidRPr="004B7038" w:rsidP="00EF76C0" w14:paraId="2D5B58C1" w14:textId="2468AEAB">
      <w:pPr>
        <w:widowControl/>
        <w:tabs>
          <w:tab w:val="left" w:pos="720"/>
        </w:tabs>
        <w:suppressAutoHyphens/>
        <w:ind w:left="720"/>
        <w:rPr>
          <w:sz w:val="22"/>
          <w:szCs w:val="22"/>
        </w:rPr>
      </w:pPr>
    </w:p>
    <w:p w:rsidR="002E4B50" w:rsidRPr="004B7038" w:rsidP="00EF76C0" w14:paraId="5F01A5B2" w14:textId="278ED124">
      <w:pPr>
        <w:widowControl/>
        <w:tabs>
          <w:tab w:val="left" w:pos="720"/>
        </w:tabs>
        <w:suppressAutoHyphens/>
        <w:ind w:left="720"/>
        <w:rPr>
          <w:sz w:val="22"/>
          <w:szCs w:val="22"/>
        </w:rPr>
      </w:pPr>
      <w:r w:rsidRPr="004B7038">
        <w:rPr>
          <w:sz w:val="22"/>
          <w:szCs w:val="22"/>
        </w:rPr>
        <w:t>66 responses x $1,040 filing fee = $</w:t>
      </w:r>
      <w:r w:rsidRPr="004B7038" w:rsidR="00EB5979">
        <w:rPr>
          <w:sz w:val="22"/>
          <w:szCs w:val="22"/>
        </w:rPr>
        <w:t>68,640.</w:t>
      </w:r>
    </w:p>
    <w:p w:rsidR="00EF76C0" w:rsidRPr="004B7038" w:rsidP="00EF76C0" w14:paraId="66BA4CBB" w14:textId="77777777">
      <w:pPr>
        <w:widowControl/>
        <w:tabs>
          <w:tab w:val="left" w:pos="720"/>
        </w:tabs>
        <w:suppressAutoHyphens/>
        <w:ind w:left="720"/>
        <w:rPr>
          <w:sz w:val="22"/>
          <w:szCs w:val="22"/>
        </w:rPr>
      </w:pPr>
    </w:p>
    <w:p w:rsidR="00EF76C0" w:rsidRPr="004B7038" w:rsidP="00EF76C0" w14:paraId="306B5154" w14:textId="77777777">
      <w:pPr>
        <w:widowControl/>
        <w:tabs>
          <w:tab w:val="left" w:pos="720"/>
        </w:tabs>
        <w:suppressAutoHyphens/>
        <w:ind w:left="720"/>
        <w:rPr>
          <w:sz w:val="22"/>
          <w:szCs w:val="22"/>
        </w:rPr>
      </w:pPr>
    </w:p>
    <w:p w:rsidR="00B4544F" w:rsidRPr="004B7038" w:rsidP="009B6106" w14:paraId="42019AB1" w14:textId="568B525B">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4B7038">
        <w:rPr>
          <w:sz w:val="22"/>
          <w:szCs w:val="22"/>
        </w:rPr>
        <w:t xml:space="preserve">c. </w:t>
      </w:r>
      <w:r w:rsidRPr="004B7038" w:rsidR="00301C32">
        <w:rPr>
          <w:sz w:val="22"/>
          <w:szCs w:val="22"/>
        </w:rPr>
        <w:t>Total annual</w:t>
      </w:r>
      <w:r w:rsidRPr="004B7038" w:rsidR="004F1293">
        <w:rPr>
          <w:sz w:val="22"/>
          <w:szCs w:val="22"/>
        </w:rPr>
        <w:t>ized</w:t>
      </w:r>
      <w:r w:rsidRPr="004B7038" w:rsidR="00301C32">
        <w:rPr>
          <w:sz w:val="22"/>
          <w:szCs w:val="22"/>
        </w:rPr>
        <w:t xml:space="preserve"> cost requested:</w:t>
      </w:r>
      <w:r w:rsidRPr="004B7038" w:rsidR="004F1293">
        <w:rPr>
          <w:sz w:val="22"/>
          <w:szCs w:val="22"/>
        </w:rPr>
        <w:t xml:space="preserve"> </w:t>
      </w:r>
      <w:r w:rsidRPr="004B7038" w:rsidR="00301C32">
        <w:rPr>
          <w:sz w:val="22"/>
          <w:szCs w:val="22"/>
        </w:rPr>
        <w:t xml:space="preserve"> </w:t>
      </w:r>
      <w:r w:rsidRPr="004B7038" w:rsidR="00EB5979">
        <w:rPr>
          <w:b/>
          <w:sz w:val="22"/>
          <w:szCs w:val="22"/>
        </w:rPr>
        <w:t>$68,640.</w:t>
      </w:r>
    </w:p>
    <w:p w:rsidR="00B4544F" w:rsidRPr="004B7038" w:rsidP="009B6106" w14:paraId="529842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00001DEE" w:rsidRPr="004B7038" w:rsidP="009F102D" w14:paraId="362CDC6D" w14:textId="77777777">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sz w:val="22"/>
          <w:szCs w:val="22"/>
        </w:rPr>
      </w:pPr>
      <w:r w:rsidRPr="004B7038">
        <w:rPr>
          <w:sz w:val="22"/>
          <w:szCs w:val="22"/>
        </w:rPr>
        <w:t>1</w:t>
      </w:r>
      <w:r w:rsidRPr="004B7038">
        <w:rPr>
          <w:sz w:val="22"/>
          <w:szCs w:val="22"/>
        </w:rPr>
        <w:t>4.  Estimated costs to the Commission:</w:t>
      </w:r>
    </w:p>
    <w:p w:rsidR="00001DEE" w:rsidRPr="004B7038" w:rsidP="00FE4E57" w14:paraId="72111A89"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4B7038">
        <w:rPr>
          <w:sz w:val="22"/>
          <w:szCs w:val="22"/>
        </w:rPr>
        <w:tab/>
      </w:r>
    </w:p>
    <w:p w:rsidR="000F23D0" w:rsidRPr="004B7038" w:rsidP="00DE4C86" w14:paraId="1533EAEA" w14:textId="005BA6A2">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4B7038">
        <w:rPr>
          <w:sz w:val="22"/>
          <w:szCs w:val="22"/>
        </w:rPr>
        <w:t>a</w:t>
      </w:r>
      <w:r w:rsidRPr="004B7038" w:rsidR="00001DEE">
        <w:rPr>
          <w:sz w:val="22"/>
          <w:szCs w:val="22"/>
        </w:rPr>
        <w:t xml:space="preserve">.  </w:t>
      </w:r>
      <w:r w:rsidRPr="004B7038" w:rsidR="004F1293">
        <w:rPr>
          <w:sz w:val="22"/>
          <w:szCs w:val="22"/>
        </w:rPr>
        <w:t xml:space="preserve"> </w:t>
      </w:r>
      <w:r w:rsidRPr="004B7038" w:rsidR="00001DEE">
        <w:rPr>
          <w:sz w:val="22"/>
          <w:szCs w:val="22"/>
          <w:u w:val="single"/>
        </w:rPr>
        <w:t>Contract-based Tariff Filings</w:t>
      </w:r>
      <w:r w:rsidRPr="004B7038" w:rsidR="00001DEE">
        <w:rPr>
          <w:sz w:val="22"/>
          <w:szCs w:val="22"/>
        </w:rPr>
        <w:t xml:space="preserve">:  We estimate that the time required to review contract-based tariff filings is </w:t>
      </w:r>
      <w:r w:rsidRPr="004B7038" w:rsidR="005F7F5C">
        <w:rPr>
          <w:sz w:val="22"/>
          <w:szCs w:val="22"/>
        </w:rPr>
        <w:t>approximately</w:t>
      </w:r>
      <w:r w:rsidRPr="004B7038" w:rsidR="00001DEE">
        <w:rPr>
          <w:sz w:val="22"/>
          <w:szCs w:val="22"/>
        </w:rPr>
        <w:t xml:space="preserve"> 3 hours.  </w:t>
      </w:r>
      <w:r w:rsidRPr="004B7038" w:rsidR="00850FA3">
        <w:rPr>
          <w:sz w:val="22"/>
          <w:szCs w:val="22"/>
        </w:rPr>
        <w:t>A</w:t>
      </w:r>
      <w:r w:rsidRPr="004B7038" w:rsidR="00DE4C86">
        <w:rPr>
          <w:sz w:val="22"/>
          <w:szCs w:val="22"/>
        </w:rPr>
        <w:t>ssuming an employee earns $</w:t>
      </w:r>
      <w:r w:rsidRPr="004B7038" w:rsidR="00DD5067">
        <w:rPr>
          <w:sz w:val="22"/>
          <w:szCs w:val="22"/>
        </w:rPr>
        <w:t>60.83</w:t>
      </w:r>
      <w:r w:rsidRPr="004B7038" w:rsidR="00E84452">
        <w:rPr>
          <w:sz w:val="22"/>
          <w:szCs w:val="22"/>
        </w:rPr>
        <w:t xml:space="preserve"> </w:t>
      </w:r>
      <w:r w:rsidRPr="004B7038" w:rsidR="00DE4C86">
        <w:rPr>
          <w:sz w:val="22"/>
          <w:szCs w:val="22"/>
        </w:rPr>
        <w:t>per hour (GS 1</w:t>
      </w:r>
      <w:r w:rsidRPr="004B7038" w:rsidR="00DD5067">
        <w:rPr>
          <w:sz w:val="22"/>
          <w:szCs w:val="22"/>
        </w:rPr>
        <w:t>3</w:t>
      </w:r>
      <w:r w:rsidRPr="004B7038" w:rsidR="00DE4C86">
        <w:rPr>
          <w:sz w:val="22"/>
          <w:szCs w:val="22"/>
        </w:rPr>
        <w:t>/Step 5</w:t>
      </w:r>
      <w:r w:rsidRPr="004B7038" w:rsidR="001B08D5">
        <w:rPr>
          <w:sz w:val="22"/>
          <w:szCs w:val="22"/>
        </w:rPr>
        <w:t>)</w:t>
      </w:r>
      <w:r w:rsidRPr="004B7038" w:rsidR="00DE4C86">
        <w:rPr>
          <w:sz w:val="22"/>
          <w:szCs w:val="22"/>
        </w:rPr>
        <w:t xml:space="preserve">, </w:t>
      </w:r>
      <w:r w:rsidRPr="004B7038" w:rsidR="00850FA3">
        <w:rPr>
          <w:sz w:val="22"/>
          <w:szCs w:val="22"/>
        </w:rPr>
        <w:t>the t</w:t>
      </w:r>
      <w:r w:rsidRPr="004B7038" w:rsidR="00DE4C86">
        <w:rPr>
          <w:sz w:val="22"/>
          <w:szCs w:val="22"/>
        </w:rPr>
        <w:t>otal cost for the Commission is:</w:t>
      </w:r>
    </w:p>
    <w:p w:rsidR="000F23D0" w:rsidRPr="004B7038" w:rsidP="00FE4E57" w14:paraId="03C7D147"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00001DEE" w:rsidRPr="004B7038" w:rsidP="00FE4E57" w14:paraId="23B44219" w14:textId="42D40A7A">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bCs/>
          <w:sz w:val="22"/>
          <w:szCs w:val="22"/>
        </w:rPr>
      </w:pPr>
      <w:r w:rsidRPr="004B7038">
        <w:rPr>
          <w:sz w:val="22"/>
          <w:szCs w:val="22"/>
        </w:rPr>
        <w:tab/>
      </w:r>
      <w:r w:rsidRPr="004B7038" w:rsidR="00850FA3">
        <w:rPr>
          <w:bCs/>
          <w:sz w:val="22"/>
          <w:szCs w:val="22"/>
        </w:rPr>
        <w:t>66</w:t>
      </w:r>
      <w:r w:rsidRPr="004B7038" w:rsidR="00DF0E0E">
        <w:rPr>
          <w:bCs/>
          <w:sz w:val="22"/>
          <w:szCs w:val="22"/>
        </w:rPr>
        <w:t xml:space="preserve"> </w:t>
      </w:r>
      <w:r w:rsidRPr="004B7038">
        <w:rPr>
          <w:bCs/>
          <w:sz w:val="22"/>
          <w:szCs w:val="22"/>
        </w:rPr>
        <w:t>filings x 3 hours x $</w:t>
      </w:r>
      <w:r w:rsidRPr="004B7038" w:rsidR="00DD5067">
        <w:rPr>
          <w:bCs/>
          <w:sz w:val="22"/>
          <w:szCs w:val="22"/>
        </w:rPr>
        <w:t>60.83</w:t>
      </w:r>
      <w:r w:rsidRPr="004B7038" w:rsidR="00850FA3">
        <w:rPr>
          <w:bCs/>
          <w:sz w:val="22"/>
          <w:szCs w:val="22"/>
        </w:rPr>
        <w:t>/hour = $</w:t>
      </w:r>
      <w:r w:rsidRPr="004B7038" w:rsidR="00EB5979">
        <w:rPr>
          <w:bCs/>
          <w:sz w:val="22"/>
          <w:szCs w:val="22"/>
        </w:rPr>
        <w:t>12,044.34.</w:t>
      </w:r>
    </w:p>
    <w:p w:rsidR="00001DEE" w:rsidRPr="004B7038" w:rsidP="00FE4E57" w14:paraId="5558807D"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006B29F1" w:rsidRPr="004B7038" w:rsidP="009F102D" w14:paraId="3F461939" w14:textId="77777777">
      <w:pPr>
        <w:widowControl/>
        <w:suppressAutoHyphens/>
        <w:ind w:left="360"/>
        <w:rPr>
          <w:sz w:val="22"/>
          <w:szCs w:val="22"/>
        </w:rPr>
      </w:pPr>
      <w:r w:rsidRPr="004B7038">
        <w:rPr>
          <w:sz w:val="22"/>
          <w:szCs w:val="22"/>
        </w:rPr>
        <w:t>b</w:t>
      </w:r>
      <w:r w:rsidRPr="004B7038" w:rsidR="00001DEE">
        <w:rPr>
          <w:sz w:val="22"/>
          <w:szCs w:val="22"/>
        </w:rPr>
        <w:t xml:space="preserve">. </w:t>
      </w:r>
      <w:r w:rsidRPr="004B7038" w:rsidR="004F1293">
        <w:rPr>
          <w:sz w:val="22"/>
          <w:szCs w:val="22"/>
        </w:rPr>
        <w:t xml:space="preserve"> </w:t>
      </w:r>
      <w:r w:rsidRPr="004B7038" w:rsidR="00001DEE">
        <w:rPr>
          <w:sz w:val="22"/>
          <w:szCs w:val="22"/>
        </w:rPr>
        <w:t xml:space="preserve"> </w:t>
      </w:r>
      <w:r w:rsidRPr="004B7038">
        <w:rPr>
          <w:spacing w:val="-3"/>
          <w:sz w:val="22"/>
          <w:szCs w:val="22"/>
          <w:u w:val="single"/>
        </w:rPr>
        <w:t>Contract Tariff Certification</w:t>
      </w:r>
      <w:r w:rsidRPr="004B7038">
        <w:rPr>
          <w:sz w:val="22"/>
          <w:szCs w:val="22"/>
        </w:rPr>
        <w:t>:</w:t>
      </w:r>
      <w:r w:rsidRPr="004B7038" w:rsidR="00634384">
        <w:rPr>
          <w:sz w:val="22"/>
          <w:szCs w:val="22"/>
        </w:rPr>
        <w:t xml:space="preserve">  The Commission does not review this information collection requirement.</w:t>
      </w:r>
      <w:r w:rsidRPr="004B7038" w:rsidR="004B3370">
        <w:rPr>
          <w:sz w:val="22"/>
          <w:szCs w:val="22"/>
        </w:rPr>
        <w:t xml:space="preserve">  </w:t>
      </w:r>
    </w:p>
    <w:p w:rsidR="00373533" w:rsidRPr="004B7038" w:rsidP="00A76C39" w14:paraId="7F426310" w14:textId="77777777">
      <w:pPr>
        <w:widowControl/>
        <w:suppressAutoHyphens/>
        <w:ind w:left="720" w:hanging="360"/>
        <w:rPr>
          <w:sz w:val="22"/>
          <w:szCs w:val="22"/>
        </w:rPr>
      </w:pPr>
    </w:p>
    <w:p w:rsidR="00A73B0F" w:rsidRPr="004B7038" w:rsidP="00A73B0F" w14:paraId="30DF6855" w14:textId="77777777">
      <w:pPr>
        <w:widowControl/>
        <w:suppressAutoHyphens/>
        <w:ind w:left="720" w:hanging="360"/>
        <w:rPr>
          <w:sz w:val="22"/>
          <w:szCs w:val="22"/>
        </w:rPr>
      </w:pPr>
      <w:r w:rsidRPr="004B7038">
        <w:rPr>
          <w:sz w:val="22"/>
          <w:szCs w:val="22"/>
        </w:rPr>
        <w:t>c</w:t>
      </w:r>
      <w:r w:rsidRPr="004B7038" w:rsidR="00373533">
        <w:rPr>
          <w:sz w:val="22"/>
          <w:szCs w:val="22"/>
        </w:rPr>
        <w:t>.</w:t>
      </w:r>
      <w:r w:rsidRPr="004B7038" w:rsidR="00373533">
        <w:rPr>
          <w:sz w:val="22"/>
          <w:szCs w:val="22"/>
        </w:rPr>
        <w:tab/>
      </w:r>
      <w:r w:rsidRPr="004B7038" w:rsidR="00373533">
        <w:rPr>
          <w:sz w:val="22"/>
          <w:szCs w:val="22"/>
          <w:u w:val="single"/>
        </w:rPr>
        <w:t>Provision of PICC data to IXCs</w:t>
      </w:r>
      <w:r w:rsidRPr="004B7038" w:rsidR="00373533">
        <w:rPr>
          <w:sz w:val="22"/>
          <w:szCs w:val="22"/>
        </w:rPr>
        <w:t>:  The Commission does not review this information collection requirement.</w:t>
      </w:r>
    </w:p>
    <w:p w:rsidR="00E12DF1" w:rsidRPr="004B7038" w:rsidP="00A73B0F" w14:paraId="05B240C0" w14:textId="77777777">
      <w:pPr>
        <w:widowControl/>
        <w:suppressAutoHyphens/>
        <w:ind w:left="720" w:hanging="360"/>
        <w:rPr>
          <w:sz w:val="22"/>
          <w:szCs w:val="22"/>
        </w:rPr>
      </w:pPr>
    </w:p>
    <w:p w:rsidR="000F15D7" w:rsidRPr="004B7038" w:rsidP="00A73B0F" w14:paraId="226ABE40" w14:textId="47BAE003">
      <w:pPr>
        <w:widowControl/>
        <w:suppressAutoHyphens/>
        <w:ind w:left="720" w:hanging="360"/>
        <w:rPr>
          <w:sz w:val="22"/>
          <w:szCs w:val="22"/>
        </w:rPr>
      </w:pPr>
      <w:r w:rsidRPr="004B7038">
        <w:rPr>
          <w:b/>
          <w:sz w:val="22"/>
          <w:szCs w:val="22"/>
        </w:rPr>
        <w:t xml:space="preserve">Total </w:t>
      </w:r>
      <w:r w:rsidRPr="004B7038" w:rsidR="00001DEE">
        <w:rPr>
          <w:b/>
          <w:sz w:val="22"/>
          <w:szCs w:val="22"/>
        </w:rPr>
        <w:t>Cost to the Commission:</w:t>
      </w:r>
      <w:r w:rsidRPr="004B7038" w:rsidR="006D3721">
        <w:rPr>
          <w:sz w:val="22"/>
          <w:szCs w:val="22"/>
        </w:rPr>
        <w:t xml:space="preserve">  </w:t>
      </w:r>
      <w:r w:rsidRPr="004B7038" w:rsidR="00813731">
        <w:rPr>
          <w:b/>
          <w:sz w:val="22"/>
          <w:szCs w:val="22"/>
        </w:rPr>
        <w:t>$</w:t>
      </w:r>
      <w:r w:rsidRPr="004B7038" w:rsidR="00193BA6">
        <w:rPr>
          <w:b/>
          <w:sz w:val="22"/>
          <w:szCs w:val="22"/>
        </w:rPr>
        <w:t>12,044.34.</w:t>
      </w:r>
    </w:p>
    <w:p w:rsidR="000813EC" w:rsidRPr="004B7038" w:rsidP="00E13B3C" w14:paraId="74114F13" w14:textId="77777777">
      <w:pPr>
        <w:widowControl/>
        <w:suppressAutoHyphens/>
        <w:ind w:left="360" w:hanging="360"/>
        <w:rPr>
          <w:sz w:val="22"/>
          <w:szCs w:val="22"/>
        </w:rPr>
      </w:pPr>
    </w:p>
    <w:p w:rsidR="00B5760A" w:rsidRPr="004B7038" w:rsidP="00E13B3C" w14:paraId="57138416" w14:textId="77777777">
      <w:pPr>
        <w:widowControl/>
        <w:suppressAutoHyphens/>
        <w:ind w:left="360" w:hanging="360"/>
        <w:rPr>
          <w:sz w:val="22"/>
          <w:szCs w:val="22"/>
        </w:rPr>
      </w:pPr>
      <w:r w:rsidRPr="004B7038">
        <w:rPr>
          <w:sz w:val="22"/>
          <w:szCs w:val="22"/>
        </w:rPr>
        <w:t xml:space="preserve">15.  </w:t>
      </w:r>
      <w:r w:rsidRPr="004B7038" w:rsidR="003C2C94">
        <w:rPr>
          <w:sz w:val="22"/>
          <w:szCs w:val="22"/>
        </w:rPr>
        <w:t xml:space="preserve"> The </w:t>
      </w:r>
      <w:r w:rsidRPr="004B7038" w:rsidR="00E5447C">
        <w:rPr>
          <w:sz w:val="22"/>
          <w:szCs w:val="22"/>
        </w:rPr>
        <w:t>Commission has made the following adjustment to this collection from the previous submission to OMB</w:t>
      </w:r>
      <w:r w:rsidRPr="004B7038" w:rsidR="001B7C07">
        <w:rPr>
          <w:sz w:val="22"/>
          <w:szCs w:val="22"/>
        </w:rPr>
        <w:t>:</w:t>
      </w:r>
    </w:p>
    <w:p w:rsidR="001B7C07" w:rsidRPr="004B7038" w:rsidP="00E13B3C" w14:paraId="22BF2752" w14:textId="77777777">
      <w:pPr>
        <w:widowControl/>
        <w:suppressAutoHyphens/>
        <w:ind w:left="360" w:hanging="360"/>
        <w:rPr>
          <w:sz w:val="22"/>
          <w:szCs w:val="22"/>
        </w:rPr>
      </w:pPr>
    </w:p>
    <w:p w:rsidR="00632815" w:rsidRPr="004B7038" w:rsidP="00193BA6" w14:paraId="1A543AC6" w14:textId="1652B18B">
      <w:pPr>
        <w:widowControl/>
        <w:suppressAutoHyphens/>
        <w:ind w:left="720"/>
        <w:rPr>
          <w:sz w:val="22"/>
          <w:szCs w:val="22"/>
        </w:rPr>
      </w:pPr>
      <w:r w:rsidRPr="004B7038">
        <w:rPr>
          <w:sz w:val="22"/>
          <w:szCs w:val="22"/>
        </w:rPr>
        <w:t xml:space="preserve">There are no changes in the total number of respondents, total annual responses, and total burden hours.  However, the total annual costs increased due to an increase in the standard tariff filing fee for ETFS, from $960 at the time of the last filing to $1,040.  </w:t>
      </w:r>
      <w:r w:rsidRPr="004B7038">
        <w:rPr>
          <w:sz w:val="22"/>
          <w:szCs w:val="22"/>
        </w:rPr>
        <w:t xml:space="preserve">As such, </w:t>
      </w:r>
      <w:r w:rsidRPr="004B7038" w:rsidR="00892C36">
        <w:rPr>
          <w:sz w:val="22"/>
          <w:szCs w:val="22"/>
        </w:rPr>
        <w:t xml:space="preserve">the “Total operation and maintenance and purchase of services component” has increased by </w:t>
      </w:r>
      <w:r w:rsidRPr="004B7038" w:rsidR="00D4636D">
        <w:rPr>
          <w:sz w:val="22"/>
          <w:szCs w:val="22"/>
        </w:rPr>
        <w:t>$</w:t>
      </w:r>
      <w:r w:rsidRPr="004B7038">
        <w:rPr>
          <w:sz w:val="22"/>
          <w:szCs w:val="22"/>
        </w:rPr>
        <w:t>5,280</w:t>
      </w:r>
      <w:r w:rsidRPr="004B7038" w:rsidR="00D4636D">
        <w:rPr>
          <w:sz w:val="22"/>
          <w:szCs w:val="22"/>
        </w:rPr>
        <w:t>,</w:t>
      </w:r>
      <w:r w:rsidRPr="004B7038" w:rsidR="006D40DE">
        <w:rPr>
          <w:sz w:val="22"/>
          <w:szCs w:val="22"/>
        </w:rPr>
        <w:t xml:space="preserve"> </w:t>
      </w:r>
      <w:r w:rsidRPr="004B7038" w:rsidR="00892C36">
        <w:rPr>
          <w:sz w:val="22"/>
          <w:szCs w:val="22"/>
        </w:rPr>
        <w:t xml:space="preserve">from </w:t>
      </w:r>
      <w:r w:rsidRPr="004B7038" w:rsidR="00D4636D">
        <w:rPr>
          <w:sz w:val="22"/>
          <w:szCs w:val="22"/>
        </w:rPr>
        <w:t>$63,360</w:t>
      </w:r>
      <w:r w:rsidRPr="004B7038">
        <w:rPr>
          <w:sz w:val="22"/>
          <w:szCs w:val="22"/>
        </w:rPr>
        <w:t xml:space="preserve"> to $68</w:t>
      </w:r>
      <w:r w:rsidR="00E263CB">
        <w:rPr>
          <w:sz w:val="22"/>
          <w:szCs w:val="22"/>
        </w:rPr>
        <w:t>,</w:t>
      </w:r>
      <w:r w:rsidRPr="004B7038">
        <w:rPr>
          <w:sz w:val="22"/>
          <w:szCs w:val="22"/>
        </w:rPr>
        <w:t>640.</w:t>
      </w:r>
    </w:p>
    <w:p w:rsidR="00376CAF" w:rsidRPr="004B7038" w:rsidP="00376CAF" w14:paraId="2C5F8A6F" w14:textId="77777777">
      <w:pPr>
        <w:widowControl/>
        <w:suppressAutoHyphens/>
        <w:rPr>
          <w:sz w:val="22"/>
          <w:szCs w:val="22"/>
        </w:rPr>
      </w:pPr>
    </w:p>
    <w:p w:rsidR="00C84722" w:rsidRPr="004B7038" w:rsidP="00C84722" w14:paraId="684E8942" w14:textId="77777777">
      <w:pPr>
        <w:widowControl/>
        <w:suppressAutoHyphens/>
        <w:rPr>
          <w:sz w:val="22"/>
          <w:szCs w:val="22"/>
        </w:rPr>
      </w:pPr>
      <w:r w:rsidRPr="004B7038">
        <w:rPr>
          <w:sz w:val="22"/>
          <w:szCs w:val="22"/>
        </w:rPr>
        <w:tab/>
        <w:t>There are no program changes.</w:t>
      </w:r>
    </w:p>
    <w:p w:rsidR="00376CAF" w:rsidRPr="004B7038" w:rsidP="00C84722" w14:paraId="27F48703" w14:textId="77777777">
      <w:pPr>
        <w:widowControl/>
        <w:suppressAutoHyphens/>
        <w:rPr>
          <w:sz w:val="22"/>
          <w:szCs w:val="22"/>
        </w:rPr>
      </w:pPr>
    </w:p>
    <w:p w:rsidR="00001DEE" w:rsidRPr="004B7038" w:rsidP="00E13B3C" w14:paraId="6AEC565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16.  The Commission does not anticipate that it will publish any of the information.</w:t>
      </w:r>
    </w:p>
    <w:p w:rsidR="00001DEE" w:rsidRPr="004B7038" w:rsidP="00E13B3C" w14:paraId="07B9B9D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E13B3C" w14:paraId="7B1B9D1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17.  We do not seek approval to not display the expiration date for OMB approval of the information collections.</w:t>
      </w:r>
    </w:p>
    <w:p w:rsidR="00D267EA" w:rsidRPr="004B7038" w:rsidP="00E13B3C" w14:paraId="6D672ED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E07E68" w:rsidRPr="004B7038" w:rsidP="00073DDE" w14:paraId="2A7D9925" w14:textId="77777777">
      <w:pPr>
        <w:widowControl/>
        <w:tabs>
          <w:tab w:val="left" w:pos="-1440"/>
          <w:tab w:val="left" w:pos="-720"/>
          <w:tab w:val="left" w:pos="0"/>
          <w:tab w:val="left" w:pos="1440"/>
          <w:tab w:val="left" w:pos="2160"/>
          <w:tab w:val="left" w:pos="2880"/>
          <w:tab w:val="left" w:pos="3600"/>
          <w:tab w:val="left" w:pos="5040"/>
        </w:tabs>
        <w:suppressAutoHyphens/>
        <w:rPr>
          <w:sz w:val="22"/>
          <w:szCs w:val="22"/>
        </w:rPr>
      </w:pPr>
      <w:r w:rsidRPr="004B7038">
        <w:rPr>
          <w:sz w:val="22"/>
          <w:szCs w:val="22"/>
        </w:rPr>
        <w:t xml:space="preserve">18.  </w:t>
      </w:r>
      <w:r w:rsidRPr="004B7038" w:rsidR="002C678E">
        <w:rPr>
          <w:sz w:val="22"/>
          <w:szCs w:val="22"/>
        </w:rPr>
        <w:t>There are no exceptions</w:t>
      </w:r>
      <w:r w:rsidRPr="004B7038" w:rsidR="008D1024">
        <w:rPr>
          <w:sz w:val="22"/>
          <w:szCs w:val="22"/>
        </w:rPr>
        <w:t xml:space="preserve"> to the Certification Statement</w:t>
      </w:r>
      <w:r w:rsidRPr="004B7038" w:rsidR="00D267EA">
        <w:rPr>
          <w:sz w:val="22"/>
          <w:szCs w:val="22"/>
        </w:rPr>
        <w:t>.</w:t>
      </w:r>
      <w:r w:rsidRPr="004B7038" w:rsidR="002C678E">
        <w:rPr>
          <w:sz w:val="22"/>
          <w:szCs w:val="22"/>
        </w:rPr>
        <w:t xml:space="preserve"> </w:t>
      </w:r>
    </w:p>
    <w:p w:rsidR="00E07E68" w:rsidRPr="004B7038" w:rsidP="001B3030" w14:paraId="2F68F796"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856ABC" w:rsidRPr="004B7038" w:rsidP="001B3030" w14:paraId="68EEF27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b/>
          <w:sz w:val="22"/>
          <w:szCs w:val="22"/>
        </w:rPr>
        <w:t xml:space="preserve">B.  </w:t>
      </w:r>
      <w:r w:rsidRPr="004B7038">
        <w:rPr>
          <w:b/>
          <w:sz w:val="22"/>
          <w:szCs w:val="22"/>
          <w:u w:val="single"/>
        </w:rPr>
        <w:t>Collection of Information Employing Statistical Methods</w:t>
      </w:r>
      <w:r w:rsidRPr="004B7038">
        <w:rPr>
          <w:b/>
          <w:sz w:val="22"/>
          <w:szCs w:val="22"/>
        </w:rPr>
        <w:t>:</w:t>
      </w:r>
    </w:p>
    <w:p w:rsidR="00856ABC" w:rsidRPr="004B7038" w:rsidP="001B3030" w14:paraId="31D95358"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856ABC" w:rsidRPr="004B7038" w:rsidP="001B3030" w14:paraId="795F17B4"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4B7038">
        <w:rPr>
          <w:sz w:val="22"/>
          <w:szCs w:val="22"/>
        </w:rPr>
        <w:tab/>
      </w:r>
      <w:r w:rsidRPr="004B7038">
        <w:rPr>
          <w:sz w:val="22"/>
          <w:szCs w:val="22"/>
        </w:rPr>
        <w:t>The Commission does not anticipate that the collection of information will employ statistical methods.</w:t>
      </w:r>
    </w:p>
    <w:p w:rsidR="00856ABC" w:rsidRPr="004B7038" w:rsidP="001B3030" w14:paraId="501D5232"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1B3030" w14:paraId="0FE721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rsidP="001B3030" w14:paraId="30EDD397"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RPr="004B7038" w14:paraId="2EDB05F9" w14:textId="77777777">
      <w:pPr>
        <w:widowControl/>
        <w:tabs>
          <w:tab w:val="left" w:pos="-1440"/>
          <w:tab w:val="left" w:pos="-720"/>
          <w:tab w:val="left" w:pos="0"/>
          <w:tab w:val="left" w:pos="720"/>
          <w:tab w:val="left" w:pos="1440"/>
          <w:tab w:val="left" w:pos="2160"/>
          <w:tab w:val="left" w:pos="2880"/>
          <w:tab w:val="left" w:pos="3600"/>
          <w:tab w:val="left" w:pos="5040"/>
        </w:tabs>
        <w:suppressAutoHyphens/>
        <w:rPr>
          <w:sz w:val="22"/>
          <w:szCs w:val="22"/>
        </w:rPr>
      </w:pPr>
      <w:r w:rsidRPr="004B7038">
        <w:rPr>
          <w:b/>
          <w:sz w:val="22"/>
          <w:szCs w:val="22"/>
        </w:rPr>
        <w:t xml:space="preserve"> </w:t>
      </w:r>
    </w:p>
    <w:sectPr w:rsidSect="00F650AD">
      <w:headerReference w:type="default" r:id="rId7"/>
      <w:footerReference w:type="default" r:id="rId8"/>
      <w:footnotePr>
        <w:numRestart w:val="eachSect"/>
      </w:footnotePr>
      <w:endnotePr>
        <w:numFmt w:val="decimal"/>
      </w:endnotePr>
      <w:pgSz w:w="12240" w:h="15840" w:code="1"/>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36ED" w14:paraId="15730230" w14:textId="77777777">
      <w:pPr>
        <w:spacing w:line="20" w:lineRule="exact"/>
      </w:pPr>
    </w:p>
  </w:endnote>
  <w:endnote w:type="continuationSeparator" w:id="1">
    <w:p w:rsidR="00DD36ED" w14:paraId="25CB68DE" w14:textId="77777777">
      <w:r>
        <w:t xml:space="preserve"> </w:t>
      </w:r>
    </w:p>
  </w:endnote>
  <w:endnote w:type="continuationNotice" w:id="2">
    <w:p w:rsidR="00DD36ED" w14:paraId="414D38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F26" w:rsidRPr="004270C6" w14:paraId="7813C0AF" w14:textId="77777777">
    <w:pPr>
      <w:pStyle w:val="Footer"/>
      <w:tabs>
        <w:tab w:val="clear" w:pos="4320"/>
        <w:tab w:val="clear" w:pos="8640"/>
      </w:tabs>
      <w:jc w:val="center"/>
      <w:rPr>
        <w:sz w:val="20"/>
      </w:rPr>
    </w:pPr>
    <w:r w:rsidRPr="004270C6">
      <w:rPr>
        <w:rStyle w:val="PageNumber"/>
        <w:sz w:val="20"/>
      </w:rPr>
      <w:fldChar w:fldCharType="begin"/>
    </w:r>
    <w:r w:rsidRPr="004270C6">
      <w:rPr>
        <w:rStyle w:val="PageNumber"/>
        <w:sz w:val="20"/>
      </w:rPr>
      <w:instrText xml:space="preserve"> PAGE </w:instrText>
    </w:r>
    <w:r w:rsidRPr="004270C6">
      <w:rPr>
        <w:rStyle w:val="PageNumber"/>
        <w:sz w:val="20"/>
      </w:rPr>
      <w:fldChar w:fldCharType="separate"/>
    </w:r>
    <w:r w:rsidR="00E91855">
      <w:rPr>
        <w:rStyle w:val="PageNumber"/>
        <w:noProof/>
        <w:sz w:val="20"/>
      </w:rPr>
      <w:t>1</w:t>
    </w:r>
    <w:r w:rsidRPr="004270C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6ED" w14:paraId="6478E194" w14:textId="77777777">
      <w:r>
        <w:separator/>
      </w:r>
    </w:p>
  </w:footnote>
  <w:footnote w:type="continuationSeparator" w:id="1">
    <w:p w:rsidR="00DD36ED" w14:paraId="2D00DC8C" w14:textId="77777777">
      <w:r>
        <w:continuationSeparator/>
      </w:r>
    </w:p>
  </w:footnote>
  <w:footnote w:id="2">
    <w:p w:rsidR="00A36AF9" w:rsidRPr="00AA385C" w:rsidP="00BB5FE8" w14:paraId="2380EB30" w14:textId="77777777">
      <w:pPr>
        <w:pStyle w:val="FootnoteText"/>
        <w:spacing w:before="120" w:after="120"/>
        <w:rPr>
          <w:sz w:val="20"/>
        </w:rPr>
      </w:pPr>
      <w:r w:rsidRPr="00AA385C">
        <w:rPr>
          <w:rStyle w:val="FootnoteReference"/>
          <w:sz w:val="20"/>
        </w:rPr>
        <w:footnoteRef/>
      </w:r>
      <w:r w:rsidRPr="00AA385C">
        <w:rPr>
          <w:sz w:val="20"/>
        </w:rPr>
        <w:t xml:space="preserve"> </w:t>
      </w:r>
      <w:r w:rsidRPr="00AA385C">
        <w:rPr>
          <w:i/>
          <w:sz w:val="20"/>
        </w:rPr>
        <w:t>Business Data Services in an Internet Protocol Environment</w:t>
      </w:r>
      <w:r w:rsidRPr="00AA385C">
        <w:rPr>
          <w:sz w:val="20"/>
        </w:rPr>
        <w:t xml:space="preserve">, WC Docket No. 16-143 et al., Report and </w:t>
      </w:r>
      <w:r w:rsidRPr="00AA385C" w:rsidR="003E4723">
        <w:rPr>
          <w:sz w:val="20"/>
        </w:rPr>
        <w:t>Order, FCC 17-43 (rel. April 28</w:t>
      </w:r>
      <w:r w:rsidRPr="00AA385C">
        <w:rPr>
          <w:sz w:val="20"/>
        </w:rPr>
        <w:t>, 2017) (</w:t>
      </w:r>
      <w:r w:rsidRPr="00AA385C">
        <w:rPr>
          <w:i/>
          <w:sz w:val="20"/>
        </w:rPr>
        <w:t>Business</w:t>
      </w:r>
      <w:r w:rsidRPr="00AA385C">
        <w:rPr>
          <w:sz w:val="20"/>
        </w:rPr>
        <w:t xml:space="preserve"> </w:t>
      </w:r>
      <w:r w:rsidRPr="00AA385C">
        <w:rPr>
          <w:i/>
          <w:sz w:val="20"/>
        </w:rPr>
        <w:t>Data Services Order</w:t>
      </w:r>
      <w:r w:rsidRPr="00AA385C">
        <w:rPr>
          <w:sz w:val="20"/>
        </w:rPr>
        <w:t>).</w:t>
      </w:r>
    </w:p>
    <w:p w:rsidR="00A36AF9" w:rsidRPr="00AA385C" w:rsidP="00A36AF9" w14:paraId="23CB6017" w14:textId="77777777">
      <w:pPr>
        <w:pStyle w:val="FootnoteText"/>
        <w:rPr>
          <w:sz w:val="20"/>
        </w:rPr>
      </w:pPr>
    </w:p>
  </w:footnote>
  <w:footnote w:id="3">
    <w:p w:rsidR="002963B4" w:rsidRPr="007E468A" w14:paraId="4C32090D" w14:textId="76271B05">
      <w:pPr>
        <w:pStyle w:val="FootnoteText"/>
        <w:rPr>
          <w:sz w:val="20"/>
          <w:lang w:val="en-US"/>
        </w:rPr>
      </w:pPr>
      <w:r w:rsidRPr="00AA385C">
        <w:rPr>
          <w:rStyle w:val="FootnoteReference"/>
          <w:sz w:val="20"/>
        </w:rPr>
        <w:footnoteRef/>
      </w:r>
      <w:r w:rsidRPr="00AA385C">
        <w:rPr>
          <w:sz w:val="20"/>
        </w:rPr>
        <w:t xml:space="preserve"> </w:t>
      </w:r>
      <w:r w:rsidRPr="00AA385C" w:rsidR="00AA385C">
        <w:rPr>
          <w:sz w:val="20"/>
          <w:lang w:val="en-US"/>
        </w:rPr>
        <w:t>FCC Form 477 is approved under OMB Control Number</w:t>
      </w:r>
      <w:r w:rsidRPr="00AA385C">
        <w:rPr>
          <w:sz w:val="20"/>
          <w:lang w:val="en-US"/>
        </w:rPr>
        <w:t xml:space="preserve"> 3060-0816.</w:t>
      </w:r>
      <w:r w:rsidR="00D26AB1">
        <w:rPr>
          <w:sz w:val="20"/>
          <w:lang w:val="en-US"/>
        </w:rPr>
        <w:t xml:space="preserve">  </w:t>
      </w:r>
    </w:p>
  </w:footnote>
  <w:footnote w:id="4">
    <w:p w:rsidR="001105CB" w:rsidRPr="001105CB" w14:paraId="239E9166" w14:textId="344F9224">
      <w:pPr>
        <w:pStyle w:val="FootnoteText"/>
        <w:rPr>
          <w:sz w:val="20"/>
          <w:lang w:val="en-US"/>
        </w:rPr>
      </w:pPr>
      <w:r w:rsidRPr="001105CB">
        <w:rPr>
          <w:rStyle w:val="FootnoteReference"/>
          <w:sz w:val="20"/>
        </w:rPr>
        <w:footnoteRef/>
      </w:r>
      <w:r w:rsidRPr="001105CB">
        <w:rPr>
          <w:sz w:val="20"/>
        </w:rPr>
        <w:t xml:space="preserve"> </w:t>
      </w:r>
      <w:r w:rsidRPr="00662C2E">
        <w:rPr>
          <w:i/>
          <w:iCs/>
          <w:sz w:val="20"/>
          <w:lang w:val="en-US"/>
        </w:rPr>
        <w:t>See</w:t>
      </w:r>
      <w:r>
        <w:rPr>
          <w:sz w:val="20"/>
          <w:lang w:val="en-US"/>
        </w:rPr>
        <w:t xml:space="preserve"> 47 CFR </w:t>
      </w:r>
      <w:r w:rsidRPr="00662C2E" w:rsidR="00662C2E">
        <w:rPr>
          <w:sz w:val="20"/>
          <w:lang w:val="en-US"/>
        </w:rPr>
        <w:t>§</w:t>
      </w:r>
      <w:r w:rsidR="00662C2E">
        <w:rPr>
          <w:sz w:val="20"/>
          <w:lang w:val="en-US"/>
        </w:rPr>
        <w:t xml:space="preserve"> </w:t>
      </w:r>
      <w:r>
        <w:rPr>
          <w:sz w:val="20"/>
          <w:lang w:val="en-US"/>
        </w:rPr>
        <w:t>64.4002 (notification obligations of local exchange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6D" w:rsidP="00D4636D" w14:paraId="3692287E" w14:textId="77777777">
    <w:pPr>
      <w:pStyle w:val="Header"/>
      <w:jc w:val="both"/>
      <w:rPr>
        <w:b/>
        <w:sz w:val="22"/>
        <w:szCs w:val="22"/>
      </w:rPr>
    </w:pPr>
    <w:r>
      <w:rPr>
        <w:b/>
        <w:sz w:val="22"/>
        <w:szCs w:val="22"/>
      </w:rPr>
      <w:t xml:space="preserve">272 Sunset Order; WC Docket No. 06-120; Access Charge Reform, CC Docket </w:t>
    </w:r>
    <w:r>
      <w:rPr>
        <w:b/>
        <w:sz w:val="22"/>
        <w:szCs w:val="22"/>
      </w:rPr>
      <w:tab/>
      <w:t xml:space="preserve">   3060-0760</w:t>
    </w:r>
  </w:p>
  <w:p w:rsidR="00D4636D" w:rsidRPr="00E12DF1" w:rsidP="00D4636D" w14:paraId="20282B6A" w14:textId="0C137CE5">
    <w:pPr>
      <w:pStyle w:val="Header"/>
      <w:jc w:val="both"/>
      <w:rPr>
        <w:b/>
        <w:sz w:val="22"/>
        <w:szCs w:val="22"/>
      </w:rPr>
    </w:pPr>
    <w:r>
      <w:rPr>
        <w:b/>
        <w:sz w:val="22"/>
        <w:szCs w:val="22"/>
      </w:rPr>
      <w:t xml:space="preserve">No. 96-262, </w:t>
    </w:r>
    <w:r w:rsidRPr="00D5209D">
      <w:rPr>
        <w:b/>
        <w:i/>
        <w:sz w:val="22"/>
        <w:szCs w:val="22"/>
      </w:rPr>
      <w:t>First Report and Order</w:t>
    </w:r>
    <w:r>
      <w:rPr>
        <w:b/>
        <w:sz w:val="22"/>
        <w:szCs w:val="22"/>
      </w:rPr>
      <w:t xml:space="preserve">; </w:t>
    </w:r>
    <w:r w:rsidRPr="00D5209D">
      <w:rPr>
        <w:b/>
        <w:i/>
        <w:sz w:val="22"/>
        <w:szCs w:val="22"/>
      </w:rPr>
      <w:t xml:space="preserve">Second Order on Reconsideration and </w:t>
    </w:r>
    <w:r w:rsidR="004F1BC5">
      <w:rPr>
        <w:b/>
        <w:i/>
        <w:sz w:val="22"/>
        <w:szCs w:val="22"/>
      </w:rPr>
      <w:t xml:space="preserve">               </w:t>
    </w:r>
    <w:r w:rsidR="00E263CB">
      <w:rPr>
        <w:b/>
        <w:iCs/>
        <w:sz w:val="22"/>
        <w:szCs w:val="22"/>
      </w:rPr>
      <w:t xml:space="preserve">May </w:t>
    </w:r>
    <w:r w:rsidR="00382C91">
      <w:rPr>
        <w:b/>
        <w:iCs/>
        <w:sz w:val="22"/>
        <w:szCs w:val="22"/>
      </w:rPr>
      <w:t>2023</w:t>
    </w:r>
  </w:p>
  <w:p w:rsidR="00D4636D" w:rsidP="00D4636D" w14:paraId="4016397B" w14:textId="77777777">
    <w:pPr>
      <w:pStyle w:val="Header"/>
      <w:jc w:val="both"/>
      <w:rPr>
        <w:b/>
        <w:sz w:val="22"/>
        <w:szCs w:val="22"/>
      </w:rPr>
    </w:pPr>
    <w:r w:rsidRPr="00D5209D">
      <w:rPr>
        <w:b/>
        <w:i/>
        <w:sz w:val="22"/>
        <w:szCs w:val="22"/>
      </w:rPr>
      <w:t>Memorandum Opinion and Order</w:t>
    </w:r>
    <w:r>
      <w:rPr>
        <w:b/>
        <w:sz w:val="22"/>
        <w:szCs w:val="22"/>
      </w:rPr>
      <w:t xml:space="preserve">; and </w:t>
    </w:r>
    <w:r w:rsidRPr="00D5209D">
      <w:rPr>
        <w:b/>
        <w:i/>
        <w:sz w:val="22"/>
        <w:szCs w:val="22"/>
      </w:rPr>
      <w:t xml:space="preserve">Fifth Report and </w:t>
    </w:r>
    <w:r w:rsidRPr="007751A3">
      <w:rPr>
        <w:b/>
        <w:i/>
        <w:sz w:val="22"/>
        <w:szCs w:val="22"/>
      </w:rPr>
      <w:t>Order;</w:t>
    </w:r>
    <w:r w:rsidRPr="00BB5FE8">
      <w:rPr>
        <w:i/>
        <w:sz w:val="22"/>
        <w:szCs w:val="22"/>
      </w:rPr>
      <w:t xml:space="preserve"> </w:t>
    </w:r>
    <w:r w:rsidRPr="00BB5FE8">
      <w:rPr>
        <w:b/>
        <w:i/>
        <w:sz w:val="22"/>
        <w:szCs w:val="22"/>
      </w:rPr>
      <w:t>Business Data</w:t>
    </w:r>
    <w:r>
      <w:rPr>
        <w:b/>
        <w:sz w:val="22"/>
        <w:szCs w:val="22"/>
      </w:rPr>
      <w:tab/>
    </w:r>
    <w:r>
      <w:rPr>
        <w:b/>
        <w:sz w:val="22"/>
        <w:szCs w:val="22"/>
      </w:rPr>
      <w:tab/>
    </w:r>
    <w:r w:rsidRPr="00E12DF1">
      <w:rPr>
        <w:b/>
        <w:i/>
        <w:sz w:val="22"/>
        <w:szCs w:val="22"/>
      </w:rPr>
      <w:t xml:space="preserve"> </w:t>
    </w:r>
    <w:r w:rsidRPr="00BB5FE8">
      <w:rPr>
        <w:b/>
        <w:i/>
        <w:sz w:val="22"/>
        <w:szCs w:val="22"/>
      </w:rPr>
      <w:t>Services in an Internet Protocol Environment</w:t>
    </w:r>
    <w:r w:rsidRPr="00BB5FE8">
      <w:rPr>
        <w:b/>
        <w:sz w:val="22"/>
        <w:szCs w:val="22"/>
      </w:rPr>
      <w:t>, WC Docket No. 16-143 et al.,</w:t>
    </w:r>
  </w:p>
  <w:p w:rsidR="00D4636D" w:rsidRPr="00BB5FE8" w:rsidP="00D4636D" w14:paraId="2FA7F176" w14:textId="77777777">
    <w:pPr>
      <w:pStyle w:val="Header"/>
      <w:jc w:val="both"/>
      <w:rPr>
        <w:b/>
        <w:sz w:val="22"/>
        <w:szCs w:val="22"/>
      </w:rPr>
    </w:pPr>
    <w:r w:rsidRPr="00BB5FE8">
      <w:rPr>
        <w:b/>
        <w:i/>
        <w:sz w:val="22"/>
        <w:szCs w:val="22"/>
      </w:rPr>
      <w:t>Report and Order</w:t>
    </w:r>
  </w:p>
  <w:p w:rsidR="00F650AD" w:rsidP="00F650AD" w14:paraId="58E7042C" w14:textId="77777777">
    <w:pPr>
      <w:pStyle w:val="Header"/>
      <w:jc w:val="both"/>
      <w:rPr>
        <w:b/>
        <w:sz w:val="20"/>
      </w:rPr>
    </w:pPr>
  </w:p>
  <w:p w:rsidR="00F650AD" w14:paraId="3197F0B0" w14:textId="77777777">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1F8DD88"/>
    <w:lvl w:ilvl="0">
      <w:start w:val="1"/>
      <w:numFmt w:val="decimal"/>
      <w:lvlText w:val="%1."/>
      <w:lvlJc w:val="left"/>
      <w:pPr>
        <w:tabs>
          <w:tab w:val="num" w:pos="1800"/>
        </w:tabs>
        <w:ind w:left="1800" w:hanging="360"/>
      </w:pPr>
    </w:lvl>
  </w:abstractNum>
  <w:abstractNum w:abstractNumId="1">
    <w:nsid w:val="FFFFFF7D"/>
    <w:multiLevelType w:val="singleLevel"/>
    <w:tmpl w:val="81505D32"/>
    <w:lvl w:ilvl="0">
      <w:start w:val="1"/>
      <w:numFmt w:val="decimal"/>
      <w:lvlText w:val="%1."/>
      <w:lvlJc w:val="left"/>
      <w:pPr>
        <w:tabs>
          <w:tab w:val="num" w:pos="1440"/>
        </w:tabs>
        <w:ind w:left="1440" w:hanging="360"/>
      </w:pPr>
    </w:lvl>
  </w:abstractNum>
  <w:abstractNum w:abstractNumId="2">
    <w:nsid w:val="FFFFFF7E"/>
    <w:multiLevelType w:val="singleLevel"/>
    <w:tmpl w:val="5C7EC6BE"/>
    <w:lvl w:ilvl="0">
      <w:start w:val="1"/>
      <w:numFmt w:val="decimal"/>
      <w:lvlText w:val="%1."/>
      <w:lvlJc w:val="left"/>
      <w:pPr>
        <w:tabs>
          <w:tab w:val="num" w:pos="1080"/>
        </w:tabs>
        <w:ind w:left="1080" w:hanging="360"/>
      </w:pPr>
    </w:lvl>
  </w:abstractNum>
  <w:abstractNum w:abstractNumId="3">
    <w:nsid w:val="FFFFFF7F"/>
    <w:multiLevelType w:val="singleLevel"/>
    <w:tmpl w:val="043E16BE"/>
    <w:lvl w:ilvl="0">
      <w:start w:val="1"/>
      <w:numFmt w:val="decimal"/>
      <w:lvlText w:val="%1."/>
      <w:lvlJc w:val="left"/>
      <w:pPr>
        <w:tabs>
          <w:tab w:val="num" w:pos="720"/>
        </w:tabs>
        <w:ind w:left="720" w:hanging="360"/>
      </w:pPr>
    </w:lvl>
  </w:abstractNum>
  <w:abstractNum w:abstractNumId="4">
    <w:nsid w:val="FFFFFF80"/>
    <w:multiLevelType w:val="singleLevel"/>
    <w:tmpl w:val="1A1A9A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5617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98E3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903B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AA62A6"/>
    <w:lvl w:ilvl="0">
      <w:start w:val="1"/>
      <w:numFmt w:val="decimal"/>
      <w:lvlText w:val="%1."/>
      <w:lvlJc w:val="left"/>
      <w:pPr>
        <w:tabs>
          <w:tab w:val="num" w:pos="360"/>
        </w:tabs>
        <w:ind w:left="360" w:hanging="360"/>
      </w:pPr>
    </w:lvl>
  </w:abstractNum>
  <w:abstractNum w:abstractNumId="9">
    <w:nsid w:val="FFFFFF89"/>
    <w:multiLevelType w:val="singleLevel"/>
    <w:tmpl w:val="2B78047C"/>
    <w:lvl w:ilvl="0">
      <w:start w:val="1"/>
      <w:numFmt w:val="bullet"/>
      <w:lvlText w:val=""/>
      <w:lvlJc w:val="left"/>
      <w:pPr>
        <w:tabs>
          <w:tab w:val="num" w:pos="360"/>
        </w:tabs>
        <w:ind w:left="360" w:hanging="360"/>
      </w:pPr>
      <w:rPr>
        <w:rFonts w:ascii="Symbol" w:hAnsi="Symbol" w:hint="default"/>
      </w:rPr>
    </w:lvl>
  </w:abstractNum>
  <w:abstractNum w:abstractNumId="10">
    <w:nsid w:val="05AC3876"/>
    <w:multiLevelType w:val="hybridMultilevel"/>
    <w:tmpl w:val="565ED7E8"/>
    <w:lvl w:ilvl="0">
      <w:start w:val="69"/>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65E6DED"/>
    <w:multiLevelType w:val="hybridMultilevel"/>
    <w:tmpl w:val="3E26C99E"/>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B817A3C"/>
    <w:multiLevelType w:val="hybridMultilevel"/>
    <w:tmpl w:val="0296A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D2B6937"/>
    <w:multiLevelType w:val="hybridMultilevel"/>
    <w:tmpl w:val="3E26C99E"/>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0960813"/>
    <w:multiLevelType w:val="hybridMultilevel"/>
    <w:tmpl w:val="36282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F66B67"/>
    <w:multiLevelType w:val="hybridMultilevel"/>
    <w:tmpl w:val="7CE004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395018"/>
    <w:multiLevelType w:val="hybridMultilevel"/>
    <w:tmpl w:val="C38EA21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174E328E"/>
    <w:multiLevelType w:val="hybridMultilevel"/>
    <w:tmpl w:val="15B2BA1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186A5CF4"/>
    <w:multiLevelType w:val="hybridMultilevel"/>
    <w:tmpl w:val="0B982ED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FFA0029"/>
    <w:multiLevelType w:val="hybridMultilevel"/>
    <w:tmpl w:val="6C88F9D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08E2A4A"/>
    <w:multiLevelType w:val="hybridMultilevel"/>
    <w:tmpl w:val="72F48996"/>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19D37CC"/>
    <w:multiLevelType w:val="hybridMultilevel"/>
    <w:tmpl w:val="01E4F5BA"/>
    <w:lvl w:ilvl="0">
      <w:start w:val="1"/>
      <w:numFmt w:val="upperLetter"/>
      <w:lvlText w:val="%1."/>
      <w:lvlJc w:val="left"/>
      <w:pPr>
        <w:ind w:left="740" w:hanging="38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B721C4"/>
    <w:multiLevelType w:val="hybridMultilevel"/>
    <w:tmpl w:val="9648B8B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9736AFA"/>
    <w:multiLevelType w:val="hybridMultilevel"/>
    <w:tmpl w:val="E6B08A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EF24209"/>
    <w:multiLevelType w:val="hybridMultilevel"/>
    <w:tmpl w:val="08F05E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6039B"/>
    <w:multiLevelType w:val="hybridMultilevel"/>
    <w:tmpl w:val="E12C138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58028FF"/>
    <w:multiLevelType w:val="hybridMultilevel"/>
    <w:tmpl w:val="3444846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6912112"/>
    <w:multiLevelType w:val="hybridMultilevel"/>
    <w:tmpl w:val="B42ED9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D7751CC"/>
    <w:multiLevelType w:val="hybridMultilevel"/>
    <w:tmpl w:val="84FC1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1838EF"/>
    <w:multiLevelType w:val="hybridMultilevel"/>
    <w:tmpl w:val="EC4A8CEE"/>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1D96C86"/>
    <w:multiLevelType w:val="hybridMultilevel"/>
    <w:tmpl w:val="F67A2E14"/>
    <w:lvl w:ilvl="0">
      <w:start w:val="3"/>
      <w:numFmt w:val="lowerLetter"/>
      <w:lvlText w:val="%1."/>
      <w:lvlJc w:val="left"/>
      <w:pPr>
        <w:tabs>
          <w:tab w:val="num" w:pos="1080"/>
        </w:tabs>
        <w:ind w:left="1080" w:hanging="360"/>
      </w:pPr>
      <w:rPr>
        <w:rFonts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7892358"/>
    <w:multiLevelType w:val="hybridMultilevel"/>
    <w:tmpl w:val="768EC3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DFB5B4D"/>
    <w:multiLevelType w:val="hybridMultilevel"/>
    <w:tmpl w:val="AA02A14A"/>
    <w:lvl w:ilvl="0">
      <w:start w:val="422"/>
      <w:numFmt w:val="decimal"/>
      <w:lvlText w:val="%1"/>
      <w:lvlJc w:val="left"/>
      <w:pPr>
        <w:tabs>
          <w:tab w:val="num" w:pos="1440"/>
        </w:tabs>
        <w:ind w:left="1440" w:hanging="360"/>
      </w:pPr>
      <w:rPr>
        <w:rFonts w:hint="default"/>
        <w:b/>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4ED22343"/>
    <w:multiLevelType w:val="hybridMultilevel"/>
    <w:tmpl w:val="4D563CC8"/>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2985276"/>
    <w:multiLevelType w:val="hybridMultilevel"/>
    <w:tmpl w:val="55B20B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59F42DD7"/>
    <w:multiLevelType w:val="hybridMultilevel"/>
    <w:tmpl w:val="543ABB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37">
    <w:nsid w:val="7D81129A"/>
    <w:multiLevelType w:val="hybridMultilevel"/>
    <w:tmpl w:val="E2A44BBA"/>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90008102">
    <w:abstractNumId w:val="27"/>
  </w:num>
  <w:num w:numId="2" w16cid:durableId="1669094825">
    <w:abstractNumId w:val="32"/>
  </w:num>
  <w:num w:numId="3" w16cid:durableId="2130970904">
    <w:abstractNumId w:val="12"/>
  </w:num>
  <w:num w:numId="4" w16cid:durableId="1199316411">
    <w:abstractNumId w:val="16"/>
  </w:num>
  <w:num w:numId="5" w16cid:durableId="859049537">
    <w:abstractNumId w:val="17"/>
  </w:num>
  <w:num w:numId="6" w16cid:durableId="591625935">
    <w:abstractNumId w:val="23"/>
  </w:num>
  <w:num w:numId="7" w16cid:durableId="1530604055">
    <w:abstractNumId w:val="30"/>
  </w:num>
  <w:num w:numId="8" w16cid:durableId="2010908593">
    <w:abstractNumId w:val="25"/>
  </w:num>
  <w:num w:numId="9" w16cid:durableId="1001813558">
    <w:abstractNumId w:val="26"/>
  </w:num>
  <w:num w:numId="10" w16cid:durableId="408117917">
    <w:abstractNumId w:val="20"/>
  </w:num>
  <w:num w:numId="11" w16cid:durableId="2063551898">
    <w:abstractNumId w:val="33"/>
  </w:num>
  <w:num w:numId="12" w16cid:durableId="919943623">
    <w:abstractNumId w:val="13"/>
  </w:num>
  <w:num w:numId="13" w16cid:durableId="1503231632">
    <w:abstractNumId w:val="31"/>
  </w:num>
  <w:num w:numId="14" w16cid:durableId="32120270">
    <w:abstractNumId w:val="10"/>
  </w:num>
  <w:num w:numId="15" w16cid:durableId="707534472">
    <w:abstractNumId w:val="29"/>
  </w:num>
  <w:num w:numId="16" w16cid:durableId="890993676">
    <w:abstractNumId w:val="22"/>
  </w:num>
  <w:num w:numId="17" w16cid:durableId="1331758124">
    <w:abstractNumId w:val="24"/>
  </w:num>
  <w:num w:numId="18" w16cid:durableId="1047872442">
    <w:abstractNumId w:val="35"/>
  </w:num>
  <w:num w:numId="19" w16cid:durableId="938417331">
    <w:abstractNumId w:val="36"/>
  </w:num>
  <w:num w:numId="20" w16cid:durableId="831994027">
    <w:abstractNumId w:val="8"/>
  </w:num>
  <w:num w:numId="21" w16cid:durableId="1943105460">
    <w:abstractNumId w:val="9"/>
  </w:num>
  <w:num w:numId="22" w16cid:durableId="592472396">
    <w:abstractNumId w:val="7"/>
  </w:num>
  <w:num w:numId="23" w16cid:durableId="2052805986">
    <w:abstractNumId w:val="6"/>
  </w:num>
  <w:num w:numId="24" w16cid:durableId="156581581">
    <w:abstractNumId w:val="5"/>
  </w:num>
  <w:num w:numId="25" w16cid:durableId="1710837063">
    <w:abstractNumId w:val="4"/>
  </w:num>
  <w:num w:numId="26" w16cid:durableId="1661731752">
    <w:abstractNumId w:val="3"/>
  </w:num>
  <w:num w:numId="27" w16cid:durableId="1099986515">
    <w:abstractNumId w:val="2"/>
  </w:num>
  <w:num w:numId="28" w16cid:durableId="317927243">
    <w:abstractNumId w:val="1"/>
  </w:num>
  <w:num w:numId="29" w16cid:durableId="1001349348">
    <w:abstractNumId w:val="0"/>
  </w:num>
  <w:num w:numId="30" w16cid:durableId="356200996">
    <w:abstractNumId w:val="18"/>
  </w:num>
  <w:num w:numId="31" w16cid:durableId="268437263">
    <w:abstractNumId w:val="19"/>
  </w:num>
  <w:num w:numId="32" w16cid:durableId="189032893">
    <w:abstractNumId w:val="21"/>
  </w:num>
  <w:num w:numId="33" w16cid:durableId="1669751246">
    <w:abstractNumId w:val="14"/>
  </w:num>
  <w:num w:numId="34" w16cid:durableId="431557964">
    <w:abstractNumId w:val="28"/>
  </w:num>
  <w:num w:numId="35" w16cid:durableId="761534623">
    <w:abstractNumId w:val="34"/>
  </w:num>
  <w:num w:numId="36" w16cid:durableId="204368633">
    <w:abstractNumId w:val="37"/>
  </w:num>
  <w:num w:numId="37" w16cid:durableId="1944604057">
    <w:abstractNumId w:val="15"/>
  </w:num>
  <w:num w:numId="38" w16cid:durableId="1929607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A8"/>
    <w:rsid w:val="00001738"/>
    <w:rsid w:val="00001DEE"/>
    <w:rsid w:val="00006FCA"/>
    <w:rsid w:val="00016452"/>
    <w:rsid w:val="00024BE9"/>
    <w:rsid w:val="00030F92"/>
    <w:rsid w:val="000313C5"/>
    <w:rsid w:val="000320EF"/>
    <w:rsid w:val="0003223B"/>
    <w:rsid w:val="000344AB"/>
    <w:rsid w:val="000400C1"/>
    <w:rsid w:val="00045FD5"/>
    <w:rsid w:val="00046EB7"/>
    <w:rsid w:val="00047C52"/>
    <w:rsid w:val="000526D1"/>
    <w:rsid w:val="00052ACF"/>
    <w:rsid w:val="00053C41"/>
    <w:rsid w:val="000556A7"/>
    <w:rsid w:val="00063F19"/>
    <w:rsid w:val="00064B40"/>
    <w:rsid w:val="00067385"/>
    <w:rsid w:val="00067B59"/>
    <w:rsid w:val="00072D08"/>
    <w:rsid w:val="00072F7E"/>
    <w:rsid w:val="00073DDE"/>
    <w:rsid w:val="000745B6"/>
    <w:rsid w:val="000755F3"/>
    <w:rsid w:val="00075A53"/>
    <w:rsid w:val="000764D2"/>
    <w:rsid w:val="000813EC"/>
    <w:rsid w:val="000849E3"/>
    <w:rsid w:val="000871FC"/>
    <w:rsid w:val="00090062"/>
    <w:rsid w:val="00091801"/>
    <w:rsid w:val="00091A66"/>
    <w:rsid w:val="0009205C"/>
    <w:rsid w:val="00093179"/>
    <w:rsid w:val="00093662"/>
    <w:rsid w:val="00095DA0"/>
    <w:rsid w:val="00096E5D"/>
    <w:rsid w:val="00097046"/>
    <w:rsid w:val="000A1B22"/>
    <w:rsid w:val="000A3BA6"/>
    <w:rsid w:val="000A54AB"/>
    <w:rsid w:val="000A55A2"/>
    <w:rsid w:val="000A62F7"/>
    <w:rsid w:val="000A6D63"/>
    <w:rsid w:val="000A7917"/>
    <w:rsid w:val="000A79AA"/>
    <w:rsid w:val="000B0B3D"/>
    <w:rsid w:val="000B502D"/>
    <w:rsid w:val="000B5300"/>
    <w:rsid w:val="000B5DE8"/>
    <w:rsid w:val="000B6CE7"/>
    <w:rsid w:val="000C0341"/>
    <w:rsid w:val="000C08E2"/>
    <w:rsid w:val="000C3EDD"/>
    <w:rsid w:val="000C42A8"/>
    <w:rsid w:val="000C48AF"/>
    <w:rsid w:val="000C5C36"/>
    <w:rsid w:val="000C6DBF"/>
    <w:rsid w:val="000C7AD3"/>
    <w:rsid w:val="000D0054"/>
    <w:rsid w:val="000D1FE6"/>
    <w:rsid w:val="000D3B2C"/>
    <w:rsid w:val="000D4539"/>
    <w:rsid w:val="000D4D7B"/>
    <w:rsid w:val="000D62AF"/>
    <w:rsid w:val="000D6AAF"/>
    <w:rsid w:val="000D6E71"/>
    <w:rsid w:val="000E2200"/>
    <w:rsid w:val="000E258B"/>
    <w:rsid w:val="000E59C6"/>
    <w:rsid w:val="000F12C2"/>
    <w:rsid w:val="000F15D7"/>
    <w:rsid w:val="000F20DC"/>
    <w:rsid w:val="000F23D0"/>
    <w:rsid w:val="000F2DD8"/>
    <w:rsid w:val="000F2E29"/>
    <w:rsid w:val="000F5DB5"/>
    <w:rsid w:val="000F7058"/>
    <w:rsid w:val="00101894"/>
    <w:rsid w:val="00105C47"/>
    <w:rsid w:val="00106B86"/>
    <w:rsid w:val="001105CB"/>
    <w:rsid w:val="00111CCC"/>
    <w:rsid w:val="001124D8"/>
    <w:rsid w:val="00112773"/>
    <w:rsid w:val="00113055"/>
    <w:rsid w:val="00113355"/>
    <w:rsid w:val="00114F6A"/>
    <w:rsid w:val="00116F96"/>
    <w:rsid w:val="0012049C"/>
    <w:rsid w:val="00122B4F"/>
    <w:rsid w:val="00123B4A"/>
    <w:rsid w:val="00127939"/>
    <w:rsid w:val="00127D10"/>
    <w:rsid w:val="00130E1F"/>
    <w:rsid w:val="00131967"/>
    <w:rsid w:val="00134319"/>
    <w:rsid w:val="001357C1"/>
    <w:rsid w:val="001361BC"/>
    <w:rsid w:val="00136463"/>
    <w:rsid w:val="00137662"/>
    <w:rsid w:val="00137F87"/>
    <w:rsid w:val="00141732"/>
    <w:rsid w:val="00143D1A"/>
    <w:rsid w:val="00146A42"/>
    <w:rsid w:val="00147BD5"/>
    <w:rsid w:val="00152F2A"/>
    <w:rsid w:val="00153010"/>
    <w:rsid w:val="001533C6"/>
    <w:rsid w:val="00156765"/>
    <w:rsid w:val="00156AEB"/>
    <w:rsid w:val="00157875"/>
    <w:rsid w:val="001607A1"/>
    <w:rsid w:val="0016150F"/>
    <w:rsid w:val="00163A5D"/>
    <w:rsid w:val="001664E7"/>
    <w:rsid w:val="001675D9"/>
    <w:rsid w:val="00173EF8"/>
    <w:rsid w:val="001742C7"/>
    <w:rsid w:val="001751FC"/>
    <w:rsid w:val="00175BDE"/>
    <w:rsid w:val="00177A75"/>
    <w:rsid w:val="001818C0"/>
    <w:rsid w:val="00181EC6"/>
    <w:rsid w:val="00182165"/>
    <w:rsid w:val="001833ED"/>
    <w:rsid w:val="00186814"/>
    <w:rsid w:val="00190EF4"/>
    <w:rsid w:val="00193BA6"/>
    <w:rsid w:val="0019745C"/>
    <w:rsid w:val="001A2E6F"/>
    <w:rsid w:val="001A3808"/>
    <w:rsid w:val="001A4FB5"/>
    <w:rsid w:val="001A5BDE"/>
    <w:rsid w:val="001A6644"/>
    <w:rsid w:val="001A6C0B"/>
    <w:rsid w:val="001A7455"/>
    <w:rsid w:val="001B08D5"/>
    <w:rsid w:val="001B1347"/>
    <w:rsid w:val="001B2632"/>
    <w:rsid w:val="001B3030"/>
    <w:rsid w:val="001B3373"/>
    <w:rsid w:val="001B480B"/>
    <w:rsid w:val="001B5D19"/>
    <w:rsid w:val="001B70D8"/>
    <w:rsid w:val="001B7607"/>
    <w:rsid w:val="001B7C07"/>
    <w:rsid w:val="001C1F7A"/>
    <w:rsid w:val="001C252C"/>
    <w:rsid w:val="001C4640"/>
    <w:rsid w:val="001C49C3"/>
    <w:rsid w:val="001C663F"/>
    <w:rsid w:val="001C67E9"/>
    <w:rsid w:val="001D055A"/>
    <w:rsid w:val="001D38BB"/>
    <w:rsid w:val="001D3FB7"/>
    <w:rsid w:val="001D46BD"/>
    <w:rsid w:val="001D497F"/>
    <w:rsid w:val="001D4DE0"/>
    <w:rsid w:val="001D50C1"/>
    <w:rsid w:val="001D7627"/>
    <w:rsid w:val="001E18F3"/>
    <w:rsid w:val="001E19D7"/>
    <w:rsid w:val="001E5ED8"/>
    <w:rsid w:val="001E6EE6"/>
    <w:rsid w:val="001F3EB5"/>
    <w:rsid w:val="001F4E30"/>
    <w:rsid w:val="001F5502"/>
    <w:rsid w:val="001F64A8"/>
    <w:rsid w:val="001F76C6"/>
    <w:rsid w:val="00200C20"/>
    <w:rsid w:val="002018DE"/>
    <w:rsid w:val="002022BA"/>
    <w:rsid w:val="00203B04"/>
    <w:rsid w:val="00203F7E"/>
    <w:rsid w:val="00204297"/>
    <w:rsid w:val="00204339"/>
    <w:rsid w:val="00205B89"/>
    <w:rsid w:val="002062A5"/>
    <w:rsid w:val="00207CB9"/>
    <w:rsid w:val="00212FBA"/>
    <w:rsid w:val="002141D9"/>
    <w:rsid w:val="0021500E"/>
    <w:rsid w:val="002153AA"/>
    <w:rsid w:val="00216422"/>
    <w:rsid w:val="00216889"/>
    <w:rsid w:val="00221CE6"/>
    <w:rsid w:val="002231B1"/>
    <w:rsid w:val="00224581"/>
    <w:rsid w:val="00225473"/>
    <w:rsid w:val="00226AB7"/>
    <w:rsid w:val="0023086C"/>
    <w:rsid w:val="00230CD9"/>
    <w:rsid w:val="00232B6B"/>
    <w:rsid w:val="00233173"/>
    <w:rsid w:val="00233473"/>
    <w:rsid w:val="002346B4"/>
    <w:rsid w:val="00237CD9"/>
    <w:rsid w:val="00244CAF"/>
    <w:rsid w:val="00247A5B"/>
    <w:rsid w:val="00247AB7"/>
    <w:rsid w:val="00254D97"/>
    <w:rsid w:val="0025530D"/>
    <w:rsid w:val="00257B76"/>
    <w:rsid w:val="0026024A"/>
    <w:rsid w:val="0026173A"/>
    <w:rsid w:val="00262D54"/>
    <w:rsid w:val="00263B23"/>
    <w:rsid w:val="00264F1F"/>
    <w:rsid w:val="002662F9"/>
    <w:rsid w:val="002737B8"/>
    <w:rsid w:val="00273CB3"/>
    <w:rsid w:val="00277CCF"/>
    <w:rsid w:val="00280AD0"/>
    <w:rsid w:val="00287D90"/>
    <w:rsid w:val="00292323"/>
    <w:rsid w:val="00292A10"/>
    <w:rsid w:val="00295D9D"/>
    <w:rsid w:val="002963B4"/>
    <w:rsid w:val="00297959"/>
    <w:rsid w:val="002A130B"/>
    <w:rsid w:val="002A253D"/>
    <w:rsid w:val="002A2AF4"/>
    <w:rsid w:val="002A47A5"/>
    <w:rsid w:val="002A4C66"/>
    <w:rsid w:val="002A4F4D"/>
    <w:rsid w:val="002A731F"/>
    <w:rsid w:val="002B46DF"/>
    <w:rsid w:val="002B46E3"/>
    <w:rsid w:val="002B516D"/>
    <w:rsid w:val="002C04B3"/>
    <w:rsid w:val="002C141E"/>
    <w:rsid w:val="002C2C0B"/>
    <w:rsid w:val="002C3B6E"/>
    <w:rsid w:val="002C4856"/>
    <w:rsid w:val="002C610C"/>
    <w:rsid w:val="002C678E"/>
    <w:rsid w:val="002C7F17"/>
    <w:rsid w:val="002D1745"/>
    <w:rsid w:val="002D2FF9"/>
    <w:rsid w:val="002D38C6"/>
    <w:rsid w:val="002D444A"/>
    <w:rsid w:val="002D4CB2"/>
    <w:rsid w:val="002D5797"/>
    <w:rsid w:val="002D5B52"/>
    <w:rsid w:val="002D70E0"/>
    <w:rsid w:val="002D76A1"/>
    <w:rsid w:val="002E0074"/>
    <w:rsid w:val="002E0F26"/>
    <w:rsid w:val="002E165F"/>
    <w:rsid w:val="002E19E6"/>
    <w:rsid w:val="002E1CE9"/>
    <w:rsid w:val="002E280C"/>
    <w:rsid w:val="002E2F62"/>
    <w:rsid w:val="002E4B50"/>
    <w:rsid w:val="002E5559"/>
    <w:rsid w:val="002E5E61"/>
    <w:rsid w:val="002E6FFC"/>
    <w:rsid w:val="002E7D0F"/>
    <w:rsid w:val="002F0ED2"/>
    <w:rsid w:val="002F3C7C"/>
    <w:rsid w:val="002F443D"/>
    <w:rsid w:val="002F48AC"/>
    <w:rsid w:val="002F53E0"/>
    <w:rsid w:val="002F7475"/>
    <w:rsid w:val="003009FB"/>
    <w:rsid w:val="00300FA8"/>
    <w:rsid w:val="00301C32"/>
    <w:rsid w:val="003029C0"/>
    <w:rsid w:val="00305A34"/>
    <w:rsid w:val="00312730"/>
    <w:rsid w:val="00312B2B"/>
    <w:rsid w:val="00313291"/>
    <w:rsid w:val="00313A44"/>
    <w:rsid w:val="003169A6"/>
    <w:rsid w:val="00317F18"/>
    <w:rsid w:val="003245E9"/>
    <w:rsid w:val="00324C09"/>
    <w:rsid w:val="00325945"/>
    <w:rsid w:val="00325E94"/>
    <w:rsid w:val="003263FB"/>
    <w:rsid w:val="00326919"/>
    <w:rsid w:val="00327FBE"/>
    <w:rsid w:val="0033019D"/>
    <w:rsid w:val="00331750"/>
    <w:rsid w:val="00335C0B"/>
    <w:rsid w:val="0033652C"/>
    <w:rsid w:val="003369A3"/>
    <w:rsid w:val="003369AB"/>
    <w:rsid w:val="00337354"/>
    <w:rsid w:val="00340727"/>
    <w:rsid w:val="0034223E"/>
    <w:rsid w:val="003424C5"/>
    <w:rsid w:val="003464CA"/>
    <w:rsid w:val="00346B70"/>
    <w:rsid w:val="0035565D"/>
    <w:rsid w:val="0036073D"/>
    <w:rsid w:val="003616B8"/>
    <w:rsid w:val="003618FC"/>
    <w:rsid w:val="0036316C"/>
    <w:rsid w:val="003631B1"/>
    <w:rsid w:val="003646FC"/>
    <w:rsid w:val="00364C11"/>
    <w:rsid w:val="00364CF9"/>
    <w:rsid w:val="00371D09"/>
    <w:rsid w:val="00373533"/>
    <w:rsid w:val="003747DC"/>
    <w:rsid w:val="00376CAF"/>
    <w:rsid w:val="00377E9F"/>
    <w:rsid w:val="00380A80"/>
    <w:rsid w:val="00381745"/>
    <w:rsid w:val="0038177D"/>
    <w:rsid w:val="00382C91"/>
    <w:rsid w:val="00384519"/>
    <w:rsid w:val="00390B7C"/>
    <w:rsid w:val="00390DD6"/>
    <w:rsid w:val="003927B6"/>
    <w:rsid w:val="00393E38"/>
    <w:rsid w:val="00395423"/>
    <w:rsid w:val="00396458"/>
    <w:rsid w:val="003974DF"/>
    <w:rsid w:val="003A335A"/>
    <w:rsid w:val="003A3C1E"/>
    <w:rsid w:val="003A688B"/>
    <w:rsid w:val="003B035E"/>
    <w:rsid w:val="003B1350"/>
    <w:rsid w:val="003B1F0A"/>
    <w:rsid w:val="003B30CA"/>
    <w:rsid w:val="003B4A20"/>
    <w:rsid w:val="003B6389"/>
    <w:rsid w:val="003B6FF9"/>
    <w:rsid w:val="003B72AE"/>
    <w:rsid w:val="003C1B76"/>
    <w:rsid w:val="003C216F"/>
    <w:rsid w:val="003C2447"/>
    <w:rsid w:val="003C26CF"/>
    <w:rsid w:val="003C2C94"/>
    <w:rsid w:val="003C5816"/>
    <w:rsid w:val="003C7001"/>
    <w:rsid w:val="003C700F"/>
    <w:rsid w:val="003C7248"/>
    <w:rsid w:val="003C76ED"/>
    <w:rsid w:val="003D2E74"/>
    <w:rsid w:val="003D34AB"/>
    <w:rsid w:val="003D3F11"/>
    <w:rsid w:val="003D40FA"/>
    <w:rsid w:val="003D4B2D"/>
    <w:rsid w:val="003D4E9A"/>
    <w:rsid w:val="003E028D"/>
    <w:rsid w:val="003E3493"/>
    <w:rsid w:val="003E4723"/>
    <w:rsid w:val="003E7CE5"/>
    <w:rsid w:val="003F013A"/>
    <w:rsid w:val="003F1B8B"/>
    <w:rsid w:val="003F2745"/>
    <w:rsid w:val="00402CE6"/>
    <w:rsid w:val="00404D17"/>
    <w:rsid w:val="00405B63"/>
    <w:rsid w:val="00405FAA"/>
    <w:rsid w:val="0041024D"/>
    <w:rsid w:val="00411803"/>
    <w:rsid w:val="0041397D"/>
    <w:rsid w:val="0041721E"/>
    <w:rsid w:val="00422965"/>
    <w:rsid w:val="0042404A"/>
    <w:rsid w:val="004245AF"/>
    <w:rsid w:val="004248A9"/>
    <w:rsid w:val="00427047"/>
    <w:rsid w:val="004270C6"/>
    <w:rsid w:val="00430379"/>
    <w:rsid w:val="004305AC"/>
    <w:rsid w:val="0043203C"/>
    <w:rsid w:val="004346E2"/>
    <w:rsid w:val="00434B60"/>
    <w:rsid w:val="0043631F"/>
    <w:rsid w:val="00437E6C"/>
    <w:rsid w:val="004402EE"/>
    <w:rsid w:val="004409F9"/>
    <w:rsid w:val="004431A5"/>
    <w:rsid w:val="004431D8"/>
    <w:rsid w:val="004434E7"/>
    <w:rsid w:val="00444561"/>
    <w:rsid w:val="004518A2"/>
    <w:rsid w:val="00452CC0"/>
    <w:rsid w:val="00452D73"/>
    <w:rsid w:val="00454AD5"/>
    <w:rsid w:val="0045511E"/>
    <w:rsid w:val="004559F9"/>
    <w:rsid w:val="00460912"/>
    <w:rsid w:val="0046231A"/>
    <w:rsid w:val="00462489"/>
    <w:rsid w:val="00463A7B"/>
    <w:rsid w:val="00463AE2"/>
    <w:rsid w:val="004642B5"/>
    <w:rsid w:val="00464807"/>
    <w:rsid w:val="00464E57"/>
    <w:rsid w:val="00466002"/>
    <w:rsid w:val="00467A4F"/>
    <w:rsid w:val="00467F53"/>
    <w:rsid w:val="00470A27"/>
    <w:rsid w:val="00470C33"/>
    <w:rsid w:val="004728FB"/>
    <w:rsid w:val="004757BB"/>
    <w:rsid w:val="00477189"/>
    <w:rsid w:val="004834EF"/>
    <w:rsid w:val="00483C90"/>
    <w:rsid w:val="0048616C"/>
    <w:rsid w:val="004862C4"/>
    <w:rsid w:val="004901C6"/>
    <w:rsid w:val="00490A60"/>
    <w:rsid w:val="00490D23"/>
    <w:rsid w:val="00490E7A"/>
    <w:rsid w:val="004924C2"/>
    <w:rsid w:val="0049631A"/>
    <w:rsid w:val="004A3FED"/>
    <w:rsid w:val="004A7753"/>
    <w:rsid w:val="004B1FE7"/>
    <w:rsid w:val="004B3370"/>
    <w:rsid w:val="004B38E2"/>
    <w:rsid w:val="004B396E"/>
    <w:rsid w:val="004B7038"/>
    <w:rsid w:val="004C2892"/>
    <w:rsid w:val="004C3C52"/>
    <w:rsid w:val="004C442F"/>
    <w:rsid w:val="004D48F9"/>
    <w:rsid w:val="004D4E7E"/>
    <w:rsid w:val="004D5C34"/>
    <w:rsid w:val="004D73A9"/>
    <w:rsid w:val="004D755E"/>
    <w:rsid w:val="004E06EE"/>
    <w:rsid w:val="004E34C2"/>
    <w:rsid w:val="004E509D"/>
    <w:rsid w:val="004E6E18"/>
    <w:rsid w:val="004E7A44"/>
    <w:rsid w:val="004F1293"/>
    <w:rsid w:val="004F1472"/>
    <w:rsid w:val="004F15EF"/>
    <w:rsid w:val="004F1BC5"/>
    <w:rsid w:val="004F4105"/>
    <w:rsid w:val="004F46D6"/>
    <w:rsid w:val="004F60F9"/>
    <w:rsid w:val="004F6CA4"/>
    <w:rsid w:val="00500E8B"/>
    <w:rsid w:val="005026DE"/>
    <w:rsid w:val="005036EB"/>
    <w:rsid w:val="0050453E"/>
    <w:rsid w:val="005075C2"/>
    <w:rsid w:val="005176EC"/>
    <w:rsid w:val="005204CE"/>
    <w:rsid w:val="00520C9A"/>
    <w:rsid w:val="00521516"/>
    <w:rsid w:val="005242BC"/>
    <w:rsid w:val="005276A1"/>
    <w:rsid w:val="00531655"/>
    <w:rsid w:val="0053276C"/>
    <w:rsid w:val="00532A9E"/>
    <w:rsid w:val="00533D1D"/>
    <w:rsid w:val="00535180"/>
    <w:rsid w:val="00535C2D"/>
    <w:rsid w:val="005367D0"/>
    <w:rsid w:val="00540C00"/>
    <w:rsid w:val="005436D6"/>
    <w:rsid w:val="00545E7C"/>
    <w:rsid w:val="00546547"/>
    <w:rsid w:val="00546761"/>
    <w:rsid w:val="005473E4"/>
    <w:rsid w:val="00550B93"/>
    <w:rsid w:val="00551D5A"/>
    <w:rsid w:val="00552243"/>
    <w:rsid w:val="00554F75"/>
    <w:rsid w:val="0055729F"/>
    <w:rsid w:val="0056341F"/>
    <w:rsid w:val="00570E6B"/>
    <w:rsid w:val="00571468"/>
    <w:rsid w:val="005724C5"/>
    <w:rsid w:val="005757FC"/>
    <w:rsid w:val="00575D55"/>
    <w:rsid w:val="00575EE2"/>
    <w:rsid w:val="0057620C"/>
    <w:rsid w:val="0057627D"/>
    <w:rsid w:val="0058102F"/>
    <w:rsid w:val="005854D5"/>
    <w:rsid w:val="0058637F"/>
    <w:rsid w:val="00586C71"/>
    <w:rsid w:val="0058763A"/>
    <w:rsid w:val="00592137"/>
    <w:rsid w:val="00596028"/>
    <w:rsid w:val="0059719D"/>
    <w:rsid w:val="005972FB"/>
    <w:rsid w:val="00597C81"/>
    <w:rsid w:val="005A0BAF"/>
    <w:rsid w:val="005A23FD"/>
    <w:rsid w:val="005A31B6"/>
    <w:rsid w:val="005A3C7B"/>
    <w:rsid w:val="005A4B5C"/>
    <w:rsid w:val="005A7233"/>
    <w:rsid w:val="005B0B4B"/>
    <w:rsid w:val="005B131D"/>
    <w:rsid w:val="005B28CA"/>
    <w:rsid w:val="005B2AEF"/>
    <w:rsid w:val="005B3B42"/>
    <w:rsid w:val="005B52D3"/>
    <w:rsid w:val="005B606E"/>
    <w:rsid w:val="005C23DB"/>
    <w:rsid w:val="005C3EF4"/>
    <w:rsid w:val="005C5A2D"/>
    <w:rsid w:val="005C7172"/>
    <w:rsid w:val="005D0AB7"/>
    <w:rsid w:val="005E01B2"/>
    <w:rsid w:val="005E0AF0"/>
    <w:rsid w:val="005E182B"/>
    <w:rsid w:val="005E2913"/>
    <w:rsid w:val="005E31EF"/>
    <w:rsid w:val="005E3EA5"/>
    <w:rsid w:val="005F3758"/>
    <w:rsid w:val="005F53F7"/>
    <w:rsid w:val="005F6059"/>
    <w:rsid w:val="005F6C92"/>
    <w:rsid w:val="005F7F5C"/>
    <w:rsid w:val="00600459"/>
    <w:rsid w:val="006022FB"/>
    <w:rsid w:val="00603191"/>
    <w:rsid w:val="00603565"/>
    <w:rsid w:val="00604CB6"/>
    <w:rsid w:val="006053FD"/>
    <w:rsid w:val="00605F2B"/>
    <w:rsid w:val="00613A2F"/>
    <w:rsid w:val="006160A2"/>
    <w:rsid w:val="00617226"/>
    <w:rsid w:val="006178D5"/>
    <w:rsid w:val="006203DD"/>
    <w:rsid w:val="0062213E"/>
    <w:rsid w:val="006240DD"/>
    <w:rsid w:val="00626537"/>
    <w:rsid w:val="00627877"/>
    <w:rsid w:val="00632815"/>
    <w:rsid w:val="00632C7F"/>
    <w:rsid w:val="00634384"/>
    <w:rsid w:val="00637B68"/>
    <w:rsid w:val="006409BD"/>
    <w:rsid w:val="0064200C"/>
    <w:rsid w:val="0064284C"/>
    <w:rsid w:val="00645163"/>
    <w:rsid w:val="0065377B"/>
    <w:rsid w:val="006552C9"/>
    <w:rsid w:val="0065618B"/>
    <w:rsid w:val="0065693D"/>
    <w:rsid w:val="00657B47"/>
    <w:rsid w:val="0066073E"/>
    <w:rsid w:val="00661B1A"/>
    <w:rsid w:val="00662B10"/>
    <w:rsid w:val="00662C2E"/>
    <w:rsid w:val="00663458"/>
    <w:rsid w:val="00665DC2"/>
    <w:rsid w:val="006705BE"/>
    <w:rsid w:val="00670D7A"/>
    <w:rsid w:val="0067287E"/>
    <w:rsid w:val="0067658D"/>
    <w:rsid w:val="006779FE"/>
    <w:rsid w:val="00680418"/>
    <w:rsid w:val="00682B00"/>
    <w:rsid w:val="00682E33"/>
    <w:rsid w:val="006855A7"/>
    <w:rsid w:val="00686A3B"/>
    <w:rsid w:val="00690549"/>
    <w:rsid w:val="00691D2D"/>
    <w:rsid w:val="006922A4"/>
    <w:rsid w:val="006925AA"/>
    <w:rsid w:val="0069379D"/>
    <w:rsid w:val="00694319"/>
    <w:rsid w:val="00694E13"/>
    <w:rsid w:val="00695977"/>
    <w:rsid w:val="0069646C"/>
    <w:rsid w:val="00696848"/>
    <w:rsid w:val="00696934"/>
    <w:rsid w:val="006A35D6"/>
    <w:rsid w:val="006A4B2D"/>
    <w:rsid w:val="006A780E"/>
    <w:rsid w:val="006B1278"/>
    <w:rsid w:val="006B1BAD"/>
    <w:rsid w:val="006B258E"/>
    <w:rsid w:val="006B29F1"/>
    <w:rsid w:val="006B4348"/>
    <w:rsid w:val="006B792D"/>
    <w:rsid w:val="006C034E"/>
    <w:rsid w:val="006C03F8"/>
    <w:rsid w:val="006C17BF"/>
    <w:rsid w:val="006C1F08"/>
    <w:rsid w:val="006C250C"/>
    <w:rsid w:val="006C3BE7"/>
    <w:rsid w:val="006C495B"/>
    <w:rsid w:val="006C634D"/>
    <w:rsid w:val="006C66BB"/>
    <w:rsid w:val="006C76C5"/>
    <w:rsid w:val="006C7BCE"/>
    <w:rsid w:val="006D0A10"/>
    <w:rsid w:val="006D3721"/>
    <w:rsid w:val="006D40DE"/>
    <w:rsid w:val="006D5823"/>
    <w:rsid w:val="006D5E36"/>
    <w:rsid w:val="006D750E"/>
    <w:rsid w:val="006D7CF0"/>
    <w:rsid w:val="006E0729"/>
    <w:rsid w:val="006E1BED"/>
    <w:rsid w:val="006E1D55"/>
    <w:rsid w:val="006E27B6"/>
    <w:rsid w:val="006E5159"/>
    <w:rsid w:val="006E5360"/>
    <w:rsid w:val="006E564D"/>
    <w:rsid w:val="006E6116"/>
    <w:rsid w:val="006E648F"/>
    <w:rsid w:val="006E6896"/>
    <w:rsid w:val="006E6C10"/>
    <w:rsid w:val="006E6EEE"/>
    <w:rsid w:val="006E7C23"/>
    <w:rsid w:val="006E7F4F"/>
    <w:rsid w:val="006F1CC9"/>
    <w:rsid w:val="006F326E"/>
    <w:rsid w:val="006F5A77"/>
    <w:rsid w:val="006F661E"/>
    <w:rsid w:val="007000C9"/>
    <w:rsid w:val="007014EE"/>
    <w:rsid w:val="00702AB1"/>
    <w:rsid w:val="007048EE"/>
    <w:rsid w:val="00705606"/>
    <w:rsid w:val="007074E0"/>
    <w:rsid w:val="00707F61"/>
    <w:rsid w:val="00711DD9"/>
    <w:rsid w:val="00712A98"/>
    <w:rsid w:val="00714878"/>
    <w:rsid w:val="007148F1"/>
    <w:rsid w:val="007218E9"/>
    <w:rsid w:val="00723005"/>
    <w:rsid w:val="00723235"/>
    <w:rsid w:val="00723C2F"/>
    <w:rsid w:val="00726058"/>
    <w:rsid w:val="0072780D"/>
    <w:rsid w:val="0073091B"/>
    <w:rsid w:val="00731507"/>
    <w:rsid w:val="00731AC8"/>
    <w:rsid w:val="007330EA"/>
    <w:rsid w:val="00734D2A"/>
    <w:rsid w:val="00735449"/>
    <w:rsid w:val="00735490"/>
    <w:rsid w:val="0074353E"/>
    <w:rsid w:val="00745002"/>
    <w:rsid w:val="00745005"/>
    <w:rsid w:val="00754BD8"/>
    <w:rsid w:val="00754F73"/>
    <w:rsid w:val="00756E42"/>
    <w:rsid w:val="007573A8"/>
    <w:rsid w:val="007609A8"/>
    <w:rsid w:val="00761B2A"/>
    <w:rsid w:val="007620DA"/>
    <w:rsid w:val="007646A7"/>
    <w:rsid w:val="007650EE"/>
    <w:rsid w:val="00765CED"/>
    <w:rsid w:val="0076708F"/>
    <w:rsid w:val="00772EDB"/>
    <w:rsid w:val="007751A3"/>
    <w:rsid w:val="0078066B"/>
    <w:rsid w:val="00782677"/>
    <w:rsid w:val="00782F1F"/>
    <w:rsid w:val="00790F0F"/>
    <w:rsid w:val="00790F6A"/>
    <w:rsid w:val="0079147F"/>
    <w:rsid w:val="00792397"/>
    <w:rsid w:val="00792717"/>
    <w:rsid w:val="007932CC"/>
    <w:rsid w:val="00793569"/>
    <w:rsid w:val="00793AAC"/>
    <w:rsid w:val="0079542D"/>
    <w:rsid w:val="007A5F5C"/>
    <w:rsid w:val="007A6309"/>
    <w:rsid w:val="007B0713"/>
    <w:rsid w:val="007B0FF7"/>
    <w:rsid w:val="007B7BAF"/>
    <w:rsid w:val="007C15BE"/>
    <w:rsid w:val="007C1F85"/>
    <w:rsid w:val="007C20B8"/>
    <w:rsid w:val="007C4280"/>
    <w:rsid w:val="007C4334"/>
    <w:rsid w:val="007C5FAE"/>
    <w:rsid w:val="007C6426"/>
    <w:rsid w:val="007C6E7B"/>
    <w:rsid w:val="007D0478"/>
    <w:rsid w:val="007D1932"/>
    <w:rsid w:val="007D4540"/>
    <w:rsid w:val="007D59AA"/>
    <w:rsid w:val="007D6234"/>
    <w:rsid w:val="007D676D"/>
    <w:rsid w:val="007E0C72"/>
    <w:rsid w:val="007E1CF7"/>
    <w:rsid w:val="007E3472"/>
    <w:rsid w:val="007E40E1"/>
    <w:rsid w:val="007E468A"/>
    <w:rsid w:val="007E6D24"/>
    <w:rsid w:val="007E744A"/>
    <w:rsid w:val="007F3FA4"/>
    <w:rsid w:val="007F516E"/>
    <w:rsid w:val="007F62BB"/>
    <w:rsid w:val="007F6B45"/>
    <w:rsid w:val="007F742D"/>
    <w:rsid w:val="0080099B"/>
    <w:rsid w:val="00801EA8"/>
    <w:rsid w:val="00804ECC"/>
    <w:rsid w:val="0081102F"/>
    <w:rsid w:val="00813731"/>
    <w:rsid w:val="008137AE"/>
    <w:rsid w:val="00813D3A"/>
    <w:rsid w:val="00815630"/>
    <w:rsid w:val="00816022"/>
    <w:rsid w:val="0082050B"/>
    <w:rsid w:val="008208A7"/>
    <w:rsid w:val="0082441F"/>
    <w:rsid w:val="00827BEB"/>
    <w:rsid w:val="00827DE8"/>
    <w:rsid w:val="00831607"/>
    <w:rsid w:val="00832780"/>
    <w:rsid w:val="00836814"/>
    <w:rsid w:val="00837092"/>
    <w:rsid w:val="00837588"/>
    <w:rsid w:val="00837E79"/>
    <w:rsid w:val="00840DF7"/>
    <w:rsid w:val="008418CB"/>
    <w:rsid w:val="00850B76"/>
    <w:rsid w:val="00850FA3"/>
    <w:rsid w:val="00852FF1"/>
    <w:rsid w:val="00854040"/>
    <w:rsid w:val="00856ABC"/>
    <w:rsid w:val="00857E81"/>
    <w:rsid w:val="008604AB"/>
    <w:rsid w:val="00864ABA"/>
    <w:rsid w:val="00864BE3"/>
    <w:rsid w:val="0087139B"/>
    <w:rsid w:val="00871671"/>
    <w:rsid w:val="008735FB"/>
    <w:rsid w:val="008746BB"/>
    <w:rsid w:val="00874C58"/>
    <w:rsid w:val="00874D96"/>
    <w:rsid w:val="00874E4B"/>
    <w:rsid w:val="0087518E"/>
    <w:rsid w:val="0087573B"/>
    <w:rsid w:val="00875B3B"/>
    <w:rsid w:val="00875BA5"/>
    <w:rsid w:val="00876528"/>
    <w:rsid w:val="00880104"/>
    <w:rsid w:val="00882DA2"/>
    <w:rsid w:val="00885147"/>
    <w:rsid w:val="00886781"/>
    <w:rsid w:val="008875B9"/>
    <w:rsid w:val="0089073A"/>
    <w:rsid w:val="00891C1D"/>
    <w:rsid w:val="00892C36"/>
    <w:rsid w:val="0089304D"/>
    <w:rsid w:val="0089538E"/>
    <w:rsid w:val="00895A09"/>
    <w:rsid w:val="008A0068"/>
    <w:rsid w:val="008A0A4F"/>
    <w:rsid w:val="008A2ECA"/>
    <w:rsid w:val="008A404C"/>
    <w:rsid w:val="008A6BAA"/>
    <w:rsid w:val="008A6D34"/>
    <w:rsid w:val="008A754B"/>
    <w:rsid w:val="008B0536"/>
    <w:rsid w:val="008B237A"/>
    <w:rsid w:val="008B3084"/>
    <w:rsid w:val="008B3238"/>
    <w:rsid w:val="008B3C0A"/>
    <w:rsid w:val="008B429A"/>
    <w:rsid w:val="008C0B41"/>
    <w:rsid w:val="008C3A7E"/>
    <w:rsid w:val="008C520D"/>
    <w:rsid w:val="008D1024"/>
    <w:rsid w:val="008D1B01"/>
    <w:rsid w:val="008D30D6"/>
    <w:rsid w:val="008E00A5"/>
    <w:rsid w:val="008E360B"/>
    <w:rsid w:val="008E4EA3"/>
    <w:rsid w:val="008E5061"/>
    <w:rsid w:val="008E6561"/>
    <w:rsid w:val="008E7A03"/>
    <w:rsid w:val="008F0609"/>
    <w:rsid w:val="008F3012"/>
    <w:rsid w:val="008F5136"/>
    <w:rsid w:val="008F67A2"/>
    <w:rsid w:val="009004CD"/>
    <w:rsid w:val="00904E02"/>
    <w:rsid w:val="009061F0"/>
    <w:rsid w:val="009118DA"/>
    <w:rsid w:val="0091531F"/>
    <w:rsid w:val="009155F3"/>
    <w:rsid w:val="00915AB0"/>
    <w:rsid w:val="00915F16"/>
    <w:rsid w:val="00916040"/>
    <w:rsid w:val="00916C98"/>
    <w:rsid w:val="00920CE0"/>
    <w:rsid w:val="0092110B"/>
    <w:rsid w:val="0092128A"/>
    <w:rsid w:val="00921331"/>
    <w:rsid w:val="009229C7"/>
    <w:rsid w:val="00923C26"/>
    <w:rsid w:val="0092503D"/>
    <w:rsid w:val="00925FE0"/>
    <w:rsid w:val="009277D2"/>
    <w:rsid w:val="009277D4"/>
    <w:rsid w:val="009317A1"/>
    <w:rsid w:val="009330AE"/>
    <w:rsid w:val="0093494C"/>
    <w:rsid w:val="00935863"/>
    <w:rsid w:val="00935E43"/>
    <w:rsid w:val="00937970"/>
    <w:rsid w:val="00940942"/>
    <w:rsid w:val="00952C55"/>
    <w:rsid w:val="0095304B"/>
    <w:rsid w:val="00956338"/>
    <w:rsid w:val="00956704"/>
    <w:rsid w:val="00957159"/>
    <w:rsid w:val="00957D14"/>
    <w:rsid w:val="00960DF4"/>
    <w:rsid w:val="00963240"/>
    <w:rsid w:val="00965A23"/>
    <w:rsid w:val="00967FDB"/>
    <w:rsid w:val="00975FAF"/>
    <w:rsid w:val="009764AF"/>
    <w:rsid w:val="00980455"/>
    <w:rsid w:val="00980769"/>
    <w:rsid w:val="0098150A"/>
    <w:rsid w:val="00982EBC"/>
    <w:rsid w:val="00983416"/>
    <w:rsid w:val="009839FD"/>
    <w:rsid w:val="009844E3"/>
    <w:rsid w:val="00985732"/>
    <w:rsid w:val="0098775D"/>
    <w:rsid w:val="00987A65"/>
    <w:rsid w:val="00990BF1"/>
    <w:rsid w:val="0099286F"/>
    <w:rsid w:val="00992D6A"/>
    <w:rsid w:val="00994382"/>
    <w:rsid w:val="00994D0A"/>
    <w:rsid w:val="009A1DD7"/>
    <w:rsid w:val="009A5962"/>
    <w:rsid w:val="009A607C"/>
    <w:rsid w:val="009A639A"/>
    <w:rsid w:val="009B4C9B"/>
    <w:rsid w:val="009B6106"/>
    <w:rsid w:val="009B62E2"/>
    <w:rsid w:val="009C39DC"/>
    <w:rsid w:val="009C3A2E"/>
    <w:rsid w:val="009C48FC"/>
    <w:rsid w:val="009C5830"/>
    <w:rsid w:val="009D21D5"/>
    <w:rsid w:val="009D32EF"/>
    <w:rsid w:val="009D4139"/>
    <w:rsid w:val="009D6538"/>
    <w:rsid w:val="009E0D8A"/>
    <w:rsid w:val="009E105D"/>
    <w:rsid w:val="009E2D41"/>
    <w:rsid w:val="009E395F"/>
    <w:rsid w:val="009E645F"/>
    <w:rsid w:val="009F102D"/>
    <w:rsid w:val="009F3934"/>
    <w:rsid w:val="009F785C"/>
    <w:rsid w:val="00A0433F"/>
    <w:rsid w:val="00A070F2"/>
    <w:rsid w:val="00A10FC6"/>
    <w:rsid w:val="00A12878"/>
    <w:rsid w:val="00A131A0"/>
    <w:rsid w:val="00A13B67"/>
    <w:rsid w:val="00A1411D"/>
    <w:rsid w:val="00A14983"/>
    <w:rsid w:val="00A14E2A"/>
    <w:rsid w:val="00A14ED4"/>
    <w:rsid w:val="00A175C2"/>
    <w:rsid w:val="00A17748"/>
    <w:rsid w:val="00A22CA6"/>
    <w:rsid w:val="00A23CB5"/>
    <w:rsid w:val="00A24C9F"/>
    <w:rsid w:val="00A309BA"/>
    <w:rsid w:val="00A33623"/>
    <w:rsid w:val="00A35396"/>
    <w:rsid w:val="00A36AF9"/>
    <w:rsid w:val="00A41B04"/>
    <w:rsid w:val="00A42398"/>
    <w:rsid w:val="00A46FE8"/>
    <w:rsid w:val="00A5302B"/>
    <w:rsid w:val="00A54773"/>
    <w:rsid w:val="00A572BA"/>
    <w:rsid w:val="00A5748B"/>
    <w:rsid w:val="00A61FB6"/>
    <w:rsid w:val="00A653E2"/>
    <w:rsid w:val="00A65F5B"/>
    <w:rsid w:val="00A663E0"/>
    <w:rsid w:val="00A66E40"/>
    <w:rsid w:val="00A70F2A"/>
    <w:rsid w:val="00A71770"/>
    <w:rsid w:val="00A72C41"/>
    <w:rsid w:val="00A73466"/>
    <w:rsid w:val="00A73539"/>
    <w:rsid w:val="00A73B0F"/>
    <w:rsid w:val="00A756A3"/>
    <w:rsid w:val="00A75957"/>
    <w:rsid w:val="00A761C4"/>
    <w:rsid w:val="00A76C39"/>
    <w:rsid w:val="00A80886"/>
    <w:rsid w:val="00A835F5"/>
    <w:rsid w:val="00A83688"/>
    <w:rsid w:val="00A8382E"/>
    <w:rsid w:val="00A83F0A"/>
    <w:rsid w:val="00A85FBE"/>
    <w:rsid w:val="00A907B9"/>
    <w:rsid w:val="00A90EF9"/>
    <w:rsid w:val="00A9110F"/>
    <w:rsid w:val="00A9533B"/>
    <w:rsid w:val="00A9561C"/>
    <w:rsid w:val="00A96AB9"/>
    <w:rsid w:val="00A971BD"/>
    <w:rsid w:val="00AA2A58"/>
    <w:rsid w:val="00AA3350"/>
    <w:rsid w:val="00AA385C"/>
    <w:rsid w:val="00AA42CB"/>
    <w:rsid w:val="00AA67A5"/>
    <w:rsid w:val="00AA774A"/>
    <w:rsid w:val="00AB6726"/>
    <w:rsid w:val="00AB73B2"/>
    <w:rsid w:val="00AC0273"/>
    <w:rsid w:val="00AC4103"/>
    <w:rsid w:val="00AC687C"/>
    <w:rsid w:val="00AC7686"/>
    <w:rsid w:val="00AD2856"/>
    <w:rsid w:val="00AD5DD4"/>
    <w:rsid w:val="00AE3754"/>
    <w:rsid w:val="00AE6159"/>
    <w:rsid w:val="00AE6C89"/>
    <w:rsid w:val="00AE76BC"/>
    <w:rsid w:val="00AF3FEB"/>
    <w:rsid w:val="00AF47DC"/>
    <w:rsid w:val="00AF50F7"/>
    <w:rsid w:val="00AF5893"/>
    <w:rsid w:val="00AF6965"/>
    <w:rsid w:val="00B01EB0"/>
    <w:rsid w:val="00B0268B"/>
    <w:rsid w:val="00B06732"/>
    <w:rsid w:val="00B12818"/>
    <w:rsid w:val="00B135E2"/>
    <w:rsid w:val="00B14060"/>
    <w:rsid w:val="00B156F8"/>
    <w:rsid w:val="00B15F26"/>
    <w:rsid w:val="00B16736"/>
    <w:rsid w:val="00B16BEE"/>
    <w:rsid w:val="00B179D4"/>
    <w:rsid w:val="00B20438"/>
    <w:rsid w:val="00B20CA5"/>
    <w:rsid w:val="00B23EFE"/>
    <w:rsid w:val="00B25E9D"/>
    <w:rsid w:val="00B27388"/>
    <w:rsid w:val="00B3249D"/>
    <w:rsid w:val="00B32E95"/>
    <w:rsid w:val="00B3328C"/>
    <w:rsid w:val="00B35F01"/>
    <w:rsid w:val="00B37DD1"/>
    <w:rsid w:val="00B40C0B"/>
    <w:rsid w:val="00B41073"/>
    <w:rsid w:val="00B4544F"/>
    <w:rsid w:val="00B45F94"/>
    <w:rsid w:val="00B46F34"/>
    <w:rsid w:val="00B47798"/>
    <w:rsid w:val="00B50CD8"/>
    <w:rsid w:val="00B51A45"/>
    <w:rsid w:val="00B51F4D"/>
    <w:rsid w:val="00B52ED8"/>
    <w:rsid w:val="00B55823"/>
    <w:rsid w:val="00B55D03"/>
    <w:rsid w:val="00B5760A"/>
    <w:rsid w:val="00B60130"/>
    <w:rsid w:val="00B60AF3"/>
    <w:rsid w:val="00B628C1"/>
    <w:rsid w:val="00B629AD"/>
    <w:rsid w:val="00B629F6"/>
    <w:rsid w:val="00B659C3"/>
    <w:rsid w:val="00B7008E"/>
    <w:rsid w:val="00B71B2B"/>
    <w:rsid w:val="00B7358C"/>
    <w:rsid w:val="00B74385"/>
    <w:rsid w:val="00B74A70"/>
    <w:rsid w:val="00B752DF"/>
    <w:rsid w:val="00B7661B"/>
    <w:rsid w:val="00B82A1C"/>
    <w:rsid w:val="00B90176"/>
    <w:rsid w:val="00B93763"/>
    <w:rsid w:val="00B941D7"/>
    <w:rsid w:val="00B944AA"/>
    <w:rsid w:val="00BA0FDA"/>
    <w:rsid w:val="00BA2F55"/>
    <w:rsid w:val="00BA4ABB"/>
    <w:rsid w:val="00BA7BCB"/>
    <w:rsid w:val="00BA7CB6"/>
    <w:rsid w:val="00BB1472"/>
    <w:rsid w:val="00BB30A6"/>
    <w:rsid w:val="00BB392F"/>
    <w:rsid w:val="00BB5FE8"/>
    <w:rsid w:val="00BB7435"/>
    <w:rsid w:val="00BC3897"/>
    <w:rsid w:val="00BC510B"/>
    <w:rsid w:val="00BC691E"/>
    <w:rsid w:val="00BD1C89"/>
    <w:rsid w:val="00BD1E10"/>
    <w:rsid w:val="00BD34E7"/>
    <w:rsid w:val="00BD47DD"/>
    <w:rsid w:val="00BD4ED2"/>
    <w:rsid w:val="00BE1179"/>
    <w:rsid w:val="00BE267D"/>
    <w:rsid w:val="00BE2F0E"/>
    <w:rsid w:val="00BE37E1"/>
    <w:rsid w:val="00BE41E5"/>
    <w:rsid w:val="00BE5C52"/>
    <w:rsid w:val="00BE5CA5"/>
    <w:rsid w:val="00BE6C73"/>
    <w:rsid w:val="00BE6F0F"/>
    <w:rsid w:val="00BF0ED4"/>
    <w:rsid w:val="00BF176C"/>
    <w:rsid w:val="00BF2671"/>
    <w:rsid w:val="00BF4D39"/>
    <w:rsid w:val="00C00AAB"/>
    <w:rsid w:val="00C01AE4"/>
    <w:rsid w:val="00C05489"/>
    <w:rsid w:val="00C10405"/>
    <w:rsid w:val="00C12E3D"/>
    <w:rsid w:val="00C1310A"/>
    <w:rsid w:val="00C1374C"/>
    <w:rsid w:val="00C1472C"/>
    <w:rsid w:val="00C14A0E"/>
    <w:rsid w:val="00C15CB4"/>
    <w:rsid w:val="00C16F51"/>
    <w:rsid w:val="00C20DC8"/>
    <w:rsid w:val="00C2389A"/>
    <w:rsid w:val="00C262DE"/>
    <w:rsid w:val="00C269DA"/>
    <w:rsid w:val="00C305E9"/>
    <w:rsid w:val="00C31AAE"/>
    <w:rsid w:val="00C31DBF"/>
    <w:rsid w:val="00C348A7"/>
    <w:rsid w:val="00C34F3C"/>
    <w:rsid w:val="00C36E84"/>
    <w:rsid w:val="00C42ED9"/>
    <w:rsid w:val="00C43762"/>
    <w:rsid w:val="00C4451B"/>
    <w:rsid w:val="00C44B12"/>
    <w:rsid w:val="00C468A2"/>
    <w:rsid w:val="00C46969"/>
    <w:rsid w:val="00C5101A"/>
    <w:rsid w:val="00C529E4"/>
    <w:rsid w:val="00C534F9"/>
    <w:rsid w:val="00C54A3F"/>
    <w:rsid w:val="00C61A0E"/>
    <w:rsid w:val="00C61BF4"/>
    <w:rsid w:val="00C63979"/>
    <w:rsid w:val="00C64FEE"/>
    <w:rsid w:val="00C71999"/>
    <w:rsid w:val="00C74F35"/>
    <w:rsid w:val="00C75076"/>
    <w:rsid w:val="00C816C2"/>
    <w:rsid w:val="00C81755"/>
    <w:rsid w:val="00C81788"/>
    <w:rsid w:val="00C82239"/>
    <w:rsid w:val="00C82911"/>
    <w:rsid w:val="00C83B35"/>
    <w:rsid w:val="00C84722"/>
    <w:rsid w:val="00C84F2E"/>
    <w:rsid w:val="00C8554B"/>
    <w:rsid w:val="00C9471F"/>
    <w:rsid w:val="00C947AC"/>
    <w:rsid w:val="00C95AA9"/>
    <w:rsid w:val="00C96153"/>
    <w:rsid w:val="00C96768"/>
    <w:rsid w:val="00CA1F7A"/>
    <w:rsid w:val="00CA206E"/>
    <w:rsid w:val="00CA2C1C"/>
    <w:rsid w:val="00CA36D2"/>
    <w:rsid w:val="00CA4C6B"/>
    <w:rsid w:val="00CA4F1E"/>
    <w:rsid w:val="00CA62C4"/>
    <w:rsid w:val="00CA74C4"/>
    <w:rsid w:val="00CA7FC1"/>
    <w:rsid w:val="00CB28BC"/>
    <w:rsid w:val="00CB4BF3"/>
    <w:rsid w:val="00CB7422"/>
    <w:rsid w:val="00CB7B0C"/>
    <w:rsid w:val="00CC1140"/>
    <w:rsid w:val="00CC17F6"/>
    <w:rsid w:val="00CC2B1C"/>
    <w:rsid w:val="00CC2E71"/>
    <w:rsid w:val="00CC403F"/>
    <w:rsid w:val="00CD08BE"/>
    <w:rsid w:val="00CD0A4C"/>
    <w:rsid w:val="00CD5982"/>
    <w:rsid w:val="00CD5FD9"/>
    <w:rsid w:val="00CE15E6"/>
    <w:rsid w:val="00CE20EB"/>
    <w:rsid w:val="00CE46E5"/>
    <w:rsid w:val="00CE5400"/>
    <w:rsid w:val="00CE5BCD"/>
    <w:rsid w:val="00CE64A6"/>
    <w:rsid w:val="00CE757C"/>
    <w:rsid w:val="00CF2857"/>
    <w:rsid w:val="00CF3D19"/>
    <w:rsid w:val="00CF614C"/>
    <w:rsid w:val="00CF6EAE"/>
    <w:rsid w:val="00CF76E3"/>
    <w:rsid w:val="00D001C0"/>
    <w:rsid w:val="00D04CC5"/>
    <w:rsid w:val="00D06F50"/>
    <w:rsid w:val="00D0768B"/>
    <w:rsid w:val="00D07CFA"/>
    <w:rsid w:val="00D07D8D"/>
    <w:rsid w:val="00D109B8"/>
    <w:rsid w:val="00D11182"/>
    <w:rsid w:val="00D11811"/>
    <w:rsid w:val="00D1678A"/>
    <w:rsid w:val="00D21FF9"/>
    <w:rsid w:val="00D24667"/>
    <w:rsid w:val="00D267EA"/>
    <w:rsid w:val="00D26AB1"/>
    <w:rsid w:val="00D27083"/>
    <w:rsid w:val="00D279F7"/>
    <w:rsid w:val="00D305F5"/>
    <w:rsid w:val="00D32FB0"/>
    <w:rsid w:val="00D354D0"/>
    <w:rsid w:val="00D36ACD"/>
    <w:rsid w:val="00D407A1"/>
    <w:rsid w:val="00D40BFF"/>
    <w:rsid w:val="00D43FEE"/>
    <w:rsid w:val="00D44006"/>
    <w:rsid w:val="00D4455D"/>
    <w:rsid w:val="00D451FE"/>
    <w:rsid w:val="00D4636D"/>
    <w:rsid w:val="00D46429"/>
    <w:rsid w:val="00D46A3A"/>
    <w:rsid w:val="00D50A8A"/>
    <w:rsid w:val="00D50BB2"/>
    <w:rsid w:val="00D516C7"/>
    <w:rsid w:val="00D5209D"/>
    <w:rsid w:val="00D521F3"/>
    <w:rsid w:val="00D536E9"/>
    <w:rsid w:val="00D54171"/>
    <w:rsid w:val="00D54D33"/>
    <w:rsid w:val="00D563CE"/>
    <w:rsid w:val="00D57805"/>
    <w:rsid w:val="00D57C51"/>
    <w:rsid w:val="00D60446"/>
    <w:rsid w:val="00D61D02"/>
    <w:rsid w:val="00D63BF5"/>
    <w:rsid w:val="00D66AD2"/>
    <w:rsid w:val="00D67C85"/>
    <w:rsid w:val="00D72805"/>
    <w:rsid w:val="00D72C01"/>
    <w:rsid w:val="00D73F5B"/>
    <w:rsid w:val="00D73FA3"/>
    <w:rsid w:val="00D74965"/>
    <w:rsid w:val="00D83B34"/>
    <w:rsid w:val="00D8456B"/>
    <w:rsid w:val="00D870EB"/>
    <w:rsid w:val="00D904F1"/>
    <w:rsid w:val="00D932D3"/>
    <w:rsid w:val="00D94E64"/>
    <w:rsid w:val="00D966BE"/>
    <w:rsid w:val="00DA2F59"/>
    <w:rsid w:val="00DA3A3D"/>
    <w:rsid w:val="00DA40FC"/>
    <w:rsid w:val="00DA51FC"/>
    <w:rsid w:val="00DB0C46"/>
    <w:rsid w:val="00DB41E2"/>
    <w:rsid w:val="00DB7ECF"/>
    <w:rsid w:val="00DC0B7D"/>
    <w:rsid w:val="00DC2773"/>
    <w:rsid w:val="00DC2C3D"/>
    <w:rsid w:val="00DC48F5"/>
    <w:rsid w:val="00DC4975"/>
    <w:rsid w:val="00DC534F"/>
    <w:rsid w:val="00DD04B1"/>
    <w:rsid w:val="00DD1F13"/>
    <w:rsid w:val="00DD2211"/>
    <w:rsid w:val="00DD2E94"/>
    <w:rsid w:val="00DD36ED"/>
    <w:rsid w:val="00DD5067"/>
    <w:rsid w:val="00DD544B"/>
    <w:rsid w:val="00DD727D"/>
    <w:rsid w:val="00DE4C86"/>
    <w:rsid w:val="00DE4F72"/>
    <w:rsid w:val="00DE65FF"/>
    <w:rsid w:val="00DE7650"/>
    <w:rsid w:val="00DF0649"/>
    <w:rsid w:val="00DF0E0E"/>
    <w:rsid w:val="00DF1D65"/>
    <w:rsid w:val="00DF2E4C"/>
    <w:rsid w:val="00DF41D8"/>
    <w:rsid w:val="00DF452D"/>
    <w:rsid w:val="00E00A09"/>
    <w:rsid w:val="00E01079"/>
    <w:rsid w:val="00E04D10"/>
    <w:rsid w:val="00E05070"/>
    <w:rsid w:val="00E05B26"/>
    <w:rsid w:val="00E05D20"/>
    <w:rsid w:val="00E06C8E"/>
    <w:rsid w:val="00E074A7"/>
    <w:rsid w:val="00E07E68"/>
    <w:rsid w:val="00E119CB"/>
    <w:rsid w:val="00E11D95"/>
    <w:rsid w:val="00E12DF1"/>
    <w:rsid w:val="00E13B3C"/>
    <w:rsid w:val="00E13D4F"/>
    <w:rsid w:val="00E14228"/>
    <w:rsid w:val="00E1423E"/>
    <w:rsid w:val="00E16063"/>
    <w:rsid w:val="00E16C2E"/>
    <w:rsid w:val="00E203D5"/>
    <w:rsid w:val="00E2161C"/>
    <w:rsid w:val="00E22CF8"/>
    <w:rsid w:val="00E24BB0"/>
    <w:rsid w:val="00E25D43"/>
    <w:rsid w:val="00E263CB"/>
    <w:rsid w:val="00E300CF"/>
    <w:rsid w:val="00E347AB"/>
    <w:rsid w:val="00E35227"/>
    <w:rsid w:val="00E36853"/>
    <w:rsid w:val="00E36BE4"/>
    <w:rsid w:val="00E40F57"/>
    <w:rsid w:val="00E42BF2"/>
    <w:rsid w:val="00E4402B"/>
    <w:rsid w:val="00E441F0"/>
    <w:rsid w:val="00E44ADA"/>
    <w:rsid w:val="00E46C90"/>
    <w:rsid w:val="00E51E24"/>
    <w:rsid w:val="00E5300E"/>
    <w:rsid w:val="00E5308C"/>
    <w:rsid w:val="00E543D3"/>
    <w:rsid w:val="00E5447C"/>
    <w:rsid w:val="00E54A23"/>
    <w:rsid w:val="00E55B3C"/>
    <w:rsid w:val="00E55C4C"/>
    <w:rsid w:val="00E568E8"/>
    <w:rsid w:val="00E56A98"/>
    <w:rsid w:val="00E62775"/>
    <w:rsid w:val="00E63B15"/>
    <w:rsid w:val="00E6689F"/>
    <w:rsid w:val="00E678C9"/>
    <w:rsid w:val="00E7169B"/>
    <w:rsid w:val="00E72528"/>
    <w:rsid w:val="00E732A1"/>
    <w:rsid w:val="00E73304"/>
    <w:rsid w:val="00E73C4F"/>
    <w:rsid w:val="00E74386"/>
    <w:rsid w:val="00E74612"/>
    <w:rsid w:val="00E76092"/>
    <w:rsid w:val="00E772E3"/>
    <w:rsid w:val="00E809EE"/>
    <w:rsid w:val="00E817E2"/>
    <w:rsid w:val="00E84452"/>
    <w:rsid w:val="00E8477C"/>
    <w:rsid w:val="00E86FFF"/>
    <w:rsid w:val="00E91855"/>
    <w:rsid w:val="00E93EE7"/>
    <w:rsid w:val="00E948FC"/>
    <w:rsid w:val="00E94B06"/>
    <w:rsid w:val="00E955DB"/>
    <w:rsid w:val="00E97CCB"/>
    <w:rsid w:val="00EA3FE6"/>
    <w:rsid w:val="00EA4873"/>
    <w:rsid w:val="00EA48CA"/>
    <w:rsid w:val="00EA4E39"/>
    <w:rsid w:val="00EA5D7A"/>
    <w:rsid w:val="00EB15C8"/>
    <w:rsid w:val="00EB5979"/>
    <w:rsid w:val="00EB5AC1"/>
    <w:rsid w:val="00EB61A7"/>
    <w:rsid w:val="00EB635D"/>
    <w:rsid w:val="00EB66F5"/>
    <w:rsid w:val="00EC0E7D"/>
    <w:rsid w:val="00EC1F46"/>
    <w:rsid w:val="00EC24E9"/>
    <w:rsid w:val="00EC281D"/>
    <w:rsid w:val="00EC2ABD"/>
    <w:rsid w:val="00EC35AA"/>
    <w:rsid w:val="00ED017F"/>
    <w:rsid w:val="00ED079D"/>
    <w:rsid w:val="00ED138C"/>
    <w:rsid w:val="00ED3F16"/>
    <w:rsid w:val="00ED5771"/>
    <w:rsid w:val="00ED6251"/>
    <w:rsid w:val="00EE085A"/>
    <w:rsid w:val="00EE21FE"/>
    <w:rsid w:val="00EE243A"/>
    <w:rsid w:val="00EE2FBF"/>
    <w:rsid w:val="00EE31CE"/>
    <w:rsid w:val="00EE3306"/>
    <w:rsid w:val="00EE65C0"/>
    <w:rsid w:val="00EF262D"/>
    <w:rsid w:val="00EF2878"/>
    <w:rsid w:val="00EF3883"/>
    <w:rsid w:val="00EF5C2F"/>
    <w:rsid w:val="00EF67A3"/>
    <w:rsid w:val="00EF76C0"/>
    <w:rsid w:val="00F00431"/>
    <w:rsid w:val="00F005F1"/>
    <w:rsid w:val="00F0449A"/>
    <w:rsid w:val="00F07079"/>
    <w:rsid w:val="00F07AD6"/>
    <w:rsid w:val="00F1178C"/>
    <w:rsid w:val="00F147B8"/>
    <w:rsid w:val="00F16D1C"/>
    <w:rsid w:val="00F207D7"/>
    <w:rsid w:val="00F24849"/>
    <w:rsid w:val="00F26C4D"/>
    <w:rsid w:val="00F31579"/>
    <w:rsid w:val="00F32343"/>
    <w:rsid w:val="00F33ED4"/>
    <w:rsid w:val="00F36206"/>
    <w:rsid w:val="00F37314"/>
    <w:rsid w:val="00F42255"/>
    <w:rsid w:val="00F430D4"/>
    <w:rsid w:val="00F4352B"/>
    <w:rsid w:val="00F4401A"/>
    <w:rsid w:val="00F4536A"/>
    <w:rsid w:val="00F45F93"/>
    <w:rsid w:val="00F528ED"/>
    <w:rsid w:val="00F5453D"/>
    <w:rsid w:val="00F60A6E"/>
    <w:rsid w:val="00F61A52"/>
    <w:rsid w:val="00F63937"/>
    <w:rsid w:val="00F641F0"/>
    <w:rsid w:val="00F650AD"/>
    <w:rsid w:val="00F66F88"/>
    <w:rsid w:val="00F700E0"/>
    <w:rsid w:val="00F73568"/>
    <w:rsid w:val="00F74175"/>
    <w:rsid w:val="00F76002"/>
    <w:rsid w:val="00F80310"/>
    <w:rsid w:val="00F80499"/>
    <w:rsid w:val="00F81A89"/>
    <w:rsid w:val="00F82E4C"/>
    <w:rsid w:val="00F833AB"/>
    <w:rsid w:val="00F90C71"/>
    <w:rsid w:val="00F91B0E"/>
    <w:rsid w:val="00F92A22"/>
    <w:rsid w:val="00F93964"/>
    <w:rsid w:val="00F95A23"/>
    <w:rsid w:val="00F96D5D"/>
    <w:rsid w:val="00FA0559"/>
    <w:rsid w:val="00FA2F86"/>
    <w:rsid w:val="00FA44A6"/>
    <w:rsid w:val="00FA53BE"/>
    <w:rsid w:val="00FA6B02"/>
    <w:rsid w:val="00FB16BB"/>
    <w:rsid w:val="00FB2028"/>
    <w:rsid w:val="00FB2390"/>
    <w:rsid w:val="00FB2689"/>
    <w:rsid w:val="00FB5B6F"/>
    <w:rsid w:val="00FB5F23"/>
    <w:rsid w:val="00FC127F"/>
    <w:rsid w:val="00FC148F"/>
    <w:rsid w:val="00FC2023"/>
    <w:rsid w:val="00FC3435"/>
    <w:rsid w:val="00FC3536"/>
    <w:rsid w:val="00FC58D4"/>
    <w:rsid w:val="00FD0191"/>
    <w:rsid w:val="00FD1182"/>
    <w:rsid w:val="00FD2B2E"/>
    <w:rsid w:val="00FD403A"/>
    <w:rsid w:val="00FD4DCC"/>
    <w:rsid w:val="00FD660E"/>
    <w:rsid w:val="00FE2D1C"/>
    <w:rsid w:val="00FE2EBE"/>
    <w:rsid w:val="00FE3F09"/>
    <w:rsid w:val="00FE4E57"/>
    <w:rsid w:val="00FE55C8"/>
    <w:rsid w:val="00FE705E"/>
    <w:rsid w:val="00FF1CB6"/>
    <w:rsid w:val="00FF22B0"/>
    <w:rsid w:val="00FF3493"/>
    <w:rsid w:val="00FF7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CFE38B"/>
  <w15:docId w15:val="{CDAA0B32-771B-B149-AEC2-51115DC8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FA3"/>
    <w:pPr>
      <w:widowControl w:val="0"/>
      <w:overflowPunct w:val="0"/>
      <w:autoSpaceDE w:val="0"/>
      <w:autoSpaceDN w:val="0"/>
      <w:adjustRightInd w:val="0"/>
      <w:textAlignment w:val="baseline"/>
    </w:pPr>
    <w:rPr>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ALTS FOOTNOTE,Footnote Text Ch,Footnote Text Char Char1 Char,Footnote Text Char Char1 Char Char Char,Footnote Text Char1,Footnote Text Char1 Char1,Footnote Text Char1 Char1 Char Char,Footnote Text Char2 Char Char1 Char Char Char,f,fn,fn Ch"/>
    <w:basedOn w:val="Normal"/>
    <w:link w:val="FootnoteTextChar"/>
    <w:qFormat/>
    <w:rsid w:val="00C44B12"/>
    <w:pPr>
      <w:tabs>
        <w:tab w:val="left" w:pos="-720"/>
      </w:tabs>
      <w:suppressAutoHyphens/>
    </w:pPr>
    <w:rPr>
      <w:lang w:val="x-none" w:eastAsia="x-none"/>
    </w:rPr>
  </w:style>
  <w:style w:type="character" w:styleId="FootnoteReference">
    <w:name w:val="footnote reference"/>
    <w:aliases w:val="(NECG) Footnote Reference,Appel note de bas de p,FR,Footnote Reference/,Footnote Reference1,Style 12,Style 124,Style 13,Style 17,Style 20,Style 3,Style 34,Style 4,Style 6,Style 7,Style 9,callout,fr,o"/>
    <w:rsid w:val="00C44B12"/>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sid w:val="00C44B1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sid w:val="00C44B12"/>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C44B12"/>
    <w:pPr>
      <w:keepNext/>
      <w:keepLines/>
      <w:widowControl w:val="0"/>
      <w:tabs>
        <w:tab w:val="left" w:pos="-720"/>
      </w:tabs>
      <w:suppressAutoHyphens/>
      <w:overflowPunct w:val="0"/>
      <w:autoSpaceDE w:val="0"/>
      <w:autoSpaceDN w:val="0"/>
      <w:adjustRightInd w:val="0"/>
      <w:textAlignment w:val="baseline"/>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sid w:val="00C44B12"/>
    <w:rPr>
      <w:rFonts w:ascii="Times New Roman" w:hAnsi="Times New Roman"/>
      <w:noProof w:val="0"/>
      <w:sz w:val="24"/>
      <w:vertAlign w:val="superscript"/>
      <w:lang w:val="en-US"/>
    </w:rPr>
  </w:style>
  <w:style w:type="paragraph" w:customStyle="1" w:styleId="footnotetex">
    <w:name w:val="footnote tex"/>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footnoteref">
    <w:name w:val="footnote ref"/>
    <w:rsid w:val="00C44B12"/>
    <w:rPr>
      <w:rFonts w:ascii="Times New Roman" w:hAnsi="Times New Roman"/>
      <w:noProof w:val="0"/>
      <w:sz w:val="24"/>
      <w:vertAlign w:val="superscript"/>
      <w:lang w:val="en-US"/>
    </w:rPr>
  </w:style>
  <w:style w:type="character" w:customStyle="1" w:styleId="EquationCa">
    <w:name w:val="_Equation Ca"/>
    <w:basedOn w:val="DefaultParagraphFont"/>
  </w:style>
  <w:style w:type="paragraph" w:customStyle="1" w:styleId="MACDocument">
    <w:name w:val="MACDocument"/>
    <w:rsid w:val="00C44B12"/>
    <w:pPr>
      <w:widowControl w:val="0"/>
      <w:tabs>
        <w:tab w:val="left" w:pos="-1440"/>
        <w:tab w:val="left" w:pos="-720"/>
      </w:tabs>
      <w:suppressAutoHyphens/>
      <w:overflowPunct w:val="0"/>
      <w:autoSpaceDE w:val="0"/>
      <w:autoSpaceDN w:val="0"/>
      <w:adjustRightInd w:val="0"/>
      <w:textAlignment w:val="baseline"/>
    </w:pPr>
    <w:rP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rsid w:val="00C44B12"/>
    <w:pPr>
      <w:widowControl w:val="0"/>
      <w:tabs>
        <w:tab w:val="left" w:pos="-720"/>
      </w:tabs>
      <w:suppressAutoHyphens/>
      <w:overflowPunct w:val="0"/>
      <w:autoSpaceDE w:val="0"/>
      <w:autoSpaceDN w:val="0"/>
      <w:adjustRightInd w:val="0"/>
      <w:textAlignment w:val="baseline"/>
    </w:pPr>
    <w:rPr>
      <w:sz w:val="16"/>
    </w:rPr>
  </w:style>
  <w:style w:type="paragraph" w:customStyle="1" w:styleId="Footer1">
    <w:name w:val="Footer1"/>
    <w:rsid w:val="00C44B12"/>
    <w:pPr>
      <w:widowControl w:val="0"/>
      <w:tabs>
        <w:tab w:val="center" w:pos="4140"/>
        <w:tab w:val="right" w:pos="8280"/>
        <w:tab w:val="left" w:pos="9000"/>
      </w:tabs>
      <w:suppressAutoHyphens/>
      <w:overflowPunct w:val="0"/>
      <w:autoSpaceDE w:val="0"/>
      <w:autoSpaceDN w:val="0"/>
      <w:adjustRightInd w:val="0"/>
      <w:textAlignment w:val="baseline"/>
    </w:pPr>
    <w:rPr>
      <w:color w:val="000000"/>
      <w:sz w:val="24"/>
    </w:rPr>
  </w:style>
  <w:style w:type="paragraph" w:customStyle="1" w:styleId="Header1">
    <w:name w:val="Header1"/>
    <w:rsid w:val="00C44B12"/>
    <w:pPr>
      <w:widowControl w:val="0"/>
      <w:tabs>
        <w:tab w:val="left" w:pos="-720"/>
      </w:tabs>
      <w:suppressAutoHyphens/>
      <w:overflowPunct w:val="0"/>
      <w:autoSpaceDE w:val="0"/>
      <w:autoSpaceDN w:val="0"/>
      <w:adjustRightInd w:val="0"/>
      <w:textAlignment w:val="baseline"/>
    </w:pPr>
  </w:style>
  <w:style w:type="paragraph" w:customStyle="1" w:styleId="NORMALINDEN">
    <w:name w:val="NORMAL INDEN"/>
    <w:rsid w:val="00C44B1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style>
  <w:style w:type="paragraph" w:customStyle="1" w:styleId="heading1n">
    <w:name w:val="heading 1 (n"/>
    <w:rsid w:val="00C44B12"/>
    <w:pPr>
      <w:widowControl w:val="0"/>
      <w:tabs>
        <w:tab w:val="left" w:pos="-720"/>
      </w:tabs>
      <w:suppressAutoHyphens/>
      <w:overflowPunct w:val="0"/>
      <w:autoSpaceDE w:val="0"/>
      <w:autoSpaceDN w:val="0"/>
      <w:adjustRightInd w:val="0"/>
      <w:jc w:val="center"/>
      <w:textAlignment w:val="baseline"/>
    </w:pPr>
    <w:rPr>
      <w:b/>
      <w:smallCaps/>
      <w:color w:val="000080"/>
      <w:sz w:val="24"/>
    </w:rPr>
  </w:style>
  <w:style w:type="paragraph" w:customStyle="1" w:styleId="heading2n">
    <w:name w:val="heading 2 (n"/>
    <w:rsid w:val="00C44B12"/>
    <w:pPr>
      <w:widowControl w:val="0"/>
      <w:tabs>
        <w:tab w:val="left" w:pos="-720"/>
      </w:tabs>
      <w:suppressAutoHyphens/>
      <w:overflowPunct w:val="0"/>
      <w:autoSpaceDE w:val="0"/>
      <w:autoSpaceDN w:val="0"/>
      <w:adjustRightInd w:val="0"/>
      <w:jc w:val="center"/>
      <w:textAlignment w:val="baseline"/>
    </w:pPr>
    <w:rPr>
      <w:b/>
      <w:color w:val="800080"/>
      <w:sz w:val="24"/>
    </w:rPr>
  </w:style>
  <w:style w:type="paragraph" w:customStyle="1" w:styleId="BodyText1">
    <w:name w:val="Body Text1"/>
    <w:rsid w:val="00C44B12"/>
    <w:pPr>
      <w:widowControl w:val="0"/>
      <w:tabs>
        <w:tab w:val="left" w:pos="-720"/>
      </w:tabs>
      <w:suppressAutoHyphens/>
      <w:overflowPunct w:val="0"/>
      <w:autoSpaceDE w:val="0"/>
      <w:autoSpaceDN w:val="0"/>
      <w:adjustRightInd w:val="0"/>
      <w:textAlignment w:val="baseline"/>
    </w:pPr>
    <w:rPr>
      <w:sz w:val="24"/>
    </w:rPr>
  </w:style>
  <w:style w:type="paragraph" w:customStyle="1" w:styleId="heading3n">
    <w:name w:val="heading 3 (n"/>
    <w:rsid w:val="00C44B12"/>
    <w:pPr>
      <w:widowControl w:val="0"/>
      <w:tabs>
        <w:tab w:val="left" w:pos="-720"/>
      </w:tabs>
      <w:suppressAutoHyphens/>
      <w:overflowPunct w:val="0"/>
      <w:autoSpaceDE w:val="0"/>
      <w:autoSpaceDN w:val="0"/>
      <w:adjustRightInd w:val="0"/>
      <w:textAlignment w:val="baseline"/>
    </w:pPr>
    <w:rPr>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rsid w:val="00C44B1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rsid w:val="00C44B12"/>
    <w:pPr>
      <w:widowControl w:val="0"/>
      <w:tabs>
        <w:tab w:val="left" w:pos="-720"/>
      </w:tabs>
      <w:suppressAutoHyphens/>
      <w:overflowPunct w:val="0"/>
      <w:autoSpaceDE w:val="0"/>
      <w:autoSpaceDN w:val="0"/>
      <w:adjustRightInd w:val="0"/>
      <w:textAlignment w:val="baseline"/>
    </w:pPr>
    <w:rPr>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rsid w:val="00C44B12"/>
    <w:pPr>
      <w:widowControl w:val="0"/>
      <w:tabs>
        <w:tab w:val="left" w:pos="-720"/>
      </w:tabs>
      <w:suppressAutoHyphens/>
      <w:overflowPunct w:val="0"/>
      <w:autoSpaceDE w:val="0"/>
      <w:autoSpaceDN w:val="0"/>
      <w:adjustRightInd w:val="0"/>
      <w:textAlignment w:val="baseline"/>
    </w:pPr>
    <w:rPr>
      <w:b/>
      <w:i/>
      <w:sz w:val="24"/>
    </w:rPr>
  </w:style>
  <w:style w:type="paragraph" w:customStyle="1" w:styleId="List1d">
    <w:name w:val="List 1.d"/>
    <w:rsid w:val="00C44B12"/>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2d">
    <w:name w:val="List 2.d"/>
    <w:rsid w:val="00C44B12"/>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3d">
    <w:name w:val="List 3.d"/>
    <w:rsid w:val="00C44B12"/>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4d">
    <w:name w:val="List 4.d"/>
    <w:rsid w:val="00C44B12"/>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rsid w:val="00C44B12"/>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aliases w:val="ALTS FOOTNOTE Char,Footnote Text Char Char1 Char Char,Footnote Text Char Char1 Char Char Char Char,Footnote Text Char1 Char1 Char,Footnote Text Char1 Char1 Char Char Char,Footnote Text Char2 Char Char1 Char Char Char Char,fn Char"/>
    <w:link w:val="FootnoteText"/>
    <w:rsid w:val="00C44B12"/>
    <w:rPr>
      <w:sz w:val="24"/>
      <w:lang w:val="x-none" w:eastAsia="x-none"/>
    </w:rPr>
  </w:style>
  <w:style w:type="paragraph" w:customStyle="1" w:styleId="ParaNum">
    <w:name w:val="ParaNum"/>
    <w:basedOn w:val="Normal"/>
    <w:link w:val="ParaNumCharChar1"/>
    <w:rsid w:val="00C529E4"/>
    <w:pPr>
      <w:numPr>
        <w:numId w:val="19"/>
      </w:numPr>
      <w:overflowPunct/>
      <w:autoSpaceDE/>
      <w:autoSpaceDN/>
      <w:adjustRightInd/>
      <w:spacing w:after="120"/>
      <w:textAlignment w:val="auto"/>
    </w:pPr>
    <w:rPr>
      <w:snapToGrid w:val="0"/>
      <w:kern w:val="28"/>
      <w:sz w:val="22"/>
      <w:lang w:val="x-none" w:eastAsia="x-none"/>
    </w:rPr>
  </w:style>
  <w:style w:type="character" w:customStyle="1" w:styleId="ParaNumCharChar1">
    <w:name w:val="ParaNum Char Char1"/>
    <w:link w:val="ParaNum"/>
    <w:locked/>
    <w:rsid w:val="00C529E4"/>
    <w:rPr>
      <w:snapToGrid w:val="0"/>
      <w:kern w:val="28"/>
      <w:sz w:val="22"/>
      <w:lang w:val="x-none" w:eastAsia="x-none"/>
    </w:r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ocked/>
    <w:rsid w:val="00C529E4"/>
  </w:style>
  <w:style w:type="paragraph" w:customStyle="1" w:styleId="ParaNumCharChar">
    <w:name w:val="ParaNum Char Char"/>
    <w:basedOn w:val="Normal"/>
    <w:rsid w:val="00A36AF9"/>
    <w:pPr>
      <w:widowControl/>
      <w:tabs>
        <w:tab w:val="num" w:pos="360"/>
      </w:tabs>
      <w:overflowPunct/>
      <w:spacing w:after="220"/>
      <w:textAlignment w:val="auto"/>
    </w:pPr>
    <w:rPr>
      <w:kern w:val="28"/>
      <w:sz w:val="22"/>
      <w:szCs w:val="22"/>
    </w:rPr>
  </w:style>
  <w:style w:type="paragraph" w:styleId="NoSpacing">
    <w:name w:val="No Spacing"/>
    <w:aliases w:val="Pers Pref Body"/>
    <w:next w:val="Normal"/>
    <w:link w:val="NoSpacingChar"/>
    <w:uiPriority w:val="1"/>
    <w:qFormat/>
    <w:rsid w:val="006053FD"/>
    <w:pPr>
      <w:tabs>
        <w:tab w:val="left" w:pos="0"/>
      </w:tabs>
      <w:spacing w:before="120" w:after="120"/>
      <w:contextualSpacing/>
    </w:pPr>
    <w:rPr>
      <w:rFonts w:ascii="Calibri" w:hAnsi="Calibri" w:eastAsiaTheme="minorHAnsi" w:cstheme="minorBidi"/>
      <w:sz w:val="22"/>
      <w:szCs w:val="22"/>
    </w:rPr>
  </w:style>
  <w:style w:type="character" w:customStyle="1" w:styleId="NoSpacingChar">
    <w:name w:val="No Spacing Char"/>
    <w:aliases w:val="Pers Pref Body Char"/>
    <w:basedOn w:val="DefaultParagraphFont"/>
    <w:link w:val="NoSpacing"/>
    <w:uiPriority w:val="1"/>
    <w:locked/>
    <w:rsid w:val="006053FD"/>
    <w:rPr>
      <w:rFonts w:ascii="Calibri" w:hAnsi="Calibri" w:eastAsiaTheme="minorHAnsi" w:cstheme="minorBidi"/>
      <w:sz w:val="22"/>
      <w:szCs w:val="22"/>
    </w:rPr>
  </w:style>
  <w:style w:type="paragraph" w:styleId="Revision">
    <w:name w:val="Revision"/>
    <w:hidden/>
    <w:uiPriority w:val="99"/>
    <w:semiHidden/>
    <w:rsid w:val="00A14E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091-A506-4F92-8B33-3A3A9B33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3060-0760</vt:lpstr>
    </vt:vector>
  </TitlesOfParts>
  <Company>FCC</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3060-0760</dc:title>
  <dc:creator>SHAIR</dc:creator>
  <cp:lastModifiedBy>Nicole Ongele</cp:lastModifiedBy>
  <cp:revision>2</cp:revision>
  <cp:lastPrinted>2017-06-07T18:30:00Z</cp:lastPrinted>
  <dcterms:created xsi:type="dcterms:W3CDTF">2023-05-09T22:07:00Z</dcterms:created>
  <dcterms:modified xsi:type="dcterms:W3CDTF">2023-05-09T22:07:00Z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author">
    <vt:lpwstr>SHAIR</vt:lpwstr>
  </property>
  <property fmtid="{D5CDD505-2E9C-101B-9397-08002B2CF9AE}" pid="3" name="eBook-filename">
    <vt:lpwstr>3060-0760ss.lit</vt:lpwstr>
  </property>
  <property fmtid="{D5CDD505-2E9C-101B-9397-08002B2CF9AE}" pid="4" name="eBook-title">
    <vt:lpwstr>                                                                                              3060-0760</vt:lpwstr>
  </property>
</Properties>
</file>