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6241" w:rsidP="00E919FA" w14:paraId="512A7F31" w14:textId="77777777">
      <w:pPr>
        <w:widowControl w:val="0"/>
        <w:spacing w:after="0"/>
        <w:jc w:val="center"/>
        <w:rPr>
          <w:rFonts w:ascii="Times New Roman" w:hAnsi="Times New Roman"/>
          <w:smallCaps/>
          <w:sz w:val="40"/>
          <w:szCs w:val="40"/>
        </w:rPr>
      </w:pPr>
      <w:bookmarkStart w:id="0" w:name="_GoBack"/>
      <w:bookmarkEnd w:id="0"/>
    </w:p>
    <w:p w:rsidR="00D462EC" w:rsidP="00E919FA" w14:paraId="7DE842AA" w14:textId="2321579A">
      <w:pPr>
        <w:widowControl w:val="0"/>
        <w:spacing w:after="0"/>
        <w:jc w:val="center"/>
        <w:rPr>
          <w:rFonts w:ascii="Times New Roman" w:hAnsi="Times New Roman"/>
          <w:smallCaps/>
          <w:sz w:val="40"/>
          <w:szCs w:val="40"/>
        </w:rPr>
      </w:pPr>
      <w:r>
        <w:rPr>
          <w:rFonts w:ascii="Times New Roman" w:hAnsi="Times New Roman"/>
          <w:smallCaps/>
          <w:sz w:val="40"/>
          <w:szCs w:val="40"/>
        </w:rPr>
        <w:t>U.S. C</w:t>
      </w:r>
      <w:r w:rsidR="00662845">
        <w:rPr>
          <w:rFonts w:ascii="Times New Roman" w:hAnsi="Times New Roman"/>
          <w:smallCaps/>
          <w:sz w:val="40"/>
          <w:szCs w:val="40"/>
        </w:rPr>
        <w:t>onsumer</w:t>
      </w:r>
      <w:r>
        <w:rPr>
          <w:rFonts w:ascii="Times New Roman" w:hAnsi="Times New Roman"/>
          <w:smallCaps/>
          <w:sz w:val="40"/>
          <w:szCs w:val="40"/>
        </w:rPr>
        <w:t xml:space="preserve"> Prod</w:t>
      </w:r>
      <w:r w:rsidR="00662845">
        <w:rPr>
          <w:rFonts w:ascii="Times New Roman" w:hAnsi="Times New Roman"/>
          <w:smallCaps/>
          <w:sz w:val="40"/>
          <w:szCs w:val="40"/>
        </w:rPr>
        <w:t xml:space="preserve">uct </w:t>
      </w:r>
      <w:r w:rsidR="00E919FA">
        <w:rPr>
          <w:rFonts w:ascii="Times New Roman" w:hAnsi="Times New Roman"/>
          <w:smallCaps/>
          <w:sz w:val="40"/>
          <w:szCs w:val="40"/>
        </w:rPr>
        <w:t>Safety Commission (CPSC)</w:t>
      </w:r>
    </w:p>
    <w:p w:rsidR="00543C5A" w:rsidP="00E919FA" w14:paraId="7BBDA79C" w14:textId="35D40B80">
      <w:pPr>
        <w:widowControl w:val="0"/>
        <w:spacing w:after="0"/>
        <w:jc w:val="center"/>
        <w:rPr>
          <w:rFonts w:ascii="Times New Roman" w:hAnsi="Times New Roman"/>
          <w:smallCaps/>
          <w:sz w:val="40"/>
          <w:szCs w:val="40"/>
        </w:rPr>
      </w:pPr>
    </w:p>
    <w:p w:rsidR="00543C5A" w:rsidP="00DF01BF" w14:paraId="1C169920" w14:textId="29FD2AF5">
      <w:pPr>
        <w:widowControl w:val="0"/>
        <w:spacing w:after="0"/>
        <w:jc w:val="center"/>
        <w:rPr>
          <w:rFonts w:ascii="Times New Roman" w:hAnsi="Times New Roman"/>
          <w:smallCaps/>
          <w:sz w:val="40"/>
          <w:szCs w:val="40"/>
        </w:rPr>
      </w:pPr>
    </w:p>
    <w:p w:rsidR="00115178" w:rsidP="00B216D5" w14:paraId="6AA08777" w14:textId="77777777">
      <w:pPr>
        <w:widowControl w:val="0"/>
        <w:spacing w:after="0"/>
        <w:jc w:val="center"/>
        <w:rPr>
          <w:rFonts w:ascii="Times New Roman" w:hAnsi="Times New Roman"/>
          <w:i/>
          <w:sz w:val="36"/>
          <w:szCs w:val="36"/>
        </w:rPr>
      </w:pPr>
    </w:p>
    <w:p w:rsidR="00B216D5" w:rsidRPr="00DB5D2D" w:rsidP="00B216D5" w14:paraId="7220E7D8" w14:textId="3E916370">
      <w:pPr>
        <w:widowControl w:val="0"/>
        <w:spacing w:after="0"/>
        <w:jc w:val="center"/>
        <w:rPr>
          <w:rFonts w:ascii="Times New Roman" w:hAnsi="Times New Roman"/>
          <w:i/>
          <w:sz w:val="36"/>
          <w:szCs w:val="36"/>
        </w:rPr>
      </w:pPr>
      <w:r w:rsidRPr="00DB5D2D">
        <w:rPr>
          <w:rFonts w:ascii="Times New Roman" w:hAnsi="Times New Roman"/>
          <w:i/>
          <w:sz w:val="36"/>
          <w:szCs w:val="36"/>
        </w:rPr>
        <w:t>Volume I</w:t>
      </w:r>
    </w:p>
    <w:p w:rsidR="00B216D5" w:rsidRPr="00DB5D2D" w:rsidP="00B216D5" w14:paraId="736B4074" w14:textId="77777777">
      <w:pPr>
        <w:widowControl w:val="0"/>
        <w:jc w:val="center"/>
        <w:rPr>
          <w:rFonts w:ascii="Times New Roman" w:hAnsi="Times New Roman"/>
          <w:i/>
          <w:sz w:val="36"/>
          <w:szCs w:val="36"/>
        </w:rPr>
      </w:pPr>
      <w:r w:rsidRPr="00DB5D2D">
        <w:rPr>
          <w:rFonts w:ascii="Times New Roman" w:hAnsi="Times New Roman"/>
          <w:i/>
          <w:sz w:val="36"/>
          <w:szCs w:val="36"/>
        </w:rPr>
        <w:t>Supporting Statement</w:t>
      </w:r>
    </w:p>
    <w:p w:rsidR="00543C5A" w:rsidP="00E919FA" w14:paraId="7065B3AC" w14:textId="0AE2C151">
      <w:pPr>
        <w:widowControl w:val="0"/>
        <w:spacing w:after="0"/>
        <w:jc w:val="center"/>
      </w:pPr>
    </w:p>
    <w:p w:rsidR="003E333D" w:rsidP="00E919FA" w14:paraId="381F043D" w14:textId="77777777">
      <w:pPr>
        <w:widowControl w:val="0"/>
        <w:spacing w:after="0"/>
        <w:jc w:val="center"/>
      </w:pPr>
    </w:p>
    <w:p w:rsidR="003C21AB" w:rsidRPr="00DB5D2D" w:rsidP="00C376A6" w14:paraId="562FEA66" w14:textId="5ABE6999">
      <w:pPr>
        <w:widowControl w:val="0"/>
        <w:spacing w:after="0"/>
        <w:jc w:val="center"/>
        <w:rPr>
          <w:rFonts w:ascii="Times New Roman" w:hAnsi="Times New Roman"/>
          <w:i/>
          <w:sz w:val="36"/>
          <w:szCs w:val="36"/>
        </w:rPr>
      </w:pPr>
      <w:r>
        <w:rPr>
          <w:rFonts w:ascii="Times New Roman" w:hAnsi="Times New Roman"/>
          <w:i/>
          <w:sz w:val="36"/>
          <w:szCs w:val="36"/>
        </w:rPr>
        <w:t xml:space="preserve">Portable </w:t>
      </w:r>
      <w:r w:rsidR="00C376A6">
        <w:rPr>
          <w:rFonts w:ascii="Times New Roman" w:hAnsi="Times New Roman"/>
          <w:i/>
          <w:sz w:val="36"/>
          <w:szCs w:val="36"/>
        </w:rPr>
        <w:t xml:space="preserve">Electric </w:t>
      </w:r>
      <w:r>
        <w:rPr>
          <w:rFonts w:ascii="Times New Roman" w:hAnsi="Times New Roman"/>
          <w:i/>
          <w:sz w:val="36"/>
          <w:szCs w:val="36"/>
        </w:rPr>
        <w:t>Heater</w:t>
      </w:r>
      <w:r w:rsidR="00C376A6">
        <w:rPr>
          <w:rFonts w:ascii="Times New Roman" w:hAnsi="Times New Roman"/>
          <w:i/>
          <w:sz w:val="36"/>
          <w:szCs w:val="36"/>
        </w:rPr>
        <w:t xml:space="preserve"> (PEH)</w:t>
      </w:r>
    </w:p>
    <w:p w:rsidR="003C21AB" w:rsidP="00E919FA" w14:paraId="0587015A" w14:textId="79EB16B8">
      <w:pPr>
        <w:widowControl w:val="0"/>
        <w:spacing w:after="0"/>
        <w:jc w:val="center"/>
      </w:pPr>
    </w:p>
    <w:p w:rsidR="00E052F0" w:rsidP="00E919FA" w14:paraId="4AD398EA" w14:textId="6487F44A">
      <w:pPr>
        <w:widowControl w:val="0"/>
        <w:spacing w:after="0"/>
        <w:jc w:val="center"/>
        <w:rPr>
          <w:rFonts w:ascii="Times New Roman" w:hAnsi="Times New Roman"/>
          <w:i/>
          <w:iCs/>
          <w:sz w:val="36"/>
          <w:szCs w:val="36"/>
        </w:rPr>
      </w:pPr>
      <w:r w:rsidRPr="006A3425">
        <w:rPr>
          <w:rFonts w:ascii="Times New Roman" w:hAnsi="Times New Roman"/>
          <w:i/>
          <w:iCs/>
          <w:sz w:val="36"/>
          <w:szCs w:val="36"/>
        </w:rPr>
        <w:t xml:space="preserve">2023 </w:t>
      </w:r>
      <w:r w:rsidRPr="006A3425" w:rsidR="006A3425">
        <w:rPr>
          <w:rFonts w:ascii="Times New Roman" w:hAnsi="Times New Roman"/>
          <w:i/>
          <w:iCs/>
          <w:sz w:val="36"/>
          <w:szCs w:val="36"/>
        </w:rPr>
        <w:t xml:space="preserve">Standard-Hybrid </w:t>
      </w:r>
      <w:r w:rsidRPr="006A3425" w:rsidR="00B921B4">
        <w:rPr>
          <w:rFonts w:ascii="Times New Roman" w:hAnsi="Times New Roman"/>
          <w:i/>
          <w:iCs/>
          <w:sz w:val="36"/>
          <w:szCs w:val="36"/>
        </w:rPr>
        <w:t>Focus Group</w:t>
      </w:r>
      <w:r w:rsidRPr="006A3425" w:rsidR="006A3425">
        <w:rPr>
          <w:rFonts w:ascii="Times New Roman" w:hAnsi="Times New Roman"/>
          <w:i/>
          <w:iCs/>
          <w:sz w:val="36"/>
          <w:szCs w:val="36"/>
        </w:rPr>
        <w:t xml:space="preserve"> Study</w:t>
      </w:r>
    </w:p>
    <w:p w:rsidR="0048791F" w:rsidP="00E919FA" w14:paraId="4EB39C5D" w14:textId="18F25A66">
      <w:pPr>
        <w:widowControl w:val="0"/>
        <w:spacing w:after="0"/>
        <w:jc w:val="center"/>
        <w:rPr>
          <w:rFonts w:ascii="Times New Roman" w:hAnsi="Times New Roman"/>
          <w:i/>
          <w:iCs/>
          <w:sz w:val="36"/>
          <w:szCs w:val="36"/>
        </w:rPr>
      </w:pPr>
    </w:p>
    <w:p w:rsidR="003E333D" w:rsidP="00E919FA" w14:paraId="2482C469" w14:textId="77777777">
      <w:pPr>
        <w:widowControl w:val="0"/>
        <w:spacing w:after="0"/>
        <w:jc w:val="center"/>
        <w:rPr>
          <w:rFonts w:ascii="Times New Roman" w:hAnsi="Times New Roman"/>
          <w:i/>
          <w:iCs/>
          <w:sz w:val="36"/>
          <w:szCs w:val="36"/>
        </w:rPr>
      </w:pPr>
    </w:p>
    <w:p w:rsidR="0048791F" w:rsidRPr="00F24FFF" w:rsidP="00E919FA" w14:paraId="38B617FA" w14:textId="545C01F5">
      <w:pPr>
        <w:widowControl w:val="0"/>
        <w:spacing w:after="0"/>
        <w:jc w:val="center"/>
        <w:rPr>
          <w:rFonts w:ascii="Times New Roman" w:hAnsi="Times New Roman"/>
          <w:sz w:val="32"/>
          <w:szCs w:val="32"/>
        </w:rPr>
      </w:pPr>
      <w:r w:rsidRPr="00907191">
        <w:rPr>
          <w:rFonts w:ascii="Times New Roman" w:hAnsi="Times New Roman"/>
          <w:sz w:val="32"/>
          <w:szCs w:val="32"/>
        </w:rPr>
        <w:t xml:space="preserve">OMB# </w:t>
      </w:r>
      <w:r w:rsidRPr="00907191" w:rsidR="00907191">
        <w:rPr>
          <w:rFonts w:ascii="Times New Roman" w:hAnsi="Times New Roman"/>
          <w:sz w:val="32"/>
          <w:szCs w:val="32"/>
        </w:rPr>
        <w:t>XXXX-XXXX</w:t>
      </w:r>
    </w:p>
    <w:p w:rsidR="0048791F" w:rsidP="00E919FA" w14:paraId="10E7E1E8" w14:textId="2AD2355C">
      <w:pPr>
        <w:widowControl w:val="0"/>
        <w:spacing w:after="0"/>
        <w:jc w:val="center"/>
        <w:rPr>
          <w:rFonts w:ascii="Times New Roman" w:hAnsi="Times New Roman"/>
          <w:sz w:val="36"/>
          <w:szCs w:val="36"/>
        </w:rPr>
      </w:pPr>
    </w:p>
    <w:p w:rsidR="0048791F" w:rsidP="00E919FA" w14:paraId="5D55C71D" w14:textId="3EC48252">
      <w:pPr>
        <w:widowControl w:val="0"/>
        <w:spacing w:after="0"/>
        <w:jc w:val="center"/>
        <w:rPr>
          <w:rFonts w:ascii="Times New Roman" w:hAnsi="Times New Roman"/>
          <w:sz w:val="36"/>
          <w:szCs w:val="36"/>
        </w:rPr>
      </w:pPr>
    </w:p>
    <w:p w:rsidR="0048791F" w:rsidP="00E919FA" w14:paraId="13C85504" w14:textId="07722A09">
      <w:pPr>
        <w:widowControl w:val="0"/>
        <w:spacing w:after="0"/>
        <w:jc w:val="center"/>
        <w:rPr>
          <w:rFonts w:ascii="Times New Roman" w:hAnsi="Times New Roman"/>
          <w:sz w:val="36"/>
          <w:szCs w:val="36"/>
        </w:rPr>
      </w:pPr>
    </w:p>
    <w:p w:rsidR="0048791F" w:rsidP="00E919FA" w14:paraId="06F3C6B5" w14:textId="1F53C2E8">
      <w:pPr>
        <w:widowControl w:val="0"/>
        <w:spacing w:after="0"/>
        <w:jc w:val="center"/>
        <w:rPr>
          <w:rFonts w:ascii="Times New Roman" w:hAnsi="Times New Roman"/>
          <w:sz w:val="28"/>
          <w:szCs w:val="28"/>
        </w:rPr>
      </w:pPr>
      <w:r w:rsidRPr="0E92F13C">
        <w:rPr>
          <w:rFonts w:ascii="Times New Roman" w:hAnsi="Times New Roman"/>
          <w:sz w:val="28"/>
          <w:szCs w:val="28"/>
        </w:rPr>
        <w:t>March</w:t>
      </w:r>
      <w:r w:rsidRPr="0E92F13C" w:rsidR="1C02783D">
        <w:rPr>
          <w:rFonts w:ascii="Times New Roman" w:hAnsi="Times New Roman"/>
          <w:sz w:val="28"/>
          <w:szCs w:val="28"/>
        </w:rPr>
        <w:t xml:space="preserve"> 2023</w:t>
      </w:r>
    </w:p>
    <w:p w:rsidR="00AC5A29" w:rsidP="00E919FA" w14:paraId="13A27CB7" w14:textId="5B9739F7">
      <w:pPr>
        <w:widowControl w:val="0"/>
        <w:spacing w:after="0"/>
        <w:jc w:val="center"/>
        <w:rPr>
          <w:rFonts w:ascii="Times New Roman" w:hAnsi="Times New Roman"/>
          <w:sz w:val="28"/>
          <w:szCs w:val="28"/>
        </w:rPr>
      </w:pPr>
    </w:p>
    <w:p w:rsidR="00AC5A29" w:rsidP="00E919FA" w14:paraId="5397AF7E" w14:textId="7D344ACA">
      <w:pPr>
        <w:widowControl w:val="0"/>
        <w:spacing w:after="0"/>
        <w:jc w:val="center"/>
        <w:rPr>
          <w:rFonts w:ascii="Times New Roman" w:hAnsi="Times New Roman"/>
          <w:sz w:val="28"/>
          <w:szCs w:val="28"/>
        </w:rPr>
      </w:pPr>
    </w:p>
    <w:p w:rsidR="00AC5A29" w:rsidP="00E919FA" w14:paraId="5A26154D" w14:textId="020C16CC">
      <w:pPr>
        <w:widowControl w:val="0"/>
        <w:spacing w:after="0"/>
        <w:jc w:val="center"/>
        <w:rPr>
          <w:rFonts w:ascii="Times New Roman" w:hAnsi="Times New Roman"/>
          <w:sz w:val="28"/>
          <w:szCs w:val="28"/>
        </w:rPr>
      </w:pPr>
    </w:p>
    <w:p w:rsidR="00AC5A29" w:rsidP="00E919FA" w14:paraId="24D35233" w14:textId="5A0529F2">
      <w:pPr>
        <w:widowControl w:val="0"/>
        <w:spacing w:after="0"/>
        <w:jc w:val="center"/>
        <w:rPr>
          <w:rFonts w:ascii="Times New Roman" w:hAnsi="Times New Roman"/>
          <w:sz w:val="28"/>
          <w:szCs w:val="28"/>
        </w:rPr>
      </w:pPr>
    </w:p>
    <w:p w:rsidR="00AC5A29" w:rsidP="00E919FA" w14:paraId="13271B55" w14:textId="5E504D5D">
      <w:pPr>
        <w:widowControl w:val="0"/>
        <w:spacing w:after="0"/>
        <w:jc w:val="center"/>
        <w:rPr>
          <w:rFonts w:ascii="Times New Roman" w:hAnsi="Times New Roman"/>
          <w:sz w:val="28"/>
          <w:szCs w:val="28"/>
        </w:rPr>
      </w:pPr>
    </w:p>
    <w:p w:rsidR="00AC5A29" w:rsidP="00E919FA" w14:paraId="49B4DF8C" w14:textId="3AF0D3E1">
      <w:pPr>
        <w:widowControl w:val="0"/>
        <w:spacing w:after="0"/>
        <w:jc w:val="center"/>
        <w:rPr>
          <w:rFonts w:ascii="Times New Roman" w:hAnsi="Times New Roman"/>
          <w:sz w:val="28"/>
          <w:szCs w:val="28"/>
        </w:rPr>
      </w:pPr>
    </w:p>
    <w:p w:rsidR="00AC5A29" w:rsidP="00E919FA" w14:paraId="43FD264B" w14:textId="61B2F6FE">
      <w:pPr>
        <w:widowControl w:val="0"/>
        <w:spacing w:after="0"/>
        <w:jc w:val="center"/>
        <w:rPr>
          <w:rFonts w:ascii="Times New Roman" w:hAnsi="Times New Roman"/>
          <w:sz w:val="28"/>
          <w:szCs w:val="28"/>
        </w:rPr>
      </w:pPr>
    </w:p>
    <w:p w:rsidR="00AC5A29" w:rsidP="00E919FA" w14:paraId="29BA4FC2" w14:textId="6B928503">
      <w:pPr>
        <w:widowControl w:val="0"/>
        <w:spacing w:after="0"/>
        <w:jc w:val="center"/>
        <w:rPr>
          <w:rFonts w:ascii="Times New Roman" w:hAnsi="Times New Roman"/>
          <w:sz w:val="28"/>
          <w:szCs w:val="28"/>
        </w:rPr>
      </w:pPr>
    </w:p>
    <w:p w:rsidR="002C05D7" w:rsidP="00AC5A29" w14:paraId="4BA0B349" w14:textId="77777777">
      <w:pPr>
        <w:widowControl w:val="0"/>
        <w:spacing w:after="0"/>
        <w:rPr>
          <w:rFonts w:ascii="Times New Roman" w:hAnsi="Times New Roman"/>
          <w:sz w:val="40"/>
          <w:szCs w:val="40"/>
        </w:rPr>
      </w:pPr>
    </w:p>
    <w:p w:rsidR="002C05D7" w:rsidP="00AC5A29" w14:paraId="0C734F15" w14:textId="77777777">
      <w:pPr>
        <w:widowControl w:val="0"/>
        <w:spacing w:after="0"/>
        <w:rPr>
          <w:rFonts w:ascii="Times New Roman" w:hAnsi="Times New Roman"/>
          <w:sz w:val="40"/>
          <w:szCs w:val="40"/>
        </w:rPr>
      </w:pPr>
    </w:p>
    <w:sdt>
      <w:sdtPr>
        <w:rPr>
          <w:rFonts w:ascii="Calibri" w:eastAsia="Times New Roman" w:hAnsi="Calibri" w:cs="Times New Roman"/>
          <w:color w:val="auto"/>
          <w:sz w:val="22"/>
          <w:szCs w:val="22"/>
        </w:rPr>
        <w:id w:val="959388219"/>
        <w:docPartObj>
          <w:docPartGallery w:val="Table of Contents"/>
          <w:docPartUnique/>
        </w:docPartObj>
      </w:sdtPr>
      <w:sdtEndPr>
        <w:rPr>
          <w:b/>
          <w:bCs/>
          <w:noProof/>
        </w:rPr>
      </w:sdtEndPr>
      <w:sdtContent>
        <w:p w:rsidR="00FF4FCF" w14:paraId="03B11724" w14:textId="44CAADF0">
          <w:pPr>
            <w:pStyle w:val="TOCHeading"/>
          </w:pPr>
          <w:r>
            <w:t>Table of Contents</w:t>
          </w:r>
        </w:p>
        <w:p w:rsidR="009B41FD" w:rsidRPr="009B41FD" w:rsidP="009B41FD" w14:paraId="2E7FA17C" w14:textId="77777777"/>
        <w:p w:rsidR="008026D8" w:rsidP="00CB4C64" w14:paraId="5621F2F9" w14:textId="4B4582AE">
          <w:pPr>
            <w:pStyle w:val="TOC2"/>
            <w:rPr>
              <w:rFonts w:asciiTheme="minorHAnsi" w:eastAsiaTheme="minorEastAsia" w:hAnsiTheme="minorHAnsi" w:cstheme="minorBidi"/>
              <w:noProof/>
            </w:rPr>
          </w:pPr>
          <w:r>
            <w:fldChar w:fldCharType="begin"/>
          </w:r>
          <w:r>
            <w:instrText xml:space="preserve"> TOC \o "1-3" \h \z \u </w:instrText>
          </w:r>
          <w:r>
            <w:fldChar w:fldCharType="separate"/>
          </w:r>
          <w:hyperlink w:anchor="_Toc123908518" w:history="1">
            <w:r w:rsidRPr="00CB4C64">
              <w:rPr>
                <w:rStyle w:val="Hyperlink"/>
                <w:rFonts w:cstheme="minorHAnsi"/>
                <w:noProof/>
              </w:rPr>
              <w:t>1)</w:t>
            </w:r>
            <w:r>
              <w:rPr>
                <w:rFonts w:asciiTheme="minorHAnsi" w:eastAsiaTheme="minorEastAsia" w:hAnsiTheme="minorHAnsi" w:cstheme="minorBidi"/>
                <w:noProof/>
              </w:rPr>
              <w:tab/>
            </w:r>
            <w:r w:rsidRPr="00CB4C64">
              <w:rPr>
                <w:rStyle w:val="Hyperlink"/>
                <w:rFonts w:cstheme="minorHAnsi"/>
                <w:noProof/>
              </w:rPr>
              <w:t>Submittal-Related Information</w:t>
            </w:r>
            <w:r>
              <w:rPr>
                <w:noProof/>
                <w:webHidden/>
              </w:rPr>
              <w:tab/>
            </w:r>
            <w:r>
              <w:rPr>
                <w:noProof/>
                <w:webHidden/>
              </w:rPr>
              <w:fldChar w:fldCharType="begin"/>
            </w:r>
            <w:r>
              <w:rPr>
                <w:noProof/>
                <w:webHidden/>
              </w:rPr>
              <w:instrText xml:space="preserve"> PAGEREF _Toc123908518 \h </w:instrText>
            </w:r>
            <w:r>
              <w:rPr>
                <w:noProof/>
                <w:webHidden/>
              </w:rPr>
              <w:fldChar w:fldCharType="separate"/>
            </w:r>
            <w:r w:rsidR="002A1ABF">
              <w:rPr>
                <w:noProof/>
                <w:webHidden/>
              </w:rPr>
              <w:t>3</w:t>
            </w:r>
            <w:r>
              <w:rPr>
                <w:noProof/>
                <w:webHidden/>
              </w:rPr>
              <w:fldChar w:fldCharType="end"/>
            </w:r>
          </w:hyperlink>
        </w:p>
        <w:p w:rsidR="008026D8" w:rsidP="00CB4C64" w14:paraId="6F731AF6" w14:textId="4AD0DD13">
          <w:pPr>
            <w:pStyle w:val="TOC2"/>
            <w:rPr>
              <w:rFonts w:asciiTheme="minorHAnsi" w:eastAsiaTheme="minorEastAsia" w:hAnsiTheme="minorHAnsi" w:cstheme="minorBidi"/>
              <w:noProof/>
            </w:rPr>
          </w:pPr>
          <w:hyperlink w:anchor="_Toc123908519" w:history="1">
            <w:r w:rsidRPr="00CB4C64">
              <w:rPr>
                <w:rStyle w:val="Hyperlink"/>
                <w:rFonts w:cstheme="minorHAnsi"/>
                <w:noProof/>
              </w:rPr>
              <w:t>2)</w:t>
            </w:r>
            <w:r>
              <w:rPr>
                <w:rFonts w:asciiTheme="minorHAnsi" w:eastAsiaTheme="minorEastAsia" w:hAnsiTheme="minorHAnsi" w:cstheme="minorBidi"/>
                <w:noProof/>
              </w:rPr>
              <w:tab/>
            </w:r>
            <w:r w:rsidRPr="00CB4C64">
              <w:rPr>
                <w:rStyle w:val="Hyperlink"/>
                <w:rFonts w:cstheme="minorHAnsi"/>
                <w:noProof/>
              </w:rPr>
              <w:t>Background And Study Rationale</w:t>
            </w:r>
            <w:r>
              <w:rPr>
                <w:noProof/>
                <w:webHidden/>
              </w:rPr>
              <w:tab/>
            </w:r>
            <w:r>
              <w:rPr>
                <w:noProof/>
                <w:webHidden/>
              </w:rPr>
              <w:fldChar w:fldCharType="begin"/>
            </w:r>
            <w:r>
              <w:rPr>
                <w:noProof/>
                <w:webHidden/>
              </w:rPr>
              <w:instrText xml:space="preserve"> PAGEREF _Toc123908519 \h </w:instrText>
            </w:r>
            <w:r>
              <w:rPr>
                <w:noProof/>
                <w:webHidden/>
              </w:rPr>
              <w:fldChar w:fldCharType="separate"/>
            </w:r>
            <w:r w:rsidR="002A1ABF">
              <w:rPr>
                <w:noProof/>
                <w:webHidden/>
              </w:rPr>
              <w:t>3</w:t>
            </w:r>
            <w:r>
              <w:rPr>
                <w:noProof/>
                <w:webHidden/>
              </w:rPr>
              <w:fldChar w:fldCharType="end"/>
            </w:r>
          </w:hyperlink>
        </w:p>
        <w:p w:rsidR="008026D8" w:rsidP="00CB4C64" w14:paraId="2DDE4DC6" w14:textId="2C993404">
          <w:pPr>
            <w:pStyle w:val="TOC2"/>
            <w:rPr>
              <w:rFonts w:asciiTheme="minorHAnsi" w:eastAsiaTheme="minorEastAsia" w:hAnsiTheme="minorHAnsi" w:cstheme="minorBidi"/>
              <w:noProof/>
            </w:rPr>
          </w:pPr>
          <w:hyperlink w:anchor="_Toc123908520" w:history="1">
            <w:r w:rsidRPr="00CB4C64">
              <w:rPr>
                <w:rStyle w:val="Hyperlink"/>
                <w:rFonts w:cstheme="minorHAnsi"/>
                <w:noProof/>
              </w:rPr>
              <w:t>3)</w:t>
            </w:r>
            <w:r>
              <w:rPr>
                <w:rFonts w:asciiTheme="minorHAnsi" w:eastAsiaTheme="minorEastAsia" w:hAnsiTheme="minorHAnsi" w:cstheme="minorBidi"/>
                <w:noProof/>
              </w:rPr>
              <w:tab/>
            </w:r>
            <w:r w:rsidRPr="00CB4C64">
              <w:rPr>
                <w:rStyle w:val="Hyperlink"/>
                <w:rFonts w:cstheme="minorHAnsi"/>
                <w:noProof/>
              </w:rPr>
              <w:t>Recruitment And Data Collection</w:t>
            </w:r>
            <w:r>
              <w:rPr>
                <w:noProof/>
                <w:webHidden/>
              </w:rPr>
              <w:tab/>
            </w:r>
            <w:r>
              <w:rPr>
                <w:noProof/>
                <w:webHidden/>
              </w:rPr>
              <w:fldChar w:fldCharType="begin"/>
            </w:r>
            <w:r>
              <w:rPr>
                <w:noProof/>
                <w:webHidden/>
              </w:rPr>
              <w:instrText xml:space="preserve"> PAGEREF _Toc123908520 \h </w:instrText>
            </w:r>
            <w:r>
              <w:rPr>
                <w:noProof/>
                <w:webHidden/>
              </w:rPr>
              <w:fldChar w:fldCharType="separate"/>
            </w:r>
            <w:r w:rsidR="002A1ABF">
              <w:rPr>
                <w:noProof/>
                <w:webHidden/>
              </w:rPr>
              <w:t>3</w:t>
            </w:r>
            <w:r>
              <w:rPr>
                <w:noProof/>
                <w:webHidden/>
              </w:rPr>
              <w:fldChar w:fldCharType="end"/>
            </w:r>
          </w:hyperlink>
        </w:p>
        <w:p w:rsidR="008026D8" w:rsidP="00CB4C64" w14:paraId="445A68E4" w14:textId="43BB657A">
          <w:pPr>
            <w:pStyle w:val="TOC2"/>
            <w:rPr>
              <w:rFonts w:asciiTheme="minorHAnsi" w:eastAsiaTheme="minorEastAsia" w:hAnsiTheme="minorHAnsi" w:cstheme="minorBidi"/>
              <w:noProof/>
            </w:rPr>
          </w:pPr>
          <w:hyperlink w:anchor="_Toc123908521" w:history="1">
            <w:r w:rsidRPr="00CB4C64">
              <w:rPr>
                <w:rStyle w:val="Hyperlink"/>
                <w:rFonts w:cstheme="minorHAnsi"/>
                <w:noProof/>
              </w:rPr>
              <w:t>4)</w:t>
            </w:r>
            <w:r>
              <w:rPr>
                <w:rFonts w:asciiTheme="minorHAnsi" w:eastAsiaTheme="minorEastAsia" w:hAnsiTheme="minorHAnsi" w:cstheme="minorBidi"/>
                <w:noProof/>
              </w:rPr>
              <w:tab/>
            </w:r>
            <w:r w:rsidRPr="00CB4C64">
              <w:rPr>
                <w:rStyle w:val="Hyperlink"/>
                <w:rFonts w:cstheme="minorHAnsi"/>
                <w:noProof/>
              </w:rPr>
              <w:t>Consultations Outside the Agency</w:t>
            </w:r>
            <w:r>
              <w:rPr>
                <w:noProof/>
                <w:webHidden/>
              </w:rPr>
              <w:tab/>
            </w:r>
            <w:r>
              <w:rPr>
                <w:noProof/>
                <w:webHidden/>
              </w:rPr>
              <w:fldChar w:fldCharType="begin"/>
            </w:r>
            <w:r>
              <w:rPr>
                <w:noProof/>
                <w:webHidden/>
              </w:rPr>
              <w:instrText xml:space="preserve"> PAGEREF _Toc123908521 \h </w:instrText>
            </w:r>
            <w:r>
              <w:rPr>
                <w:noProof/>
                <w:webHidden/>
              </w:rPr>
              <w:fldChar w:fldCharType="separate"/>
            </w:r>
            <w:r w:rsidR="002A1ABF">
              <w:rPr>
                <w:noProof/>
                <w:webHidden/>
              </w:rPr>
              <w:t>7</w:t>
            </w:r>
            <w:r>
              <w:rPr>
                <w:noProof/>
                <w:webHidden/>
              </w:rPr>
              <w:fldChar w:fldCharType="end"/>
            </w:r>
          </w:hyperlink>
        </w:p>
        <w:p w:rsidR="008026D8" w:rsidP="00CB4C64" w14:paraId="5B76C300" w14:textId="6D15F69E">
          <w:pPr>
            <w:pStyle w:val="TOC2"/>
            <w:rPr>
              <w:rFonts w:asciiTheme="minorHAnsi" w:eastAsiaTheme="minorEastAsia" w:hAnsiTheme="minorHAnsi" w:cstheme="minorBidi"/>
              <w:noProof/>
            </w:rPr>
          </w:pPr>
          <w:hyperlink w:anchor="_Toc123908522" w:history="1">
            <w:r w:rsidRPr="00CB4C64">
              <w:rPr>
                <w:rStyle w:val="Hyperlink"/>
                <w:rFonts w:cstheme="minorHAnsi"/>
                <w:noProof/>
              </w:rPr>
              <w:t>5)</w:t>
            </w:r>
            <w:r>
              <w:rPr>
                <w:rFonts w:asciiTheme="minorHAnsi" w:eastAsiaTheme="minorEastAsia" w:hAnsiTheme="minorHAnsi" w:cstheme="minorBidi"/>
                <w:noProof/>
              </w:rPr>
              <w:tab/>
            </w:r>
            <w:r w:rsidRPr="00CB4C64">
              <w:rPr>
                <w:rStyle w:val="Hyperlink"/>
                <w:rFonts w:cstheme="minorHAnsi"/>
                <w:noProof/>
              </w:rPr>
              <w:t>Justification For Sensitive Questions</w:t>
            </w:r>
            <w:r>
              <w:rPr>
                <w:noProof/>
                <w:webHidden/>
              </w:rPr>
              <w:tab/>
            </w:r>
            <w:r>
              <w:rPr>
                <w:noProof/>
                <w:webHidden/>
              </w:rPr>
              <w:fldChar w:fldCharType="begin"/>
            </w:r>
            <w:r>
              <w:rPr>
                <w:noProof/>
                <w:webHidden/>
              </w:rPr>
              <w:instrText xml:space="preserve"> PAGEREF _Toc123908522 \h </w:instrText>
            </w:r>
            <w:r>
              <w:rPr>
                <w:noProof/>
                <w:webHidden/>
              </w:rPr>
              <w:fldChar w:fldCharType="separate"/>
            </w:r>
            <w:r w:rsidR="002A1ABF">
              <w:rPr>
                <w:noProof/>
                <w:webHidden/>
              </w:rPr>
              <w:t>8</w:t>
            </w:r>
            <w:r>
              <w:rPr>
                <w:noProof/>
                <w:webHidden/>
              </w:rPr>
              <w:fldChar w:fldCharType="end"/>
            </w:r>
          </w:hyperlink>
        </w:p>
        <w:p w:rsidR="008026D8" w:rsidP="00CB4C64" w14:paraId="7623BE79" w14:textId="32354D6A">
          <w:pPr>
            <w:pStyle w:val="TOC2"/>
            <w:rPr>
              <w:rFonts w:asciiTheme="minorHAnsi" w:eastAsiaTheme="minorEastAsia" w:hAnsiTheme="minorHAnsi" w:cstheme="minorBidi"/>
              <w:noProof/>
            </w:rPr>
          </w:pPr>
          <w:hyperlink w:anchor="_Toc123908523" w:history="1">
            <w:r w:rsidRPr="00CB4C64">
              <w:rPr>
                <w:rStyle w:val="Hyperlink"/>
                <w:rFonts w:cstheme="minorHAnsi"/>
                <w:noProof/>
              </w:rPr>
              <w:t>6)</w:t>
            </w:r>
            <w:r>
              <w:rPr>
                <w:rFonts w:asciiTheme="minorHAnsi" w:eastAsiaTheme="minorEastAsia" w:hAnsiTheme="minorHAnsi" w:cstheme="minorBidi"/>
                <w:noProof/>
              </w:rPr>
              <w:tab/>
            </w:r>
            <w:r w:rsidRPr="00CB4C64">
              <w:rPr>
                <w:rStyle w:val="Hyperlink"/>
                <w:rFonts w:cstheme="minorHAnsi"/>
                <w:noProof/>
              </w:rPr>
              <w:t>Paying Respondents</w:t>
            </w:r>
            <w:r>
              <w:rPr>
                <w:noProof/>
                <w:webHidden/>
              </w:rPr>
              <w:tab/>
            </w:r>
            <w:r>
              <w:rPr>
                <w:noProof/>
                <w:webHidden/>
              </w:rPr>
              <w:fldChar w:fldCharType="begin"/>
            </w:r>
            <w:r>
              <w:rPr>
                <w:noProof/>
                <w:webHidden/>
              </w:rPr>
              <w:instrText xml:space="preserve"> PAGEREF _Toc123908523 \h </w:instrText>
            </w:r>
            <w:r>
              <w:rPr>
                <w:noProof/>
                <w:webHidden/>
              </w:rPr>
              <w:fldChar w:fldCharType="separate"/>
            </w:r>
            <w:r w:rsidR="002A1ABF">
              <w:rPr>
                <w:noProof/>
                <w:webHidden/>
              </w:rPr>
              <w:t>8</w:t>
            </w:r>
            <w:r>
              <w:rPr>
                <w:noProof/>
                <w:webHidden/>
              </w:rPr>
              <w:fldChar w:fldCharType="end"/>
            </w:r>
          </w:hyperlink>
        </w:p>
        <w:p w:rsidR="008026D8" w:rsidP="00CB4C64" w14:paraId="544F223D" w14:textId="5BF42CF9">
          <w:pPr>
            <w:pStyle w:val="TOC2"/>
            <w:rPr>
              <w:rFonts w:asciiTheme="minorHAnsi" w:eastAsiaTheme="minorEastAsia" w:hAnsiTheme="minorHAnsi" w:cstheme="minorBidi"/>
              <w:noProof/>
            </w:rPr>
          </w:pPr>
          <w:hyperlink w:anchor="_Toc123908524" w:history="1">
            <w:r w:rsidRPr="00CB4C64">
              <w:rPr>
                <w:rStyle w:val="Hyperlink"/>
                <w:rFonts w:cstheme="minorHAnsi"/>
                <w:noProof/>
              </w:rPr>
              <w:t>7)</w:t>
            </w:r>
            <w:r>
              <w:rPr>
                <w:rFonts w:asciiTheme="minorHAnsi" w:eastAsiaTheme="minorEastAsia" w:hAnsiTheme="minorHAnsi" w:cstheme="minorBidi"/>
                <w:noProof/>
              </w:rPr>
              <w:tab/>
            </w:r>
            <w:r w:rsidRPr="00CB4C64">
              <w:rPr>
                <w:rStyle w:val="Hyperlink"/>
                <w:rFonts w:cstheme="minorHAnsi"/>
                <w:noProof/>
              </w:rPr>
              <w:t>Assurance of Confidentiality</w:t>
            </w:r>
            <w:r>
              <w:rPr>
                <w:noProof/>
                <w:webHidden/>
              </w:rPr>
              <w:tab/>
            </w:r>
            <w:r>
              <w:rPr>
                <w:noProof/>
                <w:webHidden/>
              </w:rPr>
              <w:fldChar w:fldCharType="begin"/>
            </w:r>
            <w:r>
              <w:rPr>
                <w:noProof/>
                <w:webHidden/>
              </w:rPr>
              <w:instrText xml:space="preserve"> PAGEREF _Toc123908524 \h </w:instrText>
            </w:r>
            <w:r>
              <w:rPr>
                <w:noProof/>
                <w:webHidden/>
              </w:rPr>
              <w:fldChar w:fldCharType="separate"/>
            </w:r>
            <w:r w:rsidR="002A1ABF">
              <w:rPr>
                <w:noProof/>
                <w:webHidden/>
              </w:rPr>
              <w:t>8</w:t>
            </w:r>
            <w:r>
              <w:rPr>
                <w:noProof/>
                <w:webHidden/>
              </w:rPr>
              <w:fldChar w:fldCharType="end"/>
            </w:r>
          </w:hyperlink>
        </w:p>
        <w:p w:rsidR="008026D8" w:rsidP="00CB4C64" w14:paraId="7AE168C8" w14:textId="608266AE">
          <w:pPr>
            <w:pStyle w:val="TOC2"/>
            <w:rPr>
              <w:rFonts w:asciiTheme="minorHAnsi" w:eastAsiaTheme="minorEastAsia" w:hAnsiTheme="minorHAnsi" w:cstheme="minorBidi"/>
              <w:noProof/>
            </w:rPr>
          </w:pPr>
          <w:hyperlink w:anchor="_Toc123908525" w:history="1">
            <w:r w:rsidRPr="00CB4C64">
              <w:rPr>
                <w:rStyle w:val="Hyperlink"/>
                <w:rFonts w:cstheme="minorHAnsi"/>
                <w:noProof/>
              </w:rPr>
              <w:t>8)</w:t>
            </w:r>
            <w:r>
              <w:rPr>
                <w:rFonts w:asciiTheme="minorHAnsi" w:eastAsiaTheme="minorEastAsia" w:hAnsiTheme="minorHAnsi" w:cstheme="minorBidi"/>
                <w:noProof/>
              </w:rPr>
              <w:tab/>
            </w:r>
            <w:r w:rsidRPr="00CB4C64">
              <w:rPr>
                <w:rStyle w:val="Hyperlink"/>
                <w:rFonts w:cstheme="minorHAnsi"/>
                <w:noProof/>
              </w:rPr>
              <w:t>Estimate of Hourly Burden</w:t>
            </w:r>
            <w:r>
              <w:rPr>
                <w:noProof/>
                <w:webHidden/>
              </w:rPr>
              <w:tab/>
            </w:r>
            <w:r>
              <w:rPr>
                <w:noProof/>
                <w:webHidden/>
              </w:rPr>
              <w:fldChar w:fldCharType="begin"/>
            </w:r>
            <w:r>
              <w:rPr>
                <w:noProof/>
                <w:webHidden/>
              </w:rPr>
              <w:instrText xml:space="preserve"> PAGEREF _Toc123908525 \h </w:instrText>
            </w:r>
            <w:r>
              <w:rPr>
                <w:noProof/>
                <w:webHidden/>
              </w:rPr>
              <w:fldChar w:fldCharType="separate"/>
            </w:r>
            <w:r w:rsidR="002A1ABF">
              <w:rPr>
                <w:noProof/>
                <w:webHidden/>
              </w:rPr>
              <w:t>9</w:t>
            </w:r>
            <w:r>
              <w:rPr>
                <w:noProof/>
                <w:webHidden/>
              </w:rPr>
              <w:fldChar w:fldCharType="end"/>
            </w:r>
          </w:hyperlink>
        </w:p>
        <w:p w:rsidR="008026D8" w:rsidP="00CB4C64" w14:paraId="347DACB4" w14:textId="6B22F2AD">
          <w:pPr>
            <w:pStyle w:val="TOC2"/>
            <w:rPr>
              <w:rFonts w:asciiTheme="minorHAnsi" w:eastAsiaTheme="minorEastAsia" w:hAnsiTheme="minorHAnsi" w:cstheme="minorBidi"/>
              <w:noProof/>
            </w:rPr>
          </w:pPr>
          <w:hyperlink w:anchor="_Toc123908526" w:history="1">
            <w:r w:rsidRPr="00CB4C64">
              <w:rPr>
                <w:rStyle w:val="Hyperlink"/>
                <w:rFonts w:cstheme="minorHAnsi"/>
                <w:noProof/>
              </w:rPr>
              <w:t>9)</w:t>
            </w:r>
            <w:r>
              <w:rPr>
                <w:rFonts w:asciiTheme="minorHAnsi" w:eastAsiaTheme="minorEastAsia" w:hAnsiTheme="minorHAnsi" w:cstheme="minorBidi"/>
                <w:noProof/>
              </w:rPr>
              <w:tab/>
            </w:r>
            <w:r w:rsidRPr="00CB4C64">
              <w:rPr>
                <w:rStyle w:val="Hyperlink"/>
                <w:rFonts w:cstheme="minorHAnsi"/>
                <w:noProof/>
              </w:rPr>
              <w:t>Cost To Federal Government</w:t>
            </w:r>
            <w:r>
              <w:rPr>
                <w:noProof/>
                <w:webHidden/>
              </w:rPr>
              <w:tab/>
            </w:r>
            <w:r>
              <w:rPr>
                <w:noProof/>
                <w:webHidden/>
              </w:rPr>
              <w:fldChar w:fldCharType="begin"/>
            </w:r>
            <w:r>
              <w:rPr>
                <w:noProof/>
                <w:webHidden/>
              </w:rPr>
              <w:instrText xml:space="preserve"> PAGEREF _Toc123908526 \h </w:instrText>
            </w:r>
            <w:r>
              <w:rPr>
                <w:noProof/>
                <w:webHidden/>
              </w:rPr>
              <w:fldChar w:fldCharType="separate"/>
            </w:r>
            <w:r w:rsidR="002A1ABF">
              <w:rPr>
                <w:noProof/>
                <w:webHidden/>
              </w:rPr>
              <w:t>10</w:t>
            </w:r>
            <w:r>
              <w:rPr>
                <w:noProof/>
                <w:webHidden/>
              </w:rPr>
              <w:fldChar w:fldCharType="end"/>
            </w:r>
          </w:hyperlink>
        </w:p>
        <w:p w:rsidR="008026D8" w:rsidP="00CB4C64" w14:paraId="54574C88" w14:textId="401647C8">
          <w:pPr>
            <w:pStyle w:val="TOC2"/>
            <w:rPr>
              <w:rFonts w:asciiTheme="minorHAnsi" w:eastAsiaTheme="minorEastAsia" w:hAnsiTheme="minorHAnsi" w:cstheme="minorBidi"/>
              <w:noProof/>
            </w:rPr>
          </w:pPr>
          <w:hyperlink w:anchor="_Toc123908527" w:history="1">
            <w:r w:rsidRPr="00CB4C64">
              <w:rPr>
                <w:rStyle w:val="Hyperlink"/>
                <w:rFonts w:cstheme="minorHAnsi"/>
                <w:noProof/>
              </w:rPr>
              <w:t>10)</w:t>
            </w:r>
            <w:r>
              <w:rPr>
                <w:rFonts w:asciiTheme="minorHAnsi" w:eastAsiaTheme="minorEastAsia" w:hAnsiTheme="minorHAnsi" w:cstheme="minorBidi"/>
                <w:noProof/>
              </w:rPr>
              <w:tab/>
            </w:r>
            <w:r w:rsidRPr="00CB4C64">
              <w:rPr>
                <w:rStyle w:val="Hyperlink"/>
                <w:rFonts w:cstheme="minorHAnsi"/>
                <w:noProof/>
              </w:rPr>
              <w:t>Schedule</w:t>
            </w:r>
            <w:r>
              <w:rPr>
                <w:noProof/>
                <w:webHidden/>
              </w:rPr>
              <w:tab/>
            </w:r>
            <w:r>
              <w:rPr>
                <w:noProof/>
                <w:webHidden/>
              </w:rPr>
              <w:fldChar w:fldCharType="begin"/>
            </w:r>
            <w:r>
              <w:rPr>
                <w:noProof/>
                <w:webHidden/>
              </w:rPr>
              <w:instrText xml:space="preserve"> PAGEREF _Toc123908527 \h </w:instrText>
            </w:r>
            <w:r>
              <w:rPr>
                <w:noProof/>
                <w:webHidden/>
              </w:rPr>
              <w:fldChar w:fldCharType="separate"/>
            </w:r>
            <w:r w:rsidR="002A1ABF">
              <w:rPr>
                <w:noProof/>
                <w:webHidden/>
              </w:rPr>
              <w:t>10</w:t>
            </w:r>
            <w:r>
              <w:rPr>
                <w:noProof/>
                <w:webHidden/>
              </w:rPr>
              <w:fldChar w:fldCharType="end"/>
            </w:r>
          </w:hyperlink>
        </w:p>
        <w:p w:rsidR="00FF4FCF" w14:paraId="3BD18397" w14:textId="341FE0C3">
          <w:r>
            <w:rPr>
              <w:b/>
              <w:bCs/>
              <w:noProof/>
            </w:rPr>
            <w:fldChar w:fldCharType="end"/>
          </w:r>
        </w:p>
      </w:sdtContent>
    </w:sdt>
    <w:p w:rsidR="0066611F" w:rsidP="00AC5A29" w14:paraId="309556B0" w14:textId="77777777">
      <w:pPr>
        <w:widowControl w:val="0"/>
        <w:spacing w:after="0"/>
        <w:rPr>
          <w:rFonts w:ascii="Times New Roman" w:hAnsi="Times New Roman"/>
          <w:sz w:val="40"/>
          <w:szCs w:val="40"/>
        </w:rPr>
      </w:pPr>
    </w:p>
    <w:p w:rsidR="0066611F" w:rsidP="00AC5A29" w14:paraId="59A7AA16" w14:textId="77777777">
      <w:pPr>
        <w:widowControl w:val="0"/>
        <w:spacing w:after="0"/>
        <w:rPr>
          <w:rFonts w:ascii="Times New Roman" w:hAnsi="Times New Roman"/>
          <w:sz w:val="40"/>
          <w:szCs w:val="40"/>
        </w:rPr>
      </w:pPr>
    </w:p>
    <w:p w:rsidR="0066611F" w:rsidP="00AC5A29" w14:paraId="59FC190C" w14:textId="77777777">
      <w:pPr>
        <w:widowControl w:val="0"/>
        <w:spacing w:after="0"/>
        <w:rPr>
          <w:rFonts w:ascii="Times New Roman" w:hAnsi="Times New Roman"/>
          <w:sz w:val="40"/>
          <w:szCs w:val="40"/>
        </w:rPr>
      </w:pPr>
    </w:p>
    <w:p w:rsidR="0066611F" w:rsidP="00AC5A29" w14:paraId="0B778249" w14:textId="77777777">
      <w:pPr>
        <w:widowControl w:val="0"/>
        <w:spacing w:after="0"/>
        <w:rPr>
          <w:rFonts w:ascii="Times New Roman" w:hAnsi="Times New Roman"/>
          <w:sz w:val="40"/>
          <w:szCs w:val="40"/>
        </w:rPr>
      </w:pPr>
    </w:p>
    <w:p w:rsidR="0066611F" w:rsidP="00AC5A29" w14:paraId="2EB35258" w14:textId="77777777">
      <w:pPr>
        <w:widowControl w:val="0"/>
        <w:spacing w:after="0"/>
        <w:rPr>
          <w:rFonts w:ascii="Times New Roman" w:hAnsi="Times New Roman"/>
          <w:sz w:val="40"/>
          <w:szCs w:val="40"/>
        </w:rPr>
      </w:pPr>
    </w:p>
    <w:p w:rsidR="0066611F" w:rsidP="00AC5A29" w14:paraId="0C6C5EF7" w14:textId="77777777">
      <w:pPr>
        <w:widowControl w:val="0"/>
        <w:spacing w:after="0"/>
        <w:rPr>
          <w:rFonts w:ascii="Times New Roman" w:hAnsi="Times New Roman"/>
          <w:sz w:val="40"/>
          <w:szCs w:val="40"/>
        </w:rPr>
      </w:pPr>
    </w:p>
    <w:p w:rsidR="0066611F" w:rsidP="00AC5A29" w14:paraId="428AA343" w14:textId="77777777">
      <w:pPr>
        <w:widowControl w:val="0"/>
        <w:spacing w:after="0"/>
        <w:rPr>
          <w:rFonts w:ascii="Times New Roman" w:hAnsi="Times New Roman"/>
          <w:sz w:val="40"/>
          <w:szCs w:val="40"/>
        </w:rPr>
      </w:pPr>
    </w:p>
    <w:p w:rsidR="00C60754" w:rsidP="00AC5A29" w14:paraId="72679308" w14:textId="77777777">
      <w:pPr>
        <w:widowControl w:val="0"/>
        <w:spacing w:after="0"/>
        <w:rPr>
          <w:rFonts w:ascii="Times New Roman" w:hAnsi="Times New Roman"/>
          <w:sz w:val="40"/>
          <w:szCs w:val="40"/>
        </w:rPr>
      </w:pPr>
    </w:p>
    <w:p w:rsidR="00F63A1A" w:rsidP="00AC5A29" w14:paraId="087F7E82" w14:textId="12F0C01B">
      <w:pPr>
        <w:widowControl w:val="0"/>
        <w:spacing w:after="0"/>
        <w:rPr>
          <w:rFonts w:ascii="Times New Roman" w:hAnsi="Times New Roman"/>
        </w:rPr>
      </w:pPr>
    </w:p>
    <w:p w:rsidR="009A33F0" w:rsidP="00AC5A29" w14:paraId="77470F56" w14:textId="77777777">
      <w:pPr>
        <w:widowControl w:val="0"/>
        <w:spacing w:after="0"/>
        <w:rPr>
          <w:rFonts w:ascii="Times New Roman" w:hAnsi="Times New Roman"/>
        </w:rPr>
      </w:pPr>
    </w:p>
    <w:p w:rsidR="009A33F0" w:rsidP="00AC5A29" w14:paraId="17299B34" w14:textId="77777777">
      <w:pPr>
        <w:widowControl w:val="0"/>
        <w:spacing w:after="0"/>
        <w:rPr>
          <w:rFonts w:ascii="Times New Roman" w:hAnsi="Times New Roman"/>
        </w:rPr>
      </w:pPr>
    </w:p>
    <w:p w:rsidR="009A33F0" w:rsidP="00AC5A29" w14:paraId="0A6B4907" w14:textId="77777777">
      <w:pPr>
        <w:widowControl w:val="0"/>
        <w:spacing w:after="0"/>
        <w:rPr>
          <w:rFonts w:ascii="Times New Roman" w:hAnsi="Times New Roman"/>
        </w:rPr>
      </w:pPr>
    </w:p>
    <w:p w:rsidR="00965F4A" w:rsidP="00AC5A29" w14:paraId="39068EF2" w14:textId="4BA6AA29">
      <w:pPr>
        <w:widowControl w:val="0"/>
        <w:spacing w:after="0"/>
        <w:rPr>
          <w:rFonts w:ascii="Times New Roman" w:hAnsi="Times New Roman"/>
        </w:rPr>
      </w:pPr>
    </w:p>
    <w:p w:rsidR="00965F4A" w:rsidP="00AC5A29" w14:paraId="53DAD557" w14:textId="77777777">
      <w:pPr>
        <w:widowControl w:val="0"/>
        <w:spacing w:after="0"/>
        <w:rPr>
          <w:rFonts w:ascii="Times New Roman" w:hAnsi="Times New Roman"/>
        </w:rPr>
      </w:pPr>
    </w:p>
    <w:p w:rsidR="00F63A1A" w:rsidP="00AC5A29" w14:paraId="0A289670" w14:textId="009173BD">
      <w:pPr>
        <w:widowControl w:val="0"/>
        <w:spacing w:after="0"/>
        <w:rPr>
          <w:rFonts w:ascii="Times New Roman" w:hAnsi="Times New Roman"/>
        </w:rPr>
      </w:pPr>
    </w:p>
    <w:p w:rsidR="00E75564" w:rsidP="00AC5A29" w14:paraId="6711BCB9" w14:textId="77777777">
      <w:pPr>
        <w:widowControl w:val="0"/>
        <w:spacing w:after="0"/>
        <w:rPr>
          <w:rFonts w:ascii="Times New Roman" w:hAnsi="Times New Roman"/>
        </w:rPr>
      </w:pPr>
    </w:p>
    <w:p w:rsidR="00F63A1A" w:rsidRPr="00543656" w:rsidP="00AC5A29" w14:paraId="3070C78F" w14:textId="71A48D9E">
      <w:pPr>
        <w:widowControl w:val="0"/>
        <w:spacing w:after="0"/>
        <w:rPr>
          <w:rFonts w:asciiTheme="minorHAnsi" w:hAnsiTheme="minorHAnsi" w:cstheme="minorHAnsi"/>
        </w:rPr>
      </w:pPr>
    </w:p>
    <w:p w:rsidR="00F7548A" w:rsidRPr="009D7D0B" w:rsidP="00CB4C64" w14:paraId="20F933F5" w14:textId="796EF448">
      <w:pPr>
        <w:pStyle w:val="Heading2"/>
      </w:pPr>
      <w:bookmarkStart w:id="1" w:name="_Toc123908518"/>
      <w:r w:rsidRPr="009D7D0B">
        <w:t>Submittal</w:t>
      </w:r>
      <w:r w:rsidRPr="009D7D0B" w:rsidR="00B115A1">
        <w:t xml:space="preserve">-Related </w:t>
      </w:r>
      <w:r w:rsidRPr="009D7D0B" w:rsidR="003722FB">
        <w:t>Information</w:t>
      </w:r>
      <w:bookmarkEnd w:id="1"/>
      <w:r w:rsidRPr="009D7D0B" w:rsidR="003722FB">
        <w:t xml:space="preserve"> </w:t>
      </w:r>
      <w:r w:rsidRPr="009D7D0B">
        <w:t xml:space="preserve"> </w:t>
      </w:r>
    </w:p>
    <w:p w:rsidR="00E1477B" w:rsidP="005308A9" w14:paraId="090A5F4A" w14:textId="63F3DBB0">
      <w:pPr>
        <w:pStyle w:val="BodyText"/>
        <w:spacing w:after="240" w:line="259" w:lineRule="auto"/>
        <w:ind w:left="360"/>
        <w:rPr>
          <w:rStyle w:val="StyleTimesNewRoman"/>
          <w:sz w:val="22"/>
          <w:szCs w:val="20"/>
        </w:rPr>
      </w:pPr>
      <w:r>
        <w:rPr>
          <w:rStyle w:val="StyleTimesNewRoman"/>
          <w:sz w:val="22"/>
          <w:szCs w:val="20"/>
        </w:rPr>
        <w:t xml:space="preserve">This material is being submitted under </w:t>
      </w:r>
      <w:r w:rsidRPr="0070280D" w:rsidR="0070280D">
        <w:rPr>
          <w:rStyle w:val="StyleTimesNewRoman"/>
          <w:sz w:val="22"/>
          <w:szCs w:val="20"/>
        </w:rPr>
        <w:t>OMB Control No.: XXXX-XXXX</w:t>
      </w:r>
      <w:r w:rsidR="002D4B4D">
        <w:rPr>
          <w:rStyle w:val="StyleTimesNewRoman"/>
          <w:sz w:val="22"/>
          <w:szCs w:val="20"/>
        </w:rPr>
        <w:t xml:space="preserve">. </w:t>
      </w:r>
    </w:p>
    <w:p w:rsidR="008A5EC6" w:rsidRPr="00F05F71" w:rsidP="008A5EC6" w14:paraId="1D3FCB40" w14:textId="0300C11E">
      <w:pPr>
        <w:pStyle w:val="BodyText"/>
        <w:spacing w:after="240" w:line="259" w:lineRule="auto"/>
        <w:ind w:left="360"/>
        <w:rPr>
          <w:rStyle w:val="StyleTimesNewRoman"/>
          <w:rFonts w:asciiTheme="minorHAnsi" w:hAnsiTheme="minorHAnsi"/>
          <w:b/>
          <w:bCs/>
          <w:smallCaps/>
          <w:sz w:val="22"/>
          <w:szCs w:val="20"/>
        </w:rPr>
      </w:pPr>
      <w:r>
        <w:rPr>
          <w:rStyle w:val="StyleTimesNewRoman"/>
          <w:sz w:val="22"/>
          <w:szCs w:val="20"/>
        </w:rPr>
        <w:t>The title of the information collection is: Portable Electrical Heater Focus Groups.</w:t>
      </w:r>
    </w:p>
    <w:p w:rsidR="00DA1A28" w:rsidRPr="000E4CD0" w:rsidP="00CB4C64" w14:paraId="015968F7" w14:textId="4BF4A8D4">
      <w:pPr>
        <w:pStyle w:val="Heading2"/>
      </w:pPr>
      <w:bookmarkStart w:id="2" w:name="_Toc123908519"/>
      <w:r w:rsidRPr="00543656">
        <w:t>Background And Study Rationale</w:t>
      </w:r>
      <w:bookmarkEnd w:id="2"/>
    </w:p>
    <w:p w:rsidR="00965F4A" w:rsidP="05ACF3B8" w14:paraId="0EC2E96E" w14:textId="7F7BB93A">
      <w:pPr>
        <w:pStyle w:val="paragraph"/>
        <w:spacing w:before="0" w:beforeAutospacing="0" w:after="240" w:afterAutospacing="0" w:line="259" w:lineRule="auto"/>
        <w:ind w:left="360"/>
        <w:textAlignment w:val="baseline"/>
        <w:rPr>
          <w:rFonts w:ascii="Segoe UI" w:hAnsi="Segoe UI" w:cs="Segoe UI"/>
          <w:sz w:val="18"/>
          <w:szCs w:val="18"/>
        </w:rPr>
      </w:pPr>
      <w:r w:rsidRPr="41CCC33A">
        <w:rPr>
          <w:rStyle w:val="normaltextrun"/>
          <w:rFonts w:ascii="Calibri" w:hAnsi="Calibri" w:cs="Calibri"/>
          <w:sz w:val="22"/>
          <w:szCs w:val="22"/>
        </w:rPr>
        <w:t>According to the US Consumer Product Safety Commission (CPSC), an estimated annual average of 1,</w:t>
      </w:r>
      <w:r w:rsidRPr="41CCC33A" w:rsidR="7ED24FEC">
        <w:rPr>
          <w:rStyle w:val="normaltextrun"/>
          <w:rFonts w:ascii="Calibri" w:hAnsi="Calibri" w:cs="Calibri"/>
          <w:sz w:val="22"/>
          <w:szCs w:val="22"/>
        </w:rPr>
        <w:t>4</w:t>
      </w:r>
      <w:r w:rsidRPr="41CCC33A">
        <w:rPr>
          <w:rStyle w:val="normaltextrun"/>
          <w:rFonts w:ascii="Calibri" w:hAnsi="Calibri" w:cs="Calibri"/>
          <w:sz w:val="22"/>
          <w:szCs w:val="22"/>
        </w:rPr>
        <w:t>00 fires can be attributed to the use of portable electric heaters between 2016 and 2018.</w:t>
      </w:r>
      <w:r>
        <w:rPr>
          <w:rStyle w:val="FootnoteReference"/>
          <w:rFonts w:ascii="Calibri" w:hAnsi="Calibri" w:cs="Calibri"/>
          <w:sz w:val="22"/>
          <w:szCs w:val="22"/>
        </w:rPr>
        <w:footnoteReference w:id="3"/>
      </w:r>
      <w:r w:rsidRPr="41CCC33A">
        <w:rPr>
          <w:rStyle w:val="normaltextrun"/>
          <w:rFonts w:ascii="Calibri" w:hAnsi="Calibri" w:cs="Calibri"/>
          <w:sz w:val="22"/>
          <w:szCs w:val="22"/>
        </w:rPr>
        <w:t xml:space="preserve"> </w:t>
      </w:r>
      <w:r w:rsidR="00592EFA">
        <w:rPr>
          <w:rStyle w:val="normaltextrun"/>
          <w:rFonts w:ascii="Calibri" w:hAnsi="Calibri" w:cs="Calibri"/>
          <w:sz w:val="22"/>
          <w:szCs w:val="22"/>
        </w:rPr>
        <w:t xml:space="preserve">This risk is likely disproportionately shared.  For example, </w:t>
      </w:r>
      <w:r w:rsidRPr="41CCC33A">
        <w:rPr>
          <w:rStyle w:val="normaltextrun"/>
          <w:rFonts w:ascii="Calibri" w:hAnsi="Calibri" w:cs="Calibri"/>
          <w:sz w:val="22"/>
          <w:szCs w:val="22"/>
        </w:rPr>
        <w:t>FEMA</w:t>
      </w:r>
      <w:r w:rsidRPr="6ABC42AB" w:rsidR="34368F02">
        <w:rPr>
          <w:rStyle w:val="normaltextrun"/>
          <w:rFonts w:ascii="Calibri" w:hAnsi="Calibri" w:cs="Calibri"/>
          <w:sz w:val="22"/>
          <w:szCs w:val="22"/>
        </w:rPr>
        <w:t xml:space="preserve"> and NFPA</w:t>
      </w:r>
      <w:r w:rsidRPr="41CCC33A">
        <w:rPr>
          <w:rStyle w:val="normaltextrun"/>
          <w:rFonts w:ascii="Calibri" w:hAnsi="Calibri" w:cs="Calibri"/>
          <w:sz w:val="22"/>
          <w:szCs w:val="22"/>
        </w:rPr>
        <w:t xml:space="preserve">, in their </w:t>
      </w:r>
      <w:r w:rsidRPr="6ABC42AB" w:rsidR="34368F02">
        <w:rPr>
          <w:rStyle w:val="normaltextrun"/>
          <w:rFonts w:ascii="Calibri" w:hAnsi="Calibri" w:cs="Calibri"/>
          <w:sz w:val="22"/>
          <w:szCs w:val="22"/>
        </w:rPr>
        <w:t>reports</w:t>
      </w:r>
      <w:r w:rsidRPr="41CCC33A">
        <w:rPr>
          <w:rStyle w:val="normaltextrun"/>
          <w:rFonts w:ascii="Calibri" w:hAnsi="Calibri" w:cs="Calibri"/>
          <w:sz w:val="22"/>
          <w:szCs w:val="22"/>
        </w:rPr>
        <w:t xml:space="preserve"> “Fire Risk in 2019”</w:t>
      </w:r>
      <w:r w:rsidRPr="6ABC42AB" w:rsidR="34368F02">
        <w:rPr>
          <w:rStyle w:val="normaltextrun"/>
          <w:rFonts w:ascii="Calibri" w:hAnsi="Calibri" w:cs="Calibri"/>
          <w:sz w:val="22"/>
          <w:szCs w:val="22"/>
        </w:rPr>
        <w:t xml:space="preserve"> and </w:t>
      </w:r>
      <w:r w:rsidRPr="6ABC42AB" w:rsidR="54AAA122">
        <w:rPr>
          <w:rStyle w:val="normaltextrun"/>
          <w:rFonts w:ascii="Calibri" w:hAnsi="Calibri" w:cs="Calibri"/>
          <w:sz w:val="22"/>
          <w:szCs w:val="22"/>
        </w:rPr>
        <w:t xml:space="preserve">“Poverty and the Risk of Fire ,” respectively, </w:t>
      </w:r>
      <w:r w:rsidRPr="41CCC33A">
        <w:rPr>
          <w:rStyle w:val="normaltextrun"/>
          <w:rFonts w:ascii="Calibri" w:hAnsi="Calibri" w:cs="Calibri"/>
          <w:sz w:val="22"/>
          <w:szCs w:val="22"/>
        </w:rPr>
        <w:t xml:space="preserve">identified </w:t>
      </w:r>
      <w:r w:rsidRPr="6ABC42AB" w:rsidR="54AAA122">
        <w:rPr>
          <w:rStyle w:val="normaltextrun"/>
          <w:rFonts w:ascii="Calibri" w:hAnsi="Calibri" w:cs="Calibri"/>
          <w:sz w:val="22"/>
          <w:szCs w:val="22"/>
        </w:rPr>
        <w:t xml:space="preserve">multiple </w:t>
      </w:r>
      <w:r w:rsidRPr="41CCC33A">
        <w:rPr>
          <w:rStyle w:val="normaltextrun"/>
          <w:rFonts w:ascii="Calibri" w:hAnsi="Calibri" w:cs="Calibri"/>
          <w:sz w:val="22"/>
          <w:szCs w:val="22"/>
        </w:rPr>
        <w:t>factors that contribute to fire deaths</w:t>
      </w:r>
      <w:r w:rsidRPr="6ABC42AB" w:rsidR="54AAA122">
        <w:rPr>
          <w:rStyle w:val="normaltextrun"/>
          <w:rFonts w:ascii="Calibri" w:hAnsi="Calibri" w:cs="Calibri"/>
          <w:sz w:val="22"/>
          <w:szCs w:val="22"/>
        </w:rPr>
        <w:t xml:space="preserve"> rates higher than the national averages</w:t>
      </w:r>
      <w:r w:rsidRPr="41CCC33A">
        <w:rPr>
          <w:rStyle w:val="normaltextrun"/>
          <w:rFonts w:ascii="Calibri" w:hAnsi="Calibri" w:cs="Calibri"/>
          <w:sz w:val="22"/>
          <w:szCs w:val="22"/>
        </w:rPr>
        <w:t>, including race, age, gender, and location. More specifically</w:t>
      </w:r>
      <w:r w:rsidRPr="6ABC42AB" w:rsidR="1ACCE3D8">
        <w:rPr>
          <w:rStyle w:val="normaltextrun"/>
          <w:rFonts w:ascii="Calibri" w:hAnsi="Calibri" w:cs="Calibri"/>
          <w:sz w:val="22"/>
          <w:szCs w:val="22"/>
        </w:rPr>
        <w:t xml:space="preserve"> in </w:t>
      </w:r>
      <w:r w:rsidRPr="6ABC42AB" w:rsidR="34368F02">
        <w:rPr>
          <w:rStyle w:val="normaltextrun"/>
          <w:rFonts w:ascii="Calibri" w:hAnsi="Calibri" w:cs="Calibri"/>
          <w:sz w:val="22"/>
          <w:szCs w:val="22"/>
        </w:rPr>
        <w:t xml:space="preserve">the </w:t>
      </w:r>
      <w:r w:rsidRPr="6ABC42AB" w:rsidR="1ACCE3D8">
        <w:rPr>
          <w:rStyle w:val="normaltextrun"/>
          <w:rFonts w:ascii="Calibri" w:hAnsi="Calibri" w:cs="Calibri"/>
          <w:sz w:val="22"/>
          <w:szCs w:val="22"/>
        </w:rPr>
        <w:t>reports</w:t>
      </w:r>
      <w:r w:rsidRPr="41CCC33A">
        <w:rPr>
          <w:rStyle w:val="normaltextrun"/>
          <w:rFonts w:ascii="Calibri" w:hAnsi="Calibri" w:cs="Calibri"/>
          <w:sz w:val="22"/>
          <w:szCs w:val="22"/>
        </w:rPr>
        <w:t>, fire death rates are higher with African Americans, people living in poverty,</w:t>
      </w:r>
      <w:r w:rsidRPr="6ABC42AB" w:rsidR="34368F02">
        <w:rPr>
          <w:rStyle w:val="normaltextrun"/>
          <w:rFonts w:ascii="Calibri" w:hAnsi="Calibri" w:cs="Calibri"/>
          <w:sz w:val="22"/>
          <w:szCs w:val="22"/>
        </w:rPr>
        <w:t xml:space="preserve"> adults ages 55 or older, young children,</w:t>
      </w:r>
      <w:r w:rsidRPr="41CCC33A">
        <w:rPr>
          <w:rStyle w:val="normaltextrun"/>
          <w:rFonts w:ascii="Calibri" w:hAnsi="Calibri" w:cs="Calibri"/>
          <w:sz w:val="22"/>
          <w:szCs w:val="22"/>
        </w:rPr>
        <w:t xml:space="preserve"> those with less formal education, and those who live in rural areas.</w:t>
      </w:r>
      <w:r>
        <w:rPr>
          <w:rStyle w:val="FootnoteReference"/>
          <w:rFonts w:ascii="Calibri" w:hAnsi="Calibri" w:cs="Calibri"/>
          <w:sz w:val="22"/>
          <w:szCs w:val="22"/>
        </w:rPr>
        <w:footnoteReference w:id="4"/>
      </w:r>
      <w:r w:rsidRPr="001A342F" w:rsidR="1AE7D290">
        <w:rPr>
          <w:rStyle w:val="normaltextrun"/>
          <w:rFonts w:ascii="Calibri" w:hAnsi="Calibri" w:cs="Calibri"/>
          <w:sz w:val="22"/>
          <w:szCs w:val="22"/>
          <w:vertAlign w:val="superscript"/>
        </w:rPr>
        <w:t>,</w:t>
      </w:r>
      <w:r>
        <w:rPr>
          <w:rStyle w:val="FootnoteReference"/>
          <w:rFonts w:ascii="Calibri" w:hAnsi="Calibri" w:cs="Calibri"/>
          <w:sz w:val="22"/>
          <w:szCs w:val="22"/>
        </w:rPr>
        <w:footnoteReference w:id="5"/>
      </w:r>
      <w:r w:rsidRPr="41CCC33A">
        <w:rPr>
          <w:rStyle w:val="normaltextrun"/>
          <w:rFonts w:ascii="Calibri" w:hAnsi="Calibri" w:cs="Calibri"/>
          <w:sz w:val="22"/>
          <w:szCs w:val="22"/>
        </w:rPr>
        <w:t xml:space="preserve"> Furthermore,</w:t>
      </w:r>
      <w:r w:rsidRPr="6ABC42AB" w:rsidR="34368F02">
        <w:rPr>
          <w:rStyle w:val="normaltextrun"/>
          <w:rFonts w:ascii="Calibri" w:hAnsi="Calibri" w:cs="Calibri"/>
          <w:sz w:val="22"/>
          <w:szCs w:val="22"/>
        </w:rPr>
        <w:t xml:space="preserve"> the reports state that</w:t>
      </w:r>
      <w:r w:rsidRPr="41CCC33A">
        <w:rPr>
          <w:rStyle w:val="normaltextrun"/>
          <w:rFonts w:ascii="Calibri" w:hAnsi="Calibri" w:cs="Calibri"/>
          <w:sz w:val="22"/>
          <w:szCs w:val="22"/>
        </w:rPr>
        <w:t xml:space="preserve"> many of the states with higher percentages of those at risk of injury or death due to fire are in the Midwest and South. Higher rates of death due to fire in southern states may be due to </w:t>
      </w:r>
      <w:r w:rsidRPr="41CCC33A" w:rsidR="4A820E84">
        <w:rPr>
          <w:rStyle w:val="normaltextrun"/>
          <w:rFonts w:ascii="Calibri" w:hAnsi="Calibri" w:cs="Calibri"/>
          <w:sz w:val="22"/>
          <w:szCs w:val="22"/>
        </w:rPr>
        <w:t xml:space="preserve">in part </w:t>
      </w:r>
      <w:r w:rsidRPr="41CCC33A">
        <w:rPr>
          <w:rStyle w:val="normaltextrun"/>
          <w:rFonts w:ascii="Calibri" w:hAnsi="Calibri" w:cs="Calibri"/>
          <w:sz w:val="22"/>
          <w:szCs w:val="22"/>
        </w:rPr>
        <w:t xml:space="preserve">the intermittent need for heating and resulting </w:t>
      </w:r>
      <w:r w:rsidRPr="41CCC33A" w:rsidR="45C8A8B3">
        <w:rPr>
          <w:rStyle w:val="normaltextrun"/>
          <w:rFonts w:ascii="Calibri" w:hAnsi="Calibri" w:cs="Calibri"/>
          <w:sz w:val="22"/>
          <w:szCs w:val="22"/>
        </w:rPr>
        <w:t xml:space="preserve">higher rates of </w:t>
      </w:r>
      <w:r w:rsidRPr="41CCC33A">
        <w:rPr>
          <w:rStyle w:val="normaltextrun"/>
          <w:rFonts w:ascii="Calibri" w:hAnsi="Calibri" w:cs="Calibri"/>
          <w:sz w:val="22"/>
          <w:szCs w:val="22"/>
        </w:rPr>
        <w:t>using of portable heating devices</w:t>
      </w:r>
      <w:r w:rsidRPr="41CCC33A" w:rsidR="6CD6F802">
        <w:rPr>
          <w:rStyle w:val="normaltextrun"/>
          <w:rFonts w:ascii="Calibri" w:hAnsi="Calibri" w:cs="Calibri"/>
          <w:sz w:val="22"/>
          <w:szCs w:val="22"/>
        </w:rPr>
        <w:t xml:space="preserve"> as their primary heat</w:t>
      </w:r>
      <w:r w:rsidRPr="41CCC33A">
        <w:rPr>
          <w:rStyle w:val="normaltextrun"/>
          <w:rFonts w:ascii="Calibri" w:hAnsi="Calibri" w:cs="Calibri"/>
          <w:sz w:val="22"/>
          <w:szCs w:val="22"/>
        </w:rPr>
        <w:t>. </w:t>
      </w:r>
      <w:r w:rsidRPr="41CCC33A">
        <w:rPr>
          <w:rStyle w:val="eop"/>
          <w:rFonts w:ascii="Calibri" w:hAnsi="Calibri" w:cs="Calibri"/>
          <w:sz w:val="22"/>
          <w:szCs w:val="22"/>
        </w:rPr>
        <w:t> </w:t>
      </w:r>
    </w:p>
    <w:p w:rsidR="009A3C4E" w:rsidP="009A3C4E" w14:paraId="19739CBE" w14:textId="5329B498">
      <w:pPr>
        <w:pStyle w:val="Heading30"/>
        <w:ind w:firstLine="360"/>
        <w:rPr>
          <w:rStyle w:val="eop"/>
          <w:rFonts w:ascii="Calibri" w:hAnsi="Calibri" w:cs="Calibri"/>
          <w:sz w:val="22"/>
          <w:szCs w:val="22"/>
        </w:rPr>
      </w:pPr>
      <w:r>
        <w:rPr>
          <w:rStyle w:val="eop"/>
          <w:rFonts w:ascii="Calibri" w:hAnsi="Calibri" w:cs="Calibri"/>
          <w:sz w:val="22"/>
          <w:szCs w:val="22"/>
        </w:rPr>
        <w:t>How the data will be used:</w:t>
      </w:r>
    </w:p>
    <w:p w:rsidR="009A3C4E" w14:paraId="70D05E5C" w14:textId="5D618522">
      <w:pPr>
        <w:pStyle w:val="Body"/>
        <w:ind w:left="720" w:firstLine="0"/>
        <w:rPr>
          <w:rStyle w:val="eop"/>
          <w:rFonts w:ascii="Calibri" w:hAnsi="Calibri" w:cs="Calibri"/>
        </w:rPr>
      </w:pPr>
      <w:r>
        <w:rPr>
          <w:rStyle w:val="eop"/>
          <w:rFonts w:ascii="Calibri" w:hAnsi="Calibri" w:cs="Calibri"/>
        </w:rPr>
        <w:t xml:space="preserve">The Portable Electrical Heater Focus Groups will provide qualitative research on consumer perception, behavior, and experience with the purchase and use of indoor </w:t>
      </w:r>
      <w:r w:rsidR="00D4771C">
        <w:rPr>
          <w:rStyle w:val="eop"/>
          <w:rFonts w:ascii="Calibri" w:hAnsi="Calibri" w:cs="Calibri"/>
        </w:rPr>
        <w:t>portable electrical heaters (</w:t>
      </w:r>
      <w:r>
        <w:rPr>
          <w:rStyle w:val="eop"/>
          <w:rFonts w:ascii="Calibri" w:hAnsi="Calibri" w:cs="Calibri"/>
        </w:rPr>
        <w:t>PEH</w:t>
      </w:r>
      <w:r w:rsidR="00D4771C">
        <w:rPr>
          <w:rStyle w:val="eop"/>
          <w:rFonts w:ascii="Calibri" w:hAnsi="Calibri" w:cs="Calibri"/>
        </w:rPr>
        <w:t>)</w:t>
      </w:r>
      <w:r>
        <w:rPr>
          <w:rStyle w:val="eop"/>
          <w:rFonts w:ascii="Calibri" w:hAnsi="Calibri" w:cs="Calibri"/>
        </w:rPr>
        <w:t xml:space="preserve">. Findings from the qualitative research will be documented in a final report that will include an analysis of the data collected regarding the safety and risks of PEHs to consumers and the public, and it will include recommendations and strategies to enhance communication to consumers on the safety and risks of these products. Findings from the study </w:t>
      </w:r>
      <w:r>
        <w:rPr>
          <w:rStyle w:val="eop"/>
          <w:rFonts w:ascii="Calibri" w:hAnsi="Calibri" w:cs="Calibri"/>
        </w:rPr>
        <w:t>are not intended to be nationally representative.</w:t>
      </w:r>
    </w:p>
    <w:p w:rsidR="00EB3B75" w14:paraId="013D5EB2" w14:textId="2A667103">
      <w:pPr>
        <w:pStyle w:val="Body"/>
        <w:ind w:left="720" w:firstLine="0"/>
        <w:rPr>
          <w:rStyle w:val="eop"/>
          <w:rFonts w:ascii="Calibri" w:hAnsi="Calibri" w:cs="Calibri"/>
        </w:rPr>
      </w:pPr>
    </w:p>
    <w:p w:rsidR="00EB3B75" w:rsidP="008C40B5" w14:paraId="370A4939" w14:textId="4C577612">
      <w:pPr>
        <w:pStyle w:val="Body"/>
        <w:ind w:left="360" w:firstLine="0"/>
        <w:rPr>
          <w:rStyle w:val="eop"/>
          <w:rFonts w:ascii="Calibri" w:hAnsi="Calibri" w:cs="Calibri"/>
        </w:rPr>
      </w:pPr>
      <w:r>
        <w:rPr>
          <w:rStyle w:val="eop"/>
          <w:rFonts w:ascii="Calibri" w:hAnsi="Calibri" w:cs="Calibri"/>
        </w:rPr>
        <w:t>No statistical methods are identified because the focus groups are qualitative in nature and are not representative of the population.</w:t>
      </w:r>
    </w:p>
    <w:p w:rsidR="00EB3B75" w:rsidRPr="009A3C4E" w:rsidP="008C40B5" w14:paraId="4630A249" w14:textId="7ED19B8A">
      <w:pPr>
        <w:pStyle w:val="Body"/>
        <w:ind w:firstLine="0"/>
      </w:pPr>
      <w:r>
        <w:tab/>
      </w:r>
    </w:p>
    <w:p w:rsidR="00EC7026" w:rsidP="00CB4C64" w14:paraId="0C22C6E2" w14:textId="40CE3C73">
      <w:pPr>
        <w:pStyle w:val="Heading2"/>
      </w:pPr>
      <w:bookmarkStart w:id="3" w:name="_Toc123908520"/>
      <w:r w:rsidRPr="00543656">
        <w:t>Recruitment And Data Collection</w:t>
      </w:r>
      <w:bookmarkEnd w:id="3"/>
      <w:r w:rsidRPr="00543656">
        <w:t xml:space="preserve"> </w:t>
      </w:r>
    </w:p>
    <w:p w:rsidR="003A126E" w:rsidP="05ACF3B8" w14:paraId="76189D78" w14:textId="487DDDA8">
      <w:pPr>
        <w:pStyle w:val="paragraph"/>
        <w:spacing w:before="0" w:beforeAutospacing="0" w:after="240" w:afterAutospacing="0" w:line="259" w:lineRule="auto"/>
        <w:ind w:left="360"/>
        <w:textAlignment w:val="baseline"/>
        <w:rPr>
          <w:rStyle w:val="normaltextrun"/>
          <w:rFonts w:ascii="Calibri" w:hAnsi="Calibri" w:cs="Calibri"/>
          <w:sz w:val="22"/>
          <w:szCs w:val="22"/>
        </w:rPr>
      </w:pPr>
      <w:r w:rsidRPr="05ACF3B8">
        <w:rPr>
          <w:rFonts w:ascii="Calibri" w:hAnsi="Calibri" w:cs="Calibri"/>
          <w:sz w:val="22"/>
          <w:szCs w:val="22"/>
        </w:rPr>
        <w:t xml:space="preserve">For this effort, </w:t>
      </w:r>
      <w:r w:rsidRPr="05ACF3B8" w:rsidR="6C44F925">
        <w:rPr>
          <w:rStyle w:val="normaltextrun"/>
          <w:rFonts w:ascii="Calibri" w:hAnsi="Calibri" w:cs="Calibri"/>
          <w:sz w:val="22"/>
          <w:szCs w:val="22"/>
        </w:rPr>
        <w:t xml:space="preserve">EurekaFacts will </w:t>
      </w:r>
      <w:r w:rsidRPr="05ACF3B8" w:rsidR="6C44F925">
        <w:rPr>
          <w:rStyle w:val="findhit"/>
          <w:rFonts w:ascii="Calibri" w:hAnsi="Calibri" w:cs="Calibri"/>
          <w:sz w:val="22"/>
          <w:szCs w:val="22"/>
        </w:rPr>
        <w:t>recruit</w:t>
      </w:r>
      <w:r w:rsidRPr="05ACF3B8" w:rsidR="6C44F925">
        <w:rPr>
          <w:rStyle w:val="normaltextrun"/>
          <w:rFonts w:ascii="Calibri" w:hAnsi="Calibri" w:cs="Calibri"/>
          <w:sz w:val="22"/>
          <w:szCs w:val="22"/>
        </w:rPr>
        <w:t xml:space="preserve"> a diverse cross-section of PEH users from the EurekaFacts participant database</w:t>
      </w:r>
      <w:r w:rsidRPr="05ACF3B8" w:rsidR="54C52A69">
        <w:rPr>
          <w:rStyle w:val="normaltextrun"/>
          <w:rFonts w:ascii="Calibri" w:hAnsi="Calibri" w:cs="Calibri"/>
          <w:sz w:val="22"/>
          <w:szCs w:val="22"/>
        </w:rPr>
        <w:t>.</w:t>
      </w:r>
      <w:r w:rsidRPr="05ACF3B8" w:rsidR="27C0E0C7">
        <w:rPr>
          <w:rStyle w:val="normaltextrun"/>
          <w:rFonts w:ascii="Calibri" w:hAnsi="Calibri" w:cs="Calibri"/>
          <w:sz w:val="22"/>
          <w:szCs w:val="22"/>
        </w:rPr>
        <w:t xml:space="preserve"> </w:t>
      </w:r>
      <w:r w:rsidRPr="05ACF3B8" w:rsidR="54C52A69">
        <w:rPr>
          <w:rStyle w:val="normaltextrun"/>
          <w:rFonts w:ascii="Calibri" w:hAnsi="Calibri" w:cs="Calibri"/>
          <w:sz w:val="22"/>
          <w:szCs w:val="22"/>
        </w:rPr>
        <w:t xml:space="preserve"> </w:t>
      </w:r>
      <w:r w:rsidRPr="05ACF3B8" w:rsidR="54C52A69">
        <w:rPr>
          <w:rFonts w:ascii="Calibri" w:hAnsi="Calibri" w:cs="Calibri"/>
          <w:sz w:val="22"/>
          <w:szCs w:val="22"/>
        </w:rPr>
        <w:t xml:space="preserve">The EurekaFacts participant database includes tens of thousands of individuals nation-wide and is constantly refreshed and updated through independent participant outreach methods in both English and Spanish. These efforts ensure that the research participants recruited by EurekaFacts are not “professional research respondents,” instead they are individuals with limited to no experience with qualitative research who can provide fresh and actionable information for stakeholders. </w:t>
      </w:r>
    </w:p>
    <w:p w:rsidR="009B44E4" w:rsidP="005308A9" w14:paraId="18527109" w14:textId="2362154D">
      <w:pPr>
        <w:pStyle w:val="paragraph"/>
        <w:spacing w:before="0" w:beforeAutospacing="0" w:after="240" w:afterAutospacing="0" w:line="259" w:lineRule="auto"/>
        <w:ind w:left="360"/>
        <w:textAlignment w:val="baseline"/>
        <w:rPr>
          <w:rStyle w:val="normaltextrun"/>
          <w:rFonts w:ascii="Calibri" w:hAnsi="Calibri" w:cs="Calibri"/>
          <w:sz w:val="22"/>
          <w:szCs w:val="22"/>
        </w:rPr>
      </w:pPr>
      <w:r>
        <w:rPr>
          <w:rStyle w:val="normaltextrun"/>
          <w:rFonts w:ascii="Calibri" w:hAnsi="Calibri" w:cs="Calibri"/>
          <w:sz w:val="22"/>
          <w:szCs w:val="22"/>
        </w:rPr>
        <w:t>The</w:t>
      </w:r>
      <w:r w:rsidR="00366362">
        <w:rPr>
          <w:rStyle w:val="normaltextrun"/>
          <w:rFonts w:ascii="Calibri" w:hAnsi="Calibri" w:cs="Calibri"/>
          <w:sz w:val="22"/>
          <w:szCs w:val="22"/>
        </w:rPr>
        <w:t xml:space="preserve"> </w:t>
      </w:r>
      <w:r w:rsidR="00366362">
        <w:rPr>
          <w:rStyle w:val="findhit"/>
          <w:rFonts w:ascii="Calibri" w:hAnsi="Calibri" w:cs="Calibri"/>
          <w:sz w:val="22"/>
          <w:szCs w:val="22"/>
        </w:rPr>
        <w:t>recruit</w:t>
      </w:r>
      <w:r w:rsidR="00366362">
        <w:rPr>
          <w:rStyle w:val="normaltextrun"/>
          <w:rFonts w:ascii="Calibri" w:hAnsi="Calibri" w:cs="Calibri"/>
          <w:sz w:val="22"/>
          <w:szCs w:val="22"/>
        </w:rPr>
        <w:t xml:space="preserve">ment strategy integrates multiple outreach/contact methods and resources, such as Internet ads, individual emails, telephone </w:t>
      </w:r>
      <w:r w:rsidR="00366362">
        <w:rPr>
          <w:rStyle w:val="findhit"/>
          <w:rFonts w:ascii="Calibri" w:hAnsi="Calibri" w:cs="Calibri"/>
          <w:sz w:val="22"/>
          <w:szCs w:val="22"/>
        </w:rPr>
        <w:t>recruit</w:t>
      </w:r>
      <w:r w:rsidR="00366362">
        <w:rPr>
          <w:rStyle w:val="normaltextrun"/>
          <w:rFonts w:ascii="Calibri" w:hAnsi="Calibri" w:cs="Calibri"/>
          <w:sz w:val="22"/>
          <w:szCs w:val="22"/>
        </w:rPr>
        <w:t xml:space="preserve">ing, and social media </w:t>
      </w:r>
      <w:r w:rsidR="00366362">
        <w:rPr>
          <w:rStyle w:val="findhit"/>
          <w:rFonts w:ascii="Calibri" w:hAnsi="Calibri" w:cs="Calibri"/>
          <w:sz w:val="22"/>
          <w:szCs w:val="22"/>
        </w:rPr>
        <w:t>recruit</w:t>
      </w:r>
      <w:r w:rsidR="00366362">
        <w:rPr>
          <w:rStyle w:val="normaltextrun"/>
          <w:rFonts w:ascii="Calibri" w:hAnsi="Calibri" w:cs="Calibri"/>
          <w:sz w:val="22"/>
          <w:szCs w:val="22"/>
        </w:rPr>
        <w:t xml:space="preserve">ing. Using multiple outreach methods helps to ensure we reach sufficient numbers of the demographics of interest </w:t>
      </w:r>
      <w:r w:rsidRPr="006B1A19" w:rsidR="00366362">
        <w:rPr>
          <w:rStyle w:val="normaltextrun"/>
          <w:rFonts w:ascii="Calibri" w:hAnsi="Calibri" w:cs="Calibri"/>
          <w:sz w:val="22"/>
          <w:szCs w:val="22"/>
        </w:rPr>
        <w:t>(see Table 1 below)</w:t>
      </w:r>
      <w:r w:rsidR="00366362">
        <w:rPr>
          <w:rStyle w:val="normaltextrun"/>
          <w:rFonts w:ascii="Calibri" w:hAnsi="Calibri" w:cs="Calibri"/>
          <w:sz w:val="22"/>
          <w:szCs w:val="22"/>
        </w:rPr>
        <w:t xml:space="preserve">. EurekaFacts will inform CPSC when </w:t>
      </w:r>
      <w:r w:rsidR="00366362">
        <w:rPr>
          <w:rStyle w:val="findhit"/>
          <w:rFonts w:ascii="Calibri" w:hAnsi="Calibri" w:cs="Calibri"/>
          <w:sz w:val="22"/>
          <w:szCs w:val="22"/>
        </w:rPr>
        <w:t>recruit</w:t>
      </w:r>
      <w:r w:rsidR="00366362">
        <w:rPr>
          <w:rStyle w:val="normaltextrun"/>
          <w:rFonts w:ascii="Calibri" w:hAnsi="Calibri" w:cs="Calibri"/>
          <w:sz w:val="22"/>
          <w:szCs w:val="22"/>
        </w:rPr>
        <w:t xml:space="preserve">ment commences and will provide updates on screening and </w:t>
      </w:r>
      <w:r w:rsidR="00366362">
        <w:rPr>
          <w:rStyle w:val="findhit"/>
          <w:rFonts w:ascii="Calibri" w:hAnsi="Calibri" w:cs="Calibri"/>
          <w:sz w:val="22"/>
          <w:szCs w:val="22"/>
        </w:rPr>
        <w:t>recruit</w:t>
      </w:r>
      <w:r w:rsidR="00366362">
        <w:rPr>
          <w:rStyle w:val="normaltextrun"/>
          <w:rFonts w:ascii="Calibri" w:hAnsi="Calibri" w:cs="Calibri"/>
          <w:sz w:val="22"/>
          <w:szCs w:val="22"/>
        </w:rPr>
        <w:t xml:space="preserve">ment numbers on a weekly basis throughout the </w:t>
      </w:r>
      <w:r w:rsidR="00366362">
        <w:rPr>
          <w:rStyle w:val="findhit"/>
          <w:rFonts w:ascii="Calibri" w:hAnsi="Calibri" w:cs="Calibri"/>
          <w:sz w:val="22"/>
          <w:szCs w:val="22"/>
        </w:rPr>
        <w:t>recruit</w:t>
      </w:r>
      <w:r w:rsidR="00366362">
        <w:rPr>
          <w:rStyle w:val="normaltextrun"/>
          <w:rFonts w:ascii="Calibri" w:hAnsi="Calibri" w:cs="Calibri"/>
          <w:sz w:val="22"/>
          <w:szCs w:val="22"/>
        </w:rPr>
        <w:t>ment period</w:t>
      </w:r>
      <w:r>
        <w:rPr>
          <w:rStyle w:val="normaltextrun"/>
          <w:rFonts w:ascii="Calibri" w:hAnsi="Calibri" w:cs="Calibri"/>
          <w:sz w:val="22"/>
          <w:szCs w:val="22"/>
        </w:rPr>
        <w:t>.</w:t>
      </w:r>
      <w:r>
        <w:rPr>
          <w:rStyle w:val="eop"/>
          <w:rFonts w:ascii="Calibri" w:hAnsi="Calibri" w:cs="Calibri"/>
          <w:sz w:val="22"/>
          <w:szCs w:val="22"/>
        </w:rPr>
        <w:t> </w:t>
      </w:r>
    </w:p>
    <w:p w:rsidR="00A73F9C" w:rsidP="005308A9" w14:paraId="6EB2F42F" w14:textId="29D8A8CF">
      <w:pPr>
        <w:pStyle w:val="BodyText"/>
        <w:spacing w:after="240" w:line="259" w:lineRule="auto"/>
        <w:ind w:left="360"/>
      </w:pPr>
      <w:r>
        <w:t>EurekaFacts</w:t>
      </w:r>
      <w:r w:rsidR="001700B3">
        <w:t xml:space="preserve"> </w:t>
      </w:r>
      <w:r>
        <w:t xml:space="preserve">will recruit </w:t>
      </w:r>
      <w:r w:rsidR="009B44E4">
        <w:t>78</w:t>
      </w:r>
      <w:r w:rsidR="00373202">
        <w:t>-84</w:t>
      </w:r>
      <w:r>
        <w:t xml:space="preserve"> participants, </w:t>
      </w:r>
      <w:r w:rsidR="008A6B64">
        <w:t>specifically</w:t>
      </w:r>
      <w:r w:rsidR="001700B3">
        <w:t xml:space="preserve"> </w:t>
      </w:r>
      <w:r w:rsidR="00745A82">
        <w:t xml:space="preserve">Black, </w:t>
      </w:r>
      <w:r w:rsidR="000A3AA4">
        <w:t>Indigenous, or person</w:t>
      </w:r>
      <w:r w:rsidR="00481319">
        <w:t>s</w:t>
      </w:r>
      <w:r w:rsidR="000A3AA4">
        <w:t xml:space="preserve"> of color (</w:t>
      </w:r>
      <w:r w:rsidR="001700B3">
        <w:t>BIPOC</w:t>
      </w:r>
      <w:r w:rsidR="000A3AA4">
        <w:t>)</w:t>
      </w:r>
      <w:r w:rsidR="001700B3">
        <w:t>, Hispanic (Bilingual</w:t>
      </w:r>
      <w:r w:rsidR="00EC722A">
        <w:t>), Parent</w:t>
      </w:r>
      <w:r w:rsidR="6BB1C099">
        <w:t xml:space="preserve"> or legal guardian </w:t>
      </w:r>
      <w:r w:rsidR="32DF42A1">
        <w:t>with</w:t>
      </w:r>
      <w:r w:rsidR="002C3619">
        <w:t xml:space="preserve"> young</w:t>
      </w:r>
      <w:r w:rsidR="32DF42A1">
        <w:t xml:space="preserve"> children (age &lt; 6)</w:t>
      </w:r>
      <w:r w:rsidR="00EC722A">
        <w:t xml:space="preserve">, </w:t>
      </w:r>
      <w:r w:rsidR="002E52D7">
        <w:t>Older Adults</w:t>
      </w:r>
      <w:r w:rsidR="00EC722A">
        <w:t xml:space="preserve"> (age </w:t>
      </w:r>
      <w:r w:rsidR="239BF549">
        <w:t>&gt;</w:t>
      </w:r>
      <w:r w:rsidR="00EC722A">
        <w:t xml:space="preserve">55), and </w:t>
      </w:r>
      <w:r>
        <w:t>Low-income</w:t>
      </w:r>
      <w:r w:rsidR="00EC722A">
        <w:t xml:space="preserve"> </w:t>
      </w:r>
      <w:r w:rsidR="00E75564">
        <w:t>communities</w:t>
      </w:r>
      <w:r>
        <w:t>.</w:t>
      </w:r>
      <w:r w:rsidR="008B0030">
        <w:t xml:space="preserve"> Furthermore, efforts will focus on recruiting individuals </w:t>
      </w:r>
      <w:r w:rsidR="007E00F4">
        <w:t>from</w:t>
      </w:r>
      <w:r w:rsidR="008B0030">
        <w:t xml:space="preserve"> the Midwest and Southern states</w:t>
      </w:r>
      <w:r w:rsidR="007E00F4">
        <w:t>, supplemented, as needed, by a national outreach.</w:t>
      </w:r>
      <w:r w:rsidR="008B0030">
        <w:t xml:space="preserve"> </w:t>
      </w:r>
    </w:p>
    <w:p w:rsidR="00A73F9C" w:rsidP="000107B2" w14:paraId="75B459B8" w14:textId="31A3D21E">
      <w:pPr>
        <w:pStyle w:val="BodyText"/>
        <w:spacing w:after="120" w:line="259" w:lineRule="auto"/>
        <w:ind w:left="360" w:firstLine="360"/>
      </w:pPr>
      <w:r w:rsidRPr="00DE0292">
        <w:rPr>
          <w:rStyle w:val="normaltextrun"/>
          <w:rFonts w:cs="Calibri"/>
          <w:i/>
          <w:sz w:val="18"/>
          <w:szCs w:val="18"/>
          <w:shd w:val="clear" w:color="auto" w:fill="FFFFFF"/>
        </w:rPr>
        <w:t xml:space="preserve">Table </w:t>
      </w:r>
      <w:r w:rsidRPr="00DE0292" w:rsidR="006B1A19">
        <w:rPr>
          <w:rStyle w:val="normaltextrun"/>
          <w:rFonts w:cs="Calibri"/>
          <w:i/>
          <w:sz w:val="18"/>
          <w:szCs w:val="18"/>
          <w:shd w:val="clear" w:color="auto" w:fill="FFFFFF"/>
        </w:rPr>
        <w:t>1</w:t>
      </w:r>
      <w:r w:rsidRPr="00DE0292">
        <w:rPr>
          <w:rStyle w:val="normaltextrun"/>
          <w:rFonts w:cs="Calibri"/>
          <w:i/>
          <w:sz w:val="18"/>
          <w:szCs w:val="18"/>
          <w:shd w:val="clear" w:color="auto" w:fill="FFFFFF"/>
        </w:rPr>
        <w:t xml:space="preserve">. Demographic </w:t>
      </w:r>
      <w:r w:rsidRPr="00DE0292">
        <w:rPr>
          <w:rStyle w:val="findhit"/>
          <w:rFonts w:cs="Calibri"/>
          <w:i/>
          <w:sz w:val="18"/>
          <w:szCs w:val="18"/>
          <w:shd w:val="clear" w:color="auto" w:fill="FFFFFF"/>
        </w:rPr>
        <w:t>Recruit</w:t>
      </w:r>
      <w:r w:rsidRPr="00DE0292">
        <w:rPr>
          <w:rStyle w:val="normaltextrun"/>
          <w:rFonts w:cs="Calibri"/>
          <w:i/>
          <w:sz w:val="18"/>
          <w:szCs w:val="18"/>
          <w:shd w:val="clear" w:color="auto" w:fill="FFFFFF"/>
        </w:rPr>
        <w:t>ment Target</w:t>
      </w:r>
      <w:r w:rsidRPr="00DE0292">
        <w:rPr>
          <w:rStyle w:val="eop"/>
          <w:rFonts w:cs="Calibri"/>
          <w:sz w:val="18"/>
          <w:szCs w:val="18"/>
          <w:shd w:val="clear" w:color="auto" w:fill="FFFFFF"/>
        </w:rPr>
        <w:t> </w:t>
      </w:r>
    </w:p>
    <w:tbl>
      <w:tblPr>
        <w:tblW w:w="7898"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80"/>
        <w:gridCol w:w="1875"/>
        <w:gridCol w:w="1943"/>
      </w:tblGrid>
      <w:tr w14:paraId="46FD0CBA" w14:textId="77777777" w:rsidTr="56BB1422">
        <w:tblPrEx>
          <w:tblW w:w="7898"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3"/>
        </w:trPr>
        <w:tc>
          <w:tcPr>
            <w:tcW w:w="40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rsidR="002C3619" w:rsidRPr="00A73F9C" w:rsidP="00AC7D3B" w14:paraId="645C0640" w14:textId="74730572">
            <w:pPr>
              <w:spacing w:after="0" w:line="259" w:lineRule="auto"/>
              <w:jc w:val="center"/>
              <w:textAlignment w:val="baseline"/>
              <w:rPr>
                <w:rFonts w:ascii="Segoe UI" w:hAnsi="Segoe UI" w:cs="Segoe UI"/>
                <w:sz w:val="18"/>
                <w:szCs w:val="18"/>
              </w:rPr>
            </w:pPr>
            <w:r w:rsidRPr="00A73F9C">
              <w:rPr>
                <w:rFonts w:cs="Calibri"/>
                <w:b/>
                <w:bCs/>
              </w:rPr>
              <w:t>Participant Demographics</w:t>
            </w:r>
          </w:p>
        </w:tc>
        <w:tc>
          <w:tcPr>
            <w:tcW w:w="187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rsidR="002C3619" w:rsidRPr="00A73F9C" w:rsidP="00AC7D3B" w14:paraId="7F4FB424" w14:textId="011BC28B">
            <w:pPr>
              <w:spacing w:after="0" w:line="259" w:lineRule="auto"/>
              <w:jc w:val="center"/>
              <w:textAlignment w:val="baseline"/>
              <w:rPr>
                <w:rFonts w:ascii="Segoe UI" w:hAnsi="Segoe UI" w:cs="Segoe UI"/>
                <w:sz w:val="18"/>
                <w:szCs w:val="18"/>
              </w:rPr>
            </w:pPr>
            <w:r w:rsidRPr="00A73F9C">
              <w:rPr>
                <w:rFonts w:cs="Calibri"/>
                <w:b/>
                <w:bCs/>
              </w:rPr>
              <w:t>Total Screened</w:t>
            </w:r>
          </w:p>
        </w:tc>
        <w:tc>
          <w:tcPr>
            <w:tcW w:w="194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rsidR="002C3619" w:rsidRPr="00A73F9C" w:rsidP="00AC7D3B" w14:paraId="2FBED4F8" w14:textId="21030FE9">
            <w:pPr>
              <w:spacing w:after="0" w:line="259" w:lineRule="auto"/>
              <w:jc w:val="center"/>
              <w:textAlignment w:val="baseline"/>
              <w:rPr>
                <w:rFonts w:ascii="Segoe UI" w:hAnsi="Segoe UI" w:cs="Segoe UI"/>
                <w:sz w:val="18"/>
                <w:szCs w:val="18"/>
              </w:rPr>
            </w:pPr>
            <w:r w:rsidRPr="00A73F9C">
              <w:rPr>
                <w:rFonts w:cs="Calibri"/>
                <w:b/>
                <w:bCs/>
              </w:rPr>
              <w:t>Participant Total</w:t>
            </w:r>
          </w:p>
        </w:tc>
      </w:tr>
      <w:tr w14:paraId="02B8F52C" w14:textId="77777777" w:rsidTr="56BB1422">
        <w:tblPrEx>
          <w:tblW w:w="7898" w:type="dxa"/>
          <w:tblInd w:w="458" w:type="dxa"/>
          <w:tblCellMar>
            <w:left w:w="0" w:type="dxa"/>
            <w:right w:w="0" w:type="dxa"/>
          </w:tblCellMar>
          <w:tblLook w:val="04A0"/>
        </w:tblPrEx>
        <w:trPr>
          <w:trHeight w:val="303"/>
        </w:trPr>
        <w:tc>
          <w:tcPr>
            <w:tcW w:w="4080"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74DE2537" w14:textId="77777777">
            <w:pPr>
              <w:spacing w:after="0" w:line="259" w:lineRule="auto"/>
              <w:textAlignment w:val="baseline"/>
              <w:rPr>
                <w:rFonts w:ascii="Segoe UI" w:hAnsi="Segoe UI" w:cs="Segoe UI"/>
                <w:sz w:val="18"/>
                <w:szCs w:val="18"/>
              </w:rPr>
            </w:pPr>
            <w:r w:rsidRPr="00A73F9C">
              <w:rPr>
                <w:rFonts w:cs="Calibri"/>
              </w:rPr>
              <w:t>BIPOC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78622851" w14:textId="720C8744">
            <w:pPr>
              <w:spacing w:after="0" w:line="259" w:lineRule="auto"/>
              <w:jc w:val="center"/>
              <w:textAlignment w:val="baseline"/>
              <w:rPr>
                <w:rFonts w:ascii="Segoe UI" w:hAnsi="Segoe UI" w:cs="Segoe UI"/>
                <w:sz w:val="18"/>
                <w:szCs w:val="18"/>
              </w:rPr>
            </w:pPr>
            <w:r w:rsidRPr="00A73F9C">
              <w:rPr>
                <w:rFonts w:cs="Calibri"/>
              </w:rPr>
              <w:t>150</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68B1A94E" w14:textId="65AE3682">
            <w:pPr>
              <w:spacing w:after="0" w:line="259" w:lineRule="auto"/>
              <w:jc w:val="center"/>
              <w:textAlignment w:val="baseline"/>
              <w:rPr>
                <w:rFonts w:ascii="Segoe UI" w:hAnsi="Segoe UI" w:cs="Segoe UI"/>
                <w:sz w:val="18"/>
                <w:szCs w:val="18"/>
              </w:rPr>
            </w:pPr>
            <w:r w:rsidRPr="00A73F9C">
              <w:rPr>
                <w:rFonts w:cs="Calibri"/>
              </w:rPr>
              <w:t>16</w:t>
            </w:r>
          </w:p>
        </w:tc>
      </w:tr>
      <w:tr w14:paraId="0068716E" w14:textId="77777777" w:rsidTr="56BB1422">
        <w:tblPrEx>
          <w:tblW w:w="7898" w:type="dxa"/>
          <w:tblInd w:w="458" w:type="dxa"/>
          <w:tblCellMar>
            <w:left w:w="0" w:type="dxa"/>
            <w:right w:w="0" w:type="dxa"/>
          </w:tblCellMar>
          <w:tblLook w:val="04A0"/>
        </w:tblPrEx>
        <w:trPr>
          <w:trHeight w:val="303"/>
        </w:trPr>
        <w:tc>
          <w:tcPr>
            <w:tcW w:w="4080"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0CA258AD" w14:textId="77777777">
            <w:pPr>
              <w:spacing w:after="0" w:line="259" w:lineRule="auto"/>
              <w:textAlignment w:val="baseline"/>
              <w:rPr>
                <w:rFonts w:ascii="Segoe UI" w:hAnsi="Segoe UI" w:cs="Segoe UI"/>
                <w:sz w:val="18"/>
                <w:szCs w:val="18"/>
              </w:rPr>
            </w:pPr>
            <w:r w:rsidRPr="00A73F9C">
              <w:rPr>
                <w:rFonts w:cs="Calibri"/>
              </w:rPr>
              <w:t>Hispanic (Bilingual)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249536B2" w14:textId="0428F5C7">
            <w:pPr>
              <w:spacing w:after="0" w:line="259" w:lineRule="auto"/>
              <w:jc w:val="center"/>
              <w:textAlignment w:val="baseline"/>
              <w:rPr>
                <w:rFonts w:ascii="Segoe UI" w:hAnsi="Segoe UI" w:cs="Segoe UI"/>
                <w:sz w:val="18"/>
                <w:szCs w:val="18"/>
              </w:rPr>
            </w:pPr>
            <w:r w:rsidRPr="00A73F9C">
              <w:rPr>
                <w:rFonts w:cs="Calibri"/>
              </w:rPr>
              <w:t>150</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0B60173F" w14:textId="3269826D">
            <w:pPr>
              <w:spacing w:after="0" w:line="259" w:lineRule="auto"/>
              <w:jc w:val="center"/>
              <w:textAlignment w:val="baseline"/>
              <w:rPr>
                <w:rFonts w:ascii="Segoe UI" w:hAnsi="Segoe UI" w:cs="Segoe UI"/>
                <w:sz w:val="18"/>
                <w:szCs w:val="18"/>
              </w:rPr>
            </w:pPr>
            <w:r w:rsidRPr="00A73F9C">
              <w:rPr>
                <w:rFonts w:cs="Calibri"/>
              </w:rPr>
              <w:t>16</w:t>
            </w:r>
          </w:p>
        </w:tc>
      </w:tr>
      <w:tr w14:paraId="445AF896" w14:textId="77777777" w:rsidTr="56BB1422">
        <w:tblPrEx>
          <w:tblW w:w="7898" w:type="dxa"/>
          <w:tblInd w:w="458" w:type="dxa"/>
          <w:tblCellMar>
            <w:left w:w="0" w:type="dxa"/>
            <w:right w:w="0" w:type="dxa"/>
          </w:tblCellMar>
          <w:tblLook w:val="04A0"/>
        </w:tblPrEx>
        <w:trPr>
          <w:trHeight w:val="303"/>
        </w:trPr>
        <w:tc>
          <w:tcPr>
            <w:tcW w:w="4080"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56BB1422" w14:paraId="41D43C83" w14:textId="5668F64A">
            <w:pPr>
              <w:spacing w:after="0" w:line="259" w:lineRule="auto"/>
              <w:textAlignment w:val="baseline"/>
              <w:rPr>
                <w:rFonts w:cs="Calibri"/>
              </w:rPr>
            </w:pPr>
            <w:r w:rsidRPr="56BB1422">
              <w:rPr>
                <w:rFonts w:cs="Calibri"/>
              </w:rPr>
              <w:t>Parent </w:t>
            </w:r>
            <w:r w:rsidRPr="56BB1422" w:rsidR="70ED710C">
              <w:rPr>
                <w:rFonts w:cs="Calibri"/>
              </w:rPr>
              <w:t>or legal guardian with young children</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6BED2916" w14:textId="56487668">
            <w:pPr>
              <w:spacing w:after="0" w:line="259" w:lineRule="auto"/>
              <w:jc w:val="center"/>
              <w:textAlignment w:val="baseline"/>
              <w:rPr>
                <w:rFonts w:ascii="Segoe UI" w:hAnsi="Segoe UI" w:cs="Segoe UI"/>
                <w:sz w:val="18"/>
                <w:szCs w:val="18"/>
              </w:rPr>
            </w:pPr>
            <w:r w:rsidRPr="00A73F9C">
              <w:rPr>
                <w:rFonts w:cs="Calibri"/>
              </w:rPr>
              <w:t>150</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044E212A" w14:textId="34F363A6">
            <w:pPr>
              <w:spacing w:after="0" w:line="259" w:lineRule="auto"/>
              <w:jc w:val="center"/>
              <w:textAlignment w:val="baseline"/>
              <w:rPr>
                <w:rFonts w:ascii="Segoe UI" w:hAnsi="Segoe UI" w:cs="Segoe UI"/>
                <w:sz w:val="18"/>
                <w:szCs w:val="18"/>
              </w:rPr>
            </w:pPr>
            <w:r>
              <w:rPr>
                <w:rFonts w:cs="Calibri"/>
              </w:rPr>
              <w:t>10</w:t>
            </w:r>
          </w:p>
        </w:tc>
      </w:tr>
      <w:tr w14:paraId="59BC81DF" w14:textId="77777777" w:rsidTr="56BB1422">
        <w:tblPrEx>
          <w:tblW w:w="7898" w:type="dxa"/>
          <w:tblInd w:w="458" w:type="dxa"/>
          <w:tblCellMar>
            <w:left w:w="0" w:type="dxa"/>
            <w:right w:w="0" w:type="dxa"/>
          </w:tblCellMar>
          <w:tblLook w:val="04A0"/>
        </w:tblPrEx>
        <w:trPr>
          <w:trHeight w:val="303"/>
        </w:trPr>
        <w:tc>
          <w:tcPr>
            <w:tcW w:w="4080"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70FF7266" w14:textId="4CC4A6CF">
            <w:pPr>
              <w:spacing w:after="0" w:line="259" w:lineRule="auto"/>
              <w:textAlignment w:val="baseline"/>
              <w:rPr>
                <w:rFonts w:ascii="Segoe UI" w:hAnsi="Segoe UI" w:cs="Segoe UI"/>
                <w:sz w:val="18"/>
                <w:szCs w:val="18"/>
              </w:rPr>
            </w:pPr>
            <w:r>
              <w:rPr>
                <w:rFonts w:cs="Calibri"/>
              </w:rPr>
              <w:t>Older Adults</w:t>
            </w:r>
            <w:r w:rsidRPr="41CCC33A">
              <w:rPr>
                <w:rFonts w:cs="Calibri"/>
              </w:rPr>
              <w:t xml:space="preserve"> (age &gt;55)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020DDDD6" w14:textId="3FC13CCF">
            <w:pPr>
              <w:spacing w:after="0" w:line="259" w:lineRule="auto"/>
              <w:jc w:val="center"/>
              <w:textAlignment w:val="baseline"/>
              <w:rPr>
                <w:rFonts w:ascii="Segoe UI" w:hAnsi="Segoe UI" w:cs="Segoe UI"/>
                <w:sz w:val="18"/>
                <w:szCs w:val="18"/>
              </w:rPr>
            </w:pPr>
            <w:r w:rsidRPr="00A73F9C">
              <w:rPr>
                <w:rFonts w:cs="Calibri"/>
              </w:rPr>
              <w:t>150</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6904018E" w14:textId="7842B869">
            <w:pPr>
              <w:spacing w:after="0" w:line="259" w:lineRule="auto"/>
              <w:jc w:val="center"/>
              <w:textAlignment w:val="baseline"/>
              <w:rPr>
                <w:rFonts w:ascii="Segoe UI" w:hAnsi="Segoe UI" w:cs="Segoe UI"/>
                <w:sz w:val="18"/>
                <w:szCs w:val="18"/>
              </w:rPr>
            </w:pPr>
            <w:r>
              <w:rPr>
                <w:rFonts w:cs="Calibri"/>
              </w:rPr>
              <w:t>10</w:t>
            </w:r>
          </w:p>
        </w:tc>
      </w:tr>
      <w:tr w14:paraId="6E0D57E4" w14:textId="77777777" w:rsidTr="56BB1422">
        <w:tblPrEx>
          <w:tblW w:w="7898" w:type="dxa"/>
          <w:tblInd w:w="458" w:type="dxa"/>
          <w:tblCellMar>
            <w:left w:w="0" w:type="dxa"/>
            <w:right w:w="0" w:type="dxa"/>
          </w:tblCellMar>
          <w:tblLook w:val="04A0"/>
        </w:tblPrEx>
        <w:trPr>
          <w:trHeight w:val="303"/>
        </w:trPr>
        <w:tc>
          <w:tcPr>
            <w:tcW w:w="4080"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2FCF3E53" w14:textId="77777777">
            <w:pPr>
              <w:spacing w:after="0" w:line="259" w:lineRule="auto"/>
              <w:textAlignment w:val="baseline"/>
              <w:rPr>
                <w:rFonts w:ascii="Segoe UI" w:hAnsi="Segoe UI" w:cs="Segoe UI"/>
                <w:sz w:val="18"/>
                <w:szCs w:val="18"/>
              </w:rPr>
            </w:pPr>
            <w:r w:rsidRPr="00A73F9C">
              <w:rPr>
                <w:rFonts w:cs="Calibri"/>
              </w:rPr>
              <w:t>Low income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7F9F417D" w14:textId="32A97D92">
            <w:pPr>
              <w:spacing w:after="0" w:line="259" w:lineRule="auto"/>
              <w:jc w:val="center"/>
              <w:textAlignment w:val="baseline"/>
              <w:rPr>
                <w:rFonts w:ascii="Segoe UI" w:hAnsi="Segoe UI" w:cs="Segoe UI"/>
                <w:sz w:val="18"/>
                <w:szCs w:val="18"/>
              </w:rPr>
            </w:pPr>
            <w:r w:rsidRPr="00A73F9C">
              <w:rPr>
                <w:rFonts w:cs="Calibri"/>
              </w:rPr>
              <w:t>150</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1BA041E9" w14:textId="2B431365">
            <w:pPr>
              <w:spacing w:after="0" w:line="259" w:lineRule="auto"/>
              <w:jc w:val="center"/>
              <w:textAlignment w:val="baseline"/>
              <w:rPr>
                <w:rFonts w:ascii="Segoe UI" w:hAnsi="Segoe UI" w:cs="Segoe UI"/>
                <w:sz w:val="18"/>
                <w:szCs w:val="18"/>
              </w:rPr>
            </w:pPr>
            <w:r>
              <w:rPr>
                <w:rFonts w:cs="Calibri"/>
              </w:rPr>
              <w:t>10</w:t>
            </w:r>
          </w:p>
        </w:tc>
      </w:tr>
      <w:tr w14:paraId="6FA4C4D9" w14:textId="77777777" w:rsidTr="56BB1422">
        <w:tblPrEx>
          <w:tblW w:w="7898" w:type="dxa"/>
          <w:tblInd w:w="458" w:type="dxa"/>
          <w:tblCellMar>
            <w:left w:w="0" w:type="dxa"/>
            <w:right w:w="0" w:type="dxa"/>
          </w:tblCellMar>
          <w:tblLook w:val="04A0"/>
        </w:tblPrEx>
        <w:trPr>
          <w:trHeight w:val="303"/>
        </w:trPr>
        <w:tc>
          <w:tcPr>
            <w:tcW w:w="4080" w:type="dxa"/>
            <w:tcBorders>
              <w:top w:val="single" w:sz="6" w:space="0" w:color="auto"/>
              <w:left w:val="single" w:sz="6" w:space="0" w:color="auto"/>
              <w:bottom w:val="single" w:sz="6" w:space="0" w:color="auto"/>
              <w:right w:val="single" w:sz="6" w:space="0" w:color="auto"/>
            </w:tcBorders>
            <w:shd w:val="clear" w:color="auto" w:fill="auto"/>
          </w:tcPr>
          <w:p w:rsidR="00DF1622" w:rsidRPr="00A73F9C" w:rsidP="00EB611C" w14:paraId="1BD937D0" w14:textId="399EAA10">
            <w:pPr>
              <w:spacing w:after="0" w:line="259" w:lineRule="auto"/>
              <w:textAlignment w:val="baseline"/>
              <w:rPr>
                <w:rFonts w:cs="Calibri"/>
              </w:rPr>
            </w:pPr>
            <w:r>
              <w:rPr>
                <w:rFonts w:cs="Calibri"/>
              </w:rPr>
              <w:t>General Population</w:t>
            </w:r>
          </w:p>
        </w:tc>
        <w:tc>
          <w:tcPr>
            <w:tcW w:w="1875" w:type="dxa"/>
            <w:tcBorders>
              <w:top w:val="single" w:sz="6" w:space="0" w:color="auto"/>
              <w:left w:val="single" w:sz="6" w:space="0" w:color="auto"/>
              <w:bottom w:val="single" w:sz="6" w:space="0" w:color="auto"/>
              <w:right w:val="single" w:sz="6" w:space="0" w:color="auto"/>
            </w:tcBorders>
            <w:shd w:val="clear" w:color="auto" w:fill="auto"/>
          </w:tcPr>
          <w:p w:rsidR="00DF1622" w:rsidRPr="00A73F9C" w:rsidP="00EB611C" w14:paraId="773EE0DB" w14:textId="338C1257">
            <w:pPr>
              <w:spacing w:after="0" w:line="259" w:lineRule="auto"/>
              <w:jc w:val="center"/>
              <w:textAlignment w:val="baseline"/>
              <w:rPr>
                <w:rFonts w:cs="Calibri"/>
              </w:rPr>
            </w:pPr>
            <w:r>
              <w:rPr>
                <w:rFonts w:cs="Calibri"/>
              </w:rPr>
              <w:t>150</w:t>
            </w:r>
          </w:p>
        </w:tc>
        <w:tc>
          <w:tcPr>
            <w:tcW w:w="1943" w:type="dxa"/>
            <w:tcBorders>
              <w:top w:val="single" w:sz="6" w:space="0" w:color="auto"/>
              <w:left w:val="single" w:sz="6" w:space="0" w:color="auto"/>
              <w:bottom w:val="single" w:sz="6" w:space="0" w:color="auto"/>
              <w:right w:val="single" w:sz="6" w:space="0" w:color="auto"/>
            </w:tcBorders>
            <w:shd w:val="clear" w:color="auto" w:fill="auto"/>
          </w:tcPr>
          <w:p w:rsidR="00DF1622" w:rsidRPr="00A73F9C" w:rsidP="00EB611C" w14:paraId="42451789" w14:textId="0EB76872">
            <w:pPr>
              <w:spacing w:after="0" w:line="259" w:lineRule="auto"/>
              <w:jc w:val="center"/>
              <w:textAlignment w:val="baseline"/>
              <w:rPr>
                <w:rFonts w:cs="Calibri"/>
              </w:rPr>
            </w:pPr>
            <w:r>
              <w:rPr>
                <w:rFonts w:cs="Calibri"/>
              </w:rPr>
              <w:t>16</w:t>
            </w:r>
          </w:p>
        </w:tc>
      </w:tr>
      <w:tr w14:paraId="25157142" w14:textId="77777777" w:rsidTr="56BB1422">
        <w:tblPrEx>
          <w:tblW w:w="7898" w:type="dxa"/>
          <w:tblInd w:w="458" w:type="dxa"/>
          <w:tblCellMar>
            <w:left w:w="0" w:type="dxa"/>
            <w:right w:w="0" w:type="dxa"/>
          </w:tblCellMar>
          <w:tblLook w:val="04A0"/>
        </w:tblPrEx>
        <w:trPr>
          <w:trHeight w:val="303"/>
        </w:trPr>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C3619" w:rsidRPr="00A73F9C" w:rsidP="00EB611C" w14:paraId="10F1B447" w14:textId="77777777">
            <w:pPr>
              <w:spacing w:after="0" w:line="259" w:lineRule="auto"/>
              <w:textAlignment w:val="baseline"/>
              <w:rPr>
                <w:rFonts w:ascii="Segoe UI" w:hAnsi="Segoe UI" w:cs="Segoe UI"/>
                <w:sz w:val="18"/>
                <w:szCs w:val="18"/>
              </w:rPr>
            </w:pPr>
            <w:r w:rsidRPr="00A73F9C">
              <w:rPr>
                <w:rFonts w:cs="Calibri"/>
              </w:rPr>
              <w:t>Total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73AAA8CE" w14:textId="474BDCDD">
            <w:pPr>
              <w:spacing w:after="0" w:line="259" w:lineRule="auto"/>
              <w:jc w:val="center"/>
              <w:textAlignment w:val="baseline"/>
              <w:rPr>
                <w:rFonts w:ascii="Segoe UI" w:hAnsi="Segoe UI" w:cs="Segoe UI"/>
                <w:sz w:val="18"/>
                <w:szCs w:val="18"/>
              </w:rPr>
            </w:pPr>
            <w:r>
              <w:rPr>
                <w:rFonts w:cs="Calibri"/>
              </w:rPr>
              <w:t>900</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rsidR="002C3619" w:rsidRPr="00A73F9C" w:rsidP="00EB611C" w14:paraId="751AED7B" w14:textId="4464D597">
            <w:pPr>
              <w:spacing w:after="0" w:line="259" w:lineRule="auto"/>
              <w:jc w:val="center"/>
              <w:textAlignment w:val="baseline"/>
              <w:rPr>
                <w:rFonts w:ascii="Segoe UI" w:hAnsi="Segoe UI" w:cs="Segoe UI"/>
                <w:sz w:val="18"/>
                <w:szCs w:val="18"/>
              </w:rPr>
            </w:pPr>
            <w:r>
              <w:rPr>
                <w:rFonts w:cs="Calibri"/>
              </w:rPr>
              <w:t>78</w:t>
            </w:r>
          </w:p>
        </w:tc>
      </w:tr>
    </w:tbl>
    <w:p w:rsidR="00AB6067" w:rsidP="009D7D0B" w14:paraId="6BB9DCCD" w14:textId="0B3E6968">
      <w:pPr>
        <w:pStyle w:val="BodyText"/>
        <w:spacing w:before="120" w:after="240" w:line="259" w:lineRule="auto"/>
        <w:ind w:left="360"/>
        <w:rPr>
          <w:rStyle w:val="eop"/>
          <w:rFonts w:cs="Calibri"/>
          <w:color w:val="000000"/>
          <w:shd w:val="clear" w:color="auto" w:fill="FFFFFF"/>
        </w:rPr>
      </w:pPr>
      <w:r>
        <w:rPr>
          <w:rStyle w:val="normaltextrun"/>
          <w:rFonts w:cs="Calibri"/>
          <w:color w:val="000000"/>
          <w:shd w:val="clear" w:color="auto" w:fill="FFFFFF"/>
        </w:rPr>
        <w:t>The plan is to over-</w:t>
      </w:r>
      <w:r>
        <w:rPr>
          <w:rStyle w:val="findhit"/>
          <w:rFonts w:cs="Calibri"/>
          <w:color w:val="000000"/>
          <w:shd w:val="clear" w:color="auto" w:fill="FFFFFF"/>
        </w:rPr>
        <w:t>recruit</w:t>
      </w:r>
      <w:r>
        <w:rPr>
          <w:rStyle w:val="normaltextrun"/>
          <w:rFonts w:cs="Calibri"/>
          <w:color w:val="000000"/>
          <w:shd w:val="clear" w:color="auto" w:fill="FFFFFF"/>
        </w:rPr>
        <w:t xml:space="preserve"> to account for cancellations and no-shows. In order to successfully </w:t>
      </w:r>
      <w:r>
        <w:rPr>
          <w:rStyle w:val="findhit"/>
          <w:rFonts w:cs="Calibri"/>
          <w:color w:val="000000"/>
          <w:shd w:val="clear" w:color="auto" w:fill="FFFFFF"/>
        </w:rPr>
        <w:t>recruit</w:t>
      </w:r>
      <w:r>
        <w:rPr>
          <w:rStyle w:val="normaltextrun"/>
          <w:rFonts w:cs="Calibri"/>
          <w:color w:val="000000"/>
          <w:shd w:val="clear" w:color="auto" w:fill="FFFFFF"/>
        </w:rPr>
        <w:t xml:space="preserve"> 78</w:t>
      </w:r>
      <w:r w:rsidR="0053212B">
        <w:rPr>
          <w:rStyle w:val="normaltextrun"/>
          <w:rFonts w:cs="Calibri"/>
          <w:color w:val="000000"/>
          <w:shd w:val="clear" w:color="auto" w:fill="FFFFFF"/>
        </w:rPr>
        <w:t>-84</w:t>
      </w:r>
      <w:r>
        <w:rPr>
          <w:rStyle w:val="normaltextrun"/>
          <w:rFonts w:cs="Calibri"/>
          <w:color w:val="000000"/>
          <w:shd w:val="clear" w:color="auto" w:fill="FFFFFF"/>
        </w:rPr>
        <w:t xml:space="preserve"> focus group participants from diverse socio-demographic backgrounds, EurekaFacts will target 1300 participants for </w:t>
      </w:r>
      <w:r>
        <w:rPr>
          <w:rStyle w:val="findhit"/>
          <w:rFonts w:cs="Calibri"/>
          <w:color w:val="000000"/>
          <w:shd w:val="clear" w:color="auto" w:fill="FFFFFF"/>
        </w:rPr>
        <w:t>recruit</w:t>
      </w:r>
      <w:r>
        <w:rPr>
          <w:rStyle w:val="normaltextrun"/>
          <w:rFonts w:cs="Calibri"/>
          <w:color w:val="000000"/>
          <w:shd w:val="clear" w:color="auto" w:fill="FFFFFF"/>
        </w:rPr>
        <w:t>ment and 650 screening. Note that these targets are subject to adjustment and are for planning purposes only.</w:t>
      </w:r>
      <w:r>
        <w:rPr>
          <w:rStyle w:val="eop"/>
          <w:rFonts w:cs="Calibri"/>
          <w:color w:val="000000"/>
          <w:shd w:val="clear" w:color="auto" w:fill="FFFFFF"/>
        </w:rPr>
        <w:t> </w:t>
      </w:r>
    </w:p>
    <w:p w:rsidR="00676840" w:rsidP="005308A9" w14:paraId="5CD57B73" w14:textId="777E72DD">
      <w:pPr>
        <w:pStyle w:val="BodyText"/>
        <w:spacing w:after="240" w:line="259" w:lineRule="auto"/>
        <w:ind w:left="360"/>
        <w:rPr>
          <w:rStyle w:val="eop"/>
          <w:rFonts w:cs="Calibri"/>
          <w:color w:val="000000"/>
          <w:shd w:val="clear" w:color="auto" w:fill="FFFFFF"/>
        </w:rPr>
      </w:pPr>
      <w:r>
        <w:t>All</w:t>
      </w:r>
      <w:r w:rsidRPr="009F1822">
        <w:t xml:space="preserve"> focus groups will be held online via the Zoom meeting platform.</w:t>
      </w:r>
    </w:p>
    <w:p w:rsidR="00AB6067" w:rsidP="005308A9" w14:paraId="4AFD054E" w14:textId="444D3B45">
      <w:pPr>
        <w:pStyle w:val="BodyText"/>
        <w:spacing w:after="240" w:line="259" w:lineRule="auto"/>
        <w:ind w:left="360"/>
        <w:rPr>
          <w:rStyle w:val="eop"/>
          <w:rFonts w:cs="Calibri"/>
          <w:b/>
          <w:bCs/>
          <w:color w:val="000000"/>
          <w:shd w:val="clear" w:color="auto" w:fill="FFFFFF"/>
        </w:rPr>
      </w:pPr>
      <w:r w:rsidRPr="00EB611C">
        <w:rPr>
          <w:rStyle w:val="eop"/>
          <w:rFonts w:cs="Calibri"/>
          <w:b/>
          <w:bCs/>
          <w:color w:val="000000"/>
          <w:shd w:val="clear" w:color="auto" w:fill="FFFFFF"/>
        </w:rPr>
        <w:t>Data Collection Process</w:t>
      </w:r>
    </w:p>
    <w:p w:rsidR="009F1822" w:rsidRPr="009F1822" w:rsidP="005308A9" w14:paraId="20A83A6F" w14:textId="3F601634">
      <w:pPr>
        <w:pStyle w:val="BodyText"/>
        <w:spacing w:after="240" w:line="259" w:lineRule="auto"/>
        <w:ind w:left="360"/>
      </w:pPr>
      <w:r>
        <w:rPr>
          <w:rStyle w:val="eop"/>
          <w:rFonts w:cs="Calibri"/>
          <w:color w:val="000000"/>
          <w:shd w:val="clear" w:color="auto" w:fill="FFFFFF"/>
        </w:rPr>
        <w:t xml:space="preserve">EurekaFacts will utilize </w:t>
      </w:r>
      <w:r w:rsidR="002A0CDD">
        <w:rPr>
          <w:rStyle w:val="eop"/>
          <w:rFonts w:cs="Calibri"/>
          <w:color w:val="000000"/>
          <w:shd w:val="clear" w:color="auto" w:fill="FFFFFF"/>
        </w:rPr>
        <w:t xml:space="preserve">both </w:t>
      </w:r>
      <w:r w:rsidR="00E10E96">
        <w:rPr>
          <w:rStyle w:val="eop"/>
          <w:rFonts w:cs="Calibri"/>
          <w:color w:val="000000"/>
          <w:shd w:val="clear" w:color="auto" w:fill="FFFFFF"/>
        </w:rPr>
        <w:t xml:space="preserve">the traditional focus group methodology as well as a hybrid cognitive interviewing and focus group approach. </w:t>
      </w:r>
      <w:r w:rsidR="00180F25">
        <w:rPr>
          <w:rStyle w:val="eop"/>
          <w:rFonts w:cs="Calibri"/>
          <w:color w:val="000000"/>
          <w:shd w:val="clear" w:color="auto" w:fill="FFFFFF"/>
        </w:rPr>
        <w:t xml:space="preserve">The hybrid approach </w:t>
      </w:r>
      <w:r w:rsidRPr="009F1822" w:rsidR="00180F25">
        <w:t xml:space="preserve">helps to control for any distortion or bias that may arise due to participants not wanting to appear unaware about PEH warnings and </w:t>
      </w:r>
      <w:r w:rsidRPr="009B6008" w:rsidR="00180F25">
        <w:t xml:space="preserve">precautions. </w:t>
      </w:r>
      <w:r w:rsidRPr="00EB611C" w:rsidR="00180F25">
        <w:t>Using this proven approach, the evaluation focuses on a few critical processes that are well-correlated with behavioral compliance, such as comprehension, recall, and effect on perceived risk of injury or harm</w:t>
      </w:r>
      <w:r w:rsidRPr="009B6008" w:rsidR="009B6008">
        <w:t xml:space="preserve">. </w:t>
      </w:r>
      <w:r w:rsidRPr="009F1822">
        <w:t>This comprehensive approach will be conducted within a study design involving a hybrid evaluation session that incorporates two different methods: cognitive or contextual interviews and focus group discussion. These two methods will achieve two different research goals:  </w:t>
      </w:r>
    </w:p>
    <w:p w:rsidR="009F1822" w:rsidRPr="009F1822" w:rsidP="005308A9" w14:paraId="70D688FE" w14:textId="77777777">
      <w:pPr>
        <w:numPr>
          <w:ilvl w:val="0"/>
          <w:numId w:val="7"/>
        </w:numPr>
        <w:spacing w:line="259" w:lineRule="auto"/>
        <w:contextualSpacing/>
      </w:pPr>
      <w:r w:rsidRPr="009F1822">
        <w:rPr>
          <w:u w:val="single"/>
        </w:rPr>
        <w:t>Knowledge and Practices</w:t>
      </w:r>
      <w:r w:rsidRPr="009F1822">
        <w:t>: Cognitive interviews will explore consumer understanding and perceptions of risks involved in using PEHs, usage patterns, and consumer knowledge about the maintenance and safety of PEHs. The number and type of PEHs owned by participants will also be identified. </w:t>
      </w:r>
    </w:p>
    <w:p w:rsidR="009F1822" w:rsidRPr="009F1822" w:rsidP="005308A9" w14:paraId="71525BDA" w14:textId="77777777">
      <w:pPr>
        <w:numPr>
          <w:ilvl w:val="0"/>
          <w:numId w:val="7"/>
        </w:numPr>
        <w:spacing w:line="259" w:lineRule="auto"/>
      </w:pPr>
      <w:r w:rsidRPr="009F1822">
        <w:rPr>
          <w:u w:val="single"/>
        </w:rPr>
        <w:t>Decision Making</w:t>
      </w:r>
      <w:r w:rsidRPr="009F1822">
        <w:t>: Focus group discussions will further examine past experiences with PEHs, including any incidents or problems with PEHs; explore decision making processes for purchasing a PEH; and help to generate ideas for caution or warning communications that meet the needs of different audiences.  </w:t>
      </w:r>
    </w:p>
    <w:p w:rsidR="009F1822" w:rsidRPr="009F1822" w:rsidP="005308A9" w14:paraId="7F9AA377" w14:textId="6B62CA62">
      <w:pPr>
        <w:spacing w:line="259" w:lineRule="auto"/>
        <w:ind w:left="360"/>
      </w:pPr>
      <w:r w:rsidRPr="009F1822">
        <w:t xml:space="preserve">While contextual interviews provide insight into the setting and the environment in which the PEH is being used, the cognitive interviewing method is a common technique used to test comprehension of written/digital communication materials, assessments, general documentation, and surveys. This method allows </w:t>
      </w:r>
      <w:r w:rsidRPr="009F1822" w:rsidR="704BB58F">
        <w:t>the interviewer</w:t>
      </w:r>
      <w:r w:rsidRPr="009F1822">
        <w:t xml:space="preserve"> to explore how respondents understand, process and act upon information presented in the materials, targeting the same cognitive processes involved in processing warnings/cautions: comprehension, recall, and judgment. Thus, cognitive interviewing is particularly appropriate for evaluating decision making processes, including behavioral compliance with instructions and cautions. This method was proven reliable and useful during assessments of warning effectiveness in several studies</w:t>
      </w:r>
      <w:r w:rsidR="027B5740">
        <w:t>.</w:t>
      </w:r>
      <w:r>
        <w:rPr>
          <w:rStyle w:val="FootnoteReference"/>
        </w:rPr>
        <w:footnoteReference w:id="6"/>
      </w:r>
    </w:p>
    <w:p w:rsidR="009F1822" w:rsidRPr="009F1822" w:rsidP="005308A9" w14:paraId="6A7E145F" w14:textId="1B657780">
      <w:pPr>
        <w:spacing w:line="259" w:lineRule="auto"/>
        <w:ind w:left="360"/>
      </w:pPr>
      <w:r w:rsidRPr="009F1822">
        <w:t>The hybrid approach takes no longer than a typical focus group session, and therefore does not result in any additional burden on the respondent. However, it offers much richer and multi-dimensional data. Past research conducted by EurekaFacts staff compared the effectiveness of cognitive interviewing versus focus groups, and demonstrated that cognitive interviews may yielded more detailed, relevant, and useful data, particularly in terms of revealing participant lack of knowledge on a topic and participant acknowledgement of failing to review warning or caution messages. However, focus groups were found to be better at generating creative ideas for messaging. Thus</w:t>
      </w:r>
      <w:r w:rsidRPr="009F1822" w:rsidR="00DE0292">
        <w:t>,</w:t>
      </w:r>
      <w:r w:rsidRPr="009F1822">
        <w:t xml:space="preserve"> conducting both types would provide a broad range of information and responses on the topic</w:t>
      </w:r>
      <w:r w:rsidR="003359A8">
        <w:t>.</w:t>
      </w:r>
      <w:r>
        <w:rPr>
          <w:rStyle w:val="FootnoteReference"/>
        </w:rPr>
        <w:footnoteReference w:id="7"/>
      </w:r>
    </w:p>
    <w:p w:rsidR="00132CE2" w:rsidP="005308A9" w14:paraId="6C5AE237" w14:textId="6D5C9051">
      <w:pPr>
        <w:spacing w:line="259" w:lineRule="auto"/>
        <w:ind w:left="360"/>
      </w:pPr>
      <w:r>
        <w:t xml:space="preserve">To conduct the evaluation of consumers’ perceptions of risk and decision-making processes related to the purchase and use of PEHs, </w:t>
      </w:r>
      <w:r w:rsidR="0FC08963">
        <w:t>EurekaFacts</w:t>
      </w:r>
      <w:r>
        <w:t xml:space="preserve"> will conduct online focus groups utilizing the traditional/standard focus group methodology coupled with online sessions utilizing the hybrid methodology, for a total of 12 online focus groups, with </w:t>
      </w:r>
      <w:r w:rsidR="1FEB3239">
        <w:t>78</w:t>
      </w:r>
      <w:r w:rsidR="625BEBE0">
        <w:t>-84</w:t>
      </w:r>
      <w:r w:rsidR="6CF5525E">
        <w:t xml:space="preserve"> </w:t>
      </w:r>
      <w:r>
        <w:t>participant</w:t>
      </w:r>
      <w:r w:rsidR="2A1E335F">
        <w:t>s (maximum 84)</w:t>
      </w:r>
      <w:r>
        <w:t xml:space="preserve">. </w:t>
      </w:r>
      <w:r w:rsidR="609E0759">
        <w:t>Best practices indicate</w:t>
      </w:r>
      <w:r>
        <w:t xml:space="preserve"> that the ideal size of an online focus group is 5-8 participants, in order to give time for each participant to speak. Furthermore, the hybrid data collection approach will consist of two parts: </w:t>
      </w:r>
      <w:r w:rsidR="6090CD7C">
        <w:t>T</w:t>
      </w:r>
      <w:r>
        <w:t>he first part will con</w:t>
      </w:r>
      <w:r w:rsidR="01C28D06">
        <w:t>sist of</w:t>
      </w:r>
      <w:r>
        <w:t xml:space="preserve"> concurrent short one-on-one structured cognitive interviews that will evaluate participants’ knowledge and practices (30-35 minutes); the second part will follow traditional focus group methodology and explore the participants' decision-making processes</w:t>
      </w:r>
      <w:r w:rsidR="42E9D919">
        <w:t xml:space="preserve"> as a group</w:t>
      </w:r>
      <w:r>
        <w:t xml:space="preserve"> (45-50 minutes), as shown in Table </w:t>
      </w:r>
      <w:r w:rsidR="67931AB3">
        <w:t>2</w:t>
      </w:r>
      <w:r>
        <w:t xml:space="preserve"> below. </w:t>
      </w:r>
      <w:r w:rsidR="0A0F1ACC">
        <w:t xml:space="preserve">All focus groups, regardless of methodology, will last no more than 90 minutes. </w:t>
      </w:r>
    </w:p>
    <w:p w:rsidR="009F1822" w:rsidRPr="009F1822" w:rsidP="005308A9" w14:paraId="01E0825E" w14:textId="6D045146">
      <w:pPr>
        <w:spacing w:line="259" w:lineRule="auto"/>
        <w:ind w:left="360"/>
      </w:pPr>
      <w:r w:rsidRPr="009F1822">
        <w:t>T</w:t>
      </w:r>
      <w:r w:rsidRPr="009F1822">
        <w:t xml:space="preserve">he </w:t>
      </w:r>
      <w:r w:rsidR="00132CE2">
        <w:t xml:space="preserve">focus group </w:t>
      </w:r>
      <w:r w:rsidRPr="009F1822">
        <w:t xml:space="preserve">sessions will be </w:t>
      </w:r>
      <w:r w:rsidR="00132CE2">
        <w:t>organized</w:t>
      </w:r>
      <w:r w:rsidRPr="009F1822">
        <w:t xml:space="preserve"> as follows: </w:t>
      </w:r>
    </w:p>
    <w:p w:rsidR="009F1822" w:rsidRPr="009F1822" w:rsidP="005308A9" w14:paraId="1CF5FB4F" w14:textId="3387FE21">
      <w:pPr>
        <w:numPr>
          <w:ilvl w:val="0"/>
          <w:numId w:val="8"/>
        </w:numPr>
        <w:spacing w:line="259" w:lineRule="auto"/>
        <w:contextualSpacing/>
      </w:pPr>
      <w:r>
        <w:t>Three standard focus groups with 5-9 participants each (approx. n=24), focusing on knowledge and practices </w:t>
      </w:r>
    </w:p>
    <w:p w:rsidR="009F1822" w:rsidRPr="009F1822" w:rsidP="005308A9" w14:paraId="23B6D128" w14:textId="52C912E6">
      <w:pPr>
        <w:numPr>
          <w:ilvl w:val="0"/>
          <w:numId w:val="8"/>
        </w:numPr>
        <w:spacing w:line="259" w:lineRule="auto"/>
        <w:contextualSpacing/>
      </w:pPr>
      <w:r>
        <w:t>Three standard focus groups with 5-9 participants each (approx. n=24), focusing on decision –making, including the influence of caution warnings, and generating ideas for caution messaging </w:t>
      </w:r>
    </w:p>
    <w:p w:rsidR="00AB0D73" w:rsidRPr="009F1822" w:rsidP="005308A9" w14:paraId="49B0797A" w14:textId="261DD98E">
      <w:pPr>
        <w:numPr>
          <w:ilvl w:val="0"/>
          <w:numId w:val="8"/>
        </w:numPr>
        <w:spacing w:line="259" w:lineRule="auto"/>
        <w:contextualSpacing/>
      </w:pPr>
      <w:r w:rsidRPr="009F1822">
        <w:t>Six hybrid sessions, with five (5) participants each (n=30), focusing on knowledge and practices as well as decision making processes, including the influence of caution warnings, and generating ideas for caution messaging.  </w:t>
      </w:r>
    </w:p>
    <w:p w:rsidR="000107B2" w:rsidRPr="00CD5399" w:rsidP="00D421D9" w14:paraId="7714036A" w14:textId="752D1E0E">
      <w:pPr>
        <w:numPr>
          <w:ilvl w:val="1"/>
          <w:numId w:val="8"/>
        </w:numPr>
        <w:spacing w:line="259" w:lineRule="auto"/>
        <w:rPr>
          <w:i/>
          <w:sz w:val="18"/>
          <w:szCs w:val="18"/>
        </w:rPr>
      </w:pPr>
      <w:r>
        <w:t xml:space="preserve">The hybrid sessions have fewer participants in each </w:t>
      </w:r>
      <w:r w:rsidR="4D5587B0">
        <w:t xml:space="preserve">session </w:t>
      </w:r>
      <w:r>
        <w:t xml:space="preserve">to </w:t>
      </w:r>
      <w:r w:rsidR="2ED64B54">
        <w:t>compensate for the</w:t>
      </w:r>
      <w:r>
        <w:t xml:space="preserve"> time while conducting the concurrent cognitive interviews. </w:t>
      </w:r>
    </w:p>
    <w:p w:rsidR="009F1822" w:rsidRPr="00DE0292" w:rsidP="00EB611C" w14:paraId="63563ECC" w14:textId="06A806A8">
      <w:pPr>
        <w:spacing w:after="120" w:line="259" w:lineRule="auto"/>
        <w:ind w:left="360"/>
        <w:rPr>
          <w:sz w:val="18"/>
          <w:szCs w:val="18"/>
        </w:rPr>
      </w:pPr>
      <w:r w:rsidRPr="00DE0292">
        <w:rPr>
          <w:i/>
          <w:sz w:val="18"/>
          <w:szCs w:val="18"/>
        </w:rPr>
        <w:t xml:space="preserve">Table </w:t>
      </w:r>
      <w:r w:rsidRPr="00DE0292" w:rsidR="00AB2C93">
        <w:rPr>
          <w:i/>
          <w:sz w:val="18"/>
          <w:szCs w:val="18"/>
        </w:rPr>
        <w:t>2</w:t>
      </w:r>
      <w:r w:rsidRPr="00DE0292">
        <w:rPr>
          <w:i/>
          <w:sz w:val="18"/>
          <w:szCs w:val="18"/>
        </w:rPr>
        <w:t>. Organization of Focus Group Methodology</w:t>
      </w:r>
      <w:r w:rsidRPr="00DE0292">
        <w:rPr>
          <w:sz w:val="18"/>
          <w:szCs w:val="18"/>
        </w:rPr>
        <w:t> </w:t>
      </w:r>
    </w:p>
    <w:tbl>
      <w:tblPr>
        <w:tblW w:w="9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15"/>
        <w:gridCol w:w="2970"/>
        <w:gridCol w:w="2805"/>
      </w:tblGrid>
      <w:tr w14:paraId="640FB7C7" w14:textId="77777777" w:rsidTr="00AC7D3B">
        <w:tblPrEx>
          <w:tblW w:w="9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05"/>
        </w:trPr>
        <w:tc>
          <w:tcPr>
            <w:tcW w:w="3615" w:type="dxa"/>
            <w:tcBorders>
              <w:top w:val="single" w:sz="12" w:space="0" w:color="8EAADB"/>
              <w:left w:val="single" w:sz="12" w:space="0" w:color="8EAADB"/>
              <w:bottom w:val="single" w:sz="12" w:space="0" w:color="8EAADB"/>
              <w:right w:val="single" w:sz="6" w:space="0" w:color="B4C6E7"/>
            </w:tcBorders>
            <w:shd w:val="clear" w:color="auto" w:fill="8EAADB" w:themeFill="accent1" w:themeFillTint="99"/>
            <w:vAlign w:val="center"/>
            <w:hideMark/>
          </w:tcPr>
          <w:p w:rsidR="009F1822" w:rsidRPr="009F1822" w:rsidP="00EB611C" w14:paraId="7EB3FBC3" w14:textId="77777777">
            <w:pPr>
              <w:spacing w:after="0" w:line="259" w:lineRule="auto"/>
              <w:ind w:left="360"/>
              <w:rPr>
                <w:b/>
                <w:bCs/>
              </w:rPr>
            </w:pPr>
            <w:r w:rsidRPr="009F1822">
              <w:rPr>
                <w:b/>
                <w:bCs/>
              </w:rPr>
              <w:t>Methodology </w:t>
            </w:r>
          </w:p>
        </w:tc>
        <w:tc>
          <w:tcPr>
            <w:tcW w:w="2970" w:type="dxa"/>
            <w:tcBorders>
              <w:top w:val="single" w:sz="12" w:space="0" w:color="8EAADB"/>
              <w:left w:val="single" w:sz="6" w:space="0" w:color="B4C6E7"/>
              <w:bottom w:val="single" w:sz="12" w:space="0" w:color="8EAADB"/>
              <w:right w:val="single" w:sz="6" w:space="0" w:color="B4C6E7"/>
            </w:tcBorders>
            <w:shd w:val="clear" w:color="auto" w:fill="8EAADB" w:themeFill="accent1" w:themeFillTint="99"/>
            <w:vAlign w:val="center"/>
            <w:hideMark/>
          </w:tcPr>
          <w:p w:rsidR="009F1822" w:rsidRPr="009F1822" w:rsidP="00EB611C" w14:paraId="59CE5802" w14:textId="77777777">
            <w:pPr>
              <w:spacing w:after="0" w:line="259" w:lineRule="auto"/>
              <w:ind w:left="360"/>
              <w:rPr>
                <w:b/>
                <w:bCs/>
              </w:rPr>
            </w:pPr>
            <w:r w:rsidRPr="009F1822">
              <w:rPr>
                <w:b/>
                <w:bCs/>
              </w:rPr>
              <w:t>Knowledge and Practices </w:t>
            </w:r>
          </w:p>
        </w:tc>
        <w:tc>
          <w:tcPr>
            <w:tcW w:w="2805" w:type="dxa"/>
            <w:tcBorders>
              <w:top w:val="single" w:sz="12" w:space="0" w:color="8EAADB"/>
              <w:left w:val="single" w:sz="6" w:space="0" w:color="B4C6E7"/>
              <w:bottom w:val="single" w:sz="12" w:space="0" w:color="8EAADB"/>
              <w:right w:val="single" w:sz="12" w:space="0" w:color="8EAADB"/>
            </w:tcBorders>
            <w:shd w:val="clear" w:color="auto" w:fill="8EAADB" w:themeFill="accent1" w:themeFillTint="99"/>
            <w:vAlign w:val="center"/>
            <w:hideMark/>
          </w:tcPr>
          <w:p w:rsidR="009F1822" w:rsidRPr="009F1822" w:rsidP="00EB611C" w14:paraId="5C131B6B" w14:textId="77777777">
            <w:pPr>
              <w:spacing w:after="0" w:line="259" w:lineRule="auto"/>
              <w:ind w:left="360"/>
              <w:rPr>
                <w:b/>
                <w:bCs/>
              </w:rPr>
            </w:pPr>
            <w:r w:rsidRPr="009F1822">
              <w:rPr>
                <w:b/>
                <w:bCs/>
              </w:rPr>
              <w:t>Decision Making </w:t>
            </w:r>
          </w:p>
        </w:tc>
      </w:tr>
      <w:tr w14:paraId="5C48C32C" w14:textId="77777777" w:rsidTr="00AC7D3B">
        <w:tblPrEx>
          <w:tblW w:w="9390" w:type="dxa"/>
          <w:tblCellMar>
            <w:left w:w="0" w:type="dxa"/>
            <w:right w:w="0" w:type="dxa"/>
          </w:tblCellMar>
          <w:tblLook w:val="04A0"/>
        </w:tblPrEx>
        <w:trPr>
          <w:trHeight w:val="180"/>
        </w:trPr>
        <w:tc>
          <w:tcPr>
            <w:tcW w:w="3615" w:type="dxa"/>
            <w:tcBorders>
              <w:top w:val="single" w:sz="6" w:space="0" w:color="B4C6E7"/>
              <w:left w:val="single" w:sz="12" w:space="0" w:color="8EAADB"/>
              <w:bottom w:val="single" w:sz="12" w:space="0" w:color="FFFFFF"/>
              <w:right w:val="single" w:sz="6" w:space="0" w:color="B4C6E7"/>
            </w:tcBorders>
            <w:shd w:val="clear" w:color="auto" w:fill="8EAADB" w:themeFill="accent1" w:themeFillTint="99"/>
            <w:vAlign w:val="center"/>
            <w:hideMark/>
          </w:tcPr>
          <w:p w:rsidR="009F1822" w:rsidRPr="009F1822" w:rsidP="00EB611C" w14:paraId="4A0A3A50" w14:textId="77777777">
            <w:pPr>
              <w:spacing w:after="0" w:line="259" w:lineRule="auto"/>
              <w:ind w:left="360"/>
              <w:rPr>
                <w:b/>
                <w:bCs/>
              </w:rPr>
            </w:pPr>
            <w:r w:rsidRPr="009F1822">
              <w:rPr>
                <w:b/>
                <w:bCs/>
              </w:rPr>
              <w:t>Number of Standard Online Focus Group Sessions </w:t>
            </w:r>
          </w:p>
        </w:tc>
        <w:tc>
          <w:tcPr>
            <w:tcW w:w="2970" w:type="dxa"/>
            <w:tcBorders>
              <w:top w:val="single" w:sz="6" w:space="0" w:color="B4C6E7"/>
              <w:left w:val="single" w:sz="6" w:space="0" w:color="B4C6E7"/>
              <w:bottom w:val="single" w:sz="12" w:space="0" w:color="5B9BD5"/>
              <w:right w:val="single" w:sz="6" w:space="0" w:color="B4C6E7"/>
            </w:tcBorders>
            <w:shd w:val="clear" w:color="auto" w:fill="auto"/>
            <w:vAlign w:val="center"/>
            <w:hideMark/>
          </w:tcPr>
          <w:p w:rsidR="009F1822" w:rsidRPr="009F1822" w:rsidP="00EB611C" w14:paraId="056BF3EB" w14:textId="77777777">
            <w:pPr>
              <w:spacing w:after="0" w:line="259" w:lineRule="auto"/>
              <w:ind w:left="360"/>
            </w:pPr>
            <w:r w:rsidRPr="009F1822">
              <w:t>3 Focus Groups (n=8 each) </w:t>
            </w:r>
          </w:p>
        </w:tc>
        <w:tc>
          <w:tcPr>
            <w:tcW w:w="2805" w:type="dxa"/>
            <w:tcBorders>
              <w:top w:val="single" w:sz="6" w:space="0" w:color="B4C6E7"/>
              <w:left w:val="single" w:sz="6" w:space="0" w:color="B4C6E7"/>
              <w:bottom w:val="single" w:sz="6" w:space="0" w:color="B4C6E7"/>
              <w:right w:val="single" w:sz="12" w:space="0" w:color="8EAADB"/>
            </w:tcBorders>
            <w:shd w:val="clear" w:color="auto" w:fill="auto"/>
            <w:vAlign w:val="center"/>
            <w:hideMark/>
          </w:tcPr>
          <w:p w:rsidR="009F1822" w:rsidRPr="009F1822" w:rsidP="00EB611C" w14:paraId="19794495" w14:textId="77777777">
            <w:pPr>
              <w:spacing w:after="0" w:line="259" w:lineRule="auto"/>
              <w:ind w:left="360"/>
            </w:pPr>
            <w:r w:rsidRPr="009F1822">
              <w:t>3 Focus Groups (n=8 each) </w:t>
            </w:r>
          </w:p>
        </w:tc>
      </w:tr>
      <w:tr w14:paraId="2806A242" w14:textId="77777777" w:rsidTr="00AC7D3B">
        <w:tblPrEx>
          <w:tblW w:w="9390" w:type="dxa"/>
          <w:tblCellMar>
            <w:left w:w="0" w:type="dxa"/>
            <w:right w:w="0" w:type="dxa"/>
          </w:tblCellMar>
          <w:tblLook w:val="04A0"/>
        </w:tblPrEx>
        <w:trPr>
          <w:trHeight w:val="405"/>
        </w:trPr>
        <w:tc>
          <w:tcPr>
            <w:tcW w:w="3615" w:type="dxa"/>
            <w:vMerge w:val="restart"/>
            <w:tcBorders>
              <w:top w:val="single" w:sz="12" w:space="0" w:color="FFFFFF"/>
              <w:left w:val="single" w:sz="12" w:space="0" w:color="8EAADB"/>
              <w:bottom w:val="single" w:sz="6" w:space="0" w:color="B4C6E7"/>
              <w:right w:val="single" w:sz="6" w:space="0" w:color="B4C6E7"/>
            </w:tcBorders>
            <w:shd w:val="clear" w:color="auto" w:fill="8EAADB" w:themeFill="accent1" w:themeFillTint="99"/>
            <w:vAlign w:val="center"/>
            <w:hideMark/>
          </w:tcPr>
          <w:p w:rsidR="009F1822" w:rsidRPr="009F1822" w:rsidP="00EB611C" w14:paraId="6E744DEA" w14:textId="77777777">
            <w:pPr>
              <w:spacing w:after="0" w:line="259" w:lineRule="auto"/>
              <w:ind w:left="360"/>
              <w:rPr>
                <w:b/>
                <w:bCs/>
              </w:rPr>
            </w:pPr>
            <w:r w:rsidRPr="009F1822">
              <w:rPr>
                <w:b/>
                <w:bCs/>
              </w:rPr>
              <w:t>Number of Online Hybrid Groups: Cognitive Interviews and Focus Groups </w:t>
            </w:r>
          </w:p>
        </w:tc>
        <w:tc>
          <w:tcPr>
            <w:tcW w:w="5775" w:type="dxa"/>
            <w:gridSpan w:val="2"/>
            <w:tcBorders>
              <w:top w:val="single" w:sz="12" w:space="0" w:color="5B9BD5"/>
              <w:left w:val="single" w:sz="6" w:space="0" w:color="B4C6E7"/>
              <w:bottom w:val="single" w:sz="6" w:space="0" w:color="B4C6E7"/>
              <w:right w:val="single" w:sz="12" w:space="0" w:color="8EAADB"/>
            </w:tcBorders>
            <w:shd w:val="clear" w:color="auto" w:fill="auto"/>
            <w:vAlign w:val="center"/>
            <w:hideMark/>
          </w:tcPr>
          <w:p w:rsidR="009F1822" w:rsidRPr="009F1822" w:rsidP="00EB611C" w14:paraId="7EDE0F87" w14:textId="2A5F2945">
            <w:pPr>
              <w:spacing w:after="0" w:line="259" w:lineRule="auto"/>
              <w:ind w:left="360"/>
              <w:jc w:val="center"/>
            </w:pPr>
            <w:r w:rsidRPr="009F1822">
              <w:t>6 Hybrid groups (n=5 each)</w:t>
            </w:r>
          </w:p>
        </w:tc>
      </w:tr>
      <w:tr w14:paraId="2C099E4C" w14:textId="77777777" w:rsidTr="00AC7D3B">
        <w:tblPrEx>
          <w:tblW w:w="9390" w:type="dxa"/>
          <w:tblCellMar>
            <w:left w:w="0" w:type="dxa"/>
            <w:right w:w="0" w:type="dxa"/>
          </w:tblCellMar>
          <w:tblLook w:val="04A0"/>
        </w:tblPrEx>
        <w:trPr>
          <w:trHeight w:val="405"/>
        </w:trPr>
        <w:tc>
          <w:tcPr>
            <w:tcW w:w="3615" w:type="dxa"/>
            <w:vMerge/>
            <w:tcBorders>
              <w:top w:val="single" w:sz="12" w:space="0" w:color="FFFFFF"/>
              <w:left w:val="single" w:sz="12" w:space="0" w:color="8EAADB"/>
              <w:bottom w:val="single" w:sz="6" w:space="0" w:color="B4C6E7"/>
              <w:right w:val="single" w:sz="6" w:space="0" w:color="B4C6E7"/>
            </w:tcBorders>
            <w:shd w:val="clear" w:color="auto" w:fill="8EAADB" w:themeFill="accent1" w:themeFillTint="99"/>
            <w:vAlign w:val="center"/>
            <w:hideMark/>
          </w:tcPr>
          <w:p w:rsidR="009F1822" w:rsidRPr="009F1822" w:rsidP="00EB611C" w14:paraId="218B8D54" w14:textId="77777777">
            <w:pPr>
              <w:spacing w:after="0" w:line="259" w:lineRule="auto"/>
              <w:ind w:left="360"/>
              <w:rPr>
                <w:b/>
                <w:bCs/>
              </w:rPr>
            </w:pPr>
          </w:p>
        </w:tc>
        <w:tc>
          <w:tcPr>
            <w:tcW w:w="2970" w:type="dxa"/>
            <w:tcBorders>
              <w:top w:val="single" w:sz="6" w:space="0" w:color="B4C6E7"/>
              <w:left w:val="single" w:sz="6" w:space="0" w:color="B4C6E7"/>
              <w:bottom w:val="single" w:sz="12" w:space="0" w:color="8EAADB"/>
              <w:right w:val="single" w:sz="12" w:space="0" w:color="8EAADB"/>
            </w:tcBorders>
            <w:shd w:val="clear" w:color="auto" w:fill="auto"/>
            <w:vAlign w:val="center"/>
            <w:hideMark/>
          </w:tcPr>
          <w:p w:rsidR="009F1822" w:rsidRPr="009F1822" w:rsidP="00EB611C" w14:paraId="01B990B5" w14:textId="77777777">
            <w:pPr>
              <w:spacing w:after="0" w:line="259" w:lineRule="auto"/>
              <w:ind w:left="360"/>
            </w:pPr>
            <w:r w:rsidRPr="009F1822">
              <w:t>Part 1: Cognitive Interviews </w:t>
            </w:r>
          </w:p>
        </w:tc>
        <w:tc>
          <w:tcPr>
            <w:tcW w:w="2805" w:type="dxa"/>
            <w:tcBorders>
              <w:top w:val="single" w:sz="6" w:space="0" w:color="B4C6E7"/>
              <w:left w:val="single" w:sz="6" w:space="0" w:color="B4C6E7"/>
              <w:bottom w:val="single" w:sz="12" w:space="0" w:color="8EAADB"/>
              <w:right w:val="single" w:sz="12" w:space="0" w:color="8EAADB"/>
            </w:tcBorders>
            <w:shd w:val="clear" w:color="auto" w:fill="auto"/>
            <w:vAlign w:val="center"/>
            <w:hideMark/>
          </w:tcPr>
          <w:p w:rsidR="009F1822" w:rsidRPr="009F1822" w:rsidP="00EB611C" w14:paraId="46F12447" w14:textId="77777777">
            <w:pPr>
              <w:spacing w:after="0" w:line="259" w:lineRule="auto"/>
              <w:ind w:left="360"/>
            </w:pPr>
            <w:r w:rsidRPr="009F1822">
              <w:t>Part 2: Focus Group </w:t>
            </w:r>
          </w:p>
        </w:tc>
      </w:tr>
    </w:tbl>
    <w:p w:rsidR="009F1822" w:rsidRPr="009F1822" w:rsidP="00EB611C" w14:paraId="080AA6AD" w14:textId="77777777">
      <w:pPr>
        <w:spacing w:after="120" w:line="259" w:lineRule="auto"/>
        <w:ind w:left="360"/>
      </w:pPr>
      <w:r w:rsidRPr="009F1822">
        <w:t>  </w:t>
      </w:r>
    </w:p>
    <w:p w:rsidR="009F1822" w:rsidRPr="009F1822" w:rsidP="005308A9" w14:paraId="1BA8DEE4" w14:textId="13195AAE">
      <w:pPr>
        <w:spacing w:line="259" w:lineRule="auto"/>
        <w:ind w:left="360"/>
      </w:pPr>
      <w:r>
        <w:t>This hybrid approach will allow a reliable and comprehensive evaluation of perceptions of the risks associated with the use of PEHs and to control for any distortion or bias that may arise due to participants not wanting to appear unaware of the risks associated with PEHs. Focus groups are the best method to brainstorm and generate creative ideas for messaging that can meet expectations and needs of different customers or users; however, it is well documented that a group discussion may unnaturally influence some participants’ opinions and is not conductive to honest disclosure of opinions due to social desirability bias. Hence, the benefit of conducting one-on-one cognitive interviews in addition to the focus groups.  </w:t>
      </w:r>
    </w:p>
    <w:p w:rsidR="009F1822" w:rsidRPr="009F1822" w:rsidP="005308A9" w14:paraId="387B9277" w14:textId="64388AA2">
      <w:pPr>
        <w:spacing w:line="259" w:lineRule="auto"/>
        <w:ind w:left="360"/>
      </w:pPr>
      <w:r>
        <w:t>For evaluations in which there is a need to capture and explore participant understanding and knowledge of concepts, such as risk or warning communication, cognitive interviews are a more reliable research approach. In-depth interviews are especially conducive for exploration of sensitive topics. In a one-on-one interview, participants are more likely to admit that they have difficulties understanding a concept or warning message and will more truthfully indicate their expected level of compliance with a warning message than they will in a group setting. Also, the one-on-one interview format allows for in-depth exploration of issues with perception, comprehension, and risk judgment of communication materials and, therefore, provides a more comprehensive evaluation of participant’s level of general knowledge about PEHs and their understanding of risk, behavioral practices, and messaging.  </w:t>
      </w:r>
    </w:p>
    <w:p w:rsidR="009F1822" w:rsidRPr="009F1822" w:rsidP="005308A9" w14:paraId="77AEBD90" w14:textId="629DD524">
      <w:pPr>
        <w:spacing w:line="259" w:lineRule="auto"/>
        <w:ind w:left="360"/>
      </w:pPr>
      <w:r>
        <w:t>Furthermore, EurekaFacts has found that participants may be more open addressing sensitive topics when they are in homogenous groups</w:t>
      </w:r>
      <w:r>
        <w:rPr>
          <w:rStyle w:val="FootnoteReference"/>
        </w:rPr>
        <w:footnoteReference w:id="8"/>
      </w:r>
      <w:r w:rsidR="00CD5399">
        <w:t>,</w:t>
      </w:r>
      <w:r>
        <w:rPr>
          <w:rStyle w:val="FootnoteReference"/>
        </w:rPr>
        <w:footnoteReference w:id="9"/>
      </w:r>
      <w:r>
        <w:t xml:space="preserve">. As a result, the focus groups for this study will be organized by the demographics of interest: BIPOC, Latino/Latina (bilingual), Parents, </w:t>
      </w:r>
      <w:r w:rsidR="002E52D7">
        <w:t>Older Adults</w:t>
      </w:r>
      <w:r w:rsidR="00F47A8E">
        <w:t xml:space="preserve"> (</w:t>
      </w:r>
      <w:r w:rsidR="222FD82B">
        <w:t>&gt;</w:t>
      </w:r>
      <w:r w:rsidR="00F47A8E">
        <w:t>55)</w:t>
      </w:r>
      <w:r>
        <w:t xml:space="preserve">, and Low Income. One additional group will be scheduled for the general population of current PEH owners (owned a minimum of 7 years/used PEH within </w:t>
      </w:r>
      <w:r w:rsidR="5834F31F">
        <w:t xml:space="preserve">the </w:t>
      </w:r>
      <w:r>
        <w:t>past 24 months). </w:t>
      </w:r>
    </w:p>
    <w:p w:rsidR="000107B2" w:rsidP="00CD5399" w14:paraId="1848FD92" w14:textId="76B464E6">
      <w:pPr>
        <w:spacing w:after="120" w:line="259" w:lineRule="auto"/>
        <w:ind w:left="360"/>
        <w:rPr>
          <w:i/>
          <w:sz w:val="18"/>
          <w:szCs w:val="18"/>
        </w:rPr>
      </w:pPr>
      <w:r w:rsidRPr="009F1822">
        <w:t xml:space="preserve">The </w:t>
      </w:r>
      <w:r w:rsidRPr="00E402D6">
        <w:t>table</w:t>
      </w:r>
      <w:r w:rsidRPr="009F1822">
        <w:t xml:space="preserve"> below presents the breakout of the focus groups in more detail</w:t>
      </w:r>
      <w:r w:rsidR="00BD07A9">
        <w:t xml:space="preserve"> </w:t>
      </w:r>
      <w:r w:rsidR="00C95D9A">
        <w:t xml:space="preserve">regarding which </w:t>
      </w:r>
      <w:r w:rsidR="00460457">
        <w:t>demographic groups participates in a standard</w:t>
      </w:r>
      <w:r w:rsidR="004458CA">
        <w:t xml:space="preserve"> o</w:t>
      </w:r>
      <w:r w:rsidR="009F08BB">
        <w:t>r</w:t>
      </w:r>
      <w:r w:rsidR="004458CA">
        <w:t xml:space="preserve"> hybrid focus group</w:t>
      </w:r>
      <w:r w:rsidR="00764FA8">
        <w:t xml:space="preserve"> based on</w:t>
      </w:r>
      <w:r w:rsidR="00B12D51">
        <w:t xml:space="preserve"> the</w:t>
      </w:r>
      <w:r w:rsidRPr="009F1822" w:rsidR="00B12D51">
        <w:t xml:space="preserve"> </w:t>
      </w:r>
      <w:r w:rsidRPr="009F1822">
        <w:t>assessment of groups that will benefit the most from the hybrid setting. </w:t>
      </w:r>
    </w:p>
    <w:p w:rsidR="009F1822" w:rsidRPr="00DE0292" w:rsidP="000107B2" w14:paraId="1394F799" w14:textId="104A9529">
      <w:pPr>
        <w:spacing w:after="120" w:line="259" w:lineRule="auto"/>
        <w:ind w:left="360" w:firstLine="360"/>
        <w:rPr>
          <w:sz w:val="18"/>
          <w:szCs w:val="18"/>
        </w:rPr>
      </w:pPr>
      <w:r w:rsidRPr="00DE0292">
        <w:rPr>
          <w:i/>
          <w:sz w:val="18"/>
          <w:szCs w:val="18"/>
        </w:rPr>
        <w:t>Table</w:t>
      </w:r>
      <w:r w:rsidRPr="00DE0292" w:rsidR="007C0680">
        <w:rPr>
          <w:i/>
          <w:sz w:val="18"/>
          <w:szCs w:val="18"/>
        </w:rPr>
        <w:t xml:space="preserve"> </w:t>
      </w:r>
      <w:r w:rsidRPr="00DE0292">
        <w:rPr>
          <w:i/>
          <w:sz w:val="18"/>
          <w:szCs w:val="18"/>
        </w:rPr>
        <w:t>3</w:t>
      </w:r>
      <w:r w:rsidRPr="00DE0292">
        <w:rPr>
          <w:i/>
          <w:sz w:val="18"/>
          <w:szCs w:val="18"/>
        </w:rPr>
        <w:t>.</w:t>
      </w:r>
      <w:r w:rsidRPr="00DE0292" w:rsidR="00A00182">
        <w:rPr>
          <w:i/>
          <w:sz w:val="18"/>
          <w:szCs w:val="18"/>
        </w:rPr>
        <w:t xml:space="preserve"> Sample Size for</w:t>
      </w:r>
      <w:r w:rsidRPr="00DE0292">
        <w:rPr>
          <w:i/>
          <w:sz w:val="18"/>
          <w:szCs w:val="18"/>
        </w:rPr>
        <w:t xml:space="preserve"> Focus Group Breakdown</w:t>
      </w:r>
      <w:r w:rsidRPr="00DE0292">
        <w:rPr>
          <w:sz w:val="18"/>
          <w:szCs w:val="18"/>
        </w:rPr>
        <w:t> </w:t>
      </w:r>
    </w:p>
    <w:tbl>
      <w:tblPr>
        <w:tblW w:w="8700"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0"/>
        <w:gridCol w:w="3735"/>
        <w:gridCol w:w="1995"/>
        <w:gridCol w:w="1800"/>
      </w:tblGrid>
      <w:tr w14:paraId="1D9B41B0" w14:textId="77777777" w:rsidTr="56BB1422">
        <w:tblPrEx>
          <w:tblW w:w="8700"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rsidR="0010342B" w:rsidRPr="00477B0D" w:rsidP="002C3619" w14:paraId="7CC2B1AC" w14:textId="1CA60FE9">
            <w:pPr>
              <w:spacing w:after="0" w:line="259" w:lineRule="auto"/>
              <w:jc w:val="center"/>
              <w:textAlignment w:val="baseline"/>
              <w:rPr>
                <w:rFonts w:cs="Calibri"/>
                <w:b/>
                <w:bCs/>
              </w:rPr>
            </w:pPr>
            <w:r>
              <w:rPr>
                <w:rFonts w:cs="Calibri"/>
                <w:b/>
                <w:bCs/>
              </w:rPr>
              <w:t>F</w:t>
            </w:r>
            <w:r>
              <w:rPr>
                <w:b/>
                <w:bCs/>
              </w:rPr>
              <w:t>ocus Group Number</w:t>
            </w:r>
          </w:p>
        </w:tc>
        <w:tc>
          <w:tcPr>
            <w:tcW w:w="373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rsidR="0010342B" w:rsidRPr="00EB611C" w:rsidP="002C3619" w14:paraId="02D920FB" w14:textId="4BEAC638">
            <w:pPr>
              <w:spacing w:after="0" w:line="259" w:lineRule="auto"/>
              <w:jc w:val="center"/>
              <w:textAlignment w:val="baseline"/>
              <w:rPr>
                <w:rFonts w:ascii="Segoe UI" w:hAnsi="Segoe UI" w:cs="Segoe UI"/>
                <w:b/>
                <w:bCs/>
                <w:sz w:val="18"/>
                <w:szCs w:val="18"/>
              </w:rPr>
            </w:pPr>
            <w:r w:rsidRPr="00EB611C">
              <w:rPr>
                <w:b/>
                <w:bCs/>
              </w:rPr>
              <w:t>Population</w:t>
            </w:r>
          </w:p>
        </w:tc>
        <w:tc>
          <w:tcPr>
            <w:tcW w:w="199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rsidR="0010342B" w:rsidRPr="00477B0D" w:rsidP="002C3619" w14:paraId="5ED2E2DF" w14:textId="70E2E7CA">
            <w:pPr>
              <w:spacing w:after="0" w:line="259" w:lineRule="auto"/>
              <w:jc w:val="center"/>
              <w:textAlignment w:val="baseline"/>
              <w:rPr>
                <w:rFonts w:ascii="Segoe UI" w:hAnsi="Segoe UI" w:cs="Segoe UI"/>
                <w:sz w:val="18"/>
                <w:szCs w:val="18"/>
              </w:rPr>
            </w:pPr>
            <w:r w:rsidRPr="00477B0D">
              <w:rPr>
                <w:rFonts w:cs="Calibri"/>
                <w:b/>
                <w:bCs/>
              </w:rPr>
              <w:t>Approach (Standard or Hybrid)</w:t>
            </w:r>
          </w:p>
        </w:tc>
        <w:tc>
          <w:tcPr>
            <w:tcW w:w="180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rsidR="0010342B" w:rsidRPr="00477B0D" w:rsidP="002C3619" w14:paraId="5B566CDD" w14:textId="4BE330E2">
            <w:pPr>
              <w:spacing w:after="0" w:line="259" w:lineRule="auto"/>
              <w:jc w:val="center"/>
              <w:textAlignment w:val="baseline"/>
              <w:rPr>
                <w:rFonts w:ascii="Segoe UI" w:hAnsi="Segoe UI" w:cs="Segoe UI"/>
                <w:sz w:val="18"/>
                <w:szCs w:val="18"/>
              </w:rPr>
            </w:pPr>
            <w:r w:rsidRPr="00477B0D">
              <w:rPr>
                <w:rFonts w:cs="Calibri"/>
                <w:b/>
                <w:bCs/>
              </w:rPr>
              <w:t>Number of Participants</w:t>
            </w:r>
          </w:p>
        </w:tc>
      </w:tr>
      <w:tr w14:paraId="01BB029D"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vAlign w:val="center"/>
          </w:tcPr>
          <w:p w:rsidR="0010342B" w:rsidRPr="00477B0D" w:rsidP="00EB611C" w14:paraId="68645B78" w14:textId="49C77B5A">
            <w:pPr>
              <w:spacing w:after="0" w:line="259" w:lineRule="auto"/>
              <w:jc w:val="center"/>
              <w:textAlignment w:val="baseline"/>
              <w:rPr>
                <w:rFonts w:cs="Calibri"/>
              </w:rPr>
            </w:pPr>
            <w:r>
              <w:rPr>
                <w:rFonts w:cs="Calibri"/>
              </w:rPr>
              <w:t>1a</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991DCA" w14:paraId="6833C9E3" w14:textId="159EB857">
            <w:pPr>
              <w:spacing w:after="0" w:line="259" w:lineRule="auto"/>
              <w:jc w:val="center"/>
              <w:textAlignment w:val="baseline"/>
              <w:rPr>
                <w:rFonts w:ascii="Segoe UI" w:hAnsi="Segoe UI" w:cs="Segoe UI"/>
                <w:sz w:val="18"/>
                <w:szCs w:val="18"/>
              </w:rPr>
            </w:pPr>
            <w:r w:rsidRPr="00477B0D">
              <w:rPr>
                <w:rFonts w:cs="Calibri"/>
              </w:rPr>
              <w:t>BIPOC</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25D4F836" w14:textId="03DE8D3B">
            <w:pPr>
              <w:spacing w:after="0" w:line="259" w:lineRule="auto"/>
              <w:jc w:val="center"/>
              <w:textAlignment w:val="baseline"/>
              <w:rPr>
                <w:rFonts w:ascii="Segoe UI" w:hAnsi="Segoe UI" w:cs="Segoe UI"/>
                <w:sz w:val="18"/>
                <w:szCs w:val="18"/>
              </w:rPr>
            </w:pPr>
            <w:r w:rsidRPr="00477B0D">
              <w:rPr>
                <w:rFonts w:cs="Calibri"/>
              </w:rPr>
              <w:t>Standard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2C3619" w14:paraId="7642F4EC" w14:textId="581CE0CC">
            <w:pPr>
              <w:spacing w:after="0" w:line="257" w:lineRule="auto"/>
              <w:jc w:val="center"/>
              <w:textAlignment w:val="baseline"/>
              <w:rPr>
                <w:rFonts w:ascii="Segoe UI" w:hAnsi="Segoe UI" w:cs="Segoe UI"/>
                <w:sz w:val="18"/>
                <w:szCs w:val="18"/>
              </w:rPr>
            </w:pPr>
            <w:r w:rsidRPr="24DE56B4">
              <w:rPr>
                <w:rFonts w:cs="Calibri"/>
              </w:rPr>
              <w:t>8</w:t>
            </w:r>
          </w:p>
        </w:tc>
      </w:tr>
      <w:tr w14:paraId="3CE55E20"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vAlign w:val="center"/>
          </w:tcPr>
          <w:p w:rsidR="0010342B" w:rsidRPr="00477B0D" w:rsidP="00EB611C" w14:paraId="673B1739" w14:textId="3C805CAF">
            <w:pPr>
              <w:spacing w:after="0" w:line="259" w:lineRule="auto"/>
              <w:jc w:val="center"/>
              <w:textAlignment w:val="baseline"/>
              <w:rPr>
                <w:rFonts w:cs="Calibri"/>
              </w:rPr>
            </w:pPr>
            <w:r>
              <w:rPr>
                <w:rFonts w:cs="Calibri"/>
              </w:rPr>
              <w:t>1b</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991DCA" w14:paraId="7E6004B1" w14:textId="0512A319">
            <w:pPr>
              <w:spacing w:after="0" w:line="259" w:lineRule="auto"/>
              <w:jc w:val="center"/>
              <w:textAlignment w:val="baseline"/>
              <w:rPr>
                <w:rFonts w:ascii="Segoe UI" w:hAnsi="Segoe UI" w:cs="Segoe UI"/>
                <w:sz w:val="18"/>
                <w:szCs w:val="18"/>
              </w:rPr>
            </w:pPr>
            <w:r w:rsidRPr="00477B0D">
              <w:rPr>
                <w:rFonts w:cs="Calibri"/>
              </w:rPr>
              <w:t>BIPOC</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44A0FB54" w14:textId="2E859CA1">
            <w:pPr>
              <w:spacing w:after="0" w:line="259" w:lineRule="auto"/>
              <w:jc w:val="center"/>
              <w:textAlignment w:val="baseline"/>
              <w:rPr>
                <w:rFonts w:ascii="Segoe UI" w:hAnsi="Segoe UI" w:cs="Segoe UI"/>
                <w:sz w:val="18"/>
                <w:szCs w:val="18"/>
              </w:rPr>
            </w:pPr>
            <w:r w:rsidRPr="00477B0D">
              <w:rPr>
                <w:rFonts w:cs="Calibri"/>
              </w:rPr>
              <w:t>Standard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24DE56B4" w14:paraId="6ED6AE30" w14:textId="1F1D845A">
            <w:pPr>
              <w:spacing w:after="0" w:line="259" w:lineRule="auto"/>
              <w:jc w:val="center"/>
              <w:textAlignment w:val="baseline"/>
              <w:rPr>
                <w:rFonts w:ascii="Segoe UI" w:hAnsi="Segoe UI" w:cs="Segoe UI"/>
                <w:sz w:val="18"/>
                <w:szCs w:val="18"/>
              </w:rPr>
            </w:pPr>
            <w:r w:rsidRPr="24DE56B4">
              <w:rPr>
                <w:rFonts w:cs="Calibri"/>
              </w:rPr>
              <w:t>8</w:t>
            </w:r>
          </w:p>
        </w:tc>
      </w:tr>
      <w:tr w14:paraId="01060FBB"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vAlign w:val="center"/>
          </w:tcPr>
          <w:p w:rsidR="00557BDC" w:rsidRPr="00477B0D" w:rsidP="00557BDC" w14:paraId="6D6597CD" w14:textId="5287397E">
            <w:pPr>
              <w:spacing w:after="0" w:line="259" w:lineRule="auto"/>
              <w:jc w:val="center"/>
              <w:textAlignment w:val="baseline"/>
              <w:rPr>
                <w:rFonts w:cs="Calibri"/>
              </w:rPr>
            </w:pPr>
            <w:r>
              <w:rPr>
                <w:rFonts w:cs="Calibri"/>
              </w:rPr>
              <w:t>2a</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991DCA" w14:paraId="4658C0AD" w14:textId="3707A01E">
            <w:pPr>
              <w:spacing w:after="0" w:line="259" w:lineRule="auto"/>
              <w:jc w:val="center"/>
              <w:textAlignment w:val="baseline"/>
              <w:rPr>
                <w:rFonts w:ascii="Segoe UI" w:hAnsi="Segoe UI" w:cs="Segoe UI"/>
                <w:sz w:val="18"/>
                <w:szCs w:val="18"/>
              </w:rPr>
            </w:pPr>
            <w:r w:rsidRPr="00477B0D">
              <w:rPr>
                <w:rFonts w:cs="Calibri"/>
              </w:rPr>
              <w:t>Hispanic (bilingual)</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55E47886" w14:textId="021F888E">
            <w:pPr>
              <w:spacing w:after="0" w:line="259" w:lineRule="auto"/>
              <w:jc w:val="center"/>
              <w:textAlignment w:val="baseline"/>
              <w:rPr>
                <w:rFonts w:ascii="Segoe UI" w:hAnsi="Segoe UI" w:cs="Segoe UI"/>
                <w:sz w:val="18"/>
                <w:szCs w:val="18"/>
              </w:rPr>
            </w:pPr>
            <w:r w:rsidRPr="00477B0D">
              <w:rPr>
                <w:rFonts w:cs="Calibri"/>
              </w:rPr>
              <w:t>Standard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24DE56B4" w14:paraId="38F0980D" w14:textId="4A1A17CE">
            <w:pPr>
              <w:spacing w:after="0" w:line="259" w:lineRule="auto"/>
              <w:jc w:val="center"/>
              <w:textAlignment w:val="baseline"/>
              <w:rPr>
                <w:rFonts w:ascii="Segoe UI" w:hAnsi="Segoe UI" w:cs="Segoe UI"/>
                <w:sz w:val="18"/>
                <w:szCs w:val="18"/>
              </w:rPr>
            </w:pPr>
            <w:r w:rsidRPr="24DE56B4">
              <w:rPr>
                <w:rFonts w:cs="Calibri"/>
              </w:rPr>
              <w:t>8</w:t>
            </w:r>
          </w:p>
        </w:tc>
      </w:tr>
      <w:tr w14:paraId="19691E9B"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vAlign w:val="center"/>
          </w:tcPr>
          <w:p w:rsidR="0010342B" w:rsidRPr="00477B0D" w:rsidP="00EB611C" w14:paraId="0F921B19" w14:textId="57993B92">
            <w:pPr>
              <w:spacing w:after="0" w:line="259" w:lineRule="auto"/>
              <w:jc w:val="center"/>
              <w:textAlignment w:val="baseline"/>
              <w:rPr>
                <w:rFonts w:cs="Calibri"/>
              </w:rPr>
            </w:pPr>
            <w:r>
              <w:rPr>
                <w:rFonts w:cs="Calibri"/>
              </w:rPr>
              <w:t>2b</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991DCA" w14:paraId="609626B7" w14:textId="3A9674EB">
            <w:pPr>
              <w:spacing w:after="0" w:line="259" w:lineRule="auto"/>
              <w:jc w:val="center"/>
              <w:textAlignment w:val="baseline"/>
              <w:rPr>
                <w:rFonts w:ascii="Segoe UI" w:hAnsi="Segoe UI" w:cs="Segoe UI"/>
                <w:sz w:val="18"/>
                <w:szCs w:val="18"/>
              </w:rPr>
            </w:pPr>
            <w:r w:rsidRPr="00477B0D">
              <w:rPr>
                <w:rFonts w:cs="Calibri"/>
              </w:rPr>
              <w:t>Hispanic (bilingual)</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7B5813A5" w14:textId="6D379E73">
            <w:pPr>
              <w:spacing w:after="0" w:line="259" w:lineRule="auto"/>
              <w:jc w:val="center"/>
              <w:textAlignment w:val="baseline"/>
              <w:rPr>
                <w:rFonts w:ascii="Segoe UI" w:hAnsi="Segoe UI" w:cs="Segoe UI"/>
                <w:sz w:val="18"/>
                <w:szCs w:val="18"/>
              </w:rPr>
            </w:pPr>
            <w:r w:rsidRPr="00477B0D">
              <w:rPr>
                <w:rFonts w:cs="Calibri"/>
              </w:rPr>
              <w:t>Standard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24DE56B4" w14:paraId="7CF68C16" w14:textId="4500E951">
            <w:pPr>
              <w:spacing w:after="0" w:line="259" w:lineRule="auto"/>
              <w:jc w:val="center"/>
              <w:textAlignment w:val="baseline"/>
              <w:rPr>
                <w:rFonts w:ascii="Segoe UI" w:hAnsi="Segoe UI" w:cs="Segoe UI"/>
                <w:sz w:val="18"/>
                <w:szCs w:val="18"/>
              </w:rPr>
            </w:pPr>
            <w:r w:rsidRPr="24DE56B4">
              <w:rPr>
                <w:rFonts w:cs="Calibri"/>
              </w:rPr>
              <w:t>8</w:t>
            </w:r>
          </w:p>
        </w:tc>
      </w:tr>
      <w:tr w14:paraId="30809E3B"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vAlign w:val="center"/>
          </w:tcPr>
          <w:p w:rsidR="0010342B" w:rsidRPr="00477B0D" w:rsidP="00EB611C" w14:paraId="5038845A" w14:textId="0E236D6F">
            <w:pPr>
              <w:spacing w:after="0" w:line="259" w:lineRule="auto"/>
              <w:jc w:val="center"/>
              <w:textAlignment w:val="baseline"/>
              <w:rPr>
                <w:rFonts w:cs="Calibri"/>
              </w:rPr>
            </w:pPr>
            <w:r>
              <w:rPr>
                <w:rFonts w:cs="Calibri"/>
              </w:rPr>
              <w:t>3a</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56BB1422" w14:paraId="70C7E876" w14:textId="34F81A0E">
            <w:pPr>
              <w:spacing w:after="0" w:line="259" w:lineRule="auto"/>
              <w:jc w:val="center"/>
              <w:textAlignment w:val="baseline"/>
              <w:rPr>
                <w:rFonts w:cs="Calibri"/>
              </w:rPr>
            </w:pPr>
            <w:r w:rsidRPr="56BB1422">
              <w:rPr>
                <w:rFonts w:cs="Calibri"/>
              </w:rPr>
              <w:t>Parents</w:t>
            </w:r>
            <w:r w:rsidRPr="56BB1422" w:rsidR="46CF4C0A">
              <w:rPr>
                <w:rFonts w:cs="Calibri"/>
              </w:rPr>
              <w:t xml:space="preserve"> or legal guardians</w:t>
            </w:r>
            <w:r w:rsidRPr="56BB1422" w:rsidR="461F0BC1">
              <w:rPr>
                <w:rFonts w:cs="Calibri"/>
              </w:rPr>
              <w:t xml:space="preserve"> with young children</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402DF3FF" w14:textId="200AFC5B">
            <w:pPr>
              <w:spacing w:after="0" w:line="259" w:lineRule="auto"/>
              <w:jc w:val="center"/>
              <w:textAlignment w:val="baseline"/>
              <w:rPr>
                <w:rFonts w:ascii="Segoe UI" w:hAnsi="Segoe UI" w:cs="Segoe UI"/>
                <w:sz w:val="18"/>
                <w:szCs w:val="18"/>
              </w:rPr>
            </w:pPr>
            <w:r w:rsidRPr="00477B0D">
              <w:rPr>
                <w:rFonts w:cs="Calibri"/>
              </w:rPr>
              <w:t>Hybrid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3DF664AA" w14:textId="607FECF3">
            <w:pPr>
              <w:spacing w:after="0" w:line="259" w:lineRule="auto"/>
              <w:jc w:val="center"/>
              <w:textAlignment w:val="baseline"/>
              <w:rPr>
                <w:rFonts w:ascii="Segoe UI" w:hAnsi="Segoe UI" w:cs="Segoe UI"/>
                <w:sz w:val="18"/>
                <w:szCs w:val="18"/>
              </w:rPr>
            </w:pPr>
            <w:r w:rsidRPr="00477B0D">
              <w:rPr>
                <w:rFonts w:cs="Calibri"/>
              </w:rPr>
              <w:t>5</w:t>
            </w:r>
          </w:p>
        </w:tc>
      </w:tr>
      <w:tr w14:paraId="57E2887B"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vAlign w:val="center"/>
          </w:tcPr>
          <w:p w:rsidR="0010342B" w:rsidRPr="00477B0D" w:rsidP="00EB611C" w14:paraId="032D219B" w14:textId="6727B8B3">
            <w:pPr>
              <w:spacing w:after="0" w:line="259" w:lineRule="auto"/>
              <w:jc w:val="center"/>
              <w:textAlignment w:val="baseline"/>
              <w:rPr>
                <w:rFonts w:cs="Calibri"/>
              </w:rPr>
            </w:pPr>
            <w:r>
              <w:rPr>
                <w:rFonts w:cs="Calibri"/>
              </w:rPr>
              <w:t>3b</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56BB1422" w14:paraId="51431A6B" w14:textId="7317E34B">
            <w:pPr>
              <w:spacing w:after="0" w:line="259" w:lineRule="auto"/>
              <w:jc w:val="center"/>
              <w:textAlignment w:val="baseline"/>
              <w:rPr>
                <w:rFonts w:cs="Calibri"/>
              </w:rPr>
            </w:pPr>
            <w:r w:rsidRPr="56BB1422">
              <w:rPr>
                <w:rFonts w:cs="Calibri"/>
              </w:rPr>
              <w:t>Parents</w:t>
            </w:r>
            <w:r w:rsidRPr="56BB1422" w:rsidR="1749F0C6">
              <w:rPr>
                <w:rFonts w:cs="Calibri"/>
              </w:rPr>
              <w:t xml:space="preserve"> or legal guardians</w:t>
            </w:r>
            <w:r w:rsidRPr="56BB1422" w:rsidR="2E1F233F">
              <w:rPr>
                <w:rFonts w:cs="Calibri"/>
              </w:rPr>
              <w:t xml:space="preserve"> with young children</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165964AC" w14:textId="26B20178">
            <w:pPr>
              <w:spacing w:after="0" w:line="259" w:lineRule="auto"/>
              <w:jc w:val="center"/>
              <w:textAlignment w:val="baseline"/>
              <w:rPr>
                <w:rFonts w:ascii="Segoe UI" w:hAnsi="Segoe UI" w:cs="Segoe UI"/>
                <w:sz w:val="18"/>
                <w:szCs w:val="18"/>
              </w:rPr>
            </w:pPr>
            <w:r w:rsidRPr="00477B0D">
              <w:rPr>
                <w:rFonts w:cs="Calibri"/>
              </w:rPr>
              <w:t>Hybrid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7E77E03D" w14:textId="15EF0E3F">
            <w:pPr>
              <w:spacing w:after="0" w:line="259" w:lineRule="auto"/>
              <w:jc w:val="center"/>
              <w:textAlignment w:val="baseline"/>
              <w:rPr>
                <w:rFonts w:ascii="Segoe UI" w:hAnsi="Segoe UI" w:cs="Segoe UI"/>
                <w:sz w:val="18"/>
                <w:szCs w:val="18"/>
              </w:rPr>
            </w:pPr>
            <w:r w:rsidRPr="00477B0D">
              <w:rPr>
                <w:rFonts w:cs="Calibri"/>
              </w:rPr>
              <w:t>5</w:t>
            </w:r>
          </w:p>
        </w:tc>
      </w:tr>
      <w:tr w14:paraId="68CAAF52"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vAlign w:val="center"/>
          </w:tcPr>
          <w:p w:rsidR="0010342B" w:rsidRPr="00477B0D" w:rsidP="00EB611C" w14:paraId="707EFC46" w14:textId="7671A9D5">
            <w:pPr>
              <w:spacing w:after="0" w:line="259" w:lineRule="auto"/>
              <w:jc w:val="center"/>
              <w:textAlignment w:val="baseline"/>
              <w:rPr>
                <w:rFonts w:cs="Calibri"/>
              </w:rPr>
            </w:pPr>
            <w:r>
              <w:rPr>
                <w:rFonts w:cs="Calibri"/>
              </w:rPr>
              <w:t>4a</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991DCA" w14:paraId="289ACE7F" w14:textId="0DA097F7">
            <w:pPr>
              <w:spacing w:after="0" w:line="259" w:lineRule="auto"/>
              <w:jc w:val="center"/>
              <w:textAlignment w:val="baseline"/>
              <w:rPr>
                <w:rFonts w:ascii="Segoe UI" w:hAnsi="Segoe UI" w:cs="Segoe UI"/>
                <w:sz w:val="18"/>
                <w:szCs w:val="18"/>
              </w:rPr>
            </w:pPr>
            <w:r>
              <w:rPr>
                <w:rFonts w:cs="Calibri"/>
              </w:rPr>
              <w:t>Older Adults</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55F0A29F" w14:textId="0F023C77">
            <w:pPr>
              <w:spacing w:after="0" w:line="259" w:lineRule="auto"/>
              <w:jc w:val="center"/>
              <w:textAlignment w:val="baseline"/>
              <w:rPr>
                <w:rFonts w:ascii="Segoe UI" w:hAnsi="Segoe UI" w:cs="Segoe UI"/>
                <w:sz w:val="18"/>
                <w:szCs w:val="18"/>
              </w:rPr>
            </w:pPr>
            <w:r w:rsidRPr="00477B0D">
              <w:rPr>
                <w:rFonts w:cs="Calibri"/>
              </w:rPr>
              <w:t>Hybrid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0B9B885B" w14:textId="63D64FD6">
            <w:pPr>
              <w:spacing w:after="0" w:line="259" w:lineRule="auto"/>
              <w:jc w:val="center"/>
              <w:textAlignment w:val="baseline"/>
              <w:rPr>
                <w:rFonts w:ascii="Segoe UI" w:hAnsi="Segoe UI" w:cs="Segoe UI"/>
                <w:sz w:val="18"/>
                <w:szCs w:val="18"/>
              </w:rPr>
            </w:pPr>
            <w:r w:rsidRPr="00477B0D">
              <w:rPr>
                <w:rFonts w:cs="Calibri"/>
              </w:rPr>
              <w:t>5</w:t>
            </w:r>
          </w:p>
        </w:tc>
      </w:tr>
      <w:tr w14:paraId="6C9833A3"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vAlign w:val="center"/>
          </w:tcPr>
          <w:p w:rsidR="0010342B" w:rsidRPr="00477B0D" w:rsidP="00EB611C" w14:paraId="6EC0DA3A" w14:textId="228A9636">
            <w:pPr>
              <w:spacing w:after="0" w:line="259" w:lineRule="auto"/>
              <w:jc w:val="center"/>
              <w:textAlignment w:val="baseline"/>
              <w:rPr>
                <w:rFonts w:cs="Calibri"/>
              </w:rPr>
            </w:pPr>
            <w:r>
              <w:rPr>
                <w:rFonts w:cs="Calibri"/>
              </w:rPr>
              <w:t>4b</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991DCA" w14:paraId="42B4D9B2" w14:textId="64F2A7C9">
            <w:pPr>
              <w:spacing w:after="0" w:line="259" w:lineRule="auto"/>
              <w:jc w:val="center"/>
              <w:textAlignment w:val="baseline"/>
              <w:rPr>
                <w:rFonts w:ascii="Segoe UI" w:hAnsi="Segoe UI" w:cs="Segoe UI"/>
                <w:sz w:val="18"/>
                <w:szCs w:val="18"/>
              </w:rPr>
            </w:pPr>
            <w:r>
              <w:rPr>
                <w:rFonts w:cs="Calibri"/>
              </w:rPr>
              <w:t>Older Adults</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2F1053A3" w14:textId="2FC19DD5">
            <w:pPr>
              <w:spacing w:after="0" w:line="259" w:lineRule="auto"/>
              <w:jc w:val="center"/>
              <w:textAlignment w:val="baseline"/>
              <w:rPr>
                <w:rFonts w:ascii="Segoe UI" w:hAnsi="Segoe UI" w:cs="Segoe UI"/>
                <w:sz w:val="18"/>
                <w:szCs w:val="18"/>
              </w:rPr>
            </w:pPr>
            <w:r w:rsidRPr="00477B0D">
              <w:rPr>
                <w:rFonts w:cs="Calibri"/>
              </w:rPr>
              <w:t>Hybrid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2065631E" w14:textId="31D0CD18">
            <w:pPr>
              <w:spacing w:after="0" w:line="259" w:lineRule="auto"/>
              <w:jc w:val="center"/>
              <w:textAlignment w:val="baseline"/>
              <w:rPr>
                <w:rFonts w:ascii="Segoe UI" w:hAnsi="Segoe UI" w:cs="Segoe UI"/>
                <w:sz w:val="18"/>
                <w:szCs w:val="18"/>
              </w:rPr>
            </w:pPr>
            <w:r w:rsidRPr="00477B0D">
              <w:rPr>
                <w:rFonts w:cs="Calibri"/>
              </w:rPr>
              <w:t>5</w:t>
            </w:r>
          </w:p>
        </w:tc>
      </w:tr>
      <w:tr w14:paraId="578D6184"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vAlign w:val="center"/>
          </w:tcPr>
          <w:p w:rsidR="0010342B" w:rsidRPr="00477B0D" w:rsidP="00EB611C" w14:paraId="6139E677" w14:textId="61735936">
            <w:pPr>
              <w:spacing w:after="0" w:line="259" w:lineRule="auto"/>
              <w:jc w:val="center"/>
              <w:textAlignment w:val="baseline"/>
              <w:rPr>
                <w:rFonts w:cs="Calibri"/>
              </w:rPr>
            </w:pPr>
            <w:r>
              <w:rPr>
                <w:rFonts w:cs="Calibri"/>
              </w:rPr>
              <w:t>5a</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991DCA" w14:paraId="2601E7D5" w14:textId="3C6B33C0">
            <w:pPr>
              <w:spacing w:after="0" w:line="259" w:lineRule="auto"/>
              <w:jc w:val="center"/>
              <w:textAlignment w:val="baseline"/>
              <w:rPr>
                <w:rFonts w:ascii="Segoe UI" w:hAnsi="Segoe UI" w:cs="Segoe UI"/>
                <w:sz w:val="18"/>
                <w:szCs w:val="18"/>
              </w:rPr>
            </w:pPr>
            <w:r w:rsidRPr="00477B0D">
              <w:rPr>
                <w:rFonts w:cs="Calibri"/>
              </w:rPr>
              <w:t>Low Income</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32279459" w14:textId="3258EDF5">
            <w:pPr>
              <w:spacing w:after="0" w:line="259" w:lineRule="auto"/>
              <w:jc w:val="center"/>
              <w:textAlignment w:val="baseline"/>
              <w:rPr>
                <w:rFonts w:ascii="Segoe UI" w:hAnsi="Segoe UI" w:cs="Segoe UI"/>
                <w:sz w:val="18"/>
                <w:szCs w:val="18"/>
              </w:rPr>
            </w:pPr>
            <w:r w:rsidRPr="00477B0D">
              <w:rPr>
                <w:rFonts w:cs="Calibri"/>
              </w:rPr>
              <w:t>Hybrid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3372D620" w14:textId="18AD9A7C">
            <w:pPr>
              <w:spacing w:after="0" w:line="259" w:lineRule="auto"/>
              <w:jc w:val="center"/>
              <w:textAlignment w:val="baseline"/>
              <w:rPr>
                <w:rFonts w:ascii="Segoe UI" w:hAnsi="Segoe UI" w:cs="Segoe UI"/>
                <w:sz w:val="18"/>
                <w:szCs w:val="18"/>
              </w:rPr>
            </w:pPr>
            <w:r w:rsidRPr="00477B0D">
              <w:rPr>
                <w:rFonts w:cs="Calibri"/>
              </w:rPr>
              <w:t>5</w:t>
            </w:r>
          </w:p>
        </w:tc>
      </w:tr>
      <w:tr w14:paraId="23D18442"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vAlign w:val="center"/>
          </w:tcPr>
          <w:p w:rsidR="0010342B" w:rsidRPr="00477B0D" w:rsidP="00EB611C" w14:paraId="0F05AF34" w14:textId="20A069DC">
            <w:pPr>
              <w:spacing w:after="0" w:line="259" w:lineRule="auto"/>
              <w:jc w:val="center"/>
              <w:textAlignment w:val="baseline"/>
              <w:rPr>
                <w:rFonts w:cs="Calibri"/>
              </w:rPr>
            </w:pPr>
            <w:r>
              <w:rPr>
                <w:rFonts w:cs="Calibri"/>
              </w:rPr>
              <w:t>5b</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991DCA" w14:paraId="65E2E143" w14:textId="77AD1AD2">
            <w:pPr>
              <w:spacing w:after="0" w:line="259" w:lineRule="auto"/>
              <w:jc w:val="center"/>
              <w:textAlignment w:val="baseline"/>
              <w:rPr>
                <w:rFonts w:ascii="Segoe UI" w:hAnsi="Segoe UI" w:cs="Segoe UI"/>
                <w:sz w:val="18"/>
                <w:szCs w:val="18"/>
              </w:rPr>
            </w:pPr>
            <w:r w:rsidRPr="00477B0D">
              <w:rPr>
                <w:rFonts w:cs="Calibri"/>
              </w:rPr>
              <w:t>Low Income</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4BE8BF26" w14:textId="570C4FA7">
            <w:pPr>
              <w:spacing w:after="0" w:line="259" w:lineRule="auto"/>
              <w:jc w:val="center"/>
              <w:textAlignment w:val="baseline"/>
              <w:rPr>
                <w:rFonts w:ascii="Segoe UI" w:hAnsi="Segoe UI" w:cs="Segoe UI"/>
                <w:sz w:val="18"/>
                <w:szCs w:val="18"/>
              </w:rPr>
            </w:pPr>
            <w:r w:rsidRPr="00477B0D">
              <w:rPr>
                <w:rFonts w:cs="Calibri"/>
              </w:rPr>
              <w:t>Hybrid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3AF9FFA7" w14:textId="0E5893E3">
            <w:pPr>
              <w:spacing w:after="0" w:line="259" w:lineRule="auto"/>
              <w:jc w:val="center"/>
              <w:textAlignment w:val="baseline"/>
              <w:rPr>
                <w:rFonts w:ascii="Segoe UI" w:hAnsi="Segoe UI" w:cs="Segoe UI"/>
                <w:sz w:val="18"/>
                <w:szCs w:val="18"/>
              </w:rPr>
            </w:pPr>
            <w:r w:rsidRPr="00477B0D">
              <w:rPr>
                <w:rFonts w:cs="Calibri"/>
              </w:rPr>
              <w:t>5</w:t>
            </w:r>
          </w:p>
        </w:tc>
      </w:tr>
      <w:tr w14:paraId="4DD26385"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vAlign w:val="center"/>
          </w:tcPr>
          <w:p w:rsidR="0010342B" w:rsidRPr="00477B0D" w:rsidP="00EB611C" w14:paraId="4F7788F6" w14:textId="26C2F140">
            <w:pPr>
              <w:spacing w:after="0" w:line="259" w:lineRule="auto"/>
              <w:jc w:val="center"/>
              <w:textAlignment w:val="baseline"/>
              <w:rPr>
                <w:rFonts w:cs="Calibri"/>
              </w:rPr>
            </w:pPr>
            <w:r>
              <w:rPr>
                <w:rFonts w:cs="Calibri"/>
              </w:rPr>
              <w:t>6a</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991DCA" w14:paraId="37CBA29B" w14:textId="46EAF4D5">
            <w:pPr>
              <w:spacing w:after="0" w:line="259" w:lineRule="auto"/>
              <w:jc w:val="center"/>
              <w:textAlignment w:val="baseline"/>
              <w:rPr>
                <w:rFonts w:ascii="Segoe UI" w:hAnsi="Segoe UI" w:cs="Segoe UI"/>
                <w:sz w:val="18"/>
                <w:szCs w:val="18"/>
              </w:rPr>
            </w:pPr>
            <w:r w:rsidRPr="00477B0D">
              <w:rPr>
                <w:rFonts w:cs="Calibri"/>
              </w:rPr>
              <w:t>General Population</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1A29EADA" w14:textId="772E1340">
            <w:pPr>
              <w:spacing w:after="0" w:line="259" w:lineRule="auto"/>
              <w:jc w:val="center"/>
              <w:textAlignment w:val="baseline"/>
              <w:rPr>
                <w:rFonts w:ascii="Segoe UI" w:hAnsi="Segoe UI" w:cs="Segoe UI"/>
                <w:sz w:val="18"/>
                <w:szCs w:val="18"/>
              </w:rPr>
            </w:pPr>
            <w:r w:rsidRPr="00477B0D">
              <w:rPr>
                <w:rFonts w:cs="Calibri"/>
              </w:rPr>
              <w:t>Standard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24DE56B4" w14:paraId="55237F2A" w14:textId="4C9020C8">
            <w:pPr>
              <w:spacing w:after="0" w:line="259" w:lineRule="auto"/>
              <w:jc w:val="center"/>
              <w:textAlignment w:val="baseline"/>
              <w:rPr>
                <w:rFonts w:ascii="Segoe UI" w:hAnsi="Segoe UI" w:cs="Segoe UI"/>
                <w:sz w:val="18"/>
                <w:szCs w:val="18"/>
              </w:rPr>
            </w:pPr>
            <w:r w:rsidRPr="24DE56B4">
              <w:rPr>
                <w:rFonts w:cs="Calibri"/>
              </w:rPr>
              <w:t>8</w:t>
            </w:r>
          </w:p>
        </w:tc>
      </w:tr>
      <w:tr w14:paraId="2597232A"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vAlign w:val="center"/>
          </w:tcPr>
          <w:p w:rsidR="0010342B" w:rsidRPr="00477B0D" w:rsidP="00EB611C" w14:paraId="6D7AF394" w14:textId="6FF9B589">
            <w:pPr>
              <w:spacing w:after="0" w:line="259" w:lineRule="auto"/>
              <w:jc w:val="center"/>
              <w:textAlignment w:val="baseline"/>
              <w:rPr>
                <w:rFonts w:cs="Calibri"/>
              </w:rPr>
            </w:pPr>
            <w:r>
              <w:rPr>
                <w:rFonts w:cs="Calibri"/>
              </w:rPr>
              <w:t>6b</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991DCA" w14:paraId="1B40C96C" w14:textId="3EBF63AC">
            <w:pPr>
              <w:spacing w:after="0" w:line="259" w:lineRule="auto"/>
              <w:jc w:val="center"/>
              <w:textAlignment w:val="baseline"/>
              <w:rPr>
                <w:rFonts w:ascii="Segoe UI" w:hAnsi="Segoe UI" w:cs="Segoe UI"/>
                <w:sz w:val="18"/>
                <w:szCs w:val="18"/>
              </w:rPr>
            </w:pPr>
            <w:r w:rsidRPr="00477B0D">
              <w:rPr>
                <w:rFonts w:cs="Calibri"/>
              </w:rPr>
              <w:t>General Population</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1F7C017D" w14:textId="0DC93E4E">
            <w:pPr>
              <w:spacing w:after="0" w:line="259" w:lineRule="auto"/>
              <w:jc w:val="center"/>
              <w:textAlignment w:val="baseline"/>
              <w:rPr>
                <w:rFonts w:ascii="Segoe UI" w:hAnsi="Segoe UI" w:cs="Segoe UI"/>
                <w:sz w:val="18"/>
                <w:szCs w:val="18"/>
              </w:rPr>
            </w:pPr>
            <w:r w:rsidRPr="00477B0D">
              <w:rPr>
                <w:rFonts w:cs="Calibri"/>
              </w:rPr>
              <w:t>Standard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24DE56B4" w14:paraId="7351D64C" w14:textId="09EC0E7F">
            <w:pPr>
              <w:spacing w:after="0" w:line="259" w:lineRule="auto"/>
              <w:jc w:val="center"/>
              <w:textAlignment w:val="baseline"/>
              <w:rPr>
                <w:rFonts w:ascii="Segoe UI" w:hAnsi="Segoe UI" w:cs="Segoe UI"/>
                <w:sz w:val="18"/>
                <w:szCs w:val="18"/>
              </w:rPr>
            </w:pPr>
            <w:r w:rsidRPr="24DE56B4">
              <w:rPr>
                <w:rFonts w:cs="Calibri"/>
              </w:rPr>
              <w:t>8</w:t>
            </w:r>
          </w:p>
        </w:tc>
      </w:tr>
      <w:tr w14:paraId="6C9F7233" w14:textId="77777777" w:rsidTr="56BB1422">
        <w:tblPrEx>
          <w:tblW w:w="8700" w:type="dxa"/>
          <w:tblInd w:w="368" w:type="dxa"/>
          <w:tblCellMar>
            <w:left w:w="0" w:type="dxa"/>
            <w:right w:w="0" w:type="dxa"/>
          </w:tblCellMar>
          <w:tblLook w:val="04A0"/>
        </w:tblPrEx>
        <w:trPr>
          <w:trHeight w:val="300"/>
        </w:trPr>
        <w:tc>
          <w:tcPr>
            <w:tcW w:w="1170" w:type="dxa"/>
            <w:tcBorders>
              <w:top w:val="single" w:sz="6" w:space="0" w:color="auto"/>
              <w:left w:val="single" w:sz="6" w:space="0" w:color="auto"/>
              <w:bottom w:val="single" w:sz="6" w:space="0" w:color="auto"/>
              <w:right w:val="single" w:sz="6" w:space="0" w:color="auto"/>
            </w:tcBorders>
          </w:tcPr>
          <w:p w:rsidR="0010342B" w:rsidRPr="00477B0D" w:rsidP="00D17C99" w14:paraId="4027F55E" w14:textId="77777777">
            <w:pPr>
              <w:spacing w:after="0" w:line="259" w:lineRule="auto"/>
              <w:jc w:val="center"/>
              <w:textAlignment w:val="baseline"/>
              <w:rPr>
                <w:rFonts w:cs="Calibri"/>
              </w:rPr>
            </w:pPr>
          </w:p>
        </w:tc>
        <w:tc>
          <w:tcPr>
            <w:tcW w:w="573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10342B" w:rsidRPr="00477B0D" w:rsidP="00EB611C" w14:paraId="322CB7FC" w14:textId="2C1BC381">
            <w:pPr>
              <w:spacing w:after="0" w:line="259" w:lineRule="auto"/>
              <w:jc w:val="center"/>
              <w:textAlignment w:val="baseline"/>
              <w:rPr>
                <w:rFonts w:ascii="Segoe UI" w:hAnsi="Segoe UI" w:cs="Segoe UI"/>
                <w:sz w:val="18"/>
                <w:szCs w:val="18"/>
              </w:rPr>
            </w:pPr>
            <w:r w:rsidRPr="00477B0D">
              <w:rPr>
                <w:rFonts w:cs="Calibri"/>
              </w:rPr>
              <w:t>TOTAL</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0342B" w:rsidRPr="00477B0D" w:rsidP="00EB611C" w14:paraId="789AFB16" w14:textId="32DD7132">
            <w:pPr>
              <w:spacing w:after="0" w:line="259" w:lineRule="auto"/>
              <w:jc w:val="center"/>
              <w:textAlignment w:val="baseline"/>
              <w:rPr>
                <w:rFonts w:ascii="Segoe UI" w:hAnsi="Segoe UI" w:cs="Segoe UI"/>
                <w:sz w:val="18"/>
                <w:szCs w:val="18"/>
              </w:rPr>
            </w:pPr>
            <w:r w:rsidRPr="00477B0D">
              <w:rPr>
                <w:rFonts w:cs="Calibri"/>
              </w:rPr>
              <w:t>78</w:t>
            </w:r>
          </w:p>
        </w:tc>
      </w:tr>
    </w:tbl>
    <w:p w:rsidR="009F1822" w:rsidRPr="009F1822" w:rsidP="00EB611C" w14:paraId="1944C638" w14:textId="77777777">
      <w:pPr>
        <w:spacing w:after="120" w:line="259" w:lineRule="auto"/>
        <w:ind w:left="360"/>
      </w:pPr>
      <w:r w:rsidRPr="009F1822">
        <w:t> </w:t>
      </w:r>
    </w:p>
    <w:p w:rsidR="0070000E" w:rsidP="005308A9" w14:paraId="0637A979" w14:textId="15A919EE">
      <w:pPr>
        <w:spacing w:line="259" w:lineRule="auto"/>
        <w:ind w:left="360"/>
      </w:pPr>
      <w:r w:rsidRPr="009F1822">
        <w:t>In order to successfully garner participation from 78</w:t>
      </w:r>
      <w:r w:rsidR="009F7910">
        <w:t>-84</w:t>
      </w:r>
      <w:r w:rsidRPr="009F1822">
        <w:t xml:space="preserve"> focus group participants from diverse socio-demographic backgrounds, EurekaFacts plans to hold 6 focus groups, with 5-</w:t>
      </w:r>
      <w:r>
        <w:t xml:space="preserve">9 </w:t>
      </w:r>
      <w:r w:rsidRPr="009F1822">
        <w:t xml:space="preserve">participants in each. </w:t>
      </w:r>
    </w:p>
    <w:p w:rsidR="00522F46" w:rsidRPr="00522F46" w:rsidP="005308A9" w14:paraId="1A68EA71" w14:textId="3F1C8A3F">
      <w:pPr>
        <w:spacing w:line="259" w:lineRule="auto"/>
        <w:ind w:left="360"/>
      </w:pPr>
      <w:r w:rsidRPr="009F1822">
        <w:t xml:space="preserve">Note: EurekaFacts will over-schedule participants </w:t>
      </w:r>
      <w:r w:rsidR="00015B55">
        <w:t xml:space="preserve">for </w:t>
      </w:r>
      <w:r w:rsidRPr="009F1822">
        <w:t>each group as some participants may not show up on the day of the focus group session.</w:t>
      </w:r>
    </w:p>
    <w:p w:rsidR="00B517DE" w:rsidP="00CB4C64" w14:paraId="5C15CEA3" w14:textId="5E860D3A">
      <w:pPr>
        <w:pStyle w:val="Heading2"/>
      </w:pPr>
      <w:bookmarkStart w:id="4" w:name="_Toc123908521"/>
      <w:r w:rsidRPr="00543656">
        <w:t xml:space="preserve">Consultations </w:t>
      </w:r>
      <w:r w:rsidRPr="00543656" w:rsidR="009F7327">
        <w:t xml:space="preserve">Outside </w:t>
      </w:r>
      <w:r w:rsidRPr="00543656" w:rsidR="0070000E">
        <w:t>the</w:t>
      </w:r>
      <w:r w:rsidRPr="00543656" w:rsidR="009F7327">
        <w:t xml:space="preserve"> Agency</w:t>
      </w:r>
      <w:bookmarkEnd w:id="4"/>
      <w:r w:rsidRPr="00543656" w:rsidR="009F7327">
        <w:t xml:space="preserve"> </w:t>
      </w:r>
    </w:p>
    <w:p w:rsidR="00456167" w:rsidP="005308A9" w14:paraId="53B9B82C" w14:textId="6085A8AF">
      <w:pPr>
        <w:pStyle w:val="BodyText"/>
        <w:spacing w:after="240" w:line="259" w:lineRule="auto"/>
        <w:ind w:left="360"/>
      </w:pPr>
      <w:r w:rsidRPr="00C54459">
        <w:t xml:space="preserve">EurekaFacts, LLC is located in Rockville, Maryland. It is an established for-profit research and consulting firm, offering facilities, tools, and staff to collect and analyze both qualitative and quantitative data. </w:t>
      </w:r>
      <w:r w:rsidRPr="005C346F" w:rsidR="00F932D0">
        <w:t xml:space="preserve">EurekaFacts </w:t>
      </w:r>
      <w:r w:rsidR="003D27B3">
        <w:t>is working as a subcontractor to</w:t>
      </w:r>
      <w:r w:rsidRPr="005C346F" w:rsidR="00F932D0">
        <w:t xml:space="preserve"> CPSC </w:t>
      </w:r>
      <w:r w:rsidRPr="005C346F" w:rsidR="00726EB9">
        <w:rPr>
          <w:rFonts w:cs="Calibri"/>
        </w:rPr>
        <w:t xml:space="preserve">to recruit participants and </w:t>
      </w:r>
      <w:r w:rsidR="003D27B3">
        <w:rPr>
          <w:rFonts w:cs="Calibri"/>
        </w:rPr>
        <w:t xml:space="preserve">collect </w:t>
      </w:r>
      <w:r w:rsidR="004D516D">
        <w:rPr>
          <w:rFonts w:cs="Calibri"/>
        </w:rPr>
        <w:t>qualitative data</w:t>
      </w:r>
      <w:r w:rsidRPr="005C346F" w:rsidR="00726EB9">
        <w:rPr>
          <w:rFonts w:cs="Calibri"/>
        </w:rPr>
        <w:t xml:space="preserve">. In addition, EurekaFacts staff </w:t>
      </w:r>
      <w:r w:rsidRPr="005C346F" w:rsidR="00726EB9">
        <w:t xml:space="preserve">will </w:t>
      </w:r>
      <w:r w:rsidR="004D516D">
        <w:t>facilitate</w:t>
      </w:r>
      <w:r w:rsidRPr="005C346F" w:rsidR="00726EB9">
        <w:t xml:space="preserve"> the </w:t>
      </w:r>
      <w:r w:rsidR="004D516D">
        <w:t xml:space="preserve">focus group </w:t>
      </w:r>
      <w:r w:rsidRPr="005C346F" w:rsidR="00726EB9">
        <w:t>sessions and provide a report.</w:t>
      </w:r>
    </w:p>
    <w:p w:rsidR="002B105C" w:rsidP="002B105C" w14:paraId="1464144F" w14:textId="77777777">
      <w:pPr>
        <w:pStyle w:val="Heading2"/>
      </w:pPr>
      <w:bookmarkStart w:id="5" w:name="_Toc124430155"/>
      <w:bookmarkStart w:id="6" w:name="_Hlk126310318"/>
      <w:r>
        <w:t>Certification</w:t>
      </w:r>
      <w:bookmarkEnd w:id="5"/>
    </w:p>
    <w:p w:rsidR="002B105C" w:rsidP="002B105C" w14:paraId="5E6BE687" w14:textId="77777777">
      <w:pPr>
        <w:pStyle w:val="ListParagraph"/>
        <w:numPr>
          <w:ilvl w:val="0"/>
          <w:numId w:val="11"/>
        </w:numPr>
      </w:pPr>
      <w:r>
        <w:t>The collection is voluntary.</w:t>
      </w:r>
    </w:p>
    <w:p w:rsidR="002B105C" w:rsidP="002B105C" w14:paraId="6C77B2FD" w14:textId="77777777">
      <w:pPr>
        <w:pStyle w:val="ListParagraph"/>
        <w:numPr>
          <w:ilvl w:val="0"/>
          <w:numId w:val="11"/>
        </w:numPr>
      </w:pPr>
      <w:r>
        <w:t>The collection is low burden for respondents and low-cost for the federal government.</w:t>
      </w:r>
    </w:p>
    <w:p w:rsidR="002B105C" w:rsidP="002B105C" w14:paraId="471A8DF8" w14:textId="77777777">
      <w:pPr>
        <w:pStyle w:val="ListParagraph"/>
        <w:numPr>
          <w:ilvl w:val="0"/>
          <w:numId w:val="11"/>
        </w:numPr>
      </w:pPr>
      <w:r>
        <w:t>The collection is non-controversial and does not raise issues of concern to other federal agencies.</w:t>
      </w:r>
    </w:p>
    <w:p w:rsidR="002B105C" w:rsidP="002B105C" w14:paraId="60C538E3" w14:textId="77777777">
      <w:pPr>
        <w:pStyle w:val="ListParagraph"/>
        <w:numPr>
          <w:ilvl w:val="0"/>
          <w:numId w:val="11"/>
        </w:numPr>
      </w:pPr>
      <w:r>
        <w:t>Information gathered will not be used to substantially inform influential policy decisions.</w:t>
      </w:r>
    </w:p>
    <w:p w:rsidR="000107B2" w:rsidRPr="00CD5399" w:rsidP="00D63683" w14:paraId="06CC3AED" w14:textId="2110B324">
      <w:pPr>
        <w:pStyle w:val="ListParagraph"/>
        <w:ind w:left="1080"/>
      </w:pPr>
      <w:r>
        <w:t>The collection is targeted to the solicitation of opinions from respondents.</w:t>
      </w:r>
    </w:p>
    <w:p w:rsidR="000107B2" w:rsidP="002B105C" w14:paraId="04759B2D" w14:textId="77777777">
      <w:pPr>
        <w:pStyle w:val="ListParagraph"/>
        <w:spacing w:after="0" w:line="240" w:lineRule="auto"/>
        <w:ind w:left="1080"/>
        <w:jc w:val="both"/>
        <w:rPr>
          <w:rFonts w:asciiTheme="minorHAnsi" w:hAnsiTheme="minorHAnsi"/>
          <w:b/>
          <w:color w:val="000000"/>
        </w:rPr>
      </w:pPr>
    </w:p>
    <w:p w:rsidR="002B105C" w:rsidRPr="00700AAF" w:rsidP="002B105C" w14:paraId="0C863952" w14:textId="63FD38B6">
      <w:pPr>
        <w:pStyle w:val="ListParagraph"/>
        <w:spacing w:after="0" w:line="240" w:lineRule="auto"/>
        <w:ind w:left="1080"/>
        <w:jc w:val="both"/>
        <w:rPr>
          <w:rFonts w:asciiTheme="minorHAnsi" w:hAnsiTheme="minorHAnsi"/>
        </w:rPr>
      </w:pPr>
      <w:r w:rsidRPr="00700AAF">
        <w:rPr>
          <w:rFonts w:asciiTheme="minorHAnsi" w:hAnsiTheme="minorHAnsi"/>
          <w:b/>
          <w:color w:val="000000"/>
        </w:rPr>
        <w:t>COVID-19 Procedures: </w:t>
      </w:r>
    </w:p>
    <w:p w:rsidR="002B105C" w:rsidRPr="00700AAF" w:rsidP="002B105C" w14:paraId="1451C8E5" w14:textId="77777777">
      <w:pPr>
        <w:pStyle w:val="ListParagraph"/>
        <w:spacing w:after="0" w:line="240" w:lineRule="auto"/>
        <w:ind w:left="1080"/>
        <w:rPr>
          <w:rFonts w:asciiTheme="minorHAnsi" w:hAnsiTheme="minorHAnsi"/>
        </w:rPr>
      </w:pPr>
    </w:p>
    <w:p w:rsidR="002B105C" w:rsidRPr="00700AAF" w:rsidP="002B105C" w14:paraId="2094C552" w14:textId="77777777">
      <w:pPr>
        <w:pStyle w:val="ListParagraph"/>
        <w:spacing w:after="0" w:line="240" w:lineRule="auto"/>
        <w:ind w:left="1080"/>
        <w:jc w:val="both"/>
        <w:rPr>
          <w:rFonts w:asciiTheme="minorHAnsi" w:hAnsiTheme="minorHAnsi"/>
        </w:rPr>
      </w:pPr>
      <w:r w:rsidRPr="00700AAF">
        <w:rPr>
          <w:rFonts w:asciiTheme="minorHAnsi" w:hAnsiTheme="minorHAnsi"/>
          <w:color w:val="000000"/>
        </w:rPr>
        <w:t xml:space="preserve">EurekaFacts, LLC has safety protocols in place which aim to protect the safety of their employees, participants, and their families. EurekaFacts protocol follows CDC guidance for COVID-19.  Safety strategies used to protect EurekaFacts staff working in the office include use of hand sanitizer, wearing masks, and socially distancing when appropriate. </w:t>
      </w:r>
      <w:r w:rsidRPr="00700AAF">
        <w:rPr>
          <w:rFonts w:asciiTheme="minorHAnsi" w:hAnsiTheme="minorHAnsi"/>
        </w:rPr>
        <w:t xml:space="preserve">The focus group </w:t>
      </w:r>
      <w:r w:rsidRPr="00700AAF">
        <w:rPr>
          <w:rFonts w:asciiTheme="minorHAnsi" w:hAnsiTheme="minorHAnsi"/>
          <w:color w:val="000000"/>
        </w:rPr>
        <w:t xml:space="preserve">will be conducted virtually. </w:t>
      </w:r>
    </w:p>
    <w:p w:rsidR="00CA7085" w:rsidP="00AE1635" w14:paraId="086E8D06" w14:textId="77777777">
      <w:pPr>
        <w:pStyle w:val="Heading2"/>
        <w:spacing w:before="240" w:after="0"/>
      </w:pPr>
      <w:bookmarkStart w:id="7" w:name="_Toc123908522"/>
      <w:bookmarkEnd w:id="6"/>
      <w:r w:rsidRPr="00543656">
        <w:t>Justification For Sensit</w:t>
      </w:r>
      <w:r w:rsidRPr="00543656" w:rsidR="00092C62">
        <w:t>ive Questions</w:t>
      </w:r>
      <w:bookmarkEnd w:id="7"/>
      <w:r w:rsidRPr="00543656" w:rsidR="00456167">
        <w:t xml:space="preserve"> </w:t>
      </w:r>
    </w:p>
    <w:p w:rsidR="005905A7" w:rsidRPr="008958B3" w:rsidP="005905A7" w14:paraId="43F45E44" w14:textId="77777777">
      <w:pPr>
        <w:pStyle w:val="BodyText"/>
        <w:spacing w:after="240" w:line="259" w:lineRule="auto"/>
        <w:ind w:left="360"/>
      </w:pPr>
      <w:r>
        <w:t>The Portable Electric Heater Focus Groups will not pose any questions of a sensitive nature, such as sexual behavior or attitudes, religious beliefs, or matters commonly considered private.</w:t>
      </w:r>
    </w:p>
    <w:p w:rsidR="00C555F3" w:rsidRPr="00721E37" w:rsidP="00CB4C64" w14:paraId="0158B7CC" w14:textId="77777777">
      <w:pPr>
        <w:pStyle w:val="Heading2"/>
      </w:pPr>
      <w:bookmarkStart w:id="8" w:name="_Toc123908523"/>
      <w:r w:rsidRPr="00721E37">
        <w:t>Paying Respondents</w:t>
      </w:r>
      <w:bookmarkEnd w:id="8"/>
      <w:r w:rsidRPr="00721E37">
        <w:t xml:space="preserve"> </w:t>
      </w:r>
    </w:p>
    <w:p w:rsidR="005905A7" w:rsidP="002755A8" w14:paraId="1A8453FE" w14:textId="2E605BC0">
      <w:pPr>
        <w:pStyle w:val="BodyText"/>
        <w:spacing w:after="240" w:line="259" w:lineRule="auto"/>
        <w:ind w:left="360"/>
        <w:rPr>
          <w:rStyle w:val="normaltextrun"/>
          <w:rFonts w:cs="Calibri"/>
          <w:color w:val="000000"/>
          <w:shd w:val="clear" w:color="auto" w:fill="FFFFFF"/>
        </w:rPr>
      </w:pPr>
      <w:r>
        <w:rPr>
          <w:rStyle w:val="normaltextrun"/>
          <w:rFonts w:cs="Calibri"/>
          <w:color w:val="000000"/>
          <w:shd w:val="clear" w:color="auto" w:fill="FFFFFF"/>
        </w:rPr>
        <w:t xml:space="preserve">To help ensure participation and to thank participants for their time and effort, EurekaFacts will provide an e-gift card from a major credit card company. Each participant will receive a $100 virtual gift card via email. The incentive provided will encourage participation in the focus groups. </w:t>
      </w:r>
      <w:r w:rsidR="009161C8">
        <w:rPr>
          <w:rStyle w:val="normaltextrun"/>
          <w:rFonts w:cs="Calibri"/>
          <w:color w:val="000000"/>
          <w:shd w:val="clear" w:color="auto" w:fill="FFFFFF"/>
        </w:rPr>
        <w:t>In marketing and social science research, providing participant incentives is a well-established and accepted standard of practice</w:t>
      </w:r>
      <w:r w:rsidR="004D32F5">
        <w:rPr>
          <w:rStyle w:val="normaltextrun"/>
          <w:rFonts w:cs="Calibri"/>
          <w:color w:val="000000"/>
          <w:shd w:val="clear" w:color="auto" w:fill="FFFFFF"/>
        </w:rPr>
        <w:t xml:space="preserve">. </w:t>
      </w:r>
      <w:r>
        <w:rPr>
          <w:rStyle w:val="normaltextrun"/>
          <w:rFonts w:cs="Calibri"/>
          <w:color w:val="000000"/>
          <w:shd w:val="clear" w:color="auto" w:fill="FFFFFF"/>
        </w:rPr>
        <w:t>The incentive is paid for a number of reasons. Paying an incentive demonstrates that people’s time is valuable. The incentive can help offset the opportunity costs of participants that have competing obligations. Additionally, incentives help ensure that we are able to recruit respondents from a variety of backgrounds, specifically those in the targeted sub-populations, and that participants are available on the stipulated date and time of the virtual focus group.</w:t>
      </w:r>
    </w:p>
    <w:p w:rsidR="002755A8" w:rsidRPr="002755A8" w:rsidP="002755A8" w14:paraId="0A390CDA" w14:textId="5773761C">
      <w:pPr>
        <w:pStyle w:val="BodyText"/>
        <w:spacing w:after="240" w:line="259" w:lineRule="auto"/>
        <w:ind w:left="360"/>
        <w:rPr>
          <w:rStyle w:val="normaltextrun"/>
          <w:rFonts w:cs="Calibri"/>
          <w:color w:val="000000"/>
          <w:shd w:val="clear" w:color="auto" w:fill="FFFFFF"/>
        </w:rPr>
      </w:pPr>
      <w:r>
        <w:rPr>
          <w:rFonts w:cs="Calibri"/>
          <w:color w:val="000000"/>
          <w:shd w:val="clear" w:color="auto" w:fill="FFFFFF"/>
        </w:rPr>
        <w:t xml:space="preserve">Furthermore, </w:t>
      </w:r>
      <w:r w:rsidR="00702E19">
        <w:rPr>
          <w:rFonts w:cs="Calibri"/>
          <w:color w:val="000000"/>
          <w:shd w:val="clear" w:color="auto" w:fill="FFFFFF"/>
        </w:rPr>
        <w:t>a</w:t>
      </w:r>
      <w:r w:rsidR="00D37C1F">
        <w:rPr>
          <w:rFonts w:cs="Calibri"/>
          <w:color w:val="000000"/>
          <w:shd w:val="clear" w:color="auto" w:fill="FFFFFF"/>
        </w:rPr>
        <w:t xml:space="preserve"> review of </w:t>
      </w:r>
      <w:r w:rsidR="00074860">
        <w:rPr>
          <w:rFonts w:cs="Calibri"/>
          <w:color w:val="000000"/>
          <w:shd w:val="clear" w:color="auto" w:fill="FFFFFF"/>
        </w:rPr>
        <w:t>the literature reveals an</w:t>
      </w:r>
      <w:r w:rsidR="00D37C1F">
        <w:rPr>
          <w:rFonts w:cs="Calibri"/>
          <w:color w:val="000000"/>
          <w:shd w:val="clear" w:color="auto" w:fill="FFFFFF"/>
        </w:rPr>
        <w:t xml:space="preserve"> incentive rate </w:t>
      </w:r>
      <w:r w:rsidR="00074860">
        <w:rPr>
          <w:rFonts w:cs="Calibri"/>
          <w:color w:val="000000"/>
          <w:shd w:val="clear" w:color="auto" w:fill="FFFFFF"/>
        </w:rPr>
        <w:t>of</w:t>
      </w:r>
      <w:r w:rsidR="00D37C1F">
        <w:rPr>
          <w:rFonts w:cs="Calibri"/>
          <w:color w:val="000000"/>
          <w:shd w:val="clear" w:color="auto" w:fill="FFFFFF"/>
        </w:rPr>
        <w:t xml:space="preserve"> </w:t>
      </w:r>
      <w:r w:rsidR="001C7D27">
        <w:rPr>
          <w:rFonts w:cs="Calibri"/>
          <w:color w:val="000000"/>
          <w:shd w:val="clear" w:color="auto" w:fill="FFFFFF"/>
        </w:rPr>
        <w:t>$50 for a 30-minute interview</w:t>
      </w:r>
      <w:r w:rsidR="00E87E99">
        <w:rPr>
          <w:rFonts w:cs="Calibri"/>
          <w:color w:val="000000"/>
          <w:shd w:val="clear" w:color="auto" w:fill="FFFFFF"/>
        </w:rPr>
        <w:t>,</w:t>
      </w:r>
      <w:r>
        <w:rPr>
          <w:rStyle w:val="FootnoteReference"/>
          <w:rFonts w:cs="Calibri"/>
          <w:color w:val="000000"/>
          <w:shd w:val="clear" w:color="auto" w:fill="FFFFFF"/>
        </w:rPr>
        <w:footnoteReference w:id="10"/>
      </w:r>
      <w:r w:rsidR="00A94331">
        <w:rPr>
          <w:rFonts w:cs="Calibri"/>
          <w:color w:val="000000"/>
          <w:shd w:val="clear" w:color="auto" w:fill="FFFFFF"/>
        </w:rPr>
        <w:t xml:space="preserve"> </w:t>
      </w:r>
      <w:r w:rsidR="00A456D0">
        <w:rPr>
          <w:rFonts w:cs="Calibri"/>
          <w:color w:val="000000"/>
          <w:shd w:val="clear" w:color="auto" w:fill="FFFFFF"/>
        </w:rPr>
        <w:t xml:space="preserve">a </w:t>
      </w:r>
      <w:r w:rsidR="00A94331">
        <w:rPr>
          <w:rFonts w:cs="Calibri"/>
          <w:color w:val="000000"/>
          <w:shd w:val="clear" w:color="auto" w:fill="FFFFFF"/>
        </w:rPr>
        <w:t>range from $50</w:t>
      </w:r>
      <w:r w:rsidR="00E87E99">
        <w:rPr>
          <w:rFonts w:cs="Calibri"/>
          <w:color w:val="000000"/>
          <w:shd w:val="clear" w:color="auto" w:fill="FFFFFF"/>
        </w:rPr>
        <w:t xml:space="preserve"> to several hundred dollars for focus groups,</w:t>
      </w:r>
      <w:r>
        <w:rPr>
          <w:rStyle w:val="FootnoteReference"/>
          <w:rFonts w:cs="Calibri"/>
          <w:color w:val="000000"/>
          <w:shd w:val="clear" w:color="auto" w:fill="FFFFFF"/>
        </w:rPr>
        <w:footnoteReference w:id="11"/>
      </w:r>
      <w:r w:rsidR="00BD3584">
        <w:rPr>
          <w:rFonts w:cs="Calibri"/>
          <w:color w:val="000000"/>
          <w:shd w:val="clear" w:color="auto" w:fill="FFFFFF"/>
        </w:rPr>
        <w:t xml:space="preserve"> and a rate of $75 for </w:t>
      </w:r>
      <w:r w:rsidR="00054FA9">
        <w:rPr>
          <w:rFonts w:cs="Calibri"/>
          <w:color w:val="000000"/>
          <w:shd w:val="clear" w:color="auto" w:fill="FFFFFF"/>
        </w:rPr>
        <w:t>a</w:t>
      </w:r>
      <w:r w:rsidR="00FC732E">
        <w:rPr>
          <w:rFonts w:cs="Calibri"/>
          <w:color w:val="000000"/>
          <w:shd w:val="clear" w:color="auto" w:fill="FFFFFF"/>
        </w:rPr>
        <w:t xml:space="preserve"> 90 minute focus group with general consumers.</w:t>
      </w:r>
      <w:r>
        <w:rPr>
          <w:rStyle w:val="FootnoteReference"/>
          <w:rFonts w:cs="Calibri"/>
          <w:color w:val="000000"/>
          <w:shd w:val="clear" w:color="auto" w:fill="FFFFFF"/>
        </w:rPr>
        <w:footnoteReference w:id="12"/>
      </w:r>
      <w:r w:rsidR="00FC732E">
        <w:rPr>
          <w:rFonts w:cs="Calibri"/>
          <w:color w:val="000000"/>
          <w:shd w:val="clear" w:color="auto" w:fill="FFFFFF"/>
        </w:rPr>
        <w:t xml:space="preserve"> </w:t>
      </w:r>
      <w:r w:rsidR="00367F55">
        <w:rPr>
          <w:rFonts w:cs="Calibri"/>
          <w:color w:val="000000"/>
          <w:shd w:val="clear" w:color="auto" w:fill="FFFFFF"/>
        </w:rPr>
        <w:t xml:space="preserve">Another source cites </w:t>
      </w:r>
      <w:r w:rsidR="00E250E9">
        <w:rPr>
          <w:rFonts w:cs="Calibri"/>
          <w:color w:val="000000"/>
          <w:shd w:val="clear" w:color="auto" w:fill="FFFFFF"/>
        </w:rPr>
        <w:t>an</w:t>
      </w:r>
      <w:r w:rsidR="00F31307">
        <w:rPr>
          <w:rFonts w:cs="Calibri"/>
          <w:color w:val="000000"/>
          <w:shd w:val="clear" w:color="auto" w:fill="FFFFFF"/>
        </w:rPr>
        <w:t xml:space="preserve"> average</w:t>
      </w:r>
      <w:r w:rsidR="00E250E9">
        <w:rPr>
          <w:rFonts w:cs="Calibri"/>
          <w:color w:val="000000"/>
          <w:shd w:val="clear" w:color="auto" w:fill="FFFFFF"/>
        </w:rPr>
        <w:t xml:space="preserve"> </w:t>
      </w:r>
      <w:r w:rsidR="00367F55">
        <w:rPr>
          <w:rFonts w:cs="Calibri"/>
          <w:color w:val="000000"/>
          <w:shd w:val="clear" w:color="auto" w:fill="FFFFFF"/>
        </w:rPr>
        <w:t>incentive rate</w:t>
      </w:r>
      <w:r w:rsidR="00E250E9">
        <w:rPr>
          <w:rFonts w:cs="Calibri"/>
          <w:color w:val="000000"/>
          <w:shd w:val="clear" w:color="auto" w:fill="FFFFFF"/>
        </w:rPr>
        <w:t xml:space="preserve"> </w:t>
      </w:r>
      <w:r w:rsidR="00F31307">
        <w:rPr>
          <w:rFonts w:cs="Calibri"/>
          <w:color w:val="000000"/>
          <w:shd w:val="clear" w:color="auto" w:fill="FFFFFF"/>
        </w:rPr>
        <w:t xml:space="preserve">of about </w:t>
      </w:r>
      <w:r w:rsidR="00E250E9">
        <w:rPr>
          <w:rFonts w:cs="Calibri"/>
          <w:color w:val="000000"/>
          <w:shd w:val="clear" w:color="auto" w:fill="FFFFFF"/>
        </w:rPr>
        <w:t>$80</w:t>
      </w:r>
      <w:r w:rsidR="00F31307">
        <w:rPr>
          <w:rFonts w:cs="Calibri"/>
          <w:color w:val="000000"/>
          <w:shd w:val="clear" w:color="auto" w:fill="FFFFFF"/>
        </w:rPr>
        <w:t xml:space="preserve"> for focus groups with general consumers.</w:t>
      </w:r>
      <w:r>
        <w:rPr>
          <w:rStyle w:val="FootnoteReference"/>
          <w:rFonts w:cs="Calibri"/>
          <w:color w:val="000000"/>
          <w:shd w:val="clear" w:color="auto" w:fill="FFFFFF"/>
        </w:rPr>
        <w:footnoteReference w:id="13"/>
      </w:r>
      <w:r w:rsidRPr="00D63683" w:rsidR="0030576A">
        <w:rPr>
          <w:rFonts w:cs="Calibri"/>
          <w:color w:val="000000"/>
          <w:shd w:val="clear" w:color="auto" w:fill="FFFFFF"/>
          <w:vertAlign w:val="superscript"/>
        </w:rPr>
        <w:t>,</w:t>
      </w:r>
      <w:r>
        <w:rPr>
          <w:rStyle w:val="FootnoteReference"/>
          <w:rFonts w:cs="Calibri"/>
          <w:color w:val="000000"/>
          <w:shd w:val="clear" w:color="auto" w:fill="FFFFFF"/>
        </w:rPr>
        <w:footnoteReference w:id="14"/>
      </w:r>
      <w:r w:rsidR="00E250E9">
        <w:rPr>
          <w:rFonts w:cs="Calibri"/>
          <w:color w:val="000000"/>
          <w:shd w:val="clear" w:color="auto" w:fill="FFFFFF"/>
        </w:rPr>
        <w:t xml:space="preserve"> </w:t>
      </w:r>
      <w:r w:rsidR="00536E1E">
        <w:rPr>
          <w:rFonts w:cs="Calibri"/>
          <w:color w:val="000000"/>
          <w:shd w:val="clear" w:color="auto" w:fill="FFFFFF"/>
        </w:rPr>
        <w:t>The sample needed for the current project is considered a “hard to reach” population</w:t>
      </w:r>
      <w:r w:rsidR="005D726F">
        <w:rPr>
          <w:rFonts w:cs="Calibri"/>
          <w:color w:val="000000"/>
          <w:shd w:val="clear" w:color="auto" w:fill="FFFFFF"/>
        </w:rPr>
        <w:t>;</w:t>
      </w:r>
      <w:r w:rsidR="00536E1E">
        <w:rPr>
          <w:rFonts w:cs="Calibri"/>
          <w:color w:val="000000"/>
          <w:shd w:val="clear" w:color="auto" w:fill="FFFFFF"/>
        </w:rPr>
        <w:t xml:space="preserve"> therefore, </w:t>
      </w:r>
      <w:r w:rsidR="003A427F">
        <w:rPr>
          <w:rFonts w:cs="Calibri"/>
          <w:color w:val="000000"/>
          <w:shd w:val="clear" w:color="auto" w:fill="FFFFFF"/>
        </w:rPr>
        <w:t>providing</w:t>
      </w:r>
      <w:r w:rsidR="005D726F">
        <w:rPr>
          <w:rFonts w:cs="Calibri"/>
          <w:color w:val="000000"/>
          <w:shd w:val="clear" w:color="auto" w:fill="FFFFFF"/>
        </w:rPr>
        <w:t xml:space="preserve"> </w:t>
      </w:r>
      <w:r w:rsidR="00220EEF">
        <w:rPr>
          <w:rFonts w:cs="Calibri"/>
          <w:color w:val="000000"/>
          <w:shd w:val="clear" w:color="auto" w:fill="FFFFFF"/>
        </w:rPr>
        <w:t>the slightly</w:t>
      </w:r>
      <w:r w:rsidR="005D726F">
        <w:rPr>
          <w:rFonts w:cs="Calibri"/>
          <w:color w:val="000000"/>
          <w:shd w:val="clear" w:color="auto" w:fill="FFFFFF"/>
        </w:rPr>
        <w:t xml:space="preserve"> higher rate</w:t>
      </w:r>
      <w:r w:rsidR="00B43008">
        <w:rPr>
          <w:rFonts w:cs="Calibri"/>
          <w:color w:val="000000"/>
          <w:shd w:val="clear" w:color="auto" w:fill="FFFFFF"/>
        </w:rPr>
        <w:t xml:space="preserve"> of $100 for </w:t>
      </w:r>
      <w:r w:rsidR="006351DF">
        <w:rPr>
          <w:rFonts w:cs="Calibri"/>
          <w:color w:val="000000"/>
          <w:shd w:val="clear" w:color="auto" w:fill="FFFFFF"/>
        </w:rPr>
        <w:t>a 90 minute session</w:t>
      </w:r>
      <w:r w:rsidR="00460596">
        <w:rPr>
          <w:rFonts w:cs="Calibri"/>
          <w:color w:val="000000"/>
          <w:shd w:val="clear" w:color="auto" w:fill="FFFFFF"/>
        </w:rPr>
        <w:t xml:space="preserve"> i</w:t>
      </w:r>
      <w:r w:rsidR="00EC1EFE">
        <w:rPr>
          <w:rFonts w:cs="Calibri"/>
          <w:color w:val="000000"/>
          <w:shd w:val="clear" w:color="auto" w:fill="FFFFFF"/>
        </w:rPr>
        <w:t>s necessary</w:t>
      </w:r>
      <w:r w:rsidR="005D726F">
        <w:rPr>
          <w:rFonts w:cs="Calibri"/>
          <w:color w:val="000000"/>
          <w:shd w:val="clear" w:color="auto" w:fill="FFFFFF"/>
        </w:rPr>
        <w:t xml:space="preserve"> to</w:t>
      </w:r>
      <w:r w:rsidR="002F5DB6">
        <w:rPr>
          <w:rFonts w:cs="Calibri"/>
          <w:color w:val="000000"/>
          <w:shd w:val="clear" w:color="auto" w:fill="FFFFFF"/>
        </w:rPr>
        <w:t xml:space="preserve"> ensure</w:t>
      </w:r>
      <w:r w:rsidR="00CA6D90">
        <w:rPr>
          <w:rFonts w:cs="Calibri"/>
          <w:color w:val="000000"/>
          <w:shd w:val="clear" w:color="auto" w:fill="FFFFFF"/>
        </w:rPr>
        <w:t xml:space="preserve"> response</w:t>
      </w:r>
      <w:r w:rsidR="00ED6FDB">
        <w:rPr>
          <w:rFonts w:cs="Calibri"/>
          <w:color w:val="000000"/>
          <w:shd w:val="clear" w:color="auto" w:fill="FFFFFF"/>
        </w:rPr>
        <w:t xml:space="preserve"> </w:t>
      </w:r>
      <w:r w:rsidR="00E819AA">
        <w:rPr>
          <w:rFonts w:cs="Calibri"/>
          <w:color w:val="000000"/>
          <w:shd w:val="clear" w:color="auto" w:fill="FFFFFF"/>
        </w:rPr>
        <w:t>of</w:t>
      </w:r>
      <w:r w:rsidR="00FE18D4">
        <w:rPr>
          <w:rFonts w:cs="Calibri"/>
          <w:color w:val="000000"/>
          <w:shd w:val="clear" w:color="auto" w:fill="FFFFFF"/>
        </w:rPr>
        <w:t xml:space="preserve"> enough</w:t>
      </w:r>
      <w:r w:rsidR="002F5DB6">
        <w:rPr>
          <w:rFonts w:cs="Calibri"/>
          <w:color w:val="000000"/>
          <w:shd w:val="clear" w:color="auto" w:fill="FFFFFF"/>
        </w:rPr>
        <w:t xml:space="preserve"> </w:t>
      </w:r>
      <w:r w:rsidR="00ED6FDB">
        <w:rPr>
          <w:rFonts w:cs="Calibri"/>
          <w:color w:val="000000"/>
          <w:shd w:val="clear" w:color="auto" w:fill="FFFFFF"/>
        </w:rPr>
        <w:t xml:space="preserve">qualified </w:t>
      </w:r>
      <w:r w:rsidR="004500F2">
        <w:rPr>
          <w:rFonts w:cs="Calibri"/>
          <w:color w:val="000000"/>
          <w:shd w:val="clear" w:color="auto" w:fill="FFFFFF"/>
        </w:rPr>
        <w:t>participa</w:t>
      </w:r>
      <w:r w:rsidR="00ED6FDB">
        <w:rPr>
          <w:rFonts w:cs="Calibri"/>
          <w:color w:val="000000"/>
          <w:shd w:val="clear" w:color="auto" w:fill="FFFFFF"/>
        </w:rPr>
        <w:t xml:space="preserve">nts to achieve the numbers required </w:t>
      </w:r>
      <w:r w:rsidR="00BC33BA">
        <w:rPr>
          <w:rFonts w:cs="Calibri"/>
          <w:color w:val="000000"/>
          <w:shd w:val="clear" w:color="auto" w:fill="FFFFFF"/>
        </w:rPr>
        <w:t>by</w:t>
      </w:r>
      <w:r w:rsidR="00ED6FDB">
        <w:rPr>
          <w:rFonts w:cs="Calibri"/>
          <w:color w:val="000000"/>
          <w:shd w:val="clear" w:color="auto" w:fill="FFFFFF"/>
        </w:rPr>
        <w:t xml:space="preserve"> the contract.</w:t>
      </w:r>
    </w:p>
    <w:p w:rsidR="00CA2FAD" w:rsidP="005905A7" w14:paraId="34CB56EB" w14:textId="0BEA5526">
      <w:pPr>
        <w:pStyle w:val="BodyText"/>
        <w:spacing w:after="240" w:line="259" w:lineRule="auto"/>
        <w:ind w:left="360"/>
        <w:rPr>
          <w:rStyle w:val="normaltextrun"/>
          <w:rFonts w:cs="Calibri"/>
          <w:color w:val="000000"/>
          <w:shd w:val="clear" w:color="auto" w:fill="FFFFFF"/>
        </w:rPr>
      </w:pPr>
      <w:r>
        <w:rPr>
          <w:rStyle w:val="normaltextrun"/>
          <w:rFonts w:cs="Calibri"/>
          <w:color w:val="000000"/>
          <w:shd w:val="clear" w:color="auto" w:fill="FFFFFF"/>
        </w:rPr>
        <w:t>The e-gift card will be sent to the email address of the respondent from Virtual Incentives (www.virtualincentives.com/products/global-egiftcards/) after their participation in the focus group.</w:t>
      </w:r>
    </w:p>
    <w:p w:rsidR="0049260A" w:rsidRPr="00E82BBA" w:rsidP="00CB4C64" w14:paraId="46EF0C56" w14:textId="77777777">
      <w:pPr>
        <w:pStyle w:val="Heading2"/>
      </w:pPr>
      <w:bookmarkStart w:id="9" w:name="_Toc123908524"/>
      <w:r w:rsidRPr="00E82BBA">
        <w:t xml:space="preserve">Assurance </w:t>
      </w:r>
      <w:r w:rsidRPr="00E82BBA" w:rsidR="00BB2331">
        <w:t>of Confidentiality</w:t>
      </w:r>
      <w:bookmarkEnd w:id="9"/>
      <w:r w:rsidRPr="00E82BBA" w:rsidR="00BB2331">
        <w:t xml:space="preserve"> </w:t>
      </w:r>
      <w:r w:rsidRPr="00E82BBA" w:rsidR="00456167">
        <w:t xml:space="preserve"> </w:t>
      </w:r>
    </w:p>
    <w:p w:rsidR="005905A7" w:rsidRPr="00E82BBA" w:rsidP="005905A7" w14:paraId="6F6C7E5A" w14:textId="77777777">
      <w:pPr>
        <w:pStyle w:val="Body"/>
        <w:spacing w:before="0" w:after="240" w:line="259" w:lineRule="auto"/>
        <w:ind w:left="360" w:firstLine="0"/>
        <w:rPr>
          <w:rFonts w:asciiTheme="minorHAnsi" w:hAnsiTheme="minorHAnsi" w:cstheme="minorHAnsi"/>
          <w:noProof/>
        </w:rPr>
      </w:pPr>
      <w:r w:rsidRPr="00E82BBA">
        <w:rPr>
          <w:rFonts w:asciiTheme="minorHAnsi" w:hAnsiTheme="minorHAnsi" w:cstheme="minorHAnsi"/>
          <w:noProof/>
        </w:rPr>
        <w:t>Focus group respondents will be informed that their participation is voluntary and that</w:t>
      </w:r>
      <w:r>
        <w:rPr>
          <w:rFonts w:asciiTheme="minorHAnsi" w:hAnsiTheme="minorHAnsi" w:cstheme="minorHAnsi"/>
          <w:noProof/>
        </w:rPr>
        <w:t xml:space="preserve"> none of the participants will be specfically identified to the CPSC by their full name.</w:t>
      </w:r>
    </w:p>
    <w:p w:rsidR="005905A7" w:rsidP="05ACF3B8" w14:paraId="30382A2C" w14:textId="4EB88460">
      <w:pPr>
        <w:pStyle w:val="Body"/>
        <w:spacing w:before="0" w:after="240" w:line="259" w:lineRule="auto"/>
        <w:ind w:left="360" w:firstLine="0"/>
        <w:rPr>
          <w:rFonts w:asciiTheme="minorHAnsi" w:hAnsiTheme="minorHAnsi"/>
          <w:noProof/>
        </w:rPr>
      </w:pPr>
      <w:r w:rsidRPr="05ACF3B8">
        <w:rPr>
          <w:rFonts w:asciiTheme="minorHAnsi" w:hAnsiTheme="minorHAnsi"/>
          <w:noProof/>
        </w:rPr>
        <w:t>All respondents will be assigned a unique identifier (ID), which will be created solely for data file management and used to keep all materials for each respondent together. Data collected will be deidentified (e.g., the respondent ID will not be linked to the respondent’s name). In both the confirmation emails and in the welcome screen to the focus groups, participants will be asked to sign in using only their first names. Prior to recording the session and if any of the participants signed in with their full names, the moderator and tech support will ensure that only the participants’ first names will be visible on the recording. To facilitate open conversations, individual</w:t>
      </w:r>
      <w:r w:rsidRPr="05ACF3B8" w:rsidR="11A8C02B">
        <w:rPr>
          <w:rFonts w:asciiTheme="minorHAnsi" w:hAnsiTheme="minorHAnsi"/>
          <w:noProof/>
        </w:rPr>
        <w:t>s</w:t>
      </w:r>
      <w:r w:rsidRPr="05ACF3B8">
        <w:rPr>
          <w:rFonts w:asciiTheme="minorHAnsi" w:hAnsiTheme="minorHAnsi"/>
          <w:noProof/>
        </w:rPr>
        <w:t xml:space="preserve">’ first names will be used during the session and therefore may be recorded on audio or video tapes.  </w:t>
      </w:r>
    </w:p>
    <w:p w:rsidR="005905A7" w:rsidP="005905A7" w14:paraId="75B6ADFA" w14:textId="77777777">
      <w:pPr>
        <w:pStyle w:val="Body"/>
        <w:spacing w:before="0" w:after="240" w:line="259" w:lineRule="auto"/>
        <w:ind w:left="360" w:firstLine="0"/>
        <w:rPr>
          <w:rFonts w:asciiTheme="minorHAnsi" w:hAnsiTheme="minorHAnsi" w:cstheme="minorHAnsi"/>
          <w:noProof/>
        </w:rPr>
      </w:pPr>
      <w:r>
        <w:rPr>
          <w:rFonts w:asciiTheme="minorHAnsi" w:hAnsiTheme="minorHAnsi" w:cstheme="minorHAnsi"/>
          <w:noProof/>
        </w:rPr>
        <w:t xml:space="preserve">Audio and video tapes will not be released to the public. All demographic information on focus group participants will be generalized in the final report to CPSC, so that it cannot be attributed to any specific individual. </w:t>
      </w:r>
    </w:p>
    <w:p w:rsidR="00CA2FAD" w:rsidP="005905A7" w14:paraId="63798D68" w14:textId="03FDC602">
      <w:pPr>
        <w:pStyle w:val="Body"/>
        <w:spacing w:before="0" w:after="240" w:line="259" w:lineRule="auto"/>
        <w:ind w:left="360" w:firstLine="0"/>
        <w:rPr>
          <w:rStyle w:val="normaltextrun"/>
          <w:rFonts w:ascii="Calibri" w:hAnsi="Calibri" w:eastAsiaTheme="majorEastAsia" w:cs="Calibri"/>
          <w:color w:val="000000"/>
          <w:shd w:val="clear" w:color="auto" w:fill="FFFFFF"/>
        </w:rPr>
      </w:pPr>
      <w:r>
        <w:rPr>
          <w:rStyle w:val="normaltextrun"/>
          <w:rFonts w:ascii="Calibri" w:hAnsi="Calibri" w:eastAsiaTheme="majorEastAsia" w:cs="Calibri"/>
          <w:color w:val="000000"/>
          <w:shd w:val="clear" w:color="auto" w:fill="FFFFFF"/>
        </w:rPr>
        <w:t xml:space="preserve">Prior to the online focus group session, participants will receive a digital </w:t>
      </w:r>
      <w:r>
        <w:rPr>
          <w:rStyle w:val="findhit"/>
          <w:rFonts w:ascii="Calibri" w:hAnsi="Calibri" w:cs="Calibri"/>
          <w:color w:val="000000"/>
        </w:rPr>
        <w:t>Consent Form</w:t>
      </w:r>
      <w:r>
        <w:rPr>
          <w:rStyle w:val="normaltextrun"/>
          <w:rFonts w:ascii="Calibri" w:hAnsi="Calibri" w:eastAsiaTheme="majorEastAsia" w:cs="Calibri"/>
          <w:color w:val="000000"/>
          <w:shd w:val="clear" w:color="auto" w:fill="FFFFFF"/>
        </w:rPr>
        <w:t xml:space="preserve">. Participants will be asked to read and digitally sign the </w:t>
      </w:r>
      <w:r>
        <w:rPr>
          <w:rStyle w:val="findhit"/>
          <w:rFonts w:ascii="Calibri" w:hAnsi="Calibri" w:cs="Calibri"/>
          <w:color w:val="000000"/>
        </w:rPr>
        <w:t>consent form</w:t>
      </w:r>
      <w:r>
        <w:rPr>
          <w:rStyle w:val="normaltextrun"/>
          <w:rFonts w:ascii="Calibri" w:hAnsi="Calibri" w:eastAsiaTheme="majorEastAsia" w:cs="Calibri"/>
          <w:color w:val="000000"/>
          <w:shd w:val="clear" w:color="auto" w:fill="FFFFFF"/>
        </w:rPr>
        <w:t xml:space="preserve">. Once they “submit” the form, EurekaFacts staff will automatically be notified and will document receipt. The </w:t>
      </w:r>
      <w:r>
        <w:rPr>
          <w:rStyle w:val="findhit"/>
          <w:rFonts w:ascii="Calibri" w:hAnsi="Calibri" w:cs="Calibri"/>
          <w:color w:val="000000"/>
        </w:rPr>
        <w:t>consent form</w:t>
      </w:r>
      <w:r>
        <w:rPr>
          <w:rStyle w:val="normaltextrun"/>
          <w:rFonts w:ascii="Calibri" w:hAnsi="Calibri" w:eastAsiaTheme="majorEastAsia" w:cs="Calibri"/>
          <w:color w:val="000000"/>
          <w:shd w:val="clear" w:color="auto" w:fill="FFFFFF"/>
        </w:rPr>
        <w:t xml:space="preserve"> outlines the general purpose of the study and the activities the study may require. The </w:t>
      </w:r>
      <w:r>
        <w:rPr>
          <w:rStyle w:val="findhit"/>
          <w:rFonts w:ascii="Calibri" w:hAnsi="Calibri" w:cs="Calibri"/>
          <w:color w:val="000000"/>
        </w:rPr>
        <w:t>consent form</w:t>
      </w:r>
      <w:r>
        <w:rPr>
          <w:rStyle w:val="normaltextrun"/>
          <w:rFonts w:ascii="Calibri" w:hAnsi="Calibri" w:eastAsiaTheme="majorEastAsia" w:cs="Calibri"/>
          <w:color w:val="000000"/>
          <w:shd w:val="clear" w:color="auto" w:fill="FFFFFF"/>
        </w:rPr>
        <w:t xml:space="preserve"> also informs participants that they will be recorded during the study and that their participation is voluntary.</w:t>
      </w:r>
    </w:p>
    <w:p w:rsidR="005905A7" w:rsidRPr="008C40B5" w:rsidP="00CA2FAD" w14:paraId="55034112" w14:textId="4FA561B1">
      <w:pPr>
        <w:pStyle w:val="Body"/>
        <w:spacing w:before="0" w:after="240" w:line="259" w:lineRule="auto"/>
        <w:ind w:left="360" w:firstLine="0"/>
        <w:rPr>
          <w:rFonts w:ascii="Calibri" w:hAnsi="Calibri" w:eastAsiaTheme="majorEastAsia" w:cs="Calibri"/>
          <w:color w:val="000000"/>
          <w:shd w:val="clear" w:color="auto" w:fill="FFFFFF"/>
        </w:rPr>
      </w:pPr>
      <w:r w:rsidRPr="0067422B">
        <w:rPr>
          <w:rFonts w:ascii="Calibri" w:hAnsi="Calibri" w:eastAsiaTheme="majorEastAsia" w:cs="Calibri"/>
          <w:color w:val="000000"/>
          <w:shd w:val="clear" w:color="auto" w:fill="FFFFFF"/>
        </w:rPr>
        <w:t>Any information collected from respondents</w:t>
      </w:r>
      <w:r>
        <w:rPr>
          <w:rFonts w:ascii="Calibri" w:hAnsi="Calibri" w:eastAsiaTheme="majorEastAsia" w:cs="Calibri"/>
          <w:color w:val="000000"/>
          <w:shd w:val="clear" w:color="auto" w:fill="FFFFFF"/>
        </w:rPr>
        <w:t>, as well as recordings,</w:t>
      </w:r>
      <w:r w:rsidRPr="0067422B">
        <w:rPr>
          <w:rFonts w:ascii="Calibri" w:hAnsi="Calibri" w:eastAsiaTheme="majorEastAsia" w:cs="Calibri"/>
          <w:color w:val="000000"/>
          <w:shd w:val="clear" w:color="auto" w:fill="FFFFFF"/>
        </w:rPr>
        <w:t xml:space="preserve"> will be destroyed within 60 days of the end of the study.</w:t>
      </w:r>
      <w:r>
        <w:rPr>
          <w:rStyle w:val="normaltextrun"/>
          <w:rFonts w:ascii="Calibri" w:hAnsi="Calibri" w:eastAsiaTheme="majorEastAsia" w:cs="Calibri"/>
          <w:color w:val="000000"/>
          <w:shd w:val="clear" w:color="auto" w:fill="FFFFFF"/>
        </w:rPr>
        <w:t xml:space="preserve">  </w:t>
      </w:r>
      <w:r>
        <w:rPr>
          <w:rFonts w:asciiTheme="minorHAnsi" w:hAnsiTheme="minorHAnsi" w:cstheme="minorHAnsi"/>
          <w:noProof/>
        </w:rPr>
        <w:t>All data collection and analysis will be performed in accordance with OMB standards and guidance, Privacy Act, and Protection of Human Subject requirements.</w:t>
      </w:r>
    </w:p>
    <w:p w:rsidR="00100317" w:rsidRPr="00CB4C64" w:rsidP="00CB4C64" w14:paraId="5E79678F" w14:textId="77777777">
      <w:pPr>
        <w:pStyle w:val="Heading2"/>
      </w:pPr>
      <w:bookmarkStart w:id="10" w:name="_Toc123908525"/>
      <w:r w:rsidRPr="00CB4C64">
        <w:t>Estimate of Hourly Burden</w:t>
      </w:r>
      <w:bookmarkEnd w:id="10"/>
      <w:r w:rsidRPr="00CB4C64">
        <w:t xml:space="preserve"> </w:t>
      </w:r>
    </w:p>
    <w:p w:rsidR="00456167" w:rsidP="00BF246A" w14:paraId="021B86F0" w14:textId="32E6109F">
      <w:pPr>
        <w:pStyle w:val="BodyText"/>
        <w:spacing w:after="120" w:line="259" w:lineRule="auto"/>
        <w:ind w:left="360"/>
        <w:rPr>
          <w:rFonts w:asciiTheme="minorHAnsi" w:hAnsiTheme="minorHAnsi" w:cstheme="minorHAnsi"/>
        </w:rPr>
      </w:pPr>
      <w:r w:rsidRPr="004F22E1">
        <w:rPr>
          <w:rFonts w:asciiTheme="minorHAnsi" w:hAnsiTheme="minorHAnsi" w:cstheme="minorHAnsi"/>
        </w:rPr>
        <w:t xml:space="preserve">The estimated burden for recruitment assumes attrition throughout the </w:t>
      </w:r>
      <w:r w:rsidRPr="004F22E1" w:rsidR="004376EE">
        <w:rPr>
          <w:rFonts w:asciiTheme="minorHAnsi" w:hAnsiTheme="minorHAnsi" w:cstheme="minorHAnsi"/>
        </w:rPr>
        <w:t xml:space="preserve">focus group </w:t>
      </w:r>
      <w:r w:rsidRPr="004F22E1">
        <w:rPr>
          <w:rFonts w:asciiTheme="minorHAnsi" w:hAnsiTheme="minorHAnsi" w:cstheme="minorHAnsi"/>
        </w:rPr>
        <w:t xml:space="preserve">process. Assumptions for approximate attrition rates for direct participant recruitment from initial contact to follow-up are </w:t>
      </w:r>
      <w:r w:rsidRPr="004F22E1" w:rsidR="00292AC7">
        <w:rPr>
          <w:rFonts w:asciiTheme="minorHAnsi" w:hAnsiTheme="minorHAnsi" w:cstheme="minorHAnsi"/>
        </w:rPr>
        <w:t>80</w:t>
      </w:r>
      <w:r w:rsidRPr="004F22E1">
        <w:rPr>
          <w:rFonts w:asciiTheme="minorHAnsi" w:hAnsiTheme="minorHAnsi" w:cstheme="minorHAnsi"/>
        </w:rPr>
        <w:t xml:space="preserve"> percent, and from follow-up to confirmation </w:t>
      </w:r>
      <w:r w:rsidRPr="004F22E1" w:rsidR="00CA30DD">
        <w:rPr>
          <w:rFonts w:asciiTheme="minorHAnsi" w:hAnsiTheme="minorHAnsi" w:cstheme="minorHAnsi"/>
        </w:rPr>
        <w:t>33</w:t>
      </w:r>
      <w:r w:rsidRPr="004F22E1">
        <w:rPr>
          <w:rFonts w:asciiTheme="minorHAnsi" w:hAnsiTheme="minorHAnsi" w:cstheme="minorHAnsi"/>
        </w:rPr>
        <w:t xml:space="preserve"> percent. All </w:t>
      </w:r>
      <w:r w:rsidRPr="004F22E1" w:rsidR="00EE5966">
        <w:rPr>
          <w:rFonts w:asciiTheme="minorHAnsi" w:hAnsiTheme="minorHAnsi" w:cstheme="minorHAnsi"/>
        </w:rPr>
        <w:t>focus groups</w:t>
      </w:r>
      <w:r w:rsidRPr="004F22E1">
        <w:rPr>
          <w:rFonts w:asciiTheme="minorHAnsi" w:hAnsiTheme="minorHAnsi" w:cstheme="minorHAnsi"/>
        </w:rPr>
        <w:t xml:space="preserve"> sessions will be scheduled for no more than 90 minutes.</w:t>
      </w:r>
      <w:r w:rsidRPr="00E82BBA">
        <w:rPr>
          <w:rFonts w:asciiTheme="minorHAnsi" w:hAnsiTheme="minorHAnsi" w:cstheme="minorHAnsi"/>
        </w:rPr>
        <w:t xml:space="preserve"> </w:t>
      </w:r>
    </w:p>
    <w:p w:rsidR="00DB0582" w:rsidRPr="004F22E1" w:rsidP="00EB611C" w14:paraId="1111F979" w14:textId="42825FC9">
      <w:pPr>
        <w:pStyle w:val="BodyText"/>
        <w:spacing w:after="120" w:line="259" w:lineRule="auto"/>
        <w:ind w:left="360"/>
        <w:rPr>
          <w:rStyle w:val="eop"/>
          <w:i/>
          <w:color w:val="000000"/>
          <w:sz w:val="18"/>
          <w:szCs w:val="18"/>
          <w:shd w:val="clear" w:color="auto" w:fill="FFFFFF"/>
        </w:rPr>
      </w:pPr>
      <w:r w:rsidRPr="00DE0292">
        <w:rPr>
          <w:rStyle w:val="normaltextrun"/>
          <w:i/>
          <w:color w:val="000000"/>
          <w:sz w:val="18"/>
          <w:szCs w:val="18"/>
          <w:shd w:val="clear" w:color="auto" w:fill="FFFFFF"/>
        </w:rPr>
        <w:t xml:space="preserve">Table </w:t>
      </w:r>
      <w:r w:rsidRPr="00DE0292" w:rsidR="00E402D6">
        <w:rPr>
          <w:rStyle w:val="normaltextrun"/>
          <w:i/>
          <w:color w:val="000000"/>
          <w:sz w:val="18"/>
          <w:szCs w:val="18"/>
          <w:shd w:val="clear" w:color="auto" w:fill="FFFFFF"/>
        </w:rPr>
        <w:t>4</w:t>
      </w:r>
      <w:r w:rsidRPr="00DE0292">
        <w:rPr>
          <w:rStyle w:val="normaltextrun"/>
          <w:i/>
          <w:color w:val="000000"/>
          <w:sz w:val="18"/>
          <w:szCs w:val="18"/>
          <w:shd w:val="clear" w:color="auto" w:fill="FFFFFF"/>
        </w:rPr>
        <w:t xml:space="preserve">. </w:t>
      </w:r>
      <w:r w:rsidRPr="00DE0292" w:rsidR="00166960">
        <w:rPr>
          <w:rStyle w:val="normaltextrun"/>
          <w:i/>
          <w:color w:val="000000"/>
          <w:sz w:val="18"/>
          <w:szCs w:val="18"/>
          <w:shd w:val="clear" w:color="auto" w:fill="FFFFFF"/>
        </w:rPr>
        <w:t xml:space="preserve">Estimate of Hourly </w:t>
      </w:r>
      <w:r w:rsidRPr="00DE0292">
        <w:rPr>
          <w:rStyle w:val="normaltextrun"/>
          <w:i/>
          <w:color w:val="000000"/>
          <w:sz w:val="18"/>
          <w:szCs w:val="18"/>
          <w:shd w:val="clear" w:color="auto" w:fill="FFFFFF"/>
        </w:rPr>
        <w:t xml:space="preserve">Burden Hours </w:t>
      </w:r>
      <w:r w:rsidRPr="00DE0292" w:rsidR="00166960">
        <w:rPr>
          <w:rStyle w:val="normaltextrun"/>
          <w:i/>
          <w:color w:val="000000"/>
          <w:sz w:val="18"/>
          <w:szCs w:val="18"/>
          <w:shd w:val="clear" w:color="auto" w:fill="FFFFFF"/>
        </w:rPr>
        <w:t xml:space="preserve">for the Focus Group Sessions </w:t>
      </w:r>
      <w:r w:rsidRPr="00DE0292">
        <w:rPr>
          <w:rStyle w:val="eop"/>
          <w:i/>
          <w:color w:val="000000"/>
          <w:sz w:val="18"/>
          <w:szCs w:val="18"/>
          <w:shd w:val="clear" w:color="auto" w:fill="FFFFFF"/>
        </w:rPr>
        <w:t> </w:t>
      </w:r>
    </w:p>
    <w:tbl>
      <w:tblPr>
        <w:tblW w:w="7920" w:type="dxa"/>
        <w:tblInd w:w="45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40"/>
        <w:gridCol w:w="1530"/>
        <w:gridCol w:w="1260"/>
        <w:gridCol w:w="1440"/>
        <w:gridCol w:w="1350"/>
        <w:gridCol w:w="900"/>
      </w:tblGrid>
      <w:tr w14:paraId="5BDF45C8" w14:textId="77777777" w:rsidTr="009740CD">
        <w:tblPrEx>
          <w:tblW w:w="7920" w:type="dxa"/>
          <w:tblInd w:w="45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20"/>
          <w:tblHeader/>
        </w:trPr>
        <w:tc>
          <w:tcPr>
            <w:tcW w:w="1440" w:type="dxa"/>
            <w:tcBorders>
              <w:top w:val="single" w:sz="6" w:space="0" w:color="999999"/>
              <w:left w:val="single" w:sz="6" w:space="0" w:color="999999"/>
              <w:bottom w:val="single" w:sz="12" w:space="0" w:color="666666"/>
              <w:right w:val="single" w:sz="6" w:space="0" w:color="999999"/>
            </w:tcBorders>
            <w:shd w:val="clear" w:color="auto" w:fill="8EAADB" w:themeFill="accent1" w:themeFillTint="99"/>
            <w:vAlign w:val="center"/>
          </w:tcPr>
          <w:p w:rsidR="00B867DC" w:rsidRPr="0036456A" w:rsidP="00EB611C" w14:paraId="045B9992" w14:textId="57813CB7">
            <w:pPr>
              <w:spacing w:after="0" w:line="240" w:lineRule="auto"/>
              <w:jc w:val="center"/>
              <w:textAlignment w:val="baseline"/>
              <w:rPr>
                <w:rFonts w:ascii="Times New Roman" w:hAnsi="Times New Roman"/>
                <w:b/>
                <w:sz w:val="20"/>
                <w:szCs w:val="20"/>
              </w:rPr>
            </w:pPr>
            <w:bookmarkStart w:id="11" w:name="_Hlk126739039"/>
            <w:r w:rsidRPr="0036456A">
              <w:rPr>
                <w:rFonts w:ascii="Times New Roman" w:hAnsi="Times New Roman"/>
                <w:b/>
                <w:sz w:val="20"/>
                <w:szCs w:val="20"/>
              </w:rPr>
              <w:t>Type of Respondent</w:t>
            </w:r>
          </w:p>
        </w:tc>
        <w:tc>
          <w:tcPr>
            <w:tcW w:w="1530" w:type="dxa"/>
            <w:tcBorders>
              <w:top w:val="single" w:sz="6" w:space="0" w:color="999999"/>
              <w:left w:val="single" w:sz="6" w:space="0" w:color="999999"/>
              <w:bottom w:val="single" w:sz="12" w:space="0" w:color="666666"/>
              <w:right w:val="single" w:sz="6" w:space="0" w:color="999999"/>
            </w:tcBorders>
            <w:shd w:val="clear" w:color="auto" w:fill="8EAADB" w:themeFill="accent1" w:themeFillTint="99"/>
            <w:vAlign w:val="center"/>
          </w:tcPr>
          <w:p w:rsidR="00B867DC" w:rsidRPr="0036456A" w:rsidP="00EB611C" w14:paraId="582B36B7" w14:textId="63CA56EF">
            <w:pPr>
              <w:spacing w:after="0" w:line="240" w:lineRule="auto"/>
              <w:jc w:val="center"/>
              <w:textAlignment w:val="baseline"/>
              <w:rPr>
                <w:rFonts w:ascii="Times New Roman" w:hAnsi="Times New Roman"/>
                <w:b/>
                <w:sz w:val="20"/>
                <w:szCs w:val="20"/>
              </w:rPr>
            </w:pPr>
            <w:r w:rsidRPr="0036456A">
              <w:rPr>
                <w:rFonts w:ascii="Times New Roman" w:hAnsi="Times New Roman"/>
                <w:b/>
                <w:sz w:val="20"/>
                <w:szCs w:val="20"/>
              </w:rPr>
              <w:t>Form Name</w:t>
            </w:r>
          </w:p>
        </w:tc>
        <w:tc>
          <w:tcPr>
            <w:tcW w:w="1260" w:type="dxa"/>
            <w:tcBorders>
              <w:top w:val="single" w:sz="6" w:space="0" w:color="999999"/>
              <w:left w:val="single" w:sz="6" w:space="0" w:color="999999"/>
              <w:bottom w:val="single" w:sz="12" w:space="0" w:color="666666"/>
              <w:right w:val="single" w:sz="6" w:space="0" w:color="999999"/>
            </w:tcBorders>
            <w:shd w:val="clear" w:color="auto" w:fill="8EAADB" w:themeFill="accent1" w:themeFillTint="99"/>
            <w:vAlign w:val="center"/>
            <w:hideMark/>
          </w:tcPr>
          <w:p w:rsidR="00B867DC" w:rsidRPr="0036456A" w:rsidP="00EB611C" w14:paraId="74D5366C" w14:textId="605C156E">
            <w:pPr>
              <w:spacing w:after="0" w:line="240" w:lineRule="auto"/>
              <w:jc w:val="center"/>
              <w:textAlignment w:val="baseline"/>
              <w:rPr>
                <w:rFonts w:ascii="Times New Roman" w:hAnsi="Times New Roman"/>
                <w:sz w:val="20"/>
                <w:szCs w:val="20"/>
              </w:rPr>
            </w:pPr>
            <w:r w:rsidRPr="0036456A">
              <w:rPr>
                <w:rFonts w:ascii="Times New Roman" w:hAnsi="Times New Roman"/>
                <w:b/>
                <w:sz w:val="20"/>
                <w:szCs w:val="20"/>
              </w:rPr>
              <w:t>Number of Respondents</w:t>
            </w:r>
          </w:p>
        </w:tc>
        <w:tc>
          <w:tcPr>
            <w:tcW w:w="1440" w:type="dxa"/>
            <w:tcBorders>
              <w:top w:val="single" w:sz="6" w:space="0" w:color="999999"/>
              <w:left w:val="single" w:sz="6" w:space="0" w:color="999999"/>
              <w:bottom w:val="single" w:sz="12" w:space="0" w:color="666666"/>
              <w:right w:val="single" w:sz="6" w:space="0" w:color="999999"/>
            </w:tcBorders>
            <w:shd w:val="clear" w:color="auto" w:fill="8EAADB" w:themeFill="accent1" w:themeFillTint="99"/>
            <w:vAlign w:val="center"/>
          </w:tcPr>
          <w:p w:rsidR="00B867DC" w:rsidRPr="0036456A" w:rsidP="00EB611C" w14:paraId="38672E77" w14:textId="77A02CB0">
            <w:pPr>
              <w:spacing w:after="0" w:line="240" w:lineRule="auto"/>
              <w:ind w:hanging="75"/>
              <w:jc w:val="center"/>
              <w:textAlignment w:val="baseline"/>
              <w:rPr>
                <w:rFonts w:ascii="Times New Roman" w:hAnsi="Times New Roman"/>
                <w:sz w:val="20"/>
                <w:szCs w:val="20"/>
              </w:rPr>
            </w:pPr>
            <w:r w:rsidRPr="0036456A">
              <w:rPr>
                <w:rFonts w:ascii="Times New Roman" w:hAnsi="Times New Roman"/>
                <w:b/>
                <w:sz w:val="20"/>
                <w:szCs w:val="20"/>
              </w:rPr>
              <w:t>Number of Responses</w:t>
            </w:r>
          </w:p>
        </w:tc>
        <w:tc>
          <w:tcPr>
            <w:tcW w:w="1350" w:type="dxa"/>
            <w:tcBorders>
              <w:top w:val="single" w:sz="6" w:space="0" w:color="999999"/>
              <w:left w:val="single" w:sz="6" w:space="0" w:color="999999"/>
              <w:bottom w:val="single" w:sz="12" w:space="0" w:color="666666"/>
              <w:right w:val="single" w:sz="6" w:space="0" w:color="999999"/>
            </w:tcBorders>
            <w:shd w:val="clear" w:color="auto" w:fill="8EAADB" w:themeFill="accent1" w:themeFillTint="99"/>
            <w:vAlign w:val="center"/>
          </w:tcPr>
          <w:p w:rsidR="00B867DC" w:rsidRPr="0036456A" w:rsidP="00AC7D3B" w14:paraId="696E6B49" w14:textId="517447AF">
            <w:pPr>
              <w:spacing w:after="0" w:line="240" w:lineRule="auto"/>
              <w:jc w:val="center"/>
              <w:textAlignment w:val="baseline"/>
              <w:rPr>
                <w:rFonts w:ascii="Times New Roman" w:hAnsi="Times New Roman"/>
                <w:sz w:val="20"/>
                <w:szCs w:val="20"/>
              </w:rPr>
            </w:pPr>
            <w:r w:rsidRPr="0036456A">
              <w:rPr>
                <w:rFonts w:ascii="Times New Roman" w:hAnsi="Times New Roman"/>
                <w:b/>
                <w:sz w:val="20"/>
                <w:szCs w:val="20"/>
              </w:rPr>
              <w:t>Hours per Respondent</w:t>
            </w:r>
          </w:p>
        </w:tc>
        <w:tc>
          <w:tcPr>
            <w:tcW w:w="900" w:type="dxa"/>
            <w:tcBorders>
              <w:top w:val="single" w:sz="6" w:space="0" w:color="999999"/>
              <w:left w:val="single" w:sz="6" w:space="0" w:color="999999"/>
              <w:bottom w:val="single" w:sz="12" w:space="0" w:color="666666"/>
              <w:right w:val="single" w:sz="6" w:space="0" w:color="999999"/>
            </w:tcBorders>
            <w:shd w:val="clear" w:color="auto" w:fill="8EAADB" w:themeFill="accent1" w:themeFillTint="99"/>
            <w:vAlign w:val="center"/>
          </w:tcPr>
          <w:p w:rsidR="00B867DC" w:rsidRPr="0036456A" w:rsidP="00AC7D3B" w14:paraId="4C16CA7A" w14:textId="0D862714">
            <w:pPr>
              <w:spacing w:after="0" w:line="240" w:lineRule="auto"/>
              <w:ind w:firstLine="45"/>
              <w:jc w:val="center"/>
              <w:textAlignment w:val="baseline"/>
              <w:rPr>
                <w:rFonts w:ascii="Times New Roman" w:hAnsi="Times New Roman"/>
                <w:sz w:val="20"/>
                <w:szCs w:val="20"/>
              </w:rPr>
            </w:pPr>
            <w:r w:rsidRPr="0036456A">
              <w:rPr>
                <w:rFonts w:ascii="Times New Roman" w:hAnsi="Times New Roman"/>
                <w:b/>
                <w:sz w:val="20"/>
                <w:szCs w:val="20"/>
              </w:rPr>
              <w:t>Total hours</w:t>
            </w:r>
          </w:p>
        </w:tc>
      </w:tr>
      <w:bookmarkEnd w:id="11"/>
      <w:tr w14:paraId="69771A9E" w14:textId="77777777" w:rsidTr="001D4C98">
        <w:tblPrEx>
          <w:tblW w:w="7920" w:type="dxa"/>
          <w:tblInd w:w="458" w:type="dxa"/>
          <w:tblLayout w:type="fixed"/>
          <w:tblCellMar>
            <w:left w:w="0" w:type="dxa"/>
            <w:right w:w="0" w:type="dxa"/>
          </w:tblCellMar>
          <w:tblLook w:val="04A0"/>
        </w:tblPrEx>
        <w:trPr>
          <w:trHeight w:val="20"/>
        </w:trPr>
        <w:tc>
          <w:tcPr>
            <w:tcW w:w="1440" w:type="dxa"/>
            <w:vMerge w:val="restart"/>
            <w:tcBorders>
              <w:top w:val="single" w:sz="12" w:space="0" w:color="666666"/>
              <w:left w:val="single" w:sz="6" w:space="0" w:color="999999"/>
              <w:bottom w:val="single" w:sz="12" w:space="0" w:color="auto"/>
              <w:right w:val="single" w:sz="6" w:space="0" w:color="999999"/>
            </w:tcBorders>
            <w:vAlign w:val="center"/>
          </w:tcPr>
          <w:p w:rsidR="004B34F9" w:rsidRPr="0036456A" w:rsidP="005308A9" w14:paraId="0A27CC58" w14:textId="300D3001">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BIPOC</w:t>
            </w:r>
          </w:p>
        </w:tc>
        <w:tc>
          <w:tcPr>
            <w:tcW w:w="1530" w:type="dxa"/>
            <w:tcBorders>
              <w:top w:val="single" w:sz="12" w:space="0" w:color="666666"/>
              <w:left w:val="single" w:sz="6" w:space="0" w:color="999999"/>
              <w:bottom w:val="single" w:sz="6" w:space="0" w:color="999999"/>
              <w:right w:val="single" w:sz="6" w:space="0" w:color="999999"/>
            </w:tcBorders>
            <w:vAlign w:val="center"/>
          </w:tcPr>
          <w:p w:rsidR="004B34F9" w:rsidRPr="0036456A" w:rsidP="00EB611C" w14:paraId="65DA6A95" w14:textId="5BFC99FF">
            <w:pPr>
              <w:spacing w:after="0" w:line="240" w:lineRule="auto"/>
              <w:textAlignment w:val="baseline"/>
              <w:rPr>
                <w:rFonts w:ascii="Times New Roman" w:hAnsi="Times New Roman"/>
                <w:sz w:val="20"/>
                <w:szCs w:val="20"/>
              </w:rPr>
            </w:pPr>
            <w:r w:rsidRPr="0036456A">
              <w:rPr>
                <w:rFonts w:ascii="Times New Roman" w:hAnsi="Times New Roman"/>
                <w:sz w:val="20"/>
                <w:szCs w:val="20"/>
              </w:rPr>
              <w:t>Screening</w:t>
            </w:r>
            <w:r w:rsidRPr="0036456A">
              <w:rPr>
                <w:rFonts w:ascii="Times New Roman" w:hAnsi="Times New Roman"/>
                <w:sz w:val="20"/>
                <w:szCs w:val="20"/>
              </w:rPr>
              <w:t xml:space="preserve"> </w:t>
            </w:r>
          </w:p>
        </w:tc>
        <w:tc>
          <w:tcPr>
            <w:tcW w:w="1260" w:type="dxa"/>
            <w:tcBorders>
              <w:top w:val="single" w:sz="12" w:space="0" w:color="666666"/>
              <w:left w:val="single" w:sz="6" w:space="0" w:color="999999"/>
              <w:bottom w:val="single" w:sz="6" w:space="0" w:color="999999"/>
              <w:right w:val="single" w:sz="6" w:space="0" w:color="999999"/>
            </w:tcBorders>
            <w:shd w:val="clear" w:color="auto" w:fill="auto"/>
            <w:vAlign w:val="center"/>
          </w:tcPr>
          <w:p w:rsidR="004B34F9" w:rsidRPr="0036456A" w:rsidP="00EB611C" w14:paraId="1F84E406" w14:textId="04ACB909">
            <w:pPr>
              <w:spacing w:after="0" w:line="240" w:lineRule="auto"/>
              <w:jc w:val="center"/>
              <w:textAlignment w:val="baseline"/>
              <w:rPr>
                <w:rFonts w:ascii="Times New Roman" w:hAnsi="Times New Roman"/>
                <w:sz w:val="20"/>
                <w:szCs w:val="20"/>
              </w:rPr>
            </w:pPr>
            <w:r>
              <w:rPr>
                <w:rFonts w:ascii="Times New Roman" w:hAnsi="Times New Roman"/>
                <w:sz w:val="20"/>
                <w:szCs w:val="20"/>
              </w:rPr>
              <w:t>150</w:t>
            </w:r>
          </w:p>
        </w:tc>
        <w:tc>
          <w:tcPr>
            <w:tcW w:w="1440" w:type="dxa"/>
            <w:tcBorders>
              <w:top w:val="single" w:sz="12" w:space="0" w:color="666666"/>
              <w:left w:val="single" w:sz="6" w:space="0" w:color="999999"/>
              <w:bottom w:val="single" w:sz="6" w:space="0" w:color="999999"/>
              <w:right w:val="single" w:sz="6" w:space="0" w:color="999999"/>
            </w:tcBorders>
            <w:shd w:val="clear" w:color="auto" w:fill="auto"/>
            <w:vAlign w:val="center"/>
            <w:hideMark/>
          </w:tcPr>
          <w:p w:rsidR="004B34F9" w:rsidRPr="0036456A" w:rsidP="00EB611C" w14:paraId="6BCDD3D2" w14:textId="7143493C">
            <w:pPr>
              <w:spacing w:after="0" w:line="240" w:lineRule="auto"/>
              <w:jc w:val="center"/>
              <w:textAlignment w:val="baseline"/>
              <w:rPr>
                <w:rFonts w:ascii="Times New Roman" w:hAnsi="Times New Roman"/>
                <w:sz w:val="20"/>
                <w:szCs w:val="20"/>
              </w:rPr>
            </w:pPr>
            <w:r>
              <w:rPr>
                <w:rFonts w:ascii="Times New Roman" w:hAnsi="Times New Roman"/>
                <w:sz w:val="20"/>
                <w:szCs w:val="20"/>
              </w:rPr>
              <w:t>150</w:t>
            </w:r>
          </w:p>
        </w:tc>
        <w:tc>
          <w:tcPr>
            <w:tcW w:w="1350" w:type="dxa"/>
            <w:tcBorders>
              <w:top w:val="single" w:sz="12" w:space="0" w:color="666666"/>
              <w:left w:val="single" w:sz="6" w:space="0" w:color="999999"/>
              <w:bottom w:val="single" w:sz="6" w:space="0" w:color="999999"/>
              <w:right w:val="single" w:sz="6" w:space="0" w:color="999999"/>
            </w:tcBorders>
            <w:shd w:val="clear" w:color="auto" w:fill="auto"/>
            <w:vAlign w:val="center"/>
            <w:hideMark/>
          </w:tcPr>
          <w:p w:rsidR="004B34F9" w:rsidRPr="0036456A" w:rsidP="00EB611C" w14:paraId="52441680" w14:textId="11D7DD43">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w:t>
            </w:r>
            <w:r w:rsidRPr="0036456A" w:rsidR="00792D9B">
              <w:rPr>
                <w:rFonts w:ascii="Times New Roman" w:hAnsi="Times New Roman"/>
                <w:sz w:val="20"/>
                <w:szCs w:val="20"/>
              </w:rPr>
              <w:t>1</w:t>
            </w:r>
            <w:r w:rsidRPr="0036456A">
              <w:rPr>
                <w:rFonts w:ascii="Times New Roman" w:hAnsi="Times New Roman"/>
                <w:sz w:val="20"/>
                <w:szCs w:val="20"/>
              </w:rPr>
              <w:t>5</w:t>
            </w:r>
          </w:p>
        </w:tc>
        <w:tc>
          <w:tcPr>
            <w:tcW w:w="900" w:type="dxa"/>
            <w:tcBorders>
              <w:top w:val="single" w:sz="12" w:space="0" w:color="666666"/>
              <w:left w:val="single" w:sz="6" w:space="0" w:color="999999"/>
              <w:bottom w:val="single" w:sz="6" w:space="0" w:color="999999"/>
              <w:right w:val="single" w:sz="6" w:space="0" w:color="999999"/>
            </w:tcBorders>
            <w:shd w:val="clear" w:color="auto" w:fill="auto"/>
            <w:vAlign w:val="center"/>
          </w:tcPr>
          <w:p w:rsidR="004B34F9" w:rsidRPr="0036456A" w:rsidP="00EB611C" w14:paraId="1920060B" w14:textId="3D5D8120">
            <w:pPr>
              <w:spacing w:after="0" w:line="240" w:lineRule="auto"/>
              <w:jc w:val="center"/>
              <w:textAlignment w:val="baseline"/>
              <w:rPr>
                <w:rFonts w:ascii="Times New Roman" w:hAnsi="Times New Roman"/>
                <w:sz w:val="20"/>
                <w:szCs w:val="20"/>
              </w:rPr>
            </w:pPr>
            <w:r>
              <w:rPr>
                <w:rFonts w:ascii="Times New Roman" w:hAnsi="Times New Roman"/>
                <w:sz w:val="20"/>
                <w:szCs w:val="20"/>
              </w:rPr>
              <w:t>22.5</w:t>
            </w:r>
          </w:p>
        </w:tc>
      </w:tr>
      <w:tr w14:paraId="33B4C26B"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4B34F9" w:rsidRPr="0036456A" w:rsidP="005308A9" w14:paraId="22294800" w14:textId="71A3C3F6">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4B34F9" w:rsidRPr="0036456A" w:rsidP="00EB611C" w14:paraId="76025F5F" w14:textId="5CB3D1E2">
            <w:pPr>
              <w:spacing w:after="0" w:line="240" w:lineRule="auto"/>
              <w:textAlignment w:val="baseline"/>
              <w:rPr>
                <w:rFonts w:ascii="Times New Roman" w:hAnsi="Times New Roman"/>
                <w:sz w:val="20"/>
                <w:szCs w:val="20"/>
              </w:rPr>
            </w:pPr>
            <w:r w:rsidRPr="0036456A">
              <w:rPr>
                <w:rFonts w:ascii="Times New Roman" w:hAnsi="Times New Roman"/>
                <w:sz w:val="20"/>
                <w:szCs w:val="20"/>
              </w:rPr>
              <w:t xml:space="preserve">Follow-Up Contact </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4B34F9" w:rsidRPr="0036456A" w:rsidP="00EB611C" w14:paraId="19451291" w14:textId="2CC39568">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60</w:t>
            </w:r>
            <w:r w:rsidRPr="0036456A">
              <w:rPr>
                <w:rFonts w:ascii="Times New Roman" w:hAnsi="Times New Roman"/>
                <w:sz w:val="20"/>
                <w:szCs w:val="20"/>
              </w:rPr>
              <w:t>*</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4B34F9" w:rsidRPr="0036456A" w:rsidP="00EB611C" w14:paraId="5B46A653" w14:textId="483D3247">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60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4B34F9" w:rsidRPr="0036456A" w:rsidP="00EB611C" w14:paraId="4067AF38" w14:textId="06622EB8">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w:t>
            </w:r>
            <w:r w:rsidRPr="0036456A" w:rsidR="00792D9B">
              <w:rPr>
                <w:rFonts w:ascii="Times New Roman" w:hAnsi="Times New Roman"/>
                <w:sz w:val="20"/>
                <w:szCs w:val="20"/>
              </w:rPr>
              <w:t>0</w:t>
            </w:r>
            <w:r w:rsidRPr="0036456A">
              <w:rPr>
                <w:rFonts w:ascii="Times New Roman" w:hAnsi="Times New Roman"/>
                <w:sz w:val="20"/>
                <w:szCs w:val="20"/>
              </w:rPr>
              <w:t>5</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4B34F9" w:rsidRPr="0036456A" w:rsidP="00EB611C" w14:paraId="64B9D4DA" w14:textId="3B527598">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3</w:t>
            </w:r>
          </w:p>
        </w:tc>
      </w:tr>
      <w:tr w14:paraId="656483EB"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4B34F9" w:rsidRPr="0036456A" w:rsidP="005308A9" w14:paraId="18523F24" w14:textId="014CA458">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4B34F9" w:rsidRPr="0036456A" w:rsidP="00EB611C" w14:paraId="711D0620" w14:textId="593FD9A5">
            <w:pPr>
              <w:spacing w:after="0" w:line="240" w:lineRule="auto"/>
              <w:textAlignment w:val="baseline"/>
              <w:rPr>
                <w:rFonts w:ascii="Times New Roman" w:hAnsi="Times New Roman"/>
                <w:sz w:val="20"/>
                <w:szCs w:val="20"/>
              </w:rPr>
            </w:pPr>
            <w:r w:rsidRPr="0036456A">
              <w:rPr>
                <w:rFonts w:ascii="Times New Roman" w:hAnsi="Times New Roman"/>
                <w:sz w:val="20"/>
                <w:szCs w:val="20"/>
              </w:rPr>
              <w:t>Consent Form</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4B34F9" w:rsidRPr="0036456A" w:rsidP="00EB611C" w14:paraId="38936374" w14:textId="50225F9F">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r w:rsidRPr="0036456A" w:rsidR="00616577">
              <w:rPr>
                <w:rFonts w:ascii="Times New Roman" w:hAnsi="Times New Roman"/>
                <w:sz w:val="20"/>
                <w:szCs w:val="20"/>
              </w:rPr>
              <w:t>0</w:t>
            </w:r>
            <w:r w:rsidRPr="0036456A">
              <w:rPr>
                <w:rFonts w:ascii="Times New Roman" w:hAnsi="Times New Roman"/>
                <w:sz w:val="20"/>
                <w:szCs w:val="20"/>
              </w:rPr>
              <w:t>*</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4B34F9" w:rsidRPr="0036456A" w:rsidP="00EB611C" w14:paraId="0B85EFEF" w14:textId="64B0231E">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r w:rsidRPr="0036456A" w:rsidR="00616577">
              <w:rPr>
                <w:rFonts w:ascii="Times New Roman" w:hAnsi="Times New Roman"/>
                <w:sz w:val="20"/>
                <w:szCs w:val="20"/>
              </w:rPr>
              <w:t>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4B34F9" w:rsidRPr="0036456A" w:rsidP="00EB611C" w14:paraId="2C526D68" w14:textId="78A7AB34">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w:t>
            </w:r>
            <w:r w:rsidRPr="0036456A" w:rsidR="00DF2C4E">
              <w:rPr>
                <w:rFonts w:ascii="Times New Roman" w:hAnsi="Times New Roman"/>
                <w:sz w:val="20"/>
                <w:szCs w:val="20"/>
              </w:rPr>
              <w:t>1</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4B34F9" w:rsidRPr="0036456A" w:rsidP="00EB611C" w14:paraId="713BF07E" w14:textId="1C2E9F9F">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p>
        </w:tc>
      </w:tr>
      <w:tr w14:paraId="21BFFE8B"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4B34F9" w:rsidRPr="0036456A" w:rsidP="005308A9" w14:paraId="6FF9F7A4" w14:textId="53C193C3">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4B34F9" w:rsidRPr="0036456A" w:rsidP="00EB611C" w14:paraId="526C3895" w14:textId="63F0B368">
            <w:pPr>
              <w:spacing w:after="0" w:line="240" w:lineRule="auto"/>
              <w:textAlignment w:val="baseline"/>
              <w:rPr>
                <w:rFonts w:ascii="Times New Roman" w:hAnsi="Times New Roman"/>
                <w:sz w:val="20"/>
                <w:szCs w:val="20"/>
              </w:rPr>
            </w:pPr>
            <w:r w:rsidRPr="0036456A">
              <w:rPr>
                <w:rFonts w:ascii="Times New Roman" w:hAnsi="Times New Roman"/>
                <w:sz w:val="20"/>
                <w:szCs w:val="20"/>
              </w:rPr>
              <w:t>Confirmation</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4B34F9" w:rsidRPr="0036456A" w:rsidP="00EB611C" w14:paraId="2EE06CB1" w14:textId="4E66F338">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r w:rsidRPr="0036456A" w:rsidR="00616577">
              <w:rPr>
                <w:rFonts w:ascii="Times New Roman" w:hAnsi="Times New Roman"/>
                <w:sz w:val="20"/>
                <w:szCs w:val="20"/>
              </w:rPr>
              <w:t>0</w:t>
            </w:r>
            <w:r w:rsidRPr="0036456A">
              <w:rPr>
                <w:rFonts w:ascii="Times New Roman" w:hAnsi="Times New Roman"/>
                <w:sz w:val="20"/>
                <w:szCs w:val="20"/>
              </w:rPr>
              <w:t>*</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4B34F9" w:rsidRPr="0036456A" w:rsidP="00EB611C" w14:paraId="074E724A" w14:textId="7381F6B5">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r w:rsidRPr="0036456A" w:rsidR="00616577">
              <w:rPr>
                <w:rFonts w:ascii="Times New Roman" w:hAnsi="Times New Roman"/>
                <w:sz w:val="20"/>
                <w:szCs w:val="20"/>
              </w:rPr>
              <w:t>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4B34F9" w:rsidRPr="0036456A" w:rsidP="00EB611C" w14:paraId="67832D63" w14:textId="2F1043F3">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w:t>
            </w:r>
            <w:r w:rsidRPr="0036456A" w:rsidR="002A7454">
              <w:rPr>
                <w:rFonts w:ascii="Times New Roman" w:hAnsi="Times New Roman"/>
                <w:sz w:val="20"/>
                <w:szCs w:val="20"/>
              </w:rPr>
              <w:t>1</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4B34F9" w:rsidRPr="0036456A" w:rsidP="00EB611C" w14:paraId="2E712B1F" w14:textId="119F099C">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p>
        </w:tc>
      </w:tr>
      <w:tr w14:paraId="1B6ABD8B"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4B34F9" w:rsidRPr="0036456A" w:rsidP="005308A9" w14:paraId="58605165" w14:textId="77777777">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12" w:space="0" w:color="auto"/>
              <w:right w:val="single" w:sz="6" w:space="0" w:color="999999"/>
            </w:tcBorders>
            <w:vAlign w:val="center"/>
          </w:tcPr>
          <w:p w:rsidR="004B34F9" w:rsidRPr="0036456A" w:rsidP="00855B60" w14:paraId="021F8568" w14:textId="0A40785B">
            <w:pPr>
              <w:spacing w:after="0" w:line="240" w:lineRule="auto"/>
              <w:textAlignment w:val="baseline"/>
              <w:rPr>
                <w:rFonts w:ascii="Times New Roman" w:hAnsi="Times New Roman"/>
                <w:sz w:val="20"/>
                <w:szCs w:val="20"/>
              </w:rPr>
            </w:pPr>
            <w:r w:rsidRPr="0036456A">
              <w:rPr>
                <w:rFonts w:ascii="Times New Roman" w:hAnsi="Times New Roman"/>
                <w:sz w:val="20"/>
                <w:szCs w:val="20"/>
              </w:rPr>
              <w:t>Focus Group Participation</w:t>
            </w:r>
          </w:p>
        </w:tc>
        <w:tc>
          <w:tcPr>
            <w:tcW w:w="1260" w:type="dxa"/>
            <w:tcBorders>
              <w:top w:val="single" w:sz="6" w:space="0" w:color="999999"/>
              <w:left w:val="single" w:sz="6" w:space="0" w:color="999999"/>
              <w:bottom w:val="single" w:sz="12" w:space="0" w:color="auto"/>
              <w:right w:val="single" w:sz="6" w:space="0" w:color="999999"/>
            </w:tcBorders>
            <w:shd w:val="clear" w:color="auto" w:fill="auto"/>
            <w:vAlign w:val="center"/>
          </w:tcPr>
          <w:p w:rsidR="004B34F9" w:rsidRPr="0036456A" w:rsidP="00EE3B53" w14:paraId="0E4DA7F9" w14:textId="616E1967">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16</w:t>
            </w:r>
            <w:r w:rsidRPr="0036456A" w:rsidR="002907E2">
              <w:rPr>
                <w:rFonts w:ascii="Times New Roman" w:hAnsi="Times New Roman"/>
                <w:sz w:val="20"/>
                <w:szCs w:val="20"/>
              </w:rPr>
              <w:t>*</w:t>
            </w:r>
          </w:p>
        </w:tc>
        <w:tc>
          <w:tcPr>
            <w:tcW w:w="1440" w:type="dxa"/>
            <w:tcBorders>
              <w:top w:val="single" w:sz="6" w:space="0" w:color="999999"/>
              <w:left w:val="single" w:sz="6" w:space="0" w:color="999999"/>
              <w:bottom w:val="single" w:sz="12" w:space="0" w:color="auto"/>
              <w:right w:val="single" w:sz="6" w:space="0" w:color="999999"/>
            </w:tcBorders>
            <w:shd w:val="clear" w:color="auto" w:fill="auto"/>
            <w:vAlign w:val="center"/>
          </w:tcPr>
          <w:p w:rsidR="004B34F9" w:rsidRPr="0036456A" w:rsidP="00EE3B53" w14:paraId="5431AFFC" w14:textId="08EE9667">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16</w:t>
            </w:r>
          </w:p>
        </w:tc>
        <w:tc>
          <w:tcPr>
            <w:tcW w:w="1350" w:type="dxa"/>
            <w:tcBorders>
              <w:top w:val="single" w:sz="6" w:space="0" w:color="999999"/>
              <w:left w:val="single" w:sz="6" w:space="0" w:color="999999"/>
              <w:bottom w:val="single" w:sz="12" w:space="0" w:color="auto"/>
              <w:right w:val="single" w:sz="6" w:space="0" w:color="999999"/>
            </w:tcBorders>
            <w:shd w:val="clear" w:color="auto" w:fill="auto"/>
            <w:vAlign w:val="center"/>
          </w:tcPr>
          <w:p w:rsidR="004B34F9" w:rsidRPr="0036456A" w:rsidP="00EE3B53" w14:paraId="11392DB1" w14:textId="55AB9AA2">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1.5</w:t>
            </w:r>
          </w:p>
        </w:tc>
        <w:tc>
          <w:tcPr>
            <w:tcW w:w="900" w:type="dxa"/>
            <w:tcBorders>
              <w:top w:val="single" w:sz="6" w:space="0" w:color="999999"/>
              <w:left w:val="single" w:sz="6" w:space="0" w:color="999999"/>
              <w:bottom w:val="single" w:sz="12" w:space="0" w:color="auto"/>
              <w:right w:val="single" w:sz="6" w:space="0" w:color="999999"/>
            </w:tcBorders>
            <w:shd w:val="clear" w:color="auto" w:fill="auto"/>
            <w:vAlign w:val="center"/>
          </w:tcPr>
          <w:p w:rsidR="004B34F9" w:rsidRPr="0036456A" w:rsidP="00EE3B53" w14:paraId="599A9C4B" w14:textId="689D65A4">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24</w:t>
            </w:r>
          </w:p>
        </w:tc>
      </w:tr>
      <w:tr w14:paraId="792582BD" w14:textId="77777777" w:rsidTr="001D4C98">
        <w:tblPrEx>
          <w:tblW w:w="7920" w:type="dxa"/>
          <w:tblInd w:w="458" w:type="dxa"/>
          <w:tblLayout w:type="fixed"/>
          <w:tblCellMar>
            <w:left w:w="0" w:type="dxa"/>
            <w:right w:w="0" w:type="dxa"/>
          </w:tblCellMar>
          <w:tblLook w:val="04A0"/>
        </w:tblPrEx>
        <w:trPr>
          <w:trHeight w:val="20"/>
        </w:trPr>
        <w:tc>
          <w:tcPr>
            <w:tcW w:w="1440" w:type="dxa"/>
            <w:vMerge w:val="restart"/>
            <w:tcBorders>
              <w:top w:val="single" w:sz="12" w:space="0" w:color="auto"/>
              <w:left w:val="single" w:sz="6" w:space="0" w:color="999999"/>
              <w:bottom w:val="single" w:sz="12" w:space="0" w:color="auto"/>
              <w:right w:val="single" w:sz="6" w:space="0" w:color="999999"/>
            </w:tcBorders>
            <w:vAlign w:val="center"/>
          </w:tcPr>
          <w:p w:rsidR="002A7454" w:rsidRPr="0036456A" w:rsidP="005308A9" w14:paraId="6E7CB66E" w14:textId="04F75934">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Hispanic (Bilingual)</w:t>
            </w:r>
          </w:p>
        </w:tc>
        <w:tc>
          <w:tcPr>
            <w:tcW w:w="1530" w:type="dxa"/>
            <w:tcBorders>
              <w:top w:val="single" w:sz="12" w:space="0" w:color="auto"/>
              <w:left w:val="single" w:sz="6" w:space="0" w:color="999999"/>
              <w:bottom w:val="single" w:sz="6" w:space="0" w:color="999999"/>
              <w:right w:val="single" w:sz="6" w:space="0" w:color="999999"/>
            </w:tcBorders>
            <w:vAlign w:val="center"/>
          </w:tcPr>
          <w:p w:rsidR="002A7454" w:rsidRPr="0036456A" w:rsidP="00EB611C" w14:paraId="77C82CF2" w14:textId="472F8C0E">
            <w:pPr>
              <w:spacing w:after="0" w:line="240" w:lineRule="auto"/>
              <w:textAlignment w:val="baseline"/>
              <w:rPr>
                <w:rFonts w:ascii="Times New Roman" w:hAnsi="Times New Roman"/>
                <w:sz w:val="20"/>
                <w:szCs w:val="20"/>
              </w:rPr>
            </w:pPr>
            <w:r w:rsidRPr="0036456A">
              <w:rPr>
                <w:rFonts w:ascii="Times New Roman" w:hAnsi="Times New Roman"/>
                <w:sz w:val="20"/>
                <w:szCs w:val="20"/>
              </w:rPr>
              <w:t>Screening</w:t>
            </w:r>
          </w:p>
        </w:tc>
        <w:tc>
          <w:tcPr>
            <w:tcW w:w="1260" w:type="dxa"/>
            <w:tcBorders>
              <w:top w:val="single" w:sz="12" w:space="0" w:color="auto"/>
              <w:left w:val="single" w:sz="6" w:space="0" w:color="999999"/>
              <w:bottom w:val="single" w:sz="6" w:space="0" w:color="999999"/>
              <w:right w:val="single" w:sz="6" w:space="0" w:color="999999"/>
            </w:tcBorders>
            <w:shd w:val="clear" w:color="auto" w:fill="auto"/>
            <w:vAlign w:val="center"/>
          </w:tcPr>
          <w:p w:rsidR="002A7454" w:rsidRPr="0036456A" w:rsidP="00EB611C" w14:paraId="5D94D47D" w14:textId="061CD05A">
            <w:pPr>
              <w:spacing w:after="0" w:line="240" w:lineRule="auto"/>
              <w:jc w:val="center"/>
              <w:textAlignment w:val="baseline"/>
              <w:rPr>
                <w:rFonts w:ascii="Times New Roman" w:hAnsi="Times New Roman"/>
                <w:sz w:val="20"/>
                <w:szCs w:val="20"/>
              </w:rPr>
            </w:pPr>
            <w:r>
              <w:rPr>
                <w:rFonts w:ascii="Times New Roman" w:hAnsi="Times New Roman"/>
                <w:sz w:val="20"/>
                <w:szCs w:val="20"/>
              </w:rPr>
              <w:t>150</w:t>
            </w:r>
          </w:p>
        </w:tc>
        <w:tc>
          <w:tcPr>
            <w:tcW w:w="1440" w:type="dxa"/>
            <w:tcBorders>
              <w:top w:val="single" w:sz="12" w:space="0" w:color="auto"/>
              <w:left w:val="single" w:sz="6" w:space="0" w:color="999999"/>
              <w:bottom w:val="single" w:sz="6" w:space="0" w:color="999999"/>
              <w:right w:val="single" w:sz="6" w:space="0" w:color="999999"/>
            </w:tcBorders>
            <w:shd w:val="clear" w:color="auto" w:fill="auto"/>
            <w:vAlign w:val="center"/>
          </w:tcPr>
          <w:p w:rsidR="002A7454" w:rsidRPr="0036456A" w:rsidP="00EB611C" w14:paraId="2F7016DE" w14:textId="1A71C951">
            <w:pPr>
              <w:spacing w:after="0" w:line="240" w:lineRule="auto"/>
              <w:jc w:val="center"/>
              <w:textAlignment w:val="baseline"/>
              <w:rPr>
                <w:rFonts w:ascii="Times New Roman" w:hAnsi="Times New Roman"/>
                <w:sz w:val="20"/>
                <w:szCs w:val="20"/>
              </w:rPr>
            </w:pPr>
            <w:r>
              <w:rPr>
                <w:rFonts w:ascii="Times New Roman" w:hAnsi="Times New Roman"/>
                <w:sz w:val="20"/>
                <w:szCs w:val="20"/>
              </w:rPr>
              <w:t>150</w:t>
            </w:r>
          </w:p>
        </w:tc>
        <w:tc>
          <w:tcPr>
            <w:tcW w:w="1350" w:type="dxa"/>
            <w:tcBorders>
              <w:top w:val="single" w:sz="12" w:space="0" w:color="auto"/>
              <w:left w:val="single" w:sz="6" w:space="0" w:color="999999"/>
              <w:bottom w:val="single" w:sz="6" w:space="0" w:color="999999"/>
              <w:right w:val="single" w:sz="6" w:space="0" w:color="999999"/>
            </w:tcBorders>
            <w:shd w:val="clear" w:color="auto" w:fill="auto"/>
            <w:vAlign w:val="center"/>
          </w:tcPr>
          <w:p w:rsidR="002A7454" w:rsidRPr="0036456A" w:rsidP="00EB611C" w14:paraId="7A2A0B1A" w14:textId="6F2BAA98">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.15</w:t>
            </w:r>
          </w:p>
        </w:tc>
        <w:tc>
          <w:tcPr>
            <w:tcW w:w="900" w:type="dxa"/>
            <w:tcBorders>
              <w:top w:val="single" w:sz="12" w:space="0" w:color="auto"/>
              <w:left w:val="single" w:sz="6" w:space="0" w:color="999999"/>
              <w:bottom w:val="single" w:sz="6" w:space="0" w:color="999999"/>
              <w:right w:val="single" w:sz="6" w:space="0" w:color="999999"/>
            </w:tcBorders>
            <w:shd w:val="clear" w:color="auto" w:fill="auto"/>
            <w:vAlign w:val="center"/>
          </w:tcPr>
          <w:p w:rsidR="002A7454" w:rsidRPr="0036456A" w:rsidP="00EB611C" w14:paraId="39F8D716" w14:textId="1A44D9E2">
            <w:pPr>
              <w:spacing w:after="0" w:line="240" w:lineRule="auto"/>
              <w:jc w:val="center"/>
              <w:textAlignment w:val="baseline"/>
              <w:rPr>
                <w:rFonts w:ascii="Times New Roman" w:hAnsi="Times New Roman"/>
                <w:sz w:val="20"/>
                <w:szCs w:val="20"/>
              </w:rPr>
            </w:pPr>
            <w:r>
              <w:rPr>
                <w:rFonts w:ascii="Times New Roman" w:hAnsi="Times New Roman"/>
                <w:sz w:val="20"/>
                <w:szCs w:val="20"/>
              </w:rPr>
              <w:t>22.5</w:t>
            </w:r>
          </w:p>
        </w:tc>
      </w:tr>
      <w:tr w14:paraId="28C3062F"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2A7454" w:rsidRPr="0036456A" w:rsidP="005308A9" w14:paraId="7DB40A6B" w14:textId="0CE67EB2">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2A7454" w:rsidRPr="0036456A" w:rsidP="00EB611C" w14:paraId="2EBE4FAA" w14:textId="73B93E09">
            <w:pPr>
              <w:spacing w:after="0" w:line="240" w:lineRule="auto"/>
              <w:textAlignment w:val="baseline"/>
              <w:rPr>
                <w:rFonts w:ascii="Times New Roman" w:hAnsi="Times New Roman"/>
                <w:sz w:val="20"/>
                <w:szCs w:val="20"/>
              </w:rPr>
            </w:pPr>
            <w:r w:rsidRPr="0036456A">
              <w:rPr>
                <w:rFonts w:ascii="Times New Roman" w:hAnsi="Times New Roman"/>
                <w:sz w:val="20"/>
                <w:szCs w:val="20"/>
              </w:rPr>
              <w:t>Follow-Up Contact</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2A7454" w:rsidRPr="0036456A" w:rsidP="00EB611C" w14:paraId="2F1581ED" w14:textId="5DC19756">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60*</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2A7454" w:rsidRPr="0036456A" w:rsidP="00EB611C" w14:paraId="3C7CCB3A" w14:textId="73232A47">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60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2A7454" w:rsidRPr="0036456A" w:rsidP="00EB611C" w14:paraId="1A8D5035" w14:textId="1EF5AE13">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.05</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2A7454" w:rsidRPr="0036456A" w:rsidP="00EB611C" w14:paraId="3A4AB674" w14:textId="5223D483">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3</w:t>
            </w:r>
          </w:p>
        </w:tc>
      </w:tr>
      <w:tr w14:paraId="43B178D2"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944F81" w:rsidRPr="0036456A" w:rsidP="005308A9" w14:paraId="48574C92" w14:textId="22280264">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944F81" w:rsidRPr="0036456A" w:rsidP="00944F81" w14:paraId="5821688F" w14:textId="3AA19BE5">
            <w:pPr>
              <w:spacing w:after="0" w:line="240" w:lineRule="auto"/>
              <w:textAlignment w:val="baseline"/>
              <w:rPr>
                <w:rFonts w:ascii="Times New Roman" w:hAnsi="Times New Roman"/>
                <w:sz w:val="20"/>
                <w:szCs w:val="20"/>
              </w:rPr>
            </w:pPr>
            <w:r w:rsidRPr="0036456A">
              <w:rPr>
                <w:rFonts w:ascii="Times New Roman" w:hAnsi="Times New Roman"/>
                <w:sz w:val="20"/>
                <w:szCs w:val="20"/>
              </w:rPr>
              <w:t>Consent Form</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14B528E4" w14:textId="647AE4BE">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4C80A5D9" w14:textId="5B18C550">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7E674E78" w14:textId="439C759D">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5C3A4D39" w14:textId="4BD64C7F">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p>
        </w:tc>
      </w:tr>
      <w:tr w14:paraId="713BEC75"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944F81" w:rsidRPr="0036456A" w:rsidP="005308A9" w14:paraId="24386954" w14:textId="1924CE42">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944F81" w:rsidRPr="0036456A" w:rsidP="00944F81" w14:paraId="232D8506" w14:textId="633EB4E6">
            <w:pPr>
              <w:spacing w:after="0" w:line="240" w:lineRule="auto"/>
              <w:textAlignment w:val="baseline"/>
              <w:rPr>
                <w:rFonts w:ascii="Times New Roman" w:hAnsi="Times New Roman"/>
                <w:sz w:val="20"/>
                <w:szCs w:val="20"/>
              </w:rPr>
            </w:pPr>
            <w:r w:rsidRPr="0036456A">
              <w:rPr>
                <w:rFonts w:ascii="Times New Roman" w:hAnsi="Times New Roman"/>
                <w:sz w:val="20"/>
                <w:szCs w:val="20"/>
              </w:rPr>
              <w:t>Confirmation</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2454F1ED" w14:textId="03ED6FBF">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31C4F22D" w14:textId="4EF5075A">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6B8B748C" w14:textId="40D2A090">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600314A5" w14:textId="29C3AC61">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p>
        </w:tc>
      </w:tr>
      <w:tr w14:paraId="1162986A"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AF01AC" w:rsidRPr="0036456A" w:rsidP="005308A9" w14:paraId="4919520B" w14:textId="77777777">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12" w:space="0" w:color="auto"/>
              <w:right w:val="single" w:sz="6" w:space="0" w:color="999999"/>
            </w:tcBorders>
            <w:vAlign w:val="center"/>
          </w:tcPr>
          <w:p w:rsidR="00AF01AC" w:rsidRPr="0036456A" w:rsidP="00AF01AC" w14:paraId="6B6D4D21" w14:textId="00CD6C9B">
            <w:pPr>
              <w:spacing w:after="0" w:line="240" w:lineRule="auto"/>
              <w:textAlignment w:val="baseline"/>
              <w:rPr>
                <w:rFonts w:ascii="Times New Roman" w:hAnsi="Times New Roman"/>
                <w:sz w:val="20"/>
                <w:szCs w:val="20"/>
              </w:rPr>
            </w:pPr>
            <w:r w:rsidRPr="0036456A">
              <w:rPr>
                <w:rFonts w:ascii="Times New Roman" w:hAnsi="Times New Roman"/>
                <w:sz w:val="20"/>
                <w:szCs w:val="20"/>
              </w:rPr>
              <w:t>Focus Group Participation</w:t>
            </w:r>
          </w:p>
        </w:tc>
        <w:tc>
          <w:tcPr>
            <w:tcW w:w="1260" w:type="dxa"/>
            <w:tcBorders>
              <w:top w:val="single" w:sz="6" w:space="0" w:color="999999"/>
              <w:left w:val="single" w:sz="6" w:space="0" w:color="999999"/>
              <w:bottom w:val="single" w:sz="12" w:space="0" w:color="auto"/>
              <w:right w:val="single" w:sz="6" w:space="0" w:color="999999"/>
            </w:tcBorders>
            <w:shd w:val="clear" w:color="auto" w:fill="auto"/>
            <w:vAlign w:val="center"/>
          </w:tcPr>
          <w:p w:rsidR="00AF01AC" w:rsidRPr="0036456A" w:rsidP="00AF01AC" w14:paraId="5B34E2B9" w14:textId="3EB1B5D5">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16*</w:t>
            </w:r>
          </w:p>
        </w:tc>
        <w:tc>
          <w:tcPr>
            <w:tcW w:w="1440" w:type="dxa"/>
            <w:tcBorders>
              <w:top w:val="single" w:sz="6" w:space="0" w:color="999999"/>
              <w:left w:val="single" w:sz="6" w:space="0" w:color="999999"/>
              <w:bottom w:val="single" w:sz="12" w:space="0" w:color="auto"/>
              <w:right w:val="single" w:sz="6" w:space="0" w:color="999999"/>
            </w:tcBorders>
            <w:shd w:val="clear" w:color="auto" w:fill="auto"/>
            <w:vAlign w:val="center"/>
          </w:tcPr>
          <w:p w:rsidR="00AF01AC" w:rsidRPr="0036456A" w:rsidP="00AF01AC" w14:paraId="16EAB73D" w14:textId="16F2A1B1">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16</w:t>
            </w:r>
          </w:p>
        </w:tc>
        <w:tc>
          <w:tcPr>
            <w:tcW w:w="1350" w:type="dxa"/>
            <w:tcBorders>
              <w:top w:val="single" w:sz="6" w:space="0" w:color="999999"/>
              <w:left w:val="single" w:sz="6" w:space="0" w:color="999999"/>
              <w:bottom w:val="single" w:sz="12" w:space="0" w:color="auto"/>
              <w:right w:val="single" w:sz="6" w:space="0" w:color="999999"/>
            </w:tcBorders>
            <w:shd w:val="clear" w:color="auto" w:fill="auto"/>
            <w:vAlign w:val="center"/>
          </w:tcPr>
          <w:p w:rsidR="00AF01AC" w:rsidRPr="0036456A" w:rsidP="00AF01AC" w14:paraId="45846571" w14:textId="0F8E3E59">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1.5</w:t>
            </w:r>
          </w:p>
        </w:tc>
        <w:tc>
          <w:tcPr>
            <w:tcW w:w="900" w:type="dxa"/>
            <w:tcBorders>
              <w:top w:val="single" w:sz="6" w:space="0" w:color="999999"/>
              <w:left w:val="single" w:sz="6" w:space="0" w:color="999999"/>
              <w:bottom w:val="single" w:sz="12" w:space="0" w:color="auto"/>
              <w:right w:val="single" w:sz="6" w:space="0" w:color="999999"/>
            </w:tcBorders>
            <w:shd w:val="clear" w:color="auto" w:fill="auto"/>
            <w:vAlign w:val="center"/>
          </w:tcPr>
          <w:p w:rsidR="00AF01AC" w:rsidRPr="0036456A" w:rsidP="00AF01AC" w14:paraId="0334886E" w14:textId="4D54CAE8">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24</w:t>
            </w:r>
          </w:p>
        </w:tc>
      </w:tr>
      <w:tr w14:paraId="78B7F532" w14:textId="77777777" w:rsidTr="001D4C98">
        <w:tblPrEx>
          <w:tblW w:w="7920" w:type="dxa"/>
          <w:tblInd w:w="458" w:type="dxa"/>
          <w:tblLayout w:type="fixed"/>
          <w:tblCellMar>
            <w:left w:w="0" w:type="dxa"/>
            <w:right w:w="0" w:type="dxa"/>
          </w:tblCellMar>
          <w:tblLook w:val="04A0"/>
        </w:tblPrEx>
        <w:trPr>
          <w:trHeight w:val="20"/>
        </w:trPr>
        <w:tc>
          <w:tcPr>
            <w:tcW w:w="1440" w:type="dxa"/>
            <w:vMerge w:val="restart"/>
            <w:tcBorders>
              <w:top w:val="single" w:sz="12" w:space="0" w:color="auto"/>
              <w:left w:val="single" w:sz="6" w:space="0" w:color="999999"/>
              <w:bottom w:val="single" w:sz="12" w:space="0" w:color="auto"/>
              <w:right w:val="single" w:sz="6" w:space="0" w:color="999999"/>
            </w:tcBorders>
            <w:vAlign w:val="center"/>
          </w:tcPr>
          <w:p w:rsidR="002A7454" w:rsidRPr="0036456A" w:rsidP="005308A9" w14:paraId="01659680" w14:textId="2025D445">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Parent</w:t>
            </w:r>
          </w:p>
        </w:tc>
        <w:tc>
          <w:tcPr>
            <w:tcW w:w="1530" w:type="dxa"/>
            <w:tcBorders>
              <w:top w:val="single" w:sz="12" w:space="0" w:color="auto"/>
              <w:left w:val="single" w:sz="6" w:space="0" w:color="999999"/>
              <w:bottom w:val="single" w:sz="6" w:space="0" w:color="999999"/>
              <w:right w:val="single" w:sz="6" w:space="0" w:color="999999"/>
            </w:tcBorders>
            <w:vAlign w:val="center"/>
          </w:tcPr>
          <w:p w:rsidR="002A7454" w:rsidRPr="0036456A" w:rsidP="002A7454" w14:paraId="314B4DB2" w14:textId="5E676214">
            <w:pPr>
              <w:spacing w:after="0" w:line="240" w:lineRule="auto"/>
              <w:textAlignment w:val="baseline"/>
              <w:rPr>
                <w:rFonts w:ascii="Times New Roman" w:hAnsi="Times New Roman"/>
                <w:sz w:val="20"/>
                <w:szCs w:val="20"/>
              </w:rPr>
            </w:pPr>
            <w:r w:rsidRPr="0036456A">
              <w:rPr>
                <w:rFonts w:ascii="Times New Roman" w:hAnsi="Times New Roman"/>
                <w:sz w:val="20"/>
                <w:szCs w:val="20"/>
              </w:rPr>
              <w:t>Screening</w:t>
            </w:r>
          </w:p>
        </w:tc>
        <w:tc>
          <w:tcPr>
            <w:tcW w:w="1260" w:type="dxa"/>
            <w:tcBorders>
              <w:top w:val="single" w:sz="12" w:space="0" w:color="auto"/>
              <w:left w:val="single" w:sz="6" w:space="0" w:color="999999"/>
              <w:bottom w:val="single" w:sz="6" w:space="0" w:color="999999"/>
              <w:right w:val="single" w:sz="6" w:space="0" w:color="999999"/>
            </w:tcBorders>
            <w:shd w:val="clear" w:color="auto" w:fill="auto"/>
            <w:vAlign w:val="center"/>
          </w:tcPr>
          <w:p w:rsidR="002A7454" w:rsidRPr="0036456A" w:rsidP="00EB611C" w14:paraId="30F06B0D" w14:textId="3F2A9533">
            <w:pPr>
              <w:spacing w:after="0" w:line="240" w:lineRule="auto"/>
              <w:jc w:val="center"/>
              <w:textAlignment w:val="baseline"/>
              <w:rPr>
                <w:rFonts w:ascii="Times New Roman" w:hAnsi="Times New Roman"/>
                <w:sz w:val="20"/>
                <w:szCs w:val="20"/>
              </w:rPr>
            </w:pPr>
            <w:r>
              <w:rPr>
                <w:rFonts w:ascii="Times New Roman" w:hAnsi="Times New Roman"/>
                <w:sz w:val="20"/>
                <w:szCs w:val="20"/>
              </w:rPr>
              <w:t>100</w:t>
            </w:r>
          </w:p>
        </w:tc>
        <w:tc>
          <w:tcPr>
            <w:tcW w:w="1440" w:type="dxa"/>
            <w:tcBorders>
              <w:top w:val="single" w:sz="12" w:space="0" w:color="auto"/>
              <w:left w:val="single" w:sz="6" w:space="0" w:color="999999"/>
              <w:bottom w:val="single" w:sz="6" w:space="0" w:color="999999"/>
              <w:right w:val="single" w:sz="6" w:space="0" w:color="999999"/>
            </w:tcBorders>
            <w:shd w:val="clear" w:color="auto" w:fill="auto"/>
            <w:vAlign w:val="center"/>
          </w:tcPr>
          <w:p w:rsidR="002A7454" w:rsidRPr="0036456A" w:rsidP="00EB611C" w14:paraId="5FAC3628" w14:textId="5FAA89A3">
            <w:pPr>
              <w:spacing w:after="0" w:line="240" w:lineRule="auto"/>
              <w:jc w:val="center"/>
              <w:textAlignment w:val="baseline"/>
              <w:rPr>
                <w:rFonts w:ascii="Times New Roman" w:hAnsi="Times New Roman"/>
                <w:sz w:val="20"/>
                <w:szCs w:val="20"/>
              </w:rPr>
            </w:pPr>
            <w:r>
              <w:rPr>
                <w:rFonts w:ascii="Times New Roman" w:hAnsi="Times New Roman"/>
                <w:sz w:val="20"/>
                <w:szCs w:val="20"/>
              </w:rPr>
              <w:t>100</w:t>
            </w:r>
          </w:p>
        </w:tc>
        <w:tc>
          <w:tcPr>
            <w:tcW w:w="1350" w:type="dxa"/>
            <w:tcBorders>
              <w:top w:val="single" w:sz="12" w:space="0" w:color="auto"/>
              <w:left w:val="single" w:sz="6" w:space="0" w:color="999999"/>
              <w:bottom w:val="single" w:sz="6" w:space="0" w:color="999999"/>
              <w:right w:val="single" w:sz="6" w:space="0" w:color="999999"/>
            </w:tcBorders>
            <w:shd w:val="clear" w:color="auto" w:fill="auto"/>
            <w:vAlign w:val="center"/>
          </w:tcPr>
          <w:p w:rsidR="002A7454" w:rsidRPr="0036456A" w:rsidP="00EB611C" w14:paraId="6CA677FB" w14:textId="346740F8">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.15</w:t>
            </w:r>
          </w:p>
        </w:tc>
        <w:tc>
          <w:tcPr>
            <w:tcW w:w="900" w:type="dxa"/>
            <w:tcBorders>
              <w:top w:val="single" w:sz="12" w:space="0" w:color="auto"/>
              <w:left w:val="single" w:sz="6" w:space="0" w:color="999999"/>
              <w:bottom w:val="single" w:sz="6" w:space="0" w:color="999999"/>
              <w:right w:val="single" w:sz="6" w:space="0" w:color="999999"/>
            </w:tcBorders>
            <w:shd w:val="clear" w:color="auto" w:fill="auto"/>
            <w:vAlign w:val="center"/>
          </w:tcPr>
          <w:p w:rsidR="002A7454" w:rsidRPr="0036456A" w:rsidP="00EB611C" w14:paraId="4955B971" w14:textId="2C6F1054">
            <w:pPr>
              <w:spacing w:after="0" w:line="240" w:lineRule="auto"/>
              <w:jc w:val="center"/>
              <w:textAlignment w:val="baseline"/>
              <w:rPr>
                <w:rFonts w:ascii="Times New Roman" w:hAnsi="Times New Roman"/>
                <w:sz w:val="20"/>
                <w:szCs w:val="20"/>
              </w:rPr>
            </w:pPr>
            <w:r>
              <w:rPr>
                <w:rFonts w:ascii="Times New Roman" w:hAnsi="Times New Roman"/>
                <w:sz w:val="20"/>
                <w:szCs w:val="20"/>
              </w:rPr>
              <w:t>15</w:t>
            </w:r>
          </w:p>
        </w:tc>
      </w:tr>
      <w:tr w14:paraId="09730D98"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2A7454" w:rsidRPr="0036456A" w:rsidP="005308A9" w14:paraId="7445AB95" w14:textId="5832EDF9">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2A7454" w:rsidRPr="0036456A" w:rsidP="002A7454" w14:paraId="2FD466D2" w14:textId="25D03135">
            <w:pPr>
              <w:spacing w:after="0" w:line="240" w:lineRule="auto"/>
              <w:textAlignment w:val="baseline"/>
              <w:rPr>
                <w:rFonts w:ascii="Times New Roman" w:hAnsi="Times New Roman"/>
                <w:sz w:val="20"/>
                <w:szCs w:val="20"/>
              </w:rPr>
            </w:pPr>
            <w:r w:rsidRPr="0036456A">
              <w:rPr>
                <w:rFonts w:ascii="Times New Roman" w:hAnsi="Times New Roman"/>
                <w:sz w:val="20"/>
                <w:szCs w:val="20"/>
              </w:rPr>
              <w:t>Follow-Up Contact</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2A7454" w:rsidRPr="0036456A" w:rsidP="00EB611C" w14:paraId="02794B27" w14:textId="03273255">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40*</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2A7454" w:rsidRPr="0036456A" w:rsidP="00EB611C" w14:paraId="23B49267" w14:textId="22B2199C">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40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2A7454" w:rsidRPr="0036456A" w:rsidP="00EB611C" w14:paraId="61614277" w14:textId="78343E89">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.05</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2A7454" w:rsidRPr="0036456A" w:rsidP="00EB611C" w14:paraId="6B3FCB9C" w14:textId="23E79778">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p>
        </w:tc>
      </w:tr>
      <w:tr w14:paraId="305338D2"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944F81" w:rsidRPr="0036456A" w:rsidP="005308A9" w14:paraId="5572D636" w14:textId="49E27FF8">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944F81" w:rsidRPr="0036456A" w:rsidP="00944F81" w14:paraId="3190AE8F" w14:textId="3EFC97A5">
            <w:pPr>
              <w:spacing w:after="0" w:line="240" w:lineRule="auto"/>
              <w:textAlignment w:val="baseline"/>
              <w:rPr>
                <w:rFonts w:ascii="Times New Roman" w:hAnsi="Times New Roman"/>
                <w:sz w:val="20"/>
                <w:szCs w:val="20"/>
              </w:rPr>
            </w:pPr>
            <w:r w:rsidRPr="0036456A">
              <w:rPr>
                <w:rFonts w:ascii="Times New Roman" w:hAnsi="Times New Roman"/>
                <w:sz w:val="20"/>
                <w:szCs w:val="20"/>
              </w:rPr>
              <w:t>Consent Form</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16856EBB" w14:textId="7359E283">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48EF4E74" w14:textId="42491FE1">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1FA187CB" w14:textId="075002D0">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12E32D72" w14:textId="4B60B0B5">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p>
        </w:tc>
      </w:tr>
      <w:tr w14:paraId="1F83E1C2"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944F81" w:rsidRPr="0036456A" w:rsidP="005308A9" w14:paraId="66C6B5A4" w14:textId="390D9875">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944F81" w:rsidRPr="0036456A" w:rsidP="00944F81" w14:paraId="703335FB" w14:textId="7B52632A">
            <w:pPr>
              <w:spacing w:after="0" w:line="240" w:lineRule="auto"/>
              <w:textAlignment w:val="baseline"/>
              <w:rPr>
                <w:rFonts w:ascii="Times New Roman" w:hAnsi="Times New Roman"/>
                <w:sz w:val="20"/>
                <w:szCs w:val="20"/>
              </w:rPr>
            </w:pPr>
            <w:r w:rsidRPr="0036456A">
              <w:rPr>
                <w:rFonts w:ascii="Times New Roman" w:hAnsi="Times New Roman"/>
                <w:sz w:val="20"/>
                <w:szCs w:val="20"/>
              </w:rPr>
              <w:t>Confirmation</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77AAE37A" w14:textId="2A008CCE">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16C0401E" w14:textId="4C5C2B71">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68688328" w14:textId="23888E8D">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0C7C8195" w14:textId="46DE3062">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p>
        </w:tc>
      </w:tr>
      <w:tr w14:paraId="103C31ED"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AF01AC" w:rsidRPr="0036456A" w:rsidP="005308A9" w14:paraId="4DBB1B57" w14:textId="77777777">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12" w:space="0" w:color="auto"/>
              <w:right w:val="single" w:sz="6" w:space="0" w:color="999999"/>
            </w:tcBorders>
            <w:vAlign w:val="center"/>
          </w:tcPr>
          <w:p w:rsidR="00AF01AC" w:rsidRPr="0036456A" w:rsidP="00AF01AC" w14:paraId="1E14B48B" w14:textId="08B6C417">
            <w:pPr>
              <w:spacing w:after="0" w:line="240" w:lineRule="auto"/>
              <w:textAlignment w:val="baseline"/>
              <w:rPr>
                <w:rFonts w:ascii="Times New Roman" w:hAnsi="Times New Roman"/>
                <w:sz w:val="20"/>
                <w:szCs w:val="20"/>
              </w:rPr>
            </w:pPr>
            <w:r w:rsidRPr="0036456A">
              <w:rPr>
                <w:rFonts w:ascii="Times New Roman" w:hAnsi="Times New Roman"/>
                <w:sz w:val="20"/>
                <w:szCs w:val="20"/>
              </w:rPr>
              <w:t>Focus Group Participation</w:t>
            </w:r>
          </w:p>
        </w:tc>
        <w:tc>
          <w:tcPr>
            <w:tcW w:w="1260" w:type="dxa"/>
            <w:tcBorders>
              <w:top w:val="single" w:sz="6" w:space="0" w:color="999999"/>
              <w:left w:val="single" w:sz="6" w:space="0" w:color="999999"/>
              <w:bottom w:val="single" w:sz="12" w:space="0" w:color="auto"/>
              <w:right w:val="single" w:sz="6" w:space="0" w:color="999999"/>
            </w:tcBorders>
            <w:shd w:val="clear" w:color="auto" w:fill="auto"/>
            <w:vAlign w:val="center"/>
          </w:tcPr>
          <w:p w:rsidR="00AF01AC" w:rsidRPr="0036456A" w:rsidP="00AF01AC" w14:paraId="1B5F0D78" w14:textId="200247BC">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16*</w:t>
            </w:r>
          </w:p>
        </w:tc>
        <w:tc>
          <w:tcPr>
            <w:tcW w:w="1440" w:type="dxa"/>
            <w:tcBorders>
              <w:top w:val="single" w:sz="6" w:space="0" w:color="999999"/>
              <w:left w:val="single" w:sz="6" w:space="0" w:color="999999"/>
              <w:bottom w:val="single" w:sz="12" w:space="0" w:color="auto"/>
              <w:right w:val="single" w:sz="6" w:space="0" w:color="999999"/>
            </w:tcBorders>
            <w:shd w:val="clear" w:color="auto" w:fill="auto"/>
            <w:vAlign w:val="center"/>
          </w:tcPr>
          <w:p w:rsidR="00AF01AC" w:rsidRPr="0036456A" w:rsidP="00AF01AC" w14:paraId="28946752" w14:textId="5757514D">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16</w:t>
            </w:r>
          </w:p>
        </w:tc>
        <w:tc>
          <w:tcPr>
            <w:tcW w:w="1350" w:type="dxa"/>
            <w:tcBorders>
              <w:top w:val="single" w:sz="6" w:space="0" w:color="999999"/>
              <w:left w:val="single" w:sz="6" w:space="0" w:color="999999"/>
              <w:bottom w:val="single" w:sz="12" w:space="0" w:color="auto"/>
              <w:right w:val="single" w:sz="6" w:space="0" w:color="999999"/>
            </w:tcBorders>
            <w:shd w:val="clear" w:color="auto" w:fill="auto"/>
            <w:vAlign w:val="center"/>
          </w:tcPr>
          <w:p w:rsidR="00AF01AC" w:rsidRPr="0036456A" w:rsidP="00AF01AC" w14:paraId="604C8D81" w14:textId="0E236A10">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1.5</w:t>
            </w:r>
          </w:p>
        </w:tc>
        <w:tc>
          <w:tcPr>
            <w:tcW w:w="900" w:type="dxa"/>
            <w:tcBorders>
              <w:top w:val="single" w:sz="6" w:space="0" w:color="999999"/>
              <w:left w:val="single" w:sz="6" w:space="0" w:color="999999"/>
              <w:bottom w:val="single" w:sz="12" w:space="0" w:color="auto"/>
              <w:right w:val="single" w:sz="6" w:space="0" w:color="999999"/>
            </w:tcBorders>
            <w:shd w:val="clear" w:color="auto" w:fill="auto"/>
            <w:vAlign w:val="center"/>
          </w:tcPr>
          <w:p w:rsidR="00AF01AC" w:rsidRPr="0036456A" w:rsidP="00AF01AC" w14:paraId="73DD6A19" w14:textId="010706D2">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24</w:t>
            </w:r>
          </w:p>
        </w:tc>
      </w:tr>
      <w:tr w14:paraId="29F1DB55" w14:textId="77777777" w:rsidTr="001D4C98">
        <w:tblPrEx>
          <w:tblW w:w="7920" w:type="dxa"/>
          <w:tblInd w:w="458" w:type="dxa"/>
          <w:tblLayout w:type="fixed"/>
          <w:tblCellMar>
            <w:left w:w="0" w:type="dxa"/>
            <w:right w:w="0" w:type="dxa"/>
          </w:tblCellMar>
          <w:tblLook w:val="04A0"/>
        </w:tblPrEx>
        <w:trPr>
          <w:trHeight w:val="20"/>
        </w:trPr>
        <w:tc>
          <w:tcPr>
            <w:tcW w:w="1440" w:type="dxa"/>
            <w:vMerge w:val="restart"/>
            <w:tcBorders>
              <w:top w:val="single" w:sz="12" w:space="0" w:color="auto"/>
              <w:left w:val="single" w:sz="6" w:space="0" w:color="999999"/>
              <w:bottom w:val="single" w:sz="12" w:space="0" w:color="auto"/>
              <w:right w:val="single" w:sz="6" w:space="0" w:color="999999"/>
            </w:tcBorders>
            <w:vAlign w:val="center"/>
          </w:tcPr>
          <w:p w:rsidR="002A7454" w:rsidRPr="0036456A" w:rsidP="005308A9" w14:paraId="5B56F478" w14:textId="3BD21F63">
            <w:pPr>
              <w:spacing w:after="0" w:line="240" w:lineRule="auto"/>
              <w:jc w:val="center"/>
              <w:textAlignment w:val="baseline"/>
              <w:rPr>
                <w:rFonts w:ascii="Times New Roman" w:hAnsi="Times New Roman"/>
                <w:sz w:val="20"/>
                <w:szCs w:val="20"/>
              </w:rPr>
            </w:pPr>
            <w:r>
              <w:rPr>
                <w:rFonts w:ascii="Times New Roman" w:hAnsi="Times New Roman"/>
                <w:sz w:val="20"/>
                <w:szCs w:val="20"/>
              </w:rPr>
              <w:t>Older Adults</w:t>
            </w:r>
            <w:r w:rsidRPr="0036456A">
              <w:rPr>
                <w:rFonts w:ascii="Times New Roman" w:hAnsi="Times New Roman"/>
                <w:sz w:val="20"/>
                <w:szCs w:val="20"/>
              </w:rPr>
              <w:t xml:space="preserve"> </w:t>
            </w:r>
            <w:r w:rsidRPr="0036456A" w:rsidR="005308A9">
              <w:rPr>
                <w:rFonts w:ascii="Times New Roman" w:hAnsi="Times New Roman"/>
                <w:sz w:val="20"/>
                <w:szCs w:val="20"/>
              </w:rPr>
              <w:t xml:space="preserve">        </w:t>
            </w:r>
            <w:r w:rsidRPr="0036456A">
              <w:rPr>
                <w:rFonts w:ascii="Times New Roman" w:hAnsi="Times New Roman"/>
                <w:sz w:val="20"/>
                <w:szCs w:val="20"/>
              </w:rPr>
              <w:t>(age &lt;55)</w:t>
            </w:r>
          </w:p>
        </w:tc>
        <w:tc>
          <w:tcPr>
            <w:tcW w:w="1530" w:type="dxa"/>
            <w:tcBorders>
              <w:top w:val="single" w:sz="12" w:space="0" w:color="auto"/>
              <w:left w:val="single" w:sz="6" w:space="0" w:color="999999"/>
              <w:bottom w:val="single" w:sz="6" w:space="0" w:color="999999"/>
              <w:right w:val="single" w:sz="6" w:space="0" w:color="999999"/>
            </w:tcBorders>
            <w:vAlign w:val="center"/>
          </w:tcPr>
          <w:p w:rsidR="002A7454" w:rsidRPr="0036456A" w:rsidP="002A7454" w14:paraId="31ED7517" w14:textId="070AEDA3">
            <w:pPr>
              <w:spacing w:after="0" w:line="240" w:lineRule="auto"/>
              <w:textAlignment w:val="baseline"/>
              <w:rPr>
                <w:rFonts w:ascii="Times New Roman" w:hAnsi="Times New Roman"/>
                <w:sz w:val="20"/>
                <w:szCs w:val="20"/>
              </w:rPr>
            </w:pPr>
            <w:r w:rsidRPr="0036456A">
              <w:rPr>
                <w:rFonts w:ascii="Times New Roman" w:hAnsi="Times New Roman"/>
                <w:sz w:val="20"/>
                <w:szCs w:val="20"/>
              </w:rPr>
              <w:t>Screening</w:t>
            </w:r>
          </w:p>
        </w:tc>
        <w:tc>
          <w:tcPr>
            <w:tcW w:w="1260" w:type="dxa"/>
            <w:tcBorders>
              <w:top w:val="single" w:sz="12" w:space="0" w:color="auto"/>
              <w:left w:val="single" w:sz="6" w:space="0" w:color="999999"/>
              <w:bottom w:val="single" w:sz="6" w:space="0" w:color="999999"/>
              <w:right w:val="single" w:sz="6" w:space="0" w:color="999999"/>
            </w:tcBorders>
            <w:shd w:val="clear" w:color="auto" w:fill="auto"/>
            <w:vAlign w:val="center"/>
          </w:tcPr>
          <w:p w:rsidR="002A7454" w:rsidRPr="0036456A" w:rsidP="00EB611C" w14:paraId="7DB1B07E" w14:textId="494B436E">
            <w:pPr>
              <w:spacing w:after="0" w:line="240" w:lineRule="auto"/>
              <w:jc w:val="center"/>
              <w:textAlignment w:val="baseline"/>
              <w:rPr>
                <w:rFonts w:ascii="Times New Roman" w:hAnsi="Times New Roman"/>
                <w:sz w:val="20"/>
                <w:szCs w:val="20"/>
              </w:rPr>
            </w:pPr>
            <w:r>
              <w:rPr>
                <w:rFonts w:ascii="Times New Roman" w:hAnsi="Times New Roman"/>
                <w:sz w:val="20"/>
                <w:szCs w:val="20"/>
              </w:rPr>
              <w:t>150</w:t>
            </w:r>
          </w:p>
        </w:tc>
        <w:tc>
          <w:tcPr>
            <w:tcW w:w="1440" w:type="dxa"/>
            <w:tcBorders>
              <w:top w:val="single" w:sz="12" w:space="0" w:color="auto"/>
              <w:left w:val="single" w:sz="6" w:space="0" w:color="999999"/>
              <w:bottom w:val="single" w:sz="6" w:space="0" w:color="999999"/>
              <w:right w:val="single" w:sz="6" w:space="0" w:color="999999"/>
            </w:tcBorders>
            <w:shd w:val="clear" w:color="auto" w:fill="auto"/>
            <w:vAlign w:val="center"/>
          </w:tcPr>
          <w:p w:rsidR="002A7454" w:rsidRPr="0036456A" w:rsidP="00EB611C" w14:paraId="61E22715" w14:textId="6766BC28">
            <w:pPr>
              <w:spacing w:after="0" w:line="240" w:lineRule="auto"/>
              <w:jc w:val="center"/>
              <w:textAlignment w:val="baseline"/>
              <w:rPr>
                <w:rFonts w:ascii="Times New Roman" w:hAnsi="Times New Roman"/>
                <w:sz w:val="20"/>
                <w:szCs w:val="20"/>
              </w:rPr>
            </w:pPr>
            <w:r>
              <w:rPr>
                <w:rFonts w:ascii="Times New Roman" w:hAnsi="Times New Roman"/>
                <w:sz w:val="20"/>
                <w:szCs w:val="20"/>
              </w:rPr>
              <w:t>150</w:t>
            </w:r>
          </w:p>
        </w:tc>
        <w:tc>
          <w:tcPr>
            <w:tcW w:w="1350" w:type="dxa"/>
            <w:tcBorders>
              <w:top w:val="single" w:sz="12" w:space="0" w:color="auto"/>
              <w:left w:val="single" w:sz="6" w:space="0" w:color="999999"/>
              <w:bottom w:val="single" w:sz="6" w:space="0" w:color="999999"/>
              <w:right w:val="single" w:sz="6" w:space="0" w:color="999999"/>
            </w:tcBorders>
            <w:shd w:val="clear" w:color="auto" w:fill="auto"/>
            <w:vAlign w:val="center"/>
          </w:tcPr>
          <w:p w:rsidR="002A7454" w:rsidRPr="0036456A" w:rsidP="00EB611C" w14:paraId="3C022FCA" w14:textId="1A05E796">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.15</w:t>
            </w:r>
          </w:p>
        </w:tc>
        <w:tc>
          <w:tcPr>
            <w:tcW w:w="900" w:type="dxa"/>
            <w:tcBorders>
              <w:top w:val="single" w:sz="12" w:space="0" w:color="auto"/>
              <w:left w:val="single" w:sz="6" w:space="0" w:color="999999"/>
              <w:bottom w:val="single" w:sz="6" w:space="0" w:color="999999"/>
              <w:right w:val="single" w:sz="6" w:space="0" w:color="999999"/>
            </w:tcBorders>
            <w:shd w:val="clear" w:color="auto" w:fill="auto"/>
            <w:vAlign w:val="center"/>
          </w:tcPr>
          <w:p w:rsidR="002A7454" w:rsidRPr="0036456A" w:rsidP="00EB611C" w14:paraId="3AF02616" w14:textId="6B4D4BA1">
            <w:pPr>
              <w:spacing w:after="0" w:line="240" w:lineRule="auto"/>
              <w:jc w:val="center"/>
              <w:textAlignment w:val="baseline"/>
              <w:rPr>
                <w:rFonts w:ascii="Times New Roman" w:hAnsi="Times New Roman"/>
                <w:sz w:val="20"/>
                <w:szCs w:val="20"/>
              </w:rPr>
            </w:pPr>
            <w:r>
              <w:rPr>
                <w:rFonts w:ascii="Times New Roman" w:hAnsi="Times New Roman"/>
                <w:sz w:val="20"/>
                <w:szCs w:val="20"/>
              </w:rPr>
              <w:t>22.5</w:t>
            </w:r>
          </w:p>
        </w:tc>
      </w:tr>
      <w:tr w14:paraId="7F9F9453"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2A7454" w:rsidRPr="0036456A" w:rsidP="005308A9" w14:paraId="7195EBFE" w14:textId="58584DA8">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2A7454" w:rsidRPr="0036456A" w:rsidP="002A7454" w14:paraId="1F8B54E1" w14:textId="3E022E08">
            <w:pPr>
              <w:spacing w:after="0" w:line="240" w:lineRule="auto"/>
              <w:textAlignment w:val="baseline"/>
              <w:rPr>
                <w:rFonts w:ascii="Times New Roman" w:hAnsi="Times New Roman"/>
                <w:sz w:val="20"/>
                <w:szCs w:val="20"/>
              </w:rPr>
            </w:pPr>
            <w:r w:rsidRPr="0036456A">
              <w:rPr>
                <w:rFonts w:ascii="Times New Roman" w:hAnsi="Times New Roman"/>
                <w:sz w:val="20"/>
                <w:szCs w:val="20"/>
              </w:rPr>
              <w:t>Follow-Up Contact</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2A7454" w:rsidRPr="0036456A" w:rsidP="00EB611C" w14:paraId="3F43FAE7" w14:textId="3F0B610B">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60*</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2A7454" w:rsidRPr="0036456A" w:rsidP="00EB611C" w14:paraId="69B88100" w14:textId="5DC5992B">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60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2A7454" w:rsidRPr="0036456A" w:rsidP="00EB611C" w14:paraId="6639BF4E" w14:textId="5680A97A">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.05</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2A7454" w:rsidRPr="0036456A" w:rsidP="00EB611C" w14:paraId="506CF92A" w14:textId="20F281EB">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3</w:t>
            </w:r>
          </w:p>
        </w:tc>
      </w:tr>
      <w:tr w14:paraId="08AD4213"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944F81" w:rsidRPr="0036456A" w:rsidP="005308A9" w14:paraId="66D8BA88" w14:textId="77777777">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944F81" w:rsidRPr="0036456A" w:rsidP="00944F81" w14:paraId="2378EE84" w14:textId="2891FB74">
            <w:pPr>
              <w:spacing w:after="0" w:line="240" w:lineRule="auto"/>
              <w:textAlignment w:val="baseline"/>
              <w:rPr>
                <w:rFonts w:ascii="Times New Roman" w:hAnsi="Times New Roman"/>
                <w:sz w:val="20"/>
                <w:szCs w:val="20"/>
              </w:rPr>
            </w:pPr>
            <w:r w:rsidRPr="0036456A">
              <w:rPr>
                <w:rFonts w:ascii="Times New Roman" w:hAnsi="Times New Roman"/>
                <w:sz w:val="20"/>
                <w:szCs w:val="20"/>
              </w:rPr>
              <w:t>Consent Form</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71630223" w14:textId="19B42580">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3F2A8FEF" w14:textId="79CF73E9">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5EE09FE9" w14:textId="126ECA9F">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6A63908C" w14:textId="282537D8">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p>
        </w:tc>
      </w:tr>
      <w:tr w14:paraId="03ACFB5B"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944F81" w:rsidRPr="0036456A" w:rsidP="005308A9" w14:paraId="3E788A3C" w14:textId="77777777">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944F81" w:rsidRPr="0036456A" w:rsidP="00944F81" w14:paraId="315BEB2D" w14:textId="69BD5776">
            <w:pPr>
              <w:spacing w:after="0" w:line="240" w:lineRule="auto"/>
              <w:textAlignment w:val="baseline"/>
              <w:rPr>
                <w:rFonts w:ascii="Times New Roman" w:hAnsi="Times New Roman"/>
                <w:sz w:val="20"/>
                <w:szCs w:val="20"/>
              </w:rPr>
            </w:pPr>
            <w:r w:rsidRPr="0036456A">
              <w:rPr>
                <w:rFonts w:ascii="Times New Roman" w:hAnsi="Times New Roman"/>
                <w:sz w:val="20"/>
                <w:szCs w:val="20"/>
              </w:rPr>
              <w:t>Confirmation</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2E59ECD9" w14:textId="3996217C">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10D0FCA7" w14:textId="4853A15E">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3C79538E" w14:textId="606EF935">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158753F8" w14:textId="33792B1F">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p>
        </w:tc>
      </w:tr>
      <w:tr w14:paraId="580E4630"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vAlign w:val="center"/>
          </w:tcPr>
          <w:p w:rsidR="00AF01AC" w:rsidRPr="0036456A" w:rsidP="005308A9" w14:paraId="5C046406" w14:textId="77777777">
            <w:pPr>
              <w:spacing w:after="0" w:line="240" w:lineRule="auto"/>
              <w:jc w:val="center"/>
              <w:textAlignment w:val="baseline"/>
              <w:rPr>
                <w:rFonts w:ascii="Times New Roman" w:hAnsi="Times New Roman"/>
                <w:sz w:val="20"/>
                <w:szCs w:val="20"/>
              </w:rPr>
            </w:pPr>
          </w:p>
        </w:tc>
        <w:tc>
          <w:tcPr>
            <w:tcW w:w="1530" w:type="dxa"/>
            <w:tcBorders>
              <w:top w:val="single" w:sz="6" w:space="0" w:color="999999"/>
              <w:left w:val="single" w:sz="6" w:space="0" w:color="999999"/>
              <w:bottom w:val="single" w:sz="12" w:space="0" w:color="auto"/>
              <w:right w:val="single" w:sz="6" w:space="0" w:color="999999"/>
            </w:tcBorders>
            <w:vAlign w:val="center"/>
          </w:tcPr>
          <w:p w:rsidR="00AF01AC" w:rsidRPr="0036456A" w:rsidP="00AF01AC" w14:paraId="2F7E2541" w14:textId="633590EC">
            <w:pPr>
              <w:spacing w:after="0" w:line="240" w:lineRule="auto"/>
              <w:textAlignment w:val="baseline"/>
              <w:rPr>
                <w:rFonts w:ascii="Times New Roman" w:hAnsi="Times New Roman"/>
                <w:sz w:val="20"/>
                <w:szCs w:val="20"/>
              </w:rPr>
            </w:pPr>
            <w:r w:rsidRPr="0036456A">
              <w:rPr>
                <w:rFonts w:ascii="Times New Roman" w:hAnsi="Times New Roman"/>
                <w:sz w:val="20"/>
                <w:szCs w:val="20"/>
              </w:rPr>
              <w:t>Focus Group Participation</w:t>
            </w:r>
          </w:p>
        </w:tc>
        <w:tc>
          <w:tcPr>
            <w:tcW w:w="1260" w:type="dxa"/>
            <w:tcBorders>
              <w:top w:val="single" w:sz="6" w:space="0" w:color="999999"/>
              <w:left w:val="single" w:sz="6" w:space="0" w:color="999999"/>
              <w:bottom w:val="single" w:sz="12" w:space="0" w:color="auto"/>
              <w:right w:val="single" w:sz="6" w:space="0" w:color="999999"/>
            </w:tcBorders>
            <w:shd w:val="clear" w:color="auto" w:fill="auto"/>
            <w:vAlign w:val="center"/>
          </w:tcPr>
          <w:p w:rsidR="00AF01AC" w:rsidRPr="0036456A" w:rsidP="00AF01AC" w14:paraId="1567F7BF" w14:textId="00FCCA11">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16*</w:t>
            </w:r>
          </w:p>
        </w:tc>
        <w:tc>
          <w:tcPr>
            <w:tcW w:w="1440" w:type="dxa"/>
            <w:tcBorders>
              <w:top w:val="single" w:sz="6" w:space="0" w:color="999999"/>
              <w:left w:val="single" w:sz="6" w:space="0" w:color="999999"/>
              <w:bottom w:val="single" w:sz="12" w:space="0" w:color="auto"/>
              <w:right w:val="single" w:sz="6" w:space="0" w:color="999999"/>
            </w:tcBorders>
            <w:shd w:val="clear" w:color="auto" w:fill="auto"/>
            <w:vAlign w:val="center"/>
          </w:tcPr>
          <w:p w:rsidR="00AF01AC" w:rsidRPr="0036456A" w:rsidP="00AF01AC" w14:paraId="509818A7" w14:textId="4F4D64DC">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16</w:t>
            </w:r>
          </w:p>
        </w:tc>
        <w:tc>
          <w:tcPr>
            <w:tcW w:w="1350" w:type="dxa"/>
            <w:tcBorders>
              <w:top w:val="single" w:sz="6" w:space="0" w:color="999999"/>
              <w:left w:val="single" w:sz="6" w:space="0" w:color="999999"/>
              <w:bottom w:val="single" w:sz="12" w:space="0" w:color="auto"/>
              <w:right w:val="single" w:sz="6" w:space="0" w:color="999999"/>
            </w:tcBorders>
            <w:shd w:val="clear" w:color="auto" w:fill="auto"/>
            <w:vAlign w:val="center"/>
          </w:tcPr>
          <w:p w:rsidR="00AF01AC" w:rsidRPr="0036456A" w:rsidP="00AF01AC" w14:paraId="75F69655" w14:textId="4B74EF9D">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1.5</w:t>
            </w:r>
          </w:p>
        </w:tc>
        <w:tc>
          <w:tcPr>
            <w:tcW w:w="900" w:type="dxa"/>
            <w:tcBorders>
              <w:top w:val="single" w:sz="6" w:space="0" w:color="999999"/>
              <w:left w:val="single" w:sz="6" w:space="0" w:color="999999"/>
              <w:bottom w:val="single" w:sz="12" w:space="0" w:color="auto"/>
              <w:right w:val="single" w:sz="6" w:space="0" w:color="999999"/>
            </w:tcBorders>
            <w:shd w:val="clear" w:color="auto" w:fill="auto"/>
            <w:vAlign w:val="center"/>
          </w:tcPr>
          <w:p w:rsidR="00AF01AC" w:rsidRPr="0036456A" w:rsidP="00AF01AC" w14:paraId="0FF228A7" w14:textId="42832310">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24</w:t>
            </w:r>
          </w:p>
        </w:tc>
      </w:tr>
      <w:tr w14:paraId="58D1737D" w14:textId="77777777" w:rsidTr="001D4C98">
        <w:tblPrEx>
          <w:tblW w:w="7920" w:type="dxa"/>
          <w:tblInd w:w="458" w:type="dxa"/>
          <w:tblLayout w:type="fixed"/>
          <w:tblCellMar>
            <w:left w:w="0" w:type="dxa"/>
            <w:right w:w="0" w:type="dxa"/>
          </w:tblCellMar>
          <w:tblLook w:val="04A0"/>
        </w:tblPrEx>
        <w:trPr>
          <w:trHeight w:val="20"/>
        </w:trPr>
        <w:tc>
          <w:tcPr>
            <w:tcW w:w="1440" w:type="dxa"/>
            <w:vMerge w:val="restart"/>
            <w:tcBorders>
              <w:top w:val="single" w:sz="12" w:space="0" w:color="auto"/>
              <w:left w:val="single" w:sz="6" w:space="0" w:color="999999"/>
              <w:bottom w:val="single" w:sz="12" w:space="0" w:color="auto"/>
              <w:right w:val="single" w:sz="6" w:space="0" w:color="999999"/>
            </w:tcBorders>
            <w:vAlign w:val="center"/>
          </w:tcPr>
          <w:p w:rsidR="000913BB" w:rsidP="005308A9" w14:paraId="2DD0BD46" w14:textId="77777777">
            <w:pPr>
              <w:spacing w:after="0" w:line="240" w:lineRule="auto"/>
              <w:jc w:val="center"/>
              <w:textAlignment w:val="baseline"/>
              <w:rPr>
                <w:rFonts w:ascii="Times New Roman" w:hAnsi="Times New Roman"/>
                <w:sz w:val="20"/>
                <w:szCs w:val="20"/>
              </w:rPr>
            </w:pPr>
          </w:p>
          <w:p w:rsidR="003B5AEE" w:rsidRPr="0036456A" w:rsidP="000913BB" w14:paraId="1C6A139B" w14:textId="3BF9F255">
            <w:pPr>
              <w:spacing w:after="0" w:line="240" w:lineRule="auto"/>
              <w:textAlignment w:val="baseline"/>
              <w:rPr>
                <w:rFonts w:ascii="Times New Roman" w:hAnsi="Times New Roman"/>
                <w:sz w:val="20"/>
                <w:szCs w:val="20"/>
              </w:rPr>
            </w:pPr>
            <w:r w:rsidRPr="0036456A">
              <w:rPr>
                <w:rFonts w:ascii="Times New Roman" w:hAnsi="Times New Roman"/>
                <w:sz w:val="20"/>
                <w:szCs w:val="20"/>
              </w:rPr>
              <w:t>Low income</w:t>
            </w:r>
          </w:p>
        </w:tc>
        <w:tc>
          <w:tcPr>
            <w:tcW w:w="1530" w:type="dxa"/>
            <w:tcBorders>
              <w:top w:val="single" w:sz="12" w:space="0" w:color="auto"/>
              <w:left w:val="single" w:sz="6" w:space="0" w:color="999999"/>
              <w:bottom w:val="single" w:sz="6" w:space="0" w:color="999999"/>
              <w:right w:val="single" w:sz="6" w:space="0" w:color="999999"/>
            </w:tcBorders>
            <w:vAlign w:val="center"/>
          </w:tcPr>
          <w:p w:rsidR="003B5AEE" w:rsidRPr="0036456A" w:rsidP="003B5AEE" w14:paraId="2C7EDE4D" w14:textId="0F5B5E6C">
            <w:pPr>
              <w:spacing w:after="0" w:line="240" w:lineRule="auto"/>
              <w:textAlignment w:val="baseline"/>
              <w:rPr>
                <w:rFonts w:ascii="Times New Roman" w:hAnsi="Times New Roman"/>
                <w:sz w:val="20"/>
                <w:szCs w:val="20"/>
              </w:rPr>
            </w:pPr>
            <w:r w:rsidRPr="0036456A">
              <w:rPr>
                <w:rFonts w:ascii="Times New Roman" w:hAnsi="Times New Roman"/>
                <w:sz w:val="20"/>
                <w:szCs w:val="20"/>
              </w:rPr>
              <w:t>Screening</w:t>
            </w:r>
          </w:p>
        </w:tc>
        <w:tc>
          <w:tcPr>
            <w:tcW w:w="1260" w:type="dxa"/>
            <w:tcBorders>
              <w:top w:val="single" w:sz="12" w:space="0" w:color="auto"/>
              <w:left w:val="single" w:sz="6" w:space="0" w:color="999999"/>
              <w:bottom w:val="single" w:sz="6" w:space="0" w:color="999999"/>
              <w:right w:val="single" w:sz="6" w:space="0" w:color="999999"/>
            </w:tcBorders>
            <w:shd w:val="clear" w:color="auto" w:fill="auto"/>
            <w:vAlign w:val="center"/>
          </w:tcPr>
          <w:p w:rsidR="003B5AEE" w:rsidRPr="0036456A" w:rsidP="00EB611C" w14:paraId="1A230445" w14:textId="3F41FD52">
            <w:pPr>
              <w:spacing w:after="0" w:line="240" w:lineRule="auto"/>
              <w:jc w:val="center"/>
              <w:textAlignment w:val="baseline"/>
              <w:rPr>
                <w:rFonts w:ascii="Times New Roman" w:hAnsi="Times New Roman"/>
                <w:sz w:val="20"/>
                <w:szCs w:val="20"/>
              </w:rPr>
            </w:pPr>
            <w:r>
              <w:rPr>
                <w:rFonts w:ascii="Times New Roman" w:hAnsi="Times New Roman"/>
                <w:sz w:val="20"/>
                <w:szCs w:val="20"/>
              </w:rPr>
              <w:t>100</w:t>
            </w:r>
          </w:p>
        </w:tc>
        <w:tc>
          <w:tcPr>
            <w:tcW w:w="1440" w:type="dxa"/>
            <w:tcBorders>
              <w:top w:val="single" w:sz="12" w:space="0" w:color="auto"/>
              <w:left w:val="single" w:sz="6" w:space="0" w:color="999999"/>
              <w:bottom w:val="single" w:sz="6" w:space="0" w:color="999999"/>
              <w:right w:val="single" w:sz="6" w:space="0" w:color="999999"/>
            </w:tcBorders>
            <w:shd w:val="clear" w:color="auto" w:fill="auto"/>
            <w:vAlign w:val="center"/>
          </w:tcPr>
          <w:p w:rsidR="003B5AEE" w:rsidRPr="0036456A" w:rsidP="00EB611C" w14:paraId="3B6B3547" w14:textId="61A01372">
            <w:pPr>
              <w:spacing w:after="0" w:line="240" w:lineRule="auto"/>
              <w:jc w:val="center"/>
              <w:textAlignment w:val="baseline"/>
              <w:rPr>
                <w:rFonts w:ascii="Times New Roman" w:hAnsi="Times New Roman"/>
                <w:sz w:val="20"/>
                <w:szCs w:val="20"/>
              </w:rPr>
            </w:pPr>
            <w:r>
              <w:rPr>
                <w:rFonts w:ascii="Times New Roman" w:hAnsi="Times New Roman"/>
                <w:sz w:val="20"/>
                <w:szCs w:val="20"/>
              </w:rPr>
              <w:t>100</w:t>
            </w:r>
          </w:p>
        </w:tc>
        <w:tc>
          <w:tcPr>
            <w:tcW w:w="1350" w:type="dxa"/>
            <w:tcBorders>
              <w:top w:val="single" w:sz="12" w:space="0" w:color="auto"/>
              <w:left w:val="single" w:sz="6" w:space="0" w:color="999999"/>
              <w:bottom w:val="single" w:sz="6" w:space="0" w:color="999999"/>
              <w:right w:val="single" w:sz="6" w:space="0" w:color="999999"/>
            </w:tcBorders>
            <w:shd w:val="clear" w:color="auto" w:fill="auto"/>
            <w:vAlign w:val="center"/>
          </w:tcPr>
          <w:p w:rsidR="003B5AEE" w:rsidRPr="0036456A" w:rsidP="00EB611C" w14:paraId="1AE7BDA9" w14:textId="17645312">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.15</w:t>
            </w:r>
          </w:p>
        </w:tc>
        <w:tc>
          <w:tcPr>
            <w:tcW w:w="900" w:type="dxa"/>
            <w:tcBorders>
              <w:top w:val="single" w:sz="12" w:space="0" w:color="auto"/>
              <w:left w:val="single" w:sz="6" w:space="0" w:color="999999"/>
              <w:bottom w:val="single" w:sz="6" w:space="0" w:color="999999"/>
              <w:right w:val="single" w:sz="6" w:space="0" w:color="999999"/>
            </w:tcBorders>
            <w:shd w:val="clear" w:color="auto" w:fill="auto"/>
            <w:vAlign w:val="center"/>
          </w:tcPr>
          <w:p w:rsidR="003B5AEE" w:rsidRPr="0036456A" w:rsidP="00EB611C" w14:paraId="4763C034" w14:textId="5516E264">
            <w:pPr>
              <w:spacing w:after="0" w:line="240" w:lineRule="auto"/>
              <w:jc w:val="center"/>
              <w:textAlignment w:val="baseline"/>
              <w:rPr>
                <w:rFonts w:ascii="Times New Roman" w:hAnsi="Times New Roman"/>
                <w:sz w:val="20"/>
                <w:szCs w:val="20"/>
              </w:rPr>
            </w:pPr>
            <w:r>
              <w:rPr>
                <w:rFonts w:ascii="Times New Roman" w:hAnsi="Times New Roman"/>
                <w:sz w:val="20"/>
                <w:szCs w:val="20"/>
              </w:rPr>
              <w:t>15</w:t>
            </w:r>
          </w:p>
        </w:tc>
      </w:tr>
      <w:tr w14:paraId="56BAD14E"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tcPr>
          <w:p w:rsidR="003B5AEE" w:rsidRPr="0036456A" w:rsidP="003B5AEE" w14:paraId="2F1F2D52" w14:textId="77777777">
            <w:pPr>
              <w:spacing w:after="0" w:line="240" w:lineRule="auto"/>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3B5AEE" w:rsidRPr="0036456A" w:rsidP="003B5AEE" w14:paraId="5A1A640D" w14:textId="086FACDD">
            <w:pPr>
              <w:spacing w:after="0" w:line="240" w:lineRule="auto"/>
              <w:textAlignment w:val="baseline"/>
              <w:rPr>
                <w:rFonts w:ascii="Times New Roman" w:hAnsi="Times New Roman"/>
                <w:sz w:val="20"/>
                <w:szCs w:val="20"/>
              </w:rPr>
            </w:pPr>
            <w:r w:rsidRPr="0036456A">
              <w:rPr>
                <w:rFonts w:ascii="Times New Roman" w:hAnsi="Times New Roman"/>
                <w:sz w:val="20"/>
                <w:szCs w:val="20"/>
              </w:rPr>
              <w:t>Follow-Up Contact</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3B5AEE" w:rsidRPr="0036456A" w:rsidP="00EB611C" w14:paraId="417D2894" w14:textId="19A9801B">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40*</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3B5AEE" w:rsidRPr="0036456A" w:rsidP="00EB611C" w14:paraId="54FBB03D" w14:textId="16A4594A">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40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3B5AEE" w:rsidRPr="0036456A" w:rsidP="00EB611C" w14:paraId="56A4E41C" w14:textId="7ED393FB">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.05</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3B5AEE" w:rsidRPr="0036456A" w:rsidP="00EB611C" w14:paraId="0ECFD8BF" w14:textId="160A69A6">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p>
        </w:tc>
      </w:tr>
      <w:tr w14:paraId="15B01BCF"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tcPr>
          <w:p w:rsidR="00944F81" w:rsidRPr="0036456A" w:rsidP="00944F81" w14:paraId="49797F97" w14:textId="77777777">
            <w:pPr>
              <w:spacing w:after="0" w:line="240" w:lineRule="auto"/>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944F81" w:rsidRPr="0036456A" w:rsidP="00944F81" w14:paraId="5520A436" w14:textId="3F475AF3">
            <w:pPr>
              <w:spacing w:after="0" w:line="240" w:lineRule="auto"/>
              <w:textAlignment w:val="baseline"/>
              <w:rPr>
                <w:rFonts w:ascii="Times New Roman" w:hAnsi="Times New Roman"/>
                <w:sz w:val="20"/>
                <w:szCs w:val="20"/>
              </w:rPr>
            </w:pPr>
            <w:r w:rsidRPr="0036456A">
              <w:rPr>
                <w:rFonts w:ascii="Times New Roman" w:hAnsi="Times New Roman"/>
                <w:sz w:val="20"/>
                <w:szCs w:val="20"/>
              </w:rPr>
              <w:t>Consent Form</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60489C15" w14:textId="0A95D024">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6BA8A1B7" w14:textId="77904729">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3F50DC1F" w14:textId="15E0F81A">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1C1967CE" w14:textId="231D1782">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p>
        </w:tc>
      </w:tr>
      <w:tr w14:paraId="59A9734F"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tcPr>
          <w:p w:rsidR="00944F81" w:rsidRPr="0036456A" w:rsidP="00944F81" w14:paraId="344BEA45" w14:textId="77777777">
            <w:pPr>
              <w:spacing w:after="0" w:line="240" w:lineRule="auto"/>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944F81" w:rsidRPr="0036456A" w:rsidP="00944F81" w14:paraId="5F672C4F" w14:textId="2F78ECC0">
            <w:pPr>
              <w:spacing w:after="0" w:line="240" w:lineRule="auto"/>
              <w:textAlignment w:val="baseline"/>
              <w:rPr>
                <w:rFonts w:ascii="Times New Roman" w:hAnsi="Times New Roman"/>
                <w:sz w:val="20"/>
                <w:szCs w:val="20"/>
              </w:rPr>
            </w:pPr>
            <w:r w:rsidRPr="0036456A">
              <w:rPr>
                <w:rFonts w:ascii="Times New Roman" w:hAnsi="Times New Roman"/>
                <w:sz w:val="20"/>
                <w:szCs w:val="20"/>
              </w:rPr>
              <w:t>Confirmation</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141BCB56" w14:textId="63B20861">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05F2E84B" w14:textId="37F6FB4D">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20</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52C62DA2" w14:textId="729AB0EB">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944F81" w:rsidRPr="0036456A" w:rsidP="00944F81" w14:paraId="17D17606" w14:textId="74F1085B">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w:t>
            </w:r>
          </w:p>
        </w:tc>
      </w:tr>
      <w:tr w14:paraId="10001D75" w14:textId="77777777" w:rsidTr="001D4C98">
        <w:tblPrEx>
          <w:tblW w:w="7920" w:type="dxa"/>
          <w:tblInd w:w="458" w:type="dxa"/>
          <w:tblLayout w:type="fixed"/>
          <w:tblCellMar>
            <w:left w:w="0" w:type="dxa"/>
            <w:right w:w="0" w:type="dxa"/>
          </w:tblCellMar>
          <w:tblLook w:val="04A0"/>
        </w:tblPrEx>
        <w:trPr>
          <w:trHeight w:val="20"/>
        </w:trPr>
        <w:tc>
          <w:tcPr>
            <w:tcW w:w="1440" w:type="dxa"/>
            <w:vMerge/>
            <w:tcBorders>
              <w:top w:val="nil"/>
              <w:left w:val="single" w:sz="6" w:space="0" w:color="999999"/>
              <w:bottom w:val="single" w:sz="12" w:space="0" w:color="auto"/>
              <w:right w:val="single" w:sz="6" w:space="0" w:color="999999"/>
            </w:tcBorders>
          </w:tcPr>
          <w:p w:rsidR="00AF01AC" w:rsidRPr="0036456A" w:rsidP="00AF01AC" w14:paraId="723CE4F2" w14:textId="77777777">
            <w:pPr>
              <w:spacing w:after="0" w:line="240" w:lineRule="auto"/>
              <w:textAlignment w:val="baseline"/>
              <w:rPr>
                <w:rFonts w:ascii="Times New Roman" w:hAnsi="Times New Roman"/>
                <w:sz w:val="20"/>
                <w:szCs w:val="20"/>
              </w:rPr>
            </w:pPr>
          </w:p>
        </w:tc>
        <w:tc>
          <w:tcPr>
            <w:tcW w:w="1530" w:type="dxa"/>
            <w:tcBorders>
              <w:top w:val="single" w:sz="6" w:space="0" w:color="999999"/>
              <w:left w:val="single" w:sz="6" w:space="0" w:color="999999"/>
              <w:bottom w:val="single" w:sz="6" w:space="0" w:color="999999"/>
              <w:right w:val="single" w:sz="6" w:space="0" w:color="999999"/>
            </w:tcBorders>
            <w:vAlign w:val="center"/>
          </w:tcPr>
          <w:p w:rsidR="00AF01AC" w:rsidRPr="0036456A" w:rsidP="00AF01AC" w14:paraId="2527FD72" w14:textId="510F75C6">
            <w:pPr>
              <w:spacing w:after="0" w:line="240" w:lineRule="auto"/>
              <w:textAlignment w:val="baseline"/>
              <w:rPr>
                <w:rFonts w:ascii="Times New Roman" w:hAnsi="Times New Roman"/>
                <w:sz w:val="20"/>
                <w:szCs w:val="20"/>
              </w:rPr>
            </w:pPr>
            <w:r w:rsidRPr="0036456A">
              <w:rPr>
                <w:rFonts w:ascii="Times New Roman" w:hAnsi="Times New Roman"/>
                <w:sz w:val="20"/>
                <w:szCs w:val="20"/>
              </w:rPr>
              <w:t>Focus Group Participation</w:t>
            </w:r>
          </w:p>
        </w:tc>
        <w:tc>
          <w:tcPr>
            <w:tcW w:w="1260" w:type="dxa"/>
            <w:tcBorders>
              <w:top w:val="single" w:sz="6" w:space="0" w:color="999999"/>
              <w:left w:val="single" w:sz="6" w:space="0" w:color="999999"/>
              <w:bottom w:val="single" w:sz="6" w:space="0" w:color="999999"/>
              <w:right w:val="single" w:sz="6" w:space="0" w:color="999999"/>
            </w:tcBorders>
            <w:shd w:val="clear" w:color="auto" w:fill="auto"/>
            <w:vAlign w:val="center"/>
          </w:tcPr>
          <w:p w:rsidR="00AF01AC" w:rsidRPr="0036456A" w:rsidP="00AF01AC" w14:paraId="0A32B6B0" w14:textId="4D76B272">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16*</w:t>
            </w:r>
          </w:p>
        </w:tc>
        <w:tc>
          <w:tcPr>
            <w:tcW w:w="1440" w:type="dxa"/>
            <w:tcBorders>
              <w:top w:val="single" w:sz="6" w:space="0" w:color="999999"/>
              <w:left w:val="single" w:sz="6" w:space="0" w:color="999999"/>
              <w:bottom w:val="single" w:sz="6" w:space="0" w:color="999999"/>
              <w:right w:val="single" w:sz="6" w:space="0" w:color="999999"/>
            </w:tcBorders>
            <w:shd w:val="clear" w:color="auto" w:fill="auto"/>
            <w:vAlign w:val="center"/>
          </w:tcPr>
          <w:p w:rsidR="00AF01AC" w:rsidRPr="0036456A" w:rsidP="00AF01AC" w14:paraId="56974139" w14:textId="26E4119C">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16</w:t>
            </w:r>
          </w:p>
        </w:tc>
        <w:tc>
          <w:tcPr>
            <w:tcW w:w="1350" w:type="dxa"/>
            <w:tcBorders>
              <w:top w:val="single" w:sz="6" w:space="0" w:color="999999"/>
              <w:left w:val="single" w:sz="6" w:space="0" w:color="999999"/>
              <w:bottom w:val="single" w:sz="6" w:space="0" w:color="999999"/>
              <w:right w:val="single" w:sz="6" w:space="0" w:color="999999"/>
            </w:tcBorders>
            <w:shd w:val="clear" w:color="auto" w:fill="auto"/>
            <w:vAlign w:val="center"/>
          </w:tcPr>
          <w:p w:rsidR="00AF01AC" w:rsidRPr="0036456A" w:rsidP="00AF01AC" w14:paraId="03AE05E5" w14:textId="6B11BCFC">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1.5</w:t>
            </w:r>
          </w:p>
        </w:tc>
        <w:tc>
          <w:tcPr>
            <w:tcW w:w="900" w:type="dxa"/>
            <w:tcBorders>
              <w:top w:val="single" w:sz="6" w:space="0" w:color="999999"/>
              <w:left w:val="single" w:sz="6" w:space="0" w:color="999999"/>
              <w:bottom w:val="single" w:sz="6" w:space="0" w:color="999999"/>
              <w:right w:val="single" w:sz="6" w:space="0" w:color="999999"/>
            </w:tcBorders>
            <w:shd w:val="clear" w:color="auto" w:fill="auto"/>
            <w:vAlign w:val="center"/>
          </w:tcPr>
          <w:p w:rsidR="00AF01AC" w:rsidRPr="0036456A" w:rsidP="00AF01AC" w14:paraId="4624E208" w14:textId="6D06A6D1">
            <w:pPr>
              <w:spacing w:after="0" w:line="240" w:lineRule="auto"/>
              <w:jc w:val="center"/>
              <w:textAlignment w:val="baseline"/>
              <w:rPr>
                <w:rFonts w:ascii="Times New Roman" w:hAnsi="Times New Roman"/>
                <w:sz w:val="20"/>
                <w:szCs w:val="20"/>
              </w:rPr>
            </w:pPr>
            <w:r w:rsidRPr="0036456A">
              <w:rPr>
                <w:rFonts w:ascii="Times New Roman" w:hAnsi="Times New Roman"/>
                <w:sz w:val="20"/>
                <w:szCs w:val="20"/>
              </w:rPr>
              <w:t>24</w:t>
            </w:r>
          </w:p>
        </w:tc>
      </w:tr>
      <w:tr w14:paraId="53F8CF25" w14:textId="77777777" w:rsidTr="001D4C98">
        <w:tblPrEx>
          <w:tblW w:w="7920" w:type="dxa"/>
          <w:tblInd w:w="458" w:type="dxa"/>
          <w:tblLayout w:type="fixed"/>
          <w:tblCellMar>
            <w:left w:w="0" w:type="dxa"/>
            <w:right w:w="0" w:type="dxa"/>
          </w:tblCellMar>
          <w:tblLook w:val="04A0"/>
        </w:tblPrEx>
        <w:trPr>
          <w:trHeight w:val="20"/>
        </w:trPr>
        <w:tc>
          <w:tcPr>
            <w:tcW w:w="7020" w:type="dxa"/>
            <w:gridSpan w:val="5"/>
            <w:tcBorders>
              <w:top w:val="double" w:sz="6" w:space="0" w:color="666666"/>
              <w:left w:val="single" w:sz="6" w:space="0" w:color="999999"/>
              <w:bottom w:val="single" w:sz="6" w:space="0" w:color="999999"/>
              <w:right w:val="single" w:sz="6" w:space="0" w:color="999999"/>
            </w:tcBorders>
          </w:tcPr>
          <w:p w:rsidR="00DA090E" w:rsidRPr="0036456A" w:rsidP="00EB611C" w14:paraId="3D00987B" w14:textId="5064988F">
            <w:pPr>
              <w:spacing w:after="0" w:line="240" w:lineRule="auto"/>
              <w:jc w:val="center"/>
              <w:textAlignment w:val="baseline"/>
              <w:rPr>
                <w:rFonts w:ascii="Times New Roman" w:hAnsi="Times New Roman"/>
                <w:b/>
                <w:sz w:val="20"/>
                <w:szCs w:val="20"/>
              </w:rPr>
            </w:pPr>
            <w:r w:rsidRPr="0036456A">
              <w:rPr>
                <w:rFonts w:ascii="Times New Roman" w:hAnsi="Times New Roman"/>
                <w:b/>
                <w:sz w:val="20"/>
                <w:szCs w:val="20"/>
              </w:rPr>
              <w:t>Total Burden</w:t>
            </w:r>
          </w:p>
        </w:tc>
        <w:tc>
          <w:tcPr>
            <w:tcW w:w="900" w:type="dxa"/>
            <w:tcBorders>
              <w:top w:val="double" w:sz="6" w:space="0" w:color="666666"/>
              <w:left w:val="single" w:sz="6" w:space="0" w:color="999999"/>
              <w:bottom w:val="single" w:sz="6" w:space="0" w:color="999999"/>
              <w:right w:val="single" w:sz="6" w:space="0" w:color="999999"/>
            </w:tcBorders>
            <w:shd w:val="clear" w:color="auto" w:fill="auto"/>
            <w:vAlign w:val="center"/>
          </w:tcPr>
          <w:p w:rsidR="00DA090E" w:rsidRPr="0036456A" w:rsidP="00EB611C" w14:paraId="5AE67E6C" w14:textId="69F7F855">
            <w:pPr>
              <w:spacing w:after="0" w:line="240" w:lineRule="auto"/>
              <w:jc w:val="center"/>
              <w:textAlignment w:val="baseline"/>
              <w:rPr>
                <w:rFonts w:ascii="Times New Roman" w:hAnsi="Times New Roman"/>
                <w:b/>
                <w:sz w:val="20"/>
                <w:szCs w:val="20"/>
              </w:rPr>
            </w:pPr>
            <w:r>
              <w:rPr>
                <w:rFonts w:ascii="Times New Roman" w:hAnsi="Times New Roman"/>
                <w:b/>
                <w:sz w:val="20"/>
                <w:szCs w:val="20"/>
              </w:rPr>
              <w:t>250.5</w:t>
            </w:r>
          </w:p>
        </w:tc>
      </w:tr>
    </w:tbl>
    <w:p w:rsidR="006C0A7F" w:rsidP="005A58B3" w14:paraId="74F04DDC" w14:textId="4F888EE6">
      <w:pPr>
        <w:pStyle w:val="BodyText"/>
        <w:spacing w:after="120" w:line="240" w:lineRule="auto"/>
        <w:ind w:left="360"/>
        <w:rPr>
          <w:rFonts w:asciiTheme="minorHAnsi" w:hAnsiTheme="minorHAnsi" w:cstheme="minorHAnsi"/>
        </w:rPr>
      </w:pPr>
      <w:r>
        <w:rPr>
          <w:rFonts w:asciiTheme="minorHAnsi" w:hAnsiTheme="minorHAnsi" w:cstheme="minorHAnsi"/>
        </w:rPr>
        <w:t xml:space="preserve">*Subset of </w:t>
      </w:r>
      <w:r w:rsidR="002E52D7">
        <w:rPr>
          <w:rFonts w:asciiTheme="minorHAnsi" w:hAnsiTheme="minorHAnsi" w:cstheme="minorHAnsi"/>
        </w:rPr>
        <w:t>participants screened</w:t>
      </w:r>
      <w:r w:rsidR="0030642B">
        <w:rPr>
          <w:rFonts w:asciiTheme="minorHAnsi" w:hAnsiTheme="minorHAnsi" w:cstheme="minorHAnsi"/>
        </w:rPr>
        <w:t>, and therefore is not double counted in the total number of respondents.</w:t>
      </w:r>
    </w:p>
    <w:p w:rsidR="002755A8" w:rsidRPr="00EB611C" w:rsidP="00D63683" w14:paraId="44DEEE23" w14:textId="77777777">
      <w:pPr>
        <w:pStyle w:val="BodyText"/>
        <w:spacing w:after="0" w:line="240" w:lineRule="auto"/>
        <w:ind w:left="360"/>
        <w:rPr>
          <w:rFonts w:asciiTheme="minorHAnsi" w:hAnsiTheme="minorHAnsi" w:cstheme="minorHAnsi"/>
        </w:rPr>
      </w:pPr>
    </w:p>
    <w:p w:rsidR="0016480E" w:rsidRPr="00E82BBA" w:rsidP="00CB4C64" w14:paraId="3A071A45" w14:textId="4836A081">
      <w:pPr>
        <w:pStyle w:val="Heading2"/>
      </w:pPr>
      <w:bookmarkStart w:id="12" w:name="_Toc123908526"/>
      <w:r w:rsidRPr="00E82BBA">
        <w:t xml:space="preserve">Cost To </w:t>
      </w:r>
      <w:r w:rsidR="008F1445">
        <w:t xml:space="preserve">the </w:t>
      </w:r>
      <w:r w:rsidRPr="00E82BBA">
        <w:t>Federal Government</w:t>
      </w:r>
      <w:bookmarkEnd w:id="12"/>
      <w:r w:rsidRPr="00E82BBA">
        <w:t xml:space="preserve"> </w:t>
      </w:r>
    </w:p>
    <w:p w:rsidR="00456167" w:rsidRPr="00E82BBA" w:rsidP="002755A8" w14:paraId="4228FB80" w14:textId="0D0F787E">
      <w:pPr>
        <w:pStyle w:val="BodyText"/>
        <w:spacing w:after="120" w:line="259" w:lineRule="auto"/>
        <w:ind w:left="360"/>
        <w:rPr>
          <w:rFonts w:asciiTheme="minorHAnsi" w:hAnsiTheme="minorHAnsi" w:cstheme="minorHAnsi"/>
        </w:rPr>
      </w:pPr>
      <w:r w:rsidRPr="00E82BBA">
        <w:rPr>
          <w:rFonts w:asciiTheme="minorHAnsi" w:hAnsiTheme="minorHAnsi" w:cstheme="minorHAnsi"/>
        </w:rPr>
        <w:t xml:space="preserve">The total cost of the study is </w:t>
      </w:r>
      <w:r w:rsidRPr="00E82BBA" w:rsidR="0016480E">
        <w:rPr>
          <w:rFonts w:asciiTheme="minorHAnsi" w:hAnsiTheme="minorHAnsi" w:cstheme="minorHAnsi"/>
        </w:rPr>
        <w:t>$160,120</w:t>
      </w:r>
      <w:r w:rsidR="00BE0593">
        <w:rPr>
          <w:rFonts w:asciiTheme="minorHAnsi" w:hAnsiTheme="minorHAnsi" w:cstheme="minorHAnsi"/>
        </w:rPr>
        <w:t xml:space="preserve">. </w:t>
      </w:r>
      <w:r w:rsidR="005B7079">
        <w:rPr>
          <w:rFonts w:asciiTheme="minorHAnsi" w:hAnsiTheme="minorHAnsi" w:cstheme="minorHAnsi"/>
        </w:rPr>
        <w:t>This cost includes recruitment, data collection, analyses, report writing, and participant incentives.</w:t>
      </w:r>
      <w:r w:rsidRPr="00E82BBA">
        <w:rPr>
          <w:rFonts w:asciiTheme="minorHAnsi" w:hAnsiTheme="minorHAnsi" w:cstheme="minorHAnsi"/>
          <w:b/>
          <w:bCs/>
          <w:sz w:val="26"/>
          <w:szCs w:val="26"/>
        </w:rPr>
        <w:t xml:space="preserve"> </w:t>
      </w:r>
    </w:p>
    <w:p w:rsidR="000F1157" w:rsidRPr="00E82BBA" w:rsidP="00CB4C64" w14:paraId="1E90B0CC" w14:textId="77777777">
      <w:pPr>
        <w:pStyle w:val="Heading2"/>
      </w:pPr>
      <w:r w:rsidRPr="00E82BBA">
        <w:t xml:space="preserve"> </w:t>
      </w:r>
      <w:bookmarkStart w:id="13" w:name="_Toc123908527"/>
      <w:r w:rsidRPr="00E82BBA">
        <w:t>Schedule</w:t>
      </w:r>
      <w:bookmarkEnd w:id="13"/>
      <w:r w:rsidRPr="00E82BBA">
        <w:t xml:space="preserve"> </w:t>
      </w:r>
      <w:r w:rsidRPr="00E82BBA" w:rsidR="00CC46EF">
        <w:t xml:space="preserve"> </w:t>
      </w:r>
    </w:p>
    <w:p w:rsidR="00CC46EF" w:rsidP="00EB611C" w14:paraId="4C3A5A29" w14:textId="1182AF18">
      <w:pPr>
        <w:pStyle w:val="BodyText"/>
        <w:spacing w:after="120" w:line="259" w:lineRule="auto"/>
        <w:ind w:left="360"/>
        <w:rPr>
          <w:rFonts w:eastAsia="Times New Roman" w:asciiTheme="minorHAnsi" w:hAnsiTheme="minorHAnsi" w:cstheme="minorHAnsi"/>
        </w:rPr>
      </w:pPr>
      <w:r w:rsidRPr="00E82BBA">
        <w:t>EurekaFacts will begin recruiting and screening potential participants upon receiving OMB clearance</w:t>
      </w:r>
      <w:r w:rsidRPr="00E82BBA">
        <w:rPr>
          <w:rFonts w:eastAsia="Times New Roman" w:asciiTheme="minorHAnsi" w:hAnsiTheme="minorHAnsi" w:cstheme="minorHAnsi"/>
        </w:rPr>
        <w:t xml:space="preserve">. Focus groups are </w:t>
      </w:r>
      <w:r w:rsidR="008D4926">
        <w:rPr>
          <w:rFonts w:eastAsia="Times New Roman" w:asciiTheme="minorHAnsi" w:hAnsiTheme="minorHAnsi" w:cstheme="minorHAnsi"/>
        </w:rPr>
        <w:t xml:space="preserve">tentatively </w:t>
      </w:r>
      <w:r w:rsidRPr="00E82BBA">
        <w:rPr>
          <w:rFonts w:eastAsia="Times New Roman" w:asciiTheme="minorHAnsi" w:hAnsiTheme="minorHAnsi" w:cstheme="minorHAnsi"/>
        </w:rPr>
        <w:t xml:space="preserve">scheduled to begin </w:t>
      </w:r>
      <w:r w:rsidRPr="00E82BBA" w:rsidR="00230A47">
        <w:rPr>
          <w:rFonts w:eastAsia="Times New Roman" w:asciiTheme="minorHAnsi" w:hAnsiTheme="minorHAnsi" w:cstheme="minorHAnsi"/>
        </w:rPr>
        <w:t xml:space="preserve">by </w:t>
      </w:r>
      <w:r w:rsidRPr="00E82BBA" w:rsidR="001E193F">
        <w:rPr>
          <w:rFonts w:eastAsia="Times New Roman" w:asciiTheme="minorHAnsi" w:hAnsiTheme="minorHAnsi" w:cstheme="minorHAnsi"/>
        </w:rPr>
        <w:t>May</w:t>
      </w:r>
      <w:r w:rsidRPr="00E82BBA" w:rsidR="007B237C">
        <w:rPr>
          <w:rFonts w:eastAsia="Times New Roman" w:asciiTheme="minorHAnsi" w:hAnsiTheme="minorHAnsi" w:cstheme="minorHAnsi"/>
        </w:rPr>
        <w:t xml:space="preserve"> 1, 2023</w:t>
      </w:r>
      <w:r w:rsidR="008D4926">
        <w:rPr>
          <w:rFonts w:eastAsia="Times New Roman" w:asciiTheme="minorHAnsi" w:hAnsiTheme="minorHAnsi" w:cstheme="minorHAnsi"/>
        </w:rPr>
        <w:t xml:space="preserve">, </w:t>
      </w:r>
      <w:r w:rsidR="00EB611C">
        <w:rPr>
          <w:rFonts w:eastAsia="Times New Roman" w:asciiTheme="minorHAnsi" w:hAnsiTheme="minorHAnsi" w:cstheme="minorHAnsi"/>
        </w:rPr>
        <w:t>depending</w:t>
      </w:r>
      <w:r w:rsidR="008D4926">
        <w:rPr>
          <w:rFonts w:eastAsia="Times New Roman" w:asciiTheme="minorHAnsi" w:hAnsiTheme="minorHAnsi" w:cstheme="minorHAnsi"/>
        </w:rPr>
        <w:t xml:space="preserve"> o</w:t>
      </w:r>
      <w:r w:rsidR="00EB611C">
        <w:rPr>
          <w:rFonts w:eastAsia="Times New Roman" w:asciiTheme="minorHAnsi" w:hAnsiTheme="minorHAnsi" w:cstheme="minorHAnsi"/>
        </w:rPr>
        <w:t>n</w:t>
      </w:r>
      <w:r w:rsidR="008D4926">
        <w:rPr>
          <w:rFonts w:eastAsia="Times New Roman" w:asciiTheme="minorHAnsi" w:hAnsiTheme="minorHAnsi" w:cstheme="minorHAnsi"/>
        </w:rPr>
        <w:t xml:space="preserve"> when OMB clearance is authorized</w:t>
      </w:r>
      <w:r w:rsidRPr="00E82BBA" w:rsidR="007B237C">
        <w:rPr>
          <w:rFonts w:eastAsia="Times New Roman" w:asciiTheme="minorHAnsi" w:hAnsiTheme="minorHAnsi" w:cstheme="minorHAnsi"/>
        </w:rPr>
        <w:t xml:space="preserve">. </w:t>
      </w:r>
    </w:p>
    <w:tbl>
      <w:tblPr>
        <w:tblStyle w:val="TableGrid"/>
        <w:tblW w:w="8990" w:type="dxa"/>
        <w:tblInd w:w="357" w:type="dxa"/>
        <w:tblLook w:val="04A0"/>
      </w:tblPr>
      <w:tblGrid>
        <w:gridCol w:w="4495"/>
        <w:gridCol w:w="4495"/>
      </w:tblGrid>
      <w:tr w14:paraId="4690DCD5" w14:textId="77777777" w:rsidTr="56BB1422">
        <w:tblPrEx>
          <w:tblW w:w="8990" w:type="dxa"/>
          <w:tblInd w:w="357" w:type="dxa"/>
          <w:tblLook w:val="04A0"/>
        </w:tblPrEx>
        <w:tc>
          <w:tcPr>
            <w:tcW w:w="449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rsidR="009740CD" w:rsidRPr="009740CD" w:rsidP="56BB1422" w14:paraId="7DFD39C9" w14:textId="0474A311">
            <w:pPr>
              <w:pStyle w:val="BodyText"/>
              <w:spacing w:after="120" w:line="259" w:lineRule="auto"/>
              <w:rPr>
                <w:rFonts w:ascii="Times New Roman" w:hAnsi="Times New Roman"/>
                <w:b/>
                <w:bCs/>
                <w:sz w:val="20"/>
                <w:szCs w:val="20"/>
              </w:rPr>
            </w:pPr>
            <w:r w:rsidRPr="56BB1422">
              <w:rPr>
                <w:rFonts w:ascii="Times New Roman" w:hAnsi="Times New Roman"/>
                <w:b/>
                <w:bCs/>
                <w:sz w:val="20"/>
                <w:szCs w:val="20"/>
              </w:rPr>
              <w:t>Activity</w:t>
            </w:r>
          </w:p>
        </w:tc>
        <w:tc>
          <w:tcPr>
            <w:tcW w:w="449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rsidR="009740CD" w:rsidRPr="009740CD" w:rsidP="56BB1422" w14:paraId="769ED651" w14:textId="0C8BF579">
            <w:pPr>
              <w:pStyle w:val="BodyText"/>
              <w:spacing w:after="120" w:line="259" w:lineRule="auto"/>
              <w:rPr>
                <w:rFonts w:ascii="Times New Roman" w:hAnsi="Times New Roman"/>
                <w:b/>
                <w:bCs/>
                <w:sz w:val="20"/>
                <w:szCs w:val="20"/>
              </w:rPr>
            </w:pPr>
            <w:r w:rsidRPr="56BB1422">
              <w:rPr>
                <w:rFonts w:ascii="Times New Roman" w:hAnsi="Times New Roman"/>
                <w:b/>
                <w:bCs/>
                <w:sz w:val="20"/>
                <w:szCs w:val="20"/>
              </w:rPr>
              <w:t>Tentative Dates</w:t>
            </w:r>
          </w:p>
        </w:tc>
      </w:tr>
      <w:tr w14:paraId="4ABD4E07" w14:textId="77777777" w:rsidTr="56BB1422">
        <w:tblPrEx>
          <w:tblW w:w="8990" w:type="dxa"/>
          <w:tblInd w:w="357" w:type="dxa"/>
          <w:tblLook w:val="04A0"/>
        </w:tblPrEx>
        <w:tc>
          <w:tcPr>
            <w:tcW w:w="4495" w:type="dxa"/>
            <w:tcBorders>
              <w:top w:val="single" w:sz="4" w:space="0" w:color="auto"/>
            </w:tcBorders>
            <w:vAlign w:val="center"/>
          </w:tcPr>
          <w:p w:rsidR="009740CD" w:rsidP="56BB1422" w14:paraId="4A41B704" w14:textId="6327F657">
            <w:pPr>
              <w:pStyle w:val="BodyText"/>
              <w:spacing w:after="120" w:line="259" w:lineRule="auto"/>
              <w:rPr>
                <w:rFonts w:eastAsia="Times New Roman" w:asciiTheme="minorHAnsi" w:hAnsiTheme="minorHAnsi" w:cstheme="minorBidi"/>
                <w:sz w:val="20"/>
                <w:szCs w:val="20"/>
              </w:rPr>
            </w:pPr>
            <w:r w:rsidRPr="56BB1422">
              <w:rPr>
                <w:rFonts w:ascii="Times New Roman" w:hAnsi="Times New Roman"/>
                <w:sz w:val="20"/>
                <w:szCs w:val="20"/>
              </w:rPr>
              <w:t xml:space="preserve">Recruitment </w:t>
            </w:r>
          </w:p>
        </w:tc>
        <w:tc>
          <w:tcPr>
            <w:tcW w:w="4495" w:type="dxa"/>
            <w:tcBorders>
              <w:top w:val="single" w:sz="4" w:space="0" w:color="auto"/>
            </w:tcBorders>
            <w:vAlign w:val="center"/>
          </w:tcPr>
          <w:p w:rsidR="009740CD" w:rsidP="56BB1422" w14:paraId="5616FB8E" w14:textId="0F22553B">
            <w:pPr>
              <w:pStyle w:val="BodyText"/>
              <w:spacing w:after="120" w:line="259" w:lineRule="auto"/>
              <w:rPr>
                <w:rFonts w:eastAsia="Times New Roman" w:asciiTheme="minorHAnsi" w:hAnsiTheme="minorHAnsi" w:cstheme="minorBidi"/>
                <w:sz w:val="20"/>
                <w:szCs w:val="20"/>
              </w:rPr>
            </w:pPr>
            <w:r w:rsidRPr="56BB1422">
              <w:rPr>
                <w:rFonts w:ascii="Times New Roman" w:hAnsi="Times New Roman"/>
                <w:sz w:val="20"/>
                <w:szCs w:val="20"/>
              </w:rPr>
              <w:t>Mid-April – May 2023</w:t>
            </w:r>
          </w:p>
        </w:tc>
      </w:tr>
      <w:tr w14:paraId="2F01EF3E" w14:textId="77777777" w:rsidTr="56BB1422">
        <w:tblPrEx>
          <w:tblW w:w="8990" w:type="dxa"/>
          <w:tblInd w:w="357" w:type="dxa"/>
          <w:tblLook w:val="04A0"/>
        </w:tblPrEx>
        <w:tc>
          <w:tcPr>
            <w:tcW w:w="4495" w:type="dxa"/>
            <w:vAlign w:val="center"/>
          </w:tcPr>
          <w:p w:rsidR="009740CD" w:rsidP="56BB1422" w14:paraId="5B673B68" w14:textId="332C61F2">
            <w:pPr>
              <w:pStyle w:val="BodyText"/>
              <w:spacing w:after="120" w:line="259" w:lineRule="auto"/>
              <w:rPr>
                <w:rFonts w:eastAsia="Times New Roman" w:asciiTheme="minorHAnsi" w:hAnsiTheme="minorHAnsi" w:cstheme="minorBidi"/>
                <w:sz w:val="20"/>
                <w:szCs w:val="20"/>
              </w:rPr>
            </w:pPr>
            <w:r w:rsidRPr="56BB1422">
              <w:rPr>
                <w:rFonts w:ascii="Times New Roman" w:hAnsi="Times New Roman"/>
                <w:sz w:val="20"/>
                <w:szCs w:val="20"/>
              </w:rPr>
              <w:t>Focus group sessions</w:t>
            </w:r>
          </w:p>
        </w:tc>
        <w:tc>
          <w:tcPr>
            <w:tcW w:w="4495" w:type="dxa"/>
            <w:vAlign w:val="center"/>
          </w:tcPr>
          <w:p w:rsidR="009740CD" w:rsidP="56BB1422" w14:paraId="225EEEF5" w14:textId="48B64C84">
            <w:pPr>
              <w:pStyle w:val="BodyText"/>
              <w:spacing w:after="120" w:line="259" w:lineRule="auto"/>
              <w:rPr>
                <w:rFonts w:eastAsia="Times New Roman" w:asciiTheme="minorHAnsi" w:hAnsiTheme="minorHAnsi" w:cstheme="minorBidi"/>
                <w:sz w:val="20"/>
                <w:szCs w:val="20"/>
              </w:rPr>
            </w:pPr>
            <w:r w:rsidRPr="56BB1422">
              <w:rPr>
                <w:rFonts w:ascii="Times New Roman" w:hAnsi="Times New Roman"/>
                <w:sz w:val="20"/>
                <w:szCs w:val="20"/>
              </w:rPr>
              <w:t>May 2023</w:t>
            </w:r>
          </w:p>
        </w:tc>
      </w:tr>
      <w:tr w14:paraId="0BB16E1A" w14:textId="77777777" w:rsidTr="56BB1422">
        <w:tblPrEx>
          <w:tblW w:w="8990" w:type="dxa"/>
          <w:tblInd w:w="357" w:type="dxa"/>
          <w:tblLook w:val="04A0"/>
        </w:tblPrEx>
        <w:tc>
          <w:tcPr>
            <w:tcW w:w="4495" w:type="dxa"/>
            <w:vAlign w:val="center"/>
          </w:tcPr>
          <w:p w:rsidR="009740CD" w:rsidP="56BB1422" w14:paraId="7843E6E0" w14:textId="14A2485C">
            <w:pPr>
              <w:pStyle w:val="BodyText"/>
              <w:spacing w:after="120" w:line="259" w:lineRule="auto"/>
              <w:rPr>
                <w:rFonts w:eastAsia="Times New Roman" w:asciiTheme="minorHAnsi" w:hAnsiTheme="minorHAnsi" w:cstheme="minorBidi"/>
                <w:sz w:val="20"/>
                <w:szCs w:val="20"/>
              </w:rPr>
            </w:pPr>
            <w:r w:rsidRPr="56BB1422">
              <w:rPr>
                <w:rFonts w:ascii="Times New Roman" w:hAnsi="Times New Roman"/>
                <w:sz w:val="20"/>
                <w:szCs w:val="20"/>
              </w:rPr>
              <w:t>Draft report with recommendations</w:t>
            </w:r>
          </w:p>
        </w:tc>
        <w:tc>
          <w:tcPr>
            <w:tcW w:w="4495" w:type="dxa"/>
            <w:vAlign w:val="center"/>
          </w:tcPr>
          <w:p w:rsidR="009740CD" w:rsidP="56BB1422" w14:paraId="5FFD18E8" w14:textId="30BEB42F">
            <w:pPr>
              <w:pStyle w:val="BodyText"/>
              <w:spacing w:after="120" w:line="259" w:lineRule="auto"/>
              <w:rPr>
                <w:rFonts w:eastAsia="Times New Roman" w:asciiTheme="minorHAnsi" w:hAnsiTheme="minorHAnsi" w:cstheme="minorBidi"/>
                <w:sz w:val="20"/>
                <w:szCs w:val="20"/>
              </w:rPr>
            </w:pPr>
            <w:r w:rsidRPr="56BB1422">
              <w:rPr>
                <w:rFonts w:ascii="Times New Roman" w:hAnsi="Times New Roman"/>
                <w:sz w:val="20"/>
                <w:szCs w:val="20"/>
              </w:rPr>
              <w:t>July 2023</w:t>
            </w:r>
          </w:p>
        </w:tc>
      </w:tr>
    </w:tbl>
    <w:p w:rsidR="00F7548A" w:rsidRPr="00D61F66" w:rsidP="002755A8" w14:paraId="43211734" w14:textId="6D0F32DD">
      <w:pPr>
        <w:pStyle w:val="BodyText"/>
      </w:pPr>
    </w:p>
    <w:sectPr w:rsidSect="0055704F">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2384855"/>
      <w:docPartObj>
        <w:docPartGallery w:val="Page Numbers (Bottom of Page)"/>
        <w:docPartUnique/>
      </w:docPartObj>
    </w:sdtPr>
    <w:sdtEndPr>
      <w:rPr>
        <w:noProof/>
      </w:rPr>
    </w:sdtEndPr>
    <w:sdtContent>
      <w:p w:rsidR="00D51C5F" w14:paraId="7CB05714" w14:textId="0150F2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1C5F" w14:paraId="4CD5CD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7638E" w:rsidP="00D51C5F" w14:paraId="7D22BEDE" w14:textId="77777777">
      <w:pPr>
        <w:spacing w:after="0" w:line="240" w:lineRule="auto"/>
      </w:pPr>
      <w:r>
        <w:separator/>
      </w:r>
    </w:p>
  </w:footnote>
  <w:footnote w:type="continuationSeparator" w:id="1">
    <w:p w:rsidR="0047638E" w:rsidP="00D51C5F" w14:paraId="7E5724E8" w14:textId="77777777">
      <w:pPr>
        <w:spacing w:after="0" w:line="240" w:lineRule="auto"/>
      </w:pPr>
      <w:r>
        <w:continuationSeparator/>
      </w:r>
    </w:p>
  </w:footnote>
  <w:footnote w:type="continuationNotice" w:id="2">
    <w:p w:rsidR="0047638E" w14:paraId="75910A60" w14:textId="77777777">
      <w:pPr>
        <w:spacing w:after="0" w:line="240" w:lineRule="auto"/>
      </w:pPr>
    </w:p>
  </w:footnote>
  <w:footnote w:id="3">
    <w:p w:rsidR="00A63D52" w:rsidP="00C33BEE" w14:paraId="07807D1A" w14:textId="5D4E2FBF">
      <w:pPr>
        <w:pStyle w:val="FootnoteText"/>
      </w:pPr>
      <w:r>
        <w:rPr>
          <w:rStyle w:val="FootnoteReference"/>
        </w:rPr>
        <w:footnoteRef/>
      </w:r>
      <w:r>
        <w:t xml:space="preserve"> </w:t>
      </w:r>
      <w:r w:rsidR="00C33BEE">
        <w:t xml:space="preserve">Miller, D., </w:t>
      </w:r>
      <w:r>
        <w:t>2016–2018 Residential Fire Loss Estimates</w:t>
      </w:r>
      <w:r w:rsidR="00C33BEE">
        <w:t>, U.S. National Estimates of Fires, Deaths, Injuries, and Property Losses from Unintentional Fires (July 2021); U.S. Consumer Product Safety Commission, Bethesda, Maryland</w:t>
      </w:r>
    </w:p>
  </w:footnote>
  <w:footnote w:id="4">
    <w:p w:rsidR="00A63D52" w14:paraId="79CC0E30" w14:textId="348AF57B">
      <w:pPr>
        <w:pStyle w:val="FootnoteText"/>
      </w:pPr>
      <w:r>
        <w:rPr>
          <w:rStyle w:val="FootnoteReference"/>
        </w:rPr>
        <w:footnoteRef/>
      </w:r>
      <w:r>
        <w:t xml:space="preserve"> </w:t>
      </w:r>
      <w:r w:rsidRPr="00A63D52">
        <w:t>Fire Risk in 2019</w:t>
      </w:r>
      <w:r>
        <w:t>, Topical Fire Report Series (October 2021, Volume 21, Issue 8); US Fire Administration, Emmitsburg, Maryland.</w:t>
      </w:r>
    </w:p>
  </w:footnote>
  <w:footnote w:id="5">
    <w:p w:rsidR="00CD5399" w:rsidRPr="00CD5399" w14:paraId="091C7A68" w14:textId="51F84720">
      <w:pPr>
        <w:pStyle w:val="FootnoteText"/>
      </w:pPr>
      <w:r>
        <w:rPr>
          <w:rStyle w:val="FootnoteReference"/>
        </w:rPr>
        <w:footnoteRef/>
      </w:r>
      <w:r w:rsidRPr="00CD5399">
        <w:t xml:space="preserve"> </w:t>
      </w:r>
      <w:r>
        <w:t xml:space="preserve">Fahy, R. Ph.D. and Maheshwari, R., Poverty and the Risk of Fire (July 2021); </w:t>
      </w:r>
      <w:r w:rsidRPr="003E0AAD">
        <w:t>NFPA Research, National Fire Protection Association</w:t>
      </w:r>
      <w:r>
        <w:t xml:space="preserve">, </w:t>
      </w:r>
      <w:r w:rsidRPr="003E0AAD">
        <w:t>Quincy, MA</w:t>
      </w:r>
    </w:p>
  </w:footnote>
  <w:footnote w:id="6">
    <w:p w:rsidR="00450A4B" w14:paraId="29E9EABC" w14:textId="7A3592C1">
      <w:pPr>
        <w:pStyle w:val="FootnoteText"/>
      </w:pPr>
      <w:r>
        <w:rPr>
          <w:rStyle w:val="FootnoteReference"/>
        </w:rPr>
        <w:footnoteRef/>
      </w:r>
      <w:r w:rsidRPr="003B6734">
        <w:rPr>
          <w:lang w:val="fr-FR"/>
        </w:rPr>
        <w:t xml:space="preserve"> </w:t>
      </w:r>
      <w:r w:rsidR="003B6734">
        <w:rPr>
          <w:rStyle w:val="normaltextrun"/>
          <w:color w:val="000000"/>
          <w:sz w:val="16"/>
          <w:szCs w:val="16"/>
          <w:shd w:val="clear" w:color="auto" w:fill="FFFFFF"/>
          <w:lang w:val="fr-FR"/>
        </w:rPr>
        <w:t>Wolf, M.S., et al. </w:t>
      </w:r>
      <w:r w:rsidR="003B6734">
        <w:rPr>
          <w:rStyle w:val="normaltextrun"/>
          <w:color w:val="000000"/>
          <w:sz w:val="16"/>
          <w:szCs w:val="16"/>
          <w:shd w:val="clear" w:color="auto" w:fill="FFFFFF"/>
        </w:rPr>
        <w:t>(2007). To err is human: Patient misinterpretations of prescription drug label instructions." Patient Education and Counseling, 67(3), 293-300.</w:t>
      </w:r>
      <w:r w:rsidR="003B6734">
        <w:rPr>
          <w:rStyle w:val="eop"/>
          <w:color w:val="000000"/>
          <w:sz w:val="16"/>
          <w:szCs w:val="16"/>
          <w:shd w:val="clear" w:color="auto" w:fill="FFFFFF"/>
        </w:rPr>
        <w:t> </w:t>
      </w:r>
    </w:p>
  </w:footnote>
  <w:footnote w:id="7">
    <w:p w:rsidR="00D53C91" w14:paraId="6AA85AD6" w14:textId="76B9A80D">
      <w:pPr>
        <w:pStyle w:val="FootnoteText"/>
      </w:pPr>
      <w:r>
        <w:rPr>
          <w:rStyle w:val="FootnoteReference"/>
        </w:rPr>
        <w:footnoteRef/>
      </w:r>
      <w:r>
        <w:t xml:space="preserve"> </w:t>
      </w:r>
      <w:r>
        <w:rPr>
          <w:rStyle w:val="normaltextrun"/>
          <w:rFonts w:cs="Calibri"/>
          <w:color w:val="000000"/>
          <w:sz w:val="16"/>
          <w:szCs w:val="16"/>
          <w:shd w:val="clear" w:color="auto" w:fill="FFFFFF"/>
        </w:rPr>
        <w:t>Sugovic, M., </w:t>
      </w:r>
      <w:r>
        <w:rPr>
          <w:rStyle w:val="normaltextrun"/>
          <w:rFonts w:cs="Calibri"/>
          <w:color w:val="000000"/>
          <w:sz w:val="16"/>
          <w:szCs w:val="16"/>
          <w:shd w:val="clear" w:color="auto" w:fill="FFFFFF"/>
        </w:rPr>
        <w:t>Nooraddini, I., Sherehiy, B. (2016). Evaluation of safety label design: Comparison between cognitive interviewing versus focus group methods. </w:t>
      </w:r>
      <w:r>
        <w:rPr>
          <w:rStyle w:val="normaltextrun"/>
          <w:rFonts w:cs="Calibri"/>
          <w:i/>
          <w:iCs/>
          <w:color w:val="000000"/>
          <w:sz w:val="16"/>
          <w:szCs w:val="16"/>
          <w:shd w:val="clear" w:color="auto" w:fill="FFFFFF"/>
        </w:rPr>
        <w:t>Proceedings of the Human Factors and Ergonomics Society Annual Meeting, 60</w:t>
      </w:r>
      <w:r>
        <w:rPr>
          <w:rStyle w:val="normaltextrun"/>
          <w:rFonts w:cs="Calibri"/>
          <w:color w:val="000000"/>
          <w:sz w:val="16"/>
          <w:szCs w:val="16"/>
          <w:shd w:val="clear" w:color="auto" w:fill="FFFFFF"/>
        </w:rPr>
        <w:t>(1), 1632-1636.</w:t>
      </w:r>
      <w:r>
        <w:rPr>
          <w:rStyle w:val="eop"/>
          <w:rFonts w:cs="Calibri"/>
          <w:color w:val="000000"/>
          <w:sz w:val="16"/>
          <w:szCs w:val="16"/>
          <w:shd w:val="clear" w:color="auto" w:fill="FFFFFF"/>
        </w:rPr>
        <w:t> </w:t>
      </w:r>
    </w:p>
  </w:footnote>
  <w:footnote w:id="8">
    <w:p w:rsidR="00624F08" w14:paraId="201762E0" w14:textId="5BF705D6">
      <w:pPr>
        <w:pStyle w:val="FootnoteText"/>
      </w:pPr>
      <w:r>
        <w:rPr>
          <w:rStyle w:val="FootnoteReference"/>
        </w:rPr>
        <w:footnoteRef/>
      </w:r>
      <w:r>
        <w:t xml:space="preserve"> Freeman, T. (2006). ‘Best practice’ in focus group research: Making sense of different views. </w:t>
      </w:r>
      <w:r w:rsidRPr="00D63683">
        <w:rPr>
          <w:i/>
          <w:iCs/>
        </w:rPr>
        <w:t>Journal of Advanced Nursing</w:t>
      </w:r>
      <w:r>
        <w:t xml:space="preserve"> 56(5), 491-497.</w:t>
      </w:r>
    </w:p>
  </w:footnote>
  <w:footnote w:id="9">
    <w:p w:rsidR="00263DEF" w14:paraId="0AC7D705" w14:textId="77D51FCF">
      <w:pPr>
        <w:pStyle w:val="FootnoteText"/>
      </w:pPr>
      <w:r>
        <w:rPr>
          <w:rStyle w:val="FootnoteReference"/>
        </w:rPr>
        <w:footnoteRef/>
      </w:r>
      <w:r>
        <w:t xml:space="preserve"> Fern, E.F. (2001). </w:t>
      </w:r>
      <w:r w:rsidRPr="00D63683">
        <w:rPr>
          <w:i/>
          <w:iCs/>
        </w:rPr>
        <w:t>Advanced focus group research</w:t>
      </w:r>
      <w:r>
        <w:t>. Thousand Oaks, CA: Sage Publications.</w:t>
      </w:r>
    </w:p>
  </w:footnote>
  <w:footnote w:id="10">
    <w:p w:rsidR="001C7D27" w14:paraId="28B35E8A" w14:textId="4D27328D">
      <w:pPr>
        <w:pStyle w:val="FootnoteText"/>
      </w:pPr>
      <w:r>
        <w:rPr>
          <w:rStyle w:val="FootnoteReference"/>
        </w:rPr>
        <w:footnoteRef/>
      </w:r>
      <w:r>
        <w:t xml:space="preserve"> </w:t>
      </w:r>
      <w:r w:rsidR="00784FF7">
        <w:t>OMB.report</w:t>
      </w:r>
      <w:r w:rsidR="000604EC">
        <w:t xml:space="preserve"> </w:t>
      </w:r>
      <w:r w:rsidR="00CA6204">
        <w:t>Justification for Providing Incentives for Participation in Marketing Research</w:t>
      </w:r>
      <w:r w:rsidR="0084557A">
        <w:t>. OMB: 0938-1247</w:t>
      </w:r>
    </w:p>
  </w:footnote>
  <w:footnote w:id="11">
    <w:p w:rsidR="0072495C" w14:paraId="5E2B3B26" w14:textId="1D3C5F6B">
      <w:pPr>
        <w:pStyle w:val="FootnoteText"/>
      </w:pPr>
      <w:r>
        <w:rPr>
          <w:rStyle w:val="FootnoteReference"/>
        </w:rPr>
        <w:footnoteRef/>
      </w:r>
      <w:r>
        <w:t xml:space="preserve"> </w:t>
      </w:r>
      <w:r w:rsidRPr="0072495C">
        <w:t xml:space="preserve">Stewart DW and Shamdasani PN (2015).  </w:t>
      </w:r>
      <w:r w:rsidRPr="00D63683">
        <w:rPr>
          <w:bCs/>
          <w:i/>
          <w:iCs/>
        </w:rPr>
        <w:t>Focus Groups:  Theory &amp; Practice, 3</w:t>
      </w:r>
      <w:r w:rsidRPr="00D63683">
        <w:rPr>
          <w:bCs/>
          <w:i/>
          <w:iCs/>
          <w:vertAlign w:val="superscript"/>
        </w:rPr>
        <w:t>rd</w:t>
      </w:r>
      <w:r w:rsidRPr="00D63683">
        <w:rPr>
          <w:bCs/>
          <w:i/>
          <w:iCs/>
        </w:rPr>
        <w:t xml:space="preserve"> Edition</w:t>
      </w:r>
      <w:r w:rsidRPr="00052CAE">
        <w:rPr>
          <w:bCs/>
        </w:rPr>
        <w:t>.</w:t>
      </w:r>
      <w:r w:rsidRPr="0072495C">
        <w:t xml:space="preserve">  Los Angeles:  Sage.</w:t>
      </w:r>
    </w:p>
  </w:footnote>
  <w:footnote w:id="12">
    <w:p w:rsidR="00FC732E" w14:paraId="1D47C808" w14:textId="59681117">
      <w:pPr>
        <w:pStyle w:val="FootnoteText"/>
      </w:pPr>
      <w:r>
        <w:rPr>
          <w:rStyle w:val="FootnoteReference"/>
        </w:rPr>
        <w:footnoteRef/>
      </w:r>
      <w:r w:rsidR="00D65006">
        <w:t>ICF</w:t>
      </w:r>
      <w:r w:rsidR="00920AD4">
        <w:t xml:space="preserve"> (2022). </w:t>
      </w:r>
      <w:r w:rsidRPr="00D63683" w:rsidR="00153298">
        <w:rPr>
          <w:i/>
          <w:iCs/>
        </w:rPr>
        <w:t>Consumer Focus Groups Relating to Prepaid Products Rulemaking and Model Form Development</w:t>
      </w:r>
      <w:r w:rsidR="005A3E51">
        <w:t xml:space="preserve"> – Request for OMB approval. OMB: 3170-0022</w:t>
      </w:r>
      <w:r w:rsidR="00052CAE">
        <w:t>.</w:t>
      </w:r>
    </w:p>
  </w:footnote>
  <w:footnote w:id="13">
    <w:p w:rsidR="004500F2" w14:paraId="5D59DD5A" w14:textId="7FC2020B">
      <w:pPr>
        <w:pStyle w:val="FootnoteText"/>
      </w:pPr>
      <w:r>
        <w:rPr>
          <w:rStyle w:val="FootnoteReference"/>
        </w:rPr>
        <w:footnoteRef/>
      </w:r>
      <w:r>
        <w:t xml:space="preserve"> </w:t>
      </w:r>
      <w:r w:rsidRPr="00D54801" w:rsidR="00D54801">
        <w:t xml:space="preserve">Boyd, C. (2022, August 25). </w:t>
      </w:r>
      <w:r w:rsidRPr="00D54801" w:rsidR="00D54801">
        <w:rPr>
          <w:i/>
          <w:iCs/>
        </w:rPr>
        <w:t>The Ultimate Guide to User Research incentives</w:t>
      </w:r>
      <w:r w:rsidRPr="00D54801" w:rsidR="00D54801">
        <w:t xml:space="preserve">. The Ultimate Guide to User Research Incentives. Retrieved from </w:t>
      </w:r>
      <w:hyperlink r:id="rId1" w:history="1">
        <w:r w:rsidRPr="00D54801" w:rsidR="00D54801">
          <w:rPr>
            <w:rStyle w:val="Hyperlink"/>
          </w:rPr>
          <w:t>https://www.userinterviews.com/blog/the-ultimate-guide-to-user-research-incentives</w:t>
        </w:r>
      </w:hyperlink>
    </w:p>
  </w:footnote>
  <w:footnote w:id="14">
    <w:p w:rsidR="0030576A" w14:paraId="3CE4A7F7" w14:textId="6E0764B6">
      <w:pPr>
        <w:pStyle w:val="FootnoteText"/>
      </w:pPr>
      <w:r>
        <w:rPr>
          <w:rStyle w:val="FootnoteReference"/>
        </w:rPr>
        <w:footnoteRef/>
      </w:r>
      <w:r>
        <w:t xml:space="preserve"> </w:t>
      </w:r>
      <w:r w:rsidRPr="00057614">
        <w:rPr>
          <w:rFonts w:asciiTheme="minorHAnsi" w:hAnsiTheme="minorHAnsi" w:cstheme="minorHAnsi"/>
          <w:i/>
          <w:iCs/>
          <w:sz w:val="18"/>
          <w:szCs w:val="18"/>
        </w:rPr>
        <w:t>The</w:t>
      </w:r>
      <w:r w:rsidRPr="00057614">
        <w:rPr>
          <w:rFonts w:asciiTheme="minorHAnsi" w:hAnsiTheme="minorHAnsi" w:cstheme="minorHAnsi"/>
          <w:sz w:val="18"/>
          <w:szCs w:val="18"/>
        </w:rPr>
        <w:t xml:space="preserve"> </w:t>
      </w:r>
      <w:r w:rsidRPr="00057614">
        <w:rPr>
          <w:rFonts w:asciiTheme="minorHAnsi" w:hAnsiTheme="minorHAnsi" w:cstheme="minorHAnsi"/>
          <w:i/>
          <w:iCs/>
          <w:sz w:val="18"/>
          <w:szCs w:val="18"/>
        </w:rPr>
        <w:t>2022 Research Incentives Report</w:t>
      </w:r>
      <w:r>
        <w:rPr>
          <w:rFonts w:asciiTheme="minorHAnsi" w:hAnsiTheme="minorHAnsi" w:cstheme="minorHAnsi"/>
          <w:i/>
          <w:iCs/>
          <w:sz w:val="18"/>
          <w:szCs w:val="18"/>
        </w:rPr>
        <w:t xml:space="preserve">. </w:t>
      </w:r>
      <w:r w:rsidRPr="00683F84">
        <w:rPr>
          <w:rFonts w:asciiTheme="minorHAnsi" w:hAnsiTheme="minorHAnsi" w:cstheme="minorHAnsi"/>
          <w:sz w:val="18"/>
          <w:szCs w:val="18"/>
        </w:rPr>
        <w:t>(2023, February 1)</w:t>
      </w:r>
      <w:r w:rsidRPr="00057614">
        <w:rPr>
          <w:rFonts w:asciiTheme="minorHAnsi" w:hAnsiTheme="minorHAnsi" w:cstheme="minorHAnsi"/>
          <w:sz w:val="18"/>
          <w:szCs w:val="18"/>
        </w:rPr>
        <w:t xml:space="preserve">. Retrieved </w:t>
      </w:r>
      <w:r w:rsidR="00220EEF">
        <w:rPr>
          <w:rFonts w:asciiTheme="minorHAnsi" w:hAnsiTheme="minorHAnsi" w:cstheme="minorHAnsi"/>
          <w:sz w:val="18"/>
          <w:szCs w:val="18"/>
        </w:rPr>
        <w:t xml:space="preserve">February 24, 2023 </w:t>
      </w:r>
      <w:r w:rsidRPr="00057614">
        <w:rPr>
          <w:rFonts w:asciiTheme="minorHAnsi" w:hAnsiTheme="minorHAnsi" w:cstheme="minorHAnsi"/>
          <w:sz w:val="18"/>
          <w:szCs w:val="18"/>
        </w:rPr>
        <w:t xml:space="preserve">from </w:t>
      </w:r>
      <w:hyperlink r:id="rId2" w:history="1">
        <w:r w:rsidRPr="00057614">
          <w:rPr>
            <w:rStyle w:val="Hyperlink"/>
            <w:rFonts w:asciiTheme="minorHAnsi" w:eastAsiaTheme="majorEastAsia" w:hAnsiTheme="minorHAnsi" w:cstheme="minorHAnsi"/>
            <w:sz w:val="18"/>
            <w:szCs w:val="18"/>
          </w:rPr>
          <w:t>https://www.userinterviews.com/blog/research-incentives-report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5D728E"/>
    <w:multiLevelType w:val="multilevel"/>
    <w:tmpl w:val="EDDA4E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FAE36C1"/>
    <w:multiLevelType w:val="hybridMultilevel"/>
    <w:tmpl w:val="A154A6AA"/>
    <w:lvl w:ilvl="0">
      <w:start w:val="1"/>
      <w:numFmt w:val="decimal"/>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B603C5"/>
    <w:multiLevelType w:val="hybridMultilevel"/>
    <w:tmpl w:val="7974DE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1638A2"/>
    <w:multiLevelType w:val="hybridMultilevel"/>
    <w:tmpl w:val="9B4A122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75188A"/>
    <w:multiLevelType w:val="hybridMultilevel"/>
    <w:tmpl w:val="44DE49D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BC264B"/>
    <w:multiLevelType w:val="hybridMultilevel"/>
    <w:tmpl w:val="9CAC23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73D09F6"/>
    <w:multiLevelType w:val="hybridMultilevel"/>
    <w:tmpl w:val="C0C020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2C0447"/>
    <w:multiLevelType w:val="multilevel"/>
    <w:tmpl w:val="9268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24C3C36"/>
    <w:multiLevelType w:val="hybridMultilevel"/>
    <w:tmpl w:val="D25CD3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EC09CD"/>
    <w:multiLevelType w:val="multilevel"/>
    <w:tmpl w:val="8FB22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AAE70D5"/>
    <w:multiLevelType w:val="hybridMultilevel"/>
    <w:tmpl w:val="D02CD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3"/>
  </w:num>
  <w:num w:numId="5">
    <w:abstractNumId w:val="5"/>
  </w:num>
  <w:num w:numId="6">
    <w:abstractNumId w:val="1"/>
  </w:num>
  <w:num w:numId="7">
    <w:abstractNumId w:val="7"/>
  </w:num>
  <w:num w:numId="8">
    <w:abstractNumId w:val="9"/>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EC"/>
    <w:rsid w:val="00007BCE"/>
    <w:rsid w:val="000107B2"/>
    <w:rsid w:val="00015B55"/>
    <w:rsid w:val="000264C6"/>
    <w:rsid w:val="00032A85"/>
    <w:rsid w:val="000355C2"/>
    <w:rsid w:val="00041A0C"/>
    <w:rsid w:val="00047344"/>
    <w:rsid w:val="00050F7B"/>
    <w:rsid w:val="00052CAE"/>
    <w:rsid w:val="00054F78"/>
    <w:rsid w:val="00054FA9"/>
    <w:rsid w:val="0005523F"/>
    <w:rsid w:val="00057614"/>
    <w:rsid w:val="000604EC"/>
    <w:rsid w:val="00061F64"/>
    <w:rsid w:val="000672A9"/>
    <w:rsid w:val="00067800"/>
    <w:rsid w:val="00067B16"/>
    <w:rsid w:val="00074860"/>
    <w:rsid w:val="00075AFA"/>
    <w:rsid w:val="00082533"/>
    <w:rsid w:val="00084A50"/>
    <w:rsid w:val="00085B4A"/>
    <w:rsid w:val="00087964"/>
    <w:rsid w:val="000913BB"/>
    <w:rsid w:val="00092C62"/>
    <w:rsid w:val="000955AB"/>
    <w:rsid w:val="000A1AA2"/>
    <w:rsid w:val="000A3AA4"/>
    <w:rsid w:val="000B0C5C"/>
    <w:rsid w:val="000B5E32"/>
    <w:rsid w:val="000B701C"/>
    <w:rsid w:val="000B7755"/>
    <w:rsid w:val="000C6931"/>
    <w:rsid w:val="000D344D"/>
    <w:rsid w:val="000D5B40"/>
    <w:rsid w:val="000D6D91"/>
    <w:rsid w:val="000E3E69"/>
    <w:rsid w:val="000E4CD0"/>
    <w:rsid w:val="000E6CEA"/>
    <w:rsid w:val="000F0512"/>
    <w:rsid w:val="000F1157"/>
    <w:rsid w:val="000F2257"/>
    <w:rsid w:val="00100317"/>
    <w:rsid w:val="0010342B"/>
    <w:rsid w:val="00104694"/>
    <w:rsid w:val="00104F44"/>
    <w:rsid w:val="001070E5"/>
    <w:rsid w:val="00115178"/>
    <w:rsid w:val="00116573"/>
    <w:rsid w:val="00117386"/>
    <w:rsid w:val="001176BF"/>
    <w:rsid w:val="00131BDC"/>
    <w:rsid w:val="00132CE2"/>
    <w:rsid w:val="00142C17"/>
    <w:rsid w:val="00144ABF"/>
    <w:rsid w:val="00146DD3"/>
    <w:rsid w:val="001519FE"/>
    <w:rsid w:val="00153298"/>
    <w:rsid w:val="001603E3"/>
    <w:rsid w:val="00160CFD"/>
    <w:rsid w:val="00164736"/>
    <w:rsid w:val="0016480E"/>
    <w:rsid w:val="00166960"/>
    <w:rsid w:val="001700B3"/>
    <w:rsid w:val="00173134"/>
    <w:rsid w:val="0017598B"/>
    <w:rsid w:val="001774E0"/>
    <w:rsid w:val="00180F25"/>
    <w:rsid w:val="001872F3"/>
    <w:rsid w:val="001903DE"/>
    <w:rsid w:val="001913F5"/>
    <w:rsid w:val="001925B5"/>
    <w:rsid w:val="001932BD"/>
    <w:rsid w:val="00196B26"/>
    <w:rsid w:val="001A1CD6"/>
    <w:rsid w:val="001A342F"/>
    <w:rsid w:val="001A57EB"/>
    <w:rsid w:val="001B0BD0"/>
    <w:rsid w:val="001C7D27"/>
    <w:rsid w:val="001D382B"/>
    <w:rsid w:val="001D4C98"/>
    <w:rsid w:val="001E0DF5"/>
    <w:rsid w:val="001E193F"/>
    <w:rsid w:val="001E1F77"/>
    <w:rsid w:val="001E7215"/>
    <w:rsid w:val="001F1D36"/>
    <w:rsid w:val="001F348D"/>
    <w:rsid w:val="001F7F5E"/>
    <w:rsid w:val="00201A09"/>
    <w:rsid w:val="0020346D"/>
    <w:rsid w:val="00213FCF"/>
    <w:rsid w:val="002202AA"/>
    <w:rsid w:val="00220EEF"/>
    <w:rsid w:val="00221A7D"/>
    <w:rsid w:val="00223139"/>
    <w:rsid w:val="00230A47"/>
    <w:rsid w:val="0024321D"/>
    <w:rsid w:val="0024369E"/>
    <w:rsid w:val="002441EE"/>
    <w:rsid w:val="00245084"/>
    <w:rsid w:val="0024560C"/>
    <w:rsid w:val="0025062D"/>
    <w:rsid w:val="00251A24"/>
    <w:rsid w:val="002534C9"/>
    <w:rsid w:val="00257E56"/>
    <w:rsid w:val="00263DE6"/>
    <w:rsid w:val="00263DEF"/>
    <w:rsid w:val="002644D7"/>
    <w:rsid w:val="002755A8"/>
    <w:rsid w:val="0027620D"/>
    <w:rsid w:val="002768ED"/>
    <w:rsid w:val="00276A1A"/>
    <w:rsid w:val="002824FA"/>
    <w:rsid w:val="00287392"/>
    <w:rsid w:val="0029015B"/>
    <w:rsid w:val="002907E2"/>
    <w:rsid w:val="00291778"/>
    <w:rsid w:val="00292AC7"/>
    <w:rsid w:val="002A0CDD"/>
    <w:rsid w:val="002A1ABF"/>
    <w:rsid w:val="002A7454"/>
    <w:rsid w:val="002B0145"/>
    <w:rsid w:val="002B0F57"/>
    <w:rsid w:val="002B105C"/>
    <w:rsid w:val="002C05D7"/>
    <w:rsid w:val="002C3619"/>
    <w:rsid w:val="002D4B4D"/>
    <w:rsid w:val="002E2245"/>
    <w:rsid w:val="002E2E68"/>
    <w:rsid w:val="002E4508"/>
    <w:rsid w:val="002E52D7"/>
    <w:rsid w:val="002F3D96"/>
    <w:rsid w:val="002F5DB6"/>
    <w:rsid w:val="002F6538"/>
    <w:rsid w:val="002F7346"/>
    <w:rsid w:val="003025A0"/>
    <w:rsid w:val="0030353A"/>
    <w:rsid w:val="0030576A"/>
    <w:rsid w:val="0030642B"/>
    <w:rsid w:val="00307FDC"/>
    <w:rsid w:val="003138AB"/>
    <w:rsid w:val="003163BD"/>
    <w:rsid w:val="003214D1"/>
    <w:rsid w:val="00323579"/>
    <w:rsid w:val="00326EB1"/>
    <w:rsid w:val="003313F9"/>
    <w:rsid w:val="00332B81"/>
    <w:rsid w:val="00335698"/>
    <w:rsid w:val="003359A8"/>
    <w:rsid w:val="00340A3A"/>
    <w:rsid w:val="00355D8C"/>
    <w:rsid w:val="00363186"/>
    <w:rsid w:val="0036456A"/>
    <w:rsid w:val="0036488F"/>
    <w:rsid w:val="00364B23"/>
    <w:rsid w:val="00366362"/>
    <w:rsid w:val="00366D26"/>
    <w:rsid w:val="00366E05"/>
    <w:rsid w:val="00367F55"/>
    <w:rsid w:val="003722FB"/>
    <w:rsid w:val="00373202"/>
    <w:rsid w:val="003800DD"/>
    <w:rsid w:val="00381E37"/>
    <w:rsid w:val="0038409C"/>
    <w:rsid w:val="00386594"/>
    <w:rsid w:val="00390820"/>
    <w:rsid w:val="003955BC"/>
    <w:rsid w:val="00395B50"/>
    <w:rsid w:val="003A126E"/>
    <w:rsid w:val="003A3CB2"/>
    <w:rsid w:val="003A427F"/>
    <w:rsid w:val="003A567A"/>
    <w:rsid w:val="003B53D2"/>
    <w:rsid w:val="003B5AEE"/>
    <w:rsid w:val="003B6734"/>
    <w:rsid w:val="003C21AB"/>
    <w:rsid w:val="003C5A58"/>
    <w:rsid w:val="003C6F22"/>
    <w:rsid w:val="003D27B3"/>
    <w:rsid w:val="003D2C36"/>
    <w:rsid w:val="003E0AAD"/>
    <w:rsid w:val="003E28A3"/>
    <w:rsid w:val="003E333D"/>
    <w:rsid w:val="003E6421"/>
    <w:rsid w:val="003E79F7"/>
    <w:rsid w:val="003F0780"/>
    <w:rsid w:val="00401328"/>
    <w:rsid w:val="004034F6"/>
    <w:rsid w:val="00405BE6"/>
    <w:rsid w:val="00411658"/>
    <w:rsid w:val="00413B9A"/>
    <w:rsid w:val="00423669"/>
    <w:rsid w:val="004259CD"/>
    <w:rsid w:val="004311DB"/>
    <w:rsid w:val="00434BCD"/>
    <w:rsid w:val="004376EE"/>
    <w:rsid w:val="0044173D"/>
    <w:rsid w:val="004458CA"/>
    <w:rsid w:val="0044756D"/>
    <w:rsid w:val="004500F2"/>
    <w:rsid w:val="00450A4B"/>
    <w:rsid w:val="00456167"/>
    <w:rsid w:val="00457714"/>
    <w:rsid w:val="00457FD0"/>
    <w:rsid w:val="00460457"/>
    <w:rsid w:val="00460596"/>
    <w:rsid w:val="00470D93"/>
    <w:rsid w:val="0047638E"/>
    <w:rsid w:val="00477881"/>
    <w:rsid w:val="00477B0D"/>
    <w:rsid w:val="00481319"/>
    <w:rsid w:val="00484AB6"/>
    <w:rsid w:val="00485ECA"/>
    <w:rsid w:val="0048791F"/>
    <w:rsid w:val="0049260A"/>
    <w:rsid w:val="0049325A"/>
    <w:rsid w:val="00495D6E"/>
    <w:rsid w:val="004A6AFB"/>
    <w:rsid w:val="004B34F9"/>
    <w:rsid w:val="004C3091"/>
    <w:rsid w:val="004C7D53"/>
    <w:rsid w:val="004D0C93"/>
    <w:rsid w:val="004D32F5"/>
    <w:rsid w:val="004D516D"/>
    <w:rsid w:val="004E0F5C"/>
    <w:rsid w:val="004E2429"/>
    <w:rsid w:val="004F22E1"/>
    <w:rsid w:val="00505D31"/>
    <w:rsid w:val="00522F46"/>
    <w:rsid w:val="005308A9"/>
    <w:rsid w:val="0053212B"/>
    <w:rsid w:val="005334B8"/>
    <w:rsid w:val="00536CBD"/>
    <w:rsid w:val="00536E1E"/>
    <w:rsid w:val="00542FA4"/>
    <w:rsid w:val="00543656"/>
    <w:rsid w:val="00543C5A"/>
    <w:rsid w:val="00547293"/>
    <w:rsid w:val="0055704F"/>
    <w:rsid w:val="00557BDC"/>
    <w:rsid w:val="0056644C"/>
    <w:rsid w:val="00567008"/>
    <w:rsid w:val="0057033F"/>
    <w:rsid w:val="005740BB"/>
    <w:rsid w:val="00574200"/>
    <w:rsid w:val="00576F44"/>
    <w:rsid w:val="00583914"/>
    <w:rsid w:val="005845A5"/>
    <w:rsid w:val="00587489"/>
    <w:rsid w:val="005905A7"/>
    <w:rsid w:val="00592EFA"/>
    <w:rsid w:val="00594AB8"/>
    <w:rsid w:val="00595E53"/>
    <w:rsid w:val="00597EFA"/>
    <w:rsid w:val="005A3E51"/>
    <w:rsid w:val="005A58B3"/>
    <w:rsid w:val="005B7079"/>
    <w:rsid w:val="005C346F"/>
    <w:rsid w:val="005D4AE1"/>
    <w:rsid w:val="005D726F"/>
    <w:rsid w:val="005E1C11"/>
    <w:rsid w:val="005E2A93"/>
    <w:rsid w:val="005E3D4B"/>
    <w:rsid w:val="005E55DA"/>
    <w:rsid w:val="005F7BC4"/>
    <w:rsid w:val="005F7DFD"/>
    <w:rsid w:val="00601A6F"/>
    <w:rsid w:val="00602306"/>
    <w:rsid w:val="00605DEE"/>
    <w:rsid w:val="006072F9"/>
    <w:rsid w:val="0061103E"/>
    <w:rsid w:val="006111E3"/>
    <w:rsid w:val="00616577"/>
    <w:rsid w:val="00617173"/>
    <w:rsid w:val="00624F08"/>
    <w:rsid w:val="00626F1E"/>
    <w:rsid w:val="0063020A"/>
    <w:rsid w:val="00634F64"/>
    <w:rsid w:val="006351DF"/>
    <w:rsid w:val="006430FF"/>
    <w:rsid w:val="00646449"/>
    <w:rsid w:val="00653329"/>
    <w:rsid w:val="006604A7"/>
    <w:rsid w:val="00662845"/>
    <w:rsid w:val="0066611F"/>
    <w:rsid w:val="00666D86"/>
    <w:rsid w:val="00673F2A"/>
    <w:rsid w:val="0067422B"/>
    <w:rsid w:val="00675697"/>
    <w:rsid w:val="00675E9E"/>
    <w:rsid w:val="00676840"/>
    <w:rsid w:val="00680F73"/>
    <w:rsid w:val="00683F84"/>
    <w:rsid w:val="00684650"/>
    <w:rsid w:val="00686B92"/>
    <w:rsid w:val="00686DF6"/>
    <w:rsid w:val="0069653F"/>
    <w:rsid w:val="006A22EA"/>
    <w:rsid w:val="006A2C69"/>
    <w:rsid w:val="006A3425"/>
    <w:rsid w:val="006A41FF"/>
    <w:rsid w:val="006B0463"/>
    <w:rsid w:val="006B1A19"/>
    <w:rsid w:val="006B4862"/>
    <w:rsid w:val="006C0A7F"/>
    <w:rsid w:val="006C6654"/>
    <w:rsid w:val="006D24AC"/>
    <w:rsid w:val="006D54B1"/>
    <w:rsid w:val="006D6173"/>
    <w:rsid w:val="006E3BED"/>
    <w:rsid w:val="006E5CEE"/>
    <w:rsid w:val="006F339E"/>
    <w:rsid w:val="006F5D4B"/>
    <w:rsid w:val="006F6569"/>
    <w:rsid w:val="006F6AD0"/>
    <w:rsid w:val="006F70CE"/>
    <w:rsid w:val="0070000E"/>
    <w:rsid w:val="007004B9"/>
    <w:rsid w:val="00700AAF"/>
    <w:rsid w:val="0070280D"/>
    <w:rsid w:val="00702E19"/>
    <w:rsid w:val="00703BD7"/>
    <w:rsid w:val="00714DED"/>
    <w:rsid w:val="00715335"/>
    <w:rsid w:val="007176D1"/>
    <w:rsid w:val="00721E37"/>
    <w:rsid w:val="0072495C"/>
    <w:rsid w:val="007265DB"/>
    <w:rsid w:val="00726EB9"/>
    <w:rsid w:val="00732C93"/>
    <w:rsid w:val="007331B9"/>
    <w:rsid w:val="007355D2"/>
    <w:rsid w:val="00737ED1"/>
    <w:rsid w:val="00745A82"/>
    <w:rsid w:val="0075082A"/>
    <w:rsid w:val="00764FA8"/>
    <w:rsid w:val="00776FA2"/>
    <w:rsid w:val="00782B2D"/>
    <w:rsid w:val="00784FF7"/>
    <w:rsid w:val="00792D9B"/>
    <w:rsid w:val="00793C45"/>
    <w:rsid w:val="00794D13"/>
    <w:rsid w:val="00795ABC"/>
    <w:rsid w:val="007A185D"/>
    <w:rsid w:val="007B237C"/>
    <w:rsid w:val="007C0680"/>
    <w:rsid w:val="007D07F4"/>
    <w:rsid w:val="007D5F0C"/>
    <w:rsid w:val="007D621C"/>
    <w:rsid w:val="007D68CD"/>
    <w:rsid w:val="007E00F4"/>
    <w:rsid w:val="007E0D17"/>
    <w:rsid w:val="007E4B4B"/>
    <w:rsid w:val="008018AF"/>
    <w:rsid w:val="008026D8"/>
    <w:rsid w:val="00803C7D"/>
    <w:rsid w:val="0084557A"/>
    <w:rsid w:val="00850618"/>
    <w:rsid w:val="00854F35"/>
    <w:rsid w:val="00855B60"/>
    <w:rsid w:val="00860D50"/>
    <w:rsid w:val="00864E6A"/>
    <w:rsid w:val="00871318"/>
    <w:rsid w:val="0087243D"/>
    <w:rsid w:val="00874ED5"/>
    <w:rsid w:val="00885222"/>
    <w:rsid w:val="00892541"/>
    <w:rsid w:val="00892737"/>
    <w:rsid w:val="008958B3"/>
    <w:rsid w:val="008A5EC6"/>
    <w:rsid w:val="008A6B64"/>
    <w:rsid w:val="008B0030"/>
    <w:rsid w:val="008B4A7A"/>
    <w:rsid w:val="008B528F"/>
    <w:rsid w:val="008C0047"/>
    <w:rsid w:val="008C3F38"/>
    <w:rsid w:val="008C40A3"/>
    <w:rsid w:val="008C40B5"/>
    <w:rsid w:val="008C5E27"/>
    <w:rsid w:val="008D4926"/>
    <w:rsid w:val="008E243D"/>
    <w:rsid w:val="008E5D9B"/>
    <w:rsid w:val="008F1445"/>
    <w:rsid w:val="008F2127"/>
    <w:rsid w:val="008F6221"/>
    <w:rsid w:val="00903220"/>
    <w:rsid w:val="00905634"/>
    <w:rsid w:val="00907191"/>
    <w:rsid w:val="0091397F"/>
    <w:rsid w:val="00914AC7"/>
    <w:rsid w:val="00915C67"/>
    <w:rsid w:val="009161C8"/>
    <w:rsid w:val="00920AD4"/>
    <w:rsid w:val="00921967"/>
    <w:rsid w:val="00922735"/>
    <w:rsid w:val="00931C5E"/>
    <w:rsid w:val="00940879"/>
    <w:rsid w:val="009421EF"/>
    <w:rsid w:val="009441F3"/>
    <w:rsid w:val="00944F81"/>
    <w:rsid w:val="0094794A"/>
    <w:rsid w:val="00954929"/>
    <w:rsid w:val="00965F4A"/>
    <w:rsid w:val="00966E07"/>
    <w:rsid w:val="009740CD"/>
    <w:rsid w:val="0097611E"/>
    <w:rsid w:val="0097624F"/>
    <w:rsid w:val="00984A58"/>
    <w:rsid w:val="0098521E"/>
    <w:rsid w:val="009855B9"/>
    <w:rsid w:val="009868DB"/>
    <w:rsid w:val="00991DCA"/>
    <w:rsid w:val="0099287E"/>
    <w:rsid w:val="00993ABD"/>
    <w:rsid w:val="0099572C"/>
    <w:rsid w:val="00995CA4"/>
    <w:rsid w:val="009A33F0"/>
    <w:rsid w:val="009A3C4E"/>
    <w:rsid w:val="009B24E4"/>
    <w:rsid w:val="009B37C8"/>
    <w:rsid w:val="009B41FD"/>
    <w:rsid w:val="009B44E4"/>
    <w:rsid w:val="009B5F70"/>
    <w:rsid w:val="009B6008"/>
    <w:rsid w:val="009B717D"/>
    <w:rsid w:val="009C5227"/>
    <w:rsid w:val="009C6E3D"/>
    <w:rsid w:val="009D3A3F"/>
    <w:rsid w:val="009D6BF9"/>
    <w:rsid w:val="009D7D0B"/>
    <w:rsid w:val="009E4824"/>
    <w:rsid w:val="009E5552"/>
    <w:rsid w:val="009E5957"/>
    <w:rsid w:val="009F08BB"/>
    <w:rsid w:val="009F099F"/>
    <w:rsid w:val="009F1822"/>
    <w:rsid w:val="009F1EDE"/>
    <w:rsid w:val="009F31C1"/>
    <w:rsid w:val="009F4E81"/>
    <w:rsid w:val="009F7327"/>
    <w:rsid w:val="009F7910"/>
    <w:rsid w:val="009F7E38"/>
    <w:rsid w:val="00A00182"/>
    <w:rsid w:val="00A10D5A"/>
    <w:rsid w:val="00A12D1B"/>
    <w:rsid w:val="00A1378F"/>
    <w:rsid w:val="00A1466E"/>
    <w:rsid w:val="00A15CFA"/>
    <w:rsid w:val="00A16EBD"/>
    <w:rsid w:val="00A17840"/>
    <w:rsid w:val="00A243AF"/>
    <w:rsid w:val="00A2701F"/>
    <w:rsid w:val="00A310E0"/>
    <w:rsid w:val="00A33BAB"/>
    <w:rsid w:val="00A40BA0"/>
    <w:rsid w:val="00A456D0"/>
    <w:rsid w:val="00A51493"/>
    <w:rsid w:val="00A51A03"/>
    <w:rsid w:val="00A53953"/>
    <w:rsid w:val="00A55557"/>
    <w:rsid w:val="00A5584E"/>
    <w:rsid w:val="00A63D52"/>
    <w:rsid w:val="00A708A0"/>
    <w:rsid w:val="00A71620"/>
    <w:rsid w:val="00A72842"/>
    <w:rsid w:val="00A73F9C"/>
    <w:rsid w:val="00A76BF4"/>
    <w:rsid w:val="00A84242"/>
    <w:rsid w:val="00A87401"/>
    <w:rsid w:val="00A9045C"/>
    <w:rsid w:val="00A93798"/>
    <w:rsid w:val="00A94331"/>
    <w:rsid w:val="00A9771A"/>
    <w:rsid w:val="00AA00B3"/>
    <w:rsid w:val="00AA0E10"/>
    <w:rsid w:val="00AB0D73"/>
    <w:rsid w:val="00AB2C93"/>
    <w:rsid w:val="00AB6067"/>
    <w:rsid w:val="00AC0F07"/>
    <w:rsid w:val="00AC5A29"/>
    <w:rsid w:val="00AC5A64"/>
    <w:rsid w:val="00AC7D3B"/>
    <w:rsid w:val="00AD0B06"/>
    <w:rsid w:val="00AD75CD"/>
    <w:rsid w:val="00AE1635"/>
    <w:rsid w:val="00AF01AC"/>
    <w:rsid w:val="00AF20FF"/>
    <w:rsid w:val="00AF5670"/>
    <w:rsid w:val="00B03D09"/>
    <w:rsid w:val="00B07D9D"/>
    <w:rsid w:val="00B10AF9"/>
    <w:rsid w:val="00B115A1"/>
    <w:rsid w:val="00B12D51"/>
    <w:rsid w:val="00B16FA0"/>
    <w:rsid w:val="00B20C08"/>
    <w:rsid w:val="00B216D5"/>
    <w:rsid w:val="00B21B69"/>
    <w:rsid w:val="00B22A60"/>
    <w:rsid w:val="00B30C6B"/>
    <w:rsid w:val="00B323F7"/>
    <w:rsid w:val="00B36442"/>
    <w:rsid w:val="00B43008"/>
    <w:rsid w:val="00B448A4"/>
    <w:rsid w:val="00B517DE"/>
    <w:rsid w:val="00B56422"/>
    <w:rsid w:val="00B56B5A"/>
    <w:rsid w:val="00B60211"/>
    <w:rsid w:val="00B61ADA"/>
    <w:rsid w:val="00B622C9"/>
    <w:rsid w:val="00B66CDF"/>
    <w:rsid w:val="00B846FC"/>
    <w:rsid w:val="00B867DC"/>
    <w:rsid w:val="00B921B4"/>
    <w:rsid w:val="00B93A50"/>
    <w:rsid w:val="00B97D8D"/>
    <w:rsid w:val="00BB2331"/>
    <w:rsid w:val="00BB23EB"/>
    <w:rsid w:val="00BB3BD9"/>
    <w:rsid w:val="00BB3FF3"/>
    <w:rsid w:val="00BB4C0B"/>
    <w:rsid w:val="00BB5B41"/>
    <w:rsid w:val="00BC33BA"/>
    <w:rsid w:val="00BD04D1"/>
    <w:rsid w:val="00BD07A9"/>
    <w:rsid w:val="00BD3584"/>
    <w:rsid w:val="00BD4CFF"/>
    <w:rsid w:val="00BE0593"/>
    <w:rsid w:val="00BE516B"/>
    <w:rsid w:val="00BE7AF5"/>
    <w:rsid w:val="00BF16DB"/>
    <w:rsid w:val="00BF1C1D"/>
    <w:rsid w:val="00BF246A"/>
    <w:rsid w:val="00C04210"/>
    <w:rsid w:val="00C14923"/>
    <w:rsid w:val="00C15F0C"/>
    <w:rsid w:val="00C30D21"/>
    <w:rsid w:val="00C33911"/>
    <w:rsid w:val="00C33BEE"/>
    <w:rsid w:val="00C348D7"/>
    <w:rsid w:val="00C376A6"/>
    <w:rsid w:val="00C46045"/>
    <w:rsid w:val="00C51412"/>
    <w:rsid w:val="00C54459"/>
    <w:rsid w:val="00C555F3"/>
    <w:rsid w:val="00C56518"/>
    <w:rsid w:val="00C576F9"/>
    <w:rsid w:val="00C60754"/>
    <w:rsid w:val="00C624FE"/>
    <w:rsid w:val="00C62A05"/>
    <w:rsid w:val="00C720CE"/>
    <w:rsid w:val="00C811D7"/>
    <w:rsid w:val="00C85326"/>
    <w:rsid w:val="00C85EB6"/>
    <w:rsid w:val="00C8630F"/>
    <w:rsid w:val="00C90F5C"/>
    <w:rsid w:val="00C951C0"/>
    <w:rsid w:val="00C95D9A"/>
    <w:rsid w:val="00CA04A1"/>
    <w:rsid w:val="00CA2FAD"/>
    <w:rsid w:val="00CA30DD"/>
    <w:rsid w:val="00CA6204"/>
    <w:rsid w:val="00CA6408"/>
    <w:rsid w:val="00CA6D90"/>
    <w:rsid w:val="00CA6F54"/>
    <w:rsid w:val="00CA7085"/>
    <w:rsid w:val="00CB4C64"/>
    <w:rsid w:val="00CB6DE7"/>
    <w:rsid w:val="00CC0F3F"/>
    <w:rsid w:val="00CC46EF"/>
    <w:rsid w:val="00CC60D6"/>
    <w:rsid w:val="00CD0CEF"/>
    <w:rsid w:val="00CD5399"/>
    <w:rsid w:val="00CE2064"/>
    <w:rsid w:val="00CE2A3F"/>
    <w:rsid w:val="00CF29FB"/>
    <w:rsid w:val="00D063D6"/>
    <w:rsid w:val="00D118C1"/>
    <w:rsid w:val="00D17C99"/>
    <w:rsid w:val="00D221AB"/>
    <w:rsid w:val="00D2470B"/>
    <w:rsid w:val="00D269A7"/>
    <w:rsid w:val="00D27F86"/>
    <w:rsid w:val="00D35326"/>
    <w:rsid w:val="00D3685C"/>
    <w:rsid w:val="00D37C1F"/>
    <w:rsid w:val="00D421D9"/>
    <w:rsid w:val="00D462EC"/>
    <w:rsid w:val="00D46D0F"/>
    <w:rsid w:val="00D4771C"/>
    <w:rsid w:val="00D50208"/>
    <w:rsid w:val="00D51C5F"/>
    <w:rsid w:val="00D53C91"/>
    <w:rsid w:val="00D54801"/>
    <w:rsid w:val="00D6030A"/>
    <w:rsid w:val="00D61F66"/>
    <w:rsid w:val="00D63683"/>
    <w:rsid w:val="00D63688"/>
    <w:rsid w:val="00D63A54"/>
    <w:rsid w:val="00D65006"/>
    <w:rsid w:val="00D67B6D"/>
    <w:rsid w:val="00D75825"/>
    <w:rsid w:val="00D76241"/>
    <w:rsid w:val="00D82ECC"/>
    <w:rsid w:val="00D87047"/>
    <w:rsid w:val="00D96C08"/>
    <w:rsid w:val="00DA090E"/>
    <w:rsid w:val="00DA1A28"/>
    <w:rsid w:val="00DB0582"/>
    <w:rsid w:val="00DB05BF"/>
    <w:rsid w:val="00DB5D2D"/>
    <w:rsid w:val="00DB7128"/>
    <w:rsid w:val="00DC198A"/>
    <w:rsid w:val="00DC5021"/>
    <w:rsid w:val="00DC7C0D"/>
    <w:rsid w:val="00DD24DF"/>
    <w:rsid w:val="00DD5D8A"/>
    <w:rsid w:val="00DD6733"/>
    <w:rsid w:val="00DE0292"/>
    <w:rsid w:val="00DE1095"/>
    <w:rsid w:val="00DE7DED"/>
    <w:rsid w:val="00DF01BF"/>
    <w:rsid w:val="00DF1622"/>
    <w:rsid w:val="00DF2C4E"/>
    <w:rsid w:val="00DF73BE"/>
    <w:rsid w:val="00E00A07"/>
    <w:rsid w:val="00E052F0"/>
    <w:rsid w:val="00E068E4"/>
    <w:rsid w:val="00E10E96"/>
    <w:rsid w:val="00E124E2"/>
    <w:rsid w:val="00E1477B"/>
    <w:rsid w:val="00E250E9"/>
    <w:rsid w:val="00E372D6"/>
    <w:rsid w:val="00E402D6"/>
    <w:rsid w:val="00E42B56"/>
    <w:rsid w:val="00E44813"/>
    <w:rsid w:val="00E53D14"/>
    <w:rsid w:val="00E609BA"/>
    <w:rsid w:val="00E70793"/>
    <w:rsid w:val="00E721D6"/>
    <w:rsid w:val="00E748E2"/>
    <w:rsid w:val="00E75564"/>
    <w:rsid w:val="00E819AA"/>
    <w:rsid w:val="00E82BBA"/>
    <w:rsid w:val="00E84A86"/>
    <w:rsid w:val="00E84FA6"/>
    <w:rsid w:val="00E8572A"/>
    <w:rsid w:val="00E87E99"/>
    <w:rsid w:val="00E919FA"/>
    <w:rsid w:val="00E94F62"/>
    <w:rsid w:val="00E95645"/>
    <w:rsid w:val="00EA30B8"/>
    <w:rsid w:val="00EB3B75"/>
    <w:rsid w:val="00EB4391"/>
    <w:rsid w:val="00EB611C"/>
    <w:rsid w:val="00EC1EFE"/>
    <w:rsid w:val="00EC7026"/>
    <w:rsid w:val="00EC722A"/>
    <w:rsid w:val="00ED1E57"/>
    <w:rsid w:val="00ED6FDB"/>
    <w:rsid w:val="00EE02AD"/>
    <w:rsid w:val="00EE3B53"/>
    <w:rsid w:val="00EE554D"/>
    <w:rsid w:val="00EE5966"/>
    <w:rsid w:val="00EF3C51"/>
    <w:rsid w:val="00EF45A8"/>
    <w:rsid w:val="00F03AA2"/>
    <w:rsid w:val="00F05F71"/>
    <w:rsid w:val="00F1156D"/>
    <w:rsid w:val="00F11D3F"/>
    <w:rsid w:val="00F129FC"/>
    <w:rsid w:val="00F14033"/>
    <w:rsid w:val="00F24408"/>
    <w:rsid w:val="00F24421"/>
    <w:rsid w:val="00F24FFF"/>
    <w:rsid w:val="00F27C06"/>
    <w:rsid w:val="00F30777"/>
    <w:rsid w:val="00F31307"/>
    <w:rsid w:val="00F3238C"/>
    <w:rsid w:val="00F40791"/>
    <w:rsid w:val="00F40EF9"/>
    <w:rsid w:val="00F43325"/>
    <w:rsid w:val="00F4632B"/>
    <w:rsid w:val="00F47A8E"/>
    <w:rsid w:val="00F51493"/>
    <w:rsid w:val="00F53CEF"/>
    <w:rsid w:val="00F569B2"/>
    <w:rsid w:val="00F570BF"/>
    <w:rsid w:val="00F609E1"/>
    <w:rsid w:val="00F63A1A"/>
    <w:rsid w:val="00F6492E"/>
    <w:rsid w:val="00F671EB"/>
    <w:rsid w:val="00F74674"/>
    <w:rsid w:val="00F7548A"/>
    <w:rsid w:val="00F80483"/>
    <w:rsid w:val="00F92DE2"/>
    <w:rsid w:val="00F932D0"/>
    <w:rsid w:val="00F93387"/>
    <w:rsid w:val="00F95B75"/>
    <w:rsid w:val="00F9784F"/>
    <w:rsid w:val="00FA5898"/>
    <w:rsid w:val="00FA6438"/>
    <w:rsid w:val="00FB028A"/>
    <w:rsid w:val="00FB13AC"/>
    <w:rsid w:val="00FB6D81"/>
    <w:rsid w:val="00FC0B45"/>
    <w:rsid w:val="00FC732E"/>
    <w:rsid w:val="00FC7D42"/>
    <w:rsid w:val="00FD6631"/>
    <w:rsid w:val="00FE18D4"/>
    <w:rsid w:val="00FE50C8"/>
    <w:rsid w:val="00FE55F3"/>
    <w:rsid w:val="00FE7B7B"/>
    <w:rsid w:val="00FF4953"/>
    <w:rsid w:val="00FF4FCF"/>
    <w:rsid w:val="00FF4FDC"/>
    <w:rsid w:val="0196882C"/>
    <w:rsid w:val="019B1E9F"/>
    <w:rsid w:val="01C28D06"/>
    <w:rsid w:val="027B5740"/>
    <w:rsid w:val="04D2BF61"/>
    <w:rsid w:val="0553E9D2"/>
    <w:rsid w:val="05ACF3B8"/>
    <w:rsid w:val="064F270B"/>
    <w:rsid w:val="0A0F1ACC"/>
    <w:rsid w:val="0E4C5513"/>
    <w:rsid w:val="0E779540"/>
    <w:rsid w:val="0E92F13C"/>
    <w:rsid w:val="0EB06762"/>
    <w:rsid w:val="0FAF3360"/>
    <w:rsid w:val="0FC08963"/>
    <w:rsid w:val="11A8C02B"/>
    <w:rsid w:val="16F71108"/>
    <w:rsid w:val="1749F0C6"/>
    <w:rsid w:val="19D51D51"/>
    <w:rsid w:val="1ACCE3D8"/>
    <w:rsid w:val="1AE7D290"/>
    <w:rsid w:val="1C02783D"/>
    <w:rsid w:val="1C9C945A"/>
    <w:rsid w:val="1F51C5EE"/>
    <w:rsid w:val="1FEB3239"/>
    <w:rsid w:val="20CCEEA5"/>
    <w:rsid w:val="222FD82B"/>
    <w:rsid w:val="239BF549"/>
    <w:rsid w:val="24DE56B4"/>
    <w:rsid w:val="25606BE5"/>
    <w:rsid w:val="27C0E0C7"/>
    <w:rsid w:val="2A1E335F"/>
    <w:rsid w:val="2BB1DA89"/>
    <w:rsid w:val="2CBDD9A1"/>
    <w:rsid w:val="2E1F233F"/>
    <w:rsid w:val="2E28DD51"/>
    <w:rsid w:val="2ED64B54"/>
    <w:rsid w:val="32DF42A1"/>
    <w:rsid w:val="34368F02"/>
    <w:rsid w:val="3769087F"/>
    <w:rsid w:val="37BFFB22"/>
    <w:rsid w:val="3C00B5B7"/>
    <w:rsid w:val="3FAFEEA0"/>
    <w:rsid w:val="405C79ED"/>
    <w:rsid w:val="41CCC33A"/>
    <w:rsid w:val="423F71CA"/>
    <w:rsid w:val="42E9D919"/>
    <w:rsid w:val="440139CA"/>
    <w:rsid w:val="45067AFB"/>
    <w:rsid w:val="45C8A8B3"/>
    <w:rsid w:val="461F0BC1"/>
    <w:rsid w:val="462574B7"/>
    <w:rsid w:val="46CF4C0A"/>
    <w:rsid w:val="4A13B945"/>
    <w:rsid w:val="4A820E84"/>
    <w:rsid w:val="4AD2A5A7"/>
    <w:rsid w:val="4B393FEF"/>
    <w:rsid w:val="4C046322"/>
    <w:rsid w:val="4C8C0B1B"/>
    <w:rsid w:val="4D5587B0"/>
    <w:rsid w:val="4E7C6DAB"/>
    <w:rsid w:val="51CA1AE7"/>
    <w:rsid w:val="54AAA122"/>
    <w:rsid w:val="54C52A69"/>
    <w:rsid w:val="54C703B7"/>
    <w:rsid w:val="56BB1422"/>
    <w:rsid w:val="56FDB78E"/>
    <w:rsid w:val="57980052"/>
    <w:rsid w:val="58155B8D"/>
    <w:rsid w:val="5834F31F"/>
    <w:rsid w:val="6028EBC2"/>
    <w:rsid w:val="6090CD7C"/>
    <w:rsid w:val="609E0759"/>
    <w:rsid w:val="60E0C2FC"/>
    <w:rsid w:val="61CFC680"/>
    <w:rsid w:val="625BEBE0"/>
    <w:rsid w:val="67931AB3"/>
    <w:rsid w:val="68233EBC"/>
    <w:rsid w:val="684DBC12"/>
    <w:rsid w:val="6951E203"/>
    <w:rsid w:val="6988F8B7"/>
    <w:rsid w:val="6ABC42AB"/>
    <w:rsid w:val="6BB1C099"/>
    <w:rsid w:val="6C44F925"/>
    <w:rsid w:val="6CCDC282"/>
    <w:rsid w:val="6CD6F802"/>
    <w:rsid w:val="6CF5525E"/>
    <w:rsid w:val="6ECA32D5"/>
    <w:rsid w:val="704BB58F"/>
    <w:rsid w:val="70ED710C"/>
    <w:rsid w:val="713208D6"/>
    <w:rsid w:val="716F2DB0"/>
    <w:rsid w:val="741F7B0D"/>
    <w:rsid w:val="772AFB41"/>
    <w:rsid w:val="7865CB27"/>
    <w:rsid w:val="7A019B88"/>
    <w:rsid w:val="7ECFEBA7"/>
    <w:rsid w:val="7ED24F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744CE1"/>
  <w15:docId w15:val="{15B1F345-AB7F-4002-9307-A73778D1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eading 3"/>
    <w:rsid w:val="003C21AB"/>
    <w:pPr>
      <w:spacing w:after="24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0F22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4C64"/>
    <w:pPr>
      <w:keepNext/>
      <w:keepLines/>
      <w:numPr>
        <w:numId w:val="6"/>
      </w:numPr>
      <w:spacing w:after="120" w:line="259" w:lineRule="auto"/>
      <w:outlineLvl w:val="1"/>
    </w:pPr>
    <w:rPr>
      <w:rFonts w:asciiTheme="minorHAnsi" w:eastAsiaTheme="majorEastAsia" w:hAnsiTheme="minorHAnsi" w:cstheme="minorHAnsi"/>
      <w:b/>
      <w:bCs/>
      <w:color w:val="2F5496" w:themeColor="accent1" w:themeShade="BF"/>
      <w:sz w:val="26"/>
      <w:szCs w:val="26"/>
    </w:rPr>
  </w:style>
  <w:style w:type="paragraph" w:styleId="Heading30">
    <w:name w:val="heading 3"/>
    <w:basedOn w:val="Normal"/>
    <w:next w:val="Normal"/>
    <w:link w:val="Heading3Char"/>
    <w:uiPriority w:val="9"/>
    <w:unhideWhenUsed/>
    <w:qFormat/>
    <w:rsid w:val="00675E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EC"/>
    <w:pPr>
      <w:ind w:left="720"/>
      <w:contextualSpacing/>
    </w:pPr>
  </w:style>
  <w:style w:type="character" w:customStyle="1" w:styleId="Heading1Char">
    <w:name w:val="Heading 1 Char"/>
    <w:basedOn w:val="DefaultParagraphFont"/>
    <w:link w:val="Heading1"/>
    <w:uiPriority w:val="9"/>
    <w:rsid w:val="000F225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F2257"/>
    <w:pPr>
      <w:spacing w:line="259" w:lineRule="auto"/>
      <w:outlineLvl w:val="9"/>
    </w:pPr>
  </w:style>
  <w:style w:type="paragraph" w:styleId="TOC1">
    <w:name w:val="toc 1"/>
    <w:basedOn w:val="Normal"/>
    <w:next w:val="Normal"/>
    <w:autoRedefine/>
    <w:uiPriority w:val="39"/>
    <w:unhideWhenUsed/>
    <w:rsid w:val="00FF4FCF"/>
    <w:pPr>
      <w:spacing w:after="100"/>
    </w:pPr>
  </w:style>
  <w:style w:type="character" w:styleId="Hyperlink">
    <w:name w:val="Hyperlink"/>
    <w:basedOn w:val="DefaultParagraphFont"/>
    <w:uiPriority w:val="99"/>
    <w:unhideWhenUsed/>
    <w:rsid w:val="00FF4FCF"/>
    <w:rPr>
      <w:color w:val="0563C1" w:themeColor="hyperlink"/>
      <w:u w:val="single"/>
    </w:rPr>
  </w:style>
  <w:style w:type="paragraph" w:styleId="NoSpacing">
    <w:name w:val="No Spacing"/>
    <w:uiPriority w:val="1"/>
    <w:qFormat/>
    <w:rsid w:val="00675E9E"/>
    <w:pPr>
      <w:spacing w:after="0" w:line="240" w:lineRule="auto"/>
    </w:pPr>
    <w:rPr>
      <w:rFonts w:ascii="Calibri" w:eastAsia="Times New Roman" w:hAnsi="Calibri" w:cs="Times New Roman"/>
    </w:rPr>
  </w:style>
  <w:style w:type="character" w:customStyle="1" w:styleId="Heading2Char">
    <w:name w:val="Heading 2 Char"/>
    <w:basedOn w:val="DefaultParagraphFont"/>
    <w:link w:val="Heading2"/>
    <w:uiPriority w:val="9"/>
    <w:rsid w:val="00675E9E"/>
    <w:rPr>
      <w:rFonts w:eastAsiaTheme="majorEastAsia" w:cstheme="minorHAnsi"/>
      <w:b/>
      <w:bCs/>
      <w:color w:val="2F5496" w:themeColor="accent1" w:themeShade="BF"/>
      <w:sz w:val="26"/>
      <w:szCs w:val="26"/>
    </w:rPr>
  </w:style>
  <w:style w:type="character" w:customStyle="1" w:styleId="Heading3Char">
    <w:name w:val="Heading 3 Char"/>
    <w:basedOn w:val="DefaultParagraphFont"/>
    <w:link w:val="Heading30"/>
    <w:uiPriority w:val="9"/>
    <w:rsid w:val="00675E9E"/>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CB4C64"/>
    <w:pPr>
      <w:tabs>
        <w:tab w:val="left" w:pos="660"/>
        <w:tab w:val="right" w:leader="dot" w:pos="9350"/>
      </w:tabs>
      <w:spacing w:after="100"/>
      <w:ind w:left="220"/>
    </w:pPr>
  </w:style>
  <w:style w:type="character" w:customStyle="1" w:styleId="StyleTimesNewRoman">
    <w:name w:val="Style Times New Roman"/>
    <w:uiPriority w:val="99"/>
    <w:rsid w:val="00E1477B"/>
    <w:rPr>
      <w:color w:val="000000"/>
      <w:sz w:val="24"/>
    </w:rPr>
  </w:style>
  <w:style w:type="paragraph" w:customStyle="1" w:styleId="BodyText">
    <w:name w:val="BodyText"/>
    <w:basedOn w:val="Normal"/>
    <w:link w:val="BodyTextChar"/>
    <w:qFormat/>
    <w:rsid w:val="00E1477B"/>
    <w:pPr>
      <w:spacing w:after="200"/>
    </w:pPr>
    <w:rPr>
      <w:rFonts w:eastAsia="SimSun"/>
    </w:rPr>
  </w:style>
  <w:style w:type="character" w:customStyle="1" w:styleId="BodyTextChar">
    <w:name w:val="BodyText Char"/>
    <w:link w:val="BodyText"/>
    <w:rsid w:val="00E1477B"/>
    <w:rPr>
      <w:rFonts w:ascii="Calibri" w:eastAsia="SimSun" w:hAnsi="Calibri" w:cs="Times New Roman"/>
    </w:rPr>
  </w:style>
  <w:style w:type="paragraph" w:customStyle="1" w:styleId="paragraph">
    <w:name w:val="paragraph"/>
    <w:basedOn w:val="Normal"/>
    <w:rsid w:val="006604A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6604A7"/>
  </w:style>
  <w:style w:type="character" w:customStyle="1" w:styleId="eop">
    <w:name w:val="eop"/>
    <w:basedOn w:val="DefaultParagraphFont"/>
    <w:rsid w:val="006604A7"/>
  </w:style>
  <w:style w:type="character" w:customStyle="1" w:styleId="findhit">
    <w:name w:val="findhit"/>
    <w:basedOn w:val="DefaultParagraphFont"/>
    <w:rsid w:val="00C555F3"/>
  </w:style>
  <w:style w:type="paragraph" w:customStyle="1" w:styleId="Body">
    <w:name w:val="Body"/>
    <w:basedOn w:val="Normal"/>
    <w:link w:val="BodyChar"/>
    <w:qFormat/>
    <w:rsid w:val="0049260A"/>
    <w:pPr>
      <w:spacing w:before="60" w:after="60"/>
      <w:ind w:firstLine="720"/>
    </w:pPr>
    <w:rPr>
      <w:rFonts w:asciiTheme="minorBidi" w:hAnsiTheme="minorBidi" w:cstheme="minorBidi"/>
    </w:rPr>
  </w:style>
  <w:style w:type="character" w:customStyle="1" w:styleId="BodyChar">
    <w:name w:val="Body Char"/>
    <w:basedOn w:val="DefaultParagraphFont"/>
    <w:link w:val="Body"/>
    <w:rsid w:val="0049260A"/>
    <w:rPr>
      <w:rFonts w:eastAsia="Times New Roman" w:asciiTheme="minorBidi" w:hAnsiTheme="minorBidi"/>
    </w:rPr>
  </w:style>
  <w:style w:type="character" w:styleId="CommentReference">
    <w:name w:val="annotation reference"/>
    <w:basedOn w:val="DefaultParagraphFont"/>
    <w:uiPriority w:val="99"/>
    <w:semiHidden/>
    <w:unhideWhenUsed/>
    <w:rsid w:val="00085B4A"/>
    <w:rPr>
      <w:sz w:val="16"/>
      <w:szCs w:val="16"/>
    </w:rPr>
  </w:style>
  <w:style w:type="paragraph" w:styleId="CommentText">
    <w:name w:val="annotation text"/>
    <w:basedOn w:val="Normal"/>
    <w:link w:val="CommentTextChar"/>
    <w:uiPriority w:val="99"/>
    <w:unhideWhenUsed/>
    <w:rsid w:val="00085B4A"/>
    <w:pPr>
      <w:spacing w:line="240" w:lineRule="auto"/>
    </w:pPr>
    <w:rPr>
      <w:sz w:val="20"/>
      <w:szCs w:val="20"/>
    </w:rPr>
  </w:style>
  <w:style w:type="character" w:customStyle="1" w:styleId="CommentTextChar">
    <w:name w:val="Comment Text Char"/>
    <w:basedOn w:val="DefaultParagraphFont"/>
    <w:link w:val="CommentText"/>
    <w:uiPriority w:val="99"/>
    <w:rsid w:val="00085B4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85B4A"/>
    <w:rPr>
      <w:b/>
      <w:bCs/>
    </w:rPr>
  </w:style>
  <w:style w:type="character" w:customStyle="1" w:styleId="CommentSubjectChar">
    <w:name w:val="Comment Subject Char"/>
    <w:basedOn w:val="CommentTextChar"/>
    <w:link w:val="CommentSubject"/>
    <w:uiPriority w:val="99"/>
    <w:semiHidden/>
    <w:rsid w:val="00085B4A"/>
    <w:rPr>
      <w:rFonts w:ascii="Calibri" w:eastAsia="Times New Roman" w:hAnsi="Calibri" w:cs="Times New Roman"/>
      <w:b/>
      <w:bCs/>
      <w:sz w:val="20"/>
      <w:szCs w:val="20"/>
    </w:rPr>
  </w:style>
  <w:style w:type="paragraph" w:styleId="Header">
    <w:name w:val="header"/>
    <w:basedOn w:val="Normal"/>
    <w:link w:val="HeaderChar"/>
    <w:uiPriority w:val="99"/>
    <w:unhideWhenUsed/>
    <w:rsid w:val="00D51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C5F"/>
    <w:rPr>
      <w:rFonts w:ascii="Calibri" w:eastAsia="Times New Roman" w:hAnsi="Calibri" w:cs="Times New Roman"/>
    </w:rPr>
  </w:style>
  <w:style w:type="paragraph" w:styleId="Footer">
    <w:name w:val="footer"/>
    <w:basedOn w:val="Normal"/>
    <w:link w:val="FooterChar"/>
    <w:uiPriority w:val="99"/>
    <w:unhideWhenUsed/>
    <w:rsid w:val="00D51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C5F"/>
    <w:rPr>
      <w:rFonts w:ascii="Calibri" w:eastAsia="Times New Roman" w:hAnsi="Calibri" w:cs="Times New Roman"/>
    </w:rPr>
  </w:style>
  <w:style w:type="paragraph" w:styleId="Revision">
    <w:name w:val="Revision"/>
    <w:hidden/>
    <w:uiPriority w:val="99"/>
    <w:semiHidden/>
    <w:rsid w:val="00F1156D"/>
    <w:pPr>
      <w:spacing w:after="0" w:line="240" w:lineRule="auto"/>
    </w:pPr>
    <w:rPr>
      <w:rFonts w:ascii="Calibri" w:eastAsia="Times New Roman" w:hAnsi="Calibri" w:cs="Times New Roman"/>
    </w:rPr>
  </w:style>
  <w:style w:type="paragraph" w:styleId="FootnoteText">
    <w:name w:val="footnote text"/>
    <w:basedOn w:val="Normal"/>
    <w:link w:val="FootnoteTextChar"/>
    <w:uiPriority w:val="99"/>
    <w:semiHidden/>
    <w:unhideWhenUsed/>
    <w:rsid w:val="00A93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79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A93798"/>
    <w:rPr>
      <w:vertAlign w:val="superscript"/>
    </w:rPr>
  </w:style>
  <w:style w:type="paragraph" w:styleId="EndnoteText">
    <w:name w:val="endnote text"/>
    <w:basedOn w:val="Normal"/>
    <w:link w:val="EndnoteTextChar"/>
    <w:uiPriority w:val="99"/>
    <w:semiHidden/>
    <w:unhideWhenUsed/>
    <w:rsid w:val="00FB6D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6D81"/>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FB6D81"/>
    <w:rPr>
      <w:vertAlign w:val="superscript"/>
    </w:rPr>
  </w:style>
  <w:style w:type="paragraph" w:styleId="BalloonText">
    <w:name w:val="Balloon Text"/>
    <w:basedOn w:val="Normal"/>
    <w:link w:val="BalloonTextChar"/>
    <w:uiPriority w:val="99"/>
    <w:semiHidden/>
    <w:unhideWhenUsed/>
    <w:rsid w:val="008A5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EC6"/>
    <w:rPr>
      <w:rFonts w:ascii="Segoe UI" w:eastAsia="Times New Roman" w:hAnsi="Segoe UI" w:cs="Segoe UI"/>
      <w:sz w:val="18"/>
      <w:szCs w:val="18"/>
    </w:rPr>
  </w:style>
  <w:style w:type="table" w:styleId="TableGrid">
    <w:name w:val="Table Grid"/>
    <w:basedOn w:val="TableNormal"/>
    <w:uiPriority w:val="39"/>
    <w:rsid w:val="00974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4801"/>
    <w:rPr>
      <w:color w:val="605E5C"/>
      <w:shd w:val="clear" w:color="auto" w:fill="E1DFDD"/>
    </w:rPr>
  </w:style>
  <w:style w:type="character" w:styleId="FollowedHyperlink">
    <w:name w:val="FollowedHyperlink"/>
    <w:basedOn w:val="DefaultParagraphFont"/>
    <w:uiPriority w:val="99"/>
    <w:semiHidden/>
    <w:unhideWhenUsed/>
    <w:rsid w:val="003057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userinterviews.com/blog/the-ultimate-guide-to-user-research-incentives" TargetMode="External" /><Relationship Id="rId2" Type="http://schemas.openxmlformats.org/officeDocument/2006/relationships/hyperlink" Target="https://www.userinterviews.com/blog/research-incentives-re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716dec-0bd9-4b0d-8fea-84885a082c2e">
      <Terms xmlns="http://schemas.microsoft.com/office/infopath/2007/PartnerControls"/>
    </lcf76f155ced4ddcb4097134ff3c332f>
    <TaxCatchAll xmlns="46a72db5-e3f1-4035-b125-519a4329281d"/>
    <IWSAPHistory xmlns="ff716dec-0bd9-4b0d-8fea-84885a082c2e" xsi:nil="true"/>
    <Budget xmlns="ff716dec-0bd9-4b0d-8fea-84885a082c2e" xsi:nil="true"/>
    <Award xmlns="ff716dec-0bd9-4b0d-8fea-84885a082c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3063AB7598E4295B15635BA19852F" ma:contentTypeVersion="16" ma:contentTypeDescription="Create a new document." ma:contentTypeScope="" ma:versionID="3b49ef81e0129d27422d72c20706fb66">
  <xsd:schema xmlns:xsd="http://www.w3.org/2001/XMLSchema" xmlns:xs="http://www.w3.org/2001/XMLSchema" xmlns:p="http://schemas.microsoft.com/office/2006/metadata/properties" xmlns:ns2="ff716dec-0bd9-4b0d-8fea-84885a082c2e" xmlns:ns3="46a72db5-e3f1-4035-b125-519a4329281d" targetNamespace="http://schemas.microsoft.com/office/2006/metadata/properties" ma:root="true" ma:fieldsID="c64ff71aa10b15308add192a1955e579" ns2:_="" ns3:_="">
    <xsd:import namespace="ff716dec-0bd9-4b0d-8fea-84885a082c2e"/>
    <xsd:import namespace="46a72db5-e3f1-4035-b125-519a4329281d"/>
    <xsd:element name="properties">
      <xsd:complexType>
        <xsd:sequence>
          <xsd:element name="documentManagement">
            <xsd:complexType>
              <xsd:all>
                <xsd:element ref="ns2:IWSAPHistory" minOccurs="0"/>
                <xsd:element ref="ns2:MediaServiceDateTake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Award" minOccurs="0"/>
                <xsd:element ref="ns2:Budget"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6dec-0bd9-4b0d-8fea-84885a082c2e" elementFormDefault="qualified">
    <xsd:import namespace="http://schemas.microsoft.com/office/2006/documentManagement/types"/>
    <xsd:import namespace="http://schemas.microsoft.com/office/infopath/2007/PartnerControls"/>
    <xsd:element name="IWSAPHistory" ma:index="8" nillable="true" ma:displayName="IWSAPHistory" ma:hidden="true" ma:internalName="IWSAPHistory">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Award" ma:index="16" nillable="true" ma:displayName="Award" ma:description="Total Award" ma:format="$123,456.00 (United States)" ma:LCID="1033" ma:internalName="Award">
      <xsd:simpleType>
        <xsd:restriction base="dms:Currency"/>
      </xsd:simpleType>
    </xsd:element>
    <xsd:element name="Budget" ma:index="17" nillable="true" ma:displayName="Budget" ma:description="Funded amount for the current year" ma:format="$123,456.00 (United States)" ma:LCID="1033" ma:internalName="Budget">
      <xsd:simpleType>
        <xsd:restriction base="dms:Currency"/>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eaecd1-8a95-4d15-a909-9553e8a38b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a72db5-e3f1-4035-b125-519a432928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6213a8-f780-469f-aa54-b89113e41956}" ma:internalName="TaxCatchAll" ma:showField="CatchAllData" ma:web="46a72db5-e3f1-4035-b125-519a43292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3BFF8-5A86-456D-A187-F7E4ED60EEA7}">
  <ds:schemaRefs>
    <ds:schemaRef ds:uri="http://schemas.microsoft.com/office/2006/metadata/properties"/>
    <ds:schemaRef ds:uri="http://schemas.microsoft.com/office/infopath/2007/PartnerControls"/>
    <ds:schemaRef ds:uri="ff716dec-0bd9-4b0d-8fea-84885a082c2e"/>
    <ds:schemaRef ds:uri="46a72db5-e3f1-4035-b125-519a4329281d"/>
  </ds:schemaRefs>
</ds:datastoreItem>
</file>

<file path=customXml/itemProps2.xml><?xml version="1.0" encoding="utf-8"?>
<ds:datastoreItem xmlns:ds="http://schemas.openxmlformats.org/officeDocument/2006/customXml" ds:itemID="{CE1527DA-7633-4FC0-9D62-93CC4BFF10A5}">
  <ds:schemaRefs>
    <ds:schemaRef ds:uri="http://schemas.microsoft.com/sharepoint/v3/contenttype/forms"/>
  </ds:schemaRefs>
</ds:datastoreItem>
</file>

<file path=customXml/itemProps3.xml><?xml version="1.0" encoding="utf-8"?>
<ds:datastoreItem xmlns:ds="http://schemas.openxmlformats.org/officeDocument/2006/customXml" ds:itemID="{96C31BF0-92A3-4621-8E53-29C15F730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6dec-0bd9-4b0d-8fea-84885a082c2e"/>
    <ds:schemaRef ds:uri="46a72db5-e3f1-4035-b125-519a43292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61273-598E-4FE4-A9D4-293E629E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Alanis Irigoyen</dc:creator>
  <cp:lastModifiedBy>Lee, Arthur</cp:lastModifiedBy>
  <cp:revision>2</cp:revision>
  <dcterms:created xsi:type="dcterms:W3CDTF">2023-03-31T11:57:00Z</dcterms:created>
  <dcterms:modified xsi:type="dcterms:W3CDTF">2023-03-31T11:57:00Z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0x0101000E73063AB7598E4295B15635BA19852F</vt:lpwstr>
  </property>
  <property fmtid="{D5CDD505-2E9C-101B-9397-08002B2CF9AE}" pid="3" name="MediaServiceImageTags">
    <vt:lpwstr/>
  </property>
</Properties>
</file>